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A989C"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4A6A9B8A" wp14:editId="4A6A9B8B">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4A6A989D"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4A6A989E" w14:textId="77777777" w:rsidR="00BC1364" w:rsidRPr="00F715D1" w:rsidRDefault="00BC1364" w:rsidP="00F715D1">
      <w:pPr>
        <w:pStyle w:val="Subtitle"/>
      </w:pPr>
      <w:r w:rsidRPr="00F715D1">
        <w:t xml:space="preserve">Application No. </w:t>
      </w:r>
      <w:r w:rsidR="00B35595" w:rsidRPr="00F715D1">
        <w:t>1</w:t>
      </w:r>
      <w:r w:rsidR="00F443A8">
        <w:t>40</w:t>
      </w:r>
      <w:r w:rsidR="00CE58FD">
        <w:t>3</w:t>
      </w:r>
      <w:r w:rsidRPr="00F715D1">
        <w:t xml:space="preserve"> – </w:t>
      </w:r>
      <w:r w:rsidR="00F443A8" w:rsidRPr="00F443A8">
        <w:t>L</w:t>
      </w:r>
      <w:r w:rsidR="00CE58FD" w:rsidRPr="00CE58FD">
        <w:t>ung Microwave Tissue Ablation</w:t>
      </w:r>
    </w:p>
    <w:p w14:paraId="4A6A989F" w14:textId="77777777" w:rsidR="00F443A8" w:rsidRDefault="00B35595" w:rsidP="00F443A8">
      <w:pPr>
        <w:spacing w:after="240"/>
        <w:ind w:left="3600" w:hanging="3600"/>
        <w:rPr>
          <w:rFonts w:ascii="Arial" w:hAnsi="Arial" w:cs="Arial"/>
          <w:b/>
          <w:szCs w:val="24"/>
        </w:rPr>
      </w:pPr>
      <w:r w:rsidRPr="00F715D1">
        <w:rPr>
          <w:rFonts w:ascii="Arial" w:hAnsi="Arial" w:cs="Arial"/>
          <w:b/>
          <w:szCs w:val="24"/>
        </w:rPr>
        <w:t>Applicant</w:t>
      </w:r>
      <w:r w:rsidR="00BC1364" w:rsidRPr="00F715D1">
        <w:rPr>
          <w:rFonts w:ascii="Arial" w:hAnsi="Arial" w:cs="Arial"/>
          <w:b/>
          <w:szCs w:val="24"/>
        </w:rPr>
        <w:t>:</w:t>
      </w:r>
      <w:r w:rsidR="00BC1364" w:rsidRPr="00F715D1">
        <w:rPr>
          <w:rFonts w:ascii="Arial" w:hAnsi="Arial" w:cs="Arial"/>
          <w:b/>
          <w:szCs w:val="24"/>
        </w:rPr>
        <w:tab/>
      </w:r>
      <w:proofErr w:type="spellStart"/>
      <w:r w:rsidR="00F443A8" w:rsidRPr="00F443A8">
        <w:rPr>
          <w:rFonts w:ascii="Arial" w:hAnsi="Arial" w:cs="Arial"/>
          <w:b/>
          <w:szCs w:val="24"/>
        </w:rPr>
        <w:t>N.Stenning</w:t>
      </w:r>
      <w:proofErr w:type="spellEnd"/>
      <w:r w:rsidR="00F443A8" w:rsidRPr="00F443A8">
        <w:rPr>
          <w:rFonts w:ascii="Arial" w:hAnsi="Arial" w:cs="Arial"/>
          <w:b/>
          <w:szCs w:val="24"/>
        </w:rPr>
        <w:t xml:space="preserve"> &amp; Co. Pty Ltd</w:t>
      </w:r>
      <w:r w:rsidR="00F443A8" w:rsidRPr="00F715D1">
        <w:rPr>
          <w:rFonts w:ascii="Arial" w:hAnsi="Arial" w:cs="Arial"/>
          <w:b/>
          <w:szCs w:val="24"/>
        </w:rPr>
        <w:t xml:space="preserve"> </w:t>
      </w:r>
    </w:p>
    <w:p w14:paraId="4A6A98A0" w14:textId="77777777" w:rsidR="00BC1364" w:rsidRPr="00F715D1" w:rsidRDefault="00BC1364" w:rsidP="00F443A8">
      <w:pPr>
        <w:spacing w:after="240"/>
        <w:ind w:left="3600" w:hanging="360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A822AF">
        <w:rPr>
          <w:rFonts w:ascii="Arial" w:hAnsi="Arial" w:cs="Arial"/>
          <w:b/>
          <w:szCs w:val="24"/>
        </w:rPr>
        <w:t>8</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A822AF">
        <w:rPr>
          <w:rFonts w:ascii="Arial" w:hAnsi="Arial" w:cs="Arial"/>
          <w:b/>
          <w:szCs w:val="24"/>
        </w:rPr>
        <w:t>24</w:t>
      </w:r>
      <w:r w:rsidR="00B35595" w:rsidRPr="00F715D1">
        <w:rPr>
          <w:rFonts w:ascii="Arial" w:hAnsi="Arial" w:cs="Arial"/>
          <w:b/>
          <w:szCs w:val="24"/>
        </w:rPr>
        <w:t>-</w:t>
      </w:r>
      <w:r w:rsidR="00A822AF">
        <w:rPr>
          <w:rFonts w:ascii="Arial" w:hAnsi="Arial" w:cs="Arial"/>
          <w:b/>
          <w:szCs w:val="24"/>
        </w:rPr>
        <w:t>25 November</w:t>
      </w:r>
      <w:r w:rsidR="00EB6B6F" w:rsidRPr="00F715D1">
        <w:rPr>
          <w:rFonts w:ascii="Arial" w:hAnsi="Arial" w:cs="Arial"/>
          <w:b/>
          <w:szCs w:val="24"/>
        </w:rPr>
        <w:t xml:space="preserve"> 2016</w:t>
      </w:r>
    </w:p>
    <w:p w14:paraId="4A6A98A1" w14:textId="77777777" w:rsidR="00F715D1" w:rsidRDefault="006A0D97" w:rsidP="00F715D1">
      <w:pPr>
        <w:spacing w:after="240"/>
        <w:rPr>
          <w:rStyle w:val="Hyperlink"/>
          <w:szCs w:val="24"/>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history="1">
        <w:r w:rsidR="00F715D1" w:rsidRPr="00F715D1">
          <w:rPr>
            <w:rStyle w:val="Hyperlink"/>
            <w:szCs w:val="24"/>
          </w:rPr>
          <w:t>visit the MSAC website</w:t>
        </w:r>
      </w:hyperlink>
      <w:r w:rsidR="00A822AF">
        <w:rPr>
          <w:rStyle w:val="Hyperlink"/>
          <w:szCs w:val="24"/>
        </w:rPr>
        <w:t xml:space="preserve"> </w:t>
      </w:r>
    </w:p>
    <w:p w14:paraId="4A6A98A2" w14:textId="77777777" w:rsidR="00B71507" w:rsidRPr="00F715D1" w:rsidRDefault="00B71507" w:rsidP="00F715D1">
      <w:pPr>
        <w:spacing w:after="240"/>
        <w:rPr>
          <w:szCs w:val="24"/>
          <w:u w:val="single"/>
        </w:rPr>
      </w:pPr>
    </w:p>
    <w:p w14:paraId="4A6A98A3" w14:textId="77777777" w:rsidR="003D7F29" w:rsidRPr="00F715D1" w:rsidRDefault="003D7F29" w:rsidP="00C22C2D">
      <w:pPr>
        <w:pStyle w:val="Heading1"/>
        <w:ind w:hanging="720"/>
      </w:pPr>
      <w:r w:rsidRPr="00F715D1">
        <w:t>Purpose of application</w:t>
      </w:r>
      <w:r w:rsidR="00822C7E" w:rsidRPr="00F715D1">
        <w:t xml:space="preserve"> and links to other applications</w:t>
      </w:r>
    </w:p>
    <w:p w14:paraId="4A6A98A4" w14:textId="77777777" w:rsidR="00B71507" w:rsidRPr="0090621B" w:rsidRDefault="00B71507" w:rsidP="00B71507">
      <w:pPr>
        <w:tabs>
          <w:tab w:val="left" w:pos="720"/>
          <w:tab w:val="left" w:pos="1140"/>
        </w:tabs>
        <w:rPr>
          <w:szCs w:val="24"/>
        </w:rPr>
      </w:pPr>
      <w:r w:rsidRPr="0090621B">
        <w:rPr>
          <w:szCs w:val="24"/>
        </w:rPr>
        <w:t xml:space="preserve">An application </w:t>
      </w:r>
      <w:r>
        <w:rPr>
          <w:bCs/>
          <w:szCs w:val="24"/>
        </w:rPr>
        <w:t>requesting</w:t>
      </w:r>
      <w:r w:rsidRPr="00862680">
        <w:rPr>
          <w:bCs/>
          <w:szCs w:val="24"/>
        </w:rPr>
        <w:t xml:space="preserve"> </w:t>
      </w:r>
      <w:r>
        <w:rPr>
          <w:bCs/>
          <w:szCs w:val="24"/>
        </w:rPr>
        <w:t xml:space="preserve">new </w:t>
      </w:r>
      <w:r w:rsidRPr="00862680">
        <w:rPr>
          <w:bCs/>
          <w:szCs w:val="24"/>
        </w:rPr>
        <w:t>M</w:t>
      </w:r>
      <w:r>
        <w:rPr>
          <w:bCs/>
          <w:szCs w:val="24"/>
        </w:rPr>
        <w:t xml:space="preserve">edicare </w:t>
      </w:r>
      <w:r w:rsidRPr="00862680">
        <w:rPr>
          <w:bCs/>
          <w:szCs w:val="24"/>
        </w:rPr>
        <w:t>B</w:t>
      </w:r>
      <w:r>
        <w:rPr>
          <w:bCs/>
          <w:szCs w:val="24"/>
        </w:rPr>
        <w:t xml:space="preserve">enefits </w:t>
      </w:r>
      <w:r w:rsidRPr="00862680">
        <w:rPr>
          <w:bCs/>
          <w:szCs w:val="24"/>
        </w:rPr>
        <w:t>S</w:t>
      </w:r>
      <w:r>
        <w:rPr>
          <w:bCs/>
          <w:szCs w:val="24"/>
        </w:rPr>
        <w:t>chedule (MBS)</w:t>
      </w:r>
      <w:r w:rsidRPr="00862680">
        <w:rPr>
          <w:bCs/>
          <w:szCs w:val="24"/>
        </w:rPr>
        <w:t xml:space="preserve"> </w:t>
      </w:r>
      <w:r>
        <w:rPr>
          <w:bCs/>
          <w:szCs w:val="24"/>
        </w:rPr>
        <w:t xml:space="preserve">listings </w:t>
      </w:r>
      <w:r w:rsidRPr="0090621B">
        <w:rPr>
          <w:szCs w:val="24"/>
        </w:rPr>
        <w:t xml:space="preserve">of microwave tissue ablation (MTA) </w:t>
      </w:r>
      <w:r w:rsidRPr="00264693">
        <w:t xml:space="preserve">for the treatment of primary and secondary lung cancer </w:t>
      </w:r>
      <w:r w:rsidRPr="0090621B">
        <w:rPr>
          <w:szCs w:val="24"/>
        </w:rPr>
        <w:t xml:space="preserve">was received by the Department of Health from N. </w:t>
      </w:r>
      <w:proofErr w:type="spellStart"/>
      <w:r w:rsidRPr="0090621B">
        <w:rPr>
          <w:szCs w:val="24"/>
        </w:rPr>
        <w:t>Stenning</w:t>
      </w:r>
      <w:proofErr w:type="spellEnd"/>
      <w:r w:rsidRPr="0090621B">
        <w:rPr>
          <w:szCs w:val="24"/>
        </w:rPr>
        <w:t xml:space="preserve"> &amp; Co. Pty Ltd.</w:t>
      </w:r>
    </w:p>
    <w:p w14:paraId="4A6A98A5" w14:textId="77777777" w:rsidR="00E977EE" w:rsidRPr="00F715D1" w:rsidRDefault="00E977EE" w:rsidP="00C22C2D">
      <w:pPr>
        <w:pStyle w:val="Heading1"/>
        <w:ind w:hanging="720"/>
      </w:pPr>
      <w:r w:rsidRPr="00F715D1">
        <w:t>MSAC’s advice to the Minister</w:t>
      </w:r>
    </w:p>
    <w:p w14:paraId="4A6A98A6" w14:textId="77777777" w:rsidR="0080701D" w:rsidRPr="0080701D" w:rsidRDefault="0080701D" w:rsidP="00B71507">
      <w:pPr>
        <w:pStyle w:val="BodyText"/>
        <w:spacing w:line="240" w:lineRule="auto"/>
        <w:rPr>
          <w:rFonts w:ascii="Times New Roman" w:hAnsi="Times New Roman"/>
          <w:sz w:val="24"/>
        </w:rPr>
      </w:pPr>
      <w:r w:rsidRPr="0080701D">
        <w:rPr>
          <w:rFonts w:ascii="Times New Roman" w:hAnsi="Times New Roman"/>
          <w:sz w:val="24"/>
        </w:rPr>
        <w:t xml:space="preserve">After considering the strength of the available evidence presented in relation to the comparative safety, clinical effectiveness and cost-effectiveness of microwave tissue ablation (MTA) for primary and secondary lung cancer, </w:t>
      </w:r>
      <w:r w:rsidRPr="00D00D99">
        <w:rPr>
          <w:rFonts w:ascii="Times New Roman" w:hAnsi="Times New Roman"/>
          <w:sz w:val="24"/>
        </w:rPr>
        <w:t>MSAC did not support public funding due to a lack of evidence to support the comparative benefit of the procedure.</w:t>
      </w:r>
      <w:r w:rsidRPr="0080701D">
        <w:rPr>
          <w:rFonts w:ascii="Times New Roman" w:hAnsi="Times New Roman"/>
          <w:sz w:val="24"/>
        </w:rPr>
        <w:t xml:space="preserve"> </w:t>
      </w:r>
    </w:p>
    <w:p w14:paraId="4A6A98A7" w14:textId="77777777" w:rsidR="00B71507" w:rsidRDefault="0080701D" w:rsidP="00B71507">
      <w:pPr>
        <w:pStyle w:val="BodyText"/>
        <w:spacing w:line="240" w:lineRule="auto"/>
        <w:rPr>
          <w:rFonts w:ascii="Times New Roman" w:hAnsi="Times New Roman"/>
          <w:sz w:val="24"/>
        </w:rPr>
      </w:pPr>
      <w:r w:rsidRPr="00D00D99">
        <w:rPr>
          <w:rFonts w:ascii="Times New Roman" w:hAnsi="Times New Roman"/>
          <w:sz w:val="24"/>
        </w:rPr>
        <w:t>MSAC was concerned that the majority of evidence presented for MTA and its comparators consisted largely of case series studies which resulted in significant uncertainty about the comparative benefit of MTA over existing treatment options.</w:t>
      </w:r>
      <w:r w:rsidRPr="0080701D">
        <w:rPr>
          <w:rFonts w:ascii="Times New Roman" w:hAnsi="Times New Roman"/>
          <w:sz w:val="24"/>
        </w:rPr>
        <w:t xml:space="preserve"> MSAC emphasised that unlike Application 1402 (MTA for the liver) where radiofrequency ablation (RFA) was the only comparator and is MBS-listed, the proposed populations in the current application have access to radiotherapy such as stereotactic body radiation therapy (SBRT) and RFA, although the latter is not MBS-listed. </w:t>
      </w:r>
    </w:p>
    <w:p w14:paraId="4A6A98A8" w14:textId="77777777" w:rsidR="0080701D" w:rsidRPr="0080701D" w:rsidRDefault="0080701D" w:rsidP="00B71507">
      <w:pPr>
        <w:pStyle w:val="BodyText"/>
        <w:spacing w:line="240" w:lineRule="auto"/>
        <w:rPr>
          <w:rFonts w:ascii="Times New Roman" w:hAnsi="Times New Roman"/>
          <w:sz w:val="24"/>
        </w:rPr>
      </w:pPr>
      <w:r w:rsidRPr="0080701D">
        <w:rPr>
          <w:rFonts w:ascii="Times New Roman" w:hAnsi="Times New Roman"/>
          <w:sz w:val="24"/>
        </w:rPr>
        <w:t xml:space="preserve">MSAC noted that </w:t>
      </w:r>
      <w:r w:rsidR="00B71507">
        <w:rPr>
          <w:rFonts w:ascii="Times New Roman" w:hAnsi="Times New Roman"/>
          <w:sz w:val="24"/>
        </w:rPr>
        <w:t>any</w:t>
      </w:r>
      <w:r w:rsidRPr="0080701D">
        <w:rPr>
          <w:rFonts w:ascii="Times New Roman" w:hAnsi="Times New Roman"/>
          <w:sz w:val="24"/>
        </w:rPr>
        <w:t xml:space="preserve"> resubmission</w:t>
      </w:r>
      <w:r w:rsidR="00B71507">
        <w:rPr>
          <w:rFonts w:ascii="Times New Roman" w:hAnsi="Times New Roman"/>
          <w:sz w:val="24"/>
        </w:rPr>
        <w:t xml:space="preserve"> should include</w:t>
      </w:r>
      <w:r w:rsidRPr="0080701D">
        <w:rPr>
          <w:rFonts w:ascii="Times New Roman" w:hAnsi="Times New Roman"/>
          <w:sz w:val="24"/>
        </w:rPr>
        <w:t xml:space="preserve"> comparative evidence of efficacy compared to radiation therapy (e.g. SBRT) and/or surgery. MSAC also noted that any future application would require consideration by ESC.</w:t>
      </w:r>
    </w:p>
    <w:p w14:paraId="4A6A98A9" w14:textId="77777777" w:rsidR="00550354" w:rsidRPr="00F715D1" w:rsidRDefault="00550354" w:rsidP="00C22C2D">
      <w:pPr>
        <w:pStyle w:val="Heading1"/>
        <w:ind w:hanging="720"/>
      </w:pPr>
      <w:r w:rsidRPr="00F715D1">
        <w:t xml:space="preserve">Summary of consideration and rationale for MSAC’s advice </w:t>
      </w:r>
    </w:p>
    <w:p w14:paraId="4A6A98AA" w14:textId="77777777" w:rsidR="00A0260A" w:rsidRPr="00A0260A" w:rsidRDefault="00B71507" w:rsidP="00B71507">
      <w:pPr>
        <w:pStyle w:val="BodyText"/>
        <w:spacing w:line="240" w:lineRule="auto"/>
        <w:rPr>
          <w:rFonts w:ascii="Times New Roman" w:hAnsi="Times New Roman"/>
          <w:sz w:val="24"/>
        </w:rPr>
      </w:pPr>
      <w:r>
        <w:rPr>
          <w:rFonts w:ascii="Times New Roman" w:hAnsi="Times New Roman"/>
          <w:sz w:val="24"/>
        </w:rPr>
        <w:t>MTA</w:t>
      </w:r>
      <w:r w:rsidRPr="00A0260A">
        <w:rPr>
          <w:rFonts w:ascii="Times New Roman" w:hAnsi="Times New Roman"/>
          <w:sz w:val="24"/>
        </w:rPr>
        <w:t xml:space="preserve"> for pri</w:t>
      </w:r>
      <w:r>
        <w:rPr>
          <w:rFonts w:ascii="Times New Roman" w:hAnsi="Times New Roman"/>
          <w:sz w:val="24"/>
        </w:rPr>
        <w:t xml:space="preserve">mary and secondary lung cancer involves </w:t>
      </w:r>
      <w:r w:rsidR="00A0260A" w:rsidRPr="00A0260A">
        <w:rPr>
          <w:rFonts w:ascii="Times New Roman" w:hAnsi="Times New Roman"/>
          <w:sz w:val="24"/>
        </w:rPr>
        <w:t xml:space="preserve">the positioning of antennae within tumours through which high frequency electromagnetic waves are emitted, destroying nearby tissue. It can be performed percutaneously or via open or laparoscopic surgery. The applicant proposed that the service would be performed by interventional radiologists, with curative or </w:t>
      </w:r>
      <w:r w:rsidR="00A0260A" w:rsidRPr="00A0260A">
        <w:rPr>
          <w:rFonts w:ascii="Times New Roman" w:hAnsi="Times New Roman"/>
          <w:sz w:val="24"/>
        </w:rPr>
        <w:lastRenderedPageBreak/>
        <w:t xml:space="preserve">palliative intent, in eligible patients. MSAC noted that MTA is not currently reimbursed under the MBS for lung tumours. </w:t>
      </w:r>
    </w:p>
    <w:p w14:paraId="4A6A98AB" w14:textId="77777777" w:rsidR="00A0260A" w:rsidRPr="00A0260A" w:rsidRDefault="00A0260A" w:rsidP="00443E94">
      <w:pPr>
        <w:pStyle w:val="BodyText"/>
        <w:spacing w:before="0" w:line="240" w:lineRule="auto"/>
        <w:rPr>
          <w:rFonts w:ascii="Times New Roman" w:hAnsi="Times New Roman"/>
          <w:sz w:val="24"/>
        </w:rPr>
      </w:pPr>
      <w:r w:rsidRPr="00A0260A">
        <w:rPr>
          <w:rFonts w:ascii="Times New Roman" w:hAnsi="Times New Roman"/>
          <w:sz w:val="24"/>
        </w:rPr>
        <w:t xml:space="preserve">MSAC noted that the application included three distinct populations: </w:t>
      </w:r>
    </w:p>
    <w:p w14:paraId="4A6A98AC" w14:textId="77777777" w:rsidR="00A0260A" w:rsidRPr="00A0260A" w:rsidRDefault="00A0260A" w:rsidP="00443E94">
      <w:pPr>
        <w:pStyle w:val="BodyText"/>
        <w:numPr>
          <w:ilvl w:val="0"/>
          <w:numId w:val="47"/>
        </w:numPr>
        <w:spacing w:before="0" w:line="240" w:lineRule="auto"/>
        <w:rPr>
          <w:rFonts w:ascii="Times New Roman" w:hAnsi="Times New Roman"/>
          <w:sz w:val="24"/>
        </w:rPr>
      </w:pPr>
      <w:r w:rsidRPr="00A0260A">
        <w:rPr>
          <w:rFonts w:ascii="Times New Roman" w:hAnsi="Times New Roman"/>
          <w:sz w:val="24"/>
        </w:rPr>
        <w:t xml:space="preserve">patients with early stage non-small cell lung cancer (NSCLC) who are not eligible for surgical resection and who are receiving treatment with curative intent (population one); </w:t>
      </w:r>
    </w:p>
    <w:p w14:paraId="4A6A98AD" w14:textId="77777777" w:rsidR="00A0260A" w:rsidRPr="00A0260A" w:rsidRDefault="00A0260A" w:rsidP="00443E94">
      <w:pPr>
        <w:pStyle w:val="BodyText"/>
        <w:numPr>
          <w:ilvl w:val="0"/>
          <w:numId w:val="47"/>
        </w:numPr>
        <w:spacing w:before="0" w:line="240" w:lineRule="auto"/>
        <w:rPr>
          <w:rFonts w:ascii="Times New Roman" w:hAnsi="Times New Roman"/>
          <w:sz w:val="24"/>
        </w:rPr>
      </w:pPr>
      <w:r w:rsidRPr="00A0260A">
        <w:rPr>
          <w:rFonts w:ascii="Times New Roman" w:hAnsi="Times New Roman"/>
          <w:sz w:val="24"/>
        </w:rPr>
        <w:t>patients with pulmonary metastases in whom the primary tumour is under control and who are receiving treatment with curative intent (population two); and</w:t>
      </w:r>
    </w:p>
    <w:p w14:paraId="4A6A98AE" w14:textId="77777777" w:rsidR="00A0260A" w:rsidRPr="00A0260A" w:rsidRDefault="00A0260A" w:rsidP="00443E94">
      <w:pPr>
        <w:pStyle w:val="BodyText"/>
        <w:numPr>
          <w:ilvl w:val="0"/>
          <w:numId w:val="47"/>
        </w:numPr>
        <w:spacing w:before="0" w:line="240" w:lineRule="auto"/>
        <w:rPr>
          <w:rFonts w:ascii="Times New Roman" w:hAnsi="Times New Roman"/>
          <w:sz w:val="24"/>
        </w:rPr>
      </w:pPr>
      <w:proofErr w:type="gramStart"/>
      <w:r w:rsidRPr="00A0260A">
        <w:rPr>
          <w:rFonts w:ascii="Times New Roman" w:hAnsi="Times New Roman"/>
          <w:sz w:val="24"/>
        </w:rPr>
        <w:t>patients</w:t>
      </w:r>
      <w:proofErr w:type="gramEnd"/>
      <w:r w:rsidRPr="00A0260A">
        <w:rPr>
          <w:rFonts w:ascii="Times New Roman" w:hAnsi="Times New Roman"/>
          <w:sz w:val="24"/>
        </w:rPr>
        <w:t xml:space="preserve"> with NSCLC or pulmonary metastases who are receiving treatment with palliative intent (population three).</w:t>
      </w:r>
    </w:p>
    <w:p w14:paraId="4A6A98AF" w14:textId="77777777" w:rsidR="00A0260A" w:rsidRPr="00A0260A" w:rsidRDefault="00A0260A" w:rsidP="00B71507">
      <w:pPr>
        <w:pStyle w:val="BodyText"/>
        <w:spacing w:line="240" w:lineRule="auto"/>
        <w:rPr>
          <w:rFonts w:ascii="Times New Roman" w:hAnsi="Times New Roman"/>
          <w:sz w:val="24"/>
        </w:rPr>
      </w:pPr>
      <w:r w:rsidRPr="00A0260A">
        <w:rPr>
          <w:rFonts w:ascii="Times New Roman" w:hAnsi="Times New Roman"/>
          <w:sz w:val="24"/>
        </w:rPr>
        <w:t xml:space="preserve">MSAC noted that for populations one and two, MTA would directly replace radiofrequency ablation (RFA) therapy and act as an additional therapeutic option to current best practice radiotherapy (e.g. stereotactic body radiation therapy [SBRT]) ± chemotherapy. For population two, MTA was also considered to be an additional therapeutic option to surgical resection. MSAC highlighted that although the applicant proposed that MTA would replace RFA, there is currently no MBS item for lung RFA. </w:t>
      </w:r>
    </w:p>
    <w:p w14:paraId="4A6A98B0" w14:textId="77777777" w:rsidR="00A0260A" w:rsidRPr="00A0260A" w:rsidRDefault="00A0260A" w:rsidP="00B71507">
      <w:pPr>
        <w:pStyle w:val="BodyText"/>
        <w:spacing w:line="240" w:lineRule="auto"/>
        <w:rPr>
          <w:rFonts w:ascii="Times New Roman" w:hAnsi="Times New Roman"/>
          <w:sz w:val="24"/>
        </w:rPr>
      </w:pPr>
      <w:r w:rsidRPr="00A0260A">
        <w:rPr>
          <w:rFonts w:ascii="Times New Roman" w:hAnsi="Times New Roman"/>
          <w:sz w:val="24"/>
        </w:rPr>
        <w:t xml:space="preserve">MSAC noted that for population three, the applicant proposed that MTA would be an additional treatment option to conventional palliative therapies. However MSAC highlighted that MTA would be an unlikely choice for palliative therapy based on current clinical practice, noting that approximately 90% of lung MTA services provided in Australia are for early stage NSCLC (population one) and 10% are used in patients with </w:t>
      </w:r>
      <w:proofErr w:type="spellStart"/>
      <w:r w:rsidRPr="00A0260A">
        <w:rPr>
          <w:rFonts w:ascii="Times New Roman" w:hAnsi="Times New Roman"/>
          <w:sz w:val="24"/>
        </w:rPr>
        <w:t>oligometastatic</w:t>
      </w:r>
      <w:proofErr w:type="spellEnd"/>
      <w:r w:rsidRPr="00A0260A">
        <w:rPr>
          <w:rFonts w:ascii="Times New Roman" w:hAnsi="Times New Roman"/>
          <w:sz w:val="24"/>
        </w:rPr>
        <w:t xml:space="preserve"> disease (population two). </w:t>
      </w:r>
    </w:p>
    <w:p w14:paraId="4A6A98B1" w14:textId="77777777" w:rsidR="00A0260A" w:rsidRPr="00A0260A" w:rsidRDefault="00A0260A" w:rsidP="00B71507">
      <w:pPr>
        <w:pStyle w:val="BodyText"/>
        <w:spacing w:line="240" w:lineRule="auto"/>
        <w:rPr>
          <w:rFonts w:ascii="Times New Roman" w:hAnsi="Times New Roman"/>
          <w:sz w:val="24"/>
        </w:rPr>
      </w:pPr>
      <w:r w:rsidRPr="00A0260A">
        <w:rPr>
          <w:rFonts w:ascii="Times New Roman" w:hAnsi="Times New Roman"/>
          <w:sz w:val="24"/>
        </w:rPr>
        <w:t xml:space="preserve">MSAC noted that the requested funding was for six new MBS items with graduated fees according to the number of lesions to be ablated and whether the service was to be provided with curative or palliative intent. MSAC noted that the proposed fees were based on those provided in Application 1402 (MTA of liver tumours). MSAC questioned these fees in light of the current flat fee for MBS-listed RFA for liver tumours, both percutaneous (MBS item 50950) and open/laparoscopic (MBS item 50952), and the applicant’s claim that MTA has a faster ablation time than RFA which would result in less time spent overall in the radiology suite and may impact on the cost of the procedure. </w:t>
      </w:r>
    </w:p>
    <w:p w14:paraId="4A6A98B2" w14:textId="77777777" w:rsidR="00A0260A" w:rsidRPr="00A0260A" w:rsidRDefault="00A0260A" w:rsidP="00B71507">
      <w:pPr>
        <w:pStyle w:val="BodyText"/>
        <w:spacing w:line="240" w:lineRule="auto"/>
        <w:rPr>
          <w:rFonts w:ascii="Times New Roman" w:hAnsi="Times New Roman"/>
          <w:sz w:val="24"/>
        </w:rPr>
      </w:pPr>
      <w:r w:rsidRPr="00A0260A">
        <w:rPr>
          <w:rFonts w:ascii="Times New Roman" w:hAnsi="Times New Roman"/>
          <w:sz w:val="24"/>
        </w:rPr>
        <w:t xml:space="preserve">In its consideration of the evidence provided to support the comparative safety and efficacy of MTA, MSAC noted that no studies which directly or indirectly compared the procedure to a relevant comparator were identified for any of the proposed populations. MSAC indicated that subsequent attempts by the assessment group to identify comparative data for RFA, which is technologically similar to MTA and </w:t>
      </w:r>
      <w:proofErr w:type="gramStart"/>
      <w:r w:rsidRPr="00A0260A">
        <w:rPr>
          <w:rFonts w:ascii="Times New Roman" w:hAnsi="Times New Roman"/>
          <w:sz w:val="24"/>
        </w:rPr>
        <w:t>could</w:t>
      </w:r>
      <w:proofErr w:type="gramEnd"/>
      <w:r w:rsidRPr="00A0260A">
        <w:rPr>
          <w:rFonts w:ascii="Times New Roman" w:hAnsi="Times New Roman"/>
          <w:sz w:val="24"/>
        </w:rPr>
        <w:t xml:space="preserve"> have potentially informed decisions about the procedure, against SBRT and/or surgical resection also did not yield any results. </w:t>
      </w:r>
      <w:r w:rsidRPr="00D00D99">
        <w:rPr>
          <w:rFonts w:ascii="Times New Roman" w:hAnsi="Times New Roman"/>
          <w:sz w:val="24"/>
        </w:rPr>
        <w:t>Therefore, MSAC considered the data presented for each intervention but noted that no conclusions regarding their comparative safety or effectiveness could be made.</w:t>
      </w:r>
      <w:r w:rsidRPr="00A0260A">
        <w:rPr>
          <w:rFonts w:ascii="Times New Roman" w:hAnsi="Times New Roman"/>
          <w:sz w:val="24"/>
        </w:rPr>
        <w:t xml:space="preserve"> MSAC noted that this data was largely derived from case series studies with small sample sizes, variable outcome measures, incomplete reporting and high risk of bias. MSAC summarised that this resulted in significant uncertainty in the clinical evidence which was noted throughout its consideration of the data presented. MSAC noted that the ongoing NCT02455843 and NCT02673021 clinical trials may provide relevant information for consideration in the future.</w:t>
      </w:r>
    </w:p>
    <w:p w14:paraId="4A6A98B3" w14:textId="77777777" w:rsidR="00A0260A" w:rsidRPr="00A0260A" w:rsidRDefault="00A0260A" w:rsidP="00B71507">
      <w:pPr>
        <w:pStyle w:val="BodyText"/>
        <w:spacing w:line="240" w:lineRule="auto"/>
        <w:rPr>
          <w:rFonts w:ascii="Times New Roman" w:hAnsi="Times New Roman"/>
          <w:sz w:val="24"/>
        </w:rPr>
      </w:pPr>
      <w:r w:rsidRPr="00A0260A">
        <w:rPr>
          <w:rFonts w:ascii="Times New Roman" w:hAnsi="Times New Roman"/>
          <w:sz w:val="24"/>
        </w:rPr>
        <w:t xml:space="preserve">MSAC noted that the evidence presented on the safety of MTA indicated that procedure-related mortality and serious adverse events were rare, with pneumothorax the most commonly reported adverse event. </w:t>
      </w:r>
    </w:p>
    <w:p w14:paraId="4A6A98B4" w14:textId="77777777" w:rsidR="00A0260A" w:rsidRPr="00A0260A" w:rsidRDefault="00A0260A" w:rsidP="00B71507">
      <w:pPr>
        <w:pStyle w:val="BodyText"/>
        <w:spacing w:line="240" w:lineRule="auto"/>
        <w:rPr>
          <w:rFonts w:ascii="Times New Roman" w:hAnsi="Times New Roman"/>
          <w:sz w:val="24"/>
        </w:rPr>
      </w:pPr>
      <w:r w:rsidRPr="00A0260A">
        <w:rPr>
          <w:rFonts w:ascii="Times New Roman" w:hAnsi="Times New Roman"/>
          <w:sz w:val="24"/>
        </w:rPr>
        <w:t xml:space="preserve">When considering the evidence presented to support the comparative effectiveness of MTA, MSAC reiterated that no comparative studies were identified to inform such an assessment. </w:t>
      </w:r>
      <w:r w:rsidRPr="00A0260A">
        <w:rPr>
          <w:rFonts w:ascii="Times New Roman" w:hAnsi="Times New Roman"/>
          <w:sz w:val="24"/>
        </w:rPr>
        <w:lastRenderedPageBreak/>
        <w:t xml:space="preserve">Hence, MSAC noted that the applicant’s claim of non-inferiority for the comparative effectiveness of MTA compared to current best practice radiotherapy, RFA or surgery remained untested by published evidence. </w:t>
      </w:r>
    </w:p>
    <w:p w14:paraId="4A6A98B5" w14:textId="77777777" w:rsidR="00A0260A" w:rsidRPr="00A0260A" w:rsidRDefault="00A0260A" w:rsidP="00B71507">
      <w:pPr>
        <w:pStyle w:val="BodyText"/>
        <w:spacing w:line="240" w:lineRule="auto"/>
        <w:rPr>
          <w:rFonts w:ascii="Times New Roman" w:hAnsi="Times New Roman"/>
          <w:sz w:val="24"/>
        </w:rPr>
      </w:pPr>
      <w:r w:rsidRPr="00A0260A">
        <w:rPr>
          <w:rFonts w:ascii="Times New Roman" w:hAnsi="Times New Roman"/>
          <w:sz w:val="24"/>
        </w:rPr>
        <w:t xml:space="preserve">MSAC concluded that: in population one, MTA has uncertain safety and effectiveness compared to RFA and current best practice radiotherapy ± chemotherapy; in population two, MTA has uncertain safety and effectiveness compared to RFA and current best practice radiotherapy ± chemotherapy and may have superior procedure-related mortality and uncertain effectiveness compared to surgery; and in population three, MTA has uncertain safety and effectiveness compared to best supportive therapy. </w:t>
      </w:r>
    </w:p>
    <w:p w14:paraId="4A6A98B6" w14:textId="77777777" w:rsidR="00A0260A" w:rsidRPr="00A0260A" w:rsidRDefault="00A0260A" w:rsidP="00B71507">
      <w:pPr>
        <w:pStyle w:val="BodyText"/>
        <w:spacing w:line="240" w:lineRule="auto"/>
        <w:rPr>
          <w:rFonts w:ascii="Times New Roman" w:hAnsi="Times New Roman"/>
          <w:sz w:val="24"/>
        </w:rPr>
      </w:pPr>
      <w:r w:rsidRPr="00A0260A">
        <w:rPr>
          <w:rFonts w:ascii="Times New Roman" w:hAnsi="Times New Roman"/>
          <w:sz w:val="24"/>
        </w:rPr>
        <w:t xml:space="preserve">MSAC considered the applicant’s claim that MTA may be convenient for patients in rural or remote areas, but noted that the strength of this argument was diminished given the availability of alternatives such as SBRT which can be rapidly performed and is MBS funded. </w:t>
      </w:r>
    </w:p>
    <w:p w14:paraId="4A6A98B7" w14:textId="77777777" w:rsidR="00A0260A" w:rsidRPr="00A0260A" w:rsidRDefault="00A0260A" w:rsidP="00B71507">
      <w:pPr>
        <w:pStyle w:val="BodyText"/>
        <w:spacing w:line="240" w:lineRule="auto"/>
        <w:rPr>
          <w:rFonts w:ascii="Times New Roman" w:hAnsi="Times New Roman"/>
          <w:sz w:val="24"/>
        </w:rPr>
      </w:pPr>
      <w:r w:rsidRPr="00A0260A">
        <w:rPr>
          <w:rFonts w:ascii="Times New Roman" w:hAnsi="Times New Roman"/>
          <w:sz w:val="24"/>
        </w:rPr>
        <w:t xml:space="preserve">MSAC reviewed the economic evaluation and acknowledged the use of a cost-minimisation approach in light of the uncertain clinical benefit of the proposed intervention. MSAC noted that the analysis presented the total average costs for MTA, SBRT and surgery as a cost per patient over 3 months of treatment according to the proposed population and the number of lesions to be ablated. MSAC noted that as MTA is not currently used for palliative therapy in Australia, population three was not considered in the analysis. MSAC noted that SBRT was consistently the least costly intervention, followed by MTA and then surgery. MSAC considered that the key drivers of MTA costs were the fees for the disposable applicator used during the procedure ($2,960) and overnight hospital stay ($873). MSAC reiterated the concern raised by ESC that the cost of the additional optimal temperature probe for the procedure ($960) had not been included in the economic analysis. </w:t>
      </w:r>
    </w:p>
    <w:p w14:paraId="4A6A98B8" w14:textId="77777777" w:rsidR="00A0260A" w:rsidRPr="00A0260A" w:rsidRDefault="00A0260A" w:rsidP="00B71507">
      <w:pPr>
        <w:pStyle w:val="BodyText"/>
        <w:spacing w:line="240" w:lineRule="auto"/>
        <w:rPr>
          <w:rFonts w:ascii="Times New Roman" w:hAnsi="Times New Roman"/>
          <w:sz w:val="24"/>
        </w:rPr>
      </w:pPr>
      <w:r w:rsidRPr="00A0260A">
        <w:rPr>
          <w:rFonts w:ascii="Times New Roman" w:hAnsi="Times New Roman"/>
          <w:sz w:val="24"/>
        </w:rPr>
        <w:t>MSAC noted that the projected net cost to the MBS of listing MTA for primary and secondary lung cancer was $614,715 in the first year, increasing to $3,406,068 in the fifth year of listing. MSAC acknowledged that cost-savings were expected as MTA would largely replace SBRT which has a higher MBS rebate. However, MSAC was concerned about additional costs associated with the proposed MTA service which are likely to be borne by private health funds, hospitals or patients, particularly the costs associated with the probes for the procedure. MSAC also considered that the cost of lung MTA is likely to be affected by the choice of treatment modality, particularly whether it is performed as an inpatient or outpatient procedure and whether it is delivered with general or local anaesthetic.</w:t>
      </w:r>
    </w:p>
    <w:p w14:paraId="4A6A98B9" w14:textId="77777777" w:rsidR="00C140E6" w:rsidRPr="00C140E6" w:rsidRDefault="00BC1364" w:rsidP="00C140E6">
      <w:pPr>
        <w:pStyle w:val="Heading1"/>
        <w:ind w:hanging="720"/>
      </w:pPr>
      <w:r w:rsidRPr="00F715D1">
        <w:t>Background</w:t>
      </w:r>
    </w:p>
    <w:p w14:paraId="4A6A98BA" w14:textId="77777777" w:rsidR="00E35519" w:rsidRDefault="00443E94" w:rsidP="00C140E6">
      <w:pPr>
        <w:tabs>
          <w:tab w:val="num" w:pos="426"/>
        </w:tabs>
        <w:rPr>
          <w:szCs w:val="24"/>
        </w:rPr>
      </w:pPr>
      <w:r>
        <w:rPr>
          <w:szCs w:val="24"/>
        </w:rPr>
        <w:t xml:space="preserve">MSAC has not previously </w:t>
      </w:r>
      <w:r w:rsidR="00E35519" w:rsidRPr="0090621B">
        <w:rPr>
          <w:szCs w:val="24"/>
        </w:rPr>
        <w:t xml:space="preserve">considered MTA. </w:t>
      </w:r>
    </w:p>
    <w:p w14:paraId="4A6A98BB" w14:textId="77777777" w:rsidR="00C140E6" w:rsidRPr="00C140E6" w:rsidRDefault="00BC1364" w:rsidP="00C140E6">
      <w:pPr>
        <w:pStyle w:val="Heading1"/>
        <w:ind w:hanging="720"/>
      </w:pPr>
      <w:r w:rsidRPr="00F715D1">
        <w:t>Prerequisites to implementation of any funding advice</w:t>
      </w:r>
    </w:p>
    <w:p w14:paraId="4A6A98BC" w14:textId="77777777" w:rsidR="00E35519" w:rsidRDefault="00E35519" w:rsidP="00C140E6">
      <w:pPr>
        <w:rPr>
          <w:szCs w:val="24"/>
        </w:rPr>
      </w:pPr>
      <w:r w:rsidRPr="0090621B">
        <w:rPr>
          <w:szCs w:val="24"/>
        </w:rPr>
        <w:t xml:space="preserve">The application refers to the </w:t>
      </w:r>
      <w:proofErr w:type="spellStart"/>
      <w:r w:rsidRPr="0090621B">
        <w:rPr>
          <w:szCs w:val="24"/>
        </w:rPr>
        <w:t>Acculis</w:t>
      </w:r>
      <w:proofErr w:type="spellEnd"/>
      <w:r w:rsidRPr="0090621B">
        <w:rPr>
          <w:szCs w:val="24"/>
        </w:rPr>
        <w:t xml:space="preserve"> MTA System with a single use microwave applicator, which is registered to be used in Australia with N </w:t>
      </w:r>
      <w:proofErr w:type="spellStart"/>
      <w:r w:rsidRPr="0090621B">
        <w:rPr>
          <w:szCs w:val="24"/>
        </w:rPr>
        <w:t>Stenning</w:t>
      </w:r>
      <w:proofErr w:type="spellEnd"/>
      <w:r w:rsidRPr="0090621B">
        <w:rPr>
          <w:szCs w:val="24"/>
        </w:rPr>
        <w:t xml:space="preserve"> and Co Pty Ltd as the sponsor. In addition to the </w:t>
      </w:r>
      <w:proofErr w:type="spellStart"/>
      <w:r w:rsidRPr="0090621B">
        <w:rPr>
          <w:szCs w:val="24"/>
        </w:rPr>
        <w:t>Acculis</w:t>
      </w:r>
      <w:proofErr w:type="spellEnd"/>
      <w:r w:rsidRPr="0090621B">
        <w:rPr>
          <w:szCs w:val="24"/>
        </w:rPr>
        <w:t xml:space="preserve"> MTA system, there are three additional MTA systems currently available in Australia. </w:t>
      </w:r>
    </w:p>
    <w:p w14:paraId="4A6A98BD" w14:textId="77777777" w:rsidR="00E35519" w:rsidRPr="00B95CDA" w:rsidRDefault="00BC1364" w:rsidP="00C140E6">
      <w:pPr>
        <w:pStyle w:val="Heading1"/>
        <w:ind w:hanging="720"/>
      </w:pPr>
      <w:r w:rsidRPr="00F715D1">
        <w:t>Proposal for public funding</w:t>
      </w:r>
      <w:bookmarkStart w:id="0" w:name="_Ref403128339"/>
    </w:p>
    <w:p w14:paraId="4A6A98BE" w14:textId="77777777" w:rsidR="00E35519" w:rsidRPr="0090621B" w:rsidRDefault="00E35519" w:rsidP="00C140E6">
      <w:pPr>
        <w:rPr>
          <w:szCs w:val="24"/>
        </w:rPr>
      </w:pPr>
      <w:r w:rsidRPr="0090621B">
        <w:rPr>
          <w:szCs w:val="24"/>
        </w:rPr>
        <w:t>The application requests the listing of six new ‘Category 3 – Therapeutic Procedures’ items on the MBS (</w:t>
      </w:r>
      <w:r>
        <w:rPr>
          <w:szCs w:val="24"/>
        </w:rPr>
        <w:t>Table 1).</w:t>
      </w:r>
    </w:p>
    <w:p w14:paraId="4A6A98BF" w14:textId="77777777" w:rsidR="00E35519" w:rsidRDefault="00E35519" w:rsidP="00C140E6">
      <w:pPr>
        <w:rPr>
          <w:szCs w:val="24"/>
        </w:rPr>
      </w:pPr>
    </w:p>
    <w:p w14:paraId="4A6A98C0" w14:textId="77777777" w:rsidR="00E35519" w:rsidRDefault="00E35519" w:rsidP="00E35519">
      <w:pPr>
        <w:rPr>
          <w:szCs w:val="24"/>
        </w:rPr>
      </w:pPr>
      <w:r w:rsidRPr="0090621B">
        <w:rPr>
          <w:szCs w:val="24"/>
        </w:rPr>
        <w:lastRenderedPageBreak/>
        <w:t xml:space="preserve">The proposed items are graduated based on the number of ablated lesions, and are intended to cover the cost of pre-, intra- and post-operative imaging. This includes a limited planning scan, intra-operative image guidance, and a post-ablation control scan. The proposed fee has been adopted from Application 1402 (MTA of liver tumours). </w:t>
      </w:r>
    </w:p>
    <w:p w14:paraId="4A6A98C1" w14:textId="77777777" w:rsidR="00E35519" w:rsidRDefault="00E35519" w:rsidP="00E35519">
      <w:pPr>
        <w:rPr>
          <w:szCs w:val="24"/>
        </w:rPr>
      </w:pPr>
    </w:p>
    <w:p w14:paraId="4A6A98C2" w14:textId="77777777" w:rsidR="00E35519" w:rsidRPr="0090621B" w:rsidRDefault="00E35519" w:rsidP="00E35519">
      <w:pPr>
        <w:rPr>
          <w:szCs w:val="24"/>
        </w:rPr>
      </w:pPr>
      <w:r w:rsidRPr="0090621B">
        <w:rPr>
          <w:szCs w:val="24"/>
        </w:rPr>
        <w:t>Application 1402 states:</w:t>
      </w:r>
    </w:p>
    <w:p w14:paraId="4A6A98C3" w14:textId="77777777" w:rsidR="00E35519" w:rsidRDefault="00E35519" w:rsidP="00E35519">
      <w:pPr>
        <w:ind w:left="567"/>
        <w:rPr>
          <w:szCs w:val="24"/>
          <w:lang w:val="en-GB" w:eastAsia="ja-JP"/>
        </w:rPr>
      </w:pPr>
      <w:r w:rsidRPr="0090621B">
        <w:rPr>
          <w:i/>
          <w:szCs w:val="24"/>
        </w:rPr>
        <w:t>“A $1300 fee for ablation of 2</w:t>
      </w:r>
      <w:r w:rsidRPr="0090621B">
        <w:rPr>
          <w:szCs w:val="24"/>
        </w:rPr>
        <w:t>–</w:t>
      </w:r>
      <w:r w:rsidRPr="0090621B">
        <w:rPr>
          <w:i/>
          <w:szCs w:val="24"/>
        </w:rPr>
        <w:t>3 lesions, a $1600 fee for ablation of 4</w:t>
      </w:r>
      <w:r w:rsidRPr="0090621B">
        <w:rPr>
          <w:szCs w:val="24"/>
        </w:rPr>
        <w:t>–</w:t>
      </w:r>
      <w:r w:rsidRPr="0090621B">
        <w:rPr>
          <w:i/>
          <w:szCs w:val="24"/>
        </w:rPr>
        <w:t>5 lesions and a $2000 fee for ablation of &gt;5 lesions. The higher fee for &gt;5 lesions reflects the increased risk to the patients such as collateral damage as well as more skill, time and expertise required of the physician to ensure better patient outcomes.”</w:t>
      </w:r>
      <w:bookmarkStart w:id="1" w:name="_Ref422479038"/>
      <w:bookmarkStart w:id="2" w:name="_Ref460329543"/>
      <w:bookmarkStart w:id="3" w:name="_Toc460514659"/>
      <w:bookmarkEnd w:id="0"/>
    </w:p>
    <w:p w14:paraId="4A6A98C4" w14:textId="77777777" w:rsidR="00E35519" w:rsidRDefault="00E35519" w:rsidP="00E35519">
      <w:pPr>
        <w:ind w:left="567"/>
        <w:rPr>
          <w:szCs w:val="24"/>
          <w:lang w:val="en-GB" w:eastAsia="ja-JP"/>
        </w:rPr>
      </w:pPr>
    </w:p>
    <w:p w14:paraId="4A6A98C5" w14:textId="77777777" w:rsidR="00E35519" w:rsidRPr="00B156CC" w:rsidRDefault="00E35519" w:rsidP="00E35519">
      <w:pPr>
        <w:pStyle w:val="Table"/>
        <w:rPr>
          <w:rFonts w:ascii="Arial Narrow" w:hAnsi="Arial Narrow" w:cs="Arial"/>
          <w:b/>
          <w:szCs w:val="20"/>
          <w:lang w:val="en-GB"/>
        </w:rPr>
      </w:pPr>
      <w:r w:rsidRPr="00B156CC">
        <w:rPr>
          <w:rFonts w:ascii="Arial Narrow" w:hAnsi="Arial Narrow" w:cs="Arial"/>
          <w:b/>
          <w:szCs w:val="20"/>
          <w:lang w:val="en-GB"/>
        </w:rPr>
        <w:t xml:space="preserve">Table </w:t>
      </w:r>
      <w:r w:rsidRPr="00B156CC">
        <w:rPr>
          <w:rFonts w:ascii="Arial Narrow" w:hAnsi="Arial Narrow" w:cs="Arial"/>
          <w:b/>
          <w:szCs w:val="20"/>
          <w:lang w:val="en-GB"/>
        </w:rPr>
        <w:fldChar w:fldCharType="begin"/>
      </w:r>
      <w:r w:rsidRPr="00B156CC">
        <w:rPr>
          <w:rFonts w:ascii="Arial Narrow" w:hAnsi="Arial Narrow" w:cs="Arial"/>
          <w:b/>
          <w:szCs w:val="20"/>
          <w:lang w:val="en-GB"/>
        </w:rPr>
        <w:instrText xml:space="preserve"> SEQ Table \* ARABIC </w:instrText>
      </w:r>
      <w:r w:rsidRPr="00B156CC">
        <w:rPr>
          <w:rFonts w:ascii="Arial Narrow" w:hAnsi="Arial Narrow" w:cs="Arial"/>
          <w:b/>
          <w:szCs w:val="20"/>
          <w:lang w:val="en-GB"/>
        </w:rPr>
        <w:fldChar w:fldCharType="separate"/>
      </w:r>
      <w:r w:rsidR="004C0C25">
        <w:rPr>
          <w:rFonts w:ascii="Arial Narrow" w:hAnsi="Arial Narrow" w:cs="Arial"/>
          <w:b/>
          <w:noProof/>
          <w:szCs w:val="20"/>
          <w:lang w:val="en-GB"/>
        </w:rPr>
        <w:t>1</w:t>
      </w:r>
      <w:r w:rsidRPr="00B156CC">
        <w:rPr>
          <w:rFonts w:ascii="Arial Narrow" w:hAnsi="Arial Narrow" w:cs="Arial"/>
          <w:b/>
          <w:szCs w:val="20"/>
          <w:lang w:val="en-GB"/>
        </w:rPr>
        <w:fldChar w:fldCharType="end"/>
      </w:r>
      <w:bookmarkEnd w:id="1"/>
      <w:bookmarkEnd w:id="2"/>
      <w:r w:rsidRPr="00B156CC">
        <w:rPr>
          <w:rFonts w:ascii="Arial Narrow" w:hAnsi="Arial Narrow" w:cs="Arial"/>
          <w:b/>
          <w:szCs w:val="20"/>
          <w:lang w:val="en-GB"/>
        </w:rPr>
        <w:tab/>
        <w:t>Proposed MBS items for microwave tissue ablation of lung cancer</w:t>
      </w:r>
      <w:bookmarkEnd w:id="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Table 1 Proposed MBS item descriptor fro microwave tissue ablation of lung cancer"/>
      </w:tblPr>
      <w:tblGrid>
        <w:gridCol w:w="9134"/>
      </w:tblGrid>
      <w:tr w:rsidR="00E35519" w:rsidRPr="00B156CC" w14:paraId="4A6A98C7" w14:textId="77777777" w:rsidTr="00E35519">
        <w:trPr>
          <w:cantSplit/>
          <w:tblHeader/>
        </w:trPr>
        <w:tc>
          <w:tcPr>
            <w:tcW w:w="9134" w:type="dxa"/>
            <w:shd w:val="clear" w:color="auto" w:fill="D9D9D9" w:themeFill="background1" w:themeFillShade="D9"/>
          </w:tcPr>
          <w:p w14:paraId="4A6A98C6" w14:textId="77777777" w:rsidR="00E35519" w:rsidRPr="00B156CC" w:rsidRDefault="00E35519" w:rsidP="00E35519">
            <w:pPr>
              <w:pStyle w:val="Tabletext"/>
              <w:rPr>
                <w:rFonts w:eastAsia="Calibri" w:cs="Arial"/>
                <w:b/>
                <w:szCs w:val="20"/>
              </w:rPr>
            </w:pPr>
            <w:r w:rsidRPr="00B156CC">
              <w:rPr>
                <w:rFonts w:eastAsia="Calibri" w:cs="Arial"/>
                <w:b/>
                <w:szCs w:val="20"/>
              </w:rPr>
              <w:t>Category 3 – THERAPEUTIC PROCEDURES</w:t>
            </w:r>
          </w:p>
        </w:tc>
      </w:tr>
      <w:tr w:rsidR="00E35519" w:rsidRPr="00B156CC" w14:paraId="4A6A98CC" w14:textId="77777777" w:rsidTr="00E35519">
        <w:trPr>
          <w:cantSplit/>
        </w:trPr>
        <w:tc>
          <w:tcPr>
            <w:tcW w:w="9134" w:type="dxa"/>
          </w:tcPr>
          <w:p w14:paraId="4A6A98C8" w14:textId="77777777" w:rsidR="00E35519" w:rsidRPr="00B156CC" w:rsidRDefault="00E35519" w:rsidP="00E35519">
            <w:pPr>
              <w:pStyle w:val="Tabletext"/>
              <w:rPr>
                <w:rFonts w:eastAsia="Calibri" w:cs="Arial"/>
                <w:szCs w:val="20"/>
              </w:rPr>
            </w:pPr>
            <w:r w:rsidRPr="00B156CC">
              <w:rPr>
                <w:rFonts w:eastAsia="Calibri" w:cs="Arial"/>
                <w:szCs w:val="20"/>
              </w:rPr>
              <w:t>NONRESECTABLE PRIMARY LUNG CANCER OR PULMONARY METASTATIC DISEASE, destruction of up to three lesions, by percutaneous microwave tissue ablation (MTA) with curative intent, including any associated imaging services.</w:t>
            </w:r>
          </w:p>
          <w:p w14:paraId="4A6A98C9" w14:textId="77777777" w:rsidR="00E35519" w:rsidRPr="00B156CC" w:rsidRDefault="00E35519" w:rsidP="00E35519">
            <w:pPr>
              <w:pStyle w:val="Tabletext"/>
              <w:rPr>
                <w:rFonts w:eastAsia="Calibri" w:cs="Arial"/>
                <w:szCs w:val="20"/>
              </w:rPr>
            </w:pPr>
            <w:r w:rsidRPr="00B156CC">
              <w:rPr>
                <w:rFonts w:eastAsia="Calibri" w:cs="Arial"/>
                <w:szCs w:val="20"/>
              </w:rPr>
              <w:t>(</w:t>
            </w:r>
            <w:proofErr w:type="spellStart"/>
            <w:r w:rsidRPr="00B156CC">
              <w:rPr>
                <w:rFonts w:eastAsia="Calibri" w:cs="Arial"/>
                <w:szCs w:val="20"/>
              </w:rPr>
              <w:t>Anaes</w:t>
            </w:r>
            <w:proofErr w:type="spellEnd"/>
            <w:r w:rsidRPr="00B156CC">
              <w:rPr>
                <w:rFonts w:eastAsia="Calibri" w:cs="Arial"/>
                <w:szCs w:val="20"/>
              </w:rPr>
              <w:t>)</w:t>
            </w:r>
          </w:p>
          <w:p w14:paraId="4A6A98CA" w14:textId="77777777" w:rsidR="00B156CC" w:rsidRDefault="00B156CC" w:rsidP="00E35519">
            <w:pPr>
              <w:pStyle w:val="Tabletext"/>
              <w:rPr>
                <w:rFonts w:eastAsia="Calibri" w:cs="Arial"/>
                <w:szCs w:val="20"/>
              </w:rPr>
            </w:pPr>
          </w:p>
          <w:p w14:paraId="4A6A98CB" w14:textId="77777777" w:rsidR="00E35519" w:rsidRPr="00B156CC" w:rsidRDefault="00E35519" w:rsidP="00E35519">
            <w:pPr>
              <w:pStyle w:val="Tabletext"/>
              <w:rPr>
                <w:rFonts w:eastAsia="Calibri" w:cs="Arial"/>
                <w:szCs w:val="20"/>
              </w:rPr>
            </w:pPr>
            <w:r w:rsidRPr="00B156CC">
              <w:rPr>
                <w:rFonts w:eastAsia="Calibri" w:cs="Arial"/>
                <w:szCs w:val="20"/>
              </w:rPr>
              <w:t>Fee: $1300 Benefit: 75% = $975.00 85% = $1105.00</w:t>
            </w:r>
          </w:p>
        </w:tc>
      </w:tr>
      <w:tr w:rsidR="00E35519" w:rsidRPr="00B156CC" w14:paraId="4A6A98D1" w14:textId="77777777" w:rsidTr="00E35519">
        <w:trPr>
          <w:cantSplit/>
        </w:trPr>
        <w:tc>
          <w:tcPr>
            <w:tcW w:w="9134" w:type="dxa"/>
          </w:tcPr>
          <w:p w14:paraId="4A6A98CD" w14:textId="77777777" w:rsidR="00E35519" w:rsidRPr="00B156CC" w:rsidRDefault="00E35519" w:rsidP="00E35519">
            <w:pPr>
              <w:pStyle w:val="Tabletext"/>
              <w:rPr>
                <w:rFonts w:eastAsia="Calibri" w:cs="Arial"/>
                <w:szCs w:val="20"/>
                <w:lang w:val="en-US" w:eastAsia="ja-JP"/>
              </w:rPr>
            </w:pPr>
            <w:r w:rsidRPr="00B156CC">
              <w:rPr>
                <w:rFonts w:eastAsia="Calibri" w:cs="Arial"/>
                <w:szCs w:val="20"/>
                <w:lang w:val="en-US" w:eastAsia="ja-JP"/>
              </w:rPr>
              <w:t>NONRESECTABLE PRIMARY LUNG CANCER OR PULMONARY METASTATIC DISEASE, destruction of four or five lesions, by percutaneous microwave tissue ablation (MTA) with curative intent, including any associated imaging services.</w:t>
            </w:r>
          </w:p>
          <w:p w14:paraId="4A6A98CE" w14:textId="77777777" w:rsidR="00E35519" w:rsidRPr="00B156CC" w:rsidRDefault="00E35519" w:rsidP="00E35519">
            <w:pPr>
              <w:pStyle w:val="Tabletext"/>
              <w:rPr>
                <w:rFonts w:eastAsia="Calibri" w:cs="Arial"/>
                <w:szCs w:val="20"/>
                <w:lang w:val="en-US" w:eastAsia="ja-JP"/>
              </w:rPr>
            </w:pPr>
            <w:r w:rsidRPr="00B156CC">
              <w:rPr>
                <w:rFonts w:eastAsia="Calibri" w:cs="Arial"/>
                <w:szCs w:val="20"/>
                <w:lang w:val="en-US" w:eastAsia="ja-JP"/>
              </w:rPr>
              <w:t>(</w:t>
            </w:r>
            <w:proofErr w:type="spellStart"/>
            <w:r w:rsidRPr="00B156CC">
              <w:rPr>
                <w:rFonts w:eastAsia="Calibri" w:cs="Arial"/>
                <w:szCs w:val="20"/>
                <w:lang w:val="en-US" w:eastAsia="ja-JP"/>
              </w:rPr>
              <w:t>Anaes</w:t>
            </w:r>
            <w:proofErr w:type="spellEnd"/>
            <w:r w:rsidRPr="00B156CC">
              <w:rPr>
                <w:rFonts w:eastAsia="Calibri" w:cs="Arial"/>
                <w:szCs w:val="20"/>
                <w:lang w:val="en-US" w:eastAsia="ja-JP"/>
              </w:rPr>
              <w:t>)</w:t>
            </w:r>
          </w:p>
          <w:p w14:paraId="4A6A98CF" w14:textId="77777777" w:rsidR="00B156CC" w:rsidRDefault="00B156CC" w:rsidP="00E35519">
            <w:pPr>
              <w:pStyle w:val="Tabletext"/>
              <w:rPr>
                <w:rFonts w:eastAsia="Calibri" w:cs="Arial"/>
                <w:szCs w:val="20"/>
                <w:lang w:val="en-US" w:eastAsia="ja-JP"/>
              </w:rPr>
            </w:pPr>
          </w:p>
          <w:p w14:paraId="4A6A98D0" w14:textId="77777777" w:rsidR="00E35519" w:rsidRPr="00B156CC" w:rsidRDefault="00E35519" w:rsidP="00E35519">
            <w:pPr>
              <w:pStyle w:val="Tabletext"/>
              <w:rPr>
                <w:rFonts w:eastAsia="Calibri" w:cs="Arial"/>
                <w:szCs w:val="20"/>
                <w:lang w:val="en-US" w:eastAsia="ja-JP"/>
              </w:rPr>
            </w:pPr>
            <w:r w:rsidRPr="00B156CC">
              <w:rPr>
                <w:rFonts w:eastAsia="Calibri" w:cs="Arial"/>
                <w:szCs w:val="20"/>
                <w:lang w:val="en-US" w:eastAsia="ja-JP"/>
              </w:rPr>
              <w:t>Fee: $1600 Benefit: 75% = $1200.00 85% = $1360.00</w:t>
            </w:r>
          </w:p>
        </w:tc>
      </w:tr>
      <w:tr w:rsidR="00E35519" w:rsidRPr="00B156CC" w14:paraId="4A6A98D6" w14:textId="77777777" w:rsidTr="00E35519">
        <w:trPr>
          <w:cantSplit/>
        </w:trPr>
        <w:tc>
          <w:tcPr>
            <w:tcW w:w="9134" w:type="dxa"/>
          </w:tcPr>
          <w:p w14:paraId="4A6A98D2" w14:textId="77777777" w:rsidR="00E35519" w:rsidRPr="00B156CC" w:rsidRDefault="00E35519" w:rsidP="00E35519">
            <w:pPr>
              <w:pStyle w:val="Tabletext"/>
              <w:rPr>
                <w:rFonts w:eastAsia="Calibri" w:cs="Arial"/>
                <w:szCs w:val="20"/>
                <w:lang w:val="en-US" w:eastAsia="ja-JP"/>
              </w:rPr>
            </w:pPr>
            <w:r w:rsidRPr="00B156CC">
              <w:rPr>
                <w:rFonts w:eastAsia="Calibri" w:cs="Arial"/>
                <w:szCs w:val="20"/>
                <w:lang w:val="en-US" w:eastAsia="ja-JP"/>
              </w:rPr>
              <w:t>NONRESECTABLE PRIMARY LUNG CANCER OR PULMONARY METASTATIC DISEASE, destruction of more than five lesions, by percutaneous microwave tissue ablation (MTA) with curative intent, including any associated imaging services.</w:t>
            </w:r>
          </w:p>
          <w:p w14:paraId="4A6A98D3" w14:textId="77777777" w:rsidR="00E35519" w:rsidRPr="00B156CC" w:rsidRDefault="00E35519" w:rsidP="00E35519">
            <w:pPr>
              <w:pStyle w:val="Tabletext"/>
              <w:rPr>
                <w:rFonts w:eastAsia="Calibri" w:cs="Arial"/>
                <w:szCs w:val="20"/>
                <w:lang w:val="en-US" w:eastAsia="ja-JP"/>
              </w:rPr>
            </w:pPr>
            <w:r w:rsidRPr="00B156CC">
              <w:rPr>
                <w:rFonts w:eastAsia="Calibri" w:cs="Arial"/>
                <w:szCs w:val="20"/>
                <w:lang w:val="en-US" w:eastAsia="ja-JP"/>
              </w:rPr>
              <w:t>(</w:t>
            </w:r>
            <w:proofErr w:type="spellStart"/>
            <w:r w:rsidRPr="00B156CC">
              <w:rPr>
                <w:rFonts w:eastAsia="Calibri" w:cs="Arial"/>
                <w:szCs w:val="20"/>
                <w:lang w:val="en-US" w:eastAsia="ja-JP"/>
              </w:rPr>
              <w:t>Anaes</w:t>
            </w:r>
            <w:proofErr w:type="spellEnd"/>
            <w:r w:rsidRPr="00B156CC">
              <w:rPr>
                <w:rFonts w:eastAsia="Calibri" w:cs="Arial"/>
                <w:szCs w:val="20"/>
                <w:lang w:val="en-US" w:eastAsia="ja-JP"/>
              </w:rPr>
              <w:t>)</w:t>
            </w:r>
          </w:p>
          <w:p w14:paraId="4A6A98D4" w14:textId="77777777" w:rsidR="00B156CC" w:rsidRDefault="00B156CC" w:rsidP="00E35519">
            <w:pPr>
              <w:pStyle w:val="Tabletext"/>
              <w:rPr>
                <w:rFonts w:eastAsia="Calibri" w:cs="Arial"/>
                <w:szCs w:val="20"/>
                <w:lang w:val="en-US" w:eastAsia="ja-JP"/>
              </w:rPr>
            </w:pPr>
          </w:p>
          <w:p w14:paraId="4A6A98D5" w14:textId="77777777" w:rsidR="00E35519" w:rsidRPr="00B156CC" w:rsidRDefault="00E35519" w:rsidP="00E35519">
            <w:pPr>
              <w:pStyle w:val="Tabletext"/>
              <w:rPr>
                <w:rFonts w:eastAsia="Calibri" w:cs="Arial"/>
                <w:szCs w:val="20"/>
                <w:lang w:val="en-US" w:eastAsia="ja-JP"/>
              </w:rPr>
            </w:pPr>
            <w:r w:rsidRPr="00B156CC">
              <w:rPr>
                <w:rFonts w:eastAsia="Calibri" w:cs="Arial"/>
                <w:szCs w:val="20"/>
                <w:lang w:val="en-US" w:eastAsia="ja-JP"/>
              </w:rPr>
              <w:t>Fee: $2000 Benefit: 75% = $1500.00 85% = $1700.00</w:t>
            </w:r>
          </w:p>
        </w:tc>
      </w:tr>
      <w:tr w:rsidR="00E35519" w:rsidRPr="00B156CC" w14:paraId="4A6A98DB" w14:textId="77777777" w:rsidTr="00E35519">
        <w:trPr>
          <w:cantSplit/>
        </w:trPr>
        <w:tc>
          <w:tcPr>
            <w:tcW w:w="9134" w:type="dxa"/>
          </w:tcPr>
          <w:p w14:paraId="4A6A98D7" w14:textId="77777777" w:rsidR="00E35519" w:rsidRPr="00B156CC" w:rsidRDefault="00E35519" w:rsidP="00E35519">
            <w:pPr>
              <w:pStyle w:val="Tabletext"/>
              <w:rPr>
                <w:rFonts w:eastAsia="Calibri" w:cs="Arial"/>
                <w:szCs w:val="20"/>
                <w:lang w:val="en-US" w:eastAsia="ja-JP"/>
              </w:rPr>
            </w:pPr>
            <w:r w:rsidRPr="00B156CC">
              <w:rPr>
                <w:rFonts w:eastAsia="Calibri" w:cs="Arial"/>
                <w:szCs w:val="20"/>
                <w:lang w:val="en-US" w:eastAsia="ja-JP"/>
              </w:rPr>
              <w:t>NONRESECTABLE PRIMARY LUNG CANCER OR PULMONARY METASTATIC DISEASE, destruction of up to three lesions, by percutaneous microwave tissue ablation (MTA) with palliative intent, including any associated imaging services.</w:t>
            </w:r>
          </w:p>
          <w:p w14:paraId="4A6A98D8" w14:textId="77777777" w:rsidR="00E35519" w:rsidRPr="00B156CC" w:rsidRDefault="00E35519" w:rsidP="00E35519">
            <w:pPr>
              <w:pStyle w:val="Tabletext"/>
              <w:rPr>
                <w:rFonts w:eastAsia="Calibri" w:cs="Arial"/>
                <w:szCs w:val="20"/>
                <w:lang w:val="en-US" w:eastAsia="ja-JP"/>
              </w:rPr>
            </w:pPr>
            <w:r w:rsidRPr="00B156CC">
              <w:rPr>
                <w:rFonts w:eastAsia="Calibri" w:cs="Arial"/>
                <w:szCs w:val="20"/>
                <w:lang w:val="en-US" w:eastAsia="ja-JP"/>
              </w:rPr>
              <w:t>(</w:t>
            </w:r>
            <w:proofErr w:type="spellStart"/>
            <w:r w:rsidRPr="00B156CC">
              <w:rPr>
                <w:rFonts w:eastAsia="Calibri" w:cs="Arial"/>
                <w:szCs w:val="20"/>
                <w:lang w:val="en-US" w:eastAsia="ja-JP"/>
              </w:rPr>
              <w:t>Anaes</w:t>
            </w:r>
            <w:proofErr w:type="spellEnd"/>
            <w:r w:rsidRPr="00B156CC">
              <w:rPr>
                <w:rFonts w:eastAsia="Calibri" w:cs="Arial"/>
                <w:szCs w:val="20"/>
                <w:lang w:val="en-US" w:eastAsia="ja-JP"/>
              </w:rPr>
              <w:t>)</w:t>
            </w:r>
            <w:r w:rsidRPr="00B156CC">
              <w:rPr>
                <w:rFonts w:eastAsia="Calibri" w:cs="Arial"/>
                <w:szCs w:val="20"/>
                <w:lang w:val="en-US" w:eastAsia="ja-JP"/>
              </w:rPr>
              <w:tab/>
            </w:r>
          </w:p>
          <w:p w14:paraId="4A6A98D9" w14:textId="77777777" w:rsidR="00B156CC" w:rsidRDefault="00B156CC" w:rsidP="00E35519">
            <w:pPr>
              <w:pStyle w:val="Tabletext"/>
              <w:rPr>
                <w:rFonts w:eastAsia="Calibri" w:cs="Arial"/>
                <w:szCs w:val="20"/>
                <w:lang w:val="en-US" w:eastAsia="ja-JP"/>
              </w:rPr>
            </w:pPr>
          </w:p>
          <w:p w14:paraId="4A6A98DA" w14:textId="77777777" w:rsidR="00E35519" w:rsidRPr="00B156CC" w:rsidRDefault="00E35519" w:rsidP="00E35519">
            <w:pPr>
              <w:pStyle w:val="Tabletext"/>
              <w:rPr>
                <w:rFonts w:eastAsia="Calibri" w:cs="Arial"/>
                <w:szCs w:val="20"/>
                <w:lang w:val="en-US" w:eastAsia="ja-JP"/>
              </w:rPr>
            </w:pPr>
            <w:r w:rsidRPr="00B156CC">
              <w:rPr>
                <w:rFonts w:eastAsia="Calibri" w:cs="Arial"/>
                <w:szCs w:val="20"/>
                <w:lang w:val="en-US" w:eastAsia="ja-JP"/>
              </w:rPr>
              <w:t>Fee: $1300 Benefit: 75% = $975.00 85% = $1105.00</w:t>
            </w:r>
          </w:p>
        </w:tc>
      </w:tr>
      <w:tr w:rsidR="00E35519" w:rsidRPr="00B156CC" w14:paraId="4A6A98E0" w14:textId="77777777" w:rsidTr="00E35519">
        <w:trPr>
          <w:cantSplit/>
        </w:trPr>
        <w:tc>
          <w:tcPr>
            <w:tcW w:w="9134" w:type="dxa"/>
          </w:tcPr>
          <w:p w14:paraId="4A6A98DC" w14:textId="77777777" w:rsidR="00E35519" w:rsidRPr="00B156CC" w:rsidRDefault="00E35519" w:rsidP="00E35519">
            <w:pPr>
              <w:pStyle w:val="Tabletext"/>
              <w:rPr>
                <w:rFonts w:eastAsia="Calibri" w:cs="Arial"/>
                <w:szCs w:val="20"/>
                <w:lang w:val="en-US" w:eastAsia="ja-JP"/>
              </w:rPr>
            </w:pPr>
            <w:bookmarkStart w:id="4" w:name="_Toc429387261"/>
            <w:bookmarkEnd w:id="4"/>
            <w:r w:rsidRPr="00B156CC">
              <w:rPr>
                <w:rFonts w:eastAsia="Calibri" w:cs="Arial"/>
                <w:szCs w:val="20"/>
                <w:lang w:val="en-US" w:eastAsia="ja-JP"/>
              </w:rPr>
              <w:t>NONRESECTABLE PRIMARY LUNG CANCER OR PULMONARY METASTATIC DISEASE, destruction of four or five lesions, by percutaneous microwave tissue ablation (MTA) with palliative intent, including any associated imaging services.</w:t>
            </w:r>
          </w:p>
          <w:p w14:paraId="4A6A98DD" w14:textId="77777777" w:rsidR="00E35519" w:rsidRPr="00B156CC" w:rsidRDefault="00E35519" w:rsidP="00E35519">
            <w:pPr>
              <w:pStyle w:val="Tabletext"/>
              <w:rPr>
                <w:rFonts w:eastAsia="Calibri" w:cs="Arial"/>
                <w:szCs w:val="20"/>
                <w:lang w:val="en-US" w:eastAsia="ja-JP"/>
              </w:rPr>
            </w:pPr>
            <w:r w:rsidRPr="00B156CC">
              <w:rPr>
                <w:rFonts w:eastAsia="Calibri" w:cs="Arial"/>
                <w:szCs w:val="20"/>
                <w:lang w:val="en-US" w:eastAsia="ja-JP"/>
              </w:rPr>
              <w:t>(</w:t>
            </w:r>
            <w:proofErr w:type="spellStart"/>
            <w:r w:rsidRPr="00B156CC">
              <w:rPr>
                <w:rFonts w:eastAsia="Calibri" w:cs="Arial"/>
                <w:szCs w:val="20"/>
                <w:lang w:val="en-US" w:eastAsia="ja-JP"/>
              </w:rPr>
              <w:t>Anaes</w:t>
            </w:r>
            <w:proofErr w:type="spellEnd"/>
            <w:r w:rsidRPr="00B156CC">
              <w:rPr>
                <w:rFonts w:eastAsia="Calibri" w:cs="Arial"/>
                <w:szCs w:val="20"/>
                <w:lang w:val="en-US" w:eastAsia="ja-JP"/>
              </w:rPr>
              <w:t>)</w:t>
            </w:r>
            <w:r w:rsidRPr="00B156CC">
              <w:rPr>
                <w:rFonts w:eastAsia="Calibri" w:cs="Arial"/>
                <w:szCs w:val="20"/>
                <w:lang w:val="en-US" w:eastAsia="ja-JP"/>
              </w:rPr>
              <w:tab/>
            </w:r>
          </w:p>
          <w:p w14:paraId="4A6A98DE" w14:textId="77777777" w:rsidR="00B156CC" w:rsidRDefault="00B156CC" w:rsidP="00E35519">
            <w:pPr>
              <w:pStyle w:val="Tabletext"/>
              <w:rPr>
                <w:rFonts w:eastAsia="Calibri" w:cs="Arial"/>
                <w:szCs w:val="20"/>
                <w:lang w:val="en-US" w:eastAsia="ja-JP"/>
              </w:rPr>
            </w:pPr>
          </w:p>
          <w:p w14:paraId="4A6A98DF" w14:textId="77777777" w:rsidR="00E35519" w:rsidRPr="00B156CC" w:rsidRDefault="00E35519" w:rsidP="00E35519">
            <w:pPr>
              <w:pStyle w:val="Tabletext"/>
              <w:rPr>
                <w:rFonts w:eastAsia="Calibri" w:cs="Arial"/>
                <w:szCs w:val="20"/>
                <w:lang w:val="en-US" w:eastAsia="ja-JP"/>
              </w:rPr>
            </w:pPr>
            <w:r w:rsidRPr="00B156CC">
              <w:rPr>
                <w:rFonts w:eastAsia="Calibri" w:cs="Arial"/>
                <w:szCs w:val="20"/>
                <w:lang w:val="en-US" w:eastAsia="ja-JP"/>
              </w:rPr>
              <w:t>Fee: $1600 Benefit: 75% = $1200.00 85% = $1360.00</w:t>
            </w:r>
          </w:p>
        </w:tc>
      </w:tr>
      <w:tr w:rsidR="00E35519" w:rsidRPr="00B156CC" w14:paraId="4A6A98E5" w14:textId="77777777" w:rsidTr="00E35519">
        <w:trPr>
          <w:cantSplit/>
        </w:trPr>
        <w:tc>
          <w:tcPr>
            <w:tcW w:w="9134" w:type="dxa"/>
          </w:tcPr>
          <w:p w14:paraId="4A6A98E1" w14:textId="77777777" w:rsidR="00E35519" w:rsidRPr="00B156CC" w:rsidRDefault="00E35519" w:rsidP="00E35519">
            <w:pPr>
              <w:pStyle w:val="Tabletext"/>
              <w:rPr>
                <w:rFonts w:eastAsia="Calibri" w:cs="Arial"/>
                <w:szCs w:val="20"/>
                <w:lang w:val="en-US" w:eastAsia="ja-JP"/>
              </w:rPr>
            </w:pPr>
            <w:r w:rsidRPr="00B156CC">
              <w:rPr>
                <w:rFonts w:eastAsia="Calibri" w:cs="Arial"/>
                <w:szCs w:val="20"/>
                <w:lang w:val="en-US" w:eastAsia="ja-JP"/>
              </w:rPr>
              <w:t>NONRESECTABLE PRIMARY LUNG CANCER OR PULMONARY METASTATIC DISEASE, destruction of more than five lesions, by percutaneous microwave tissue ablation (MTA) with palliative intent, including any associated imaging services.</w:t>
            </w:r>
          </w:p>
          <w:p w14:paraId="4A6A98E2" w14:textId="77777777" w:rsidR="00E35519" w:rsidRPr="00B156CC" w:rsidRDefault="00E35519" w:rsidP="00E35519">
            <w:pPr>
              <w:pStyle w:val="Tabletext"/>
              <w:rPr>
                <w:rFonts w:eastAsia="Calibri" w:cs="Arial"/>
                <w:szCs w:val="20"/>
                <w:lang w:val="en-US" w:eastAsia="ja-JP"/>
              </w:rPr>
            </w:pPr>
            <w:r w:rsidRPr="00B156CC">
              <w:rPr>
                <w:rFonts w:eastAsia="Calibri" w:cs="Arial"/>
                <w:szCs w:val="20"/>
                <w:lang w:val="en-US" w:eastAsia="ja-JP"/>
              </w:rPr>
              <w:t>(</w:t>
            </w:r>
            <w:proofErr w:type="spellStart"/>
            <w:r w:rsidRPr="00B156CC">
              <w:rPr>
                <w:rFonts w:eastAsia="Calibri" w:cs="Arial"/>
                <w:szCs w:val="20"/>
                <w:lang w:val="en-US" w:eastAsia="ja-JP"/>
              </w:rPr>
              <w:t>Anaes</w:t>
            </w:r>
            <w:proofErr w:type="spellEnd"/>
            <w:r w:rsidRPr="00B156CC">
              <w:rPr>
                <w:rFonts w:eastAsia="Calibri" w:cs="Arial"/>
                <w:szCs w:val="20"/>
                <w:lang w:val="en-US" w:eastAsia="ja-JP"/>
              </w:rPr>
              <w:t>)</w:t>
            </w:r>
            <w:r w:rsidRPr="00B156CC">
              <w:rPr>
                <w:rFonts w:eastAsia="Calibri" w:cs="Arial"/>
                <w:szCs w:val="20"/>
                <w:lang w:val="en-US" w:eastAsia="ja-JP"/>
              </w:rPr>
              <w:tab/>
            </w:r>
          </w:p>
          <w:p w14:paraId="4A6A98E3" w14:textId="77777777" w:rsidR="00B156CC" w:rsidRDefault="00B156CC" w:rsidP="00E35519">
            <w:pPr>
              <w:pStyle w:val="Tabletext"/>
              <w:rPr>
                <w:rFonts w:eastAsia="Calibri" w:cs="Arial"/>
                <w:szCs w:val="20"/>
                <w:lang w:val="en-US" w:eastAsia="ja-JP"/>
              </w:rPr>
            </w:pPr>
          </w:p>
          <w:p w14:paraId="4A6A98E4" w14:textId="77777777" w:rsidR="00E35519" w:rsidRPr="00B156CC" w:rsidRDefault="00E35519" w:rsidP="00E35519">
            <w:pPr>
              <w:pStyle w:val="Tabletext"/>
              <w:rPr>
                <w:rFonts w:eastAsia="Calibri" w:cs="Arial"/>
                <w:szCs w:val="20"/>
                <w:lang w:val="en-US" w:eastAsia="ja-JP"/>
              </w:rPr>
            </w:pPr>
            <w:r w:rsidRPr="00B156CC">
              <w:rPr>
                <w:rFonts w:eastAsia="Calibri" w:cs="Arial"/>
                <w:szCs w:val="20"/>
                <w:lang w:val="en-US" w:eastAsia="ja-JP"/>
              </w:rPr>
              <w:t>Fee: $2000 Benefit: 75% = $1500.00 85% = $1700.00</w:t>
            </w:r>
          </w:p>
        </w:tc>
      </w:tr>
    </w:tbl>
    <w:p w14:paraId="4A6A98E6" w14:textId="77777777" w:rsidR="00BC1364" w:rsidRPr="00F715D1" w:rsidRDefault="00BC1364" w:rsidP="00C22C2D">
      <w:pPr>
        <w:pStyle w:val="Heading1"/>
        <w:ind w:hanging="720"/>
      </w:pPr>
      <w:r w:rsidRPr="00F715D1">
        <w:t xml:space="preserve">Summary of </w:t>
      </w:r>
      <w:r w:rsidR="003D7F29" w:rsidRPr="00F715D1">
        <w:t>Public Consultation</w:t>
      </w:r>
      <w:r w:rsidRPr="00F715D1">
        <w:t xml:space="preserve"> Feedback</w:t>
      </w:r>
      <w:r w:rsidR="003D7F29" w:rsidRPr="00F715D1">
        <w:t>/Consumer Issues</w:t>
      </w:r>
    </w:p>
    <w:p w14:paraId="4A6A98E7" w14:textId="77777777" w:rsidR="00B95CDA" w:rsidRDefault="00B95CDA" w:rsidP="00B95CDA">
      <w:pPr>
        <w:rPr>
          <w:szCs w:val="24"/>
        </w:rPr>
      </w:pPr>
      <w:r w:rsidRPr="00946199">
        <w:rPr>
          <w:szCs w:val="24"/>
        </w:rPr>
        <w:t xml:space="preserve">The </w:t>
      </w:r>
      <w:r>
        <w:rPr>
          <w:szCs w:val="24"/>
        </w:rPr>
        <w:t>PICO</w:t>
      </w:r>
      <w:r w:rsidRPr="00946199">
        <w:rPr>
          <w:szCs w:val="24"/>
        </w:rPr>
        <w:t xml:space="preserve"> Advisory Sub-Committee (PASC) </w:t>
      </w:r>
      <w:r>
        <w:rPr>
          <w:szCs w:val="24"/>
        </w:rPr>
        <w:t xml:space="preserve">public consultation feedback </w:t>
      </w:r>
      <w:r w:rsidRPr="00946199">
        <w:rPr>
          <w:szCs w:val="24"/>
        </w:rPr>
        <w:t>received</w:t>
      </w:r>
      <w:r>
        <w:rPr>
          <w:szCs w:val="24"/>
        </w:rPr>
        <w:t xml:space="preserve"> one</w:t>
      </w:r>
      <w:r w:rsidRPr="008A06D6">
        <w:rPr>
          <w:szCs w:val="24"/>
        </w:rPr>
        <w:t xml:space="preserve"> </w:t>
      </w:r>
      <w:r>
        <w:rPr>
          <w:szCs w:val="24"/>
        </w:rPr>
        <w:t>response</w:t>
      </w:r>
      <w:r w:rsidRPr="008A06D6">
        <w:rPr>
          <w:szCs w:val="24"/>
        </w:rPr>
        <w:t xml:space="preserve"> from a </w:t>
      </w:r>
      <w:r>
        <w:rPr>
          <w:szCs w:val="24"/>
        </w:rPr>
        <w:t>peak b</w:t>
      </w:r>
      <w:r w:rsidRPr="008A06D6">
        <w:rPr>
          <w:szCs w:val="24"/>
        </w:rPr>
        <w:t>ody</w:t>
      </w:r>
      <w:r>
        <w:rPr>
          <w:szCs w:val="24"/>
        </w:rPr>
        <w:t xml:space="preserve"> and one response </w:t>
      </w:r>
      <w:r w:rsidRPr="008A06D6">
        <w:rPr>
          <w:szCs w:val="24"/>
        </w:rPr>
        <w:t xml:space="preserve">from the </w:t>
      </w:r>
      <w:r>
        <w:rPr>
          <w:szCs w:val="24"/>
        </w:rPr>
        <w:t>m</w:t>
      </w:r>
      <w:r w:rsidRPr="008A06D6">
        <w:rPr>
          <w:szCs w:val="24"/>
        </w:rPr>
        <w:t>anufacturer</w:t>
      </w:r>
      <w:r>
        <w:rPr>
          <w:szCs w:val="24"/>
        </w:rPr>
        <w:t xml:space="preserve">. </w:t>
      </w:r>
    </w:p>
    <w:p w14:paraId="4A6A98E8" w14:textId="77777777" w:rsidR="00B95CDA" w:rsidRDefault="00B95CDA" w:rsidP="00B95CDA">
      <w:pPr>
        <w:rPr>
          <w:szCs w:val="24"/>
        </w:rPr>
      </w:pPr>
    </w:p>
    <w:p w14:paraId="4A6A98E9" w14:textId="77777777" w:rsidR="00B95CDA" w:rsidRPr="00946199" w:rsidRDefault="00B95CDA" w:rsidP="00B95CDA">
      <w:pPr>
        <w:rPr>
          <w:szCs w:val="24"/>
        </w:rPr>
      </w:pPr>
      <w:r w:rsidRPr="00946199">
        <w:rPr>
          <w:szCs w:val="24"/>
        </w:rPr>
        <w:t>Issues raised in the responses were:</w:t>
      </w:r>
    </w:p>
    <w:p w14:paraId="4A6A98EA" w14:textId="77777777" w:rsidR="00B95CDA" w:rsidRPr="00070E2E" w:rsidRDefault="00B95CDA" w:rsidP="00B95CDA">
      <w:pPr>
        <w:pStyle w:val="ListParagraph"/>
        <w:numPr>
          <w:ilvl w:val="0"/>
          <w:numId w:val="48"/>
        </w:numPr>
        <w:rPr>
          <w:u w:val="single"/>
        </w:rPr>
      </w:pPr>
      <w:r w:rsidRPr="00070E2E">
        <w:t xml:space="preserve">That ultrasound is rarely used as an image-guidance method for the intervention  </w:t>
      </w:r>
    </w:p>
    <w:p w14:paraId="4A6A98EB" w14:textId="77777777" w:rsidR="00B95CDA" w:rsidRPr="004419FA" w:rsidRDefault="00B95CDA" w:rsidP="00B95CDA">
      <w:pPr>
        <w:pStyle w:val="ListParagraph"/>
        <w:numPr>
          <w:ilvl w:val="0"/>
          <w:numId w:val="48"/>
        </w:numPr>
        <w:rPr>
          <w:u w:val="single"/>
        </w:rPr>
      </w:pPr>
      <w:r w:rsidRPr="00070E2E">
        <w:t xml:space="preserve">That Stereotactic Body Radiation Therapy (SBRT) should be a </w:t>
      </w:r>
      <w:r>
        <w:t>comparator for the intervention; and</w:t>
      </w:r>
      <w:r w:rsidRPr="00070E2E">
        <w:t xml:space="preserve">  </w:t>
      </w:r>
    </w:p>
    <w:p w14:paraId="4A6A98EC" w14:textId="77777777" w:rsidR="00B95CDA" w:rsidRPr="00070E2E" w:rsidRDefault="00B95CDA" w:rsidP="00B95CDA">
      <w:pPr>
        <w:pStyle w:val="ListParagraph"/>
        <w:numPr>
          <w:ilvl w:val="0"/>
          <w:numId w:val="48"/>
        </w:numPr>
        <w:rPr>
          <w:u w:val="single"/>
        </w:rPr>
      </w:pPr>
      <w:r>
        <w:t xml:space="preserve">That isolated bone metastases are an emerging indication for Microwave Tissue Ablation. </w:t>
      </w:r>
    </w:p>
    <w:p w14:paraId="4A6A98ED" w14:textId="77777777" w:rsidR="00BC1364" w:rsidRPr="00F715D1" w:rsidRDefault="00BC1364" w:rsidP="00C22C2D">
      <w:pPr>
        <w:pStyle w:val="Heading1"/>
        <w:ind w:hanging="720"/>
      </w:pPr>
      <w:r w:rsidRPr="00F715D1">
        <w:lastRenderedPageBreak/>
        <w:t>Proposed intervention’s place in clinical management</w:t>
      </w:r>
    </w:p>
    <w:p w14:paraId="4A6A98EE" w14:textId="77777777" w:rsidR="00D82F6E" w:rsidRDefault="00E35519" w:rsidP="007E007E">
      <w:pPr>
        <w:tabs>
          <w:tab w:val="left" w:pos="720"/>
          <w:tab w:val="left" w:pos="1140"/>
        </w:tabs>
      </w:pPr>
      <w:r w:rsidRPr="0090621B">
        <w:rPr>
          <w:szCs w:val="24"/>
        </w:rPr>
        <w:t xml:space="preserve">In population </w:t>
      </w:r>
      <w:r>
        <w:rPr>
          <w:szCs w:val="24"/>
        </w:rPr>
        <w:t>1</w:t>
      </w:r>
      <w:r w:rsidRPr="0090621B">
        <w:rPr>
          <w:szCs w:val="24"/>
        </w:rPr>
        <w:t xml:space="preserve"> (NSCLC), MTA is intended to be a direct replacement for radiofrequency ablation (RFA), and an additional therapeutic option to current best practice radiotherapy with or without chemotherapy. In population </w:t>
      </w:r>
      <w:r>
        <w:rPr>
          <w:szCs w:val="24"/>
        </w:rPr>
        <w:t>2</w:t>
      </w:r>
      <w:r w:rsidRPr="0090621B">
        <w:rPr>
          <w:szCs w:val="24"/>
        </w:rPr>
        <w:t xml:space="preserve"> (</w:t>
      </w:r>
      <w:proofErr w:type="spellStart"/>
      <w:r w:rsidRPr="0090621B">
        <w:rPr>
          <w:szCs w:val="24"/>
        </w:rPr>
        <w:t>oligometastases</w:t>
      </w:r>
      <w:proofErr w:type="spellEnd"/>
      <w:r w:rsidRPr="0090621B">
        <w:rPr>
          <w:szCs w:val="24"/>
        </w:rPr>
        <w:t xml:space="preserve">), MTA is intended to be a direct replacement for RFA, and an additional therapeutic option to surgical resection or current best practice radiotherapy with or without chemotherapy. In population </w:t>
      </w:r>
      <w:r>
        <w:rPr>
          <w:szCs w:val="24"/>
        </w:rPr>
        <w:t>3</w:t>
      </w:r>
      <w:r w:rsidRPr="0090621B">
        <w:rPr>
          <w:szCs w:val="24"/>
        </w:rPr>
        <w:t xml:space="preserve"> (palliative), MTA is intended to be an additional treatment option to conventional palliative treatments for NSCLC and pulmonary metastases.</w:t>
      </w:r>
    </w:p>
    <w:p w14:paraId="4A6A98EF" w14:textId="77777777" w:rsidR="00BC1364" w:rsidRPr="00F715D1" w:rsidRDefault="00BC1364" w:rsidP="00C22C2D">
      <w:pPr>
        <w:pStyle w:val="Heading1"/>
        <w:ind w:hanging="720"/>
      </w:pPr>
      <w:r w:rsidRPr="00F715D1">
        <w:t xml:space="preserve">Comparator </w:t>
      </w:r>
    </w:p>
    <w:p w14:paraId="4A6A98F0" w14:textId="77777777" w:rsidR="00FE4BA0" w:rsidRDefault="00FE4BA0" w:rsidP="00FE4BA0">
      <w:r>
        <w:t>There are several comparators to MTA inc</w:t>
      </w:r>
      <w:r w:rsidR="009E2033">
        <w:t xml:space="preserve">luding </w:t>
      </w:r>
      <w:r>
        <w:t>RFA, current best practice radiotherapy and surgery.</w:t>
      </w:r>
      <w:r w:rsidRPr="005E7548">
        <w:t xml:space="preserve"> The number, and type, of comparators to MTA depends on the population</w:t>
      </w:r>
      <w:r>
        <w:t xml:space="preserve">, </w:t>
      </w:r>
      <w:r w:rsidR="00B95CDA">
        <w:t>as shown</w:t>
      </w:r>
      <w:r>
        <w:t xml:space="preserve"> in Table 2</w:t>
      </w:r>
      <w:r w:rsidRPr="005E7548">
        <w:t>.</w:t>
      </w:r>
    </w:p>
    <w:p w14:paraId="4A6A98F1" w14:textId="77777777" w:rsidR="00FE4BA0" w:rsidRDefault="00FE4BA0" w:rsidP="00FE4BA0">
      <w:pPr>
        <w:pStyle w:val="Caption"/>
      </w:pPr>
      <w:bookmarkStart w:id="5" w:name="_Ref460240149"/>
      <w:bookmarkStart w:id="6" w:name="_Toc460514670"/>
    </w:p>
    <w:p w14:paraId="4A6A98F2" w14:textId="77777777" w:rsidR="00FE4BA0" w:rsidRDefault="00FE4BA0" w:rsidP="00FE4BA0">
      <w:pPr>
        <w:pStyle w:val="Caption"/>
      </w:pPr>
      <w:r>
        <w:t xml:space="preserve">Table </w:t>
      </w:r>
      <w:r w:rsidR="00BF263E">
        <w:fldChar w:fldCharType="begin"/>
      </w:r>
      <w:r w:rsidR="00BF263E">
        <w:instrText xml:space="preserve"> SEQ Table \* ARABIC </w:instrText>
      </w:r>
      <w:r w:rsidR="00BF263E">
        <w:fldChar w:fldCharType="separate"/>
      </w:r>
      <w:r w:rsidR="004C0C25">
        <w:rPr>
          <w:noProof/>
        </w:rPr>
        <w:t>2</w:t>
      </w:r>
      <w:r w:rsidR="00BF263E">
        <w:rPr>
          <w:noProof/>
        </w:rPr>
        <w:fldChar w:fldCharType="end"/>
      </w:r>
      <w:bookmarkEnd w:id="5"/>
      <w:r>
        <w:tab/>
        <w:t>Comparator(s) in the three populations</w:t>
      </w:r>
      <w:bookmarkEnd w:id="6"/>
    </w:p>
    <w:tbl>
      <w:tblPr>
        <w:tblStyle w:val="TableGrid"/>
        <w:tblW w:w="0" w:type="auto"/>
        <w:tblLook w:val="04A0" w:firstRow="1" w:lastRow="0" w:firstColumn="1" w:lastColumn="0" w:noHBand="0" w:noVBand="1"/>
        <w:tblDescription w:val="Table 12, Comparator(s) in the three populations-describes Comparator(s) in the three populations"/>
      </w:tblPr>
      <w:tblGrid>
        <w:gridCol w:w="4621"/>
        <w:gridCol w:w="4621"/>
      </w:tblGrid>
      <w:tr w:rsidR="00FE4BA0" w:rsidRPr="00A109B2" w14:paraId="4A6A98F5" w14:textId="77777777" w:rsidTr="00FE4BA0">
        <w:trPr>
          <w:tblHeader/>
        </w:trPr>
        <w:tc>
          <w:tcPr>
            <w:tcW w:w="4621" w:type="dxa"/>
            <w:shd w:val="clear" w:color="auto" w:fill="D9D9D9" w:themeFill="background1" w:themeFillShade="D9"/>
          </w:tcPr>
          <w:p w14:paraId="4A6A98F3" w14:textId="77777777" w:rsidR="00FE4BA0" w:rsidRPr="006C1322" w:rsidRDefault="00FE4BA0" w:rsidP="00FE4BA0">
            <w:pPr>
              <w:pStyle w:val="Tabletext"/>
              <w:rPr>
                <w:b/>
              </w:rPr>
            </w:pPr>
            <w:r w:rsidRPr="006C1322">
              <w:rPr>
                <w:b/>
              </w:rPr>
              <w:t>Population</w:t>
            </w:r>
          </w:p>
        </w:tc>
        <w:tc>
          <w:tcPr>
            <w:tcW w:w="4621" w:type="dxa"/>
            <w:shd w:val="clear" w:color="auto" w:fill="D9D9D9" w:themeFill="background1" w:themeFillShade="D9"/>
          </w:tcPr>
          <w:p w14:paraId="4A6A98F4" w14:textId="77777777" w:rsidR="00FE4BA0" w:rsidRPr="006C1322" w:rsidRDefault="00FE4BA0" w:rsidP="00FE4BA0">
            <w:pPr>
              <w:pStyle w:val="Tabletext"/>
              <w:rPr>
                <w:b/>
              </w:rPr>
            </w:pPr>
            <w:r w:rsidRPr="006C1322">
              <w:rPr>
                <w:b/>
              </w:rPr>
              <w:t>Comparator(s)</w:t>
            </w:r>
          </w:p>
        </w:tc>
      </w:tr>
      <w:tr w:rsidR="00FE4BA0" w:rsidRPr="00A109B2" w14:paraId="4A6A98F9" w14:textId="77777777" w:rsidTr="00FE4BA0">
        <w:tc>
          <w:tcPr>
            <w:tcW w:w="4621" w:type="dxa"/>
          </w:tcPr>
          <w:p w14:paraId="4A6A98F6" w14:textId="77777777" w:rsidR="00FE4BA0" w:rsidRPr="00A109B2" w:rsidRDefault="00FE4BA0" w:rsidP="00FE4BA0">
            <w:pPr>
              <w:pStyle w:val="Tabletext"/>
            </w:pPr>
            <w:r w:rsidRPr="00A109B2">
              <w:t>Patients with early stage NSCLC who are not eligible for surgical resection, and who are receiving treatment with curative intent.</w:t>
            </w:r>
          </w:p>
        </w:tc>
        <w:tc>
          <w:tcPr>
            <w:tcW w:w="4621" w:type="dxa"/>
          </w:tcPr>
          <w:p w14:paraId="4A6A98F7" w14:textId="77777777" w:rsidR="00FE4BA0" w:rsidRPr="00A109B2" w:rsidRDefault="00FE4BA0" w:rsidP="00FE4BA0">
            <w:pPr>
              <w:pStyle w:val="Tabletext"/>
            </w:pPr>
            <w:r w:rsidRPr="00A109B2">
              <w:t>1) Radiofrequency ablation</w:t>
            </w:r>
          </w:p>
          <w:p w14:paraId="4A6A98F8" w14:textId="77777777" w:rsidR="00FE4BA0" w:rsidRPr="00A109B2" w:rsidRDefault="00FE4BA0" w:rsidP="00FE4BA0">
            <w:pPr>
              <w:pStyle w:val="Tabletext"/>
            </w:pPr>
            <w:r w:rsidRPr="00A109B2">
              <w:t>2) Current best practice radiotherapy with or without chemotherapy</w:t>
            </w:r>
          </w:p>
        </w:tc>
      </w:tr>
      <w:tr w:rsidR="00FE4BA0" w:rsidRPr="00A109B2" w14:paraId="4A6A98FE" w14:textId="77777777" w:rsidTr="00FE4BA0">
        <w:tc>
          <w:tcPr>
            <w:tcW w:w="4621" w:type="dxa"/>
          </w:tcPr>
          <w:p w14:paraId="4A6A98FA" w14:textId="77777777" w:rsidR="00FE4BA0" w:rsidRPr="00A109B2" w:rsidRDefault="00FE4BA0" w:rsidP="00FE4BA0">
            <w:pPr>
              <w:pStyle w:val="Tabletext"/>
            </w:pPr>
            <w:r w:rsidRPr="00A109B2">
              <w:t>Patients with pulmonary metastases, in whom the primary tumour is under control, and who are receiving treatment with curative intent (</w:t>
            </w:r>
            <w:proofErr w:type="spellStart"/>
            <w:r w:rsidRPr="00A109B2">
              <w:t>oligometastatic</w:t>
            </w:r>
            <w:proofErr w:type="spellEnd"/>
            <w:r w:rsidRPr="00A109B2">
              <w:t xml:space="preserve"> disease)</w:t>
            </w:r>
          </w:p>
        </w:tc>
        <w:tc>
          <w:tcPr>
            <w:tcW w:w="4621" w:type="dxa"/>
          </w:tcPr>
          <w:p w14:paraId="4A6A98FB" w14:textId="77777777" w:rsidR="00FE4BA0" w:rsidRPr="00A109B2" w:rsidRDefault="00FE4BA0" w:rsidP="00FE4BA0">
            <w:pPr>
              <w:pStyle w:val="Tabletext"/>
            </w:pPr>
            <w:r w:rsidRPr="00A109B2">
              <w:t>1) Radiofrequency ablation</w:t>
            </w:r>
          </w:p>
          <w:p w14:paraId="4A6A98FC" w14:textId="77777777" w:rsidR="00FE4BA0" w:rsidRPr="00A109B2" w:rsidRDefault="00FE4BA0" w:rsidP="00FE4BA0">
            <w:pPr>
              <w:pStyle w:val="Tabletext"/>
            </w:pPr>
            <w:r w:rsidRPr="00A109B2">
              <w:t>2) Current best practice radiotherapy with or without chemotherapy</w:t>
            </w:r>
          </w:p>
          <w:p w14:paraId="4A6A98FD" w14:textId="77777777" w:rsidR="00FE4BA0" w:rsidRPr="00A109B2" w:rsidRDefault="00FE4BA0" w:rsidP="00FE4BA0">
            <w:pPr>
              <w:pStyle w:val="Tabletext"/>
            </w:pPr>
            <w:r w:rsidRPr="00A109B2">
              <w:t>3) Surgical resection</w:t>
            </w:r>
          </w:p>
        </w:tc>
      </w:tr>
      <w:tr w:rsidR="00FE4BA0" w:rsidRPr="00A109B2" w14:paraId="4A6A9901" w14:textId="77777777" w:rsidTr="00FE4BA0">
        <w:tc>
          <w:tcPr>
            <w:tcW w:w="4621" w:type="dxa"/>
          </w:tcPr>
          <w:p w14:paraId="4A6A98FF" w14:textId="77777777" w:rsidR="00FE4BA0" w:rsidRPr="00A109B2" w:rsidRDefault="00FE4BA0" w:rsidP="00FE4BA0">
            <w:pPr>
              <w:pStyle w:val="Tabletext"/>
            </w:pPr>
            <w:r w:rsidRPr="00A109B2">
              <w:t>Patients with NSCLC or pulmonary metastases, who are receiving palliative treatment</w:t>
            </w:r>
          </w:p>
        </w:tc>
        <w:tc>
          <w:tcPr>
            <w:tcW w:w="4621" w:type="dxa"/>
          </w:tcPr>
          <w:p w14:paraId="4A6A9900" w14:textId="77777777" w:rsidR="00FE4BA0" w:rsidRPr="00A109B2" w:rsidRDefault="00FE4BA0" w:rsidP="00FE4BA0">
            <w:pPr>
              <w:pStyle w:val="Tabletext"/>
            </w:pPr>
            <w:r w:rsidRPr="00A109B2">
              <w:t>1) Conventional palliative therapy without MTA</w:t>
            </w:r>
          </w:p>
        </w:tc>
      </w:tr>
    </w:tbl>
    <w:p w14:paraId="4A6A9902" w14:textId="77777777" w:rsidR="00BC1364" w:rsidRPr="00F715D1" w:rsidRDefault="00BC1364" w:rsidP="00C22C2D">
      <w:pPr>
        <w:pStyle w:val="Heading1"/>
        <w:ind w:hanging="720"/>
      </w:pPr>
      <w:r w:rsidRPr="00F715D1">
        <w:t>Comparative safety</w:t>
      </w:r>
    </w:p>
    <w:p w14:paraId="4A6A9903" w14:textId="77777777" w:rsidR="006409C7" w:rsidRDefault="006409C7" w:rsidP="006409C7">
      <w:pPr>
        <w:spacing w:after="240"/>
        <w:rPr>
          <w:szCs w:val="24"/>
        </w:rPr>
      </w:pPr>
      <w:r w:rsidRPr="000511D9">
        <w:rPr>
          <w:szCs w:val="24"/>
        </w:rPr>
        <w:t xml:space="preserve">A systematic review of published literature was undertaken to identify all studies of MTA in the proposed populations. No studies that directly or indirectly compared MTA to a relevant comparator were identified. As a result, the evidence base was insufficient to inform the comparative safety, effectiveness and cost effectiveness of MTA. </w:t>
      </w:r>
    </w:p>
    <w:p w14:paraId="4A6A9904" w14:textId="77777777" w:rsidR="00E35519" w:rsidRPr="000511D9" w:rsidRDefault="00E35519" w:rsidP="00E35519">
      <w:pPr>
        <w:rPr>
          <w:szCs w:val="24"/>
        </w:rPr>
      </w:pPr>
      <w:r w:rsidRPr="000511D9">
        <w:rPr>
          <w:szCs w:val="24"/>
        </w:rPr>
        <w:t xml:space="preserve">There </w:t>
      </w:r>
      <w:r w:rsidR="00DF1BA4">
        <w:rPr>
          <w:szCs w:val="24"/>
        </w:rPr>
        <w:t>were</w:t>
      </w:r>
      <w:r w:rsidRPr="000511D9">
        <w:rPr>
          <w:szCs w:val="24"/>
        </w:rPr>
        <w:t xml:space="preserve"> no comparative safety studies identified for population 1 or 2</w:t>
      </w:r>
      <w:r w:rsidR="00614C31">
        <w:rPr>
          <w:szCs w:val="24"/>
        </w:rPr>
        <w:t>, however s</w:t>
      </w:r>
      <w:r w:rsidR="00DF1BA4" w:rsidRPr="0045465C">
        <w:t xml:space="preserve">tudies </w:t>
      </w:r>
      <w:r w:rsidR="00DF1BA4">
        <w:t>with mixed populations (i.e. primary or secondary cancer)</w:t>
      </w:r>
      <w:r w:rsidR="00DF1BA4" w:rsidRPr="0045465C">
        <w:t xml:space="preserve"> </w:t>
      </w:r>
      <w:r w:rsidR="00DF1BA4">
        <w:t>were identified</w:t>
      </w:r>
      <w:r w:rsidR="00892689">
        <w:t xml:space="preserve"> to highlight the safety profile of MTA</w:t>
      </w:r>
      <w:r w:rsidR="00614C31">
        <w:t>. O</w:t>
      </w:r>
      <w:r w:rsidR="00DF1BA4">
        <w:t xml:space="preserve">f the </w:t>
      </w:r>
      <w:r w:rsidRPr="000511D9">
        <w:rPr>
          <w:szCs w:val="24"/>
        </w:rPr>
        <w:t xml:space="preserve">23 studies </w:t>
      </w:r>
      <w:r w:rsidR="00A47F00">
        <w:rPr>
          <w:szCs w:val="24"/>
        </w:rPr>
        <w:t>which reported the safety of MTA</w:t>
      </w:r>
      <w:r w:rsidRPr="000511D9">
        <w:rPr>
          <w:szCs w:val="24"/>
        </w:rPr>
        <w:t xml:space="preserve"> (two</w:t>
      </w:r>
      <w:r w:rsidR="00DF1BA4">
        <w:rPr>
          <w:szCs w:val="24"/>
        </w:rPr>
        <w:t xml:space="preserve"> Level III-2 and 21 Level IV), p</w:t>
      </w:r>
      <w:r w:rsidRPr="000511D9">
        <w:rPr>
          <w:szCs w:val="24"/>
        </w:rPr>
        <w:t>rocedure related mo</w:t>
      </w:r>
      <w:r w:rsidR="00D93640">
        <w:rPr>
          <w:szCs w:val="24"/>
        </w:rPr>
        <w:t>rtality was rare (2/916, &lt;1%), m</w:t>
      </w:r>
      <w:r w:rsidRPr="000511D9">
        <w:rPr>
          <w:szCs w:val="24"/>
        </w:rPr>
        <w:t>ortality within 30</w:t>
      </w:r>
      <w:r w:rsidR="00892689">
        <w:rPr>
          <w:szCs w:val="24"/>
        </w:rPr>
        <w:t> </w:t>
      </w:r>
      <w:r w:rsidRPr="000511D9">
        <w:rPr>
          <w:szCs w:val="24"/>
        </w:rPr>
        <w:t xml:space="preserve">days was (1/739, &lt;1%) and </w:t>
      </w:r>
      <w:r>
        <w:rPr>
          <w:szCs w:val="24"/>
        </w:rPr>
        <w:t>s</w:t>
      </w:r>
      <w:r w:rsidRPr="000511D9">
        <w:rPr>
          <w:szCs w:val="24"/>
        </w:rPr>
        <w:t>erious adverse events were rarely reported.</w:t>
      </w:r>
      <w:r w:rsidR="00892689">
        <w:rPr>
          <w:szCs w:val="24"/>
        </w:rPr>
        <w:t xml:space="preserve"> </w:t>
      </w:r>
      <w:r w:rsidR="00892689">
        <w:t>Pneumothorax was the most frequent adverse event associated with MTA, reported in 27 per cent of ablation sessions (median 30%, range 8–64%). Across studies, chest tube drainage or other intervention was required after 12 per cent (median 10%, range 0–29%) of ablation sessions. The majority of pneumothorax cases were self-limiting.</w:t>
      </w:r>
    </w:p>
    <w:p w14:paraId="4A6A9905" w14:textId="77777777" w:rsidR="00E35519" w:rsidRDefault="00E35519" w:rsidP="00E35519">
      <w:pPr>
        <w:tabs>
          <w:tab w:val="left" w:pos="1140"/>
        </w:tabs>
        <w:rPr>
          <w:szCs w:val="24"/>
        </w:rPr>
      </w:pPr>
    </w:p>
    <w:p w14:paraId="4A6A9906" w14:textId="77777777" w:rsidR="006409C7" w:rsidRDefault="006409C7" w:rsidP="00E35519">
      <w:pPr>
        <w:tabs>
          <w:tab w:val="left" w:pos="1140"/>
        </w:tabs>
      </w:pPr>
      <w:r>
        <w:t>Nineteen studies reported the safety of RFA, of which one was Level III-3 and 18 were Level IV. Similar to MTA, the procedure-related mortality (1/1,259, 0.08%) and 30-day m</w:t>
      </w:r>
      <w:r w:rsidRPr="00A54920">
        <w:t xml:space="preserve">ortality </w:t>
      </w:r>
      <w:r>
        <w:t>(2/810, 0.25%) associated with RFA were</w:t>
      </w:r>
      <w:r w:rsidRPr="00A54920">
        <w:t xml:space="preserve"> very low</w:t>
      </w:r>
      <w:r>
        <w:t>.</w:t>
      </w:r>
      <w:r w:rsidRPr="00A54920">
        <w:t xml:space="preserve"> </w:t>
      </w:r>
      <w:r>
        <w:t>Pneumothorax was the most commonly reported adverse event, reported after 45 per cent of RFA sessions (median 24%, range 9–67%). Chest tube placement was required after 22 per cent</w:t>
      </w:r>
      <w:r w:rsidRPr="00C22EEE">
        <w:t xml:space="preserve"> </w:t>
      </w:r>
      <w:r>
        <w:t>of RFA sessions (median 9%, range 2–39%).</w:t>
      </w:r>
    </w:p>
    <w:p w14:paraId="4A6A9907" w14:textId="77777777" w:rsidR="006409C7" w:rsidRDefault="006409C7" w:rsidP="00E35519">
      <w:pPr>
        <w:tabs>
          <w:tab w:val="left" w:pos="1140"/>
        </w:tabs>
        <w:rPr>
          <w:szCs w:val="24"/>
        </w:rPr>
      </w:pPr>
    </w:p>
    <w:p w14:paraId="4A6A9908" w14:textId="77777777" w:rsidR="009D2E5F" w:rsidRDefault="009D2E5F" w:rsidP="00E35519">
      <w:pPr>
        <w:tabs>
          <w:tab w:val="left" w:pos="1140"/>
        </w:tabs>
      </w:pPr>
      <w:r>
        <w:lastRenderedPageBreak/>
        <w:t>Twenty-two studies reported the safety of radiotherapy</w:t>
      </w:r>
      <w:r w:rsidRPr="00BB5B4E">
        <w:t xml:space="preserve"> </w:t>
      </w:r>
      <w:r>
        <w:t xml:space="preserve">in population one and two. </w:t>
      </w:r>
      <w:r w:rsidRPr="00A54920">
        <w:t>There were two cases of procedure-related mortality across all included studies</w:t>
      </w:r>
      <w:r>
        <w:t xml:space="preserve"> (2/887, </w:t>
      </w:r>
      <w:r w:rsidRPr="00AC65E9">
        <w:t>0.2%)</w:t>
      </w:r>
      <w:r>
        <w:t>. S</w:t>
      </w:r>
      <w:r w:rsidRPr="0045465C">
        <w:t>erious adverse events arising from radiotherapy were rare</w:t>
      </w:r>
      <w:r>
        <w:t>.</w:t>
      </w:r>
    </w:p>
    <w:p w14:paraId="4A6A9909" w14:textId="77777777" w:rsidR="009D2E5F" w:rsidRDefault="009D2E5F" w:rsidP="00E35519">
      <w:pPr>
        <w:tabs>
          <w:tab w:val="left" w:pos="1140"/>
        </w:tabs>
      </w:pPr>
    </w:p>
    <w:p w14:paraId="4A6A990A" w14:textId="77777777" w:rsidR="009D2E5F" w:rsidRPr="000511D9" w:rsidRDefault="009D2E5F" w:rsidP="00E35519">
      <w:pPr>
        <w:tabs>
          <w:tab w:val="left" w:pos="1140"/>
        </w:tabs>
        <w:rPr>
          <w:szCs w:val="24"/>
        </w:rPr>
      </w:pPr>
      <w:r>
        <w:t>Five studies and one recent systematic review reported safety of surgery (</w:t>
      </w:r>
      <w:r>
        <w:fldChar w:fldCharType="begin"/>
      </w:r>
      <w:r>
        <w:instrText xml:space="preserve"> REF _Ref460516321 \h </w:instrText>
      </w:r>
      <w:r>
        <w:fldChar w:fldCharType="separate"/>
      </w:r>
      <w:r>
        <w:t xml:space="preserve">Table </w:t>
      </w:r>
      <w:r>
        <w:rPr>
          <w:noProof/>
        </w:rPr>
        <w:t>4</w:t>
      </w:r>
      <w:r>
        <w:fldChar w:fldCharType="end"/>
      </w:r>
      <w:r>
        <w:t>).</w:t>
      </w:r>
      <w:r w:rsidRPr="00AC65E9">
        <w:t xml:space="preserve"> </w:t>
      </w:r>
      <w:r>
        <w:t xml:space="preserve">The review by </w:t>
      </w:r>
      <w:proofErr w:type="spellStart"/>
      <w:r w:rsidRPr="00AC65E9">
        <w:t>Pfannschmidt</w:t>
      </w:r>
      <w:proofErr w:type="spellEnd"/>
      <w:r w:rsidRPr="00AC65E9">
        <w:t xml:space="preserve"> et al </w:t>
      </w:r>
      <w:r>
        <w:fldChar w:fldCharType="begin">
          <w:fldData xml:space="preserve">PEVuZE5vdGU+PENpdGUgRXhjbHVkZUF1dGg9IjEiPjxBdXRob3I+UGZhbm5zY2htaWR0PC9BdXRo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</w:fldData>
        </w:fldChar>
      </w:r>
      <w:r>
        <w:instrText xml:space="preserve"> ADDIN EN.CITE </w:instrText>
      </w:r>
      <w:r>
        <w:fldChar w:fldCharType="begin">
          <w:fldData xml:space="preserve">PEVuZE5vdGU+PENpdGUgRXhjbHVkZUF1dGg9IjEiPjxBdXRob3I+UGZhbm5zY2htaWR0PC9BdXRo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</w:fldData>
        </w:fldChar>
      </w:r>
      <w:r>
        <w:instrText xml:space="preserve"> ADDIN EN.CITE.DATA </w:instrText>
      </w:r>
      <w:r>
        <w:fldChar w:fldCharType="end"/>
      </w:r>
      <w:r>
        <w:fldChar w:fldCharType="separate"/>
      </w:r>
      <w:r>
        <w:rPr>
          <w:noProof/>
        </w:rPr>
        <w:t>(</w:t>
      </w:r>
      <w:hyperlink w:anchor="_ENREF_118" w:tooltip="Pfannschmidt, 2007 #2681" w:history="1">
        <w:r>
          <w:rPr>
            <w:noProof/>
          </w:rPr>
          <w:t>2007</w:t>
        </w:r>
      </w:hyperlink>
      <w:r>
        <w:rPr>
          <w:noProof/>
        </w:rPr>
        <w:t>)</w:t>
      </w:r>
      <w:r>
        <w:fldChar w:fldCharType="end"/>
      </w:r>
      <w:r w:rsidRPr="00AC65E9">
        <w:t xml:space="preserve"> </w:t>
      </w:r>
      <w:r>
        <w:t>identified</w:t>
      </w:r>
      <w:r w:rsidRPr="00AC65E9">
        <w:t xml:space="preserve"> </w:t>
      </w:r>
      <w:r>
        <w:t xml:space="preserve">four of </w:t>
      </w:r>
      <w:r w:rsidRPr="00AC65E9">
        <w:t xml:space="preserve">20 included studies </w:t>
      </w:r>
      <w:r>
        <w:t xml:space="preserve">that </w:t>
      </w:r>
      <w:r w:rsidRPr="00AC65E9">
        <w:t xml:space="preserve">reported </w:t>
      </w:r>
      <w:r>
        <w:t>postoperative mortality, which ranged</w:t>
      </w:r>
      <w:r w:rsidRPr="00AC65E9">
        <w:t xml:space="preserve"> from 0 to 2.5 per cent of patients</w:t>
      </w:r>
      <w:r>
        <w:t>. In</w:t>
      </w:r>
      <w:r w:rsidRPr="00AC65E9">
        <w:t xml:space="preserve"> the case series studies</w:t>
      </w:r>
      <w:r>
        <w:t>,</w:t>
      </w:r>
      <w:r w:rsidRPr="00AC65E9">
        <w:t xml:space="preserve"> immediate procedure</w:t>
      </w:r>
      <w:r>
        <w:t>-</w:t>
      </w:r>
      <w:r w:rsidRPr="00AC65E9">
        <w:t xml:space="preserve">related mortality </w:t>
      </w:r>
      <w:r>
        <w:t>did not occur in any</w:t>
      </w:r>
      <w:r w:rsidRPr="00AC65E9">
        <w:t xml:space="preserve"> patients (0/365, 0%</w:t>
      </w:r>
      <w:r>
        <w:t>, 2 studies), and th</w:t>
      </w:r>
      <w:r w:rsidRPr="00AC65E9">
        <w:t xml:space="preserve">irty day mortality </w:t>
      </w:r>
      <w:r>
        <w:t>occurred</w:t>
      </w:r>
      <w:r w:rsidRPr="00AC65E9">
        <w:t xml:space="preserve"> </w:t>
      </w:r>
      <w:r>
        <w:t>in 10 of 1,499 patients (0.67%, 4 studies).</w:t>
      </w:r>
    </w:p>
    <w:p w14:paraId="4A6A990B" w14:textId="77777777" w:rsidR="00BC1364" w:rsidRPr="00F715D1" w:rsidRDefault="00BC1364" w:rsidP="00C22C2D">
      <w:pPr>
        <w:pStyle w:val="Heading1"/>
        <w:ind w:hanging="720"/>
      </w:pPr>
      <w:r w:rsidRPr="00F715D1">
        <w:t>Comparative effectiveness</w:t>
      </w:r>
    </w:p>
    <w:p w14:paraId="4A6A990C" w14:textId="77777777" w:rsidR="00E35519" w:rsidRPr="00E35519" w:rsidRDefault="00E35519" w:rsidP="00E35519">
      <w:pPr>
        <w:rPr>
          <w:szCs w:val="24"/>
        </w:rPr>
      </w:pPr>
      <w:r w:rsidRPr="00E35519">
        <w:rPr>
          <w:szCs w:val="24"/>
        </w:rPr>
        <w:t xml:space="preserve">No comparative studies were identified to inform an assessment of comparative effectiveness of MTA. The evidence for both the intervention and its comparators is largely characterised by Level IV evidence with variable outcome measures and incomplete reporting. The claim of non-inferiority for the comparative effectiveness of MTA as compared to current best practice radiotherapy, surgery or RFA remains untested by published evidence. </w:t>
      </w:r>
    </w:p>
    <w:p w14:paraId="4A6A990D" w14:textId="77777777" w:rsidR="00E35519" w:rsidRPr="00E35519" w:rsidRDefault="00E35519" w:rsidP="00E35519">
      <w:pPr>
        <w:rPr>
          <w:szCs w:val="24"/>
        </w:rPr>
      </w:pPr>
    </w:p>
    <w:p w14:paraId="4A6A990E" w14:textId="77777777" w:rsidR="00E35519" w:rsidRPr="00E35519" w:rsidRDefault="00E35519" w:rsidP="00E35519">
      <w:r w:rsidRPr="00E35519">
        <w:t>The tables below (</w:t>
      </w:r>
      <w:r w:rsidR="00B156CC">
        <w:fldChar w:fldCharType="begin"/>
      </w:r>
      <w:r w:rsidR="00B156CC">
        <w:instrText xml:space="preserve"> REF _Ref457465376 \h  \* MERGEFORMAT </w:instrText>
      </w:r>
      <w:r w:rsidR="00B156CC">
        <w:fldChar w:fldCharType="separate"/>
      </w:r>
      <w:r w:rsidR="00B156CC">
        <w:t>Table 3</w:t>
      </w:r>
      <w:r w:rsidR="00B156CC">
        <w:fldChar w:fldCharType="end"/>
      </w:r>
      <w:r w:rsidRPr="00E35519">
        <w:t xml:space="preserve">, </w:t>
      </w:r>
      <w:r w:rsidR="00B156CC">
        <w:fldChar w:fldCharType="begin"/>
      </w:r>
      <w:r w:rsidR="00B156CC">
        <w:instrText xml:space="preserve"> REF _Ref469405296 \h  \* MERGEFORMAT </w:instrText>
      </w:r>
      <w:r w:rsidR="00B156CC">
        <w:fldChar w:fldCharType="separate"/>
      </w:r>
      <w:r w:rsidR="00B156CC" w:rsidRPr="00B156CC">
        <w:t>Table 4</w:t>
      </w:r>
      <w:r w:rsidR="00B156CC">
        <w:fldChar w:fldCharType="end"/>
      </w:r>
      <w:r w:rsidRPr="00E35519">
        <w:t xml:space="preserve">, </w:t>
      </w:r>
      <w:proofErr w:type="gramStart"/>
      <w:r w:rsidR="00B156CC">
        <w:fldChar w:fldCharType="begin"/>
      </w:r>
      <w:r w:rsidR="00B156CC">
        <w:instrText xml:space="preserve"> REF _Ref469405306 \h  \* MERGEFORMAT </w:instrText>
      </w:r>
      <w:r w:rsidR="00B156CC">
        <w:fldChar w:fldCharType="separate"/>
      </w:r>
      <w:r w:rsidR="00B156CC" w:rsidRPr="00B156CC">
        <w:t>Table 5</w:t>
      </w:r>
      <w:r w:rsidR="00B156CC">
        <w:fldChar w:fldCharType="end"/>
      </w:r>
      <w:proofErr w:type="gramEnd"/>
      <w:r w:rsidRPr="00E35519">
        <w:t xml:space="preserve">) provide a summary of findings for selected outcomes that were reported across multiple comparators. It is important to note that information for comparators should not be directly compared with MTA, as data in </w:t>
      </w:r>
      <w:r w:rsidR="000D28E9">
        <w:t xml:space="preserve">the </w:t>
      </w:r>
      <w:r w:rsidRPr="00E35519">
        <w:t>tables is drawn largely from case series studies.</w:t>
      </w:r>
    </w:p>
    <w:p w14:paraId="4A6A990F" w14:textId="77777777" w:rsidR="00E35519" w:rsidRPr="00E35519" w:rsidRDefault="00E35519" w:rsidP="00E35519">
      <w:pPr>
        <w:rPr>
          <w:szCs w:val="24"/>
        </w:rPr>
      </w:pPr>
    </w:p>
    <w:p w14:paraId="4A6A9910" w14:textId="77777777" w:rsidR="00E35519" w:rsidRPr="00B156CC" w:rsidRDefault="00B156CC" w:rsidP="00B156CC">
      <w:pPr>
        <w:pStyle w:val="Caption"/>
        <w:jc w:val="left"/>
      </w:pPr>
      <w:bookmarkStart w:id="7" w:name="_Ref457465376"/>
      <w:bookmarkStart w:id="8" w:name="_Ref460516381"/>
      <w:bookmarkStart w:id="9" w:name="_Ref457465371"/>
      <w:bookmarkStart w:id="10" w:name="_Toc460514663"/>
      <w:r>
        <w:t xml:space="preserve">Table </w:t>
      </w:r>
      <w:r w:rsidR="00BF263E">
        <w:fldChar w:fldCharType="begin"/>
      </w:r>
      <w:r w:rsidR="00BF263E">
        <w:instrText xml:space="preserve"> SEQ Table \* ARABIC </w:instrText>
      </w:r>
      <w:r w:rsidR="00BF263E">
        <w:fldChar w:fldCharType="separate"/>
      </w:r>
      <w:r w:rsidR="004C0C25">
        <w:rPr>
          <w:noProof/>
        </w:rPr>
        <w:t>3</w:t>
      </w:r>
      <w:r w:rsidR="00BF263E">
        <w:rPr>
          <w:noProof/>
        </w:rPr>
        <w:fldChar w:fldCharType="end"/>
      </w:r>
      <w:bookmarkEnd w:id="7"/>
      <w:bookmarkEnd w:id="8"/>
      <w:r w:rsidRPr="00B156CC">
        <w:tab/>
      </w:r>
      <w:r w:rsidR="000D28E9" w:rsidRPr="00B156CC">
        <w:tab/>
      </w:r>
      <w:r w:rsidR="00E35519" w:rsidRPr="00B156CC">
        <w:t xml:space="preserve">Effectiveness outcomes relevant to population </w:t>
      </w:r>
      <w:bookmarkEnd w:id="9"/>
      <w:bookmarkEnd w:id="10"/>
      <w:r w:rsidR="00E35519" w:rsidRPr="00B156CC">
        <w:t>1</w:t>
      </w:r>
    </w:p>
    <w:tbl>
      <w:tblPr>
        <w:tblStyle w:val="TableGrid8"/>
        <w:tblW w:w="5228" w:type="pct"/>
        <w:tblLook w:val="04A0" w:firstRow="1" w:lastRow="0" w:firstColumn="1" w:lastColumn="0" w:noHBand="0" w:noVBand="1"/>
        <w:tblDescription w:val="Table 10-Effectiveness outcomes"/>
      </w:tblPr>
      <w:tblGrid>
        <w:gridCol w:w="2517"/>
        <w:gridCol w:w="1419"/>
        <w:gridCol w:w="3968"/>
        <w:gridCol w:w="1759"/>
      </w:tblGrid>
      <w:tr w:rsidR="00E35519" w:rsidRPr="000D28E9" w14:paraId="4A6A9916" w14:textId="77777777" w:rsidTr="00E35519">
        <w:trPr>
          <w:cantSplit/>
          <w:tblHeader/>
        </w:trPr>
        <w:tc>
          <w:tcPr>
            <w:tcW w:w="1302" w:type="pct"/>
            <w:tcBorders>
              <w:bottom w:val="single" w:sz="4" w:space="0" w:color="auto"/>
            </w:tcBorders>
            <w:shd w:val="clear" w:color="auto" w:fill="D9D9D9" w:themeFill="background1" w:themeFillShade="D9"/>
            <w:vAlign w:val="bottom"/>
          </w:tcPr>
          <w:p w14:paraId="4A6A9911" w14:textId="77777777" w:rsidR="00E35519" w:rsidRPr="000D28E9" w:rsidRDefault="00E35519" w:rsidP="000D28E9">
            <w:pPr>
              <w:spacing w:before="0" w:after="0"/>
              <w:rPr>
                <w:rFonts w:ascii="Arial Narrow" w:eastAsia="Calibri" w:hAnsi="Arial Narrow" w:cs="Arial"/>
                <w:b/>
                <w:sz w:val="20"/>
              </w:rPr>
            </w:pPr>
            <w:r w:rsidRPr="000D28E9">
              <w:rPr>
                <w:rFonts w:ascii="Arial Narrow" w:eastAsia="Calibri" w:hAnsi="Arial Narrow" w:cs="Arial"/>
                <w:b/>
                <w:sz w:val="20"/>
              </w:rPr>
              <w:t>Outcome and intervention/comparator</w:t>
            </w:r>
          </w:p>
        </w:tc>
        <w:tc>
          <w:tcPr>
            <w:tcW w:w="734" w:type="pct"/>
            <w:tcBorders>
              <w:bottom w:val="single" w:sz="4" w:space="0" w:color="auto"/>
            </w:tcBorders>
            <w:shd w:val="clear" w:color="auto" w:fill="D9D9D9" w:themeFill="background1" w:themeFillShade="D9"/>
            <w:vAlign w:val="bottom"/>
          </w:tcPr>
          <w:p w14:paraId="4A6A9912" w14:textId="77777777" w:rsidR="00E35519" w:rsidRPr="000D28E9" w:rsidRDefault="00E35519" w:rsidP="000D28E9">
            <w:pPr>
              <w:spacing w:before="0" w:after="0"/>
              <w:rPr>
                <w:rFonts w:ascii="Arial Narrow" w:eastAsia="Calibri" w:hAnsi="Arial Narrow" w:cs="Arial"/>
                <w:b/>
                <w:sz w:val="20"/>
              </w:rPr>
            </w:pPr>
            <w:r w:rsidRPr="000D28E9">
              <w:rPr>
                <w:rFonts w:ascii="Arial Narrow" w:eastAsia="Calibri" w:hAnsi="Arial Narrow" w:cs="Arial"/>
                <w:b/>
                <w:sz w:val="20"/>
              </w:rPr>
              <w:t>№ of studies</w:t>
            </w:r>
          </w:p>
          <w:p w14:paraId="4A6A9913" w14:textId="77777777" w:rsidR="00E35519" w:rsidRPr="000D28E9" w:rsidRDefault="00E35519" w:rsidP="000D28E9">
            <w:pPr>
              <w:spacing w:before="0" w:after="0"/>
              <w:rPr>
                <w:rFonts w:ascii="Arial Narrow" w:eastAsia="Calibri" w:hAnsi="Arial Narrow" w:cs="Arial"/>
                <w:b/>
                <w:sz w:val="20"/>
              </w:rPr>
            </w:pPr>
            <w:r w:rsidRPr="000D28E9">
              <w:rPr>
                <w:rFonts w:ascii="Arial Narrow" w:eastAsia="Calibri" w:hAnsi="Arial Narrow" w:cs="Arial"/>
                <w:b/>
                <w:sz w:val="20"/>
              </w:rPr>
              <w:t>Level of evidence</w:t>
            </w:r>
          </w:p>
        </w:tc>
        <w:tc>
          <w:tcPr>
            <w:tcW w:w="2053" w:type="pct"/>
            <w:tcBorders>
              <w:bottom w:val="single" w:sz="4" w:space="0" w:color="auto"/>
            </w:tcBorders>
            <w:shd w:val="clear" w:color="auto" w:fill="D9D9D9" w:themeFill="background1" w:themeFillShade="D9"/>
            <w:vAlign w:val="bottom"/>
          </w:tcPr>
          <w:p w14:paraId="4A6A9914" w14:textId="77777777" w:rsidR="00E35519" w:rsidRPr="000D28E9" w:rsidRDefault="00E35519" w:rsidP="000D28E9">
            <w:pPr>
              <w:spacing w:before="0" w:after="0"/>
              <w:rPr>
                <w:rFonts w:ascii="Arial Narrow" w:eastAsia="Calibri" w:hAnsi="Arial Narrow" w:cs="Arial"/>
                <w:b/>
                <w:sz w:val="20"/>
              </w:rPr>
            </w:pPr>
            <w:r w:rsidRPr="000D28E9">
              <w:rPr>
                <w:rFonts w:ascii="Arial Narrow" w:eastAsia="Calibri" w:hAnsi="Arial Narrow" w:cs="Arial"/>
                <w:b/>
                <w:sz w:val="20"/>
              </w:rPr>
              <w:t>Summary</w:t>
            </w:r>
          </w:p>
        </w:tc>
        <w:tc>
          <w:tcPr>
            <w:tcW w:w="910" w:type="pct"/>
            <w:tcBorders>
              <w:bottom w:val="single" w:sz="4" w:space="0" w:color="auto"/>
            </w:tcBorders>
            <w:shd w:val="clear" w:color="auto" w:fill="D9D9D9" w:themeFill="background1" w:themeFillShade="D9"/>
            <w:vAlign w:val="bottom"/>
          </w:tcPr>
          <w:p w14:paraId="4A6A9915" w14:textId="77777777" w:rsidR="00E35519" w:rsidRPr="000D28E9" w:rsidRDefault="00E35519" w:rsidP="000D28E9">
            <w:pPr>
              <w:spacing w:before="0" w:after="0"/>
              <w:rPr>
                <w:rFonts w:ascii="Arial Narrow" w:eastAsia="Calibri" w:hAnsi="Arial Narrow" w:cs="Arial"/>
                <w:b/>
                <w:sz w:val="20"/>
              </w:rPr>
            </w:pPr>
            <w:r w:rsidRPr="000D28E9">
              <w:rPr>
                <w:rFonts w:ascii="Arial Narrow" w:eastAsia="Calibri" w:hAnsi="Arial Narrow" w:cs="Arial"/>
                <w:b/>
                <w:sz w:val="20"/>
              </w:rPr>
              <w:t>Quality of the evidence (GRADE)</w:t>
            </w:r>
          </w:p>
        </w:tc>
      </w:tr>
      <w:tr w:rsidR="00E35519" w:rsidRPr="000D28E9" w14:paraId="4A6A991B" w14:textId="77777777" w:rsidTr="00E35519">
        <w:trPr>
          <w:cantSplit/>
        </w:trPr>
        <w:tc>
          <w:tcPr>
            <w:tcW w:w="1302" w:type="pct"/>
            <w:tcBorders>
              <w:right w:val="nil"/>
            </w:tcBorders>
            <w:shd w:val="clear" w:color="auto" w:fill="D9D9D9" w:themeFill="background1" w:themeFillShade="D9"/>
          </w:tcPr>
          <w:p w14:paraId="4A6A9917" w14:textId="77777777" w:rsidR="00E35519" w:rsidRPr="000D28E9" w:rsidRDefault="00E35519" w:rsidP="000D28E9">
            <w:pPr>
              <w:spacing w:before="0" w:after="0"/>
              <w:rPr>
                <w:rFonts w:ascii="Arial Narrow" w:eastAsia="Calibri" w:hAnsi="Arial Narrow" w:cs="Arial"/>
                <w:b/>
                <w:sz w:val="20"/>
              </w:rPr>
            </w:pPr>
            <w:r w:rsidRPr="000D28E9">
              <w:rPr>
                <w:rFonts w:ascii="Arial Narrow" w:eastAsia="Calibri" w:hAnsi="Arial Narrow" w:cs="Arial"/>
                <w:b/>
                <w:sz w:val="20"/>
              </w:rPr>
              <w:t>Overall survival rate</w:t>
            </w:r>
          </w:p>
        </w:tc>
        <w:tc>
          <w:tcPr>
            <w:tcW w:w="734" w:type="pct"/>
            <w:tcBorders>
              <w:left w:val="nil"/>
              <w:right w:val="nil"/>
            </w:tcBorders>
            <w:shd w:val="clear" w:color="auto" w:fill="D9D9D9" w:themeFill="background1" w:themeFillShade="D9"/>
          </w:tcPr>
          <w:p w14:paraId="4A6A9918" w14:textId="77777777" w:rsidR="00E35519" w:rsidRPr="000D28E9" w:rsidRDefault="00E35519" w:rsidP="000D28E9">
            <w:pPr>
              <w:spacing w:before="0" w:after="0"/>
              <w:rPr>
                <w:rFonts w:ascii="Arial Narrow" w:eastAsia="Calibri" w:hAnsi="Arial Narrow" w:cs="Arial"/>
                <w:sz w:val="20"/>
              </w:rPr>
            </w:pPr>
          </w:p>
        </w:tc>
        <w:tc>
          <w:tcPr>
            <w:tcW w:w="2053" w:type="pct"/>
            <w:tcBorders>
              <w:left w:val="nil"/>
              <w:right w:val="nil"/>
            </w:tcBorders>
            <w:shd w:val="clear" w:color="auto" w:fill="D9D9D9" w:themeFill="background1" w:themeFillShade="D9"/>
          </w:tcPr>
          <w:p w14:paraId="4A6A9919" w14:textId="77777777" w:rsidR="00E35519" w:rsidRPr="000D28E9" w:rsidRDefault="00E35519" w:rsidP="000D28E9">
            <w:pPr>
              <w:spacing w:before="0" w:after="0"/>
              <w:rPr>
                <w:rFonts w:ascii="Arial Narrow" w:eastAsia="Calibri" w:hAnsi="Arial Narrow" w:cs="Arial"/>
                <w:sz w:val="20"/>
                <w:u w:val="single"/>
              </w:rPr>
            </w:pPr>
          </w:p>
        </w:tc>
        <w:tc>
          <w:tcPr>
            <w:tcW w:w="910" w:type="pct"/>
            <w:tcBorders>
              <w:left w:val="nil"/>
            </w:tcBorders>
            <w:shd w:val="clear" w:color="auto" w:fill="D9D9D9" w:themeFill="background1" w:themeFillShade="D9"/>
          </w:tcPr>
          <w:p w14:paraId="4A6A991A" w14:textId="77777777" w:rsidR="00E35519" w:rsidRPr="000D28E9" w:rsidRDefault="00E35519" w:rsidP="000D28E9">
            <w:pPr>
              <w:spacing w:before="0" w:after="0"/>
              <w:rPr>
                <w:rFonts w:ascii="Arial Narrow" w:eastAsia="Calibri" w:hAnsi="Arial Narrow" w:cs="Arial"/>
                <w:sz w:val="20"/>
              </w:rPr>
            </w:pPr>
          </w:p>
        </w:tc>
      </w:tr>
      <w:tr w:rsidR="00E35519" w:rsidRPr="000D28E9" w14:paraId="4A6A9925" w14:textId="77777777" w:rsidTr="000D28E9">
        <w:trPr>
          <w:cantSplit/>
          <w:trHeight w:val="1272"/>
        </w:trPr>
        <w:tc>
          <w:tcPr>
            <w:tcW w:w="1302" w:type="pct"/>
          </w:tcPr>
          <w:p w14:paraId="4A6A991C"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MTA</w:t>
            </w:r>
          </w:p>
          <w:p w14:paraId="4A6A991D"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Assessed with: Kaplan-Meier estimate (95% CI not reported)</w:t>
            </w:r>
          </w:p>
          <w:p w14:paraId="4A6A991E"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F/U range 23 to 30 months</w:t>
            </w:r>
          </w:p>
        </w:tc>
        <w:tc>
          <w:tcPr>
            <w:tcW w:w="734" w:type="pct"/>
          </w:tcPr>
          <w:p w14:paraId="4A6A991F"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 xml:space="preserve">2 Level IV studies </w:t>
            </w:r>
          </w:p>
        </w:tc>
        <w:tc>
          <w:tcPr>
            <w:tcW w:w="2053" w:type="pct"/>
          </w:tcPr>
          <w:p w14:paraId="4A6A9920" w14:textId="77777777" w:rsidR="00E35519" w:rsidRPr="000D28E9" w:rsidRDefault="00E35519" w:rsidP="000D28E9">
            <w:pPr>
              <w:spacing w:before="0" w:after="0"/>
              <w:rPr>
                <w:rFonts w:ascii="Arial Narrow" w:eastAsia="Calibri" w:hAnsi="Arial Narrow" w:cs="Arial"/>
                <w:sz w:val="20"/>
                <w:u w:val="single"/>
              </w:rPr>
            </w:pPr>
            <w:r w:rsidRPr="000D28E9">
              <w:rPr>
                <w:rFonts w:ascii="Arial Narrow" w:eastAsia="Calibri" w:hAnsi="Arial Narrow" w:cs="Arial"/>
                <w:sz w:val="20"/>
                <w:u w:val="single"/>
              </w:rPr>
              <w:t>Han et al (2015)</w:t>
            </w:r>
          </w:p>
          <w:p w14:paraId="4A6A9921"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 xml:space="preserve">1-year 91.7%, 2-year 76.5%, 3-year 47.9% and 4-year 47.9% </w:t>
            </w:r>
          </w:p>
          <w:p w14:paraId="4A6A9922"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u w:val="single"/>
              </w:rPr>
              <w:t>Yang et al (2015)</w:t>
            </w:r>
            <w:r w:rsidRPr="000D28E9">
              <w:rPr>
                <w:rFonts w:ascii="Arial Narrow" w:eastAsia="Calibri" w:hAnsi="Arial Narrow" w:cs="Arial"/>
                <w:sz w:val="20"/>
              </w:rPr>
              <w:t xml:space="preserve"> </w:t>
            </w:r>
            <w:r w:rsidRPr="000D28E9">
              <w:rPr>
                <w:rFonts w:ascii="Arial Narrow" w:eastAsia="Calibri" w:hAnsi="Arial Narrow" w:cs="Arial"/>
                <w:sz w:val="20"/>
                <w:vertAlign w:val="superscript"/>
              </w:rPr>
              <w:t>2</w:t>
            </w:r>
          </w:p>
          <w:p w14:paraId="4A6A9923"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 xml:space="preserve">1-year 89%, 2-year 63%, 3-year 43%, and 5-year 16% </w:t>
            </w:r>
          </w:p>
        </w:tc>
        <w:tc>
          <w:tcPr>
            <w:tcW w:w="910" w:type="pct"/>
          </w:tcPr>
          <w:p w14:paraId="4A6A9924" w14:textId="77777777" w:rsidR="00E35519" w:rsidRPr="000D28E9" w:rsidRDefault="00E35519" w:rsidP="000D28E9">
            <w:pPr>
              <w:spacing w:before="0" w:after="0"/>
              <w:rPr>
                <w:rFonts w:ascii="Arial Narrow" w:eastAsia="Calibri" w:hAnsi="Arial Narrow" w:cs="Arial"/>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cs="Arial"/>
                <w:sz w:val="20"/>
              </w:rPr>
              <w:br/>
              <w:t xml:space="preserve">VERY LOW </w:t>
            </w:r>
            <w:r w:rsidRPr="000D28E9">
              <w:rPr>
                <w:rFonts w:ascii="Arial Narrow" w:eastAsia="Calibri" w:hAnsi="Arial Narrow" w:cs="Arial"/>
                <w:sz w:val="20"/>
                <w:vertAlign w:val="superscript"/>
              </w:rPr>
              <w:t>1</w:t>
            </w:r>
          </w:p>
        </w:tc>
      </w:tr>
      <w:tr w:rsidR="00E35519" w:rsidRPr="000D28E9" w14:paraId="4A6A9932" w14:textId="77777777" w:rsidTr="000D28E9">
        <w:trPr>
          <w:cantSplit/>
          <w:trHeight w:val="1164"/>
        </w:trPr>
        <w:tc>
          <w:tcPr>
            <w:tcW w:w="1302" w:type="pct"/>
          </w:tcPr>
          <w:p w14:paraId="4A6A9926"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RFA</w:t>
            </w:r>
          </w:p>
          <w:p w14:paraId="4A6A9927"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Assessed with: Kaplan-Meier estimate (95%CI not reported)</w:t>
            </w:r>
          </w:p>
          <w:p w14:paraId="4A6A9928"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F/U range 19 to 46 months</w:t>
            </w:r>
          </w:p>
        </w:tc>
        <w:tc>
          <w:tcPr>
            <w:tcW w:w="734" w:type="pct"/>
          </w:tcPr>
          <w:p w14:paraId="4A6A9929"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 xml:space="preserve">1 Level III-3 study </w:t>
            </w:r>
          </w:p>
          <w:p w14:paraId="4A6A992A"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7 Level IV studies</w:t>
            </w:r>
          </w:p>
          <w:p w14:paraId="4A6A992B" w14:textId="77777777" w:rsidR="00E35519" w:rsidRPr="000D28E9" w:rsidRDefault="00E35519" w:rsidP="000D28E9">
            <w:pPr>
              <w:spacing w:before="0" w:after="0"/>
              <w:rPr>
                <w:rFonts w:ascii="Arial Narrow" w:eastAsia="Calibri" w:hAnsi="Arial Narrow" w:cs="Arial"/>
                <w:sz w:val="20"/>
              </w:rPr>
            </w:pPr>
          </w:p>
        </w:tc>
        <w:tc>
          <w:tcPr>
            <w:tcW w:w="2053" w:type="pct"/>
          </w:tcPr>
          <w:p w14:paraId="4A6A992C" w14:textId="77777777" w:rsidR="00E35519" w:rsidRPr="000D28E9" w:rsidRDefault="00E35519" w:rsidP="000D28E9">
            <w:pPr>
              <w:spacing w:before="0" w:after="0"/>
              <w:rPr>
                <w:rFonts w:ascii="Arial Narrow" w:eastAsia="Calibri" w:hAnsi="Arial Narrow" w:cs="Arial"/>
                <w:sz w:val="20"/>
                <w:u w:val="single"/>
              </w:rPr>
            </w:pPr>
            <w:r w:rsidRPr="000D28E9">
              <w:rPr>
                <w:rFonts w:ascii="Arial Narrow" w:eastAsia="Calibri" w:hAnsi="Arial Narrow" w:cs="Arial"/>
                <w:sz w:val="20"/>
                <w:u w:val="single"/>
              </w:rPr>
              <w:t>Median survival rate, pooled</w:t>
            </w:r>
          </w:p>
          <w:p w14:paraId="4A6A992D"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1-year 86.3% (range 83–100%)</w:t>
            </w:r>
          </w:p>
          <w:p w14:paraId="4A6A992E"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2-year 74% (range 69.8–86%)</w:t>
            </w:r>
          </w:p>
          <w:p w14:paraId="4A6A992F"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3-year 62.8% (rang</w:t>
            </w:r>
            <w:bookmarkStart w:id="11" w:name="_GoBack"/>
            <w:bookmarkEnd w:id="11"/>
            <w:r w:rsidRPr="000D28E9">
              <w:rPr>
                <w:rFonts w:ascii="Arial Narrow" w:eastAsia="Calibri" w:hAnsi="Arial Narrow" w:cs="Arial"/>
                <w:sz w:val="20"/>
              </w:rPr>
              <w:t>e 40–74%)</w:t>
            </w:r>
          </w:p>
          <w:p w14:paraId="4A6A9930"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5-year 28% (range 14–61%)</w:t>
            </w:r>
          </w:p>
        </w:tc>
        <w:tc>
          <w:tcPr>
            <w:tcW w:w="910" w:type="pct"/>
          </w:tcPr>
          <w:p w14:paraId="4A6A9931" w14:textId="77777777" w:rsidR="00E35519" w:rsidRPr="000D28E9" w:rsidRDefault="00E35519" w:rsidP="000D28E9">
            <w:pPr>
              <w:spacing w:before="0" w:after="0"/>
              <w:rPr>
                <w:rFonts w:ascii="Arial Narrow" w:eastAsia="Calibri" w:hAnsi="Arial Narrow" w:cs="Arial"/>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cs="Arial"/>
                <w:sz w:val="20"/>
              </w:rPr>
              <w:br/>
              <w:t>VERY LOW</w:t>
            </w:r>
            <w:r w:rsidRPr="000D28E9">
              <w:rPr>
                <w:rFonts w:ascii="Arial Narrow" w:eastAsia="Calibri" w:hAnsi="Arial Narrow" w:cs="Arial"/>
                <w:sz w:val="20"/>
                <w:vertAlign w:val="superscript"/>
              </w:rPr>
              <w:t xml:space="preserve"> 3</w:t>
            </w:r>
          </w:p>
        </w:tc>
      </w:tr>
      <w:tr w:rsidR="00E35519" w:rsidRPr="000D28E9" w14:paraId="4A6A9945" w14:textId="77777777" w:rsidTr="00E35519">
        <w:trPr>
          <w:cantSplit/>
        </w:trPr>
        <w:tc>
          <w:tcPr>
            <w:tcW w:w="1302" w:type="pct"/>
            <w:tcBorders>
              <w:bottom w:val="single" w:sz="4" w:space="0" w:color="auto"/>
            </w:tcBorders>
          </w:tcPr>
          <w:p w14:paraId="4A6A9933"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Radiotherapy</w:t>
            </w:r>
          </w:p>
          <w:p w14:paraId="4A6A9934"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Assessed with: varied instruments</w:t>
            </w:r>
          </w:p>
          <w:p w14:paraId="4A6A9935"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F/U range 21 to 30.2 months</w:t>
            </w:r>
          </w:p>
        </w:tc>
        <w:tc>
          <w:tcPr>
            <w:tcW w:w="734" w:type="pct"/>
            <w:tcBorders>
              <w:bottom w:val="single" w:sz="4" w:space="0" w:color="auto"/>
            </w:tcBorders>
          </w:tcPr>
          <w:p w14:paraId="4A6A9936"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1 Level II study</w:t>
            </w:r>
          </w:p>
          <w:p w14:paraId="4A6A9937"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1 Level III-1 study</w:t>
            </w:r>
            <w:r w:rsidRPr="000D28E9">
              <w:rPr>
                <w:rFonts w:ascii="Arial Narrow" w:eastAsia="Calibri" w:hAnsi="Arial Narrow" w:cs="Arial"/>
                <w:sz w:val="20"/>
                <w:vertAlign w:val="superscript"/>
              </w:rPr>
              <w:t>5</w:t>
            </w:r>
          </w:p>
        </w:tc>
        <w:tc>
          <w:tcPr>
            <w:tcW w:w="2053" w:type="pct"/>
            <w:tcBorders>
              <w:bottom w:val="single" w:sz="4" w:space="0" w:color="auto"/>
            </w:tcBorders>
          </w:tcPr>
          <w:p w14:paraId="4A6A9938" w14:textId="77777777" w:rsidR="00E35519" w:rsidRPr="000D28E9" w:rsidRDefault="00E35519" w:rsidP="000D28E9">
            <w:pPr>
              <w:spacing w:before="0" w:after="0"/>
              <w:rPr>
                <w:rFonts w:ascii="Arial Narrow" w:eastAsia="Calibri" w:hAnsi="Arial Narrow" w:cs="Arial"/>
                <w:sz w:val="20"/>
              </w:rPr>
            </w:pPr>
            <w:proofErr w:type="spellStart"/>
            <w:r w:rsidRPr="000D28E9">
              <w:rPr>
                <w:rFonts w:ascii="Arial Narrow" w:eastAsia="Calibri" w:hAnsi="Arial Narrow" w:cs="Arial"/>
                <w:sz w:val="20"/>
                <w:u w:val="single"/>
              </w:rPr>
              <w:t>Videtic</w:t>
            </w:r>
            <w:proofErr w:type="spellEnd"/>
            <w:r w:rsidRPr="000D28E9">
              <w:rPr>
                <w:rFonts w:ascii="Arial Narrow" w:eastAsia="Calibri" w:hAnsi="Arial Narrow" w:cs="Arial"/>
                <w:sz w:val="20"/>
                <w:u w:val="single"/>
              </w:rPr>
              <w:t xml:space="preserve"> et al (2015)</w:t>
            </w:r>
          </w:p>
          <w:p w14:paraId="4A6A9939"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i/>
                <w:sz w:val="20"/>
              </w:rPr>
              <w:t>1-year survival</w:t>
            </w:r>
          </w:p>
          <w:p w14:paraId="4A6A993A"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34/1 GY SBRT = 48.6% (95% CI 68.9–92.8%)</w:t>
            </w:r>
          </w:p>
          <w:p w14:paraId="4A6A993B"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 xml:space="preserve">48/4 GY SBRT = 91.1 (95% CI 78.0–96.6%) </w:t>
            </w:r>
          </w:p>
          <w:p w14:paraId="4A6A993C" w14:textId="77777777" w:rsidR="00E35519" w:rsidRPr="000D28E9" w:rsidRDefault="00E35519" w:rsidP="000D28E9">
            <w:pPr>
              <w:spacing w:before="0" w:after="0"/>
              <w:rPr>
                <w:rFonts w:ascii="Arial Narrow" w:eastAsia="Calibri" w:hAnsi="Arial Narrow" w:cs="Arial"/>
                <w:i/>
                <w:sz w:val="20"/>
              </w:rPr>
            </w:pPr>
            <w:r w:rsidRPr="000D28E9">
              <w:rPr>
                <w:rFonts w:ascii="Arial Narrow" w:eastAsia="Calibri" w:hAnsi="Arial Narrow" w:cs="Arial"/>
                <w:i/>
                <w:sz w:val="20"/>
              </w:rPr>
              <w:t xml:space="preserve">2-year survival </w:t>
            </w:r>
          </w:p>
          <w:p w14:paraId="4A6A993D"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 xml:space="preserve">34/1 GY SBRT = 61.3% (95% CI 44.2–74.6%) </w:t>
            </w:r>
          </w:p>
          <w:p w14:paraId="4A6A993E"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48/4 GY SBRT = 77.7% (95% CI 62.5–87.3%)</w:t>
            </w:r>
          </w:p>
          <w:p w14:paraId="4A6A993F"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u w:val="single"/>
              </w:rPr>
              <w:t>Koshy et al (2015)</w:t>
            </w:r>
          </w:p>
          <w:p w14:paraId="4A6A9940" w14:textId="77777777" w:rsidR="00E35519" w:rsidRPr="000D28E9" w:rsidRDefault="00E35519" w:rsidP="000D28E9">
            <w:pPr>
              <w:spacing w:before="0" w:after="0"/>
              <w:rPr>
                <w:rFonts w:ascii="Arial Narrow" w:eastAsia="Calibri" w:hAnsi="Arial Narrow" w:cs="Arial"/>
                <w:i/>
                <w:sz w:val="20"/>
              </w:rPr>
            </w:pPr>
            <w:r w:rsidRPr="000D28E9">
              <w:rPr>
                <w:rFonts w:ascii="Arial Narrow" w:eastAsia="Calibri" w:hAnsi="Arial Narrow" w:cs="Arial"/>
                <w:i/>
                <w:sz w:val="20"/>
              </w:rPr>
              <w:t xml:space="preserve">3-year survival </w:t>
            </w:r>
          </w:p>
          <w:p w14:paraId="4A6A9941"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 xml:space="preserve">No therapy = 28% , Conventional radiotherapy = 36%, SBRT = 48% </w:t>
            </w:r>
          </w:p>
          <w:p w14:paraId="4A6A9942"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A propensity-matched cohort reported 3 year overall survival with SBRT of 48% and with conventional radiotherapy of 40% (p = 0.001).</w:t>
            </w:r>
          </w:p>
        </w:tc>
        <w:tc>
          <w:tcPr>
            <w:tcW w:w="910" w:type="pct"/>
            <w:tcBorders>
              <w:bottom w:val="single" w:sz="4" w:space="0" w:color="auto"/>
            </w:tcBorders>
          </w:tcPr>
          <w:p w14:paraId="4A6A9943" w14:textId="77777777" w:rsidR="00E35519" w:rsidRPr="000D28E9" w:rsidRDefault="00E35519" w:rsidP="000D28E9">
            <w:pPr>
              <w:spacing w:before="0" w:after="0"/>
              <w:rPr>
                <w:rFonts w:ascii="Arial Narrow" w:eastAsia="Calibri" w:hAnsi="Arial Narrow" w:cs="Arial"/>
                <w:color w:val="C00000"/>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p>
          <w:p w14:paraId="4A6A9944" w14:textId="77777777" w:rsidR="00E35519" w:rsidRPr="000D28E9" w:rsidRDefault="00E35519" w:rsidP="000D28E9">
            <w:pPr>
              <w:spacing w:before="0" w:after="0"/>
              <w:rPr>
                <w:rFonts w:ascii="Arial Narrow" w:hAnsi="Arial Narrow" w:cs="Arial"/>
                <w:sz w:val="20"/>
              </w:rPr>
            </w:pPr>
            <w:r w:rsidRPr="000D28E9">
              <w:rPr>
                <w:rFonts w:ascii="Arial Narrow" w:eastAsia="Calibri" w:hAnsi="Arial Narrow" w:cs="Arial"/>
                <w:sz w:val="20"/>
              </w:rPr>
              <w:t>LOW</w:t>
            </w:r>
          </w:p>
        </w:tc>
      </w:tr>
      <w:tr w:rsidR="00E35519" w:rsidRPr="000D28E9" w14:paraId="4A6A994A" w14:textId="77777777" w:rsidTr="00E35519">
        <w:trPr>
          <w:cantSplit/>
          <w:trHeight w:val="77"/>
        </w:trPr>
        <w:tc>
          <w:tcPr>
            <w:tcW w:w="1302" w:type="pct"/>
            <w:tcBorders>
              <w:right w:val="nil"/>
            </w:tcBorders>
            <w:shd w:val="clear" w:color="auto" w:fill="D9D9D9" w:themeFill="background1" w:themeFillShade="D9"/>
          </w:tcPr>
          <w:p w14:paraId="4A6A9946" w14:textId="77777777" w:rsidR="00E35519" w:rsidRPr="000D28E9" w:rsidRDefault="00E35519" w:rsidP="000D28E9">
            <w:pPr>
              <w:spacing w:before="0" w:after="0"/>
              <w:rPr>
                <w:rFonts w:ascii="Arial Narrow" w:eastAsia="Calibri" w:hAnsi="Arial Narrow" w:cs="Arial"/>
                <w:b/>
                <w:sz w:val="20"/>
              </w:rPr>
            </w:pPr>
            <w:r w:rsidRPr="000D28E9">
              <w:rPr>
                <w:rFonts w:ascii="Arial Narrow" w:eastAsia="Calibri" w:hAnsi="Arial Narrow" w:cs="Arial"/>
                <w:b/>
                <w:sz w:val="20"/>
              </w:rPr>
              <w:t>Median survival time</w:t>
            </w:r>
          </w:p>
        </w:tc>
        <w:tc>
          <w:tcPr>
            <w:tcW w:w="734" w:type="pct"/>
            <w:tcBorders>
              <w:left w:val="nil"/>
              <w:right w:val="nil"/>
            </w:tcBorders>
            <w:shd w:val="clear" w:color="auto" w:fill="D9D9D9" w:themeFill="background1" w:themeFillShade="D9"/>
          </w:tcPr>
          <w:p w14:paraId="4A6A9947" w14:textId="77777777" w:rsidR="00E35519" w:rsidRPr="000D28E9" w:rsidRDefault="00E35519" w:rsidP="000D28E9">
            <w:pPr>
              <w:spacing w:before="0" w:after="0"/>
              <w:rPr>
                <w:rFonts w:ascii="Arial Narrow" w:eastAsia="Calibri" w:hAnsi="Arial Narrow" w:cs="Arial"/>
                <w:sz w:val="20"/>
              </w:rPr>
            </w:pPr>
          </w:p>
        </w:tc>
        <w:tc>
          <w:tcPr>
            <w:tcW w:w="2053" w:type="pct"/>
            <w:tcBorders>
              <w:left w:val="nil"/>
              <w:right w:val="nil"/>
            </w:tcBorders>
            <w:shd w:val="clear" w:color="auto" w:fill="D9D9D9" w:themeFill="background1" w:themeFillShade="D9"/>
          </w:tcPr>
          <w:p w14:paraId="4A6A9948" w14:textId="77777777" w:rsidR="00E35519" w:rsidRPr="000D28E9" w:rsidRDefault="00E35519" w:rsidP="000D28E9">
            <w:pPr>
              <w:spacing w:before="0" w:after="0"/>
              <w:rPr>
                <w:rFonts w:ascii="Arial Narrow" w:eastAsia="Calibri" w:hAnsi="Arial Narrow" w:cs="Arial"/>
                <w:sz w:val="20"/>
              </w:rPr>
            </w:pPr>
          </w:p>
        </w:tc>
        <w:tc>
          <w:tcPr>
            <w:tcW w:w="910" w:type="pct"/>
            <w:tcBorders>
              <w:left w:val="nil"/>
            </w:tcBorders>
            <w:shd w:val="clear" w:color="auto" w:fill="D9D9D9" w:themeFill="background1" w:themeFillShade="D9"/>
          </w:tcPr>
          <w:p w14:paraId="4A6A9949" w14:textId="77777777" w:rsidR="00E35519" w:rsidRPr="000D28E9" w:rsidRDefault="00E35519" w:rsidP="000D28E9">
            <w:pPr>
              <w:spacing w:before="0" w:after="0"/>
              <w:rPr>
                <w:rFonts w:ascii="Arial Narrow" w:eastAsia="Calibri" w:hAnsi="Arial Narrow" w:cs="Arial"/>
                <w:sz w:val="20"/>
              </w:rPr>
            </w:pPr>
          </w:p>
        </w:tc>
      </w:tr>
      <w:tr w:rsidR="00E35519" w:rsidRPr="000D28E9" w14:paraId="4A6A9954" w14:textId="77777777" w:rsidTr="00E35519">
        <w:trPr>
          <w:cantSplit/>
        </w:trPr>
        <w:tc>
          <w:tcPr>
            <w:tcW w:w="1302" w:type="pct"/>
          </w:tcPr>
          <w:p w14:paraId="4A6A994B"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MTA</w:t>
            </w:r>
          </w:p>
          <w:p w14:paraId="4A6A994C"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Assessed with: Kaplan-Meier estimate (95%CI)</w:t>
            </w:r>
          </w:p>
          <w:p w14:paraId="4A6A994D"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F/U range 23 to 30 months</w:t>
            </w:r>
          </w:p>
        </w:tc>
        <w:tc>
          <w:tcPr>
            <w:tcW w:w="734" w:type="pct"/>
          </w:tcPr>
          <w:p w14:paraId="4A6A994E"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 xml:space="preserve">2 Level IV studies </w:t>
            </w:r>
          </w:p>
        </w:tc>
        <w:tc>
          <w:tcPr>
            <w:tcW w:w="2053" w:type="pct"/>
          </w:tcPr>
          <w:p w14:paraId="4A6A994F" w14:textId="77777777" w:rsidR="00E35519" w:rsidRPr="000D28E9" w:rsidRDefault="00E35519" w:rsidP="000D28E9">
            <w:pPr>
              <w:spacing w:before="0" w:after="0"/>
              <w:rPr>
                <w:rFonts w:ascii="Arial Narrow" w:eastAsia="Calibri" w:hAnsi="Arial Narrow" w:cs="Arial"/>
                <w:sz w:val="20"/>
                <w:u w:val="single"/>
              </w:rPr>
            </w:pPr>
            <w:r w:rsidRPr="000D28E9">
              <w:rPr>
                <w:rFonts w:ascii="Arial Narrow" w:eastAsia="Calibri" w:hAnsi="Arial Narrow" w:cs="Arial"/>
                <w:sz w:val="20"/>
                <w:u w:val="single"/>
              </w:rPr>
              <w:t>Han et al (2015)</w:t>
            </w:r>
          </w:p>
          <w:p w14:paraId="4A6A9950"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35.0 months (95%CI 22.3–47.7)</w:t>
            </w:r>
          </w:p>
          <w:p w14:paraId="4A6A9951"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u w:val="single"/>
              </w:rPr>
              <w:t>Yang et al (2014)</w:t>
            </w:r>
          </w:p>
          <w:p w14:paraId="4A6A9952"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 xml:space="preserve">33.8 months (95%CI 31.9–35.7) </w:t>
            </w:r>
            <w:r w:rsidRPr="000D28E9">
              <w:rPr>
                <w:rFonts w:ascii="Arial Narrow" w:eastAsia="Calibri" w:hAnsi="Arial Narrow" w:cs="Arial"/>
                <w:sz w:val="20"/>
                <w:vertAlign w:val="superscript"/>
              </w:rPr>
              <w:t>2</w:t>
            </w:r>
          </w:p>
        </w:tc>
        <w:tc>
          <w:tcPr>
            <w:tcW w:w="910" w:type="pct"/>
          </w:tcPr>
          <w:p w14:paraId="4A6A9953" w14:textId="77777777" w:rsidR="00E35519" w:rsidRPr="000D28E9" w:rsidRDefault="00E35519" w:rsidP="000D28E9">
            <w:pPr>
              <w:spacing w:before="0" w:after="0"/>
              <w:rPr>
                <w:rFonts w:ascii="Arial Narrow" w:eastAsia="Calibri" w:hAnsi="Arial Narrow" w:cs="Arial"/>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cs="Arial"/>
                <w:sz w:val="20"/>
              </w:rPr>
              <w:br/>
              <w:t xml:space="preserve">VERY LOW </w:t>
            </w:r>
            <w:r w:rsidRPr="000D28E9">
              <w:rPr>
                <w:rFonts w:ascii="Arial Narrow" w:eastAsia="Calibri" w:hAnsi="Arial Narrow" w:cs="Arial"/>
                <w:sz w:val="20"/>
                <w:vertAlign w:val="superscript"/>
              </w:rPr>
              <w:t>5</w:t>
            </w:r>
          </w:p>
        </w:tc>
      </w:tr>
      <w:tr w:rsidR="00E35519" w:rsidRPr="000D28E9" w14:paraId="4A6A995B" w14:textId="77777777" w:rsidTr="00E35519">
        <w:trPr>
          <w:cantSplit/>
        </w:trPr>
        <w:tc>
          <w:tcPr>
            <w:tcW w:w="1302" w:type="pct"/>
          </w:tcPr>
          <w:p w14:paraId="4A6A9955"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lastRenderedPageBreak/>
              <w:t>RFA</w:t>
            </w:r>
          </w:p>
          <w:p w14:paraId="4A6A9956"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Assessed with: Kaplan-Meier estimate (95%CI)</w:t>
            </w:r>
          </w:p>
          <w:p w14:paraId="4A6A9957"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F/U range 19 to 37 months</w:t>
            </w:r>
          </w:p>
        </w:tc>
        <w:tc>
          <w:tcPr>
            <w:tcW w:w="734" w:type="pct"/>
          </w:tcPr>
          <w:p w14:paraId="4A6A9958"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6 Level IV studies</w:t>
            </w:r>
          </w:p>
        </w:tc>
        <w:tc>
          <w:tcPr>
            <w:tcW w:w="2053" w:type="pct"/>
          </w:tcPr>
          <w:p w14:paraId="4A6A9959"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Median overall survival 42.8 months (range: 33.4–67)</w:t>
            </w:r>
          </w:p>
        </w:tc>
        <w:tc>
          <w:tcPr>
            <w:tcW w:w="910" w:type="pct"/>
          </w:tcPr>
          <w:p w14:paraId="4A6A995A" w14:textId="77777777" w:rsidR="00E35519" w:rsidRPr="000D28E9" w:rsidRDefault="00E35519" w:rsidP="000D28E9">
            <w:pPr>
              <w:spacing w:before="0" w:after="0"/>
              <w:rPr>
                <w:rFonts w:ascii="Arial Narrow" w:eastAsia="Calibri" w:hAnsi="Arial Narrow" w:cs="Arial"/>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cs="Arial"/>
                <w:sz w:val="20"/>
              </w:rPr>
              <w:br/>
              <w:t xml:space="preserve">VERY LOW </w:t>
            </w:r>
            <w:r w:rsidRPr="000D28E9">
              <w:rPr>
                <w:rFonts w:ascii="Arial Narrow" w:eastAsia="Calibri" w:hAnsi="Arial Narrow" w:cs="Arial"/>
                <w:sz w:val="20"/>
                <w:vertAlign w:val="superscript"/>
              </w:rPr>
              <w:t>3</w:t>
            </w:r>
          </w:p>
        </w:tc>
      </w:tr>
      <w:tr w:rsidR="00E35519" w:rsidRPr="000D28E9" w14:paraId="4A6A9960" w14:textId="77777777" w:rsidTr="00E35519">
        <w:trPr>
          <w:cantSplit/>
        </w:trPr>
        <w:tc>
          <w:tcPr>
            <w:tcW w:w="1302" w:type="pct"/>
            <w:tcBorders>
              <w:bottom w:val="single" w:sz="4" w:space="0" w:color="auto"/>
            </w:tcBorders>
          </w:tcPr>
          <w:p w14:paraId="4A6A995C" w14:textId="77777777" w:rsidR="000D28E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Radiotherapy Not reported</w:t>
            </w:r>
          </w:p>
        </w:tc>
        <w:tc>
          <w:tcPr>
            <w:tcW w:w="734" w:type="pct"/>
            <w:tcBorders>
              <w:bottom w:val="single" w:sz="4" w:space="0" w:color="auto"/>
            </w:tcBorders>
          </w:tcPr>
          <w:p w14:paraId="4A6A995D"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0 studies</w:t>
            </w:r>
          </w:p>
        </w:tc>
        <w:tc>
          <w:tcPr>
            <w:tcW w:w="2053" w:type="pct"/>
            <w:tcBorders>
              <w:bottom w:val="single" w:sz="4" w:space="0" w:color="auto"/>
            </w:tcBorders>
          </w:tcPr>
          <w:p w14:paraId="4A6A995E"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NA</w:t>
            </w:r>
          </w:p>
        </w:tc>
        <w:tc>
          <w:tcPr>
            <w:tcW w:w="910" w:type="pct"/>
            <w:tcBorders>
              <w:bottom w:val="single" w:sz="4" w:space="0" w:color="auto"/>
            </w:tcBorders>
          </w:tcPr>
          <w:p w14:paraId="4A6A995F"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NA</w:t>
            </w:r>
          </w:p>
        </w:tc>
      </w:tr>
      <w:tr w:rsidR="00E35519" w:rsidRPr="000D28E9" w14:paraId="4A6A9965" w14:textId="77777777" w:rsidTr="00E35519">
        <w:trPr>
          <w:cantSplit/>
        </w:trPr>
        <w:tc>
          <w:tcPr>
            <w:tcW w:w="1302" w:type="pct"/>
            <w:tcBorders>
              <w:right w:val="nil"/>
            </w:tcBorders>
            <w:shd w:val="clear" w:color="auto" w:fill="D9D9D9" w:themeFill="background1" w:themeFillShade="D9"/>
          </w:tcPr>
          <w:p w14:paraId="4A6A9961" w14:textId="77777777" w:rsidR="00E35519" w:rsidRPr="000D28E9" w:rsidRDefault="00E35519" w:rsidP="000D28E9">
            <w:pPr>
              <w:spacing w:before="0" w:after="0"/>
              <w:rPr>
                <w:rFonts w:ascii="Arial Narrow" w:eastAsia="Calibri" w:hAnsi="Arial Narrow" w:cs="Arial"/>
                <w:b/>
                <w:sz w:val="20"/>
              </w:rPr>
            </w:pPr>
            <w:r w:rsidRPr="000D28E9">
              <w:rPr>
                <w:rFonts w:ascii="Arial Narrow" w:eastAsia="Calibri" w:hAnsi="Arial Narrow" w:cs="Arial"/>
                <w:b/>
                <w:sz w:val="20"/>
              </w:rPr>
              <w:t>Time to local progression</w:t>
            </w:r>
          </w:p>
        </w:tc>
        <w:tc>
          <w:tcPr>
            <w:tcW w:w="734" w:type="pct"/>
            <w:tcBorders>
              <w:left w:val="nil"/>
              <w:right w:val="nil"/>
            </w:tcBorders>
            <w:shd w:val="clear" w:color="auto" w:fill="D9D9D9" w:themeFill="background1" w:themeFillShade="D9"/>
          </w:tcPr>
          <w:p w14:paraId="4A6A9962" w14:textId="77777777" w:rsidR="00E35519" w:rsidRPr="000D28E9" w:rsidRDefault="00E35519" w:rsidP="000D28E9">
            <w:pPr>
              <w:spacing w:before="0" w:after="0"/>
              <w:rPr>
                <w:rFonts w:ascii="Arial Narrow" w:eastAsia="Calibri" w:hAnsi="Arial Narrow" w:cs="Arial"/>
                <w:sz w:val="20"/>
              </w:rPr>
            </w:pPr>
          </w:p>
        </w:tc>
        <w:tc>
          <w:tcPr>
            <w:tcW w:w="2053" w:type="pct"/>
            <w:tcBorders>
              <w:left w:val="nil"/>
              <w:right w:val="nil"/>
            </w:tcBorders>
            <w:shd w:val="clear" w:color="auto" w:fill="D9D9D9" w:themeFill="background1" w:themeFillShade="D9"/>
          </w:tcPr>
          <w:p w14:paraId="4A6A9963" w14:textId="77777777" w:rsidR="00E35519" w:rsidRPr="000D28E9" w:rsidRDefault="00E35519" w:rsidP="000D28E9">
            <w:pPr>
              <w:spacing w:before="0" w:after="0"/>
              <w:rPr>
                <w:rFonts w:ascii="Arial Narrow" w:eastAsia="Calibri" w:hAnsi="Arial Narrow" w:cs="Arial"/>
                <w:sz w:val="20"/>
              </w:rPr>
            </w:pPr>
          </w:p>
        </w:tc>
        <w:tc>
          <w:tcPr>
            <w:tcW w:w="910" w:type="pct"/>
            <w:tcBorders>
              <w:left w:val="nil"/>
            </w:tcBorders>
            <w:shd w:val="clear" w:color="auto" w:fill="D9D9D9" w:themeFill="background1" w:themeFillShade="D9"/>
          </w:tcPr>
          <w:p w14:paraId="4A6A9964" w14:textId="77777777" w:rsidR="00E35519" w:rsidRPr="000D28E9" w:rsidRDefault="00E35519" w:rsidP="000D28E9">
            <w:pPr>
              <w:spacing w:before="0" w:after="0"/>
              <w:rPr>
                <w:rFonts w:ascii="Arial Narrow" w:eastAsia="Calibri" w:hAnsi="Arial Narrow" w:cs="Arial"/>
                <w:sz w:val="20"/>
              </w:rPr>
            </w:pPr>
          </w:p>
        </w:tc>
      </w:tr>
      <w:tr w:rsidR="00E35519" w:rsidRPr="000D28E9" w14:paraId="4A6A996F" w14:textId="77777777" w:rsidTr="00E35519">
        <w:trPr>
          <w:cantSplit/>
        </w:trPr>
        <w:tc>
          <w:tcPr>
            <w:tcW w:w="1302" w:type="pct"/>
          </w:tcPr>
          <w:p w14:paraId="4A6A9966"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MTA</w:t>
            </w:r>
          </w:p>
          <w:p w14:paraId="4A6A9967"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Assessed with: Kaplan-Meier estimate (95%CI)</w:t>
            </w:r>
          </w:p>
          <w:p w14:paraId="4A6A9968"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F/U range 23 to 30 months</w:t>
            </w:r>
          </w:p>
        </w:tc>
        <w:tc>
          <w:tcPr>
            <w:tcW w:w="734" w:type="pct"/>
          </w:tcPr>
          <w:p w14:paraId="4A6A9969"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2 Level IV studies</w:t>
            </w:r>
          </w:p>
        </w:tc>
        <w:tc>
          <w:tcPr>
            <w:tcW w:w="2053" w:type="pct"/>
          </w:tcPr>
          <w:p w14:paraId="4A6A996A"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u w:val="single"/>
              </w:rPr>
              <w:t>Han et al (2015)</w:t>
            </w:r>
            <w:r w:rsidRPr="000D28E9">
              <w:rPr>
                <w:rFonts w:ascii="Arial Narrow" w:eastAsia="Calibri" w:hAnsi="Arial Narrow" w:cs="Arial"/>
                <w:sz w:val="20"/>
              </w:rPr>
              <w:t xml:space="preserve"> </w:t>
            </w:r>
          </w:p>
          <w:p w14:paraId="4A6A996B"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28.0 months (95%CI 17.7–38.3)</w:t>
            </w:r>
          </w:p>
          <w:p w14:paraId="4A6A996C"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u w:val="single"/>
              </w:rPr>
              <w:t xml:space="preserve">Yang et al (2015) </w:t>
            </w:r>
          </w:p>
          <w:p w14:paraId="4A6A996D"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45.5 months (95%CI: 28.8–61.8)</w:t>
            </w:r>
          </w:p>
        </w:tc>
        <w:tc>
          <w:tcPr>
            <w:tcW w:w="910" w:type="pct"/>
          </w:tcPr>
          <w:p w14:paraId="4A6A996E" w14:textId="77777777" w:rsidR="00E35519" w:rsidRPr="000D28E9" w:rsidRDefault="00E35519" w:rsidP="000D28E9">
            <w:pPr>
              <w:spacing w:before="0" w:after="0"/>
              <w:rPr>
                <w:rFonts w:ascii="Arial Narrow" w:eastAsia="Calibri" w:hAnsi="Arial Narrow" w:cs="Arial"/>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cs="Arial"/>
                <w:sz w:val="20"/>
              </w:rPr>
              <w:br/>
              <w:t xml:space="preserve">VERY LOW </w:t>
            </w:r>
            <w:r w:rsidRPr="000D28E9">
              <w:rPr>
                <w:rFonts w:ascii="Arial Narrow" w:eastAsia="Calibri" w:hAnsi="Arial Narrow" w:cs="Arial"/>
                <w:sz w:val="20"/>
                <w:vertAlign w:val="superscript"/>
              </w:rPr>
              <w:t>6,7</w:t>
            </w:r>
          </w:p>
        </w:tc>
      </w:tr>
      <w:tr w:rsidR="00E35519" w:rsidRPr="000D28E9" w14:paraId="4A6A997F" w14:textId="77777777" w:rsidTr="00E35519">
        <w:trPr>
          <w:cantSplit/>
        </w:trPr>
        <w:tc>
          <w:tcPr>
            <w:tcW w:w="1302" w:type="pct"/>
          </w:tcPr>
          <w:p w14:paraId="4A6A9970"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RFA</w:t>
            </w:r>
          </w:p>
          <w:p w14:paraId="4A6A9971"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Assessed with: Kaplan-Meier estimate (95%CI)</w:t>
            </w:r>
          </w:p>
          <w:p w14:paraId="4A6A9972"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F/U 19 to 46 months</w:t>
            </w:r>
          </w:p>
        </w:tc>
        <w:tc>
          <w:tcPr>
            <w:tcW w:w="734" w:type="pct"/>
          </w:tcPr>
          <w:p w14:paraId="4A6A9973" w14:textId="77777777" w:rsidR="00E35519" w:rsidRPr="000D28E9" w:rsidRDefault="00E35519" w:rsidP="000D28E9">
            <w:pPr>
              <w:spacing w:before="0" w:after="0"/>
              <w:rPr>
                <w:rFonts w:ascii="Arial Narrow" w:eastAsia="Calibri" w:hAnsi="Arial Narrow" w:cs="Arial"/>
                <w:sz w:val="20"/>
                <w:vertAlign w:val="superscript"/>
              </w:rPr>
            </w:pPr>
            <w:r w:rsidRPr="000D28E9">
              <w:rPr>
                <w:rFonts w:ascii="Arial Narrow" w:eastAsia="Calibri" w:hAnsi="Arial Narrow" w:cs="Arial"/>
                <w:sz w:val="20"/>
              </w:rPr>
              <w:t>1 Level III-3 study</w:t>
            </w:r>
            <w:r w:rsidRPr="000D28E9">
              <w:rPr>
                <w:rFonts w:ascii="Arial Narrow" w:eastAsia="Calibri" w:hAnsi="Arial Narrow" w:cs="Arial"/>
                <w:sz w:val="20"/>
                <w:vertAlign w:val="superscript"/>
              </w:rPr>
              <w:t>8</w:t>
            </w:r>
          </w:p>
          <w:p w14:paraId="4A6A9974"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3 Level IV studies</w:t>
            </w:r>
          </w:p>
          <w:p w14:paraId="4A6A9975" w14:textId="77777777" w:rsidR="00E35519" w:rsidRPr="000D28E9" w:rsidRDefault="00E35519" w:rsidP="000D28E9">
            <w:pPr>
              <w:spacing w:before="0" w:after="0"/>
              <w:rPr>
                <w:rFonts w:ascii="Arial Narrow" w:eastAsia="Calibri" w:hAnsi="Arial Narrow" w:cs="Arial"/>
                <w:sz w:val="20"/>
                <w:vertAlign w:val="superscript"/>
              </w:rPr>
            </w:pPr>
          </w:p>
        </w:tc>
        <w:tc>
          <w:tcPr>
            <w:tcW w:w="2053" w:type="pct"/>
          </w:tcPr>
          <w:p w14:paraId="4A6A9976" w14:textId="77777777" w:rsidR="00E35519" w:rsidRPr="000D28E9" w:rsidRDefault="00E35519" w:rsidP="000D28E9">
            <w:pPr>
              <w:spacing w:before="0" w:after="0"/>
              <w:rPr>
                <w:rFonts w:ascii="Arial Narrow" w:eastAsia="Calibri" w:hAnsi="Arial Narrow" w:cs="Arial"/>
                <w:sz w:val="20"/>
              </w:rPr>
            </w:pPr>
            <w:proofErr w:type="spellStart"/>
            <w:r w:rsidRPr="000D28E9">
              <w:rPr>
                <w:rFonts w:ascii="Arial Narrow" w:eastAsia="Calibri" w:hAnsi="Arial Narrow" w:cs="Arial"/>
                <w:sz w:val="20"/>
                <w:u w:val="single"/>
              </w:rPr>
              <w:t>Ambrogi</w:t>
            </w:r>
            <w:proofErr w:type="spellEnd"/>
            <w:r w:rsidRPr="000D28E9">
              <w:rPr>
                <w:rFonts w:ascii="Arial Narrow" w:eastAsia="Calibri" w:hAnsi="Arial Narrow" w:cs="Arial"/>
                <w:sz w:val="20"/>
                <w:u w:val="single"/>
              </w:rPr>
              <w:t xml:space="preserve"> et al (2011)</w:t>
            </w:r>
          </w:p>
          <w:p w14:paraId="4A6A9977"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Median of 39 months (range NR)</w:t>
            </w:r>
          </w:p>
          <w:p w14:paraId="4A6A9978" w14:textId="77777777" w:rsidR="00E35519" w:rsidRPr="000D28E9" w:rsidRDefault="00E35519" w:rsidP="000D28E9">
            <w:pPr>
              <w:spacing w:before="0" w:after="0"/>
              <w:rPr>
                <w:rFonts w:ascii="Arial Narrow" w:eastAsia="Calibri" w:hAnsi="Arial Narrow" w:cs="Arial"/>
                <w:sz w:val="20"/>
              </w:rPr>
            </w:pPr>
            <w:proofErr w:type="spellStart"/>
            <w:r w:rsidRPr="000D28E9">
              <w:rPr>
                <w:rFonts w:ascii="Arial Narrow" w:eastAsia="Calibri" w:hAnsi="Arial Narrow" w:cs="Arial"/>
                <w:sz w:val="20"/>
                <w:u w:val="single"/>
              </w:rPr>
              <w:t>Lanuti</w:t>
            </w:r>
            <w:proofErr w:type="spellEnd"/>
            <w:r w:rsidRPr="000D28E9">
              <w:rPr>
                <w:rFonts w:ascii="Arial Narrow" w:eastAsia="Calibri" w:hAnsi="Arial Narrow" w:cs="Arial"/>
                <w:sz w:val="20"/>
                <w:u w:val="single"/>
              </w:rPr>
              <w:t xml:space="preserve"> et al (2012)</w:t>
            </w:r>
          </w:p>
          <w:p w14:paraId="4A6A9979"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mean (SD) of 12 (10) months, range 1–44</w:t>
            </w:r>
          </w:p>
          <w:p w14:paraId="4A6A997A"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u w:val="single"/>
              </w:rPr>
              <w:t>Liu et al (2012)</w:t>
            </w:r>
          </w:p>
          <w:p w14:paraId="4A6A997B"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mean (SD): 25 (11) months, range 4–35</w:t>
            </w:r>
          </w:p>
          <w:p w14:paraId="4A6A997C"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u w:val="single"/>
              </w:rPr>
              <w:t>Safi et al (2015)</w:t>
            </w:r>
          </w:p>
          <w:p w14:paraId="4A6A997D"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11.9 ± 8.1 (1–24) months with RFA and 6.0 ± 3.0 (1–46) months with radiotherapy, p = 0.36 for test of significance</w:t>
            </w:r>
          </w:p>
        </w:tc>
        <w:tc>
          <w:tcPr>
            <w:tcW w:w="910" w:type="pct"/>
          </w:tcPr>
          <w:p w14:paraId="4A6A997E" w14:textId="77777777" w:rsidR="00E35519" w:rsidRPr="000D28E9" w:rsidRDefault="00E35519" w:rsidP="000D28E9">
            <w:pPr>
              <w:spacing w:before="0" w:after="0"/>
              <w:rPr>
                <w:rFonts w:ascii="Arial Narrow" w:eastAsia="Calibri" w:hAnsi="Arial Narrow" w:cs="Arial"/>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cs="Arial"/>
                <w:sz w:val="20"/>
              </w:rPr>
              <w:br/>
              <w:t xml:space="preserve">VERY LOW </w:t>
            </w:r>
            <w:r w:rsidRPr="000D28E9">
              <w:rPr>
                <w:rFonts w:ascii="Arial Narrow" w:eastAsia="Calibri" w:hAnsi="Arial Narrow" w:cs="Arial"/>
                <w:sz w:val="20"/>
                <w:vertAlign w:val="superscript"/>
              </w:rPr>
              <w:t>9</w:t>
            </w:r>
          </w:p>
        </w:tc>
      </w:tr>
      <w:tr w:rsidR="00E35519" w:rsidRPr="000D28E9" w14:paraId="4A6A9985" w14:textId="77777777" w:rsidTr="00E35519">
        <w:trPr>
          <w:cantSplit/>
        </w:trPr>
        <w:tc>
          <w:tcPr>
            <w:tcW w:w="1302" w:type="pct"/>
          </w:tcPr>
          <w:p w14:paraId="4A6A9980"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Radiotherapy</w:t>
            </w:r>
          </w:p>
          <w:p w14:paraId="4A6A9981"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Not reported</w:t>
            </w:r>
          </w:p>
        </w:tc>
        <w:tc>
          <w:tcPr>
            <w:tcW w:w="734" w:type="pct"/>
          </w:tcPr>
          <w:p w14:paraId="4A6A9982"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0 studies</w:t>
            </w:r>
          </w:p>
        </w:tc>
        <w:tc>
          <w:tcPr>
            <w:tcW w:w="2053" w:type="pct"/>
          </w:tcPr>
          <w:p w14:paraId="4A6A9983"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NA</w:t>
            </w:r>
          </w:p>
        </w:tc>
        <w:tc>
          <w:tcPr>
            <w:tcW w:w="910" w:type="pct"/>
          </w:tcPr>
          <w:p w14:paraId="4A6A9984" w14:textId="77777777" w:rsidR="00E35519" w:rsidRPr="000D28E9" w:rsidRDefault="00E35519" w:rsidP="000D28E9">
            <w:pPr>
              <w:spacing w:before="0" w:after="0"/>
              <w:rPr>
                <w:rFonts w:ascii="Arial Narrow" w:eastAsia="Calibri" w:hAnsi="Arial Narrow" w:cs="Arial"/>
                <w:sz w:val="20"/>
              </w:rPr>
            </w:pPr>
            <w:r w:rsidRPr="000D28E9">
              <w:rPr>
                <w:rFonts w:ascii="Arial Narrow" w:eastAsia="Calibri" w:hAnsi="Arial Narrow" w:cs="Arial"/>
                <w:sz w:val="20"/>
              </w:rPr>
              <w:t>NA</w:t>
            </w:r>
          </w:p>
        </w:tc>
      </w:tr>
    </w:tbl>
    <w:p w14:paraId="4A6A9986" w14:textId="77777777" w:rsidR="00E35519" w:rsidRPr="000D28E9" w:rsidRDefault="00E35519" w:rsidP="00E35519">
      <w:pPr>
        <w:widowControl w:val="0"/>
        <w:spacing w:before="60" w:after="60"/>
        <w:rPr>
          <w:snapToGrid w:val="0"/>
          <w:sz w:val="18"/>
          <w:szCs w:val="18"/>
          <w:lang w:eastAsia="en-US"/>
        </w:rPr>
      </w:pPr>
      <w:r w:rsidRPr="000D28E9">
        <w:rPr>
          <w:snapToGrid w:val="0"/>
          <w:sz w:val="18"/>
          <w:szCs w:val="18"/>
          <w:lang w:eastAsia="en-US"/>
        </w:rPr>
        <w:t>&lt; F/U = follow-up; CI = confidence interval; MTA = microwave tissue ablation; NA = not applicable; RFA = radiofrequency ablation; SD = standard deviation; ± = SD; SBRT= stereotactic body radiotherapy &gt;GRADE Working Group grades of evidence (</w:t>
      </w:r>
      <w:proofErr w:type="spellStart"/>
      <w:r w:rsidRPr="000D28E9">
        <w:rPr>
          <w:snapToGrid w:val="0"/>
          <w:sz w:val="18"/>
          <w:szCs w:val="18"/>
          <w:lang w:eastAsia="en-US"/>
        </w:rPr>
        <w:t>Guyatt</w:t>
      </w:r>
      <w:proofErr w:type="spellEnd"/>
      <w:r w:rsidRPr="000D28E9">
        <w:rPr>
          <w:snapToGrid w:val="0"/>
          <w:sz w:val="18"/>
          <w:szCs w:val="18"/>
          <w:lang w:eastAsia="en-US"/>
        </w:rPr>
        <w:t xml:space="preserve"> et al., 2013)</w:t>
      </w:r>
      <w:r w:rsidRPr="000D28E9">
        <w:rPr>
          <w:b/>
          <w:snapToGrid w:val="0"/>
          <w:sz w:val="18"/>
          <w:szCs w:val="18"/>
          <w:lang w:eastAsia="en-US"/>
        </w:rPr>
        <w:t>.</w:t>
      </w:r>
      <w:r w:rsidRPr="000D28E9">
        <w:rPr>
          <w:snapToGrid w:val="0"/>
          <w:sz w:val="18"/>
          <w:szCs w:val="18"/>
          <w:lang w:eastAsia="en-US"/>
        </w:rPr>
        <w:br/>
      </w:r>
      <w:r w:rsidRPr="000D28E9">
        <w:rPr>
          <w:rFonts w:ascii="Cambria Math" w:hAnsi="Cambria Math" w:cs="Cambria Math"/>
          <w:snapToGrid w:val="0"/>
          <w:color w:val="00B050"/>
          <w:sz w:val="18"/>
          <w:szCs w:val="18"/>
          <w:lang w:eastAsia="en-US"/>
        </w:rPr>
        <w:t>⨁⨁</w:t>
      </w:r>
      <w:r w:rsidRPr="000D28E9">
        <w:rPr>
          <w:rFonts w:ascii="Cambria Math" w:hAnsi="Cambria Math" w:cs="Cambria Math"/>
          <w:snapToGrid w:val="0"/>
          <w:color w:val="C00000"/>
          <w:sz w:val="18"/>
          <w:szCs w:val="18"/>
          <w:lang w:eastAsia="en-US"/>
        </w:rPr>
        <w:t>⨀⨀</w:t>
      </w:r>
      <w:r w:rsidRPr="000D28E9">
        <w:rPr>
          <w:snapToGrid w:val="0"/>
          <w:color w:val="C00000"/>
          <w:sz w:val="18"/>
          <w:szCs w:val="18"/>
          <w:lang w:eastAsia="en-US"/>
        </w:rPr>
        <w:t xml:space="preserve"> </w:t>
      </w:r>
      <w:r w:rsidRPr="000D28E9">
        <w:rPr>
          <w:b/>
          <w:snapToGrid w:val="0"/>
          <w:sz w:val="18"/>
          <w:szCs w:val="18"/>
          <w:lang w:eastAsia="en-US"/>
        </w:rPr>
        <w:t>Low quality</w:t>
      </w:r>
      <w:r w:rsidRPr="000D28E9">
        <w:rPr>
          <w:snapToGrid w:val="0"/>
          <w:sz w:val="18"/>
          <w:szCs w:val="18"/>
          <w:lang w:eastAsia="en-US"/>
        </w:rPr>
        <w:t>: Our confidence in the effect estimate is limited: The true effect may be substantially different from the estimate of the effect.</w:t>
      </w:r>
      <w:r w:rsidRPr="000D28E9">
        <w:rPr>
          <w:snapToGrid w:val="0"/>
          <w:sz w:val="18"/>
          <w:szCs w:val="18"/>
          <w:lang w:eastAsia="en-US"/>
        </w:rPr>
        <w:br/>
      </w:r>
      <w:r w:rsidRPr="000D28E9">
        <w:rPr>
          <w:rFonts w:ascii="Cambria Math" w:hAnsi="Cambria Math" w:cs="Cambria Math"/>
          <w:snapToGrid w:val="0"/>
          <w:color w:val="00B050"/>
          <w:sz w:val="18"/>
          <w:szCs w:val="18"/>
          <w:lang w:eastAsia="en-US"/>
        </w:rPr>
        <w:t>⨁</w:t>
      </w:r>
      <w:r w:rsidRPr="000D28E9">
        <w:rPr>
          <w:rFonts w:ascii="Cambria Math" w:hAnsi="Cambria Math" w:cs="Cambria Math"/>
          <w:snapToGrid w:val="0"/>
          <w:color w:val="C00000"/>
          <w:sz w:val="18"/>
          <w:szCs w:val="18"/>
          <w:lang w:eastAsia="en-US"/>
        </w:rPr>
        <w:t>⨀⨀⨀</w:t>
      </w:r>
      <w:r w:rsidRPr="000D28E9">
        <w:rPr>
          <w:snapToGrid w:val="0"/>
          <w:color w:val="C00000"/>
          <w:sz w:val="18"/>
          <w:szCs w:val="18"/>
          <w:lang w:eastAsia="en-US"/>
        </w:rPr>
        <w:t xml:space="preserve"> </w:t>
      </w:r>
      <w:r w:rsidRPr="000D28E9">
        <w:rPr>
          <w:b/>
          <w:snapToGrid w:val="0"/>
          <w:sz w:val="18"/>
          <w:szCs w:val="18"/>
          <w:lang w:eastAsia="en-US"/>
        </w:rPr>
        <w:t>Very low quality</w:t>
      </w:r>
      <w:r w:rsidRPr="000D28E9">
        <w:rPr>
          <w:snapToGrid w:val="0"/>
          <w:sz w:val="18"/>
          <w:szCs w:val="18"/>
          <w:lang w:eastAsia="en-US"/>
        </w:rPr>
        <w:t>: We have very little confidence in the effect estimate: The true effect is likely to be substantially different from the estimate of effect.</w:t>
      </w:r>
      <w:r w:rsidRPr="000D28E9">
        <w:rPr>
          <w:snapToGrid w:val="0"/>
          <w:sz w:val="18"/>
          <w:szCs w:val="18"/>
          <w:vertAlign w:val="superscript"/>
          <w:lang w:eastAsia="en-US"/>
        </w:rPr>
        <w:t xml:space="preserve"> </w:t>
      </w:r>
    </w:p>
    <w:p w14:paraId="4A6A9987" w14:textId="77777777" w:rsidR="00E35519" w:rsidRPr="000D28E9" w:rsidRDefault="00E35519" w:rsidP="00E35519">
      <w:pPr>
        <w:widowControl w:val="0"/>
        <w:numPr>
          <w:ilvl w:val="0"/>
          <w:numId w:val="26"/>
        </w:numPr>
        <w:spacing w:before="60" w:after="60"/>
        <w:rPr>
          <w:snapToGrid w:val="0"/>
          <w:sz w:val="18"/>
          <w:szCs w:val="18"/>
          <w:lang w:eastAsia="en-US"/>
        </w:rPr>
      </w:pPr>
      <w:r w:rsidRPr="000D28E9">
        <w:rPr>
          <w:snapToGrid w:val="0"/>
          <w:sz w:val="18"/>
          <w:szCs w:val="18"/>
          <w:lang w:eastAsia="en-US"/>
        </w:rPr>
        <w:t>Neither Han et al (2015) nor Yang et al (2015) provide confidence intervals associated with the point estimates, therefore the precision of these estimates is unclear. Similarly only Yang et al (2015) report maximum follow-up of &gt;60 months (5 years).</w:t>
      </w:r>
    </w:p>
    <w:p w14:paraId="4A6A9988" w14:textId="77777777" w:rsidR="00E35519" w:rsidRPr="000D28E9" w:rsidRDefault="00E35519" w:rsidP="00E35519">
      <w:pPr>
        <w:widowControl w:val="0"/>
        <w:numPr>
          <w:ilvl w:val="0"/>
          <w:numId w:val="26"/>
        </w:numPr>
        <w:spacing w:before="60" w:after="60"/>
        <w:ind w:left="284" w:hanging="284"/>
        <w:rPr>
          <w:snapToGrid w:val="0"/>
          <w:sz w:val="18"/>
          <w:szCs w:val="18"/>
          <w:lang w:eastAsia="en-US"/>
        </w:rPr>
      </w:pPr>
      <w:r w:rsidRPr="000D28E9">
        <w:rPr>
          <w:snapToGrid w:val="0"/>
          <w:sz w:val="18"/>
          <w:szCs w:val="18"/>
          <w:lang w:eastAsia="en-US"/>
        </w:rPr>
        <w:t xml:space="preserve">Note that: Yang et al (2015) examined a subgroup of patients with tumours &gt; 3.5 cm versus ≤ 3.5 cm and found that tumours ≤ 3.5 cm were associated with better survival than were tumours &gt;3.5 cm (p = 0.016). The distribution in number of patients with tumours &gt;3.5 cm across the two studies will affect the consistency of outcomes. </w:t>
      </w:r>
    </w:p>
    <w:p w14:paraId="4A6A9989" w14:textId="77777777" w:rsidR="00E35519" w:rsidRPr="000D28E9" w:rsidRDefault="00E35519" w:rsidP="00E35519">
      <w:pPr>
        <w:widowControl w:val="0"/>
        <w:numPr>
          <w:ilvl w:val="0"/>
          <w:numId w:val="26"/>
        </w:numPr>
        <w:spacing w:before="60" w:after="60"/>
        <w:ind w:left="284" w:hanging="284"/>
        <w:rPr>
          <w:snapToGrid w:val="0"/>
          <w:sz w:val="18"/>
          <w:szCs w:val="18"/>
          <w:lang w:eastAsia="en-US"/>
        </w:rPr>
      </w:pPr>
      <w:r w:rsidRPr="000D28E9">
        <w:rPr>
          <w:snapToGrid w:val="0"/>
          <w:sz w:val="18"/>
          <w:szCs w:val="18"/>
          <w:lang w:eastAsia="en-US"/>
        </w:rPr>
        <w:t xml:space="preserve">There is a wide range of survival rates reported with reporting becoming more and more limited over time. This should be a relatively homogenous group in terms of cancer stage and extent of disease. There is substantial concern that outcomes have been measured very differently across studies. For example </w:t>
      </w:r>
      <w:proofErr w:type="spellStart"/>
      <w:r w:rsidRPr="000D28E9">
        <w:rPr>
          <w:snapToGrid w:val="0"/>
          <w:sz w:val="18"/>
          <w:szCs w:val="18"/>
          <w:lang w:eastAsia="en-US"/>
        </w:rPr>
        <w:t>Hiraki</w:t>
      </w:r>
      <w:proofErr w:type="spellEnd"/>
      <w:r w:rsidRPr="000D28E9">
        <w:rPr>
          <w:snapToGrid w:val="0"/>
          <w:sz w:val="18"/>
          <w:szCs w:val="18"/>
          <w:lang w:eastAsia="en-US"/>
        </w:rPr>
        <w:t xml:space="preserve"> et al (2011) has a 5-year survival of 61% whilst Ridge et al (2014) reports only 14%.</w:t>
      </w:r>
    </w:p>
    <w:p w14:paraId="4A6A998A" w14:textId="77777777" w:rsidR="00E35519" w:rsidRPr="000D28E9" w:rsidRDefault="00E35519" w:rsidP="00E35519">
      <w:pPr>
        <w:widowControl w:val="0"/>
        <w:numPr>
          <w:ilvl w:val="0"/>
          <w:numId w:val="26"/>
        </w:numPr>
        <w:spacing w:before="60" w:after="60"/>
        <w:ind w:left="284" w:hanging="284"/>
        <w:rPr>
          <w:snapToGrid w:val="0"/>
          <w:sz w:val="18"/>
          <w:szCs w:val="18"/>
          <w:lang w:eastAsia="en-US"/>
        </w:rPr>
      </w:pPr>
      <w:r w:rsidRPr="000D28E9">
        <w:rPr>
          <w:snapToGrid w:val="0"/>
          <w:sz w:val="18"/>
          <w:szCs w:val="18"/>
          <w:lang w:eastAsia="en-US"/>
        </w:rPr>
        <w:t xml:space="preserve">Koshy et al (2015) is a Level III-1 retrospective propensity-matched cohort, </w:t>
      </w:r>
      <w:proofErr w:type="spellStart"/>
      <w:r w:rsidRPr="000D28E9">
        <w:rPr>
          <w:snapToGrid w:val="0"/>
          <w:sz w:val="18"/>
          <w:szCs w:val="18"/>
          <w:lang w:eastAsia="en-US"/>
        </w:rPr>
        <w:t>Videtic</w:t>
      </w:r>
      <w:proofErr w:type="spellEnd"/>
      <w:r w:rsidRPr="000D28E9">
        <w:rPr>
          <w:snapToGrid w:val="0"/>
          <w:sz w:val="18"/>
          <w:szCs w:val="18"/>
          <w:lang w:eastAsia="en-US"/>
        </w:rPr>
        <w:t xml:space="preserve"> et al (2015) is Level II study.</w:t>
      </w:r>
    </w:p>
    <w:p w14:paraId="4A6A998B" w14:textId="77777777" w:rsidR="00E35519" w:rsidRPr="000D28E9" w:rsidRDefault="00E35519" w:rsidP="00E35519">
      <w:pPr>
        <w:widowControl w:val="0"/>
        <w:numPr>
          <w:ilvl w:val="0"/>
          <w:numId w:val="26"/>
        </w:numPr>
        <w:spacing w:before="60" w:after="60"/>
        <w:ind w:left="284" w:hanging="284"/>
        <w:rPr>
          <w:snapToGrid w:val="0"/>
          <w:sz w:val="18"/>
          <w:szCs w:val="18"/>
          <w:lang w:eastAsia="en-US"/>
        </w:rPr>
      </w:pPr>
      <w:r w:rsidRPr="000D28E9">
        <w:rPr>
          <w:snapToGrid w:val="0"/>
          <w:sz w:val="18"/>
          <w:szCs w:val="18"/>
          <w:lang w:eastAsia="en-US"/>
        </w:rPr>
        <w:t>Studies include relatively few patients (total N = 75), with the study by Yang et al (2014) having a substantially narrower 95%CI than Han et al (2015), around the estimate of the effect. In this case, with only two studies reporting this outcome there is substantial uncertainty regarding precision.</w:t>
      </w:r>
    </w:p>
    <w:p w14:paraId="4A6A998C" w14:textId="77777777" w:rsidR="00E35519" w:rsidRPr="000D28E9" w:rsidRDefault="00E35519" w:rsidP="00E35519">
      <w:pPr>
        <w:widowControl w:val="0"/>
        <w:numPr>
          <w:ilvl w:val="0"/>
          <w:numId w:val="26"/>
        </w:numPr>
        <w:spacing w:before="60" w:after="60"/>
        <w:ind w:left="284" w:hanging="284"/>
        <w:rPr>
          <w:snapToGrid w:val="0"/>
          <w:sz w:val="18"/>
          <w:szCs w:val="18"/>
          <w:lang w:eastAsia="en-US"/>
        </w:rPr>
      </w:pPr>
      <w:r w:rsidRPr="000D28E9">
        <w:rPr>
          <w:snapToGrid w:val="0"/>
          <w:sz w:val="18"/>
          <w:szCs w:val="18"/>
          <w:lang w:eastAsia="en-US"/>
        </w:rPr>
        <w:t>It has been observed that authors appear to use the term recurrence/progression interchangeably. Han et al (2015): A focal enhancement at the ablation site or enlargement of the ablated tumour after a series of shrinkage was considered local recurrence if technical success had been confirmed. Yang et al (2015): Local progression was referred to as the contrast</w:t>
      </w:r>
      <w:r w:rsidRPr="000D28E9">
        <w:rPr>
          <w:rFonts w:ascii="Cambria Math" w:hAnsi="Cambria Math" w:cs="Cambria Math"/>
          <w:snapToGrid w:val="0"/>
          <w:sz w:val="18"/>
          <w:szCs w:val="18"/>
          <w:lang w:eastAsia="en-US"/>
        </w:rPr>
        <w:t>‐</w:t>
      </w:r>
      <w:r w:rsidRPr="000D28E9">
        <w:rPr>
          <w:snapToGrid w:val="0"/>
          <w:sz w:val="18"/>
          <w:szCs w:val="18"/>
          <w:lang w:eastAsia="en-US"/>
        </w:rPr>
        <w:t>enhancement by CT scans in the site of ablation.</w:t>
      </w:r>
    </w:p>
    <w:p w14:paraId="4A6A998D" w14:textId="77777777" w:rsidR="00E35519" w:rsidRPr="000D28E9" w:rsidRDefault="00E35519" w:rsidP="00E35519">
      <w:pPr>
        <w:widowControl w:val="0"/>
        <w:numPr>
          <w:ilvl w:val="0"/>
          <w:numId w:val="26"/>
        </w:numPr>
        <w:spacing w:before="60" w:after="60"/>
        <w:ind w:left="284" w:hanging="284"/>
        <w:rPr>
          <w:snapToGrid w:val="0"/>
          <w:sz w:val="18"/>
          <w:szCs w:val="18"/>
          <w:lang w:eastAsia="en-US"/>
        </w:rPr>
      </w:pPr>
      <w:r w:rsidRPr="000D28E9">
        <w:rPr>
          <w:snapToGrid w:val="0"/>
          <w:sz w:val="18"/>
          <w:szCs w:val="18"/>
          <w:lang w:eastAsia="en-US"/>
        </w:rPr>
        <w:t>Studies include relatively few patients (total N = 75), with the study by Yang et al (2014) having a substantially narrower 95%CI than Han et al (2015), around the estimate of the effect. In this case, with only two studies reporting this outcome there is substantial uncertainty regarding precision.</w:t>
      </w:r>
    </w:p>
    <w:p w14:paraId="4A6A998E" w14:textId="77777777" w:rsidR="00E35519" w:rsidRPr="000D28E9" w:rsidRDefault="00E35519" w:rsidP="00E35519">
      <w:pPr>
        <w:widowControl w:val="0"/>
        <w:numPr>
          <w:ilvl w:val="0"/>
          <w:numId w:val="26"/>
        </w:numPr>
        <w:spacing w:before="60" w:after="60"/>
        <w:ind w:left="284" w:hanging="284"/>
        <w:rPr>
          <w:snapToGrid w:val="0"/>
          <w:sz w:val="18"/>
          <w:szCs w:val="18"/>
          <w:lang w:eastAsia="en-US"/>
        </w:rPr>
      </w:pPr>
      <w:r w:rsidRPr="000D28E9">
        <w:rPr>
          <w:snapToGrid w:val="0"/>
          <w:sz w:val="18"/>
          <w:szCs w:val="18"/>
          <w:lang w:eastAsia="en-US"/>
        </w:rPr>
        <w:t>Safi et al (2015) is a Level III-3 retrospective cohort study that compared RFA and radiotherapy.</w:t>
      </w:r>
    </w:p>
    <w:p w14:paraId="4A6A998F" w14:textId="77777777" w:rsidR="00E35519" w:rsidRPr="000D28E9" w:rsidRDefault="00E35519" w:rsidP="00E35519">
      <w:pPr>
        <w:widowControl w:val="0"/>
        <w:numPr>
          <w:ilvl w:val="0"/>
          <w:numId w:val="26"/>
        </w:numPr>
        <w:spacing w:before="60" w:after="60"/>
        <w:ind w:left="284" w:hanging="284"/>
        <w:rPr>
          <w:snapToGrid w:val="0"/>
          <w:sz w:val="18"/>
          <w:szCs w:val="18"/>
          <w:lang w:eastAsia="en-US"/>
        </w:rPr>
      </w:pPr>
      <w:r w:rsidRPr="000D28E9">
        <w:rPr>
          <w:snapToGrid w:val="0"/>
          <w:sz w:val="18"/>
          <w:szCs w:val="18"/>
          <w:lang w:eastAsia="en-US"/>
        </w:rPr>
        <w:t>Estimates across different studies are markedly different; it may be due to differences in measurement, reporting or outcome.</w:t>
      </w:r>
    </w:p>
    <w:p w14:paraId="4A6A9990" w14:textId="77777777" w:rsidR="002E1945" w:rsidRDefault="00E35519" w:rsidP="000D28E9">
      <w:pPr>
        <w:rPr>
          <w:rFonts w:ascii="Arial Narrow" w:hAnsi="Arial Narrow"/>
          <w:b/>
          <w:sz w:val="20"/>
          <w:lang w:eastAsia="en-US" w:bidi="en-US"/>
        </w:rPr>
      </w:pPr>
      <w:bookmarkStart w:id="12" w:name="_Ref457465378"/>
      <w:bookmarkStart w:id="13" w:name="_Ref457465372"/>
      <w:bookmarkStart w:id="14" w:name="_Toc460514664"/>
      <w:r w:rsidRPr="00E35519">
        <w:rPr>
          <w:b/>
          <w:szCs w:val="24"/>
          <w:lang w:eastAsia="en-US" w:bidi="en-US"/>
        </w:rPr>
        <w:br/>
      </w:r>
      <w:bookmarkStart w:id="15" w:name="_Ref469405296"/>
    </w:p>
    <w:p w14:paraId="4A6A9991" w14:textId="77777777" w:rsidR="002E1945" w:rsidRDefault="002E1945">
      <w:pPr>
        <w:rPr>
          <w:rFonts w:ascii="Arial Narrow" w:hAnsi="Arial Narrow"/>
          <w:b/>
          <w:sz w:val="20"/>
          <w:lang w:eastAsia="en-US" w:bidi="en-US"/>
        </w:rPr>
      </w:pPr>
      <w:r>
        <w:rPr>
          <w:rFonts w:ascii="Arial Narrow" w:hAnsi="Arial Narrow"/>
          <w:b/>
          <w:sz w:val="20"/>
          <w:lang w:eastAsia="en-US" w:bidi="en-US"/>
        </w:rPr>
        <w:br w:type="page"/>
      </w:r>
    </w:p>
    <w:p w14:paraId="4A6A9992" w14:textId="77777777" w:rsidR="00E35519" w:rsidRPr="000D28E9" w:rsidRDefault="00E35519" w:rsidP="000D28E9">
      <w:pPr>
        <w:rPr>
          <w:rFonts w:ascii="Arial Narrow" w:hAnsi="Arial Narrow"/>
          <w:b/>
          <w:sz w:val="20"/>
          <w:lang w:eastAsia="en-US" w:bidi="en-US"/>
        </w:rPr>
      </w:pPr>
      <w:r w:rsidRPr="000D28E9">
        <w:rPr>
          <w:rFonts w:ascii="Arial Narrow" w:hAnsi="Arial Narrow"/>
          <w:b/>
          <w:sz w:val="20"/>
          <w:lang w:eastAsia="en-US" w:bidi="en-US"/>
        </w:rPr>
        <w:lastRenderedPageBreak/>
        <w:t xml:space="preserve">Table </w:t>
      </w:r>
      <w:r w:rsidRPr="000D28E9">
        <w:rPr>
          <w:rFonts w:ascii="Arial Narrow" w:hAnsi="Arial Narrow"/>
          <w:b/>
          <w:sz w:val="20"/>
          <w:lang w:eastAsia="en-US" w:bidi="en-US"/>
        </w:rPr>
        <w:fldChar w:fldCharType="begin"/>
      </w:r>
      <w:r w:rsidRPr="000D28E9">
        <w:rPr>
          <w:rFonts w:ascii="Arial Narrow" w:hAnsi="Arial Narrow"/>
          <w:b/>
          <w:sz w:val="20"/>
          <w:lang w:eastAsia="en-US" w:bidi="en-US"/>
        </w:rPr>
        <w:instrText xml:space="preserve"> SEQ Table \* ARABIC </w:instrText>
      </w:r>
      <w:r w:rsidRPr="000D28E9">
        <w:rPr>
          <w:rFonts w:ascii="Arial Narrow" w:hAnsi="Arial Narrow"/>
          <w:b/>
          <w:sz w:val="20"/>
          <w:lang w:eastAsia="en-US" w:bidi="en-US"/>
        </w:rPr>
        <w:fldChar w:fldCharType="separate"/>
      </w:r>
      <w:r w:rsidR="004C0C25">
        <w:rPr>
          <w:rFonts w:ascii="Arial Narrow" w:hAnsi="Arial Narrow"/>
          <w:b/>
          <w:noProof/>
          <w:sz w:val="20"/>
          <w:lang w:eastAsia="en-US" w:bidi="en-US"/>
        </w:rPr>
        <w:t>4</w:t>
      </w:r>
      <w:r w:rsidRPr="000D28E9">
        <w:rPr>
          <w:rFonts w:ascii="Arial Narrow" w:hAnsi="Arial Narrow"/>
          <w:b/>
          <w:noProof/>
          <w:sz w:val="20"/>
          <w:lang w:eastAsia="en-US" w:bidi="en-US"/>
        </w:rPr>
        <w:fldChar w:fldCharType="end"/>
      </w:r>
      <w:bookmarkEnd w:id="12"/>
      <w:bookmarkEnd w:id="15"/>
      <w:r w:rsidRPr="000D28E9">
        <w:rPr>
          <w:rFonts w:ascii="Arial Narrow" w:hAnsi="Arial Narrow"/>
          <w:b/>
          <w:noProof/>
          <w:sz w:val="20"/>
          <w:lang w:eastAsia="en-US" w:bidi="en-US"/>
        </w:rPr>
        <w:tab/>
      </w:r>
      <w:r w:rsidRPr="000D28E9">
        <w:rPr>
          <w:rFonts w:ascii="Arial Narrow" w:hAnsi="Arial Narrow"/>
          <w:b/>
          <w:sz w:val="20"/>
          <w:lang w:eastAsia="en-US" w:bidi="en-US"/>
        </w:rPr>
        <w:t xml:space="preserve">Effectiveness outcomes relevant to population </w:t>
      </w:r>
      <w:bookmarkEnd w:id="13"/>
      <w:bookmarkEnd w:id="14"/>
      <w:r w:rsidRPr="000D28E9">
        <w:rPr>
          <w:rFonts w:ascii="Arial Narrow" w:hAnsi="Arial Narrow"/>
          <w:b/>
          <w:sz w:val="20"/>
          <w:lang w:eastAsia="en-US" w:bidi="en-US"/>
        </w:rPr>
        <w:t>2</w:t>
      </w:r>
    </w:p>
    <w:tbl>
      <w:tblPr>
        <w:tblStyle w:val="TableGrid9"/>
        <w:tblW w:w="5004" w:type="pct"/>
        <w:tblLook w:val="04A0" w:firstRow="1" w:lastRow="0" w:firstColumn="1" w:lastColumn="0" w:noHBand="0" w:noVBand="1"/>
        <w:tblDescription w:val="Table 11-Effectiveness outcomes relevant to population 2"/>
      </w:tblPr>
      <w:tblGrid>
        <w:gridCol w:w="2328"/>
        <w:gridCol w:w="1568"/>
        <w:gridCol w:w="3607"/>
        <w:gridCol w:w="1746"/>
      </w:tblGrid>
      <w:tr w:rsidR="00E35519" w:rsidRPr="000D28E9" w14:paraId="4A6A9997" w14:textId="77777777" w:rsidTr="00E35519">
        <w:trPr>
          <w:tblHeader/>
        </w:trPr>
        <w:tc>
          <w:tcPr>
            <w:tcW w:w="1258" w:type="pct"/>
            <w:tcBorders>
              <w:bottom w:val="single" w:sz="4" w:space="0" w:color="auto"/>
            </w:tcBorders>
            <w:shd w:val="clear" w:color="auto" w:fill="D9D9D9" w:themeFill="background1" w:themeFillShade="D9"/>
          </w:tcPr>
          <w:p w14:paraId="4A6A9993" w14:textId="77777777" w:rsidR="00E35519" w:rsidRPr="000D28E9" w:rsidRDefault="00E35519" w:rsidP="000D28E9">
            <w:pPr>
              <w:spacing w:before="0" w:after="0"/>
              <w:rPr>
                <w:rFonts w:ascii="Arial Narrow" w:eastAsia="Calibri" w:hAnsi="Arial Narrow"/>
                <w:b/>
                <w:sz w:val="20"/>
              </w:rPr>
            </w:pPr>
            <w:r w:rsidRPr="000D28E9">
              <w:rPr>
                <w:rFonts w:ascii="Arial Narrow" w:eastAsia="Calibri" w:hAnsi="Arial Narrow"/>
                <w:b/>
                <w:sz w:val="20"/>
              </w:rPr>
              <w:t>Outcome and intervention/comparator</w:t>
            </w:r>
          </w:p>
        </w:tc>
        <w:tc>
          <w:tcPr>
            <w:tcW w:w="847" w:type="pct"/>
            <w:tcBorders>
              <w:bottom w:val="single" w:sz="4" w:space="0" w:color="auto"/>
            </w:tcBorders>
            <w:shd w:val="clear" w:color="auto" w:fill="D9D9D9" w:themeFill="background1" w:themeFillShade="D9"/>
          </w:tcPr>
          <w:p w14:paraId="4A6A9994" w14:textId="77777777" w:rsidR="00E35519" w:rsidRPr="000D28E9" w:rsidRDefault="00E35519" w:rsidP="000D28E9">
            <w:pPr>
              <w:spacing w:before="0" w:after="0"/>
              <w:rPr>
                <w:rFonts w:ascii="Arial Narrow" w:eastAsia="Calibri" w:hAnsi="Arial Narrow"/>
                <w:b/>
                <w:sz w:val="20"/>
              </w:rPr>
            </w:pPr>
            <w:r w:rsidRPr="000D28E9">
              <w:rPr>
                <w:rFonts w:ascii="Arial Narrow" w:eastAsia="Calibri" w:hAnsi="Arial Narrow"/>
                <w:b/>
                <w:sz w:val="20"/>
              </w:rPr>
              <w:t>№ of Studies and level of evidence</w:t>
            </w:r>
          </w:p>
        </w:tc>
        <w:tc>
          <w:tcPr>
            <w:tcW w:w="1950" w:type="pct"/>
            <w:tcBorders>
              <w:bottom w:val="single" w:sz="4" w:space="0" w:color="auto"/>
            </w:tcBorders>
            <w:shd w:val="clear" w:color="auto" w:fill="D9D9D9" w:themeFill="background1" w:themeFillShade="D9"/>
          </w:tcPr>
          <w:p w14:paraId="4A6A9995" w14:textId="77777777" w:rsidR="00E35519" w:rsidRPr="000D28E9" w:rsidRDefault="00E35519" w:rsidP="000D28E9">
            <w:pPr>
              <w:spacing w:before="0" w:after="0"/>
              <w:rPr>
                <w:rFonts w:ascii="Arial Narrow" w:eastAsia="Calibri" w:hAnsi="Arial Narrow"/>
                <w:b/>
                <w:sz w:val="20"/>
              </w:rPr>
            </w:pPr>
            <w:r w:rsidRPr="000D28E9">
              <w:rPr>
                <w:rFonts w:ascii="Arial Narrow" w:eastAsia="Calibri" w:hAnsi="Arial Narrow"/>
                <w:b/>
                <w:sz w:val="20"/>
              </w:rPr>
              <w:t>Summary</w:t>
            </w:r>
          </w:p>
        </w:tc>
        <w:tc>
          <w:tcPr>
            <w:tcW w:w="944" w:type="pct"/>
            <w:tcBorders>
              <w:bottom w:val="single" w:sz="4" w:space="0" w:color="auto"/>
            </w:tcBorders>
            <w:shd w:val="clear" w:color="auto" w:fill="D9D9D9" w:themeFill="background1" w:themeFillShade="D9"/>
          </w:tcPr>
          <w:p w14:paraId="4A6A9996" w14:textId="77777777" w:rsidR="00E35519" w:rsidRPr="000D28E9" w:rsidRDefault="00E35519" w:rsidP="000D28E9">
            <w:pPr>
              <w:spacing w:before="0" w:after="0"/>
              <w:rPr>
                <w:rFonts w:ascii="Arial Narrow" w:eastAsia="Calibri" w:hAnsi="Arial Narrow"/>
                <w:b/>
                <w:sz w:val="20"/>
              </w:rPr>
            </w:pPr>
            <w:r w:rsidRPr="000D28E9">
              <w:rPr>
                <w:rFonts w:ascii="Arial Narrow" w:eastAsia="Calibri" w:hAnsi="Arial Narrow"/>
                <w:b/>
                <w:sz w:val="20"/>
              </w:rPr>
              <w:t>Quality of the evidence (GRADE)</w:t>
            </w:r>
          </w:p>
        </w:tc>
      </w:tr>
      <w:tr w:rsidR="00E35519" w:rsidRPr="000D28E9" w14:paraId="4A6A999C" w14:textId="77777777" w:rsidTr="00E35519">
        <w:trPr>
          <w:trHeight w:val="265"/>
        </w:trPr>
        <w:tc>
          <w:tcPr>
            <w:tcW w:w="1258" w:type="pct"/>
            <w:tcBorders>
              <w:right w:val="nil"/>
            </w:tcBorders>
            <w:shd w:val="clear" w:color="auto" w:fill="D9D9D9" w:themeFill="background1" w:themeFillShade="D9"/>
          </w:tcPr>
          <w:p w14:paraId="4A6A9998" w14:textId="77777777" w:rsidR="00E35519" w:rsidRPr="000D28E9" w:rsidRDefault="00E35519" w:rsidP="000D28E9">
            <w:pPr>
              <w:spacing w:before="0" w:after="0"/>
              <w:rPr>
                <w:rFonts w:ascii="Arial Narrow" w:eastAsia="Calibri" w:hAnsi="Arial Narrow"/>
                <w:b/>
                <w:sz w:val="20"/>
              </w:rPr>
            </w:pPr>
            <w:r w:rsidRPr="000D28E9">
              <w:rPr>
                <w:rFonts w:ascii="Arial Narrow" w:eastAsia="Calibri" w:hAnsi="Arial Narrow"/>
                <w:b/>
                <w:sz w:val="20"/>
              </w:rPr>
              <w:t>Overall survival rate</w:t>
            </w:r>
          </w:p>
        </w:tc>
        <w:tc>
          <w:tcPr>
            <w:tcW w:w="847" w:type="pct"/>
            <w:tcBorders>
              <w:left w:val="nil"/>
              <w:right w:val="nil"/>
            </w:tcBorders>
            <w:shd w:val="clear" w:color="auto" w:fill="D9D9D9" w:themeFill="background1" w:themeFillShade="D9"/>
          </w:tcPr>
          <w:p w14:paraId="4A6A9999" w14:textId="77777777" w:rsidR="00E35519" w:rsidRPr="000D28E9" w:rsidRDefault="00E35519" w:rsidP="000D28E9">
            <w:pPr>
              <w:spacing w:before="0" w:after="0"/>
              <w:rPr>
                <w:rFonts w:ascii="Arial Narrow" w:eastAsia="Calibri" w:hAnsi="Arial Narrow"/>
                <w:sz w:val="20"/>
              </w:rPr>
            </w:pPr>
          </w:p>
        </w:tc>
        <w:tc>
          <w:tcPr>
            <w:tcW w:w="1950" w:type="pct"/>
            <w:tcBorders>
              <w:left w:val="nil"/>
              <w:right w:val="nil"/>
            </w:tcBorders>
            <w:shd w:val="clear" w:color="auto" w:fill="D9D9D9" w:themeFill="background1" w:themeFillShade="D9"/>
          </w:tcPr>
          <w:p w14:paraId="4A6A999A" w14:textId="77777777" w:rsidR="00E35519" w:rsidRPr="000D28E9" w:rsidRDefault="00E35519" w:rsidP="000D28E9">
            <w:pPr>
              <w:spacing w:before="0" w:after="0"/>
              <w:rPr>
                <w:rFonts w:ascii="Arial Narrow" w:eastAsia="Calibri" w:hAnsi="Arial Narrow"/>
                <w:sz w:val="20"/>
                <w:u w:val="single"/>
              </w:rPr>
            </w:pPr>
          </w:p>
        </w:tc>
        <w:tc>
          <w:tcPr>
            <w:tcW w:w="944" w:type="pct"/>
            <w:tcBorders>
              <w:left w:val="nil"/>
            </w:tcBorders>
            <w:shd w:val="clear" w:color="auto" w:fill="D9D9D9" w:themeFill="background1" w:themeFillShade="D9"/>
          </w:tcPr>
          <w:p w14:paraId="4A6A999B" w14:textId="77777777" w:rsidR="00E35519" w:rsidRPr="000D28E9" w:rsidRDefault="00E35519" w:rsidP="000D28E9">
            <w:pPr>
              <w:spacing w:before="0" w:after="0"/>
              <w:rPr>
                <w:rFonts w:ascii="Arial Narrow" w:eastAsia="Calibri" w:hAnsi="Arial Narrow"/>
                <w:sz w:val="20"/>
              </w:rPr>
            </w:pPr>
          </w:p>
        </w:tc>
      </w:tr>
      <w:tr w:rsidR="00E35519" w:rsidRPr="000D28E9" w14:paraId="4A6A99A4" w14:textId="77777777" w:rsidTr="00E35519">
        <w:tc>
          <w:tcPr>
            <w:tcW w:w="1258" w:type="pct"/>
          </w:tcPr>
          <w:p w14:paraId="4A6A999D"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MTA</w:t>
            </w:r>
          </w:p>
          <w:p w14:paraId="4A6A999E"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Assessed with: n/N (%) at 1 and 2 years</w:t>
            </w:r>
          </w:p>
          <w:p w14:paraId="4A6A999F"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Median F/U 9 months</w:t>
            </w:r>
          </w:p>
        </w:tc>
        <w:tc>
          <w:tcPr>
            <w:tcW w:w="847" w:type="pct"/>
          </w:tcPr>
          <w:p w14:paraId="4A6A99A0"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1 Level IV study</w:t>
            </w:r>
          </w:p>
        </w:tc>
        <w:tc>
          <w:tcPr>
            <w:tcW w:w="1950" w:type="pct"/>
          </w:tcPr>
          <w:p w14:paraId="4A6A99A1" w14:textId="77777777" w:rsidR="00E35519" w:rsidRPr="000D28E9" w:rsidRDefault="00E35519" w:rsidP="000D28E9">
            <w:pPr>
              <w:spacing w:before="0" w:after="0"/>
              <w:rPr>
                <w:rFonts w:ascii="Arial Narrow" w:eastAsia="Calibri" w:hAnsi="Arial Narrow"/>
                <w:sz w:val="20"/>
              </w:rPr>
            </w:pPr>
            <w:proofErr w:type="spellStart"/>
            <w:r w:rsidRPr="000D28E9">
              <w:rPr>
                <w:rFonts w:ascii="Arial Narrow" w:eastAsia="Calibri" w:hAnsi="Arial Narrow"/>
                <w:sz w:val="20"/>
                <w:u w:val="single"/>
              </w:rPr>
              <w:t>Vogl</w:t>
            </w:r>
            <w:proofErr w:type="spellEnd"/>
            <w:r w:rsidRPr="000D28E9">
              <w:rPr>
                <w:rFonts w:ascii="Arial Narrow" w:eastAsia="Calibri" w:hAnsi="Arial Narrow"/>
                <w:sz w:val="20"/>
                <w:u w:val="single"/>
              </w:rPr>
              <w:t xml:space="preserve"> et al (2015)</w:t>
            </w:r>
            <w:r w:rsidRPr="000D28E9">
              <w:rPr>
                <w:rFonts w:ascii="Arial Narrow" w:eastAsia="Calibri" w:hAnsi="Arial Narrow"/>
                <w:sz w:val="20"/>
              </w:rPr>
              <w:t xml:space="preserve"> </w:t>
            </w:r>
          </w:p>
          <w:p w14:paraId="4A6A99A2"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12 month survival 91% (73/80 patients alive), 24 month survival 75% (60/80 patients alive). Survival greater than 24 months NR.</w:t>
            </w:r>
          </w:p>
        </w:tc>
        <w:tc>
          <w:tcPr>
            <w:tcW w:w="944" w:type="pct"/>
          </w:tcPr>
          <w:p w14:paraId="4A6A99A3" w14:textId="77777777" w:rsidR="00E35519" w:rsidRPr="000D28E9" w:rsidRDefault="00E35519" w:rsidP="000D28E9">
            <w:pPr>
              <w:spacing w:before="0" w:after="0"/>
              <w:rPr>
                <w:rFonts w:ascii="Arial Narrow" w:eastAsia="Calibri" w:hAnsi="Arial Narrow"/>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sz w:val="20"/>
              </w:rPr>
              <w:br/>
              <w:t>VERY LOW</w:t>
            </w:r>
          </w:p>
        </w:tc>
      </w:tr>
      <w:tr w:rsidR="00E35519" w:rsidRPr="000D28E9" w14:paraId="4A6A99AE" w14:textId="77777777" w:rsidTr="00E35519">
        <w:tc>
          <w:tcPr>
            <w:tcW w:w="1258" w:type="pct"/>
          </w:tcPr>
          <w:p w14:paraId="4A6A99A5"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RFA</w:t>
            </w:r>
          </w:p>
          <w:p w14:paraId="4A6A99A6"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Assessed with: Kaplan-Meier estimates (95%CI)</w:t>
            </w:r>
          </w:p>
          <w:p w14:paraId="4A6A99A7" w14:textId="77777777" w:rsidR="000D28E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F/U range 12 to 38 months</w:t>
            </w:r>
          </w:p>
        </w:tc>
        <w:tc>
          <w:tcPr>
            <w:tcW w:w="847" w:type="pct"/>
          </w:tcPr>
          <w:p w14:paraId="4A6A99A8"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10 Level IV studies</w:t>
            </w:r>
          </w:p>
        </w:tc>
        <w:tc>
          <w:tcPr>
            <w:tcW w:w="1950" w:type="pct"/>
          </w:tcPr>
          <w:p w14:paraId="4A6A99A9" w14:textId="77777777" w:rsidR="00E35519" w:rsidRPr="000D28E9" w:rsidRDefault="00E35519" w:rsidP="000D28E9">
            <w:pPr>
              <w:spacing w:before="0" w:after="0"/>
              <w:rPr>
                <w:rFonts w:ascii="Arial Narrow" w:eastAsia="Calibri" w:hAnsi="Arial Narrow"/>
                <w:sz w:val="20"/>
                <w:u w:val="single"/>
              </w:rPr>
            </w:pPr>
            <w:r w:rsidRPr="000D28E9">
              <w:rPr>
                <w:rFonts w:ascii="Arial Narrow" w:eastAsia="Calibri" w:hAnsi="Arial Narrow"/>
                <w:sz w:val="20"/>
                <w:u w:val="single"/>
              </w:rPr>
              <w:t>Median survival rate, pooled</w:t>
            </w:r>
          </w:p>
          <w:p w14:paraId="4A6A99AA"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1-year 87.8% (range 73.4–100%)</w:t>
            </w:r>
          </w:p>
          <w:p w14:paraId="4A6A99AB"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2-year 59.3% (range 41.1–94%)</w:t>
            </w:r>
          </w:p>
          <w:p w14:paraId="4A6A99AC"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3-year 53.0% (range: 30–85%)</w:t>
            </w:r>
          </w:p>
        </w:tc>
        <w:tc>
          <w:tcPr>
            <w:tcW w:w="944" w:type="pct"/>
          </w:tcPr>
          <w:p w14:paraId="4A6A99AD" w14:textId="77777777" w:rsidR="00E35519" w:rsidRPr="000D28E9" w:rsidRDefault="00E35519" w:rsidP="000D28E9">
            <w:pPr>
              <w:spacing w:before="0" w:after="0"/>
              <w:rPr>
                <w:rFonts w:ascii="Arial Narrow" w:eastAsia="Calibri" w:hAnsi="Arial Narrow"/>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sz w:val="20"/>
              </w:rPr>
              <w:br/>
              <w:t>VERY LOW</w:t>
            </w:r>
          </w:p>
        </w:tc>
      </w:tr>
      <w:tr w:rsidR="00E35519" w:rsidRPr="000D28E9" w14:paraId="4A6A99BA" w14:textId="77777777" w:rsidTr="00E35519">
        <w:tc>
          <w:tcPr>
            <w:tcW w:w="1258" w:type="pct"/>
            <w:tcBorders>
              <w:bottom w:val="single" w:sz="4" w:space="0" w:color="auto"/>
            </w:tcBorders>
          </w:tcPr>
          <w:p w14:paraId="4A6A99AF"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Radiotherapy</w:t>
            </w:r>
          </w:p>
          <w:p w14:paraId="4A6A99B0"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Assessed with: Kaplan-Meier estimate (95%CI)</w:t>
            </w:r>
          </w:p>
          <w:p w14:paraId="4A6A99B1"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F/U range 13 to 55 months</w:t>
            </w:r>
          </w:p>
        </w:tc>
        <w:tc>
          <w:tcPr>
            <w:tcW w:w="847" w:type="pct"/>
            <w:tcBorders>
              <w:bottom w:val="single" w:sz="4" w:space="0" w:color="auto"/>
            </w:tcBorders>
          </w:tcPr>
          <w:p w14:paraId="4A6A99B2"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3 Level III-2 studies</w:t>
            </w:r>
          </w:p>
          <w:p w14:paraId="4A6A99B3"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14 Level IV studies</w:t>
            </w:r>
          </w:p>
        </w:tc>
        <w:tc>
          <w:tcPr>
            <w:tcW w:w="1950" w:type="pct"/>
            <w:tcBorders>
              <w:bottom w:val="single" w:sz="4" w:space="0" w:color="auto"/>
            </w:tcBorders>
          </w:tcPr>
          <w:p w14:paraId="4A6A99B4" w14:textId="77777777" w:rsidR="00E35519" w:rsidRPr="000D28E9" w:rsidRDefault="00E35519" w:rsidP="000D28E9">
            <w:pPr>
              <w:spacing w:before="0" w:after="0"/>
              <w:rPr>
                <w:rFonts w:ascii="Arial Narrow" w:eastAsia="Calibri" w:hAnsi="Arial Narrow"/>
                <w:sz w:val="20"/>
                <w:u w:val="single"/>
              </w:rPr>
            </w:pPr>
            <w:r w:rsidRPr="000D28E9">
              <w:rPr>
                <w:rFonts w:ascii="Arial Narrow" w:eastAsia="Calibri" w:hAnsi="Arial Narrow"/>
                <w:sz w:val="20"/>
                <w:u w:val="single"/>
              </w:rPr>
              <w:t>Median survival rate, pooled</w:t>
            </w:r>
          </w:p>
          <w:p w14:paraId="4A6A99B5"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1-year 86.0% (60.5–98%)</w:t>
            </w:r>
          </w:p>
          <w:p w14:paraId="4A6A99B6"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2-year 65.1% (31.2–86%)</w:t>
            </w:r>
          </w:p>
          <w:p w14:paraId="4A6A99B7"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3-year 61.5% (50.1–73%)</w:t>
            </w:r>
          </w:p>
          <w:p w14:paraId="4A6A99B8"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5-year 46.2% (39–56.2%)</w:t>
            </w:r>
          </w:p>
        </w:tc>
        <w:tc>
          <w:tcPr>
            <w:tcW w:w="944" w:type="pct"/>
            <w:tcBorders>
              <w:bottom w:val="single" w:sz="4" w:space="0" w:color="auto"/>
            </w:tcBorders>
          </w:tcPr>
          <w:p w14:paraId="4A6A99B9" w14:textId="77777777" w:rsidR="00E35519" w:rsidRPr="000D28E9" w:rsidRDefault="00E35519" w:rsidP="000D28E9">
            <w:pPr>
              <w:spacing w:before="0" w:after="0"/>
              <w:rPr>
                <w:rFonts w:ascii="Arial Narrow" w:eastAsia="Calibri" w:hAnsi="Arial Narrow"/>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sz w:val="20"/>
              </w:rPr>
              <w:br/>
              <w:t xml:space="preserve">VERY LOW </w:t>
            </w:r>
            <w:r w:rsidRPr="000D28E9">
              <w:rPr>
                <w:rFonts w:ascii="Arial Narrow" w:eastAsia="Calibri" w:hAnsi="Arial Narrow"/>
                <w:sz w:val="20"/>
                <w:vertAlign w:val="superscript"/>
              </w:rPr>
              <w:t>1</w:t>
            </w:r>
          </w:p>
        </w:tc>
      </w:tr>
      <w:tr w:rsidR="00E35519" w:rsidRPr="000D28E9" w14:paraId="4A6A99CA" w14:textId="77777777" w:rsidTr="00E35519">
        <w:tc>
          <w:tcPr>
            <w:tcW w:w="1258" w:type="pct"/>
            <w:tcBorders>
              <w:bottom w:val="single" w:sz="4" w:space="0" w:color="auto"/>
            </w:tcBorders>
          </w:tcPr>
          <w:p w14:paraId="4A6A99BB"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Surgery</w:t>
            </w:r>
          </w:p>
          <w:p w14:paraId="4A6A99BC"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assessed with: varied measures</w:t>
            </w:r>
          </w:p>
          <w:p w14:paraId="4A6A99BD"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Minimum F/U 30 days</w:t>
            </w:r>
          </w:p>
        </w:tc>
        <w:tc>
          <w:tcPr>
            <w:tcW w:w="847" w:type="pct"/>
            <w:tcBorders>
              <w:bottom w:val="single" w:sz="4" w:space="0" w:color="auto"/>
            </w:tcBorders>
          </w:tcPr>
          <w:p w14:paraId="4A6A99BE"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2 Level I studies (of Level IV evidence)</w:t>
            </w:r>
          </w:p>
          <w:p w14:paraId="4A6A99BF"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 xml:space="preserve">2 Level IV studies </w:t>
            </w:r>
          </w:p>
        </w:tc>
        <w:tc>
          <w:tcPr>
            <w:tcW w:w="1950" w:type="pct"/>
            <w:tcBorders>
              <w:bottom w:val="single" w:sz="4" w:space="0" w:color="auto"/>
            </w:tcBorders>
          </w:tcPr>
          <w:p w14:paraId="4A6A99C0"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u w:val="single"/>
              </w:rPr>
              <w:t>Young et al (2015)</w:t>
            </w:r>
          </w:p>
          <w:p w14:paraId="4A6A99C1"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 xml:space="preserve">Meta-analysis of 5 year overall survival from 11 studies (387 patients) : 29.1% (95%CI; 24.1–35.3); I2 =0%, p = 0.462, </w:t>
            </w:r>
            <w:proofErr w:type="spellStart"/>
            <w:r w:rsidRPr="000D28E9">
              <w:rPr>
                <w:rFonts w:ascii="Arial Narrow" w:eastAsia="Calibri" w:hAnsi="Arial Narrow"/>
                <w:sz w:val="20"/>
              </w:rPr>
              <w:t>d.f</w:t>
            </w:r>
            <w:proofErr w:type="spellEnd"/>
            <w:r w:rsidRPr="000D28E9">
              <w:rPr>
                <w:rFonts w:ascii="Arial Narrow" w:eastAsia="Calibri" w:hAnsi="Arial Narrow"/>
                <w:sz w:val="20"/>
              </w:rPr>
              <w:t xml:space="preserve"> = 10 </w:t>
            </w:r>
          </w:p>
          <w:p w14:paraId="4A6A99C2" w14:textId="77777777" w:rsidR="00E35519" w:rsidRPr="000D28E9" w:rsidRDefault="00E35519" w:rsidP="000D28E9">
            <w:pPr>
              <w:spacing w:before="0" w:after="0"/>
              <w:rPr>
                <w:rFonts w:ascii="Arial Narrow" w:eastAsia="Calibri" w:hAnsi="Arial Narrow"/>
                <w:sz w:val="20"/>
              </w:rPr>
            </w:pPr>
            <w:proofErr w:type="spellStart"/>
            <w:r w:rsidRPr="000D28E9">
              <w:rPr>
                <w:rFonts w:ascii="Arial Narrow" w:eastAsia="Calibri" w:hAnsi="Arial Narrow"/>
                <w:sz w:val="20"/>
                <w:u w:val="single"/>
              </w:rPr>
              <w:t>Pfannschmidt</w:t>
            </w:r>
            <w:proofErr w:type="spellEnd"/>
            <w:r w:rsidRPr="000D28E9">
              <w:rPr>
                <w:rFonts w:ascii="Arial Narrow" w:eastAsia="Calibri" w:hAnsi="Arial Narrow"/>
                <w:sz w:val="20"/>
                <w:u w:val="single"/>
              </w:rPr>
              <w:t xml:space="preserve"> et al (2007)</w:t>
            </w:r>
            <w:r w:rsidRPr="000D28E9">
              <w:rPr>
                <w:rFonts w:ascii="Arial Narrow" w:eastAsia="Calibri" w:hAnsi="Arial Narrow"/>
                <w:sz w:val="20"/>
              </w:rPr>
              <w:t xml:space="preserve"> </w:t>
            </w:r>
          </w:p>
          <w:p w14:paraId="4A6A99C3"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 xml:space="preserve">Median 5-year survival 48%, range 41%–56% </w:t>
            </w:r>
          </w:p>
          <w:p w14:paraId="4A6A99C4"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u w:val="single"/>
              </w:rPr>
              <w:t>Reza et al (2014)</w:t>
            </w:r>
            <w:r w:rsidRPr="000D28E9">
              <w:rPr>
                <w:rFonts w:ascii="Arial Narrow" w:eastAsia="Calibri" w:hAnsi="Arial Narrow"/>
                <w:sz w:val="20"/>
              </w:rPr>
              <w:t xml:space="preserve"> </w:t>
            </w:r>
          </w:p>
          <w:p w14:paraId="4A6A99C5"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3-year 48%, 5-year 42%, 10-year 31%</w:t>
            </w:r>
          </w:p>
          <w:p w14:paraId="4A6A99C6"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u w:val="single"/>
              </w:rPr>
              <w:t>Kitano et al (2012)</w:t>
            </w:r>
          </w:p>
          <w:p w14:paraId="4A6A99C7"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2-year 53.9%, 5-year 40.9%</w:t>
            </w:r>
          </w:p>
        </w:tc>
        <w:tc>
          <w:tcPr>
            <w:tcW w:w="944" w:type="pct"/>
            <w:tcBorders>
              <w:bottom w:val="single" w:sz="4" w:space="0" w:color="auto"/>
            </w:tcBorders>
          </w:tcPr>
          <w:p w14:paraId="4A6A99C8" w14:textId="77777777" w:rsidR="00E35519" w:rsidRPr="000D28E9" w:rsidRDefault="00E35519" w:rsidP="000D28E9">
            <w:pPr>
              <w:spacing w:before="0" w:after="0"/>
              <w:rPr>
                <w:rFonts w:ascii="Arial Narrow" w:eastAsia="Calibri" w:hAnsi="Arial Narrow"/>
                <w:color w:val="C00000"/>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p>
          <w:p w14:paraId="4A6A99C9"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VERY LOW</w:t>
            </w:r>
          </w:p>
        </w:tc>
      </w:tr>
      <w:tr w:rsidR="00E35519" w:rsidRPr="000D28E9" w14:paraId="4A6A99CF" w14:textId="77777777" w:rsidTr="00E35519">
        <w:tc>
          <w:tcPr>
            <w:tcW w:w="1258" w:type="pct"/>
            <w:tcBorders>
              <w:right w:val="nil"/>
            </w:tcBorders>
            <w:shd w:val="clear" w:color="auto" w:fill="D9D9D9" w:themeFill="background1" w:themeFillShade="D9"/>
          </w:tcPr>
          <w:p w14:paraId="4A6A99CB" w14:textId="77777777" w:rsidR="00E35519" w:rsidRPr="000D28E9" w:rsidRDefault="00E35519" w:rsidP="000D28E9">
            <w:pPr>
              <w:spacing w:before="0" w:after="0"/>
              <w:rPr>
                <w:rFonts w:ascii="Arial Narrow" w:eastAsia="Calibri" w:hAnsi="Arial Narrow"/>
                <w:b/>
                <w:sz w:val="20"/>
              </w:rPr>
            </w:pPr>
            <w:r w:rsidRPr="000D28E9">
              <w:rPr>
                <w:rFonts w:ascii="Arial Narrow" w:eastAsia="Calibri" w:hAnsi="Arial Narrow"/>
                <w:b/>
                <w:sz w:val="20"/>
              </w:rPr>
              <w:t>Median survival time</w:t>
            </w:r>
          </w:p>
        </w:tc>
        <w:tc>
          <w:tcPr>
            <w:tcW w:w="847" w:type="pct"/>
            <w:tcBorders>
              <w:left w:val="nil"/>
              <w:right w:val="nil"/>
            </w:tcBorders>
            <w:shd w:val="clear" w:color="auto" w:fill="D9D9D9" w:themeFill="background1" w:themeFillShade="D9"/>
          </w:tcPr>
          <w:p w14:paraId="4A6A99CC" w14:textId="77777777" w:rsidR="00E35519" w:rsidRPr="000D28E9" w:rsidRDefault="00E35519" w:rsidP="000D28E9">
            <w:pPr>
              <w:spacing w:before="0" w:after="0"/>
              <w:rPr>
                <w:rFonts w:ascii="Arial Narrow" w:eastAsia="Calibri" w:hAnsi="Arial Narrow"/>
                <w:sz w:val="20"/>
              </w:rPr>
            </w:pPr>
          </w:p>
        </w:tc>
        <w:tc>
          <w:tcPr>
            <w:tcW w:w="1950" w:type="pct"/>
            <w:tcBorders>
              <w:left w:val="nil"/>
              <w:right w:val="nil"/>
            </w:tcBorders>
            <w:shd w:val="clear" w:color="auto" w:fill="D9D9D9" w:themeFill="background1" w:themeFillShade="D9"/>
          </w:tcPr>
          <w:p w14:paraId="4A6A99CD" w14:textId="77777777" w:rsidR="00E35519" w:rsidRPr="000D28E9" w:rsidRDefault="00E35519" w:rsidP="000D28E9">
            <w:pPr>
              <w:spacing w:before="0" w:after="0"/>
              <w:rPr>
                <w:rFonts w:ascii="Arial Narrow" w:eastAsia="Calibri" w:hAnsi="Arial Narrow"/>
                <w:sz w:val="20"/>
              </w:rPr>
            </w:pPr>
          </w:p>
        </w:tc>
        <w:tc>
          <w:tcPr>
            <w:tcW w:w="944" w:type="pct"/>
            <w:tcBorders>
              <w:left w:val="nil"/>
            </w:tcBorders>
            <w:shd w:val="clear" w:color="auto" w:fill="D9D9D9" w:themeFill="background1" w:themeFillShade="D9"/>
          </w:tcPr>
          <w:p w14:paraId="4A6A99CE" w14:textId="77777777" w:rsidR="00E35519" w:rsidRPr="000D28E9" w:rsidRDefault="00E35519" w:rsidP="000D28E9">
            <w:pPr>
              <w:spacing w:before="0" w:after="0"/>
              <w:rPr>
                <w:rFonts w:ascii="Arial Narrow" w:eastAsia="Calibri" w:hAnsi="Arial Narrow"/>
                <w:sz w:val="20"/>
              </w:rPr>
            </w:pPr>
          </w:p>
        </w:tc>
      </w:tr>
      <w:tr w:rsidR="00E35519" w:rsidRPr="000D28E9" w14:paraId="4A6A99D5" w14:textId="77777777" w:rsidTr="00E35519">
        <w:tc>
          <w:tcPr>
            <w:tcW w:w="1258" w:type="pct"/>
          </w:tcPr>
          <w:p w14:paraId="4A6A99D0"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MTA</w:t>
            </w:r>
          </w:p>
          <w:p w14:paraId="4A6A99D1"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Not reported</w:t>
            </w:r>
          </w:p>
        </w:tc>
        <w:tc>
          <w:tcPr>
            <w:tcW w:w="847" w:type="pct"/>
          </w:tcPr>
          <w:p w14:paraId="4A6A99D2"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0 studies</w:t>
            </w:r>
          </w:p>
        </w:tc>
        <w:tc>
          <w:tcPr>
            <w:tcW w:w="1950" w:type="pct"/>
          </w:tcPr>
          <w:p w14:paraId="4A6A99D3"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NA</w:t>
            </w:r>
          </w:p>
        </w:tc>
        <w:tc>
          <w:tcPr>
            <w:tcW w:w="944" w:type="pct"/>
          </w:tcPr>
          <w:p w14:paraId="4A6A99D4"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NA</w:t>
            </w:r>
          </w:p>
        </w:tc>
      </w:tr>
      <w:tr w:rsidR="00E35519" w:rsidRPr="000D28E9" w14:paraId="4A6A99DC" w14:textId="77777777" w:rsidTr="00E35519">
        <w:tc>
          <w:tcPr>
            <w:tcW w:w="1258" w:type="pct"/>
          </w:tcPr>
          <w:p w14:paraId="4A6A99D6"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RFA</w:t>
            </w:r>
          </w:p>
          <w:p w14:paraId="4A6A99D7"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Assessed with: Kaplan-Meier estimates (95%CI)</w:t>
            </w:r>
          </w:p>
          <w:p w14:paraId="4A6A99D8"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F/U range 12 to 38 months</w:t>
            </w:r>
          </w:p>
        </w:tc>
        <w:tc>
          <w:tcPr>
            <w:tcW w:w="847" w:type="pct"/>
          </w:tcPr>
          <w:p w14:paraId="4A6A99D9"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10 Level IV studies</w:t>
            </w:r>
          </w:p>
        </w:tc>
        <w:tc>
          <w:tcPr>
            <w:tcW w:w="1950" w:type="pct"/>
          </w:tcPr>
          <w:p w14:paraId="4A6A99DA"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Median overall survival 44 months (range 21–67)</w:t>
            </w:r>
          </w:p>
        </w:tc>
        <w:tc>
          <w:tcPr>
            <w:tcW w:w="944" w:type="pct"/>
          </w:tcPr>
          <w:p w14:paraId="4A6A99DB" w14:textId="77777777" w:rsidR="00E35519" w:rsidRPr="000D28E9" w:rsidRDefault="00E35519" w:rsidP="000D28E9">
            <w:pPr>
              <w:spacing w:before="0" w:after="0"/>
              <w:rPr>
                <w:rFonts w:ascii="Arial Narrow" w:eastAsia="Calibri" w:hAnsi="Arial Narrow"/>
                <w:color w:val="C00000"/>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sz w:val="20"/>
              </w:rPr>
              <w:br/>
              <w:t xml:space="preserve">VERY LOW </w:t>
            </w:r>
            <w:r w:rsidRPr="000D28E9">
              <w:rPr>
                <w:rFonts w:ascii="Arial Narrow" w:eastAsia="Calibri" w:hAnsi="Arial Narrow"/>
                <w:sz w:val="20"/>
                <w:vertAlign w:val="superscript"/>
              </w:rPr>
              <w:t>2</w:t>
            </w:r>
          </w:p>
        </w:tc>
      </w:tr>
      <w:tr w:rsidR="00E35519" w:rsidRPr="000D28E9" w14:paraId="4A6A99E4" w14:textId="77777777" w:rsidTr="00E35519">
        <w:tc>
          <w:tcPr>
            <w:tcW w:w="1258" w:type="pct"/>
            <w:tcBorders>
              <w:bottom w:val="single" w:sz="4" w:space="0" w:color="auto"/>
            </w:tcBorders>
          </w:tcPr>
          <w:p w14:paraId="4A6A99DD"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Radiotherapy</w:t>
            </w:r>
          </w:p>
          <w:p w14:paraId="4A6A99DE"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Assessed with: Kaplan-Meier estimates (95%CI)</w:t>
            </w:r>
          </w:p>
          <w:p w14:paraId="4A6A99DF"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F/U range 13 to 55 months</w:t>
            </w:r>
          </w:p>
        </w:tc>
        <w:tc>
          <w:tcPr>
            <w:tcW w:w="847" w:type="pct"/>
            <w:tcBorders>
              <w:bottom w:val="single" w:sz="4" w:space="0" w:color="auto"/>
            </w:tcBorders>
          </w:tcPr>
          <w:p w14:paraId="4A6A99E0"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1 Level III-2 study</w:t>
            </w:r>
          </w:p>
          <w:p w14:paraId="4A6A99E1"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10 Level IV studies</w:t>
            </w:r>
          </w:p>
        </w:tc>
        <w:tc>
          <w:tcPr>
            <w:tcW w:w="1950" w:type="pct"/>
            <w:tcBorders>
              <w:bottom w:val="single" w:sz="4" w:space="0" w:color="auto"/>
            </w:tcBorders>
          </w:tcPr>
          <w:p w14:paraId="4A6A99E2"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Median overall survival 27.8 months (range 12–42.8)</w:t>
            </w:r>
          </w:p>
        </w:tc>
        <w:tc>
          <w:tcPr>
            <w:tcW w:w="944" w:type="pct"/>
            <w:tcBorders>
              <w:bottom w:val="single" w:sz="4" w:space="0" w:color="auto"/>
            </w:tcBorders>
          </w:tcPr>
          <w:p w14:paraId="4A6A99E3" w14:textId="77777777" w:rsidR="00E35519" w:rsidRPr="000D28E9" w:rsidRDefault="00E35519" w:rsidP="000D28E9">
            <w:pPr>
              <w:spacing w:before="0" w:after="0"/>
              <w:rPr>
                <w:rFonts w:ascii="Arial Narrow" w:eastAsia="Calibri" w:hAnsi="Arial Narrow"/>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sz w:val="20"/>
              </w:rPr>
              <w:br/>
              <w:t xml:space="preserve">VERY LOW </w:t>
            </w:r>
            <w:r w:rsidRPr="000D28E9">
              <w:rPr>
                <w:rFonts w:ascii="Arial Narrow" w:eastAsia="Calibri" w:hAnsi="Arial Narrow"/>
                <w:sz w:val="20"/>
                <w:vertAlign w:val="superscript"/>
              </w:rPr>
              <w:t>2</w:t>
            </w:r>
          </w:p>
        </w:tc>
      </w:tr>
      <w:tr w:rsidR="00E35519" w:rsidRPr="000D28E9" w14:paraId="4A6A99F0" w14:textId="77777777" w:rsidTr="00E35519">
        <w:tc>
          <w:tcPr>
            <w:tcW w:w="1258" w:type="pct"/>
            <w:tcBorders>
              <w:bottom w:val="single" w:sz="4" w:space="0" w:color="auto"/>
            </w:tcBorders>
          </w:tcPr>
          <w:p w14:paraId="4A6A99E5"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Surgery</w:t>
            </w:r>
          </w:p>
          <w:p w14:paraId="4A6A99E6"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assessed with: Kaplan-Meier estimate (95 % CI)</w:t>
            </w:r>
          </w:p>
          <w:p w14:paraId="4A6A99E7"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F/U not reported</w:t>
            </w:r>
          </w:p>
        </w:tc>
        <w:tc>
          <w:tcPr>
            <w:tcW w:w="847" w:type="pct"/>
            <w:tcBorders>
              <w:bottom w:val="single" w:sz="4" w:space="0" w:color="auto"/>
            </w:tcBorders>
          </w:tcPr>
          <w:p w14:paraId="4A6A99E8"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3 Level IV studies</w:t>
            </w:r>
          </w:p>
        </w:tc>
        <w:tc>
          <w:tcPr>
            <w:tcW w:w="1950" w:type="pct"/>
            <w:tcBorders>
              <w:bottom w:val="single" w:sz="4" w:space="0" w:color="auto"/>
            </w:tcBorders>
          </w:tcPr>
          <w:p w14:paraId="4A6A99E9" w14:textId="77777777" w:rsidR="00E35519" w:rsidRPr="000D28E9" w:rsidRDefault="00E35519" w:rsidP="000D28E9">
            <w:pPr>
              <w:spacing w:before="0" w:after="0"/>
              <w:rPr>
                <w:rFonts w:ascii="Arial Narrow" w:eastAsia="Calibri" w:hAnsi="Arial Narrow"/>
                <w:sz w:val="20"/>
                <w:u w:val="single"/>
              </w:rPr>
            </w:pPr>
            <w:r w:rsidRPr="000D28E9">
              <w:rPr>
                <w:rFonts w:ascii="Arial Narrow" w:eastAsia="Calibri" w:hAnsi="Arial Narrow"/>
                <w:sz w:val="20"/>
                <w:u w:val="single"/>
              </w:rPr>
              <w:t>Renaud et al (2014)</w:t>
            </w:r>
          </w:p>
          <w:p w14:paraId="4A6A99EA" w14:textId="77777777" w:rsidR="00E35519" w:rsidRPr="000D28E9" w:rsidRDefault="00E35519" w:rsidP="000D28E9">
            <w:pPr>
              <w:spacing w:before="0" w:after="0"/>
              <w:rPr>
                <w:rFonts w:ascii="Arial Narrow" w:eastAsia="Calibri" w:hAnsi="Arial Narrow"/>
                <w:sz w:val="20"/>
                <w:u w:val="single"/>
              </w:rPr>
            </w:pPr>
            <w:r w:rsidRPr="000D28E9">
              <w:rPr>
                <w:rFonts w:ascii="Arial Narrow" w:eastAsia="Calibri" w:hAnsi="Arial Narrow"/>
                <w:sz w:val="20"/>
              </w:rPr>
              <w:t xml:space="preserve">No lymph node involvement: 94 months (95%CI, 76.3–111.7) positive lymph node involvement: 42 months (95%CI, 30.1–53.9; p&lt;0.0001) </w:t>
            </w:r>
            <w:proofErr w:type="spellStart"/>
            <w:r w:rsidRPr="000D28E9">
              <w:rPr>
                <w:rFonts w:ascii="Arial Narrow" w:eastAsia="Calibri" w:hAnsi="Arial Narrow"/>
                <w:sz w:val="20"/>
              </w:rPr>
              <w:t>Hilar</w:t>
            </w:r>
            <w:proofErr w:type="spellEnd"/>
            <w:r w:rsidRPr="000D28E9">
              <w:rPr>
                <w:rFonts w:ascii="Arial Narrow" w:eastAsia="Calibri" w:hAnsi="Arial Narrow"/>
                <w:sz w:val="20"/>
              </w:rPr>
              <w:t xml:space="preserve"> location of lymph node involvement: 47 months (95%CI, 29.9–64.1) Mediastinal location of lymph node involvement: 37 months (95%CI, 14.0–60.0; p&gt;0.05) Solitary pulmonary metastasis: 81 months (95%CI, 60.8–101.2) Multiple metastases: 55 months (95%CI, 35.1–74.9; p&lt;0.01) Hepatic metastases: 47 months (95%CI, 21.6–72.4) No hepatic metastases: 74 months (95%CI, 60.7–87.3;. p&lt;0.01)</w:t>
            </w:r>
            <w:r w:rsidRPr="000D28E9">
              <w:rPr>
                <w:rFonts w:ascii="Arial Narrow" w:eastAsia="Calibri" w:hAnsi="Arial Narrow"/>
                <w:sz w:val="20"/>
                <w:u w:val="single"/>
              </w:rPr>
              <w:t xml:space="preserve"> </w:t>
            </w:r>
          </w:p>
          <w:p w14:paraId="4A6A99EB" w14:textId="77777777" w:rsidR="00E35519" w:rsidRPr="000D28E9" w:rsidRDefault="00E35519" w:rsidP="000D28E9">
            <w:pPr>
              <w:spacing w:before="0" w:after="0"/>
              <w:rPr>
                <w:rFonts w:ascii="Arial Narrow" w:eastAsia="Calibri" w:hAnsi="Arial Narrow"/>
                <w:sz w:val="20"/>
                <w:u w:val="single"/>
              </w:rPr>
            </w:pPr>
            <w:r w:rsidRPr="000D28E9">
              <w:rPr>
                <w:rFonts w:ascii="Arial Narrow" w:eastAsia="Calibri" w:hAnsi="Arial Narrow"/>
                <w:sz w:val="20"/>
                <w:u w:val="single"/>
              </w:rPr>
              <w:t>Reza et al (2014)</w:t>
            </w:r>
          </w:p>
          <w:p w14:paraId="4A6A99EC" w14:textId="77777777" w:rsidR="00E35519" w:rsidRPr="000D28E9" w:rsidRDefault="00E35519" w:rsidP="000D28E9">
            <w:pPr>
              <w:spacing w:before="0" w:after="0"/>
              <w:rPr>
                <w:rFonts w:ascii="Arial Narrow" w:eastAsia="Calibri" w:hAnsi="Arial Narrow"/>
                <w:sz w:val="20"/>
                <w:u w:val="single"/>
              </w:rPr>
            </w:pPr>
            <w:r w:rsidRPr="000D28E9">
              <w:rPr>
                <w:rFonts w:ascii="Arial Narrow" w:eastAsia="Calibri" w:hAnsi="Arial Narrow"/>
                <w:sz w:val="20"/>
              </w:rPr>
              <w:t>35 months (95%CI 23–61</w:t>
            </w:r>
            <w:r w:rsidRPr="000D28E9">
              <w:rPr>
                <w:rFonts w:ascii="Arial Narrow" w:eastAsia="Calibri" w:hAnsi="Arial Narrow"/>
                <w:sz w:val="20"/>
                <w:u w:val="single"/>
              </w:rPr>
              <w:t xml:space="preserve">) </w:t>
            </w:r>
          </w:p>
          <w:p w14:paraId="4A6A99ED" w14:textId="77777777" w:rsidR="00E35519" w:rsidRPr="000D28E9" w:rsidRDefault="00E35519" w:rsidP="000D28E9">
            <w:pPr>
              <w:spacing w:before="0" w:after="0"/>
              <w:rPr>
                <w:rFonts w:ascii="Arial Narrow" w:eastAsia="Calibri" w:hAnsi="Arial Narrow"/>
                <w:sz w:val="20"/>
                <w:u w:val="single"/>
              </w:rPr>
            </w:pPr>
            <w:r w:rsidRPr="000D28E9">
              <w:rPr>
                <w:rFonts w:ascii="Arial Narrow" w:eastAsia="Calibri" w:hAnsi="Arial Narrow"/>
                <w:sz w:val="20"/>
                <w:u w:val="single"/>
              </w:rPr>
              <w:t>Kitano et al (2012)</w:t>
            </w:r>
          </w:p>
          <w:p w14:paraId="4A6A99EE" w14:textId="77777777" w:rsidR="00E35519" w:rsidRPr="000D28E9" w:rsidRDefault="00E35519" w:rsidP="000D28E9">
            <w:pPr>
              <w:spacing w:before="0" w:after="0"/>
              <w:rPr>
                <w:rFonts w:ascii="Arial Narrow" w:eastAsia="Calibri" w:hAnsi="Arial Narrow"/>
                <w:sz w:val="20"/>
                <w:u w:val="single"/>
              </w:rPr>
            </w:pPr>
            <w:r w:rsidRPr="000D28E9">
              <w:rPr>
                <w:rFonts w:ascii="Arial Narrow" w:eastAsia="Calibri" w:hAnsi="Arial Narrow"/>
                <w:sz w:val="20"/>
              </w:rPr>
              <w:t>26.5 months (range: 0.7–165)</w:t>
            </w:r>
          </w:p>
        </w:tc>
        <w:tc>
          <w:tcPr>
            <w:tcW w:w="944" w:type="pct"/>
            <w:tcBorders>
              <w:bottom w:val="single" w:sz="4" w:space="0" w:color="auto"/>
            </w:tcBorders>
          </w:tcPr>
          <w:p w14:paraId="4A6A99EF" w14:textId="77777777" w:rsidR="00E35519" w:rsidRPr="000D28E9" w:rsidRDefault="00E35519" w:rsidP="000D28E9">
            <w:pPr>
              <w:spacing w:before="0" w:after="0"/>
              <w:rPr>
                <w:rFonts w:ascii="Arial Narrow" w:eastAsia="Calibri" w:hAnsi="Arial Narrow"/>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sz w:val="20"/>
              </w:rPr>
              <w:br/>
              <w:t xml:space="preserve">VERY LOW </w:t>
            </w:r>
            <w:r w:rsidRPr="000D28E9">
              <w:rPr>
                <w:rFonts w:ascii="Arial Narrow" w:eastAsia="Calibri" w:hAnsi="Arial Narrow"/>
                <w:sz w:val="20"/>
                <w:vertAlign w:val="superscript"/>
              </w:rPr>
              <w:t>2</w:t>
            </w:r>
          </w:p>
        </w:tc>
      </w:tr>
      <w:tr w:rsidR="00E35519" w:rsidRPr="000D28E9" w14:paraId="4A6A99F5" w14:textId="77777777" w:rsidTr="00E35519">
        <w:tc>
          <w:tcPr>
            <w:tcW w:w="1258" w:type="pct"/>
            <w:tcBorders>
              <w:right w:val="nil"/>
            </w:tcBorders>
            <w:shd w:val="clear" w:color="auto" w:fill="D9D9D9" w:themeFill="background1" w:themeFillShade="D9"/>
          </w:tcPr>
          <w:p w14:paraId="4A6A99F1" w14:textId="77777777" w:rsidR="00E35519" w:rsidRPr="000D28E9" w:rsidRDefault="00E35519" w:rsidP="000D28E9">
            <w:pPr>
              <w:spacing w:before="0" w:after="0"/>
              <w:rPr>
                <w:rFonts w:ascii="Arial Narrow" w:eastAsia="Calibri" w:hAnsi="Arial Narrow"/>
                <w:b/>
                <w:sz w:val="20"/>
              </w:rPr>
            </w:pPr>
            <w:r w:rsidRPr="000D28E9">
              <w:rPr>
                <w:rFonts w:ascii="Arial Narrow" w:eastAsia="Calibri" w:hAnsi="Arial Narrow"/>
                <w:b/>
                <w:sz w:val="20"/>
              </w:rPr>
              <w:t>Time to local progression</w:t>
            </w:r>
          </w:p>
        </w:tc>
        <w:tc>
          <w:tcPr>
            <w:tcW w:w="847" w:type="pct"/>
            <w:tcBorders>
              <w:left w:val="nil"/>
              <w:right w:val="nil"/>
            </w:tcBorders>
            <w:shd w:val="clear" w:color="auto" w:fill="D9D9D9" w:themeFill="background1" w:themeFillShade="D9"/>
          </w:tcPr>
          <w:p w14:paraId="4A6A99F2" w14:textId="77777777" w:rsidR="00E35519" w:rsidRPr="000D28E9" w:rsidRDefault="00E35519" w:rsidP="000D28E9">
            <w:pPr>
              <w:spacing w:before="0" w:after="0"/>
              <w:rPr>
                <w:rFonts w:ascii="Arial Narrow" w:eastAsia="Calibri" w:hAnsi="Arial Narrow"/>
                <w:sz w:val="20"/>
              </w:rPr>
            </w:pPr>
          </w:p>
        </w:tc>
        <w:tc>
          <w:tcPr>
            <w:tcW w:w="1950" w:type="pct"/>
            <w:tcBorders>
              <w:left w:val="nil"/>
              <w:right w:val="nil"/>
            </w:tcBorders>
            <w:shd w:val="clear" w:color="auto" w:fill="D9D9D9" w:themeFill="background1" w:themeFillShade="D9"/>
          </w:tcPr>
          <w:p w14:paraId="4A6A99F3" w14:textId="77777777" w:rsidR="00E35519" w:rsidRPr="000D28E9" w:rsidRDefault="00E35519" w:rsidP="000D28E9">
            <w:pPr>
              <w:spacing w:before="0" w:after="0"/>
              <w:rPr>
                <w:rFonts w:ascii="Arial Narrow" w:eastAsia="Calibri" w:hAnsi="Arial Narrow"/>
                <w:sz w:val="20"/>
              </w:rPr>
            </w:pPr>
          </w:p>
        </w:tc>
        <w:tc>
          <w:tcPr>
            <w:tcW w:w="944" w:type="pct"/>
            <w:tcBorders>
              <w:left w:val="nil"/>
            </w:tcBorders>
            <w:shd w:val="clear" w:color="auto" w:fill="D9D9D9" w:themeFill="background1" w:themeFillShade="D9"/>
          </w:tcPr>
          <w:p w14:paraId="4A6A99F4" w14:textId="77777777" w:rsidR="00E35519" w:rsidRPr="000D28E9" w:rsidRDefault="00E35519" w:rsidP="000D28E9">
            <w:pPr>
              <w:spacing w:before="0" w:after="0"/>
              <w:rPr>
                <w:rFonts w:ascii="Arial Narrow" w:eastAsia="Calibri" w:hAnsi="Arial Narrow"/>
                <w:sz w:val="20"/>
              </w:rPr>
            </w:pPr>
          </w:p>
        </w:tc>
      </w:tr>
      <w:tr w:rsidR="00E35519" w:rsidRPr="000D28E9" w14:paraId="4A6A99FF" w14:textId="77777777" w:rsidTr="00E35519">
        <w:tc>
          <w:tcPr>
            <w:tcW w:w="1258" w:type="pct"/>
          </w:tcPr>
          <w:p w14:paraId="4A6A99F6"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MTA</w:t>
            </w:r>
          </w:p>
          <w:p w14:paraId="4A6A99F7"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Assessed with: Mean time in months (range)</w:t>
            </w:r>
          </w:p>
          <w:p w14:paraId="4A6A99F8"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F/U range 9 to 14 months</w:t>
            </w:r>
          </w:p>
        </w:tc>
        <w:tc>
          <w:tcPr>
            <w:tcW w:w="847" w:type="pct"/>
          </w:tcPr>
          <w:p w14:paraId="4A6A99F9"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2 Level IV studies</w:t>
            </w:r>
          </w:p>
        </w:tc>
        <w:tc>
          <w:tcPr>
            <w:tcW w:w="1950" w:type="pct"/>
          </w:tcPr>
          <w:p w14:paraId="4A6A99FA" w14:textId="77777777" w:rsidR="00E35519" w:rsidRPr="000D28E9" w:rsidRDefault="00E35519" w:rsidP="000D28E9">
            <w:pPr>
              <w:spacing w:before="0" w:after="0"/>
              <w:rPr>
                <w:rFonts w:ascii="Arial Narrow" w:eastAsia="Calibri" w:hAnsi="Arial Narrow"/>
                <w:sz w:val="20"/>
                <w:u w:val="single"/>
              </w:rPr>
            </w:pPr>
            <w:r w:rsidRPr="000D28E9">
              <w:rPr>
                <w:rFonts w:ascii="Arial Narrow" w:eastAsia="Calibri" w:hAnsi="Arial Narrow"/>
                <w:sz w:val="20"/>
                <w:u w:val="single"/>
              </w:rPr>
              <w:t>Qi et al (2015)</w:t>
            </w:r>
          </w:p>
          <w:p w14:paraId="4A6A99FB"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7.2 months (range 4–20)</w:t>
            </w:r>
          </w:p>
          <w:p w14:paraId="4A6A99FC" w14:textId="77777777" w:rsidR="00E35519" w:rsidRPr="000D28E9" w:rsidRDefault="00E35519" w:rsidP="000D28E9">
            <w:pPr>
              <w:spacing w:before="0" w:after="0"/>
              <w:rPr>
                <w:rFonts w:ascii="Arial Narrow" w:eastAsia="Calibri" w:hAnsi="Arial Narrow"/>
                <w:sz w:val="20"/>
                <w:u w:val="single"/>
              </w:rPr>
            </w:pPr>
            <w:proofErr w:type="spellStart"/>
            <w:r w:rsidRPr="000D28E9">
              <w:rPr>
                <w:rFonts w:ascii="Arial Narrow" w:eastAsia="Calibri" w:hAnsi="Arial Narrow"/>
                <w:sz w:val="20"/>
                <w:u w:val="single"/>
              </w:rPr>
              <w:t>Vogl</w:t>
            </w:r>
            <w:proofErr w:type="spellEnd"/>
            <w:r w:rsidRPr="000D28E9">
              <w:rPr>
                <w:rFonts w:ascii="Arial Narrow" w:eastAsia="Calibri" w:hAnsi="Arial Narrow"/>
                <w:sz w:val="20"/>
                <w:u w:val="single"/>
              </w:rPr>
              <w:t xml:space="preserve"> et al (2015)</w:t>
            </w:r>
          </w:p>
          <w:p w14:paraId="4A6A99FD"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6 months (range: 1–18)</w:t>
            </w:r>
            <w:r w:rsidRPr="000D28E9">
              <w:rPr>
                <w:rFonts w:ascii="Arial Narrow" w:eastAsia="Calibri" w:hAnsi="Arial Narrow"/>
                <w:sz w:val="20"/>
                <w:u w:val="single"/>
              </w:rPr>
              <w:t xml:space="preserve"> </w:t>
            </w:r>
          </w:p>
        </w:tc>
        <w:tc>
          <w:tcPr>
            <w:tcW w:w="944" w:type="pct"/>
          </w:tcPr>
          <w:p w14:paraId="4A6A99FE" w14:textId="77777777" w:rsidR="00E35519" w:rsidRPr="000D28E9" w:rsidRDefault="00E35519" w:rsidP="000D28E9">
            <w:pPr>
              <w:spacing w:before="0" w:after="0"/>
              <w:rPr>
                <w:rFonts w:ascii="Arial Narrow" w:eastAsia="Calibri" w:hAnsi="Arial Narrow"/>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sz w:val="20"/>
              </w:rPr>
              <w:br/>
              <w:t>VERY LOW</w:t>
            </w:r>
          </w:p>
        </w:tc>
      </w:tr>
      <w:tr w:rsidR="00E35519" w:rsidRPr="000D28E9" w14:paraId="4A6A9A06" w14:textId="77777777" w:rsidTr="00E35519">
        <w:tc>
          <w:tcPr>
            <w:tcW w:w="1258" w:type="pct"/>
          </w:tcPr>
          <w:p w14:paraId="4A6A9A00"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lastRenderedPageBreak/>
              <w:t>RFA</w:t>
            </w:r>
          </w:p>
          <w:p w14:paraId="4A6A9A01"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Assessed with: mean (range) months/Kaplan-Meier estimate (95%CI)</w:t>
            </w:r>
          </w:p>
          <w:p w14:paraId="4A6A9A02"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F/U range 12 to 38 months</w:t>
            </w:r>
          </w:p>
        </w:tc>
        <w:tc>
          <w:tcPr>
            <w:tcW w:w="847" w:type="pct"/>
          </w:tcPr>
          <w:p w14:paraId="4A6A9A03" w14:textId="77777777" w:rsidR="00E35519" w:rsidRPr="000D28E9" w:rsidRDefault="00E35519" w:rsidP="000D28E9">
            <w:pPr>
              <w:spacing w:before="0" w:after="0"/>
              <w:rPr>
                <w:rFonts w:ascii="Arial Narrow" w:eastAsia="Calibri" w:hAnsi="Arial Narrow"/>
                <w:sz w:val="20"/>
                <w:vertAlign w:val="superscript"/>
              </w:rPr>
            </w:pPr>
            <w:r w:rsidRPr="000D28E9">
              <w:rPr>
                <w:rFonts w:ascii="Arial Narrow" w:eastAsia="Calibri" w:hAnsi="Arial Narrow"/>
                <w:sz w:val="20"/>
              </w:rPr>
              <w:t>5 Level IV studies</w:t>
            </w:r>
          </w:p>
        </w:tc>
        <w:tc>
          <w:tcPr>
            <w:tcW w:w="1950" w:type="pct"/>
          </w:tcPr>
          <w:p w14:paraId="4A6A9A04"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Median time to local progression 12 months (range: 8.2–15 months)</w:t>
            </w:r>
          </w:p>
        </w:tc>
        <w:tc>
          <w:tcPr>
            <w:tcW w:w="944" w:type="pct"/>
          </w:tcPr>
          <w:p w14:paraId="4A6A9A05" w14:textId="77777777" w:rsidR="00E35519" w:rsidRPr="000D28E9" w:rsidRDefault="00E35519" w:rsidP="000D28E9">
            <w:pPr>
              <w:spacing w:before="0" w:after="0"/>
              <w:rPr>
                <w:rFonts w:ascii="Arial Narrow" w:eastAsia="Calibri" w:hAnsi="Arial Narrow"/>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sz w:val="20"/>
              </w:rPr>
              <w:br/>
              <w:t xml:space="preserve">VERY LOW </w:t>
            </w:r>
            <w:r w:rsidRPr="000D28E9">
              <w:rPr>
                <w:rFonts w:ascii="Arial Narrow" w:eastAsia="Calibri" w:hAnsi="Arial Narrow"/>
                <w:sz w:val="20"/>
                <w:vertAlign w:val="superscript"/>
              </w:rPr>
              <w:t>3</w:t>
            </w:r>
          </w:p>
        </w:tc>
      </w:tr>
      <w:tr w:rsidR="00E35519" w:rsidRPr="000D28E9" w14:paraId="4A6A9A0E" w14:textId="77777777" w:rsidTr="000D28E9">
        <w:trPr>
          <w:trHeight w:val="903"/>
        </w:trPr>
        <w:tc>
          <w:tcPr>
            <w:tcW w:w="1258" w:type="pct"/>
          </w:tcPr>
          <w:p w14:paraId="4A6A9A07"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Radiotherapy</w:t>
            </w:r>
          </w:p>
          <w:p w14:paraId="4A6A9A08"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Assessed with: median months until progression</w:t>
            </w:r>
          </w:p>
          <w:p w14:paraId="4A6A9A09"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F/U range 15 to 24 months</w:t>
            </w:r>
          </w:p>
        </w:tc>
        <w:tc>
          <w:tcPr>
            <w:tcW w:w="847" w:type="pct"/>
          </w:tcPr>
          <w:p w14:paraId="4A6A9A0A"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1 Level III-2 study</w:t>
            </w:r>
          </w:p>
          <w:p w14:paraId="4A6A9A0B"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6 Level IV studies</w:t>
            </w:r>
          </w:p>
        </w:tc>
        <w:tc>
          <w:tcPr>
            <w:tcW w:w="1950" w:type="pct"/>
          </w:tcPr>
          <w:p w14:paraId="4A6A9A0C"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Median time to local progression 10.8 months (range: 5–18)</w:t>
            </w:r>
          </w:p>
        </w:tc>
        <w:tc>
          <w:tcPr>
            <w:tcW w:w="944" w:type="pct"/>
          </w:tcPr>
          <w:p w14:paraId="4A6A9A0D" w14:textId="77777777" w:rsidR="00E35519" w:rsidRPr="000D28E9" w:rsidRDefault="00E35519" w:rsidP="000D28E9">
            <w:pPr>
              <w:spacing w:before="0" w:after="0"/>
              <w:rPr>
                <w:rFonts w:ascii="Arial Narrow" w:eastAsia="Calibri" w:hAnsi="Arial Narrow"/>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sz w:val="20"/>
              </w:rPr>
              <w:br/>
              <w:t xml:space="preserve">VERY LOW </w:t>
            </w:r>
            <w:r w:rsidRPr="000D28E9">
              <w:rPr>
                <w:rFonts w:ascii="Arial Narrow" w:eastAsia="Calibri" w:hAnsi="Arial Narrow"/>
                <w:sz w:val="20"/>
                <w:vertAlign w:val="superscript"/>
              </w:rPr>
              <w:t>3</w:t>
            </w:r>
          </w:p>
        </w:tc>
      </w:tr>
      <w:tr w:rsidR="00E35519" w:rsidRPr="000D28E9" w14:paraId="4A6A9A14" w14:textId="77777777" w:rsidTr="00E35519">
        <w:tc>
          <w:tcPr>
            <w:tcW w:w="1258" w:type="pct"/>
          </w:tcPr>
          <w:p w14:paraId="4A6A9A0F"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Surgery</w:t>
            </w:r>
          </w:p>
          <w:p w14:paraId="4A6A9A10"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Not reported</w:t>
            </w:r>
          </w:p>
        </w:tc>
        <w:tc>
          <w:tcPr>
            <w:tcW w:w="847" w:type="pct"/>
          </w:tcPr>
          <w:p w14:paraId="4A6A9A11"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0 studies</w:t>
            </w:r>
          </w:p>
        </w:tc>
        <w:tc>
          <w:tcPr>
            <w:tcW w:w="1950" w:type="pct"/>
          </w:tcPr>
          <w:p w14:paraId="4A6A9A12"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NA</w:t>
            </w:r>
          </w:p>
        </w:tc>
        <w:tc>
          <w:tcPr>
            <w:tcW w:w="944" w:type="pct"/>
          </w:tcPr>
          <w:p w14:paraId="4A6A9A13"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NA</w:t>
            </w:r>
          </w:p>
        </w:tc>
      </w:tr>
    </w:tbl>
    <w:p w14:paraId="4A6A9A15" w14:textId="77777777" w:rsidR="00E35519" w:rsidRPr="00E35519" w:rsidRDefault="00E35519" w:rsidP="00E35519">
      <w:pPr>
        <w:widowControl w:val="0"/>
        <w:spacing w:before="60" w:after="60"/>
        <w:rPr>
          <w:snapToGrid w:val="0"/>
          <w:sz w:val="18"/>
          <w:lang w:eastAsia="en-US"/>
        </w:rPr>
      </w:pPr>
      <w:bookmarkStart w:id="16" w:name="_Ref457465379"/>
      <w:bookmarkStart w:id="17" w:name="_Ref459709948"/>
      <w:bookmarkStart w:id="18" w:name="_Toc460514665"/>
      <w:r w:rsidRPr="00E35519">
        <w:rPr>
          <w:snapToGrid w:val="0"/>
          <w:sz w:val="18"/>
          <w:lang w:eastAsia="en-US"/>
        </w:rPr>
        <w:t>&lt; CI = confidence interval; F/U = follow up; MTA = microwave tissue ablation; NA = not applicable; RFA = radiofrequency ablation &gt;</w:t>
      </w:r>
    </w:p>
    <w:p w14:paraId="4A6A9A16" w14:textId="77777777" w:rsidR="00E35519" w:rsidRPr="00E35519" w:rsidRDefault="00E35519" w:rsidP="00E35519">
      <w:pPr>
        <w:widowControl w:val="0"/>
        <w:spacing w:before="60" w:after="60"/>
        <w:rPr>
          <w:snapToGrid w:val="0"/>
          <w:sz w:val="18"/>
          <w:lang w:eastAsia="en-US"/>
        </w:rPr>
      </w:pPr>
      <w:r w:rsidRPr="00E35519">
        <w:rPr>
          <w:snapToGrid w:val="0"/>
          <w:sz w:val="18"/>
          <w:lang w:eastAsia="en-US"/>
        </w:rPr>
        <w:t>GRADE Working Group grades of evidence (</w:t>
      </w:r>
      <w:proofErr w:type="spellStart"/>
      <w:r w:rsidRPr="00E35519">
        <w:rPr>
          <w:snapToGrid w:val="0"/>
          <w:sz w:val="18"/>
          <w:lang w:eastAsia="en-US"/>
        </w:rPr>
        <w:t>Guyatt</w:t>
      </w:r>
      <w:proofErr w:type="spellEnd"/>
      <w:r w:rsidRPr="00E35519">
        <w:rPr>
          <w:snapToGrid w:val="0"/>
          <w:sz w:val="18"/>
          <w:lang w:eastAsia="en-US"/>
        </w:rPr>
        <w:t xml:space="preserve"> et al., 2013)</w:t>
      </w:r>
      <w:r w:rsidRPr="00E35519">
        <w:rPr>
          <w:b/>
          <w:snapToGrid w:val="0"/>
          <w:sz w:val="18"/>
          <w:lang w:eastAsia="en-US"/>
        </w:rPr>
        <w:t>.</w:t>
      </w:r>
      <w:r w:rsidRPr="00E35519">
        <w:rPr>
          <w:snapToGrid w:val="0"/>
          <w:sz w:val="18"/>
          <w:lang w:eastAsia="en-US"/>
        </w:rPr>
        <w:br/>
      </w:r>
      <w:r w:rsidRPr="00E35519">
        <w:rPr>
          <w:rFonts w:ascii="Cambria Math" w:hAnsi="Cambria Math" w:cs="Cambria Math"/>
          <w:snapToGrid w:val="0"/>
          <w:color w:val="00B050"/>
          <w:sz w:val="18"/>
          <w:lang w:eastAsia="en-US"/>
        </w:rPr>
        <w:t>⨁</w:t>
      </w:r>
      <w:r w:rsidRPr="00E35519">
        <w:rPr>
          <w:rFonts w:ascii="Cambria Math" w:hAnsi="Cambria Math" w:cs="Cambria Math"/>
          <w:snapToGrid w:val="0"/>
          <w:color w:val="C00000"/>
          <w:sz w:val="18"/>
          <w:lang w:eastAsia="en-US"/>
        </w:rPr>
        <w:t>⨀⨀⨀</w:t>
      </w:r>
      <w:r w:rsidRPr="00E35519">
        <w:rPr>
          <w:snapToGrid w:val="0"/>
          <w:color w:val="C00000"/>
          <w:sz w:val="18"/>
          <w:lang w:eastAsia="en-US"/>
        </w:rPr>
        <w:t xml:space="preserve"> </w:t>
      </w:r>
      <w:r w:rsidRPr="00E35519">
        <w:rPr>
          <w:b/>
          <w:bCs/>
          <w:snapToGrid w:val="0"/>
          <w:sz w:val="18"/>
          <w:lang w:eastAsia="en-US"/>
        </w:rPr>
        <w:t>Very low quality:</w:t>
      </w:r>
      <w:r w:rsidRPr="00E35519">
        <w:rPr>
          <w:snapToGrid w:val="0"/>
          <w:sz w:val="18"/>
          <w:lang w:eastAsia="en-US"/>
        </w:rPr>
        <w:t xml:space="preserve"> We have very little confidence in the effect estimate: The true effect is likely to be substantially different from the estimate of effect.</w:t>
      </w:r>
    </w:p>
    <w:p w14:paraId="4A6A9A17" w14:textId="77777777" w:rsidR="00E35519" w:rsidRPr="00E35519" w:rsidRDefault="00E35519" w:rsidP="00E35519">
      <w:pPr>
        <w:widowControl w:val="0"/>
        <w:numPr>
          <w:ilvl w:val="0"/>
          <w:numId w:val="28"/>
        </w:numPr>
        <w:spacing w:before="60" w:after="60"/>
        <w:ind w:left="284" w:hanging="284"/>
        <w:rPr>
          <w:snapToGrid w:val="0"/>
          <w:sz w:val="18"/>
          <w:lang w:eastAsia="en-US"/>
        </w:rPr>
      </w:pPr>
      <w:r w:rsidRPr="00E35519">
        <w:rPr>
          <w:snapToGrid w:val="0"/>
          <w:sz w:val="18"/>
          <w:lang w:eastAsia="en-US"/>
        </w:rPr>
        <w:t xml:space="preserve">Studies report a large range of survival rates with many studies not providing any indication of the variance associated with point estimates. At later time points less results are available. </w:t>
      </w:r>
    </w:p>
    <w:p w14:paraId="4A6A9A18" w14:textId="77777777" w:rsidR="00E35519" w:rsidRPr="00E35519" w:rsidRDefault="00E35519" w:rsidP="00E35519">
      <w:pPr>
        <w:widowControl w:val="0"/>
        <w:numPr>
          <w:ilvl w:val="0"/>
          <w:numId w:val="28"/>
        </w:numPr>
        <w:spacing w:before="60" w:after="60"/>
        <w:ind w:left="284" w:hanging="284"/>
        <w:rPr>
          <w:snapToGrid w:val="0"/>
          <w:sz w:val="18"/>
          <w:lang w:eastAsia="en-US"/>
        </w:rPr>
      </w:pPr>
      <w:r w:rsidRPr="00E35519">
        <w:rPr>
          <w:snapToGrid w:val="0"/>
          <w:sz w:val="18"/>
          <w:lang w:eastAsia="en-US"/>
        </w:rPr>
        <w:t>Studies included investigated a range of prognostic factors and different studies reported on patients with different primary cancers. This is likely to have affected the overall survival time of included patients.</w:t>
      </w:r>
    </w:p>
    <w:p w14:paraId="4A6A9A19" w14:textId="77777777" w:rsidR="00E35519" w:rsidRPr="000D28E9" w:rsidRDefault="00E35519" w:rsidP="00E35519">
      <w:pPr>
        <w:widowControl w:val="0"/>
        <w:numPr>
          <w:ilvl w:val="0"/>
          <w:numId w:val="28"/>
        </w:numPr>
        <w:spacing w:before="60" w:after="60"/>
        <w:ind w:left="284" w:hanging="284"/>
        <w:rPr>
          <w:snapToGrid w:val="0"/>
          <w:sz w:val="18"/>
          <w:lang w:eastAsia="en-US"/>
        </w:rPr>
      </w:pPr>
      <w:r w:rsidRPr="00E35519">
        <w:rPr>
          <w:snapToGrid w:val="0"/>
          <w:sz w:val="18"/>
          <w:lang w:eastAsia="en-US"/>
        </w:rPr>
        <w:t>Studies report a range of time to progression estimates and it is not clear whether they were measured in a consistent manner.</w:t>
      </w:r>
    </w:p>
    <w:p w14:paraId="4A6A9A1A" w14:textId="77777777" w:rsidR="00E35519" w:rsidRPr="000D28E9" w:rsidRDefault="00E35519" w:rsidP="002E1945">
      <w:pPr>
        <w:spacing w:before="240"/>
        <w:rPr>
          <w:rFonts w:ascii="Arial Narrow" w:hAnsi="Arial Narrow"/>
          <w:b/>
          <w:sz w:val="20"/>
          <w:lang w:eastAsia="en-US" w:bidi="en-US"/>
        </w:rPr>
      </w:pPr>
      <w:bookmarkStart w:id="19" w:name="_Ref469405306"/>
      <w:r w:rsidRPr="000D28E9">
        <w:rPr>
          <w:rFonts w:ascii="Arial Narrow" w:hAnsi="Arial Narrow"/>
          <w:b/>
          <w:sz w:val="20"/>
          <w:lang w:eastAsia="en-US" w:bidi="en-US"/>
        </w:rPr>
        <w:t xml:space="preserve">Table </w:t>
      </w:r>
      <w:r w:rsidRPr="000D28E9">
        <w:rPr>
          <w:rFonts w:ascii="Arial Narrow" w:hAnsi="Arial Narrow"/>
          <w:b/>
          <w:sz w:val="20"/>
          <w:lang w:eastAsia="en-US" w:bidi="en-US"/>
        </w:rPr>
        <w:fldChar w:fldCharType="begin"/>
      </w:r>
      <w:r w:rsidRPr="000D28E9">
        <w:rPr>
          <w:rFonts w:ascii="Arial Narrow" w:hAnsi="Arial Narrow"/>
          <w:b/>
          <w:sz w:val="20"/>
          <w:lang w:eastAsia="en-US" w:bidi="en-US"/>
        </w:rPr>
        <w:instrText xml:space="preserve"> SEQ Table \* ARABIC </w:instrText>
      </w:r>
      <w:r w:rsidRPr="000D28E9">
        <w:rPr>
          <w:rFonts w:ascii="Arial Narrow" w:hAnsi="Arial Narrow"/>
          <w:b/>
          <w:sz w:val="20"/>
          <w:lang w:eastAsia="en-US" w:bidi="en-US"/>
        </w:rPr>
        <w:fldChar w:fldCharType="separate"/>
      </w:r>
      <w:r w:rsidR="004C0C25">
        <w:rPr>
          <w:rFonts w:ascii="Arial Narrow" w:hAnsi="Arial Narrow"/>
          <w:b/>
          <w:noProof/>
          <w:sz w:val="20"/>
          <w:lang w:eastAsia="en-US" w:bidi="en-US"/>
        </w:rPr>
        <w:t>5</w:t>
      </w:r>
      <w:r w:rsidRPr="000D28E9">
        <w:rPr>
          <w:rFonts w:ascii="Arial Narrow" w:hAnsi="Arial Narrow"/>
          <w:b/>
          <w:noProof/>
          <w:sz w:val="20"/>
          <w:lang w:eastAsia="en-US" w:bidi="en-US"/>
        </w:rPr>
        <w:fldChar w:fldCharType="end"/>
      </w:r>
      <w:bookmarkEnd w:id="16"/>
      <w:bookmarkEnd w:id="17"/>
      <w:bookmarkEnd w:id="19"/>
      <w:r w:rsidRPr="000D28E9">
        <w:rPr>
          <w:rFonts w:ascii="Arial Narrow" w:hAnsi="Arial Narrow"/>
          <w:b/>
          <w:noProof/>
          <w:sz w:val="20"/>
          <w:lang w:eastAsia="en-US" w:bidi="en-US"/>
        </w:rPr>
        <w:tab/>
      </w:r>
      <w:r w:rsidRPr="000D28E9">
        <w:rPr>
          <w:rFonts w:ascii="Arial Narrow" w:hAnsi="Arial Narrow"/>
          <w:b/>
          <w:sz w:val="20"/>
          <w:lang w:eastAsia="en-US" w:bidi="en-US"/>
        </w:rPr>
        <w:t xml:space="preserve">Effectiveness outcomes relevant to population </w:t>
      </w:r>
      <w:bookmarkEnd w:id="18"/>
      <w:r w:rsidRPr="000D28E9">
        <w:rPr>
          <w:rFonts w:ascii="Arial Narrow" w:hAnsi="Arial Narrow"/>
          <w:b/>
          <w:sz w:val="20"/>
          <w:lang w:eastAsia="en-US" w:bidi="en-US"/>
        </w:rPr>
        <w:t>3</w:t>
      </w:r>
    </w:p>
    <w:tbl>
      <w:tblPr>
        <w:tblStyle w:val="TableGrid91"/>
        <w:tblW w:w="5004" w:type="pct"/>
        <w:tblLook w:val="04A0" w:firstRow="1" w:lastRow="0" w:firstColumn="1" w:lastColumn="0" w:noHBand="0" w:noVBand="1"/>
        <w:tblDescription w:val="Table 12-Effectiveness outcomes relevant to population3"/>
      </w:tblPr>
      <w:tblGrid>
        <w:gridCol w:w="2328"/>
        <w:gridCol w:w="1572"/>
        <w:gridCol w:w="3605"/>
        <w:gridCol w:w="1744"/>
      </w:tblGrid>
      <w:tr w:rsidR="00E35519" w:rsidRPr="000D28E9" w14:paraId="4A6A9A1F" w14:textId="77777777" w:rsidTr="00E35519">
        <w:trPr>
          <w:tblHeader/>
        </w:trPr>
        <w:tc>
          <w:tcPr>
            <w:tcW w:w="1258" w:type="pct"/>
            <w:tcBorders>
              <w:bottom w:val="single" w:sz="4" w:space="0" w:color="auto"/>
            </w:tcBorders>
            <w:shd w:val="clear" w:color="auto" w:fill="D9D9D9" w:themeFill="background1" w:themeFillShade="D9"/>
          </w:tcPr>
          <w:p w14:paraId="4A6A9A1B" w14:textId="77777777" w:rsidR="00E35519" w:rsidRPr="000D28E9" w:rsidRDefault="00E35519" w:rsidP="000D28E9">
            <w:pPr>
              <w:spacing w:before="0" w:after="0"/>
              <w:rPr>
                <w:rFonts w:ascii="Arial Narrow" w:eastAsia="Calibri" w:hAnsi="Arial Narrow"/>
                <w:b/>
                <w:sz w:val="20"/>
              </w:rPr>
            </w:pPr>
            <w:r w:rsidRPr="000D28E9">
              <w:rPr>
                <w:rFonts w:ascii="Arial Narrow" w:eastAsia="Calibri" w:hAnsi="Arial Narrow"/>
                <w:b/>
                <w:sz w:val="20"/>
              </w:rPr>
              <w:t>Outcome and intervention/comparator</w:t>
            </w:r>
          </w:p>
        </w:tc>
        <w:tc>
          <w:tcPr>
            <w:tcW w:w="850" w:type="pct"/>
            <w:tcBorders>
              <w:bottom w:val="single" w:sz="4" w:space="0" w:color="auto"/>
            </w:tcBorders>
            <w:shd w:val="clear" w:color="auto" w:fill="D9D9D9" w:themeFill="background1" w:themeFillShade="D9"/>
          </w:tcPr>
          <w:p w14:paraId="4A6A9A1C" w14:textId="77777777" w:rsidR="00E35519" w:rsidRPr="000D28E9" w:rsidRDefault="00E35519" w:rsidP="000D28E9">
            <w:pPr>
              <w:spacing w:before="0" w:after="0"/>
              <w:rPr>
                <w:rFonts w:ascii="Arial Narrow" w:eastAsia="Calibri" w:hAnsi="Arial Narrow"/>
                <w:b/>
                <w:sz w:val="20"/>
              </w:rPr>
            </w:pPr>
            <w:r w:rsidRPr="000D28E9">
              <w:rPr>
                <w:rFonts w:ascii="Arial Narrow" w:hAnsi="Arial Narrow"/>
                <w:b/>
                <w:sz w:val="20"/>
              </w:rPr>
              <w:t>№ of Studies and level of evidence</w:t>
            </w:r>
          </w:p>
        </w:tc>
        <w:tc>
          <w:tcPr>
            <w:tcW w:w="1949" w:type="pct"/>
            <w:tcBorders>
              <w:bottom w:val="single" w:sz="4" w:space="0" w:color="auto"/>
            </w:tcBorders>
            <w:shd w:val="clear" w:color="auto" w:fill="D9D9D9" w:themeFill="background1" w:themeFillShade="D9"/>
          </w:tcPr>
          <w:p w14:paraId="4A6A9A1D" w14:textId="77777777" w:rsidR="00E35519" w:rsidRPr="000D28E9" w:rsidRDefault="00E35519" w:rsidP="000D28E9">
            <w:pPr>
              <w:spacing w:before="0" w:after="0"/>
              <w:rPr>
                <w:rFonts w:ascii="Arial Narrow" w:eastAsia="Calibri" w:hAnsi="Arial Narrow"/>
                <w:b/>
                <w:sz w:val="20"/>
              </w:rPr>
            </w:pPr>
            <w:r w:rsidRPr="000D28E9">
              <w:rPr>
                <w:rFonts w:ascii="Arial Narrow" w:eastAsia="Calibri" w:hAnsi="Arial Narrow"/>
                <w:b/>
                <w:sz w:val="20"/>
              </w:rPr>
              <w:t>Summary</w:t>
            </w:r>
          </w:p>
        </w:tc>
        <w:tc>
          <w:tcPr>
            <w:tcW w:w="943" w:type="pct"/>
            <w:tcBorders>
              <w:bottom w:val="single" w:sz="4" w:space="0" w:color="auto"/>
            </w:tcBorders>
            <w:shd w:val="clear" w:color="auto" w:fill="D9D9D9" w:themeFill="background1" w:themeFillShade="D9"/>
          </w:tcPr>
          <w:p w14:paraId="4A6A9A1E" w14:textId="77777777" w:rsidR="00E35519" w:rsidRPr="000D28E9" w:rsidRDefault="00E35519" w:rsidP="000D28E9">
            <w:pPr>
              <w:spacing w:before="0" w:after="0"/>
              <w:rPr>
                <w:rFonts w:ascii="Arial Narrow" w:eastAsia="Calibri" w:hAnsi="Arial Narrow"/>
                <w:b/>
                <w:sz w:val="20"/>
              </w:rPr>
            </w:pPr>
            <w:r w:rsidRPr="000D28E9">
              <w:rPr>
                <w:rFonts w:ascii="Arial Narrow" w:eastAsia="Calibri" w:hAnsi="Arial Narrow"/>
                <w:b/>
                <w:sz w:val="20"/>
              </w:rPr>
              <w:t>Quality of the evidence (GRADE)</w:t>
            </w:r>
          </w:p>
        </w:tc>
      </w:tr>
      <w:tr w:rsidR="00E35519" w:rsidRPr="000D28E9" w14:paraId="4A6A9A24" w14:textId="77777777" w:rsidTr="00E35519">
        <w:trPr>
          <w:trHeight w:val="354"/>
        </w:trPr>
        <w:tc>
          <w:tcPr>
            <w:tcW w:w="1258" w:type="pct"/>
            <w:tcBorders>
              <w:right w:val="nil"/>
            </w:tcBorders>
            <w:shd w:val="clear" w:color="auto" w:fill="D9D9D9" w:themeFill="background1" w:themeFillShade="D9"/>
          </w:tcPr>
          <w:p w14:paraId="4A6A9A20" w14:textId="77777777" w:rsidR="00E35519" w:rsidRPr="000D28E9" w:rsidRDefault="00E35519" w:rsidP="000D28E9">
            <w:pPr>
              <w:spacing w:before="0" w:after="0"/>
              <w:rPr>
                <w:rFonts w:ascii="Arial Narrow" w:eastAsia="Calibri" w:hAnsi="Arial Narrow"/>
                <w:b/>
                <w:sz w:val="20"/>
              </w:rPr>
            </w:pPr>
            <w:r w:rsidRPr="000D28E9">
              <w:rPr>
                <w:rFonts w:ascii="Arial Narrow" w:eastAsia="Calibri" w:hAnsi="Arial Narrow"/>
                <w:b/>
                <w:sz w:val="20"/>
              </w:rPr>
              <w:t xml:space="preserve">1 year survival </w:t>
            </w:r>
          </w:p>
        </w:tc>
        <w:tc>
          <w:tcPr>
            <w:tcW w:w="850" w:type="pct"/>
            <w:tcBorders>
              <w:left w:val="nil"/>
              <w:right w:val="nil"/>
            </w:tcBorders>
            <w:shd w:val="clear" w:color="auto" w:fill="D9D9D9" w:themeFill="background1" w:themeFillShade="D9"/>
          </w:tcPr>
          <w:p w14:paraId="4A6A9A21" w14:textId="77777777" w:rsidR="00E35519" w:rsidRPr="000D28E9" w:rsidRDefault="00E35519" w:rsidP="000D28E9">
            <w:pPr>
              <w:spacing w:before="0" w:after="0"/>
              <w:rPr>
                <w:rFonts w:ascii="Arial Narrow" w:eastAsia="Calibri" w:hAnsi="Arial Narrow"/>
                <w:sz w:val="20"/>
              </w:rPr>
            </w:pPr>
          </w:p>
        </w:tc>
        <w:tc>
          <w:tcPr>
            <w:tcW w:w="1949" w:type="pct"/>
            <w:tcBorders>
              <w:left w:val="nil"/>
            </w:tcBorders>
            <w:shd w:val="clear" w:color="auto" w:fill="D9D9D9" w:themeFill="background1" w:themeFillShade="D9"/>
          </w:tcPr>
          <w:p w14:paraId="4A6A9A22" w14:textId="77777777" w:rsidR="00E35519" w:rsidRPr="000D28E9" w:rsidRDefault="00E35519" w:rsidP="000D28E9">
            <w:pPr>
              <w:spacing w:before="0" w:after="0"/>
              <w:rPr>
                <w:rFonts w:ascii="Arial Narrow" w:eastAsia="Calibri" w:hAnsi="Arial Narrow"/>
                <w:sz w:val="20"/>
                <w:u w:val="single"/>
              </w:rPr>
            </w:pPr>
          </w:p>
        </w:tc>
        <w:tc>
          <w:tcPr>
            <w:tcW w:w="943" w:type="pct"/>
            <w:tcBorders>
              <w:left w:val="nil"/>
            </w:tcBorders>
            <w:shd w:val="clear" w:color="auto" w:fill="D9D9D9" w:themeFill="background1" w:themeFillShade="D9"/>
          </w:tcPr>
          <w:p w14:paraId="4A6A9A23" w14:textId="77777777" w:rsidR="00E35519" w:rsidRPr="000D28E9" w:rsidRDefault="00E35519" w:rsidP="000D28E9">
            <w:pPr>
              <w:spacing w:before="0" w:after="0"/>
              <w:rPr>
                <w:rFonts w:ascii="Arial Narrow" w:eastAsia="Calibri" w:hAnsi="Arial Narrow"/>
                <w:sz w:val="20"/>
              </w:rPr>
            </w:pPr>
          </w:p>
        </w:tc>
      </w:tr>
      <w:tr w:rsidR="00E35519" w:rsidRPr="000D28E9" w14:paraId="4A6A9A2D" w14:textId="77777777" w:rsidTr="00E35519">
        <w:tc>
          <w:tcPr>
            <w:tcW w:w="1258" w:type="pct"/>
            <w:tcBorders>
              <w:bottom w:val="single" w:sz="4" w:space="0" w:color="auto"/>
            </w:tcBorders>
          </w:tcPr>
          <w:p w14:paraId="4A6A9A25"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MTA versus MTA + chemotherapy</w:t>
            </w:r>
          </w:p>
          <w:p w14:paraId="4A6A9A26"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Assessed with: n/N (%) at 1 and 2 years</w:t>
            </w:r>
          </w:p>
          <w:p w14:paraId="4A6A9A27"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F/U range 6 to 35 months</w:t>
            </w:r>
          </w:p>
        </w:tc>
        <w:tc>
          <w:tcPr>
            <w:tcW w:w="850" w:type="pct"/>
            <w:tcBorders>
              <w:bottom w:val="single" w:sz="4" w:space="0" w:color="auto"/>
            </w:tcBorders>
          </w:tcPr>
          <w:p w14:paraId="4A6A9A28"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1 Level III-2 study</w:t>
            </w:r>
          </w:p>
          <w:p w14:paraId="4A6A9A29"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(Sun et al 2015)</w:t>
            </w:r>
          </w:p>
        </w:tc>
        <w:tc>
          <w:tcPr>
            <w:tcW w:w="1949" w:type="pct"/>
            <w:tcBorders>
              <w:bottom w:val="single" w:sz="4" w:space="0" w:color="auto"/>
            </w:tcBorders>
          </w:tcPr>
          <w:p w14:paraId="4A6A9A2A"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u w:val="single"/>
              </w:rPr>
              <w:t>MTA:</w:t>
            </w:r>
            <w:r w:rsidRPr="000D28E9">
              <w:rPr>
                <w:rFonts w:ascii="Arial Narrow" w:eastAsia="Calibri" w:hAnsi="Arial Narrow"/>
                <w:sz w:val="20"/>
              </w:rPr>
              <w:t xml:space="preserve"> 9/18 (50%)</w:t>
            </w:r>
          </w:p>
          <w:p w14:paraId="4A6A9A2B"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u w:val="single"/>
              </w:rPr>
              <w:t>MTA + chemotherapy</w:t>
            </w:r>
            <w:r w:rsidRPr="000D28E9">
              <w:rPr>
                <w:rFonts w:ascii="Arial Narrow" w:eastAsia="Calibri" w:hAnsi="Arial Narrow"/>
                <w:sz w:val="20"/>
              </w:rPr>
              <w:t>: 17/22 (77.3%)</w:t>
            </w:r>
          </w:p>
        </w:tc>
        <w:tc>
          <w:tcPr>
            <w:tcW w:w="943" w:type="pct"/>
            <w:tcBorders>
              <w:bottom w:val="single" w:sz="4" w:space="0" w:color="auto"/>
            </w:tcBorders>
          </w:tcPr>
          <w:p w14:paraId="4A6A9A2C" w14:textId="77777777" w:rsidR="00E35519" w:rsidRPr="000D28E9" w:rsidRDefault="00E35519" w:rsidP="000D28E9">
            <w:pPr>
              <w:spacing w:before="0" w:after="0"/>
              <w:rPr>
                <w:rFonts w:ascii="Arial Narrow" w:eastAsia="Calibri" w:hAnsi="Arial Narrow"/>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sz w:val="20"/>
              </w:rPr>
              <w:br/>
              <w:t>VERY LOW</w:t>
            </w:r>
            <w:r w:rsidRPr="000D28E9">
              <w:rPr>
                <w:rFonts w:ascii="Arial Narrow" w:eastAsia="Calibri" w:hAnsi="Arial Narrow"/>
                <w:sz w:val="20"/>
                <w:vertAlign w:val="superscript"/>
              </w:rPr>
              <w:t>1,2</w:t>
            </w:r>
          </w:p>
        </w:tc>
      </w:tr>
      <w:tr w:rsidR="00E35519" w:rsidRPr="000D28E9" w14:paraId="4A6A9A32" w14:textId="77777777" w:rsidTr="00E35519">
        <w:tc>
          <w:tcPr>
            <w:tcW w:w="1258" w:type="pct"/>
            <w:tcBorders>
              <w:right w:val="nil"/>
            </w:tcBorders>
            <w:shd w:val="clear" w:color="auto" w:fill="D9D9D9" w:themeFill="background1" w:themeFillShade="D9"/>
          </w:tcPr>
          <w:p w14:paraId="4A6A9A2E" w14:textId="77777777" w:rsidR="00E35519" w:rsidRPr="000D28E9" w:rsidRDefault="00E35519" w:rsidP="000D28E9">
            <w:pPr>
              <w:spacing w:before="0" w:after="0"/>
              <w:rPr>
                <w:rFonts w:ascii="Arial Narrow" w:eastAsia="Calibri" w:hAnsi="Arial Narrow"/>
                <w:b/>
                <w:sz w:val="20"/>
              </w:rPr>
            </w:pPr>
            <w:r w:rsidRPr="000D28E9">
              <w:rPr>
                <w:rFonts w:ascii="Arial Narrow" w:eastAsia="Calibri" w:hAnsi="Arial Narrow"/>
                <w:b/>
                <w:sz w:val="20"/>
              </w:rPr>
              <w:t>2-year survival</w:t>
            </w:r>
          </w:p>
        </w:tc>
        <w:tc>
          <w:tcPr>
            <w:tcW w:w="850" w:type="pct"/>
            <w:tcBorders>
              <w:left w:val="nil"/>
              <w:right w:val="nil"/>
            </w:tcBorders>
            <w:shd w:val="clear" w:color="auto" w:fill="D9D9D9" w:themeFill="background1" w:themeFillShade="D9"/>
          </w:tcPr>
          <w:p w14:paraId="4A6A9A2F" w14:textId="77777777" w:rsidR="00E35519" w:rsidRPr="000D28E9" w:rsidRDefault="00E35519" w:rsidP="000D28E9">
            <w:pPr>
              <w:spacing w:before="0" w:after="0"/>
              <w:rPr>
                <w:rFonts w:ascii="Arial Narrow" w:eastAsia="Calibri" w:hAnsi="Arial Narrow"/>
                <w:sz w:val="20"/>
              </w:rPr>
            </w:pPr>
          </w:p>
        </w:tc>
        <w:tc>
          <w:tcPr>
            <w:tcW w:w="1949" w:type="pct"/>
            <w:tcBorders>
              <w:left w:val="nil"/>
            </w:tcBorders>
            <w:shd w:val="clear" w:color="auto" w:fill="D9D9D9" w:themeFill="background1" w:themeFillShade="D9"/>
          </w:tcPr>
          <w:p w14:paraId="4A6A9A30" w14:textId="77777777" w:rsidR="00E35519" w:rsidRPr="000D28E9" w:rsidRDefault="00E35519" w:rsidP="000D28E9">
            <w:pPr>
              <w:spacing w:before="0" w:after="0"/>
              <w:rPr>
                <w:rFonts w:ascii="Arial Narrow" w:eastAsia="Calibri" w:hAnsi="Arial Narrow"/>
                <w:sz w:val="20"/>
                <w:u w:val="single"/>
              </w:rPr>
            </w:pPr>
          </w:p>
        </w:tc>
        <w:tc>
          <w:tcPr>
            <w:tcW w:w="943" w:type="pct"/>
            <w:tcBorders>
              <w:left w:val="nil"/>
            </w:tcBorders>
            <w:shd w:val="clear" w:color="auto" w:fill="D9D9D9" w:themeFill="background1" w:themeFillShade="D9"/>
          </w:tcPr>
          <w:p w14:paraId="4A6A9A31" w14:textId="77777777" w:rsidR="00E35519" w:rsidRPr="000D28E9" w:rsidRDefault="00E35519" w:rsidP="000D28E9">
            <w:pPr>
              <w:spacing w:before="0" w:after="0"/>
              <w:rPr>
                <w:rFonts w:ascii="Arial Narrow" w:eastAsia="Calibri" w:hAnsi="Arial Narrow"/>
                <w:color w:val="00B050"/>
                <w:sz w:val="20"/>
              </w:rPr>
            </w:pPr>
          </w:p>
        </w:tc>
      </w:tr>
      <w:tr w:rsidR="00E35519" w:rsidRPr="000D28E9" w14:paraId="4A6A9A3B" w14:textId="77777777" w:rsidTr="00E35519">
        <w:tc>
          <w:tcPr>
            <w:tcW w:w="1258" w:type="pct"/>
            <w:tcBorders>
              <w:bottom w:val="single" w:sz="4" w:space="0" w:color="auto"/>
            </w:tcBorders>
          </w:tcPr>
          <w:p w14:paraId="4A6A9A33"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 xml:space="preserve">MTA versus MTA + chemotherapy </w:t>
            </w:r>
          </w:p>
          <w:p w14:paraId="4A6A9A34"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Assessed with: n/N (%) at 1 and 2 years</w:t>
            </w:r>
          </w:p>
          <w:p w14:paraId="4A6A9A35"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F/U range 6 to 35 months</w:t>
            </w:r>
          </w:p>
        </w:tc>
        <w:tc>
          <w:tcPr>
            <w:tcW w:w="850" w:type="pct"/>
            <w:tcBorders>
              <w:bottom w:val="single" w:sz="4" w:space="0" w:color="auto"/>
            </w:tcBorders>
          </w:tcPr>
          <w:p w14:paraId="4A6A9A36"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1 Level III-2 study</w:t>
            </w:r>
          </w:p>
          <w:p w14:paraId="4A6A9A37"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(Sun et al 2015)</w:t>
            </w:r>
          </w:p>
        </w:tc>
        <w:tc>
          <w:tcPr>
            <w:tcW w:w="1949" w:type="pct"/>
            <w:tcBorders>
              <w:bottom w:val="single" w:sz="4" w:space="0" w:color="auto"/>
            </w:tcBorders>
          </w:tcPr>
          <w:p w14:paraId="4A6A9A38"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u w:val="single"/>
              </w:rPr>
              <w:t>MTA:</w:t>
            </w:r>
            <w:r w:rsidRPr="000D28E9">
              <w:rPr>
                <w:rFonts w:ascii="Arial Narrow" w:eastAsia="Calibri" w:hAnsi="Arial Narrow"/>
                <w:sz w:val="20"/>
              </w:rPr>
              <w:t xml:space="preserve"> 5/18 (27.7%)</w:t>
            </w:r>
          </w:p>
          <w:p w14:paraId="4A6A9A39"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u w:val="single"/>
              </w:rPr>
              <w:t>MTA + chemotherapy</w:t>
            </w:r>
            <w:r w:rsidRPr="000D28E9">
              <w:rPr>
                <w:rFonts w:ascii="Arial Narrow" w:eastAsia="Calibri" w:hAnsi="Arial Narrow"/>
                <w:sz w:val="20"/>
              </w:rPr>
              <w:t>: 13/22 (79.1%)</w:t>
            </w:r>
          </w:p>
        </w:tc>
        <w:tc>
          <w:tcPr>
            <w:tcW w:w="943" w:type="pct"/>
            <w:tcBorders>
              <w:bottom w:val="single" w:sz="4" w:space="0" w:color="auto"/>
            </w:tcBorders>
          </w:tcPr>
          <w:p w14:paraId="4A6A9A3A" w14:textId="77777777" w:rsidR="00E35519" w:rsidRPr="000D28E9" w:rsidRDefault="00E35519" w:rsidP="000D28E9">
            <w:pPr>
              <w:spacing w:before="0" w:after="0"/>
              <w:rPr>
                <w:rFonts w:ascii="Arial Narrow" w:eastAsia="Calibri" w:hAnsi="Arial Narrow"/>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sz w:val="20"/>
              </w:rPr>
              <w:br/>
              <w:t>VERY LOW</w:t>
            </w:r>
            <w:r w:rsidRPr="000D28E9">
              <w:rPr>
                <w:rFonts w:ascii="Arial Narrow" w:eastAsia="Calibri" w:hAnsi="Arial Narrow"/>
                <w:sz w:val="20"/>
                <w:vertAlign w:val="superscript"/>
              </w:rPr>
              <w:t>1,2</w:t>
            </w:r>
          </w:p>
        </w:tc>
      </w:tr>
      <w:tr w:rsidR="00E35519" w:rsidRPr="000D28E9" w14:paraId="4A6A9A40" w14:textId="77777777" w:rsidTr="00E35519">
        <w:tc>
          <w:tcPr>
            <w:tcW w:w="1258" w:type="pct"/>
            <w:tcBorders>
              <w:right w:val="nil"/>
            </w:tcBorders>
            <w:shd w:val="clear" w:color="auto" w:fill="D9D9D9" w:themeFill="background1" w:themeFillShade="D9"/>
          </w:tcPr>
          <w:p w14:paraId="4A6A9A3C" w14:textId="77777777" w:rsidR="00E35519" w:rsidRPr="000D28E9" w:rsidRDefault="00E35519" w:rsidP="000D28E9">
            <w:pPr>
              <w:spacing w:before="0" w:after="0"/>
              <w:rPr>
                <w:rFonts w:ascii="Arial Narrow" w:eastAsia="Calibri" w:hAnsi="Arial Narrow"/>
                <w:b/>
                <w:sz w:val="20"/>
              </w:rPr>
            </w:pPr>
            <w:r w:rsidRPr="000D28E9">
              <w:rPr>
                <w:rFonts w:ascii="Arial Narrow" w:eastAsia="Calibri" w:hAnsi="Arial Narrow"/>
                <w:b/>
                <w:sz w:val="20"/>
              </w:rPr>
              <w:t>Median survival time</w:t>
            </w:r>
          </w:p>
        </w:tc>
        <w:tc>
          <w:tcPr>
            <w:tcW w:w="850" w:type="pct"/>
            <w:tcBorders>
              <w:left w:val="nil"/>
              <w:right w:val="nil"/>
            </w:tcBorders>
            <w:shd w:val="clear" w:color="auto" w:fill="D9D9D9" w:themeFill="background1" w:themeFillShade="D9"/>
          </w:tcPr>
          <w:p w14:paraId="4A6A9A3D" w14:textId="77777777" w:rsidR="00E35519" w:rsidRPr="000D28E9" w:rsidRDefault="00E35519" w:rsidP="000D28E9">
            <w:pPr>
              <w:spacing w:before="0" w:after="0"/>
              <w:rPr>
                <w:rFonts w:ascii="Arial Narrow" w:eastAsia="Calibri" w:hAnsi="Arial Narrow"/>
                <w:sz w:val="20"/>
              </w:rPr>
            </w:pPr>
          </w:p>
        </w:tc>
        <w:tc>
          <w:tcPr>
            <w:tcW w:w="1949" w:type="pct"/>
            <w:tcBorders>
              <w:left w:val="nil"/>
            </w:tcBorders>
            <w:shd w:val="clear" w:color="auto" w:fill="D9D9D9" w:themeFill="background1" w:themeFillShade="D9"/>
          </w:tcPr>
          <w:p w14:paraId="4A6A9A3E" w14:textId="77777777" w:rsidR="00E35519" w:rsidRPr="000D28E9" w:rsidRDefault="00E35519" w:rsidP="000D28E9">
            <w:pPr>
              <w:spacing w:before="0" w:after="0"/>
              <w:rPr>
                <w:rFonts w:ascii="Arial Narrow" w:eastAsia="Calibri" w:hAnsi="Arial Narrow"/>
                <w:sz w:val="20"/>
                <w:u w:val="single"/>
              </w:rPr>
            </w:pPr>
          </w:p>
        </w:tc>
        <w:tc>
          <w:tcPr>
            <w:tcW w:w="943" w:type="pct"/>
            <w:tcBorders>
              <w:left w:val="nil"/>
            </w:tcBorders>
            <w:shd w:val="clear" w:color="auto" w:fill="D9D9D9" w:themeFill="background1" w:themeFillShade="D9"/>
          </w:tcPr>
          <w:p w14:paraId="4A6A9A3F" w14:textId="77777777" w:rsidR="00E35519" w:rsidRPr="000D28E9" w:rsidRDefault="00E35519" w:rsidP="000D28E9">
            <w:pPr>
              <w:spacing w:before="0" w:after="0"/>
              <w:rPr>
                <w:rFonts w:ascii="Arial Narrow" w:eastAsia="Calibri" w:hAnsi="Arial Narrow"/>
                <w:color w:val="00B050"/>
                <w:sz w:val="20"/>
              </w:rPr>
            </w:pPr>
          </w:p>
        </w:tc>
      </w:tr>
      <w:tr w:rsidR="00E35519" w:rsidRPr="000D28E9" w14:paraId="4A6A9A49" w14:textId="77777777" w:rsidTr="00E35519">
        <w:tc>
          <w:tcPr>
            <w:tcW w:w="1258" w:type="pct"/>
            <w:tcBorders>
              <w:bottom w:val="single" w:sz="4" w:space="0" w:color="auto"/>
            </w:tcBorders>
          </w:tcPr>
          <w:p w14:paraId="4A6A9A41"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Chemotherapy versus MTA + chemotherapy</w:t>
            </w:r>
          </w:p>
          <w:p w14:paraId="4A6A9A42"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Assessed with: Kaplan-Meier estimate</w:t>
            </w:r>
          </w:p>
          <w:p w14:paraId="4A6A9A43"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F/U median 21 months</w:t>
            </w:r>
          </w:p>
        </w:tc>
        <w:tc>
          <w:tcPr>
            <w:tcW w:w="850" w:type="pct"/>
            <w:tcBorders>
              <w:bottom w:val="single" w:sz="4" w:space="0" w:color="auto"/>
            </w:tcBorders>
          </w:tcPr>
          <w:p w14:paraId="4A6A9A44"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1 Level III-2 study</w:t>
            </w:r>
          </w:p>
          <w:p w14:paraId="4A6A9A45"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(Wei et al 2015)</w:t>
            </w:r>
          </w:p>
        </w:tc>
        <w:tc>
          <w:tcPr>
            <w:tcW w:w="1949" w:type="pct"/>
            <w:tcBorders>
              <w:bottom w:val="single" w:sz="4" w:space="0" w:color="auto"/>
            </w:tcBorders>
          </w:tcPr>
          <w:p w14:paraId="4A6A9A46" w14:textId="77777777" w:rsidR="00E35519" w:rsidRPr="000D28E9" w:rsidRDefault="00E35519" w:rsidP="000D28E9">
            <w:pPr>
              <w:spacing w:before="0" w:after="0"/>
              <w:rPr>
                <w:rFonts w:ascii="Arial Narrow" w:eastAsia="Calibri" w:hAnsi="Arial Narrow"/>
                <w:sz w:val="20"/>
                <w:u w:val="single"/>
              </w:rPr>
            </w:pPr>
            <w:r w:rsidRPr="000D28E9">
              <w:rPr>
                <w:rFonts w:ascii="Arial Narrow" w:eastAsia="Calibri" w:hAnsi="Arial Narrow"/>
                <w:sz w:val="20"/>
                <w:u w:val="single"/>
              </w:rPr>
              <w:t>MTA + chemotherapy:</w:t>
            </w:r>
            <w:r w:rsidRPr="000D28E9">
              <w:rPr>
                <w:rFonts w:ascii="Arial Narrow" w:eastAsia="Calibri" w:hAnsi="Arial Narrow"/>
                <w:sz w:val="20"/>
              </w:rPr>
              <w:t xml:space="preserve"> 23.9 (95%CI15.2–32.6) months</w:t>
            </w:r>
          </w:p>
          <w:p w14:paraId="4A6A9A47"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u w:val="single"/>
              </w:rPr>
              <w:t>Chemotherapy:</w:t>
            </w:r>
            <w:r w:rsidRPr="000D28E9">
              <w:rPr>
                <w:rFonts w:ascii="Arial Narrow" w:eastAsia="Calibri" w:hAnsi="Arial Narrow"/>
                <w:sz w:val="20"/>
              </w:rPr>
              <w:t xml:space="preserve"> 17.3 (95%CI 15.2–19.3) months, difference p = 0.140</w:t>
            </w:r>
          </w:p>
        </w:tc>
        <w:tc>
          <w:tcPr>
            <w:tcW w:w="943" w:type="pct"/>
            <w:tcBorders>
              <w:bottom w:val="single" w:sz="4" w:space="0" w:color="auto"/>
            </w:tcBorders>
          </w:tcPr>
          <w:p w14:paraId="4A6A9A48" w14:textId="77777777" w:rsidR="00E35519" w:rsidRPr="000D28E9" w:rsidRDefault="00E35519" w:rsidP="000D28E9">
            <w:pPr>
              <w:spacing w:before="0" w:after="0"/>
              <w:rPr>
                <w:rFonts w:ascii="Arial Narrow" w:eastAsia="Calibri" w:hAnsi="Arial Narrow"/>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sz w:val="20"/>
              </w:rPr>
              <w:br/>
              <w:t>VERY LOW</w:t>
            </w:r>
            <w:r w:rsidRPr="000D28E9">
              <w:rPr>
                <w:rFonts w:ascii="Arial Narrow" w:eastAsia="Calibri" w:hAnsi="Arial Narrow"/>
                <w:sz w:val="20"/>
                <w:vertAlign w:val="superscript"/>
              </w:rPr>
              <w:t>1,3,4</w:t>
            </w:r>
          </w:p>
        </w:tc>
      </w:tr>
      <w:tr w:rsidR="00E35519" w:rsidRPr="000D28E9" w14:paraId="4A6A9A51" w14:textId="77777777" w:rsidTr="00E35519">
        <w:tc>
          <w:tcPr>
            <w:tcW w:w="1258" w:type="pct"/>
            <w:tcBorders>
              <w:bottom w:val="single" w:sz="4" w:space="0" w:color="auto"/>
            </w:tcBorders>
          </w:tcPr>
          <w:p w14:paraId="4A6A9A4A"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MTA alone</w:t>
            </w:r>
          </w:p>
          <w:p w14:paraId="4A6A9A4B"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Assessed with: Median and range</w:t>
            </w:r>
          </w:p>
          <w:p w14:paraId="4A6A9A4C"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F/U median 17.7 months</w:t>
            </w:r>
          </w:p>
        </w:tc>
        <w:tc>
          <w:tcPr>
            <w:tcW w:w="850" w:type="pct"/>
            <w:tcBorders>
              <w:bottom w:val="single" w:sz="4" w:space="0" w:color="auto"/>
            </w:tcBorders>
          </w:tcPr>
          <w:p w14:paraId="4A6A9A4D"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1 Level III-2 study</w:t>
            </w:r>
          </w:p>
          <w:p w14:paraId="4A6A9A4E"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rPr>
              <w:t>(Wei et al 2015)</w:t>
            </w:r>
          </w:p>
        </w:tc>
        <w:tc>
          <w:tcPr>
            <w:tcW w:w="1949" w:type="pct"/>
            <w:tcBorders>
              <w:bottom w:val="single" w:sz="4" w:space="0" w:color="auto"/>
            </w:tcBorders>
          </w:tcPr>
          <w:p w14:paraId="4A6A9A4F" w14:textId="77777777" w:rsidR="00E35519" w:rsidRPr="000D28E9" w:rsidRDefault="00E35519" w:rsidP="000D28E9">
            <w:pPr>
              <w:spacing w:before="0" w:after="0"/>
              <w:rPr>
                <w:rFonts w:ascii="Arial Narrow" w:eastAsia="Calibri" w:hAnsi="Arial Narrow"/>
                <w:sz w:val="20"/>
              </w:rPr>
            </w:pPr>
            <w:r w:rsidRPr="000D28E9">
              <w:rPr>
                <w:rFonts w:ascii="Arial Narrow" w:eastAsia="Calibri" w:hAnsi="Arial Narrow"/>
                <w:sz w:val="20"/>
                <w:u w:val="single"/>
              </w:rPr>
              <w:t>Median OS:</w:t>
            </w:r>
            <w:r w:rsidRPr="000D28E9">
              <w:rPr>
                <w:rFonts w:ascii="Arial Narrow" w:eastAsia="Calibri" w:hAnsi="Arial Narrow"/>
                <w:sz w:val="20"/>
              </w:rPr>
              <w:t xml:space="preserve"> 17.7 months (range of 5–45) and from the time of MTA until death it was 10.6 months (range: 3.1–36.2).</w:t>
            </w:r>
          </w:p>
        </w:tc>
        <w:tc>
          <w:tcPr>
            <w:tcW w:w="943" w:type="pct"/>
            <w:tcBorders>
              <w:bottom w:val="single" w:sz="4" w:space="0" w:color="auto"/>
            </w:tcBorders>
          </w:tcPr>
          <w:p w14:paraId="4A6A9A50" w14:textId="77777777" w:rsidR="00E35519" w:rsidRPr="000D28E9" w:rsidRDefault="00E35519" w:rsidP="000D28E9">
            <w:pPr>
              <w:spacing w:before="0" w:after="0"/>
              <w:rPr>
                <w:rFonts w:ascii="Arial Narrow" w:eastAsia="Calibri" w:hAnsi="Arial Narrow"/>
                <w:sz w:val="20"/>
              </w:rPr>
            </w:pPr>
            <w:r w:rsidRPr="000D28E9">
              <w:rPr>
                <w:rFonts w:ascii="Cambria Math" w:eastAsia="Calibri" w:hAnsi="Cambria Math" w:cs="Cambria Math"/>
                <w:color w:val="00B050"/>
                <w:sz w:val="20"/>
              </w:rPr>
              <w:t>⨁</w:t>
            </w:r>
            <w:r w:rsidRPr="000D28E9">
              <w:rPr>
                <w:rFonts w:ascii="Cambria Math" w:eastAsia="Calibri" w:hAnsi="Cambria Math" w:cs="Cambria Math"/>
                <w:color w:val="C00000"/>
                <w:sz w:val="20"/>
              </w:rPr>
              <w:t>⨀⨀⨀</w:t>
            </w:r>
            <w:r w:rsidRPr="000D28E9">
              <w:rPr>
                <w:rFonts w:ascii="Arial Narrow" w:eastAsia="Calibri" w:hAnsi="Arial Narrow"/>
                <w:sz w:val="20"/>
              </w:rPr>
              <w:br/>
              <w:t>VERY LOW</w:t>
            </w:r>
            <w:r w:rsidRPr="000D28E9">
              <w:rPr>
                <w:rFonts w:ascii="Arial Narrow" w:eastAsia="Calibri" w:hAnsi="Arial Narrow"/>
                <w:sz w:val="20"/>
                <w:vertAlign w:val="superscript"/>
              </w:rPr>
              <w:t>1,5</w:t>
            </w:r>
          </w:p>
        </w:tc>
      </w:tr>
    </w:tbl>
    <w:p w14:paraId="4A6A9A52" w14:textId="77777777" w:rsidR="00E35519" w:rsidRPr="002E1945" w:rsidRDefault="00E35519" w:rsidP="00E35519">
      <w:pPr>
        <w:widowControl w:val="0"/>
        <w:spacing w:before="60" w:after="60"/>
        <w:rPr>
          <w:snapToGrid w:val="0"/>
          <w:sz w:val="16"/>
          <w:szCs w:val="16"/>
          <w:lang w:eastAsia="en-US"/>
        </w:rPr>
      </w:pPr>
      <w:r w:rsidRPr="002E1945">
        <w:rPr>
          <w:snapToGrid w:val="0"/>
          <w:sz w:val="16"/>
          <w:szCs w:val="16"/>
          <w:lang w:eastAsia="en-US"/>
        </w:rPr>
        <w:t>&lt; CI = confidence interval; F/U = follow-up; MTA = microwave tissue ablation; NA = not applicable &gt;</w:t>
      </w:r>
    </w:p>
    <w:p w14:paraId="4A6A9A53" w14:textId="77777777" w:rsidR="00E35519" w:rsidRPr="002E1945" w:rsidRDefault="00E35519" w:rsidP="00E35519">
      <w:pPr>
        <w:widowControl w:val="0"/>
        <w:spacing w:before="60"/>
        <w:rPr>
          <w:snapToGrid w:val="0"/>
          <w:sz w:val="16"/>
          <w:szCs w:val="16"/>
          <w:lang w:eastAsia="en-US"/>
        </w:rPr>
      </w:pPr>
      <w:r w:rsidRPr="002E1945">
        <w:rPr>
          <w:snapToGrid w:val="0"/>
          <w:sz w:val="16"/>
          <w:szCs w:val="16"/>
          <w:lang w:eastAsia="en-US"/>
        </w:rPr>
        <w:t>GRADE Working Group grades of evidence (</w:t>
      </w:r>
      <w:proofErr w:type="spellStart"/>
      <w:r w:rsidRPr="002E1945">
        <w:rPr>
          <w:snapToGrid w:val="0"/>
          <w:sz w:val="16"/>
          <w:szCs w:val="16"/>
          <w:lang w:eastAsia="en-US"/>
        </w:rPr>
        <w:t>Guyatt</w:t>
      </w:r>
      <w:proofErr w:type="spellEnd"/>
      <w:r w:rsidRPr="002E1945">
        <w:rPr>
          <w:snapToGrid w:val="0"/>
          <w:sz w:val="16"/>
          <w:szCs w:val="16"/>
          <w:lang w:eastAsia="en-US"/>
        </w:rPr>
        <w:t xml:space="preserve"> et al., 2013)</w:t>
      </w:r>
      <w:proofErr w:type="gramStart"/>
      <w:r w:rsidRPr="002E1945">
        <w:rPr>
          <w:snapToGrid w:val="0"/>
          <w:sz w:val="16"/>
          <w:szCs w:val="16"/>
          <w:lang w:eastAsia="en-US"/>
        </w:rPr>
        <w:t>,</w:t>
      </w:r>
      <w:proofErr w:type="gramEnd"/>
      <w:r w:rsidRPr="002E1945">
        <w:rPr>
          <w:snapToGrid w:val="0"/>
          <w:sz w:val="16"/>
          <w:szCs w:val="16"/>
          <w:lang w:eastAsia="en-US"/>
        </w:rPr>
        <w:br/>
      </w:r>
      <w:r w:rsidRPr="002E1945">
        <w:rPr>
          <w:rFonts w:ascii="Cambria Math" w:hAnsi="Cambria Math" w:cs="Cambria Math"/>
          <w:snapToGrid w:val="0"/>
          <w:color w:val="00B050"/>
          <w:sz w:val="16"/>
          <w:szCs w:val="16"/>
          <w:lang w:eastAsia="en-US"/>
        </w:rPr>
        <w:t>⨁</w:t>
      </w:r>
      <w:r w:rsidRPr="002E1945">
        <w:rPr>
          <w:rFonts w:ascii="Cambria Math" w:hAnsi="Cambria Math" w:cs="Cambria Math"/>
          <w:snapToGrid w:val="0"/>
          <w:color w:val="C00000"/>
          <w:sz w:val="16"/>
          <w:szCs w:val="16"/>
          <w:lang w:eastAsia="en-US"/>
        </w:rPr>
        <w:t>⨀⨀⨀</w:t>
      </w:r>
      <w:r w:rsidRPr="002E1945">
        <w:rPr>
          <w:snapToGrid w:val="0"/>
          <w:color w:val="C00000"/>
          <w:sz w:val="16"/>
          <w:szCs w:val="16"/>
          <w:lang w:eastAsia="en-US"/>
        </w:rPr>
        <w:t xml:space="preserve"> </w:t>
      </w:r>
      <w:r w:rsidRPr="002E1945">
        <w:rPr>
          <w:b/>
          <w:bCs/>
          <w:snapToGrid w:val="0"/>
          <w:sz w:val="16"/>
          <w:szCs w:val="16"/>
          <w:lang w:eastAsia="en-US"/>
        </w:rPr>
        <w:t>Very low quality:</w:t>
      </w:r>
      <w:r w:rsidRPr="002E1945">
        <w:rPr>
          <w:snapToGrid w:val="0"/>
          <w:sz w:val="16"/>
          <w:szCs w:val="16"/>
          <w:lang w:eastAsia="en-US"/>
        </w:rPr>
        <w:t xml:space="preserve"> We have very little confidence in the effect estimate: The true effect is likely to be substantially different from the estimate of effect.</w:t>
      </w:r>
    </w:p>
    <w:p w14:paraId="4A6A9A54" w14:textId="77777777" w:rsidR="00E35519" w:rsidRPr="002E1945" w:rsidRDefault="00E35519" w:rsidP="00E35519">
      <w:pPr>
        <w:widowControl w:val="0"/>
        <w:numPr>
          <w:ilvl w:val="0"/>
          <w:numId w:val="27"/>
        </w:numPr>
        <w:spacing w:before="60" w:after="60"/>
        <w:ind w:left="284" w:hanging="284"/>
        <w:rPr>
          <w:snapToGrid w:val="0"/>
          <w:sz w:val="16"/>
          <w:szCs w:val="16"/>
          <w:lang w:eastAsia="en-US"/>
        </w:rPr>
      </w:pPr>
      <w:r w:rsidRPr="002E1945">
        <w:rPr>
          <w:snapToGrid w:val="0"/>
          <w:sz w:val="16"/>
          <w:szCs w:val="16"/>
          <w:lang w:eastAsia="en-US"/>
        </w:rPr>
        <w:t xml:space="preserve">Based on the results of one study with 22patients in one arm and 18 in the other, study reporting quality was low. </w:t>
      </w:r>
    </w:p>
    <w:p w14:paraId="4A6A9A55" w14:textId="77777777" w:rsidR="00E35519" w:rsidRPr="002E1945" w:rsidRDefault="00E35519" w:rsidP="00E35519">
      <w:pPr>
        <w:widowControl w:val="0"/>
        <w:numPr>
          <w:ilvl w:val="0"/>
          <w:numId w:val="27"/>
        </w:numPr>
        <w:spacing w:before="60" w:after="60"/>
        <w:ind w:left="284" w:hanging="284"/>
        <w:rPr>
          <w:snapToGrid w:val="0"/>
          <w:sz w:val="16"/>
          <w:szCs w:val="16"/>
          <w:lang w:eastAsia="en-US"/>
        </w:rPr>
      </w:pPr>
      <w:r w:rsidRPr="002E1945">
        <w:rPr>
          <w:snapToGrid w:val="0"/>
          <w:sz w:val="16"/>
          <w:szCs w:val="16"/>
          <w:lang w:eastAsia="en-US"/>
        </w:rPr>
        <w:t>Measures of variance are not available. The small sample size reduces the reliability of the outcomes</w:t>
      </w:r>
    </w:p>
    <w:p w14:paraId="4A6A9A56" w14:textId="77777777" w:rsidR="00E35519" w:rsidRPr="002E1945" w:rsidRDefault="00E35519" w:rsidP="00E35519">
      <w:pPr>
        <w:widowControl w:val="0"/>
        <w:numPr>
          <w:ilvl w:val="0"/>
          <w:numId w:val="27"/>
        </w:numPr>
        <w:spacing w:before="60" w:after="60"/>
        <w:ind w:left="284" w:hanging="284"/>
        <w:rPr>
          <w:snapToGrid w:val="0"/>
          <w:sz w:val="16"/>
          <w:szCs w:val="16"/>
          <w:lang w:eastAsia="en-US"/>
        </w:rPr>
      </w:pPr>
      <w:r w:rsidRPr="002E1945">
        <w:rPr>
          <w:snapToGrid w:val="0"/>
          <w:sz w:val="16"/>
          <w:szCs w:val="16"/>
          <w:lang w:eastAsia="en-US"/>
        </w:rPr>
        <w:t>Wei et al (2015) reports on small sample sizes and inherent drawbacks in study design are problematic</w:t>
      </w:r>
    </w:p>
    <w:p w14:paraId="4A6A9A57" w14:textId="77777777" w:rsidR="00E35519" w:rsidRPr="002E1945" w:rsidRDefault="00E35519" w:rsidP="00E35519">
      <w:pPr>
        <w:widowControl w:val="0"/>
        <w:numPr>
          <w:ilvl w:val="0"/>
          <w:numId w:val="27"/>
        </w:numPr>
        <w:spacing w:before="60" w:after="60"/>
        <w:ind w:left="284" w:hanging="284"/>
        <w:rPr>
          <w:snapToGrid w:val="0"/>
          <w:sz w:val="16"/>
          <w:szCs w:val="16"/>
          <w:lang w:eastAsia="en-US"/>
        </w:rPr>
      </w:pPr>
      <w:r w:rsidRPr="002E1945">
        <w:rPr>
          <w:snapToGrid w:val="0"/>
          <w:sz w:val="16"/>
          <w:szCs w:val="16"/>
          <w:lang w:eastAsia="en-US"/>
        </w:rPr>
        <w:t>Measures of variance show wide confidence intervals associated with OS. The small sample size reduces the reliability of the outcomes.</w:t>
      </w:r>
    </w:p>
    <w:p w14:paraId="4A6A9A58" w14:textId="77777777" w:rsidR="00E35519" w:rsidRPr="002E1945" w:rsidRDefault="00E35519" w:rsidP="00E35519">
      <w:pPr>
        <w:widowControl w:val="0"/>
        <w:numPr>
          <w:ilvl w:val="0"/>
          <w:numId w:val="27"/>
        </w:numPr>
        <w:spacing w:before="60" w:after="60"/>
        <w:ind w:left="284" w:hanging="284"/>
        <w:rPr>
          <w:snapToGrid w:val="0"/>
          <w:sz w:val="16"/>
          <w:szCs w:val="16"/>
          <w:lang w:eastAsia="en-US"/>
        </w:rPr>
      </w:pPr>
      <w:r w:rsidRPr="002E1945">
        <w:rPr>
          <w:snapToGrid w:val="0"/>
          <w:sz w:val="16"/>
          <w:szCs w:val="16"/>
          <w:lang w:eastAsia="en-US"/>
        </w:rPr>
        <w:t>Due to inherent limitations in case series evidence</w:t>
      </w:r>
    </w:p>
    <w:p w14:paraId="4A6A9A59" w14:textId="77777777" w:rsidR="00BC1364" w:rsidRPr="00F715D1" w:rsidRDefault="00BC1364" w:rsidP="00C22C2D">
      <w:pPr>
        <w:pStyle w:val="Heading1"/>
        <w:ind w:hanging="720"/>
      </w:pPr>
      <w:r w:rsidRPr="00F715D1">
        <w:lastRenderedPageBreak/>
        <w:t>Economic evaluation</w:t>
      </w:r>
    </w:p>
    <w:p w14:paraId="4A6A9A5A" w14:textId="77777777" w:rsidR="00E35519" w:rsidRPr="00477A44" w:rsidRDefault="00E35519" w:rsidP="00A010D9">
      <w:r w:rsidRPr="00477A44">
        <w:t>A cost-minimisation analysis was undertaken to examine the cost implications of MTA, v</w:t>
      </w:r>
      <w:r>
        <w:t>e</w:t>
      </w:r>
      <w:r w:rsidRPr="00477A44">
        <w:t>rs</w:t>
      </w:r>
      <w:r>
        <w:t>us</w:t>
      </w:r>
      <w:r w:rsidRPr="00477A44">
        <w:t xml:space="preserve"> </w:t>
      </w:r>
      <w:r>
        <w:t>SBRT</w:t>
      </w:r>
      <w:r w:rsidRPr="00477A44">
        <w:t xml:space="preserve"> in </w:t>
      </w:r>
      <w:r>
        <w:t>p</w:t>
      </w:r>
      <w:r w:rsidRPr="00477A44">
        <w:t xml:space="preserve">opulations </w:t>
      </w:r>
      <w:r>
        <w:t>one and two</w:t>
      </w:r>
      <w:r w:rsidRPr="00477A44">
        <w:t xml:space="preserve">, and </w:t>
      </w:r>
      <w:r>
        <w:t xml:space="preserve">also </w:t>
      </w:r>
      <w:r w:rsidRPr="00477A44">
        <w:t>against surgery</w:t>
      </w:r>
      <w:r>
        <w:t xml:space="preserve"> in population two</w:t>
      </w:r>
      <w:r w:rsidRPr="00477A44">
        <w:t>.</w:t>
      </w:r>
    </w:p>
    <w:p w14:paraId="4A6A9A5B" w14:textId="77777777" w:rsidR="00E35519" w:rsidRDefault="00E35519" w:rsidP="00E35519">
      <w:pPr>
        <w:rPr>
          <w:u w:val="single"/>
        </w:rPr>
      </w:pPr>
    </w:p>
    <w:p w14:paraId="4A6A9A5C" w14:textId="77777777" w:rsidR="00E35519" w:rsidRPr="00DA60C4" w:rsidRDefault="00E35519" w:rsidP="00E35519">
      <w:pPr>
        <w:rPr>
          <w:i/>
        </w:rPr>
      </w:pPr>
      <w:r w:rsidRPr="00DA60C4">
        <w:rPr>
          <w:i/>
        </w:rPr>
        <w:t>Model inputs</w:t>
      </w:r>
    </w:p>
    <w:p w14:paraId="4A6A9A5D" w14:textId="77777777" w:rsidR="00E35519" w:rsidRPr="00477A44" w:rsidRDefault="00E35519" w:rsidP="00E35519">
      <w:r w:rsidRPr="00477A44">
        <w:t xml:space="preserve">Costs for MTA, RFA and surgery were obtained from MBS, the </w:t>
      </w:r>
      <w:r>
        <w:t>a</w:t>
      </w:r>
      <w:r w:rsidRPr="00477A44">
        <w:t xml:space="preserve">pplicant, and the National Hospital Cost Data Collection Australia Public Hospitals Cost Report Round 18. They are specified for patients with &lt; 3 </w:t>
      </w:r>
      <w:r>
        <w:t>lesions and 3–5 lesions as the p</w:t>
      </w:r>
      <w:r w:rsidRPr="00477A44">
        <w:t xml:space="preserve">rotocol proposed a graduated fee structure for MTA based on this lesion grouping. Discussion with clinicians indicated that patients with more than </w:t>
      </w:r>
      <w:r>
        <w:t>five</w:t>
      </w:r>
      <w:r w:rsidRPr="00477A44">
        <w:t xml:space="preserve"> lesions and those undergoing palliative care would rarely receive MTA. Costs are not estimated for these patients.</w:t>
      </w:r>
    </w:p>
    <w:p w14:paraId="4A6A9A5E" w14:textId="77777777" w:rsidR="00E35519" w:rsidRDefault="00E35519" w:rsidP="00E35519">
      <w:pPr>
        <w:rPr>
          <w:u w:val="single"/>
        </w:rPr>
      </w:pPr>
    </w:p>
    <w:p w14:paraId="4A6A9A5F" w14:textId="77777777" w:rsidR="00E35519" w:rsidRPr="00DA60C4" w:rsidRDefault="00E35519" w:rsidP="00E35519">
      <w:pPr>
        <w:rPr>
          <w:i/>
        </w:rPr>
      </w:pPr>
      <w:r w:rsidRPr="00DA60C4">
        <w:rPr>
          <w:i/>
        </w:rPr>
        <w:t>Model results</w:t>
      </w:r>
    </w:p>
    <w:p w14:paraId="4A6A9A60" w14:textId="77777777" w:rsidR="00E35519" w:rsidRDefault="00E35519" w:rsidP="00E35519">
      <w:pPr>
        <w:rPr>
          <w:rFonts w:eastAsia="Batang"/>
          <w:szCs w:val="24"/>
          <w:lang w:val="en-GB" w:eastAsia="ja-JP"/>
        </w:rPr>
      </w:pPr>
      <w:r w:rsidRPr="00477A44">
        <w:rPr>
          <w:rFonts w:eastAsia="Batang"/>
          <w:szCs w:val="24"/>
          <w:lang w:val="en-GB" w:eastAsia="ja-JP"/>
        </w:rPr>
        <w:t xml:space="preserve">The total average costs for MTA, </w:t>
      </w:r>
      <w:r>
        <w:rPr>
          <w:rFonts w:eastAsia="Batang"/>
          <w:szCs w:val="24"/>
          <w:lang w:val="en-GB" w:eastAsia="ja-JP"/>
        </w:rPr>
        <w:t>SBRT</w:t>
      </w:r>
      <w:r w:rsidRPr="00477A44">
        <w:rPr>
          <w:rFonts w:eastAsia="Batang"/>
          <w:szCs w:val="24"/>
          <w:lang w:val="en-GB" w:eastAsia="ja-JP"/>
        </w:rPr>
        <w:t xml:space="preserve"> and surgery are presented as the cost per patient over the course of 3 months of treatment. They are presented in </w:t>
      </w:r>
      <w:r w:rsidR="007C72D3">
        <w:rPr>
          <w:rFonts w:eastAsia="Batang"/>
          <w:szCs w:val="24"/>
          <w:lang w:val="en-GB" w:eastAsia="ja-JP"/>
        </w:rPr>
        <w:fldChar w:fldCharType="begin"/>
      </w:r>
      <w:r w:rsidR="007C72D3">
        <w:rPr>
          <w:rFonts w:eastAsia="Batang"/>
          <w:szCs w:val="24"/>
          <w:lang w:val="en-GB" w:eastAsia="ja-JP"/>
        </w:rPr>
        <w:instrText xml:space="preserve"> REF _Ref457410634 \h </w:instrText>
      </w:r>
      <w:r w:rsidR="007C72D3">
        <w:rPr>
          <w:rFonts w:eastAsia="Batang"/>
          <w:szCs w:val="24"/>
          <w:lang w:val="en-GB" w:eastAsia="ja-JP"/>
        </w:rPr>
      </w:r>
      <w:r w:rsidR="007C72D3">
        <w:rPr>
          <w:rFonts w:eastAsia="Batang"/>
          <w:szCs w:val="24"/>
          <w:lang w:val="en-GB" w:eastAsia="ja-JP"/>
        </w:rPr>
        <w:fldChar w:fldCharType="separate"/>
      </w:r>
      <w:r w:rsidR="007C72D3" w:rsidRPr="00B156CC">
        <w:t xml:space="preserve">Table </w:t>
      </w:r>
      <w:r w:rsidR="007C72D3">
        <w:rPr>
          <w:noProof/>
        </w:rPr>
        <w:t>6</w:t>
      </w:r>
      <w:r w:rsidR="007C72D3">
        <w:rPr>
          <w:rFonts w:eastAsia="Batang"/>
          <w:szCs w:val="24"/>
          <w:lang w:val="en-GB" w:eastAsia="ja-JP"/>
        </w:rPr>
        <w:fldChar w:fldCharType="end"/>
      </w:r>
      <w:r w:rsidR="007C72D3">
        <w:rPr>
          <w:rFonts w:eastAsia="Batang"/>
          <w:szCs w:val="24"/>
          <w:lang w:val="en-GB" w:eastAsia="ja-JP"/>
        </w:rPr>
        <w:t xml:space="preserve"> </w:t>
      </w:r>
      <w:r w:rsidRPr="00477A44">
        <w:rPr>
          <w:rFonts w:eastAsia="Batang"/>
          <w:szCs w:val="24"/>
          <w:lang w:val="en-GB" w:eastAsia="ja-JP"/>
        </w:rPr>
        <w:t xml:space="preserve">for </w:t>
      </w:r>
      <w:r>
        <w:rPr>
          <w:rFonts w:eastAsia="Batang"/>
          <w:szCs w:val="24"/>
          <w:lang w:val="en-GB" w:eastAsia="ja-JP"/>
        </w:rPr>
        <w:t>p</w:t>
      </w:r>
      <w:r w:rsidRPr="00477A44">
        <w:rPr>
          <w:rFonts w:eastAsia="Batang"/>
          <w:szCs w:val="24"/>
          <w:lang w:val="en-GB" w:eastAsia="ja-JP"/>
        </w:rPr>
        <w:t xml:space="preserve">opulations </w:t>
      </w:r>
      <w:r>
        <w:rPr>
          <w:rFonts w:eastAsia="Batang"/>
          <w:szCs w:val="24"/>
          <w:lang w:val="en-GB" w:eastAsia="ja-JP"/>
        </w:rPr>
        <w:t>one and two</w:t>
      </w:r>
      <w:r w:rsidRPr="00477A44">
        <w:rPr>
          <w:rFonts w:eastAsia="Batang"/>
          <w:szCs w:val="24"/>
          <w:lang w:val="en-GB" w:eastAsia="ja-JP"/>
        </w:rPr>
        <w:t xml:space="preserve">, </w:t>
      </w:r>
      <w:r>
        <w:rPr>
          <w:rFonts w:eastAsia="Batang"/>
          <w:szCs w:val="24"/>
          <w:lang w:val="en-GB" w:eastAsia="ja-JP"/>
        </w:rPr>
        <w:t>by lesion grouping</w:t>
      </w:r>
      <w:r w:rsidRPr="00477A44">
        <w:rPr>
          <w:rFonts w:eastAsia="Batang"/>
          <w:szCs w:val="24"/>
          <w:lang w:val="en-GB" w:eastAsia="ja-JP"/>
        </w:rPr>
        <w:t xml:space="preserve">. It is evident that the total average cost of </w:t>
      </w:r>
      <w:r>
        <w:rPr>
          <w:rFonts w:eastAsia="Batang"/>
          <w:szCs w:val="24"/>
          <w:lang w:val="en-GB" w:eastAsia="ja-JP"/>
        </w:rPr>
        <w:t>SBRT</w:t>
      </w:r>
      <w:r w:rsidRPr="00477A44">
        <w:rPr>
          <w:rFonts w:eastAsia="Batang"/>
          <w:szCs w:val="24"/>
          <w:lang w:val="en-GB" w:eastAsia="ja-JP"/>
        </w:rPr>
        <w:t xml:space="preserve"> is less than that of MTA for </w:t>
      </w:r>
      <w:r>
        <w:rPr>
          <w:rFonts w:eastAsia="Batang"/>
          <w:szCs w:val="24"/>
          <w:lang w:val="en-GB" w:eastAsia="ja-JP"/>
        </w:rPr>
        <w:t>p</w:t>
      </w:r>
      <w:r w:rsidRPr="00477A44">
        <w:rPr>
          <w:rFonts w:eastAsia="Batang"/>
          <w:szCs w:val="24"/>
          <w:lang w:val="en-GB" w:eastAsia="ja-JP"/>
        </w:rPr>
        <w:t xml:space="preserve">opulations </w:t>
      </w:r>
      <w:r>
        <w:rPr>
          <w:rFonts w:eastAsia="Batang"/>
          <w:szCs w:val="24"/>
          <w:lang w:val="en-GB" w:eastAsia="ja-JP"/>
        </w:rPr>
        <w:t>one</w:t>
      </w:r>
      <w:r w:rsidRPr="00477A44">
        <w:rPr>
          <w:rFonts w:eastAsia="Batang"/>
          <w:szCs w:val="24"/>
          <w:lang w:val="en-GB" w:eastAsia="ja-JP"/>
        </w:rPr>
        <w:t xml:space="preserve"> and </w:t>
      </w:r>
      <w:r>
        <w:rPr>
          <w:rFonts w:eastAsia="Batang"/>
          <w:szCs w:val="24"/>
          <w:lang w:val="en-GB" w:eastAsia="ja-JP"/>
        </w:rPr>
        <w:t>two</w:t>
      </w:r>
      <w:r w:rsidRPr="00477A44">
        <w:rPr>
          <w:rFonts w:eastAsia="Batang"/>
          <w:szCs w:val="24"/>
          <w:lang w:val="en-GB" w:eastAsia="ja-JP"/>
        </w:rPr>
        <w:t xml:space="preserve"> across all included lesion groupings. For </w:t>
      </w:r>
      <w:r>
        <w:rPr>
          <w:rFonts w:eastAsia="Batang"/>
          <w:szCs w:val="24"/>
          <w:lang w:val="en-GB" w:eastAsia="ja-JP"/>
        </w:rPr>
        <w:t>less than three</w:t>
      </w:r>
      <w:r w:rsidRPr="00477A44">
        <w:rPr>
          <w:rFonts w:eastAsia="Batang"/>
          <w:szCs w:val="24"/>
          <w:lang w:val="en-GB" w:eastAsia="ja-JP"/>
        </w:rPr>
        <w:t xml:space="preserve"> lesions, the average cost of MTA is $2,</w:t>
      </w:r>
      <w:r>
        <w:rPr>
          <w:rFonts w:eastAsia="Batang"/>
          <w:szCs w:val="24"/>
          <w:lang w:val="en-GB" w:eastAsia="ja-JP"/>
        </w:rPr>
        <w:t>471</w:t>
      </w:r>
      <w:r w:rsidRPr="00477A44">
        <w:rPr>
          <w:rFonts w:eastAsia="Batang"/>
          <w:szCs w:val="24"/>
          <w:lang w:val="en-GB" w:eastAsia="ja-JP"/>
        </w:rPr>
        <w:t xml:space="preserve"> higher than for </w:t>
      </w:r>
      <w:r>
        <w:rPr>
          <w:rFonts w:eastAsia="Batang"/>
          <w:szCs w:val="24"/>
          <w:lang w:val="en-GB" w:eastAsia="ja-JP"/>
        </w:rPr>
        <w:t>SBRT</w:t>
      </w:r>
      <w:r w:rsidRPr="00477A44">
        <w:rPr>
          <w:rFonts w:eastAsia="Batang"/>
          <w:szCs w:val="24"/>
          <w:lang w:val="en-GB" w:eastAsia="ja-JP"/>
        </w:rPr>
        <w:t>. The key items driving increased costs are the costs of the disposable applicator and the overnight hospital stay. In the case of the applicator this cost is $2,960 and the hospital stay is $873 per night. In the longer term</w:t>
      </w:r>
      <w:r>
        <w:rPr>
          <w:rFonts w:eastAsia="Batang"/>
          <w:szCs w:val="24"/>
          <w:lang w:val="en-GB" w:eastAsia="ja-JP"/>
        </w:rPr>
        <w:t>,</w:t>
      </w:r>
      <w:r w:rsidRPr="00477A44">
        <w:rPr>
          <w:rFonts w:eastAsia="Batang"/>
          <w:szCs w:val="24"/>
          <w:lang w:val="en-GB" w:eastAsia="ja-JP"/>
        </w:rPr>
        <w:t xml:space="preserve"> the MTA procedure may be delivered on an outpatient basis, which would reduce the cost margin.</w:t>
      </w:r>
    </w:p>
    <w:p w14:paraId="4A6A9A61" w14:textId="77777777" w:rsidR="00E35519" w:rsidRPr="00477A44" w:rsidRDefault="00E35519" w:rsidP="00E35519">
      <w:pPr>
        <w:rPr>
          <w:rFonts w:eastAsia="Batang"/>
          <w:szCs w:val="24"/>
          <w:lang w:val="en-GB" w:eastAsia="ja-JP"/>
        </w:rPr>
      </w:pPr>
    </w:p>
    <w:p w14:paraId="4A6A9A62" w14:textId="77777777" w:rsidR="00E35519" w:rsidRPr="00B156CC" w:rsidRDefault="00B156CC" w:rsidP="00E35519">
      <w:pPr>
        <w:pStyle w:val="Caption"/>
      </w:pPr>
      <w:bookmarkStart w:id="20" w:name="_Ref457410634"/>
      <w:bookmarkStart w:id="21" w:name="_Toc460514666"/>
      <w:r w:rsidRPr="00B156CC">
        <w:t xml:space="preserve">Table </w:t>
      </w:r>
      <w:r w:rsidR="00BF263E">
        <w:fldChar w:fldCharType="begin"/>
      </w:r>
      <w:r w:rsidR="00BF263E">
        <w:instrText xml:space="preserve"> SEQ Table \* ARABIC </w:instrText>
      </w:r>
      <w:r w:rsidR="00BF263E">
        <w:fldChar w:fldCharType="separate"/>
      </w:r>
      <w:r w:rsidR="004C0C25">
        <w:rPr>
          <w:noProof/>
        </w:rPr>
        <w:t>6</w:t>
      </w:r>
      <w:r w:rsidR="00BF263E">
        <w:rPr>
          <w:noProof/>
        </w:rPr>
        <w:fldChar w:fldCharType="end"/>
      </w:r>
      <w:bookmarkEnd w:id="20"/>
      <w:r w:rsidR="00E35519" w:rsidRPr="00B156CC">
        <w:rPr>
          <w:rFonts w:cs="Times New Roman"/>
        </w:rPr>
        <w:tab/>
      </w:r>
      <w:r w:rsidR="00E35519" w:rsidRPr="00B156CC">
        <w:rPr>
          <w:rFonts w:eastAsia="MS Mincho" w:cs="Times New Roman"/>
          <w:lang w:val="en-GB" w:eastAsia="en-GB"/>
        </w:rPr>
        <w:t>Health care costs per patients (3 months) for base-case analysis</w:t>
      </w:r>
      <w:bookmarkEnd w:id="21"/>
    </w:p>
    <w:tbl>
      <w:tblPr>
        <w:tblW w:w="5000" w:type="pct"/>
        <w:tblLayout w:type="fixed"/>
        <w:tblLook w:val="04A0" w:firstRow="1" w:lastRow="0" w:firstColumn="1" w:lastColumn="0" w:noHBand="0" w:noVBand="1"/>
        <w:tblDescription w:val="Table 13-Health care costs per patients (3 months ) for base-case analysis"/>
      </w:tblPr>
      <w:tblGrid>
        <w:gridCol w:w="2896"/>
        <w:gridCol w:w="1453"/>
        <w:gridCol w:w="1309"/>
        <w:gridCol w:w="1264"/>
        <w:gridCol w:w="1137"/>
        <w:gridCol w:w="1183"/>
      </w:tblGrid>
      <w:tr w:rsidR="00E35519" w:rsidRPr="001C1D01" w14:paraId="4A6A9A69" w14:textId="77777777" w:rsidTr="00E35519">
        <w:trPr>
          <w:trHeight w:val="765"/>
          <w:tblHeader/>
        </w:trPr>
        <w:tc>
          <w:tcPr>
            <w:tcW w:w="1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A6A9A63" w14:textId="77777777" w:rsidR="00E35519" w:rsidRPr="00EA50DC" w:rsidRDefault="00E35519" w:rsidP="00E35519">
            <w:pPr>
              <w:pStyle w:val="Tabletext"/>
              <w:rPr>
                <w:rFonts w:eastAsia="Batang" w:cs="Arial"/>
                <w:b/>
                <w:lang w:val="en-GB" w:eastAsia="ja-JP"/>
              </w:rPr>
            </w:pPr>
            <w:r w:rsidRPr="00EA50DC">
              <w:rPr>
                <w:rFonts w:eastAsia="Batang"/>
                <w:b/>
                <w:lang w:val="en-NZ" w:eastAsia="ja-JP"/>
              </w:rPr>
              <w:t>Resource item description</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A6A9A64" w14:textId="77777777" w:rsidR="00E35519" w:rsidRPr="00EA50DC" w:rsidRDefault="00E35519" w:rsidP="00E35519">
            <w:pPr>
              <w:pStyle w:val="Tabletext"/>
              <w:rPr>
                <w:rFonts w:eastAsia="Batang" w:cs="Arial"/>
                <w:b/>
                <w:lang w:val="en-GB" w:eastAsia="ja-JP"/>
              </w:rPr>
            </w:pPr>
            <w:r w:rsidRPr="00EA50DC">
              <w:rPr>
                <w:rFonts w:eastAsia="Batang"/>
                <w:b/>
                <w:lang w:val="en-NZ" w:eastAsia="ja-JP"/>
              </w:rPr>
              <w:t>MTA</w:t>
            </w:r>
          </w:p>
        </w:tc>
        <w:tc>
          <w:tcPr>
            <w:tcW w:w="708"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A6A9A65" w14:textId="77777777" w:rsidR="00E35519" w:rsidRPr="00EA50DC" w:rsidRDefault="00E35519" w:rsidP="00E35519">
            <w:pPr>
              <w:pStyle w:val="Tabletext"/>
              <w:rPr>
                <w:rFonts w:eastAsia="Batang" w:cs="Arial"/>
                <w:b/>
                <w:lang w:val="en-GB" w:eastAsia="ja-JP"/>
              </w:rPr>
            </w:pPr>
            <w:r w:rsidRPr="00EA50DC">
              <w:rPr>
                <w:rFonts w:eastAsia="Batang"/>
                <w:b/>
                <w:lang w:val="en-NZ" w:eastAsia="ja-JP"/>
              </w:rPr>
              <w:t>SBRT</w:t>
            </w:r>
          </w:p>
        </w:tc>
        <w:tc>
          <w:tcPr>
            <w:tcW w:w="68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A6A9A66" w14:textId="77777777" w:rsidR="00E35519" w:rsidRPr="00EA50DC" w:rsidRDefault="00E35519" w:rsidP="00E35519">
            <w:pPr>
              <w:pStyle w:val="Tabletext"/>
              <w:rPr>
                <w:rFonts w:eastAsia="Batang" w:cs="Arial"/>
                <w:b/>
                <w:lang w:val="en-GB" w:eastAsia="ja-JP"/>
              </w:rPr>
            </w:pPr>
            <w:r w:rsidRPr="00EA50DC">
              <w:rPr>
                <w:rFonts w:eastAsia="Batang"/>
                <w:b/>
                <w:lang w:val="en-NZ" w:eastAsia="ja-JP"/>
              </w:rPr>
              <w:t>Incremental cost of MTA vs SBRT</w:t>
            </w:r>
          </w:p>
        </w:tc>
        <w:tc>
          <w:tcPr>
            <w:tcW w:w="61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A6A9A67" w14:textId="77777777" w:rsidR="00E35519" w:rsidRPr="00EA50DC" w:rsidRDefault="00E35519" w:rsidP="00E35519">
            <w:pPr>
              <w:pStyle w:val="Tabletext"/>
              <w:rPr>
                <w:rFonts w:eastAsia="Batang" w:cs="Arial"/>
                <w:b/>
                <w:lang w:val="en-GB" w:eastAsia="ja-JP"/>
              </w:rPr>
            </w:pPr>
            <w:r w:rsidRPr="00EA50DC">
              <w:rPr>
                <w:rFonts w:eastAsia="Batang"/>
                <w:b/>
                <w:lang w:val="en-NZ" w:eastAsia="ja-JP"/>
              </w:rPr>
              <w:t>Surgery</w:t>
            </w:r>
          </w:p>
        </w:tc>
        <w:tc>
          <w:tcPr>
            <w:tcW w:w="64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A6A9A68" w14:textId="77777777" w:rsidR="00E35519" w:rsidRPr="00EA50DC" w:rsidRDefault="00E35519" w:rsidP="00E35519">
            <w:pPr>
              <w:pStyle w:val="Tabletext"/>
              <w:rPr>
                <w:rFonts w:eastAsia="Batang" w:cs="Arial"/>
                <w:b/>
                <w:lang w:val="en-GB" w:eastAsia="ja-JP"/>
              </w:rPr>
            </w:pPr>
            <w:r w:rsidRPr="00EA50DC">
              <w:rPr>
                <w:rFonts w:eastAsia="Batang"/>
                <w:b/>
                <w:lang w:val="en-NZ" w:eastAsia="ja-JP"/>
              </w:rPr>
              <w:t>Incremental cost of MTA vs Surgery</w:t>
            </w:r>
          </w:p>
        </w:tc>
      </w:tr>
      <w:tr w:rsidR="00E35519" w:rsidRPr="001C1D01" w14:paraId="4A6A9A70" w14:textId="77777777" w:rsidTr="00E35519">
        <w:trPr>
          <w:trHeight w:val="255"/>
        </w:trPr>
        <w:tc>
          <w:tcPr>
            <w:tcW w:w="1567" w:type="pct"/>
            <w:tcBorders>
              <w:top w:val="nil"/>
              <w:left w:val="single" w:sz="4" w:space="0" w:color="auto"/>
              <w:bottom w:val="single" w:sz="4" w:space="0" w:color="auto"/>
              <w:right w:val="single" w:sz="4" w:space="0" w:color="auto"/>
            </w:tcBorders>
            <w:shd w:val="clear" w:color="000000" w:fill="D9D9D9"/>
            <w:hideMark/>
          </w:tcPr>
          <w:p w14:paraId="4A6A9A6A" w14:textId="77777777" w:rsidR="00E35519" w:rsidRPr="001C1D01" w:rsidRDefault="00E35519" w:rsidP="00E35519">
            <w:pPr>
              <w:pStyle w:val="Tabletext"/>
              <w:rPr>
                <w:rFonts w:eastAsia="Batang" w:cs="Arial"/>
                <w:lang w:val="en-GB" w:eastAsia="ja-JP"/>
              </w:rPr>
            </w:pPr>
            <w:r w:rsidRPr="001C1D01">
              <w:rPr>
                <w:rFonts w:eastAsia="Batang" w:cs="Arial"/>
                <w:lang w:val="en-GB" w:eastAsia="ja-JP"/>
              </w:rPr>
              <w:t>Population and Lesions</w:t>
            </w:r>
          </w:p>
        </w:tc>
        <w:tc>
          <w:tcPr>
            <w:tcW w:w="786" w:type="pct"/>
            <w:tcBorders>
              <w:top w:val="single" w:sz="4" w:space="0" w:color="auto"/>
              <w:left w:val="nil"/>
              <w:bottom w:val="single" w:sz="4" w:space="0" w:color="auto"/>
            </w:tcBorders>
            <w:shd w:val="clear" w:color="000000" w:fill="D9D9D9"/>
            <w:hideMark/>
          </w:tcPr>
          <w:p w14:paraId="4A6A9A6B" w14:textId="77777777" w:rsidR="00E35519" w:rsidRPr="001C1D01" w:rsidRDefault="00E35519" w:rsidP="00E35519">
            <w:pPr>
              <w:pStyle w:val="Tabletext"/>
              <w:jc w:val="right"/>
              <w:rPr>
                <w:rFonts w:eastAsia="Batang" w:cs="Arial"/>
                <w:lang w:val="en-GB" w:eastAsia="ja-JP"/>
              </w:rPr>
            </w:pPr>
            <w:r w:rsidRPr="001C1D01">
              <w:rPr>
                <w:rFonts w:eastAsia="Batang" w:cs="Arial"/>
                <w:lang w:val="en-GB" w:eastAsia="ja-JP"/>
              </w:rPr>
              <w:t>Population 1 and</w:t>
            </w:r>
          </w:p>
        </w:tc>
        <w:tc>
          <w:tcPr>
            <w:tcW w:w="708" w:type="pct"/>
            <w:tcBorders>
              <w:top w:val="single" w:sz="4" w:space="0" w:color="auto"/>
              <w:bottom w:val="single" w:sz="4" w:space="0" w:color="auto"/>
            </w:tcBorders>
            <w:shd w:val="clear" w:color="000000" w:fill="D9D9D9"/>
          </w:tcPr>
          <w:p w14:paraId="4A6A9A6C" w14:textId="77777777" w:rsidR="00E35519" w:rsidRPr="001C1D01" w:rsidRDefault="00E35519" w:rsidP="00E35519">
            <w:pPr>
              <w:pStyle w:val="Tabletext"/>
              <w:ind w:left="-96"/>
              <w:rPr>
                <w:rFonts w:eastAsia="Batang" w:cs="Arial"/>
                <w:lang w:val="en-GB" w:eastAsia="ja-JP"/>
              </w:rPr>
            </w:pPr>
            <w:r w:rsidRPr="001C1D01">
              <w:rPr>
                <w:rFonts w:eastAsia="Batang" w:cs="Arial"/>
                <w:lang w:val="en-GB" w:eastAsia="ja-JP"/>
              </w:rPr>
              <w:t>2, &lt;3 lesions</w:t>
            </w:r>
          </w:p>
        </w:tc>
        <w:tc>
          <w:tcPr>
            <w:tcW w:w="684" w:type="pct"/>
            <w:tcBorders>
              <w:top w:val="single" w:sz="4" w:space="0" w:color="auto"/>
              <w:bottom w:val="single" w:sz="4" w:space="0" w:color="auto"/>
              <w:right w:val="single" w:sz="4" w:space="0" w:color="auto"/>
            </w:tcBorders>
            <w:shd w:val="clear" w:color="000000" w:fill="D9D9D9"/>
          </w:tcPr>
          <w:p w14:paraId="4A6A9A6D" w14:textId="77777777" w:rsidR="00E35519" w:rsidRPr="00FC06D9" w:rsidRDefault="00E35519" w:rsidP="00E35519">
            <w:pPr>
              <w:pStyle w:val="Tabletext"/>
              <w:rPr>
                <w:rFonts w:eastAsia="Batang" w:cs="Arial"/>
                <w:lang w:val="en-GB" w:eastAsia="ja-JP"/>
              </w:rPr>
            </w:pPr>
          </w:p>
        </w:tc>
        <w:tc>
          <w:tcPr>
            <w:tcW w:w="615" w:type="pct"/>
            <w:tcBorders>
              <w:top w:val="single" w:sz="4" w:space="0" w:color="auto"/>
              <w:left w:val="nil"/>
              <w:bottom w:val="single" w:sz="4" w:space="0" w:color="auto"/>
            </w:tcBorders>
            <w:shd w:val="clear" w:color="000000" w:fill="D9D9D9"/>
            <w:hideMark/>
          </w:tcPr>
          <w:p w14:paraId="4A6A9A6E" w14:textId="77777777" w:rsidR="00E35519" w:rsidRPr="00FC06D9" w:rsidRDefault="00E35519" w:rsidP="00E35519">
            <w:pPr>
              <w:pStyle w:val="Tabletext"/>
              <w:jc w:val="right"/>
              <w:rPr>
                <w:rFonts w:eastAsia="Batang" w:cs="Arial"/>
                <w:lang w:val="en-GB" w:eastAsia="ja-JP"/>
              </w:rPr>
            </w:pPr>
            <w:r>
              <w:rPr>
                <w:rFonts w:eastAsia="Batang" w:cs="Arial"/>
                <w:lang w:val="en-GB" w:eastAsia="ja-JP"/>
              </w:rPr>
              <w:t>Population 2</w:t>
            </w:r>
          </w:p>
        </w:tc>
        <w:tc>
          <w:tcPr>
            <w:tcW w:w="640" w:type="pct"/>
            <w:tcBorders>
              <w:top w:val="single" w:sz="4" w:space="0" w:color="auto"/>
              <w:bottom w:val="single" w:sz="4" w:space="0" w:color="auto"/>
              <w:right w:val="single" w:sz="4" w:space="0" w:color="auto"/>
            </w:tcBorders>
            <w:shd w:val="clear" w:color="000000" w:fill="D9D9D9"/>
          </w:tcPr>
          <w:p w14:paraId="4A6A9A6F" w14:textId="77777777" w:rsidR="00E35519" w:rsidRPr="00FC06D9" w:rsidRDefault="00E35519" w:rsidP="00E35519">
            <w:pPr>
              <w:pStyle w:val="Tabletext"/>
              <w:ind w:left="-121"/>
              <w:rPr>
                <w:rFonts w:eastAsia="Batang" w:cs="Arial"/>
                <w:lang w:val="en-GB" w:eastAsia="ja-JP"/>
              </w:rPr>
            </w:pPr>
            <w:r>
              <w:rPr>
                <w:rFonts w:eastAsia="Batang" w:cs="Arial"/>
                <w:lang w:val="en-GB" w:eastAsia="ja-JP"/>
              </w:rPr>
              <w:t xml:space="preserve">, </w:t>
            </w:r>
            <w:r w:rsidRPr="00FC06D9">
              <w:rPr>
                <w:rFonts w:eastAsia="Batang" w:cs="Arial"/>
                <w:lang w:val="en-GB" w:eastAsia="ja-JP"/>
              </w:rPr>
              <w:t>&lt;3 lesions</w:t>
            </w:r>
          </w:p>
        </w:tc>
      </w:tr>
      <w:tr w:rsidR="00E35519" w:rsidRPr="001C1D01" w14:paraId="4A6A9A77" w14:textId="77777777" w:rsidTr="00E35519">
        <w:trPr>
          <w:trHeight w:val="255"/>
        </w:trPr>
        <w:tc>
          <w:tcPr>
            <w:tcW w:w="1567" w:type="pct"/>
            <w:tcBorders>
              <w:top w:val="nil"/>
              <w:left w:val="single" w:sz="4" w:space="0" w:color="auto"/>
              <w:bottom w:val="single" w:sz="4" w:space="0" w:color="auto"/>
              <w:right w:val="single" w:sz="4" w:space="0" w:color="auto"/>
            </w:tcBorders>
            <w:shd w:val="clear" w:color="auto" w:fill="auto"/>
            <w:hideMark/>
          </w:tcPr>
          <w:p w14:paraId="4A6A9A71" w14:textId="77777777" w:rsidR="00E35519" w:rsidRPr="001C1D01" w:rsidRDefault="00E35519" w:rsidP="00E35519">
            <w:pPr>
              <w:pStyle w:val="Tabletext"/>
              <w:rPr>
                <w:rFonts w:eastAsia="Batang" w:cs="Arial"/>
                <w:lang w:val="en-GB" w:eastAsia="ja-JP"/>
              </w:rPr>
            </w:pPr>
            <w:r w:rsidRPr="001C1D01">
              <w:rPr>
                <w:rFonts w:eastAsia="Batang" w:cs="Arial"/>
                <w:lang w:val="en-GB" w:eastAsia="ja-JP"/>
              </w:rPr>
              <w:t>Specialist services – screening prior to intervention</w:t>
            </w:r>
          </w:p>
        </w:tc>
        <w:tc>
          <w:tcPr>
            <w:tcW w:w="786" w:type="pct"/>
            <w:tcBorders>
              <w:top w:val="nil"/>
              <w:left w:val="nil"/>
              <w:bottom w:val="single" w:sz="4" w:space="0" w:color="auto"/>
              <w:right w:val="single" w:sz="4" w:space="0" w:color="auto"/>
            </w:tcBorders>
            <w:shd w:val="clear" w:color="auto" w:fill="auto"/>
            <w:vAlign w:val="center"/>
          </w:tcPr>
          <w:p w14:paraId="4A6A9A72" w14:textId="77777777" w:rsidR="00E35519" w:rsidRPr="004554E4" w:rsidRDefault="00E35519" w:rsidP="00E35519">
            <w:pPr>
              <w:pStyle w:val="Tabletext"/>
              <w:rPr>
                <w:rFonts w:cs="Arial"/>
              </w:rPr>
            </w:pPr>
            <w:r w:rsidRPr="004554E4">
              <w:rPr>
                <w:rFonts w:cs="Arial"/>
              </w:rPr>
              <w:t>1,557.55</w:t>
            </w:r>
          </w:p>
        </w:tc>
        <w:tc>
          <w:tcPr>
            <w:tcW w:w="708" w:type="pct"/>
            <w:tcBorders>
              <w:top w:val="nil"/>
              <w:left w:val="nil"/>
              <w:bottom w:val="single" w:sz="4" w:space="0" w:color="auto"/>
              <w:right w:val="single" w:sz="4" w:space="0" w:color="auto"/>
            </w:tcBorders>
            <w:shd w:val="clear" w:color="auto" w:fill="auto"/>
            <w:vAlign w:val="center"/>
          </w:tcPr>
          <w:p w14:paraId="4A6A9A73" w14:textId="77777777" w:rsidR="00E35519" w:rsidRPr="004554E4" w:rsidRDefault="00E35519" w:rsidP="00E35519">
            <w:pPr>
              <w:pStyle w:val="Tabletext"/>
              <w:rPr>
                <w:rFonts w:cs="Arial"/>
              </w:rPr>
            </w:pPr>
            <w:r w:rsidRPr="004554E4">
              <w:rPr>
                <w:rFonts w:cs="Arial"/>
              </w:rPr>
              <w:t>1,557.55</w:t>
            </w:r>
          </w:p>
        </w:tc>
        <w:tc>
          <w:tcPr>
            <w:tcW w:w="684" w:type="pct"/>
            <w:tcBorders>
              <w:top w:val="nil"/>
              <w:left w:val="nil"/>
              <w:bottom w:val="single" w:sz="4" w:space="0" w:color="auto"/>
              <w:right w:val="single" w:sz="4" w:space="0" w:color="auto"/>
            </w:tcBorders>
            <w:shd w:val="clear" w:color="auto" w:fill="auto"/>
            <w:vAlign w:val="center"/>
          </w:tcPr>
          <w:p w14:paraId="4A6A9A74" w14:textId="77777777" w:rsidR="00E35519" w:rsidRPr="004554E4" w:rsidRDefault="00E35519" w:rsidP="00E35519">
            <w:pPr>
              <w:pStyle w:val="Tabletext"/>
              <w:rPr>
                <w:rFonts w:cs="Arial"/>
              </w:rPr>
            </w:pPr>
            <w:r w:rsidRPr="004554E4">
              <w:rPr>
                <w:rFonts w:cs="Arial"/>
              </w:rPr>
              <w:t>0.00</w:t>
            </w:r>
          </w:p>
        </w:tc>
        <w:tc>
          <w:tcPr>
            <w:tcW w:w="615" w:type="pct"/>
            <w:tcBorders>
              <w:top w:val="nil"/>
              <w:left w:val="nil"/>
              <w:bottom w:val="single" w:sz="4" w:space="0" w:color="auto"/>
              <w:right w:val="single" w:sz="4" w:space="0" w:color="auto"/>
            </w:tcBorders>
            <w:shd w:val="clear" w:color="auto" w:fill="auto"/>
            <w:vAlign w:val="center"/>
          </w:tcPr>
          <w:p w14:paraId="4A6A9A75" w14:textId="77777777" w:rsidR="00E35519" w:rsidRPr="004554E4" w:rsidRDefault="00E35519" w:rsidP="00E35519">
            <w:pPr>
              <w:pStyle w:val="Tabletext"/>
              <w:rPr>
                <w:rFonts w:cs="Arial"/>
              </w:rPr>
            </w:pPr>
            <w:r w:rsidRPr="004554E4">
              <w:rPr>
                <w:rFonts w:cs="Arial"/>
              </w:rPr>
              <w:t>1,557.55</w:t>
            </w:r>
          </w:p>
        </w:tc>
        <w:tc>
          <w:tcPr>
            <w:tcW w:w="640" w:type="pct"/>
            <w:tcBorders>
              <w:top w:val="nil"/>
              <w:left w:val="nil"/>
              <w:bottom w:val="single" w:sz="4" w:space="0" w:color="auto"/>
              <w:right w:val="single" w:sz="4" w:space="0" w:color="auto"/>
            </w:tcBorders>
            <w:shd w:val="clear" w:color="auto" w:fill="auto"/>
            <w:vAlign w:val="center"/>
          </w:tcPr>
          <w:p w14:paraId="4A6A9A76" w14:textId="77777777" w:rsidR="00E35519" w:rsidRPr="004554E4" w:rsidRDefault="00E35519" w:rsidP="00E35519">
            <w:pPr>
              <w:pStyle w:val="Tabletext"/>
              <w:rPr>
                <w:rFonts w:cs="Arial"/>
              </w:rPr>
            </w:pPr>
            <w:r w:rsidRPr="004554E4">
              <w:rPr>
                <w:rFonts w:cs="Arial"/>
              </w:rPr>
              <w:t>0.00</w:t>
            </w:r>
          </w:p>
        </w:tc>
      </w:tr>
      <w:tr w:rsidR="00E35519" w:rsidRPr="001C1D01" w14:paraId="4A6A9A7E" w14:textId="77777777" w:rsidTr="00E35519">
        <w:trPr>
          <w:trHeight w:val="255"/>
        </w:trPr>
        <w:tc>
          <w:tcPr>
            <w:tcW w:w="1567" w:type="pct"/>
            <w:tcBorders>
              <w:top w:val="nil"/>
              <w:left w:val="single" w:sz="4" w:space="0" w:color="auto"/>
              <w:bottom w:val="single" w:sz="4" w:space="0" w:color="auto"/>
              <w:right w:val="single" w:sz="4" w:space="0" w:color="auto"/>
            </w:tcBorders>
            <w:shd w:val="clear" w:color="auto" w:fill="auto"/>
            <w:hideMark/>
          </w:tcPr>
          <w:p w14:paraId="4A6A9A78" w14:textId="77777777" w:rsidR="00E35519" w:rsidRPr="001C1D01" w:rsidRDefault="00E35519" w:rsidP="00E35519">
            <w:pPr>
              <w:pStyle w:val="Tabletext"/>
              <w:rPr>
                <w:rFonts w:eastAsia="Batang" w:cs="Arial"/>
                <w:lang w:val="en-GB" w:eastAsia="ja-JP"/>
              </w:rPr>
            </w:pPr>
            <w:r w:rsidRPr="001C1D01">
              <w:rPr>
                <w:rFonts w:eastAsia="Batang" w:cs="Arial"/>
                <w:lang w:val="en-GB" w:eastAsia="ja-JP"/>
              </w:rPr>
              <w:t>Specialist services – intervention (MBS supported)</w:t>
            </w:r>
            <w:r>
              <w:rPr>
                <w:rFonts w:eastAsia="Batang" w:cs="Arial"/>
                <w:vertAlign w:val="superscript"/>
                <w:lang w:val="en-GB" w:eastAsia="ja-JP"/>
              </w:rPr>
              <w:t>1</w:t>
            </w:r>
          </w:p>
        </w:tc>
        <w:tc>
          <w:tcPr>
            <w:tcW w:w="786" w:type="pct"/>
            <w:tcBorders>
              <w:top w:val="nil"/>
              <w:left w:val="nil"/>
              <w:bottom w:val="single" w:sz="4" w:space="0" w:color="auto"/>
              <w:right w:val="single" w:sz="4" w:space="0" w:color="auto"/>
            </w:tcBorders>
            <w:shd w:val="clear" w:color="auto" w:fill="auto"/>
            <w:vAlign w:val="center"/>
          </w:tcPr>
          <w:p w14:paraId="4A6A9A79" w14:textId="77777777" w:rsidR="00E35519" w:rsidRPr="004554E4" w:rsidRDefault="00E35519" w:rsidP="00E35519">
            <w:pPr>
              <w:pStyle w:val="Tabletext"/>
              <w:rPr>
                <w:rFonts w:cs="Arial"/>
              </w:rPr>
            </w:pPr>
            <w:r w:rsidRPr="004554E4">
              <w:rPr>
                <w:rFonts w:cs="Arial"/>
              </w:rPr>
              <w:t>1,866.68</w:t>
            </w:r>
          </w:p>
        </w:tc>
        <w:tc>
          <w:tcPr>
            <w:tcW w:w="708" w:type="pct"/>
            <w:tcBorders>
              <w:top w:val="nil"/>
              <w:left w:val="nil"/>
              <w:bottom w:val="single" w:sz="4" w:space="0" w:color="auto"/>
              <w:right w:val="single" w:sz="4" w:space="0" w:color="auto"/>
            </w:tcBorders>
            <w:shd w:val="clear" w:color="auto" w:fill="auto"/>
            <w:vAlign w:val="center"/>
          </w:tcPr>
          <w:p w14:paraId="4A6A9A7A" w14:textId="77777777" w:rsidR="00E35519" w:rsidRPr="004554E4" w:rsidRDefault="00E35519" w:rsidP="00E35519">
            <w:pPr>
              <w:pStyle w:val="Tabletext"/>
              <w:rPr>
                <w:rFonts w:cs="Arial"/>
              </w:rPr>
            </w:pPr>
            <w:r w:rsidRPr="004554E4">
              <w:rPr>
                <w:rFonts w:cs="Arial"/>
              </w:rPr>
              <w:t>3,168.90</w:t>
            </w:r>
          </w:p>
        </w:tc>
        <w:tc>
          <w:tcPr>
            <w:tcW w:w="684" w:type="pct"/>
            <w:tcBorders>
              <w:top w:val="nil"/>
              <w:left w:val="nil"/>
              <w:bottom w:val="single" w:sz="4" w:space="0" w:color="auto"/>
              <w:right w:val="single" w:sz="4" w:space="0" w:color="auto"/>
            </w:tcBorders>
            <w:shd w:val="clear" w:color="auto" w:fill="auto"/>
            <w:vAlign w:val="center"/>
          </w:tcPr>
          <w:p w14:paraId="4A6A9A7B" w14:textId="77777777" w:rsidR="00E35519" w:rsidRPr="004554E4" w:rsidRDefault="00E35519" w:rsidP="00E35519">
            <w:pPr>
              <w:pStyle w:val="Tabletext"/>
              <w:rPr>
                <w:rFonts w:cs="Arial"/>
              </w:rPr>
            </w:pPr>
            <w:r w:rsidRPr="004554E4">
              <w:rPr>
                <w:rFonts w:cs="Arial"/>
              </w:rPr>
              <w:t>-1,302.22</w:t>
            </w:r>
          </w:p>
        </w:tc>
        <w:tc>
          <w:tcPr>
            <w:tcW w:w="615" w:type="pct"/>
            <w:tcBorders>
              <w:top w:val="nil"/>
              <w:left w:val="nil"/>
              <w:bottom w:val="single" w:sz="4" w:space="0" w:color="auto"/>
              <w:right w:val="single" w:sz="4" w:space="0" w:color="auto"/>
            </w:tcBorders>
            <w:shd w:val="clear" w:color="auto" w:fill="auto"/>
            <w:vAlign w:val="center"/>
          </w:tcPr>
          <w:p w14:paraId="4A6A9A7C" w14:textId="77777777" w:rsidR="00E35519" w:rsidRPr="004554E4" w:rsidRDefault="00E35519" w:rsidP="00E35519">
            <w:pPr>
              <w:pStyle w:val="Tabletext"/>
              <w:rPr>
                <w:rFonts w:cs="Arial"/>
              </w:rPr>
            </w:pPr>
            <w:r w:rsidRPr="004554E4">
              <w:rPr>
                <w:rFonts w:cs="Arial"/>
              </w:rPr>
              <w:t>2,814.33</w:t>
            </w:r>
          </w:p>
        </w:tc>
        <w:tc>
          <w:tcPr>
            <w:tcW w:w="640" w:type="pct"/>
            <w:tcBorders>
              <w:top w:val="nil"/>
              <w:left w:val="nil"/>
              <w:bottom w:val="single" w:sz="4" w:space="0" w:color="auto"/>
              <w:right w:val="single" w:sz="4" w:space="0" w:color="auto"/>
            </w:tcBorders>
            <w:shd w:val="clear" w:color="auto" w:fill="auto"/>
            <w:vAlign w:val="center"/>
          </w:tcPr>
          <w:p w14:paraId="4A6A9A7D" w14:textId="77777777" w:rsidR="00E35519" w:rsidRPr="004554E4" w:rsidRDefault="00E35519" w:rsidP="00E35519">
            <w:pPr>
              <w:pStyle w:val="Tabletext"/>
              <w:rPr>
                <w:rFonts w:cs="Arial"/>
              </w:rPr>
            </w:pPr>
            <w:r w:rsidRPr="004554E4">
              <w:rPr>
                <w:rFonts w:cs="Arial"/>
              </w:rPr>
              <w:t>-947.65</w:t>
            </w:r>
          </w:p>
        </w:tc>
      </w:tr>
      <w:tr w:rsidR="00E35519" w:rsidRPr="001C1D01" w14:paraId="4A6A9A85" w14:textId="77777777" w:rsidTr="00E35519">
        <w:trPr>
          <w:trHeight w:val="255"/>
        </w:trPr>
        <w:tc>
          <w:tcPr>
            <w:tcW w:w="1567" w:type="pct"/>
            <w:tcBorders>
              <w:top w:val="nil"/>
              <w:left w:val="single" w:sz="4" w:space="0" w:color="auto"/>
              <w:bottom w:val="single" w:sz="4" w:space="0" w:color="auto"/>
              <w:right w:val="single" w:sz="4" w:space="0" w:color="auto"/>
            </w:tcBorders>
            <w:shd w:val="clear" w:color="auto" w:fill="auto"/>
            <w:hideMark/>
          </w:tcPr>
          <w:p w14:paraId="4A6A9A7F" w14:textId="77777777" w:rsidR="00E35519" w:rsidRPr="001C1D01" w:rsidRDefault="00E35519" w:rsidP="00E35519">
            <w:pPr>
              <w:pStyle w:val="Tabletext"/>
              <w:rPr>
                <w:rFonts w:eastAsia="Batang" w:cs="Arial"/>
                <w:lang w:val="en-GB" w:eastAsia="ja-JP"/>
              </w:rPr>
            </w:pPr>
            <w:r w:rsidRPr="001C1D01">
              <w:rPr>
                <w:rFonts w:eastAsia="Batang" w:cs="Arial"/>
                <w:lang w:val="en-GB" w:eastAsia="ja-JP"/>
              </w:rPr>
              <w:t>Specialist services – intervention (Hospital)</w:t>
            </w:r>
          </w:p>
        </w:tc>
        <w:tc>
          <w:tcPr>
            <w:tcW w:w="786" w:type="pct"/>
            <w:tcBorders>
              <w:top w:val="nil"/>
              <w:left w:val="nil"/>
              <w:bottom w:val="single" w:sz="4" w:space="0" w:color="auto"/>
              <w:right w:val="single" w:sz="4" w:space="0" w:color="auto"/>
            </w:tcBorders>
            <w:shd w:val="clear" w:color="auto" w:fill="auto"/>
            <w:vAlign w:val="center"/>
          </w:tcPr>
          <w:p w14:paraId="4A6A9A80" w14:textId="77777777" w:rsidR="00E35519" w:rsidRPr="004554E4" w:rsidRDefault="00E35519" w:rsidP="00E35519">
            <w:pPr>
              <w:pStyle w:val="Tabletext"/>
              <w:rPr>
                <w:rFonts w:cs="Arial"/>
              </w:rPr>
            </w:pPr>
            <w:r w:rsidRPr="004554E4">
              <w:rPr>
                <w:rFonts w:cs="Arial"/>
              </w:rPr>
              <w:t>932.10</w:t>
            </w:r>
          </w:p>
        </w:tc>
        <w:tc>
          <w:tcPr>
            <w:tcW w:w="708" w:type="pct"/>
            <w:tcBorders>
              <w:top w:val="nil"/>
              <w:left w:val="nil"/>
              <w:bottom w:val="single" w:sz="4" w:space="0" w:color="auto"/>
              <w:right w:val="single" w:sz="4" w:space="0" w:color="auto"/>
            </w:tcBorders>
            <w:shd w:val="clear" w:color="auto" w:fill="auto"/>
            <w:vAlign w:val="center"/>
          </w:tcPr>
          <w:p w14:paraId="4A6A9A81" w14:textId="77777777" w:rsidR="00E35519" w:rsidRPr="004554E4" w:rsidRDefault="00E35519" w:rsidP="00E35519">
            <w:pPr>
              <w:pStyle w:val="Tabletext"/>
              <w:rPr>
                <w:rFonts w:cs="Arial"/>
              </w:rPr>
            </w:pPr>
            <w:r w:rsidRPr="004554E4">
              <w:rPr>
                <w:rFonts w:cs="Arial"/>
              </w:rPr>
              <w:t>0.00</w:t>
            </w:r>
          </w:p>
        </w:tc>
        <w:tc>
          <w:tcPr>
            <w:tcW w:w="684" w:type="pct"/>
            <w:tcBorders>
              <w:top w:val="nil"/>
              <w:left w:val="nil"/>
              <w:bottom w:val="single" w:sz="4" w:space="0" w:color="auto"/>
              <w:right w:val="single" w:sz="4" w:space="0" w:color="auto"/>
            </w:tcBorders>
            <w:shd w:val="clear" w:color="auto" w:fill="auto"/>
            <w:vAlign w:val="center"/>
          </w:tcPr>
          <w:p w14:paraId="4A6A9A82" w14:textId="77777777" w:rsidR="00E35519" w:rsidRPr="004554E4" w:rsidRDefault="00E35519" w:rsidP="00E35519">
            <w:pPr>
              <w:pStyle w:val="Tabletext"/>
              <w:rPr>
                <w:rFonts w:cs="Arial"/>
              </w:rPr>
            </w:pPr>
            <w:r w:rsidRPr="004554E4">
              <w:rPr>
                <w:rFonts w:cs="Arial"/>
              </w:rPr>
              <w:t>932.10</w:t>
            </w:r>
          </w:p>
        </w:tc>
        <w:tc>
          <w:tcPr>
            <w:tcW w:w="615" w:type="pct"/>
            <w:tcBorders>
              <w:top w:val="nil"/>
              <w:left w:val="nil"/>
              <w:bottom w:val="single" w:sz="4" w:space="0" w:color="auto"/>
              <w:right w:val="single" w:sz="4" w:space="0" w:color="auto"/>
            </w:tcBorders>
            <w:shd w:val="clear" w:color="auto" w:fill="auto"/>
            <w:vAlign w:val="center"/>
          </w:tcPr>
          <w:p w14:paraId="4A6A9A83" w14:textId="77777777" w:rsidR="00E35519" w:rsidRPr="004554E4" w:rsidRDefault="00E35519" w:rsidP="00E35519">
            <w:pPr>
              <w:pStyle w:val="Tabletext"/>
              <w:rPr>
                <w:rFonts w:cs="Arial"/>
              </w:rPr>
            </w:pPr>
            <w:r w:rsidRPr="004554E4">
              <w:rPr>
                <w:rFonts w:cs="Arial"/>
              </w:rPr>
              <w:t>14,822.67</w:t>
            </w:r>
          </w:p>
        </w:tc>
        <w:tc>
          <w:tcPr>
            <w:tcW w:w="640" w:type="pct"/>
            <w:tcBorders>
              <w:top w:val="nil"/>
              <w:left w:val="nil"/>
              <w:bottom w:val="single" w:sz="4" w:space="0" w:color="auto"/>
              <w:right w:val="single" w:sz="4" w:space="0" w:color="auto"/>
            </w:tcBorders>
            <w:shd w:val="clear" w:color="auto" w:fill="auto"/>
            <w:vAlign w:val="center"/>
          </w:tcPr>
          <w:p w14:paraId="4A6A9A84" w14:textId="77777777" w:rsidR="00E35519" w:rsidRPr="004554E4" w:rsidRDefault="00E35519" w:rsidP="00E35519">
            <w:pPr>
              <w:pStyle w:val="Tabletext"/>
              <w:rPr>
                <w:rFonts w:cs="Arial"/>
              </w:rPr>
            </w:pPr>
            <w:r w:rsidRPr="004554E4">
              <w:rPr>
                <w:rFonts w:cs="Arial"/>
              </w:rPr>
              <w:t>-13,890.57</w:t>
            </w:r>
          </w:p>
        </w:tc>
      </w:tr>
      <w:tr w:rsidR="00E35519" w:rsidRPr="001C1D01" w14:paraId="4A6A9A8C" w14:textId="77777777" w:rsidTr="00E35519">
        <w:trPr>
          <w:trHeight w:val="255"/>
        </w:trPr>
        <w:tc>
          <w:tcPr>
            <w:tcW w:w="1567" w:type="pct"/>
            <w:tcBorders>
              <w:top w:val="nil"/>
              <w:left w:val="single" w:sz="4" w:space="0" w:color="auto"/>
              <w:bottom w:val="single" w:sz="4" w:space="0" w:color="auto"/>
              <w:right w:val="single" w:sz="4" w:space="0" w:color="auto"/>
            </w:tcBorders>
            <w:shd w:val="clear" w:color="auto" w:fill="auto"/>
            <w:hideMark/>
          </w:tcPr>
          <w:p w14:paraId="4A6A9A86" w14:textId="77777777" w:rsidR="00E35519" w:rsidRPr="001C1D01" w:rsidRDefault="00E35519" w:rsidP="00E35519">
            <w:pPr>
              <w:pStyle w:val="Tabletext"/>
              <w:rPr>
                <w:rFonts w:eastAsia="Batang" w:cs="Arial"/>
                <w:lang w:val="en-GB" w:eastAsia="ja-JP"/>
              </w:rPr>
            </w:pPr>
            <w:r w:rsidRPr="001C1D01">
              <w:rPr>
                <w:rFonts w:eastAsia="Batang" w:cs="Arial"/>
                <w:lang w:val="en-GB" w:eastAsia="ja-JP"/>
              </w:rPr>
              <w:t>Specialist services – post intervention follow-up</w:t>
            </w:r>
          </w:p>
        </w:tc>
        <w:tc>
          <w:tcPr>
            <w:tcW w:w="786" w:type="pct"/>
            <w:tcBorders>
              <w:top w:val="nil"/>
              <w:left w:val="nil"/>
              <w:bottom w:val="single" w:sz="4" w:space="0" w:color="auto"/>
              <w:right w:val="single" w:sz="4" w:space="0" w:color="auto"/>
            </w:tcBorders>
            <w:shd w:val="clear" w:color="auto" w:fill="auto"/>
            <w:vAlign w:val="center"/>
          </w:tcPr>
          <w:p w14:paraId="4A6A9A87" w14:textId="77777777" w:rsidR="00E35519" w:rsidRPr="004554E4" w:rsidRDefault="00E35519" w:rsidP="00E35519">
            <w:pPr>
              <w:pStyle w:val="Tabletext"/>
              <w:rPr>
                <w:rFonts w:cs="Arial"/>
              </w:rPr>
            </w:pPr>
            <w:r w:rsidRPr="004554E4">
              <w:rPr>
                <w:rFonts w:cs="Arial"/>
              </w:rPr>
              <w:t>277.50</w:t>
            </w:r>
          </w:p>
        </w:tc>
        <w:tc>
          <w:tcPr>
            <w:tcW w:w="708" w:type="pct"/>
            <w:tcBorders>
              <w:top w:val="nil"/>
              <w:left w:val="nil"/>
              <w:bottom w:val="single" w:sz="4" w:space="0" w:color="auto"/>
              <w:right w:val="single" w:sz="4" w:space="0" w:color="auto"/>
            </w:tcBorders>
            <w:shd w:val="clear" w:color="auto" w:fill="auto"/>
            <w:vAlign w:val="center"/>
          </w:tcPr>
          <w:p w14:paraId="4A6A9A88" w14:textId="77777777" w:rsidR="00E35519" w:rsidRPr="004554E4" w:rsidRDefault="00E35519" w:rsidP="00E35519">
            <w:pPr>
              <w:pStyle w:val="Tabletext"/>
              <w:rPr>
                <w:rFonts w:cs="Arial"/>
              </w:rPr>
            </w:pPr>
            <w:r w:rsidRPr="004554E4">
              <w:rPr>
                <w:rFonts w:cs="Arial"/>
              </w:rPr>
              <w:t>353.00</w:t>
            </w:r>
          </w:p>
        </w:tc>
        <w:tc>
          <w:tcPr>
            <w:tcW w:w="684" w:type="pct"/>
            <w:tcBorders>
              <w:top w:val="nil"/>
              <w:left w:val="nil"/>
              <w:bottom w:val="single" w:sz="4" w:space="0" w:color="auto"/>
              <w:right w:val="single" w:sz="4" w:space="0" w:color="auto"/>
            </w:tcBorders>
            <w:shd w:val="clear" w:color="auto" w:fill="auto"/>
            <w:vAlign w:val="center"/>
          </w:tcPr>
          <w:p w14:paraId="4A6A9A89" w14:textId="77777777" w:rsidR="00E35519" w:rsidRPr="004554E4" w:rsidRDefault="00E35519" w:rsidP="00E35519">
            <w:pPr>
              <w:pStyle w:val="Tabletext"/>
              <w:rPr>
                <w:rFonts w:cs="Arial"/>
              </w:rPr>
            </w:pPr>
            <w:r w:rsidRPr="004554E4">
              <w:rPr>
                <w:rFonts w:cs="Arial"/>
              </w:rPr>
              <w:t>-75.50</w:t>
            </w:r>
          </w:p>
        </w:tc>
        <w:tc>
          <w:tcPr>
            <w:tcW w:w="615" w:type="pct"/>
            <w:tcBorders>
              <w:top w:val="nil"/>
              <w:left w:val="nil"/>
              <w:bottom w:val="single" w:sz="4" w:space="0" w:color="auto"/>
              <w:right w:val="single" w:sz="4" w:space="0" w:color="auto"/>
            </w:tcBorders>
            <w:shd w:val="clear" w:color="auto" w:fill="auto"/>
            <w:vAlign w:val="center"/>
          </w:tcPr>
          <w:p w14:paraId="4A6A9A8A" w14:textId="77777777" w:rsidR="00E35519" w:rsidRPr="004554E4" w:rsidRDefault="00E35519" w:rsidP="00E35519">
            <w:pPr>
              <w:pStyle w:val="Tabletext"/>
              <w:rPr>
                <w:rFonts w:cs="Arial"/>
              </w:rPr>
            </w:pPr>
            <w:r w:rsidRPr="004554E4">
              <w:rPr>
                <w:rFonts w:cs="Arial"/>
              </w:rPr>
              <w:t>277.50</w:t>
            </w:r>
          </w:p>
        </w:tc>
        <w:tc>
          <w:tcPr>
            <w:tcW w:w="640" w:type="pct"/>
            <w:tcBorders>
              <w:top w:val="nil"/>
              <w:left w:val="nil"/>
              <w:bottom w:val="single" w:sz="4" w:space="0" w:color="auto"/>
              <w:right w:val="single" w:sz="4" w:space="0" w:color="auto"/>
            </w:tcBorders>
            <w:shd w:val="clear" w:color="auto" w:fill="auto"/>
            <w:vAlign w:val="center"/>
          </w:tcPr>
          <w:p w14:paraId="4A6A9A8B" w14:textId="77777777" w:rsidR="00E35519" w:rsidRPr="004554E4" w:rsidRDefault="00E35519" w:rsidP="00E35519">
            <w:pPr>
              <w:pStyle w:val="Tabletext"/>
              <w:rPr>
                <w:rFonts w:cs="Arial"/>
              </w:rPr>
            </w:pPr>
            <w:r w:rsidRPr="004554E4">
              <w:rPr>
                <w:rFonts w:cs="Arial"/>
              </w:rPr>
              <w:t>0.00</w:t>
            </w:r>
          </w:p>
        </w:tc>
      </w:tr>
      <w:tr w:rsidR="00E35519" w:rsidRPr="001C1D01" w14:paraId="4A6A9A93" w14:textId="77777777" w:rsidTr="00E35519">
        <w:trPr>
          <w:trHeight w:val="255"/>
        </w:trPr>
        <w:tc>
          <w:tcPr>
            <w:tcW w:w="1567" w:type="pct"/>
            <w:tcBorders>
              <w:top w:val="nil"/>
              <w:left w:val="single" w:sz="4" w:space="0" w:color="auto"/>
              <w:bottom w:val="single" w:sz="4" w:space="0" w:color="auto"/>
              <w:right w:val="single" w:sz="4" w:space="0" w:color="auto"/>
            </w:tcBorders>
            <w:shd w:val="clear" w:color="auto" w:fill="auto"/>
            <w:hideMark/>
          </w:tcPr>
          <w:p w14:paraId="4A6A9A8D" w14:textId="77777777" w:rsidR="00E35519" w:rsidRPr="001C1D01" w:rsidRDefault="00E35519" w:rsidP="00E35519">
            <w:pPr>
              <w:pStyle w:val="Tabletext"/>
              <w:rPr>
                <w:rFonts w:eastAsia="Batang" w:cs="Arial"/>
                <w:lang w:val="en-GB" w:eastAsia="ja-JP"/>
              </w:rPr>
            </w:pPr>
            <w:r w:rsidRPr="001C1D01">
              <w:rPr>
                <w:rFonts w:eastAsia="Batang" w:cs="Arial"/>
                <w:lang w:val="en-GB" w:eastAsia="ja-JP"/>
              </w:rPr>
              <w:t>Prostheses or equipment costs</w:t>
            </w:r>
          </w:p>
        </w:tc>
        <w:tc>
          <w:tcPr>
            <w:tcW w:w="786" w:type="pct"/>
            <w:tcBorders>
              <w:top w:val="nil"/>
              <w:left w:val="nil"/>
              <w:bottom w:val="single" w:sz="4" w:space="0" w:color="auto"/>
              <w:right w:val="single" w:sz="4" w:space="0" w:color="auto"/>
            </w:tcBorders>
            <w:shd w:val="clear" w:color="auto" w:fill="auto"/>
            <w:vAlign w:val="center"/>
          </w:tcPr>
          <w:p w14:paraId="4A6A9A8E" w14:textId="77777777" w:rsidR="00E35519" w:rsidRPr="004554E4" w:rsidRDefault="00E35519" w:rsidP="00E35519">
            <w:pPr>
              <w:pStyle w:val="Tabletext"/>
              <w:rPr>
                <w:rFonts w:cs="Arial"/>
              </w:rPr>
            </w:pPr>
            <w:r w:rsidRPr="004554E4">
              <w:rPr>
                <w:rFonts w:cs="Arial"/>
              </w:rPr>
              <w:t>3,210.00</w:t>
            </w:r>
          </w:p>
        </w:tc>
        <w:tc>
          <w:tcPr>
            <w:tcW w:w="708" w:type="pct"/>
            <w:tcBorders>
              <w:top w:val="nil"/>
              <w:left w:val="nil"/>
              <w:bottom w:val="single" w:sz="4" w:space="0" w:color="auto"/>
              <w:right w:val="single" w:sz="4" w:space="0" w:color="auto"/>
            </w:tcBorders>
            <w:shd w:val="clear" w:color="auto" w:fill="auto"/>
            <w:vAlign w:val="center"/>
          </w:tcPr>
          <w:p w14:paraId="4A6A9A8F" w14:textId="77777777" w:rsidR="00E35519" w:rsidRPr="004554E4" w:rsidRDefault="00E35519" w:rsidP="00E35519">
            <w:pPr>
              <w:pStyle w:val="Tabletext"/>
              <w:rPr>
                <w:rFonts w:cs="Arial"/>
              </w:rPr>
            </w:pPr>
            <w:r w:rsidRPr="004554E4">
              <w:rPr>
                <w:rFonts w:cs="Arial"/>
              </w:rPr>
              <w:t>293.50</w:t>
            </w:r>
          </w:p>
        </w:tc>
        <w:tc>
          <w:tcPr>
            <w:tcW w:w="684" w:type="pct"/>
            <w:tcBorders>
              <w:top w:val="nil"/>
              <w:left w:val="nil"/>
              <w:bottom w:val="single" w:sz="4" w:space="0" w:color="auto"/>
              <w:right w:val="single" w:sz="4" w:space="0" w:color="auto"/>
            </w:tcBorders>
            <w:shd w:val="clear" w:color="auto" w:fill="auto"/>
            <w:vAlign w:val="center"/>
          </w:tcPr>
          <w:p w14:paraId="4A6A9A90" w14:textId="77777777" w:rsidR="00E35519" w:rsidRPr="004554E4" w:rsidRDefault="00E35519" w:rsidP="00E35519">
            <w:pPr>
              <w:pStyle w:val="Tabletext"/>
              <w:rPr>
                <w:rFonts w:cs="Arial"/>
              </w:rPr>
            </w:pPr>
            <w:r w:rsidRPr="004554E4">
              <w:rPr>
                <w:rFonts w:cs="Arial"/>
              </w:rPr>
              <w:t>2,916.50</w:t>
            </w:r>
          </w:p>
        </w:tc>
        <w:tc>
          <w:tcPr>
            <w:tcW w:w="615" w:type="pct"/>
            <w:tcBorders>
              <w:top w:val="nil"/>
              <w:left w:val="nil"/>
              <w:bottom w:val="single" w:sz="4" w:space="0" w:color="auto"/>
              <w:right w:val="single" w:sz="4" w:space="0" w:color="auto"/>
            </w:tcBorders>
            <w:shd w:val="clear" w:color="auto" w:fill="auto"/>
            <w:vAlign w:val="center"/>
          </w:tcPr>
          <w:p w14:paraId="4A6A9A91" w14:textId="77777777" w:rsidR="00E35519" w:rsidRPr="004554E4" w:rsidRDefault="00E35519" w:rsidP="00E35519">
            <w:pPr>
              <w:pStyle w:val="Tabletext"/>
              <w:rPr>
                <w:rFonts w:cs="Arial"/>
              </w:rPr>
            </w:pPr>
            <w:r w:rsidRPr="004554E4">
              <w:rPr>
                <w:rFonts w:cs="Arial"/>
              </w:rPr>
              <w:t>0.00</w:t>
            </w:r>
          </w:p>
        </w:tc>
        <w:tc>
          <w:tcPr>
            <w:tcW w:w="640" w:type="pct"/>
            <w:tcBorders>
              <w:top w:val="nil"/>
              <w:left w:val="nil"/>
              <w:bottom w:val="single" w:sz="4" w:space="0" w:color="auto"/>
              <w:right w:val="single" w:sz="4" w:space="0" w:color="auto"/>
            </w:tcBorders>
            <w:shd w:val="clear" w:color="auto" w:fill="auto"/>
            <w:vAlign w:val="center"/>
          </w:tcPr>
          <w:p w14:paraId="4A6A9A92" w14:textId="77777777" w:rsidR="00E35519" w:rsidRPr="004554E4" w:rsidRDefault="00E35519" w:rsidP="00E35519">
            <w:pPr>
              <w:pStyle w:val="Tabletext"/>
              <w:rPr>
                <w:rFonts w:cs="Arial"/>
              </w:rPr>
            </w:pPr>
            <w:r w:rsidRPr="004554E4">
              <w:rPr>
                <w:rFonts w:cs="Arial"/>
              </w:rPr>
              <w:t>3,210.00</w:t>
            </w:r>
          </w:p>
        </w:tc>
      </w:tr>
      <w:tr w:rsidR="00E35519" w:rsidRPr="001C1D01" w14:paraId="4A6A9A9A" w14:textId="77777777" w:rsidTr="00E35519">
        <w:trPr>
          <w:trHeight w:val="255"/>
        </w:trPr>
        <w:tc>
          <w:tcPr>
            <w:tcW w:w="1567" w:type="pct"/>
            <w:tcBorders>
              <w:top w:val="nil"/>
              <w:left w:val="single" w:sz="4" w:space="0" w:color="auto"/>
              <w:bottom w:val="single" w:sz="4" w:space="0" w:color="auto"/>
              <w:right w:val="single" w:sz="4" w:space="0" w:color="auto"/>
            </w:tcBorders>
            <w:shd w:val="clear" w:color="auto" w:fill="auto"/>
            <w:hideMark/>
          </w:tcPr>
          <w:p w14:paraId="4A6A9A94" w14:textId="77777777" w:rsidR="00E35519" w:rsidRPr="001C1D01" w:rsidRDefault="00E35519" w:rsidP="00E35519">
            <w:pPr>
              <w:pStyle w:val="Tabletext"/>
              <w:rPr>
                <w:rFonts w:eastAsia="Batang" w:cs="Arial"/>
                <w:lang w:val="en-GB" w:eastAsia="ja-JP"/>
              </w:rPr>
            </w:pPr>
            <w:r w:rsidRPr="001C1D01">
              <w:rPr>
                <w:rFonts w:eastAsia="Batang" w:cs="Arial"/>
                <w:lang w:val="en-GB" w:eastAsia="ja-JP"/>
              </w:rPr>
              <w:t>Adverse events</w:t>
            </w:r>
          </w:p>
        </w:tc>
        <w:tc>
          <w:tcPr>
            <w:tcW w:w="786" w:type="pct"/>
            <w:tcBorders>
              <w:top w:val="nil"/>
              <w:left w:val="nil"/>
              <w:bottom w:val="single" w:sz="4" w:space="0" w:color="auto"/>
              <w:right w:val="single" w:sz="4" w:space="0" w:color="auto"/>
            </w:tcBorders>
            <w:shd w:val="clear" w:color="auto" w:fill="auto"/>
            <w:vAlign w:val="center"/>
          </w:tcPr>
          <w:p w14:paraId="4A6A9A95" w14:textId="77777777" w:rsidR="00E35519" w:rsidRPr="004554E4" w:rsidRDefault="00E35519" w:rsidP="00E35519">
            <w:pPr>
              <w:pStyle w:val="Tabletext"/>
              <w:rPr>
                <w:rFonts w:cs="Arial"/>
              </w:rPr>
            </w:pPr>
            <w:r w:rsidRPr="004554E4">
              <w:rPr>
                <w:rFonts w:cs="Arial"/>
              </w:rPr>
              <w:t>0.00</w:t>
            </w:r>
          </w:p>
        </w:tc>
        <w:tc>
          <w:tcPr>
            <w:tcW w:w="708" w:type="pct"/>
            <w:tcBorders>
              <w:top w:val="nil"/>
              <w:left w:val="nil"/>
              <w:bottom w:val="single" w:sz="4" w:space="0" w:color="auto"/>
              <w:right w:val="single" w:sz="4" w:space="0" w:color="auto"/>
            </w:tcBorders>
            <w:shd w:val="clear" w:color="auto" w:fill="auto"/>
            <w:vAlign w:val="center"/>
          </w:tcPr>
          <w:p w14:paraId="4A6A9A96" w14:textId="77777777" w:rsidR="00E35519" w:rsidRPr="004554E4" w:rsidRDefault="00E35519" w:rsidP="00E35519">
            <w:pPr>
              <w:pStyle w:val="Tabletext"/>
              <w:rPr>
                <w:rFonts w:cs="Arial"/>
              </w:rPr>
            </w:pPr>
            <w:r w:rsidRPr="004554E4">
              <w:rPr>
                <w:rFonts w:cs="Arial"/>
              </w:rPr>
              <w:t>0.00</w:t>
            </w:r>
          </w:p>
        </w:tc>
        <w:tc>
          <w:tcPr>
            <w:tcW w:w="684" w:type="pct"/>
            <w:tcBorders>
              <w:top w:val="nil"/>
              <w:left w:val="nil"/>
              <w:bottom w:val="single" w:sz="4" w:space="0" w:color="auto"/>
              <w:right w:val="single" w:sz="4" w:space="0" w:color="auto"/>
            </w:tcBorders>
            <w:shd w:val="clear" w:color="auto" w:fill="auto"/>
            <w:vAlign w:val="center"/>
          </w:tcPr>
          <w:p w14:paraId="4A6A9A97" w14:textId="77777777" w:rsidR="00E35519" w:rsidRPr="004554E4" w:rsidRDefault="00E35519" w:rsidP="00E35519">
            <w:pPr>
              <w:pStyle w:val="Tabletext"/>
              <w:rPr>
                <w:rFonts w:cs="Arial"/>
              </w:rPr>
            </w:pPr>
            <w:r w:rsidRPr="004554E4">
              <w:rPr>
                <w:rFonts w:cs="Arial"/>
              </w:rPr>
              <w:t>0.00</w:t>
            </w:r>
          </w:p>
        </w:tc>
        <w:tc>
          <w:tcPr>
            <w:tcW w:w="615" w:type="pct"/>
            <w:tcBorders>
              <w:top w:val="nil"/>
              <w:left w:val="nil"/>
              <w:bottom w:val="single" w:sz="4" w:space="0" w:color="auto"/>
              <w:right w:val="single" w:sz="4" w:space="0" w:color="auto"/>
            </w:tcBorders>
            <w:shd w:val="clear" w:color="auto" w:fill="auto"/>
            <w:vAlign w:val="center"/>
          </w:tcPr>
          <w:p w14:paraId="4A6A9A98" w14:textId="77777777" w:rsidR="00E35519" w:rsidRPr="004554E4" w:rsidRDefault="00E35519" w:rsidP="00E35519">
            <w:pPr>
              <w:pStyle w:val="Tabletext"/>
              <w:rPr>
                <w:rFonts w:cs="Arial"/>
              </w:rPr>
            </w:pPr>
            <w:r w:rsidRPr="004554E4">
              <w:rPr>
                <w:rFonts w:cs="Arial"/>
              </w:rPr>
              <w:t>0.00</w:t>
            </w:r>
          </w:p>
        </w:tc>
        <w:tc>
          <w:tcPr>
            <w:tcW w:w="640" w:type="pct"/>
            <w:tcBorders>
              <w:top w:val="nil"/>
              <w:left w:val="nil"/>
              <w:bottom w:val="single" w:sz="4" w:space="0" w:color="auto"/>
              <w:right w:val="single" w:sz="4" w:space="0" w:color="auto"/>
            </w:tcBorders>
            <w:shd w:val="clear" w:color="auto" w:fill="auto"/>
            <w:vAlign w:val="center"/>
          </w:tcPr>
          <w:p w14:paraId="4A6A9A99" w14:textId="77777777" w:rsidR="00E35519" w:rsidRPr="004554E4" w:rsidRDefault="00E35519" w:rsidP="00E35519">
            <w:pPr>
              <w:pStyle w:val="Tabletext"/>
              <w:rPr>
                <w:rFonts w:cs="Arial"/>
              </w:rPr>
            </w:pPr>
            <w:r w:rsidRPr="004554E4">
              <w:rPr>
                <w:rFonts w:cs="Arial"/>
              </w:rPr>
              <w:t>0.00</w:t>
            </w:r>
          </w:p>
        </w:tc>
      </w:tr>
      <w:tr w:rsidR="00E35519" w:rsidRPr="001C1D01" w14:paraId="4A6A9AA1" w14:textId="77777777" w:rsidTr="00E35519">
        <w:trPr>
          <w:trHeight w:val="255"/>
        </w:trPr>
        <w:tc>
          <w:tcPr>
            <w:tcW w:w="1567" w:type="pct"/>
            <w:tcBorders>
              <w:top w:val="nil"/>
              <w:left w:val="single" w:sz="4" w:space="0" w:color="auto"/>
              <w:bottom w:val="single" w:sz="4" w:space="0" w:color="auto"/>
              <w:right w:val="single" w:sz="4" w:space="0" w:color="auto"/>
            </w:tcBorders>
            <w:shd w:val="clear" w:color="auto" w:fill="auto"/>
            <w:hideMark/>
          </w:tcPr>
          <w:p w14:paraId="4A6A9A9B" w14:textId="77777777" w:rsidR="00E35519" w:rsidRPr="001C1D01" w:rsidRDefault="00E35519" w:rsidP="00E35519">
            <w:pPr>
              <w:pStyle w:val="Tabletext"/>
              <w:rPr>
                <w:rFonts w:eastAsia="Batang" w:cs="Arial"/>
                <w:lang w:val="en-GB" w:eastAsia="ja-JP"/>
              </w:rPr>
            </w:pPr>
            <w:r w:rsidRPr="001C1D01">
              <w:rPr>
                <w:rFonts w:eastAsia="Batang" w:cs="Arial"/>
                <w:lang w:val="en-GB" w:eastAsia="ja-JP"/>
              </w:rPr>
              <w:t>Total</w:t>
            </w:r>
          </w:p>
        </w:tc>
        <w:tc>
          <w:tcPr>
            <w:tcW w:w="786" w:type="pct"/>
            <w:tcBorders>
              <w:top w:val="nil"/>
              <w:left w:val="nil"/>
              <w:bottom w:val="single" w:sz="4" w:space="0" w:color="auto"/>
              <w:right w:val="single" w:sz="4" w:space="0" w:color="auto"/>
            </w:tcBorders>
            <w:shd w:val="clear" w:color="auto" w:fill="auto"/>
            <w:vAlign w:val="center"/>
          </w:tcPr>
          <w:p w14:paraId="4A6A9A9C" w14:textId="77777777" w:rsidR="00E35519" w:rsidRPr="004554E4" w:rsidRDefault="00E35519" w:rsidP="00E35519">
            <w:pPr>
              <w:pStyle w:val="Tabletext"/>
              <w:rPr>
                <w:rFonts w:cs="Arial"/>
              </w:rPr>
            </w:pPr>
            <w:r w:rsidRPr="004554E4">
              <w:rPr>
                <w:rFonts w:cs="Arial"/>
              </w:rPr>
              <w:t>7,843.83</w:t>
            </w:r>
          </w:p>
        </w:tc>
        <w:tc>
          <w:tcPr>
            <w:tcW w:w="708" w:type="pct"/>
            <w:tcBorders>
              <w:top w:val="nil"/>
              <w:left w:val="nil"/>
              <w:bottom w:val="single" w:sz="4" w:space="0" w:color="auto"/>
              <w:right w:val="single" w:sz="4" w:space="0" w:color="auto"/>
            </w:tcBorders>
            <w:shd w:val="clear" w:color="auto" w:fill="auto"/>
            <w:vAlign w:val="center"/>
          </w:tcPr>
          <w:p w14:paraId="4A6A9A9D" w14:textId="77777777" w:rsidR="00E35519" w:rsidRPr="004554E4" w:rsidRDefault="00E35519" w:rsidP="00E35519">
            <w:pPr>
              <w:pStyle w:val="Tabletext"/>
              <w:rPr>
                <w:rFonts w:cs="Arial"/>
              </w:rPr>
            </w:pPr>
            <w:r w:rsidRPr="004554E4">
              <w:rPr>
                <w:rFonts w:cs="Arial"/>
              </w:rPr>
              <w:t>5,372.95</w:t>
            </w:r>
          </w:p>
        </w:tc>
        <w:tc>
          <w:tcPr>
            <w:tcW w:w="684" w:type="pct"/>
            <w:tcBorders>
              <w:top w:val="nil"/>
              <w:left w:val="nil"/>
              <w:bottom w:val="single" w:sz="4" w:space="0" w:color="auto"/>
              <w:right w:val="single" w:sz="4" w:space="0" w:color="auto"/>
            </w:tcBorders>
            <w:shd w:val="clear" w:color="auto" w:fill="auto"/>
            <w:vAlign w:val="center"/>
          </w:tcPr>
          <w:p w14:paraId="4A6A9A9E" w14:textId="77777777" w:rsidR="00E35519" w:rsidRPr="004554E4" w:rsidRDefault="00E35519" w:rsidP="00E35519">
            <w:pPr>
              <w:pStyle w:val="Tabletext"/>
              <w:rPr>
                <w:rFonts w:cs="Arial"/>
              </w:rPr>
            </w:pPr>
            <w:r w:rsidRPr="004554E4">
              <w:rPr>
                <w:rFonts w:cs="Arial"/>
              </w:rPr>
              <w:t>2,470.88</w:t>
            </w:r>
          </w:p>
        </w:tc>
        <w:tc>
          <w:tcPr>
            <w:tcW w:w="615" w:type="pct"/>
            <w:tcBorders>
              <w:top w:val="nil"/>
              <w:left w:val="nil"/>
              <w:bottom w:val="single" w:sz="4" w:space="0" w:color="auto"/>
              <w:right w:val="single" w:sz="4" w:space="0" w:color="auto"/>
            </w:tcBorders>
            <w:shd w:val="clear" w:color="auto" w:fill="auto"/>
            <w:vAlign w:val="center"/>
          </w:tcPr>
          <w:p w14:paraId="4A6A9A9F" w14:textId="77777777" w:rsidR="00E35519" w:rsidRPr="004554E4" w:rsidRDefault="00E35519" w:rsidP="00E35519">
            <w:pPr>
              <w:pStyle w:val="Tabletext"/>
              <w:rPr>
                <w:rFonts w:cs="Arial"/>
              </w:rPr>
            </w:pPr>
            <w:r w:rsidRPr="004554E4">
              <w:rPr>
                <w:rFonts w:cs="Arial"/>
              </w:rPr>
              <w:t>19,472.05</w:t>
            </w:r>
          </w:p>
        </w:tc>
        <w:tc>
          <w:tcPr>
            <w:tcW w:w="640" w:type="pct"/>
            <w:tcBorders>
              <w:top w:val="nil"/>
              <w:left w:val="nil"/>
              <w:bottom w:val="single" w:sz="4" w:space="0" w:color="auto"/>
              <w:right w:val="single" w:sz="4" w:space="0" w:color="auto"/>
            </w:tcBorders>
            <w:shd w:val="clear" w:color="auto" w:fill="auto"/>
            <w:vAlign w:val="center"/>
          </w:tcPr>
          <w:p w14:paraId="4A6A9AA0" w14:textId="77777777" w:rsidR="00E35519" w:rsidRPr="004554E4" w:rsidRDefault="00E35519" w:rsidP="00E35519">
            <w:pPr>
              <w:pStyle w:val="Tabletext"/>
              <w:rPr>
                <w:rFonts w:cs="Arial"/>
              </w:rPr>
            </w:pPr>
            <w:r w:rsidRPr="004554E4">
              <w:rPr>
                <w:rFonts w:cs="Arial"/>
              </w:rPr>
              <w:t>-11,628.22</w:t>
            </w:r>
          </w:p>
        </w:tc>
      </w:tr>
      <w:tr w:rsidR="00E35519" w:rsidRPr="001C1D01" w14:paraId="4A6A9AA8" w14:textId="77777777" w:rsidTr="00E35519">
        <w:trPr>
          <w:trHeight w:val="255"/>
        </w:trPr>
        <w:tc>
          <w:tcPr>
            <w:tcW w:w="1567" w:type="pct"/>
            <w:tcBorders>
              <w:top w:val="nil"/>
              <w:left w:val="single" w:sz="4" w:space="0" w:color="auto"/>
              <w:bottom w:val="single" w:sz="4" w:space="0" w:color="auto"/>
              <w:right w:val="single" w:sz="4" w:space="0" w:color="auto"/>
            </w:tcBorders>
            <w:shd w:val="clear" w:color="000000" w:fill="D9D9D9"/>
            <w:hideMark/>
          </w:tcPr>
          <w:p w14:paraId="4A6A9AA2" w14:textId="77777777" w:rsidR="00E35519" w:rsidRPr="001C1D01" w:rsidRDefault="00E35519" w:rsidP="00E35519">
            <w:pPr>
              <w:pStyle w:val="Tabletext"/>
              <w:rPr>
                <w:rFonts w:eastAsia="Batang" w:cs="Arial"/>
                <w:lang w:val="en-GB" w:eastAsia="ja-JP"/>
              </w:rPr>
            </w:pPr>
            <w:r w:rsidRPr="001C1D01">
              <w:rPr>
                <w:rFonts w:eastAsia="Batang" w:cs="Arial"/>
                <w:lang w:val="en-GB" w:eastAsia="ja-JP"/>
              </w:rPr>
              <w:t> </w:t>
            </w:r>
          </w:p>
        </w:tc>
        <w:tc>
          <w:tcPr>
            <w:tcW w:w="786" w:type="pct"/>
            <w:tcBorders>
              <w:top w:val="single" w:sz="4" w:space="0" w:color="auto"/>
              <w:left w:val="nil"/>
              <w:bottom w:val="single" w:sz="4" w:space="0" w:color="auto"/>
            </w:tcBorders>
            <w:shd w:val="clear" w:color="000000" w:fill="D9D9D9"/>
            <w:hideMark/>
          </w:tcPr>
          <w:p w14:paraId="4A6A9AA3" w14:textId="77777777" w:rsidR="00E35519" w:rsidRPr="001C1D01" w:rsidRDefault="00E35519" w:rsidP="00E35519">
            <w:pPr>
              <w:pStyle w:val="Tabletext"/>
              <w:jc w:val="right"/>
              <w:rPr>
                <w:rFonts w:eastAsia="Batang" w:cs="Arial"/>
                <w:lang w:val="en-GB" w:eastAsia="ja-JP"/>
              </w:rPr>
            </w:pPr>
            <w:r w:rsidRPr="001C1D01">
              <w:rPr>
                <w:rFonts w:eastAsia="Batang" w:cs="Arial"/>
                <w:lang w:val="en-GB" w:eastAsia="ja-JP"/>
              </w:rPr>
              <w:t xml:space="preserve">Population 1 and </w:t>
            </w:r>
          </w:p>
        </w:tc>
        <w:tc>
          <w:tcPr>
            <w:tcW w:w="708" w:type="pct"/>
            <w:tcBorders>
              <w:top w:val="single" w:sz="4" w:space="0" w:color="auto"/>
              <w:bottom w:val="single" w:sz="4" w:space="0" w:color="auto"/>
            </w:tcBorders>
            <w:shd w:val="clear" w:color="000000" w:fill="D9D9D9"/>
          </w:tcPr>
          <w:p w14:paraId="4A6A9AA4" w14:textId="77777777" w:rsidR="00E35519" w:rsidRPr="001C1D01" w:rsidRDefault="00E35519" w:rsidP="00E35519">
            <w:pPr>
              <w:pStyle w:val="Tabletext"/>
              <w:ind w:left="-96"/>
              <w:rPr>
                <w:rFonts w:eastAsia="Batang" w:cs="Arial"/>
                <w:lang w:val="en-GB" w:eastAsia="ja-JP"/>
              </w:rPr>
            </w:pPr>
            <w:r w:rsidRPr="001C1D01">
              <w:rPr>
                <w:rFonts w:eastAsia="Batang" w:cs="Arial"/>
                <w:lang w:val="en-GB" w:eastAsia="ja-JP"/>
              </w:rPr>
              <w:t>2, &lt;3</w:t>
            </w:r>
            <w:r>
              <w:rPr>
                <w:rFonts w:eastAsia="Batang" w:cs="Arial"/>
                <w:lang w:val="en-GB" w:eastAsia="ja-JP"/>
              </w:rPr>
              <w:t>–</w:t>
            </w:r>
            <w:r w:rsidRPr="001C1D01">
              <w:rPr>
                <w:rFonts w:eastAsia="Batang" w:cs="Arial"/>
                <w:lang w:val="en-GB" w:eastAsia="ja-JP"/>
              </w:rPr>
              <w:t>5 lesions</w:t>
            </w:r>
          </w:p>
        </w:tc>
        <w:tc>
          <w:tcPr>
            <w:tcW w:w="684" w:type="pct"/>
            <w:tcBorders>
              <w:top w:val="single" w:sz="4" w:space="0" w:color="auto"/>
              <w:bottom w:val="single" w:sz="4" w:space="0" w:color="auto"/>
              <w:right w:val="single" w:sz="4" w:space="0" w:color="auto"/>
            </w:tcBorders>
            <w:shd w:val="clear" w:color="000000" w:fill="D9D9D9"/>
          </w:tcPr>
          <w:p w14:paraId="4A6A9AA5" w14:textId="77777777" w:rsidR="00E35519" w:rsidRPr="001C1D01" w:rsidRDefault="00E35519" w:rsidP="00E35519">
            <w:pPr>
              <w:pStyle w:val="Tabletext"/>
              <w:rPr>
                <w:rFonts w:eastAsia="Batang" w:cs="Arial"/>
                <w:lang w:val="en-GB" w:eastAsia="ja-JP"/>
              </w:rPr>
            </w:pPr>
          </w:p>
        </w:tc>
        <w:tc>
          <w:tcPr>
            <w:tcW w:w="615" w:type="pct"/>
            <w:tcBorders>
              <w:top w:val="single" w:sz="4" w:space="0" w:color="auto"/>
              <w:left w:val="nil"/>
              <w:bottom w:val="single" w:sz="4" w:space="0" w:color="auto"/>
            </w:tcBorders>
            <w:shd w:val="clear" w:color="000000" w:fill="D9D9D9"/>
            <w:hideMark/>
          </w:tcPr>
          <w:p w14:paraId="4A6A9AA6" w14:textId="77777777" w:rsidR="00E35519" w:rsidRPr="00FC06D9" w:rsidRDefault="00E35519" w:rsidP="00E35519">
            <w:pPr>
              <w:pStyle w:val="Tabletext"/>
              <w:jc w:val="right"/>
              <w:rPr>
                <w:rFonts w:eastAsia="Batang" w:cs="Arial"/>
                <w:lang w:val="en-GB" w:eastAsia="ja-JP"/>
              </w:rPr>
            </w:pPr>
            <w:r w:rsidRPr="00FC06D9">
              <w:rPr>
                <w:rFonts w:eastAsia="Batang" w:cs="Arial"/>
                <w:lang w:val="en-GB" w:eastAsia="ja-JP"/>
              </w:rPr>
              <w:t xml:space="preserve">Population 2 </w:t>
            </w:r>
          </w:p>
        </w:tc>
        <w:tc>
          <w:tcPr>
            <w:tcW w:w="640" w:type="pct"/>
            <w:tcBorders>
              <w:top w:val="single" w:sz="4" w:space="0" w:color="auto"/>
              <w:bottom w:val="single" w:sz="4" w:space="0" w:color="auto"/>
              <w:right w:val="single" w:sz="4" w:space="0" w:color="auto"/>
            </w:tcBorders>
            <w:shd w:val="clear" w:color="000000" w:fill="D9D9D9"/>
          </w:tcPr>
          <w:p w14:paraId="4A6A9AA7" w14:textId="77777777" w:rsidR="00E35519" w:rsidRPr="00FC06D9" w:rsidRDefault="00E35519" w:rsidP="00E35519">
            <w:pPr>
              <w:pStyle w:val="Tabletext"/>
              <w:ind w:left="-121"/>
              <w:rPr>
                <w:rFonts w:eastAsia="Batang" w:cs="Arial"/>
                <w:lang w:val="en-GB" w:eastAsia="ja-JP"/>
              </w:rPr>
            </w:pPr>
            <w:r>
              <w:rPr>
                <w:rFonts w:eastAsia="Batang" w:cs="Arial"/>
                <w:lang w:val="en-GB" w:eastAsia="ja-JP"/>
              </w:rPr>
              <w:t xml:space="preserve">, </w:t>
            </w:r>
            <w:r w:rsidRPr="00FC06D9">
              <w:rPr>
                <w:rFonts w:eastAsia="Batang" w:cs="Arial"/>
                <w:lang w:val="en-GB" w:eastAsia="ja-JP"/>
              </w:rPr>
              <w:t>&lt;3</w:t>
            </w:r>
            <w:r>
              <w:rPr>
                <w:rFonts w:eastAsia="Batang" w:cs="Arial"/>
                <w:lang w:val="en-GB" w:eastAsia="ja-JP"/>
              </w:rPr>
              <w:t>–</w:t>
            </w:r>
            <w:r w:rsidRPr="00FC06D9">
              <w:rPr>
                <w:rFonts w:eastAsia="Batang" w:cs="Arial"/>
                <w:lang w:val="en-GB" w:eastAsia="ja-JP"/>
              </w:rPr>
              <w:t>5 lesions</w:t>
            </w:r>
          </w:p>
        </w:tc>
      </w:tr>
      <w:tr w:rsidR="00E35519" w:rsidRPr="001C1D01" w14:paraId="4A6A9AAF" w14:textId="77777777" w:rsidTr="00E35519">
        <w:trPr>
          <w:trHeight w:val="255"/>
        </w:trPr>
        <w:tc>
          <w:tcPr>
            <w:tcW w:w="1567" w:type="pct"/>
            <w:tcBorders>
              <w:top w:val="nil"/>
              <w:left w:val="single" w:sz="4" w:space="0" w:color="auto"/>
              <w:bottom w:val="single" w:sz="4" w:space="0" w:color="auto"/>
              <w:right w:val="single" w:sz="4" w:space="0" w:color="auto"/>
            </w:tcBorders>
            <w:shd w:val="clear" w:color="auto" w:fill="auto"/>
            <w:hideMark/>
          </w:tcPr>
          <w:p w14:paraId="4A6A9AA9" w14:textId="77777777" w:rsidR="00E35519" w:rsidRPr="001C1D01" w:rsidRDefault="00E35519" w:rsidP="00E35519">
            <w:pPr>
              <w:pStyle w:val="Tabletext"/>
              <w:rPr>
                <w:rFonts w:eastAsia="Batang" w:cs="Arial"/>
                <w:lang w:val="en-GB" w:eastAsia="ja-JP"/>
              </w:rPr>
            </w:pPr>
            <w:r w:rsidRPr="001C1D01">
              <w:rPr>
                <w:rFonts w:eastAsia="Batang" w:cs="Arial"/>
                <w:lang w:val="en-GB" w:eastAsia="ja-JP"/>
              </w:rPr>
              <w:t>Specialist services – screening prior to intervention</w:t>
            </w:r>
          </w:p>
        </w:tc>
        <w:tc>
          <w:tcPr>
            <w:tcW w:w="786" w:type="pct"/>
            <w:tcBorders>
              <w:top w:val="nil"/>
              <w:left w:val="nil"/>
              <w:bottom w:val="single" w:sz="4" w:space="0" w:color="auto"/>
              <w:right w:val="single" w:sz="4" w:space="0" w:color="auto"/>
            </w:tcBorders>
            <w:shd w:val="clear" w:color="auto" w:fill="auto"/>
            <w:vAlign w:val="center"/>
          </w:tcPr>
          <w:p w14:paraId="4A6A9AAA" w14:textId="77777777" w:rsidR="00E35519" w:rsidRPr="004554E4" w:rsidRDefault="00E35519" w:rsidP="00E35519">
            <w:pPr>
              <w:pStyle w:val="Tabletext"/>
              <w:rPr>
                <w:rFonts w:cs="Arial"/>
              </w:rPr>
            </w:pPr>
            <w:r w:rsidRPr="004554E4">
              <w:rPr>
                <w:rFonts w:cs="Arial"/>
              </w:rPr>
              <w:t>1,557.55</w:t>
            </w:r>
          </w:p>
        </w:tc>
        <w:tc>
          <w:tcPr>
            <w:tcW w:w="708" w:type="pct"/>
            <w:tcBorders>
              <w:top w:val="nil"/>
              <w:left w:val="nil"/>
              <w:bottom w:val="single" w:sz="4" w:space="0" w:color="auto"/>
              <w:right w:val="single" w:sz="4" w:space="0" w:color="auto"/>
            </w:tcBorders>
            <w:shd w:val="clear" w:color="auto" w:fill="auto"/>
            <w:vAlign w:val="center"/>
          </w:tcPr>
          <w:p w14:paraId="4A6A9AAB" w14:textId="77777777" w:rsidR="00E35519" w:rsidRPr="004554E4" w:rsidRDefault="00E35519" w:rsidP="00E35519">
            <w:pPr>
              <w:pStyle w:val="Tabletext"/>
              <w:rPr>
                <w:rFonts w:cs="Arial"/>
              </w:rPr>
            </w:pPr>
            <w:r w:rsidRPr="004554E4">
              <w:rPr>
                <w:rFonts w:cs="Arial"/>
              </w:rPr>
              <w:t>1,557.55</w:t>
            </w:r>
          </w:p>
        </w:tc>
        <w:tc>
          <w:tcPr>
            <w:tcW w:w="684" w:type="pct"/>
            <w:tcBorders>
              <w:top w:val="nil"/>
              <w:left w:val="nil"/>
              <w:bottom w:val="single" w:sz="4" w:space="0" w:color="auto"/>
              <w:right w:val="single" w:sz="4" w:space="0" w:color="auto"/>
            </w:tcBorders>
            <w:shd w:val="clear" w:color="auto" w:fill="auto"/>
            <w:vAlign w:val="center"/>
          </w:tcPr>
          <w:p w14:paraId="4A6A9AAC" w14:textId="77777777" w:rsidR="00E35519" w:rsidRPr="004554E4" w:rsidRDefault="00E35519" w:rsidP="00E35519">
            <w:pPr>
              <w:pStyle w:val="Tabletext"/>
              <w:rPr>
                <w:rFonts w:cs="Arial"/>
              </w:rPr>
            </w:pPr>
            <w:r w:rsidRPr="004554E4">
              <w:rPr>
                <w:rFonts w:cs="Arial"/>
              </w:rPr>
              <w:t>0.00</w:t>
            </w:r>
          </w:p>
        </w:tc>
        <w:tc>
          <w:tcPr>
            <w:tcW w:w="615" w:type="pct"/>
            <w:tcBorders>
              <w:top w:val="nil"/>
              <w:left w:val="nil"/>
              <w:bottom w:val="single" w:sz="4" w:space="0" w:color="auto"/>
              <w:right w:val="single" w:sz="4" w:space="0" w:color="auto"/>
            </w:tcBorders>
            <w:shd w:val="clear" w:color="auto" w:fill="auto"/>
            <w:vAlign w:val="center"/>
          </w:tcPr>
          <w:p w14:paraId="4A6A9AAD" w14:textId="77777777" w:rsidR="00E35519" w:rsidRPr="004554E4" w:rsidRDefault="00E35519" w:rsidP="00E35519">
            <w:pPr>
              <w:pStyle w:val="Tabletext"/>
              <w:rPr>
                <w:rFonts w:cs="Arial"/>
              </w:rPr>
            </w:pPr>
            <w:r w:rsidRPr="004554E4">
              <w:rPr>
                <w:rFonts w:cs="Arial"/>
              </w:rPr>
              <w:t>1,557.55</w:t>
            </w:r>
          </w:p>
        </w:tc>
        <w:tc>
          <w:tcPr>
            <w:tcW w:w="640" w:type="pct"/>
            <w:tcBorders>
              <w:top w:val="nil"/>
              <w:left w:val="nil"/>
              <w:bottom w:val="single" w:sz="4" w:space="0" w:color="auto"/>
              <w:right w:val="single" w:sz="4" w:space="0" w:color="auto"/>
            </w:tcBorders>
            <w:shd w:val="clear" w:color="auto" w:fill="auto"/>
            <w:vAlign w:val="center"/>
          </w:tcPr>
          <w:p w14:paraId="4A6A9AAE" w14:textId="77777777" w:rsidR="00E35519" w:rsidRPr="004554E4" w:rsidRDefault="00E35519" w:rsidP="00E35519">
            <w:pPr>
              <w:pStyle w:val="Tabletext"/>
              <w:rPr>
                <w:rFonts w:cs="Arial"/>
              </w:rPr>
            </w:pPr>
            <w:r w:rsidRPr="004554E4">
              <w:rPr>
                <w:rFonts w:cs="Arial"/>
              </w:rPr>
              <w:t>0.00</w:t>
            </w:r>
          </w:p>
        </w:tc>
      </w:tr>
      <w:tr w:rsidR="00E35519" w:rsidRPr="001C1D01" w14:paraId="4A6A9AB6" w14:textId="77777777" w:rsidTr="00E35519">
        <w:trPr>
          <w:trHeight w:val="255"/>
        </w:trPr>
        <w:tc>
          <w:tcPr>
            <w:tcW w:w="1567" w:type="pct"/>
            <w:tcBorders>
              <w:top w:val="nil"/>
              <w:left w:val="single" w:sz="4" w:space="0" w:color="auto"/>
              <w:bottom w:val="single" w:sz="4" w:space="0" w:color="auto"/>
              <w:right w:val="single" w:sz="4" w:space="0" w:color="auto"/>
            </w:tcBorders>
            <w:shd w:val="clear" w:color="auto" w:fill="auto"/>
            <w:hideMark/>
          </w:tcPr>
          <w:p w14:paraId="4A6A9AB0" w14:textId="77777777" w:rsidR="00E35519" w:rsidRPr="001C1D01" w:rsidRDefault="00E35519" w:rsidP="00E35519">
            <w:pPr>
              <w:pStyle w:val="Tabletext"/>
              <w:rPr>
                <w:rFonts w:eastAsia="Batang" w:cs="Arial"/>
                <w:lang w:val="en-GB" w:eastAsia="ja-JP"/>
              </w:rPr>
            </w:pPr>
            <w:r w:rsidRPr="001C1D01">
              <w:rPr>
                <w:rFonts w:eastAsia="Batang" w:cs="Arial"/>
                <w:lang w:val="en-GB" w:eastAsia="ja-JP"/>
              </w:rPr>
              <w:t>Specialist services – intervention (MBS supported)</w:t>
            </w:r>
          </w:p>
        </w:tc>
        <w:tc>
          <w:tcPr>
            <w:tcW w:w="786" w:type="pct"/>
            <w:tcBorders>
              <w:top w:val="nil"/>
              <w:left w:val="nil"/>
              <w:bottom w:val="single" w:sz="4" w:space="0" w:color="auto"/>
              <w:right w:val="single" w:sz="4" w:space="0" w:color="auto"/>
            </w:tcBorders>
            <w:shd w:val="clear" w:color="auto" w:fill="auto"/>
            <w:vAlign w:val="center"/>
          </w:tcPr>
          <w:p w14:paraId="4A6A9AB1" w14:textId="77777777" w:rsidR="00E35519" w:rsidRPr="004554E4" w:rsidRDefault="00E35519" w:rsidP="00E35519">
            <w:pPr>
              <w:pStyle w:val="Tabletext"/>
              <w:rPr>
                <w:rFonts w:cs="Arial"/>
              </w:rPr>
            </w:pPr>
            <w:r w:rsidRPr="004554E4">
              <w:rPr>
                <w:rFonts w:cs="Arial"/>
              </w:rPr>
              <w:t>2,166.68</w:t>
            </w:r>
          </w:p>
        </w:tc>
        <w:tc>
          <w:tcPr>
            <w:tcW w:w="708" w:type="pct"/>
            <w:tcBorders>
              <w:top w:val="nil"/>
              <w:left w:val="nil"/>
              <w:bottom w:val="single" w:sz="4" w:space="0" w:color="auto"/>
              <w:right w:val="single" w:sz="4" w:space="0" w:color="auto"/>
            </w:tcBorders>
            <w:shd w:val="clear" w:color="auto" w:fill="auto"/>
            <w:vAlign w:val="center"/>
          </w:tcPr>
          <w:p w14:paraId="4A6A9AB2" w14:textId="77777777" w:rsidR="00E35519" w:rsidRPr="004554E4" w:rsidRDefault="00E35519" w:rsidP="00E35519">
            <w:pPr>
              <w:pStyle w:val="Tabletext"/>
              <w:rPr>
                <w:rFonts w:cs="Arial"/>
              </w:rPr>
            </w:pPr>
            <w:r w:rsidRPr="004554E4">
              <w:rPr>
                <w:rFonts w:cs="Arial"/>
              </w:rPr>
              <w:t>3,494.90</w:t>
            </w:r>
          </w:p>
        </w:tc>
        <w:tc>
          <w:tcPr>
            <w:tcW w:w="684" w:type="pct"/>
            <w:tcBorders>
              <w:top w:val="nil"/>
              <w:left w:val="nil"/>
              <w:bottom w:val="single" w:sz="4" w:space="0" w:color="auto"/>
              <w:right w:val="single" w:sz="4" w:space="0" w:color="auto"/>
            </w:tcBorders>
            <w:shd w:val="clear" w:color="auto" w:fill="auto"/>
            <w:vAlign w:val="center"/>
          </w:tcPr>
          <w:p w14:paraId="4A6A9AB3" w14:textId="77777777" w:rsidR="00E35519" w:rsidRPr="004554E4" w:rsidRDefault="00E35519" w:rsidP="00E35519">
            <w:pPr>
              <w:pStyle w:val="Tabletext"/>
              <w:rPr>
                <w:rFonts w:cs="Arial"/>
              </w:rPr>
            </w:pPr>
            <w:r w:rsidRPr="004554E4">
              <w:rPr>
                <w:rFonts w:cs="Arial"/>
              </w:rPr>
              <w:t>-1,328.22</w:t>
            </w:r>
          </w:p>
        </w:tc>
        <w:tc>
          <w:tcPr>
            <w:tcW w:w="615" w:type="pct"/>
            <w:tcBorders>
              <w:top w:val="nil"/>
              <w:left w:val="nil"/>
              <w:bottom w:val="single" w:sz="4" w:space="0" w:color="auto"/>
              <w:right w:val="single" w:sz="4" w:space="0" w:color="auto"/>
            </w:tcBorders>
            <w:shd w:val="clear" w:color="auto" w:fill="auto"/>
            <w:vAlign w:val="center"/>
          </w:tcPr>
          <w:p w14:paraId="4A6A9AB4" w14:textId="77777777" w:rsidR="00E35519" w:rsidRPr="004554E4" w:rsidRDefault="00E35519" w:rsidP="00E35519">
            <w:pPr>
              <w:pStyle w:val="Tabletext"/>
              <w:rPr>
                <w:rFonts w:cs="Arial"/>
              </w:rPr>
            </w:pPr>
            <w:r w:rsidRPr="004554E4">
              <w:rPr>
                <w:rFonts w:cs="Arial"/>
              </w:rPr>
              <w:t>2,814.33</w:t>
            </w:r>
          </w:p>
        </w:tc>
        <w:tc>
          <w:tcPr>
            <w:tcW w:w="640" w:type="pct"/>
            <w:tcBorders>
              <w:top w:val="nil"/>
              <w:left w:val="nil"/>
              <w:bottom w:val="single" w:sz="4" w:space="0" w:color="auto"/>
              <w:right w:val="single" w:sz="4" w:space="0" w:color="auto"/>
            </w:tcBorders>
            <w:shd w:val="clear" w:color="auto" w:fill="auto"/>
            <w:vAlign w:val="center"/>
          </w:tcPr>
          <w:p w14:paraId="4A6A9AB5" w14:textId="77777777" w:rsidR="00E35519" w:rsidRPr="004554E4" w:rsidRDefault="00E35519" w:rsidP="00E35519">
            <w:pPr>
              <w:pStyle w:val="Tabletext"/>
              <w:rPr>
                <w:rFonts w:cs="Arial"/>
              </w:rPr>
            </w:pPr>
            <w:r w:rsidRPr="004554E4">
              <w:rPr>
                <w:rFonts w:cs="Arial"/>
              </w:rPr>
              <w:t>-647.65</w:t>
            </w:r>
          </w:p>
        </w:tc>
      </w:tr>
      <w:tr w:rsidR="00E35519" w:rsidRPr="001C1D01" w14:paraId="4A6A9ABD" w14:textId="77777777" w:rsidTr="00E35519">
        <w:trPr>
          <w:trHeight w:val="255"/>
        </w:trPr>
        <w:tc>
          <w:tcPr>
            <w:tcW w:w="1567" w:type="pct"/>
            <w:tcBorders>
              <w:top w:val="nil"/>
              <w:left w:val="single" w:sz="4" w:space="0" w:color="auto"/>
              <w:bottom w:val="single" w:sz="4" w:space="0" w:color="auto"/>
              <w:right w:val="single" w:sz="4" w:space="0" w:color="auto"/>
            </w:tcBorders>
            <w:shd w:val="clear" w:color="auto" w:fill="auto"/>
            <w:hideMark/>
          </w:tcPr>
          <w:p w14:paraId="4A6A9AB7" w14:textId="77777777" w:rsidR="00E35519" w:rsidRPr="001C1D01" w:rsidRDefault="00E35519" w:rsidP="00E35519">
            <w:pPr>
              <w:pStyle w:val="Tabletext"/>
              <w:rPr>
                <w:rFonts w:eastAsia="Batang" w:cs="Arial"/>
                <w:lang w:val="en-GB" w:eastAsia="ja-JP"/>
              </w:rPr>
            </w:pPr>
            <w:r w:rsidRPr="001C1D01">
              <w:rPr>
                <w:rFonts w:eastAsia="Batang" w:cs="Arial"/>
                <w:lang w:val="en-GB" w:eastAsia="ja-JP"/>
              </w:rPr>
              <w:t>Specialist services – intervention (Hospital)</w:t>
            </w:r>
          </w:p>
        </w:tc>
        <w:tc>
          <w:tcPr>
            <w:tcW w:w="786" w:type="pct"/>
            <w:tcBorders>
              <w:top w:val="nil"/>
              <w:left w:val="nil"/>
              <w:bottom w:val="single" w:sz="4" w:space="0" w:color="auto"/>
              <w:right w:val="single" w:sz="4" w:space="0" w:color="auto"/>
            </w:tcBorders>
            <w:shd w:val="clear" w:color="auto" w:fill="auto"/>
            <w:vAlign w:val="center"/>
          </w:tcPr>
          <w:p w14:paraId="4A6A9AB8" w14:textId="77777777" w:rsidR="00E35519" w:rsidRPr="004554E4" w:rsidRDefault="00E35519" w:rsidP="00E35519">
            <w:pPr>
              <w:pStyle w:val="Tabletext"/>
              <w:rPr>
                <w:rFonts w:cs="Arial"/>
              </w:rPr>
            </w:pPr>
            <w:r w:rsidRPr="004554E4">
              <w:rPr>
                <w:rFonts w:cs="Arial"/>
              </w:rPr>
              <w:t>932.10</w:t>
            </w:r>
          </w:p>
        </w:tc>
        <w:tc>
          <w:tcPr>
            <w:tcW w:w="708" w:type="pct"/>
            <w:tcBorders>
              <w:top w:val="nil"/>
              <w:left w:val="nil"/>
              <w:bottom w:val="single" w:sz="4" w:space="0" w:color="auto"/>
              <w:right w:val="single" w:sz="4" w:space="0" w:color="auto"/>
            </w:tcBorders>
            <w:shd w:val="clear" w:color="auto" w:fill="auto"/>
            <w:vAlign w:val="center"/>
          </w:tcPr>
          <w:p w14:paraId="4A6A9AB9" w14:textId="77777777" w:rsidR="00E35519" w:rsidRPr="004554E4" w:rsidRDefault="00E35519" w:rsidP="00E35519">
            <w:pPr>
              <w:pStyle w:val="Tabletext"/>
              <w:rPr>
                <w:rFonts w:cs="Arial"/>
              </w:rPr>
            </w:pPr>
            <w:r w:rsidRPr="004554E4">
              <w:rPr>
                <w:rFonts w:cs="Arial"/>
              </w:rPr>
              <w:t>0.00</w:t>
            </w:r>
          </w:p>
        </w:tc>
        <w:tc>
          <w:tcPr>
            <w:tcW w:w="684" w:type="pct"/>
            <w:tcBorders>
              <w:top w:val="nil"/>
              <w:left w:val="nil"/>
              <w:bottom w:val="single" w:sz="4" w:space="0" w:color="auto"/>
              <w:right w:val="single" w:sz="4" w:space="0" w:color="auto"/>
            </w:tcBorders>
            <w:shd w:val="clear" w:color="auto" w:fill="auto"/>
            <w:vAlign w:val="center"/>
          </w:tcPr>
          <w:p w14:paraId="4A6A9ABA" w14:textId="77777777" w:rsidR="00E35519" w:rsidRPr="004554E4" w:rsidRDefault="00E35519" w:rsidP="00E35519">
            <w:pPr>
              <w:pStyle w:val="Tabletext"/>
              <w:rPr>
                <w:rFonts w:cs="Arial"/>
              </w:rPr>
            </w:pPr>
            <w:r w:rsidRPr="004554E4">
              <w:rPr>
                <w:rFonts w:cs="Arial"/>
              </w:rPr>
              <w:t>932.10</w:t>
            </w:r>
          </w:p>
        </w:tc>
        <w:tc>
          <w:tcPr>
            <w:tcW w:w="615" w:type="pct"/>
            <w:tcBorders>
              <w:top w:val="nil"/>
              <w:left w:val="nil"/>
              <w:bottom w:val="single" w:sz="4" w:space="0" w:color="auto"/>
              <w:right w:val="single" w:sz="4" w:space="0" w:color="auto"/>
            </w:tcBorders>
            <w:shd w:val="clear" w:color="auto" w:fill="auto"/>
            <w:vAlign w:val="center"/>
          </w:tcPr>
          <w:p w14:paraId="4A6A9ABB" w14:textId="77777777" w:rsidR="00E35519" w:rsidRPr="004554E4" w:rsidRDefault="00E35519" w:rsidP="00E35519">
            <w:pPr>
              <w:pStyle w:val="Tabletext"/>
              <w:rPr>
                <w:rFonts w:cs="Arial"/>
              </w:rPr>
            </w:pPr>
            <w:r w:rsidRPr="004554E4">
              <w:rPr>
                <w:rFonts w:cs="Arial"/>
              </w:rPr>
              <w:t>14,822.67</w:t>
            </w:r>
          </w:p>
        </w:tc>
        <w:tc>
          <w:tcPr>
            <w:tcW w:w="640" w:type="pct"/>
            <w:tcBorders>
              <w:top w:val="nil"/>
              <w:left w:val="nil"/>
              <w:bottom w:val="single" w:sz="4" w:space="0" w:color="auto"/>
              <w:right w:val="single" w:sz="4" w:space="0" w:color="auto"/>
            </w:tcBorders>
            <w:shd w:val="clear" w:color="auto" w:fill="auto"/>
            <w:vAlign w:val="center"/>
          </w:tcPr>
          <w:p w14:paraId="4A6A9ABC" w14:textId="77777777" w:rsidR="00E35519" w:rsidRPr="004554E4" w:rsidRDefault="00E35519" w:rsidP="00E35519">
            <w:pPr>
              <w:pStyle w:val="Tabletext"/>
              <w:rPr>
                <w:rFonts w:cs="Arial"/>
              </w:rPr>
            </w:pPr>
            <w:r w:rsidRPr="004554E4">
              <w:rPr>
                <w:rFonts w:cs="Arial"/>
              </w:rPr>
              <w:t>-13,890.57</w:t>
            </w:r>
          </w:p>
        </w:tc>
      </w:tr>
      <w:tr w:rsidR="00E35519" w:rsidRPr="001C1D01" w14:paraId="4A6A9AC4" w14:textId="77777777" w:rsidTr="00E35519">
        <w:trPr>
          <w:trHeight w:val="255"/>
        </w:trPr>
        <w:tc>
          <w:tcPr>
            <w:tcW w:w="1567" w:type="pct"/>
            <w:tcBorders>
              <w:top w:val="nil"/>
              <w:left w:val="single" w:sz="4" w:space="0" w:color="auto"/>
              <w:bottom w:val="single" w:sz="4" w:space="0" w:color="auto"/>
              <w:right w:val="single" w:sz="4" w:space="0" w:color="auto"/>
            </w:tcBorders>
            <w:shd w:val="clear" w:color="auto" w:fill="auto"/>
            <w:hideMark/>
          </w:tcPr>
          <w:p w14:paraId="4A6A9ABE" w14:textId="77777777" w:rsidR="00E35519" w:rsidRPr="001C1D01" w:rsidRDefault="00E35519" w:rsidP="00E35519">
            <w:pPr>
              <w:pStyle w:val="Tabletext"/>
              <w:rPr>
                <w:rFonts w:eastAsia="Batang" w:cs="Arial"/>
                <w:lang w:val="en-GB" w:eastAsia="ja-JP"/>
              </w:rPr>
            </w:pPr>
            <w:r w:rsidRPr="001C1D01">
              <w:rPr>
                <w:rFonts w:eastAsia="Batang" w:cs="Arial"/>
                <w:lang w:val="en-GB" w:eastAsia="ja-JP"/>
              </w:rPr>
              <w:t>Specialist services – post intervention follow-up</w:t>
            </w:r>
          </w:p>
        </w:tc>
        <w:tc>
          <w:tcPr>
            <w:tcW w:w="786" w:type="pct"/>
            <w:tcBorders>
              <w:top w:val="nil"/>
              <w:left w:val="nil"/>
              <w:bottom w:val="single" w:sz="4" w:space="0" w:color="auto"/>
              <w:right w:val="single" w:sz="4" w:space="0" w:color="auto"/>
            </w:tcBorders>
            <w:shd w:val="clear" w:color="auto" w:fill="auto"/>
            <w:vAlign w:val="center"/>
          </w:tcPr>
          <w:p w14:paraId="4A6A9ABF" w14:textId="77777777" w:rsidR="00E35519" w:rsidRPr="004554E4" w:rsidRDefault="00E35519" w:rsidP="00E35519">
            <w:pPr>
              <w:pStyle w:val="Tabletext"/>
              <w:rPr>
                <w:rFonts w:cs="Arial"/>
              </w:rPr>
            </w:pPr>
            <w:r w:rsidRPr="004554E4">
              <w:rPr>
                <w:rFonts w:cs="Arial"/>
              </w:rPr>
              <w:t>277.50</w:t>
            </w:r>
          </w:p>
        </w:tc>
        <w:tc>
          <w:tcPr>
            <w:tcW w:w="708" w:type="pct"/>
            <w:tcBorders>
              <w:top w:val="nil"/>
              <w:left w:val="nil"/>
              <w:bottom w:val="single" w:sz="4" w:space="0" w:color="auto"/>
              <w:right w:val="single" w:sz="4" w:space="0" w:color="auto"/>
            </w:tcBorders>
            <w:shd w:val="clear" w:color="auto" w:fill="auto"/>
            <w:vAlign w:val="center"/>
          </w:tcPr>
          <w:p w14:paraId="4A6A9AC0" w14:textId="77777777" w:rsidR="00E35519" w:rsidRPr="004554E4" w:rsidRDefault="00E35519" w:rsidP="00E35519">
            <w:pPr>
              <w:pStyle w:val="Tabletext"/>
              <w:rPr>
                <w:rFonts w:cs="Arial"/>
              </w:rPr>
            </w:pPr>
            <w:r w:rsidRPr="004554E4">
              <w:rPr>
                <w:rFonts w:cs="Arial"/>
              </w:rPr>
              <w:t>353.00</w:t>
            </w:r>
          </w:p>
        </w:tc>
        <w:tc>
          <w:tcPr>
            <w:tcW w:w="684" w:type="pct"/>
            <w:tcBorders>
              <w:top w:val="nil"/>
              <w:left w:val="nil"/>
              <w:bottom w:val="single" w:sz="4" w:space="0" w:color="auto"/>
              <w:right w:val="single" w:sz="4" w:space="0" w:color="auto"/>
            </w:tcBorders>
            <w:shd w:val="clear" w:color="auto" w:fill="auto"/>
            <w:vAlign w:val="center"/>
          </w:tcPr>
          <w:p w14:paraId="4A6A9AC1" w14:textId="77777777" w:rsidR="00E35519" w:rsidRPr="004554E4" w:rsidRDefault="00E35519" w:rsidP="00E35519">
            <w:pPr>
              <w:pStyle w:val="Tabletext"/>
              <w:rPr>
                <w:rFonts w:cs="Arial"/>
              </w:rPr>
            </w:pPr>
            <w:r w:rsidRPr="004554E4">
              <w:rPr>
                <w:rFonts w:cs="Arial"/>
              </w:rPr>
              <w:t>-75.50</w:t>
            </w:r>
          </w:p>
        </w:tc>
        <w:tc>
          <w:tcPr>
            <w:tcW w:w="615" w:type="pct"/>
            <w:tcBorders>
              <w:top w:val="nil"/>
              <w:left w:val="nil"/>
              <w:bottom w:val="single" w:sz="4" w:space="0" w:color="auto"/>
              <w:right w:val="single" w:sz="4" w:space="0" w:color="auto"/>
            </w:tcBorders>
            <w:shd w:val="clear" w:color="auto" w:fill="auto"/>
            <w:vAlign w:val="center"/>
          </w:tcPr>
          <w:p w14:paraId="4A6A9AC2" w14:textId="77777777" w:rsidR="00E35519" w:rsidRPr="004554E4" w:rsidRDefault="00E35519" w:rsidP="00E35519">
            <w:pPr>
              <w:pStyle w:val="Tabletext"/>
              <w:rPr>
                <w:rFonts w:cs="Arial"/>
              </w:rPr>
            </w:pPr>
            <w:r w:rsidRPr="004554E4">
              <w:rPr>
                <w:rFonts w:cs="Arial"/>
              </w:rPr>
              <w:t>277.50</w:t>
            </w:r>
          </w:p>
        </w:tc>
        <w:tc>
          <w:tcPr>
            <w:tcW w:w="640" w:type="pct"/>
            <w:tcBorders>
              <w:top w:val="nil"/>
              <w:left w:val="nil"/>
              <w:bottom w:val="single" w:sz="4" w:space="0" w:color="auto"/>
              <w:right w:val="single" w:sz="4" w:space="0" w:color="auto"/>
            </w:tcBorders>
            <w:shd w:val="clear" w:color="auto" w:fill="auto"/>
            <w:vAlign w:val="center"/>
          </w:tcPr>
          <w:p w14:paraId="4A6A9AC3" w14:textId="77777777" w:rsidR="00E35519" w:rsidRPr="004554E4" w:rsidRDefault="00E35519" w:rsidP="00E35519">
            <w:pPr>
              <w:pStyle w:val="Tabletext"/>
              <w:rPr>
                <w:rFonts w:cs="Arial"/>
              </w:rPr>
            </w:pPr>
            <w:r w:rsidRPr="004554E4">
              <w:rPr>
                <w:rFonts w:cs="Arial"/>
              </w:rPr>
              <w:t>0.00</w:t>
            </w:r>
          </w:p>
        </w:tc>
      </w:tr>
      <w:tr w:rsidR="00E35519" w:rsidRPr="001C1D01" w14:paraId="4A6A9ACB" w14:textId="77777777" w:rsidTr="00E35519">
        <w:trPr>
          <w:trHeight w:val="255"/>
        </w:trPr>
        <w:tc>
          <w:tcPr>
            <w:tcW w:w="1567" w:type="pct"/>
            <w:tcBorders>
              <w:top w:val="nil"/>
              <w:left w:val="single" w:sz="4" w:space="0" w:color="auto"/>
              <w:bottom w:val="single" w:sz="4" w:space="0" w:color="auto"/>
              <w:right w:val="single" w:sz="4" w:space="0" w:color="auto"/>
            </w:tcBorders>
            <w:shd w:val="clear" w:color="auto" w:fill="auto"/>
            <w:hideMark/>
          </w:tcPr>
          <w:p w14:paraId="4A6A9AC5" w14:textId="77777777" w:rsidR="00E35519" w:rsidRPr="001C1D01" w:rsidRDefault="00E35519" w:rsidP="00E35519">
            <w:pPr>
              <w:pStyle w:val="Tabletext"/>
              <w:rPr>
                <w:rFonts w:eastAsia="Batang" w:cs="Arial"/>
                <w:lang w:val="en-GB" w:eastAsia="ja-JP"/>
              </w:rPr>
            </w:pPr>
            <w:r w:rsidRPr="001C1D01">
              <w:rPr>
                <w:rFonts w:eastAsia="Batang" w:cs="Arial"/>
                <w:lang w:val="en-GB" w:eastAsia="ja-JP"/>
              </w:rPr>
              <w:t>Prostheses or equipment costs</w:t>
            </w:r>
          </w:p>
        </w:tc>
        <w:tc>
          <w:tcPr>
            <w:tcW w:w="786" w:type="pct"/>
            <w:tcBorders>
              <w:top w:val="nil"/>
              <w:left w:val="nil"/>
              <w:bottom w:val="single" w:sz="4" w:space="0" w:color="auto"/>
              <w:right w:val="single" w:sz="4" w:space="0" w:color="auto"/>
            </w:tcBorders>
            <w:shd w:val="clear" w:color="auto" w:fill="auto"/>
            <w:vAlign w:val="center"/>
          </w:tcPr>
          <w:p w14:paraId="4A6A9AC6" w14:textId="77777777" w:rsidR="00E35519" w:rsidRPr="004554E4" w:rsidRDefault="00E35519" w:rsidP="00E35519">
            <w:pPr>
              <w:pStyle w:val="Tabletext"/>
              <w:rPr>
                <w:rFonts w:cs="Arial"/>
              </w:rPr>
            </w:pPr>
            <w:r w:rsidRPr="004554E4">
              <w:rPr>
                <w:rFonts w:cs="Arial"/>
              </w:rPr>
              <w:t>3,210.00</w:t>
            </w:r>
          </w:p>
        </w:tc>
        <w:tc>
          <w:tcPr>
            <w:tcW w:w="708" w:type="pct"/>
            <w:tcBorders>
              <w:top w:val="nil"/>
              <w:left w:val="nil"/>
              <w:bottom w:val="single" w:sz="4" w:space="0" w:color="auto"/>
              <w:right w:val="single" w:sz="4" w:space="0" w:color="auto"/>
            </w:tcBorders>
            <w:shd w:val="clear" w:color="auto" w:fill="auto"/>
            <w:vAlign w:val="center"/>
          </w:tcPr>
          <w:p w14:paraId="4A6A9AC7" w14:textId="77777777" w:rsidR="00E35519" w:rsidRPr="004554E4" w:rsidRDefault="00E35519" w:rsidP="00E35519">
            <w:pPr>
              <w:pStyle w:val="Tabletext"/>
              <w:rPr>
                <w:rFonts w:cs="Arial"/>
              </w:rPr>
            </w:pPr>
            <w:r w:rsidRPr="004554E4">
              <w:rPr>
                <w:rFonts w:cs="Arial"/>
              </w:rPr>
              <w:t>329.62</w:t>
            </w:r>
          </w:p>
        </w:tc>
        <w:tc>
          <w:tcPr>
            <w:tcW w:w="684" w:type="pct"/>
            <w:tcBorders>
              <w:top w:val="nil"/>
              <w:left w:val="nil"/>
              <w:bottom w:val="single" w:sz="4" w:space="0" w:color="auto"/>
              <w:right w:val="single" w:sz="4" w:space="0" w:color="auto"/>
            </w:tcBorders>
            <w:shd w:val="clear" w:color="auto" w:fill="auto"/>
            <w:vAlign w:val="center"/>
          </w:tcPr>
          <w:p w14:paraId="4A6A9AC8" w14:textId="77777777" w:rsidR="00E35519" w:rsidRPr="004554E4" w:rsidRDefault="00E35519" w:rsidP="00E35519">
            <w:pPr>
              <w:pStyle w:val="Tabletext"/>
              <w:rPr>
                <w:rFonts w:cs="Arial"/>
              </w:rPr>
            </w:pPr>
            <w:r w:rsidRPr="004554E4">
              <w:rPr>
                <w:rFonts w:cs="Arial"/>
              </w:rPr>
              <w:t>2,880.38</w:t>
            </w:r>
          </w:p>
        </w:tc>
        <w:tc>
          <w:tcPr>
            <w:tcW w:w="615" w:type="pct"/>
            <w:tcBorders>
              <w:top w:val="nil"/>
              <w:left w:val="nil"/>
              <w:bottom w:val="single" w:sz="4" w:space="0" w:color="auto"/>
              <w:right w:val="single" w:sz="4" w:space="0" w:color="auto"/>
            </w:tcBorders>
            <w:shd w:val="clear" w:color="auto" w:fill="auto"/>
            <w:vAlign w:val="center"/>
          </w:tcPr>
          <w:p w14:paraId="4A6A9AC9" w14:textId="77777777" w:rsidR="00E35519" w:rsidRPr="004554E4" w:rsidRDefault="00E35519" w:rsidP="00E35519">
            <w:pPr>
              <w:pStyle w:val="Tabletext"/>
              <w:rPr>
                <w:rFonts w:cs="Arial"/>
              </w:rPr>
            </w:pPr>
            <w:r w:rsidRPr="004554E4">
              <w:rPr>
                <w:rFonts w:cs="Arial"/>
              </w:rPr>
              <w:t>0.00</w:t>
            </w:r>
          </w:p>
        </w:tc>
        <w:tc>
          <w:tcPr>
            <w:tcW w:w="640" w:type="pct"/>
            <w:tcBorders>
              <w:top w:val="nil"/>
              <w:left w:val="nil"/>
              <w:bottom w:val="single" w:sz="4" w:space="0" w:color="auto"/>
              <w:right w:val="single" w:sz="4" w:space="0" w:color="auto"/>
            </w:tcBorders>
            <w:shd w:val="clear" w:color="auto" w:fill="auto"/>
            <w:vAlign w:val="center"/>
          </w:tcPr>
          <w:p w14:paraId="4A6A9ACA" w14:textId="77777777" w:rsidR="00E35519" w:rsidRPr="004554E4" w:rsidRDefault="00E35519" w:rsidP="00E35519">
            <w:pPr>
              <w:pStyle w:val="Tabletext"/>
              <w:rPr>
                <w:rFonts w:cs="Arial"/>
              </w:rPr>
            </w:pPr>
            <w:r w:rsidRPr="004554E4">
              <w:rPr>
                <w:rFonts w:cs="Arial"/>
              </w:rPr>
              <w:t>3,210.00</w:t>
            </w:r>
          </w:p>
        </w:tc>
      </w:tr>
      <w:tr w:rsidR="00E35519" w:rsidRPr="001C1D01" w14:paraId="4A6A9AD2" w14:textId="77777777" w:rsidTr="00E35519">
        <w:trPr>
          <w:trHeight w:val="255"/>
        </w:trPr>
        <w:tc>
          <w:tcPr>
            <w:tcW w:w="1567" w:type="pct"/>
            <w:tcBorders>
              <w:top w:val="nil"/>
              <w:left w:val="single" w:sz="4" w:space="0" w:color="auto"/>
              <w:bottom w:val="single" w:sz="4" w:space="0" w:color="auto"/>
              <w:right w:val="single" w:sz="4" w:space="0" w:color="auto"/>
            </w:tcBorders>
            <w:shd w:val="clear" w:color="auto" w:fill="auto"/>
            <w:hideMark/>
          </w:tcPr>
          <w:p w14:paraId="4A6A9ACC" w14:textId="77777777" w:rsidR="00E35519" w:rsidRPr="001C1D01" w:rsidRDefault="00E35519" w:rsidP="00E35519">
            <w:pPr>
              <w:pStyle w:val="Tabletext"/>
              <w:rPr>
                <w:rFonts w:eastAsia="Batang" w:cs="Arial"/>
                <w:lang w:val="en-GB" w:eastAsia="ja-JP"/>
              </w:rPr>
            </w:pPr>
            <w:r w:rsidRPr="001C1D01">
              <w:rPr>
                <w:rFonts w:eastAsia="Batang" w:cs="Arial"/>
                <w:lang w:val="en-GB" w:eastAsia="ja-JP"/>
              </w:rPr>
              <w:t>Adverse events</w:t>
            </w:r>
          </w:p>
        </w:tc>
        <w:tc>
          <w:tcPr>
            <w:tcW w:w="786" w:type="pct"/>
            <w:tcBorders>
              <w:top w:val="nil"/>
              <w:left w:val="nil"/>
              <w:bottom w:val="single" w:sz="4" w:space="0" w:color="auto"/>
              <w:right w:val="single" w:sz="4" w:space="0" w:color="auto"/>
            </w:tcBorders>
            <w:shd w:val="clear" w:color="auto" w:fill="auto"/>
            <w:vAlign w:val="center"/>
          </w:tcPr>
          <w:p w14:paraId="4A6A9ACD" w14:textId="77777777" w:rsidR="00E35519" w:rsidRPr="004554E4" w:rsidRDefault="00E35519" w:rsidP="00E35519">
            <w:pPr>
              <w:pStyle w:val="Tabletext"/>
              <w:rPr>
                <w:rFonts w:cs="Arial"/>
              </w:rPr>
            </w:pPr>
            <w:r w:rsidRPr="004554E4">
              <w:rPr>
                <w:rFonts w:cs="Arial"/>
              </w:rPr>
              <w:t>0.00</w:t>
            </w:r>
          </w:p>
        </w:tc>
        <w:tc>
          <w:tcPr>
            <w:tcW w:w="708" w:type="pct"/>
            <w:tcBorders>
              <w:top w:val="nil"/>
              <w:left w:val="nil"/>
              <w:bottom w:val="single" w:sz="4" w:space="0" w:color="auto"/>
              <w:right w:val="single" w:sz="4" w:space="0" w:color="auto"/>
            </w:tcBorders>
            <w:shd w:val="clear" w:color="auto" w:fill="auto"/>
            <w:vAlign w:val="center"/>
          </w:tcPr>
          <w:p w14:paraId="4A6A9ACE" w14:textId="77777777" w:rsidR="00E35519" w:rsidRPr="004554E4" w:rsidRDefault="00E35519" w:rsidP="00E35519">
            <w:pPr>
              <w:pStyle w:val="Tabletext"/>
              <w:rPr>
                <w:rFonts w:cs="Arial"/>
              </w:rPr>
            </w:pPr>
            <w:r w:rsidRPr="004554E4">
              <w:rPr>
                <w:rFonts w:cs="Arial"/>
              </w:rPr>
              <w:t>0.00</w:t>
            </w:r>
          </w:p>
        </w:tc>
        <w:tc>
          <w:tcPr>
            <w:tcW w:w="684" w:type="pct"/>
            <w:tcBorders>
              <w:top w:val="nil"/>
              <w:left w:val="nil"/>
              <w:bottom w:val="single" w:sz="4" w:space="0" w:color="auto"/>
              <w:right w:val="single" w:sz="4" w:space="0" w:color="auto"/>
            </w:tcBorders>
            <w:shd w:val="clear" w:color="auto" w:fill="auto"/>
            <w:vAlign w:val="center"/>
          </w:tcPr>
          <w:p w14:paraId="4A6A9ACF" w14:textId="77777777" w:rsidR="00E35519" w:rsidRPr="004554E4" w:rsidRDefault="00E35519" w:rsidP="00E35519">
            <w:pPr>
              <w:pStyle w:val="Tabletext"/>
              <w:rPr>
                <w:rFonts w:cs="Arial"/>
              </w:rPr>
            </w:pPr>
            <w:r w:rsidRPr="004554E4">
              <w:rPr>
                <w:rFonts w:cs="Arial"/>
              </w:rPr>
              <w:t>0.00</w:t>
            </w:r>
          </w:p>
        </w:tc>
        <w:tc>
          <w:tcPr>
            <w:tcW w:w="615" w:type="pct"/>
            <w:tcBorders>
              <w:top w:val="nil"/>
              <w:left w:val="nil"/>
              <w:bottom w:val="single" w:sz="4" w:space="0" w:color="auto"/>
              <w:right w:val="single" w:sz="4" w:space="0" w:color="auto"/>
            </w:tcBorders>
            <w:shd w:val="clear" w:color="auto" w:fill="auto"/>
            <w:vAlign w:val="center"/>
          </w:tcPr>
          <w:p w14:paraId="4A6A9AD0" w14:textId="77777777" w:rsidR="00E35519" w:rsidRPr="004554E4" w:rsidRDefault="00E35519" w:rsidP="00E35519">
            <w:pPr>
              <w:pStyle w:val="Tabletext"/>
              <w:rPr>
                <w:rFonts w:cs="Arial"/>
              </w:rPr>
            </w:pPr>
            <w:r w:rsidRPr="004554E4">
              <w:rPr>
                <w:rFonts w:cs="Arial"/>
              </w:rPr>
              <w:t>0.00</w:t>
            </w:r>
          </w:p>
        </w:tc>
        <w:tc>
          <w:tcPr>
            <w:tcW w:w="640" w:type="pct"/>
            <w:tcBorders>
              <w:top w:val="nil"/>
              <w:left w:val="nil"/>
              <w:bottom w:val="single" w:sz="4" w:space="0" w:color="auto"/>
              <w:right w:val="single" w:sz="4" w:space="0" w:color="auto"/>
            </w:tcBorders>
            <w:shd w:val="clear" w:color="auto" w:fill="auto"/>
            <w:vAlign w:val="center"/>
          </w:tcPr>
          <w:p w14:paraId="4A6A9AD1" w14:textId="77777777" w:rsidR="00E35519" w:rsidRPr="004554E4" w:rsidRDefault="00E35519" w:rsidP="00E35519">
            <w:pPr>
              <w:pStyle w:val="Tabletext"/>
              <w:rPr>
                <w:rFonts w:cs="Arial"/>
              </w:rPr>
            </w:pPr>
            <w:r w:rsidRPr="004554E4">
              <w:rPr>
                <w:rFonts w:cs="Arial"/>
              </w:rPr>
              <w:t>0.00</w:t>
            </w:r>
          </w:p>
        </w:tc>
      </w:tr>
      <w:tr w:rsidR="00E35519" w:rsidRPr="001C1D01" w14:paraId="4A6A9AD9" w14:textId="77777777" w:rsidTr="00E35519">
        <w:trPr>
          <w:trHeight w:val="255"/>
        </w:trPr>
        <w:tc>
          <w:tcPr>
            <w:tcW w:w="1567" w:type="pct"/>
            <w:tcBorders>
              <w:top w:val="nil"/>
              <w:left w:val="single" w:sz="4" w:space="0" w:color="auto"/>
              <w:bottom w:val="single" w:sz="4" w:space="0" w:color="auto"/>
              <w:right w:val="single" w:sz="4" w:space="0" w:color="auto"/>
            </w:tcBorders>
            <w:shd w:val="clear" w:color="auto" w:fill="auto"/>
            <w:hideMark/>
          </w:tcPr>
          <w:p w14:paraId="4A6A9AD3" w14:textId="77777777" w:rsidR="00E35519" w:rsidRPr="001C1D01" w:rsidRDefault="00E35519" w:rsidP="00E35519">
            <w:pPr>
              <w:pStyle w:val="Tabletext"/>
              <w:rPr>
                <w:rFonts w:eastAsia="Batang" w:cs="Arial"/>
                <w:lang w:val="en-GB" w:eastAsia="ja-JP"/>
              </w:rPr>
            </w:pPr>
            <w:r w:rsidRPr="001C1D01">
              <w:rPr>
                <w:rFonts w:eastAsia="Batang" w:cs="Arial"/>
                <w:lang w:val="en-GB" w:eastAsia="ja-JP"/>
              </w:rPr>
              <w:t>Total</w:t>
            </w:r>
          </w:p>
        </w:tc>
        <w:tc>
          <w:tcPr>
            <w:tcW w:w="786" w:type="pct"/>
            <w:tcBorders>
              <w:top w:val="nil"/>
              <w:left w:val="nil"/>
              <w:bottom w:val="single" w:sz="4" w:space="0" w:color="auto"/>
              <w:right w:val="single" w:sz="4" w:space="0" w:color="auto"/>
            </w:tcBorders>
            <w:shd w:val="clear" w:color="auto" w:fill="auto"/>
            <w:vAlign w:val="center"/>
          </w:tcPr>
          <w:p w14:paraId="4A6A9AD4" w14:textId="77777777" w:rsidR="00E35519" w:rsidRPr="004554E4" w:rsidRDefault="00E35519" w:rsidP="00E35519">
            <w:pPr>
              <w:pStyle w:val="Tabletext"/>
              <w:rPr>
                <w:rFonts w:cs="Arial"/>
              </w:rPr>
            </w:pPr>
            <w:r w:rsidRPr="004554E4">
              <w:rPr>
                <w:rFonts w:cs="Arial"/>
              </w:rPr>
              <w:t>8,143.83</w:t>
            </w:r>
          </w:p>
        </w:tc>
        <w:tc>
          <w:tcPr>
            <w:tcW w:w="708" w:type="pct"/>
            <w:tcBorders>
              <w:top w:val="nil"/>
              <w:left w:val="nil"/>
              <w:bottom w:val="single" w:sz="4" w:space="0" w:color="auto"/>
              <w:right w:val="single" w:sz="4" w:space="0" w:color="auto"/>
            </w:tcBorders>
            <w:shd w:val="clear" w:color="auto" w:fill="auto"/>
            <w:vAlign w:val="center"/>
          </w:tcPr>
          <w:p w14:paraId="4A6A9AD5" w14:textId="77777777" w:rsidR="00E35519" w:rsidRPr="004554E4" w:rsidRDefault="00E35519" w:rsidP="00E35519">
            <w:pPr>
              <w:pStyle w:val="Tabletext"/>
              <w:rPr>
                <w:rFonts w:cs="Arial"/>
              </w:rPr>
            </w:pPr>
            <w:r w:rsidRPr="004554E4">
              <w:rPr>
                <w:rFonts w:cs="Arial"/>
              </w:rPr>
              <w:t>5,735.07</w:t>
            </w:r>
          </w:p>
        </w:tc>
        <w:tc>
          <w:tcPr>
            <w:tcW w:w="684" w:type="pct"/>
            <w:tcBorders>
              <w:top w:val="nil"/>
              <w:left w:val="nil"/>
              <w:bottom w:val="single" w:sz="4" w:space="0" w:color="auto"/>
              <w:right w:val="single" w:sz="4" w:space="0" w:color="auto"/>
            </w:tcBorders>
            <w:shd w:val="clear" w:color="auto" w:fill="auto"/>
            <w:vAlign w:val="center"/>
          </w:tcPr>
          <w:p w14:paraId="4A6A9AD6" w14:textId="77777777" w:rsidR="00E35519" w:rsidRPr="004554E4" w:rsidRDefault="00E35519" w:rsidP="00E35519">
            <w:pPr>
              <w:pStyle w:val="Tabletext"/>
              <w:rPr>
                <w:rFonts w:cs="Arial"/>
              </w:rPr>
            </w:pPr>
            <w:r w:rsidRPr="004554E4">
              <w:rPr>
                <w:rFonts w:cs="Arial"/>
              </w:rPr>
              <w:t>2,408.76</w:t>
            </w:r>
          </w:p>
        </w:tc>
        <w:tc>
          <w:tcPr>
            <w:tcW w:w="615" w:type="pct"/>
            <w:tcBorders>
              <w:top w:val="nil"/>
              <w:left w:val="nil"/>
              <w:bottom w:val="single" w:sz="4" w:space="0" w:color="auto"/>
              <w:right w:val="single" w:sz="4" w:space="0" w:color="auto"/>
            </w:tcBorders>
            <w:shd w:val="clear" w:color="auto" w:fill="auto"/>
            <w:vAlign w:val="center"/>
          </w:tcPr>
          <w:p w14:paraId="4A6A9AD7" w14:textId="77777777" w:rsidR="00E35519" w:rsidRPr="004554E4" w:rsidRDefault="00E35519" w:rsidP="00E35519">
            <w:pPr>
              <w:pStyle w:val="Tabletext"/>
              <w:rPr>
                <w:rFonts w:cs="Arial"/>
              </w:rPr>
            </w:pPr>
            <w:r w:rsidRPr="004554E4">
              <w:rPr>
                <w:rFonts w:cs="Arial"/>
              </w:rPr>
              <w:t>19,472.05</w:t>
            </w:r>
          </w:p>
        </w:tc>
        <w:tc>
          <w:tcPr>
            <w:tcW w:w="640" w:type="pct"/>
            <w:tcBorders>
              <w:top w:val="nil"/>
              <w:left w:val="nil"/>
              <w:bottom w:val="single" w:sz="4" w:space="0" w:color="auto"/>
              <w:right w:val="single" w:sz="4" w:space="0" w:color="auto"/>
            </w:tcBorders>
            <w:shd w:val="clear" w:color="auto" w:fill="auto"/>
            <w:vAlign w:val="center"/>
          </w:tcPr>
          <w:p w14:paraId="4A6A9AD8" w14:textId="77777777" w:rsidR="00E35519" w:rsidRPr="004554E4" w:rsidRDefault="00E35519" w:rsidP="00E35519">
            <w:pPr>
              <w:pStyle w:val="Tabletext"/>
              <w:rPr>
                <w:rFonts w:cs="Arial"/>
              </w:rPr>
            </w:pPr>
            <w:r w:rsidRPr="004554E4">
              <w:rPr>
                <w:rFonts w:cs="Arial"/>
              </w:rPr>
              <w:t>-11,328.22</w:t>
            </w:r>
          </w:p>
        </w:tc>
      </w:tr>
    </w:tbl>
    <w:p w14:paraId="4A6A9ADA" w14:textId="77777777" w:rsidR="00E35519" w:rsidRDefault="00E35519" w:rsidP="00E35519">
      <w:pPr>
        <w:rPr>
          <w:szCs w:val="24"/>
        </w:rPr>
      </w:pPr>
    </w:p>
    <w:p w14:paraId="4A6A9ADB" w14:textId="77777777" w:rsidR="00BC1364" w:rsidRPr="00F715D1" w:rsidRDefault="00BC1364" w:rsidP="00C22C2D">
      <w:pPr>
        <w:pStyle w:val="Heading1"/>
        <w:ind w:hanging="720"/>
      </w:pPr>
      <w:r w:rsidRPr="00F715D1">
        <w:lastRenderedPageBreak/>
        <w:t>Financial/budgetary impacts</w:t>
      </w:r>
    </w:p>
    <w:p w14:paraId="4A6A9ADC" w14:textId="77777777" w:rsidR="00E35519" w:rsidRPr="0090621B" w:rsidRDefault="00E35519" w:rsidP="00E35519">
      <w:pPr>
        <w:rPr>
          <w:szCs w:val="24"/>
        </w:rPr>
      </w:pPr>
      <w:r w:rsidRPr="0090621B">
        <w:rPr>
          <w:szCs w:val="24"/>
        </w:rPr>
        <w:t xml:space="preserve">Within Australia it is expected that 3,215 patients in year one will have early stage NSCLC and 1,833 of them will be ineligible for, or not elect, surgery, increasing to 2,031 patients in </w:t>
      </w:r>
      <w:r>
        <w:rPr>
          <w:szCs w:val="24"/>
        </w:rPr>
        <w:t>Y</w:t>
      </w:r>
      <w:r w:rsidRPr="0090621B">
        <w:rPr>
          <w:szCs w:val="24"/>
        </w:rPr>
        <w:t xml:space="preserve">ear </w:t>
      </w:r>
      <w:r>
        <w:rPr>
          <w:szCs w:val="24"/>
        </w:rPr>
        <w:t>5</w:t>
      </w:r>
      <w:r w:rsidRPr="0090621B">
        <w:rPr>
          <w:szCs w:val="24"/>
        </w:rPr>
        <w:t xml:space="preserve">. Additionally, a smaller number of patients with pulmonary metastases, in whom the primary tumour is under control, will be eligible for MTA under the proposed MBS items. This is estimated to be equivalent to 10 per cent of the early stage eligible population. An uptake rate of 10% for MTA among these patients has been assumed for the first 5 years to account for developing treatment capacity and educating radiologists. A total of 202 MTA procedures are estimated in Year 1 increasing to 1,117 in Year 5. </w:t>
      </w:r>
    </w:p>
    <w:p w14:paraId="4A6A9ADD" w14:textId="77777777" w:rsidR="00E35519" w:rsidRDefault="00E35519" w:rsidP="00E35519">
      <w:pPr>
        <w:rPr>
          <w:szCs w:val="24"/>
        </w:rPr>
      </w:pPr>
    </w:p>
    <w:p w14:paraId="4A6A9ADE" w14:textId="77777777" w:rsidR="00E35519" w:rsidRDefault="00E35519" w:rsidP="00E35519">
      <w:pPr>
        <w:rPr>
          <w:szCs w:val="24"/>
        </w:rPr>
      </w:pPr>
      <w:r w:rsidRPr="0090621B">
        <w:rPr>
          <w:szCs w:val="24"/>
        </w:rPr>
        <w:t>The number of MTA procedures is disaggregated by lesion groupings. Discussions with clinical experts indicated most ablation would involve less than 3 lesions. Correspondingly, 90% of the 202 MTA procedures forecast for Year 1 will involve the proposed fee associated with less than three lesions. While 181 MTA procedures are estimated for &lt;3 lesions, around 10% of all MTA procedures, or 20</w:t>
      </w:r>
      <w:r>
        <w:rPr>
          <w:szCs w:val="24"/>
        </w:rPr>
        <w:t>%</w:t>
      </w:r>
      <w:r w:rsidRPr="0090621B">
        <w:rPr>
          <w:szCs w:val="24"/>
        </w:rPr>
        <w:t xml:space="preserve">, are estimated for 3–5 lesions. No MTA procedures are estimated for patients with more than 5 lesions. The cost to the MBS from MTA uptake is estimated to be $0.61 million in Year 1, increasing to $3.41 million in </w:t>
      </w:r>
      <w:r>
        <w:rPr>
          <w:szCs w:val="24"/>
        </w:rPr>
        <w:t>Y</w:t>
      </w:r>
      <w:r w:rsidRPr="0090621B">
        <w:rPr>
          <w:szCs w:val="24"/>
        </w:rPr>
        <w:t xml:space="preserve">ear 5 based on these projections. MTA would largely replace SBRT, which entails a higher MBS rebate. </w:t>
      </w:r>
    </w:p>
    <w:p w14:paraId="4A6A9ADF" w14:textId="77777777" w:rsidR="00E35519" w:rsidRDefault="00E35519" w:rsidP="00E35519">
      <w:pPr>
        <w:rPr>
          <w:szCs w:val="24"/>
        </w:rPr>
      </w:pPr>
      <w:r w:rsidRPr="0090621B">
        <w:rPr>
          <w:szCs w:val="24"/>
        </w:rPr>
        <w:t xml:space="preserve">Consequently, there is an annual net MBS cost saving of $0.30 million in Year 1 to a saving of $1.64 million in Year 5. These budget impacts are outlined in </w:t>
      </w:r>
      <w:r w:rsidR="004C0C25">
        <w:rPr>
          <w:szCs w:val="24"/>
        </w:rPr>
        <w:fldChar w:fldCharType="begin"/>
      </w:r>
      <w:r w:rsidR="004C0C25">
        <w:rPr>
          <w:szCs w:val="24"/>
        </w:rPr>
        <w:instrText xml:space="preserve"> REF _Ref457410671 \h  \* MERGEFORMAT </w:instrText>
      </w:r>
      <w:r w:rsidR="004C0C25">
        <w:rPr>
          <w:szCs w:val="24"/>
        </w:rPr>
      </w:r>
      <w:r w:rsidR="004C0C25">
        <w:rPr>
          <w:szCs w:val="24"/>
        </w:rPr>
        <w:fldChar w:fldCharType="separate"/>
      </w:r>
      <w:r w:rsidR="004C0C25" w:rsidRPr="004C0C25">
        <w:rPr>
          <w:szCs w:val="24"/>
        </w:rPr>
        <w:t>Table 7</w:t>
      </w:r>
      <w:r w:rsidR="004C0C25">
        <w:rPr>
          <w:szCs w:val="24"/>
        </w:rPr>
        <w:fldChar w:fldCharType="end"/>
      </w:r>
      <w:r w:rsidRPr="0090621B">
        <w:rPr>
          <w:szCs w:val="24"/>
        </w:rPr>
        <w:t>.</w:t>
      </w:r>
    </w:p>
    <w:p w14:paraId="4A6A9AE0" w14:textId="77777777" w:rsidR="00E35519" w:rsidRPr="0090621B" w:rsidRDefault="00E35519" w:rsidP="00E35519">
      <w:pPr>
        <w:rPr>
          <w:szCs w:val="24"/>
        </w:rPr>
      </w:pPr>
    </w:p>
    <w:p w14:paraId="4A6A9AE1" w14:textId="77777777" w:rsidR="00E35519" w:rsidRPr="004C0C25" w:rsidRDefault="004C0C25" w:rsidP="004C0C25">
      <w:pPr>
        <w:pStyle w:val="Caption"/>
        <w:jc w:val="left"/>
      </w:pPr>
      <w:bookmarkStart w:id="22" w:name="_Ref457410671"/>
      <w:bookmarkStart w:id="23" w:name="_Toc460514667"/>
      <w:r w:rsidRPr="004C0C25">
        <w:t xml:space="preserve">Table </w:t>
      </w:r>
      <w:r w:rsidR="00BF263E">
        <w:fldChar w:fldCharType="begin"/>
      </w:r>
      <w:r w:rsidR="00BF263E">
        <w:instrText xml:space="preserve"> SEQ Table \* ARABIC </w:instrText>
      </w:r>
      <w:r w:rsidR="00BF263E">
        <w:fldChar w:fldCharType="separate"/>
      </w:r>
      <w:r w:rsidRPr="004C0C25">
        <w:rPr>
          <w:noProof/>
        </w:rPr>
        <w:t>7</w:t>
      </w:r>
      <w:r w:rsidR="00BF263E">
        <w:rPr>
          <w:noProof/>
        </w:rPr>
        <w:fldChar w:fldCharType="end"/>
      </w:r>
      <w:bookmarkEnd w:id="22"/>
      <w:r w:rsidR="00E35519" w:rsidRPr="004C0C25">
        <w:rPr>
          <w:rFonts w:cs="Times New Roman"/>
        </w:rPr>
        <w:tab/>
        <w:t>Total estimated additional costs to MBS of changes in services ($)</w:t>
      </w:r>
      <w:bookmarkEnd w:id="23"/>
    </w:p>
    <w:tbl>
      <w:tblPr>
        <w:tblW w:w="5000" w:type="pct"/>
        <w:tblLook w:val="04A0" w:firstRow="1" w:lastRow="0" w:firstColumn="1" w:lastColumn="0" w:noHBand="0" w:noVBand="1"/>
        <w:tblDescription w:val="Table 7 -Total estimated additional costs to MBS of changes in services ($)"/>
      </w:tblPr>
      <w:tblGrid>
        <w:gridCol w:w="3228"/>
        <w:gridCol w:w="1202"/>
        <w:gridCol w:w="1203"/>
        <w:gridCol w:w="1203"/>
        <w:gridCol w:w="1203"/>
        <w:gridCol w:w="1203"/>
      </w:tblGrid>
      <w:tr w:rsidR="00E35519" w:rsidRPr="004C0C25" w14:paraId="4A6A9AE8" w14:textId="77777777" w:rsidTr="00E35519">
        <w:trPr>
          <w:trHeight w:val="285"/>
          <w:tblHeader/>
        </w:trPr>
        <w:tc>
          <w:tcPr>
            <w:tcW w:w="1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A9AE2"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 </w:t>
            </w:r>
          </w:p>
        </w:tc>
        <w:tc>
          <w:tcPr>
            <w:tcW w:w="65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6A9AE3" w14:textId="77777777" w:rsidR="00E35519" w:rsidRPr="004C0C25" w:rsidRDefault="00E35519" w:rsidP="004C0C25">
            <w:pPr>
              <w:rPr>
                <w:rFonts w:ascii="Arial Narrow" w:eastAsia="Batang" w:hAnsi="Arial Narrow"/>
                <w:b/>
                <w:sz w:val="20"/>
                <w:lang w:val="en-GB" w:eastAsia="ja-JP"/>
              </w:rPr>
            </w:pPr>
            <w:r w:rsidRPr="004C0C25">
              <w:rPr>
                <w:rFonts w:ascii="Arial Narrow" w:eastAsia="Batang" w:hAnsi="Arial Narrow"/>
                <w:b/>
                <w:sz w:val="20"/>
                <w:lang w:val="en-GB" w:eastAsia="ja-JP"/>
              </w:rPr>
              <w:t>Year 1</w:t>
            </w:r>
          </w:p>
        </w:tc>
        <w:tc>
          <w:tcPr>
            <w:tcW w:w="65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6A9AE4" w14:textId="77777777" w:rsidR="00E35519" w:rsidRPr="004C0C25" w:rsidRDefault="00E35519" w:rsidP="004C0C25">
            <w:pPr>
              <w:rPr>
                <w:rFonts w:ascii="Arial Narrow" w:eastAsia="Batang" w:hAnsi="Arial Narrow"/>
                <w:b/>
                <w:sz w:val="20"/>
                <w:lang w:val="en-GB" w:eastAsia="ja-JP"/>
              </w:rPr>
            </w:pPr>
            <w:r w:rsidRPr="004C0C25">
              <w:rPr>
                <w:rFonts w:ascii="Arial Narrow" w:eastAsia="Batang" w:hAnsi="Arial Narrow"/>
                <w:b/>
                <w:sz w:val="20"/>
                <w:lang w:val="en-GB" w:eastAsia="ja-JP"/>
              </w:rPr>
              <w:t>Year 2</w:t>
            </w:r>
          </w:p>
        </w:tc>
        <w:tc>
          <w:tcPr>
            <w:tcW w:w="65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6A9AE5" w14:textId="77777777" w:rsidR="00E35519" w:rsidRPr="004C0C25" w:rsidRDefault="00E35519" w:rsidP="004C0C25">
            <w:pPr>
              <w:rPr>
                <w:rFonts w:ascii="Arial Narrow" w:eastAsia="Batang" w:hAnsi="Arial Narrow"/>
                <w:b/>
                <w:sz w:val="20"/>
                <w:lang w:val="en-GB" w:eastAsia="ja-JP"/>
              </w:rPr>
            </w:pPr>
            <w:r w:rsidRPr="004C0C25">
              <w:rPr>
                <w:rFonts w:ascii="Arial Narrow" w:eastAsia="Batang" w:hAnsi="Arial Narrow"/>
                <w:b/>
                <w:sz w:val="20"/>
                <w:lang w:val="en-GB" w:eastAsia="ja-JP"/>
              </w:rPr>
              <w:t>Year 3</w:t>
            </w:r>
          </w:p>
        </w:tc>
        <w:tc>
          <w:tcPr>
            <w:tcW w:w="65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6A9AE6" w14:textId="77777777" w:rsidR="00E35519" w:rsidRPr="004C0C25" w:rsidRDefault="00E35519" w:rsidP="004C0C25">
            <w:pPr>
              <w:rPr>
                <w:rFonts w:ascii="Arial Narrow" w:eastAsia="Batang" w:hAnsi="Arial Narrow"/>
                <w:b/>
                <w:sz w:val="20"/>
                <w:lang w:val="en-GB" w:eastAsia="ja-JP"/>
              </w:rPr>
            </w:pPr>
            <w:r w:rsidRPr="004C0C25">
              <w:rPr>
                <w:rFonts w:ascii="Arial Narrow" w:eastAsia="Batang" w:hAnsi="Arial Narrow"/>
                <w:b/>
                <w:sz w:val="20"/>
                <w:lang w:val="en-GB" w:eastAsia="ja-JP"/>
              </w:rPr>
              <w:t>Year 4</w:t>
            </w:r>
          </w:p>
        </w:tc>
        <w:tc>
          <w:tcPr>
            <w:tcW w:w="65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6A9AE7" w14:textId="77777777" w:rsidR="00E35519" w:rsidRPr="004C0C25" w:rsidRDefault="00E35519" w:rsidP="004C0C25">
            <w:pPr>
              <w:rPr>
                <w:rFonts w:ascii="Arial Narrow" w:eastAsia="Batang" w:hAnsi="Arial Narrow"/>
                <w:b/>
                <w:sz w:val="20"/>
                <w:lang w:val="en-GB" w:eastAsia="ja-JP"/>
              </w:rPr>
            </w:pPr>
            <w:r w:rsidRPr="004C0C25">
              <w:rPr>
                <w:rFonts w:ascii="Arial Narrow" w:eastAsia="Batang" w:hAnsi="Arial Narrow"/>
                <w:b/>
                <w:sz w:val="20"/>
                <w:lang w:val="en-GB" w:eastAsia="ja-JP"/>
              </w:rPr>
              <w:t>Year 5</w:t>
            </w:r>
          </w:p>
        </w:tc>
      </w:tr>
      <w:tr w:rsidR="00E35519" w:rsidRPr="004C0C25" w14:paraId="4A6A9AEF" w14:textId="77777777" w:rsidTr="00E35519">
        <w:trPr>
          <w:trHeight w:val="255"/>
        </w:trPr>
        <w:tc>
          <w:tcPr>
            <w:tcW w:w="1746" w:type="pct"/>
            <w:tcBorders>
              <w:top w:val="nil"/>
              <w:left w:val="single" w:sz="4" w:space="0" w:color="auto"/>
              <w:bottom w:val="single" w:sz="4" w:space="0" w:color="auto"/>
              <w:right w:val="single" w:sz="4" w:space="0" w:color="auto"/>
            </w:tcBorders>
            <w:shd w:val="clear" w:color="000000" w:fill="D9D9D9"/>
            <w:vAlign w:val="center"/>
            <w:hideMark/>
          </w:tcPr>
          <w:p w14:paraId="4A6A9AE9" w14:textId="77777777" w:rsidR="00E35519" w:rsidRPr="004C0C25" w:rsidRDefault="00E35519" w:rsidP="004C0C25">
            <w:pPr>
              <w:rPr>
                <w:rFonts w:ascii="Arial Narrow" w:eastAsia="Batang" w:hAnsi="Arial Narrow"/>
                <w:b/>
                <w:sz w:val="20"/>
                <w:lang w:val="en-GB" w:eastAsia="ja-JP"/>
              </w:rPr>
            </w:pPr>
            <w:r w:rsidRPr="004C0C25">
              <w:rPr>
                <w:rFonts w:ascii="Arial Narrow" w:eastAsia="Batang" w:hAnsi="Arial Narrow"/>
                <w:b/>
                <w:sz w:val="20"/>
                <w:lang w:val="en-GB" w:eastAsia="ja-JP"/>
              </w:rPr>
              <w:t>Uptake estimate</w:t>
            </w:r>
          </w:p>
        </w:tc>
        <w:tc>
          <w:tcPr>
            <w:tcW w:w="650" w:type="pct"/>
            <w:tcBorders>
              <w:top w:val="nil"/>
              <w:left w:val="nil"/>
              <w:bottom w:val="single" w:sz="4" w:space="0" w:color="auto"/>
              <w:right w:val="single" w:sz="4" w:space="0" w:color="auto"/>
            </w:tcBorders>
            <w:shd w:val="clear" w:color="000000" w:fill="D9D9D9"/>
            <w:vAlign w:val="center"/>
            <w:hideMark/>
          </w:tcPr>
          <w:p w14:paraId="4A6A9AEA"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10%</w:t>
            </w:r>
          </w:p>
        </w:tc>
        <w:tc>
          <w:tcPr>
            <w:tcW w:w="651" w:type="pct"/>
            <w:tcBorders>
              <w:top w:val="nil"/>
              <w:left w:val="nil"/>
              <w:bottom w:val="single" w:sz="4" w:space="0" w:color="auto"/>
              <w:right w:val="single" w:sz="4" w:space="0" w:color="auto"/>
            </w:tcBorders>
            <w:shd w:val="clear" w:color="000000" w:fill="D9D9D9"/>
            <w:vAlign w:val="center"/>
            <w:hideMark/>
          </w:tcPr>
          <w:p w14:paraId="4A6A9AEB"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20%</w:t>
            </w:r>
          </w:p>
        </w:tc>
        <w:tc>
          <w:tcPr>
            <w:tcW w:w="651" w:type="pct"/>
            <w:tcBorders>
              <w:top w:val="nil"/>
              <w:left w:val="nil"/>
              <w:bottom w:val="single" w:sz="4" w:space="0" w:color="auto"/>
              <w:right w:val="single" w:sz="4" w:space="0" w:color="auto"/>
            </w:tcBorders>
            <w:shd w:val="clear" w:color="000000" w:fill="D9D9D9"/>
            <w:vAlign w:val="center"/>
            <w:hideMark/>
          </w:tcPr>
          <w:p w14:paraId="4A6A9AEC"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30%</w:t>
            </w:r>
          </w:p>
        </w:tc>
        <w:tc>
          <w:tcPr>
            <w:tcW w:w="651" w:type="pct"/>
            <w:tcBorders>
              <w:top w:val="nil"/>
              <w:left w:val="nil"/>
              <w:bottom w:val="single" w:sz="4" w:space="0" w:color="auto"/>
              <w:right w:val="single" w:sz="4" w:space="0" w:color="auto"/>
            </w:tcBorders>
            <w:shd w:val="clear" w:color="000000" w:fill="D9D9D9"/>
            <w:vAlign w:val="center"/>
            <w:hideMark/>
          </w:tcPr>
          <w:p w14:paraId="4A6A9AED"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40%</w:t>
            </w:r>
          </w:p>
        </w:tc>
        <w:tc>
          <w:tcPr>
            <w:tcW w:w="651" w:type="pct"/>
            <w:tcBorders>
              <w:top w:val="nil"/>
              <w:left w:val="nil"/>
              <w:bottom w:val="single" w:sz="4" w:space="0" w:color="auto"/>
              <w:right w:val="single" w:sz="4" w:space="0" w:color="auto"/>
            </w:tcBorders>
            <w:shd w:val="clear" w:color="000000" w:fill="D9D9D9"/>
            <w:vAlign w:val="center"/>
            <w:hideMark/>
          </w:tcPr>
          <w:p w14:paraId="4A6A9AEE"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50%</w:t>
            </w:r>
          </w:p>
        </w:tc>
      </w:tr>
      <w:tr w:rsidR="00E35519" w:rsidRPr="004C0C25" w14:paraId="4A6A9AF6" w14:textId="77777777" w:rsidTr="004C0C25">
        <w:trPr>
          <w:trHeight w:val="529"/>
        </w:trPr>
        <w:tc>
          <w:tcPr>
            <w:tcW w:w="1746" w:type="pct"/>
            <w:tcBorders>
              <w:top w:val="nil"/>
              <w:left w:val="single" w:sz="4" w:space="0" w:color="auto"/>
              <w:bottom w:val="single" w:sz="4" w:space="0" w:color="auto"/>
              <w:right w:val="single" w:sz="4" w:space="0" w:color="auto"/>
            </w:tcBorders>
            <w:shd w:val="clear" w:color="auto" w:fill="auto"/>
            <w:vAlign w:val="center"/>
            <w:hideMark/>
          </w:tcPr>
          <w:p w14:paraId="4A6A9AF0"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Anticipated total number of MTA procedures per year</w:t>
            </w:r>
          </w:p>
        </w:tc>
        <w:tc>
          <w:tcPr>
            <w:tcW w:w="650" w:type="pct"/>
            <w:tcBorders>
              <w:top w:val="nil"/>
              <w:left w:val="nil"/>
              <w:bottom w:val="single" w:sz="4" w:space="0" w:color="auto"/>
              <w:right w:val="single" w:sz="4" w:space="0" w:color="auto"/>
            </w:tcBorders>
            <w:shd w:val="clear" w:color="auto" w:fill="auto"/>
            <w:vAlign w:val="center"/>
            <w:hideMark/>
          </w:tcPr>
          <w:p w14:paraId="4A6A9AF1" w14:textId="77777777" w:rsidR="00E35519" w:rsidRPr="004C0C25" w:rsidRDefault="00E35519" w:rsidP="004C0C25">
            <w:pPr>
              <w:rPr>
                <w:rFonts w:ascii="Arial Narrow" w:hAnsi="Arial Narrow"/>
                <w:sz w:val="20"/>
              </w:rPr>
            </w:pPr>
            <w:r w:rsidRPr="004C0C25">
              <w:rPr>
                <w:rFonts w:ascii="Arial Narrow" w:hAnsi="Arial Narrow"/>
                <w:sz w:val="20"/>
              </w:rPr>
              <w:t>202</w:t>
            </w:r>
          </w:p>
        </w:tc>
        <w:tc>
          <w:tcPr>
            <w:tcW w:w="651" w:type="pct"/>
            <w:tcBorders>
              <w:top w:val="nil"/>
              <w:left w:val="nil"/>
              <w:bottom w:val="single" w:sz="4" w:space="0" w:color="auto"/>
              <w:right w:val="single" w:sz="4" w:space="0" w:color="auto"/>
            </w:tcBorders>
            <w:shd w:val="clear" w:color="auto" w:fill="auto"/>
            <w:vAlign w:val="center"/>
            <w:hideMark/>
          </w:tcPr>
          <w:p w14:paraId="4A6A9AF2" w14:textId="77777777" w:rsidR="00E35519" w:rsidRPr="004C0C25" w:rsidRDefault="00E35519" w:rsidP="004C0C25">
            <w:pPr>
              <w:rPr>
                <w:rFonts w:ascii="Arial Narrow" w:hAnsi="Arial Narrow"/>
                <w:sz w:val="20"/>
              </w:rPr>
            </w:pPr>
            <w:r w:rsidRPr="004C0C25">
              <w:rPr>
                <w:rFonts w:ascii="Arial Narrow" w:hAnsi="Arial Narrow"/>
                <w:sz w:val="20"/>
              </w:rPr>
              <w:t>414</w:t>
            </w:r>
          </w:p>
        </w:tc>
        <w:tc>
          <w:tcPr>
            <w:tcW w:w="651" w:type="pct"/>
            <w:tcBorders>
              <w:top w:val="nil"/>
              <w:left w:val="nil"/>
              <w:bottom w:val="single" w:sz="4" w:space="0" w:color="auto"/>
              <w:right w:val="single" w:sz="4" w:space="0" w:color="auto"/>
            </w:tcBorders>
            <w:shd w:val="clear" w:color="auto" w:fill="auto"/>
            <w:vAlign w:val="center"/>
            <w:hideMark/>
          </w:tcPr>
          <w:p w14:paraId="4A6A9AF3" w14:textId="77777777" w:rsidR="00E35519" w:rsidRPr="004C0C25" w:rsidRDefault="00E35519" w:rsidP="004C0C25">
            <w:pPr>
              <w:rPr>
                <w:rFonts w:ascii="Arial Narrow" w:hAnsi="Arial Narrow"/>
                <w:sz w:val="20"/>
              </w:rPr>
            </w:pPr>
            <w:r w:rsidRPr="004C0C25">
              <w:rPr>
                <w:rFonts w:ascii="Arial Narrow" w:hAnsi="Arial Narrow"/>
                <w:sz w:val="20"/>
              </w:rPr>
              <w:t>636</w:t>
            </w:r>
          </w:p>
        </w:tc>
        <w:tc>
          <w:tcPr>
            <w:tcW w:w="651" w:type="pct"/>
            <w:tcBorders>
              <w:top w:val="nil"/>
              <w:left w:val="nil"/>
              <w:bottom w:val="single" w:sz="4" w:space="0" w:color="auto"/>
              <w:right w:val="single" w:sz="4" w:space="0" w:color="auto"/>
            </w:tcBorders>
            <w:shd w:val="clear" w:color="auto" w:fill="auto"/>
            <w:vAlign w:val="center"/>
            <w:hideMark/>
          </w:tcPr>
          <w:p w14:paraId="4A6A9AF4" w14:textId="77777777" w:rsidR="00E35519" w:rsidRPr="004C0C25" w:rsidRDefault="00E35519" w:rsidP="004C0C25">
            <w:pPr>
              <w:rPr>
                <w:rFonts w:ascii="Arial Narrow" w:hAnsi="Arial Narrow"/>
                <w:sz w:val="20"/>
              </w:rPr>
            </w:pPr>
            <w:r w:rsidRPr="004C0C25">
              <w:rPr>
                <w:rFonts w:ascii="Arial Narrow" w:hAnsi="Arial Narrow"/>
                <w:sz w:val="20"/>
              </w:rPr>
              <w:t>871</w:t>
            </w:r>
          </w:p>
        </w:tc>
        <w:tc>
          <w:tcPr>
            <w:tcW w:w="651" w:type="pct"/>
            <w:tcBorders>
              <w:top w:val="nil"/>
              <w:left w:val="nil"/>
              <w:bottom w:val="single" w:sz="4" w:space="0" w:color="auto"/>
              <w:right w:val="single" w:sz="4" w:space="0" w:color="auto"/>
            </w:tcBorders>
            <w:shd w:val="clear" w:color="auto" w:fill="auto"/>
            <w:vAlign w:val="center"/>
            <w:hideMark/>
          </w:tcPr>
          <w:p w14:paraId="4A6A9AF5" w14:textId="77777777" w:rsidR="00E35519" w:rsidRPr="004C0C25" w:rsidRDefault="00E35519" w:rsidP="004C0C25">
            <w:pPr>
              <w:rPr>
                <w:rFonts w:ascii="Arial Narrow" w:hAnsi="Arial Narrow"/>
                <w:sz w:val="20"/>
              </w:rPr>
            </w:pPr>
            <w:r w:rsidRPr="004C0C25">
              <w:rPr>
                <w:rFonts w:ascii="Arial Narrow" w:hAnsi="Arial Narrow"/>
                <w:sz w:val="20"/>
              </w:rPr>
              <w:t>1,117</w:t>
            </w:r>
          </w:p>
        </w:tc>
      </w:tr>
      <w:tr w:rsidR="00E35519" w:rsidRPr="004C0C25" w14:paraId="4A6A9AFD" w14:textId="77777777" w:rsidTr="00E35519">
        <w:trPr>
          <w:trHeight w:val="255"/>
        </w:trPr>
        <w:tc>
          <w:tcPr>
            <w:tcW w:w="1746" w:type="pct"/>
            <w:tcBorders>
              <w:top w:val="nil"/>
              <w:left w:val="single" w:sz="4" w:space="0" w:color="auto"/>
              <w:bottom w:val="single" w:sz="4" w:space="0" w:color="auto"/>
              <w:right w:val="single" w:sz="4" w:space="0" w:color="auto"/>
            </w:tcBorders>
            <w:shd w:val="clear" w:color="000000" w:fill="D9D9D9"/>
            <w:vAlign w:val="center"/>
            <w:hideMark/>
          </w:tcPr>
          <w:p w14:paraId="4A6A9AF7" w14:textId="77777777" w:rsidR="00E35519" w:rsidRPr="004C0C25" w:rsidRDefault="00E35519" w:rsidP="004C0C25">
            <w:pPr>
              <w:rPr>
                <w:rFonts w:ascii="Arial Narrow" w:eastAsia="Batang" w:hAnsi="Arial Narrow"/>
                <w:b/>
                <w:sz w:val="20"/>
                <w:lang w:val="en-GB" w:eastAsia="ja-JP"/>
              </w:rPr>
            </w:pPr>
            <w:r w:rsidRPr="004C0C25">
              <w:rPr>
                <w:rFonts w:ascii="Arial Narrow" w:eastAsia="Batang" w:hAnsi="Arial Narrow"/>
                <w:b/>
                <w:sz w:val="20"/>
                <w:lang w:val="en-GB" w:eastAsia="ja-JP"/>
              </w:rPr>
              <w:t>Procedures by Lesion Grouping</w:t>
            </w:r>
          </w:p>
        </w:tc>
        <w:tc>
          <w:tcPr>
            <w:tcW w:w="650" w:type="pct"/>
            <w:tcBorders>
              <w:top w:val="nil"/>
              <w:left w:val="nil"/>
              <w:bottom w:val="single" w:sz="4" w:space="0" w:color="auto"/>
              <w:right w:val="single" w:sz="4" w:space="0" w:color="auto"/>
            </w:tcBorders>
            <w:shd w:val="clear" w:color="000000" w:fill="D9D9D9"/>
            <w:vAlign w:val="center"/>
            <w:hideMark/>
          </w:tcPr>
          <w:p w14:paraId="4A6A9AF8"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 </w:t>
            </w:r>
          </w:p>
        </w:tc>
        <w:tc>
          <w:tcPr>
            <w:tcW w:w="651" w:type="pct"/>
            <w:tcBorders>
              <w:top w:val="nil"/>
              <w:left w:val="nil"/>
              <w:bottom w:val="single" w:sz="4" w:space="0" w:color="auto"/>
              <w:right w:val="single" w:sz="4" w:space="0" w:color="auto"/>
            </w:tcBorders>
            <w:shd w:val="clear" w:color="000000" w:fill="D9D9D9"/>
            <w:vAlign w:val="center"/>
            <w:hideMark/>
          </w:tcPr>
          <w:p w14:paraId="4A6A9AF9"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 </w:t>
            </w:r>
          </w:p>
        </w:tc>
        <w:tc>
          <w:tcPr>
            <w:tcW w:w="651" w:type="pct"/>
            <w:tcBorders>
              <w:top w:val="nil"/>
              <w:left w:val="nil"/>
              <w:bottom w:val="single" w:sz="4" w:space="0" w:color="auto"/>
              <w:right w:val="single" w:sz="4" w:space="0" w:color="auto"/>
            </w:tcBorders>
            <w:shd w:val="clear" w:color="000000" w:fill="D9D9D9"/>
            <w:vAlign w:val="center"/>
            <w:hideMark/>
          </w:tcPr>
          <w:p w14:paraId="4A6A9AFA"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 </w:t>
            </w:r>
          </w:p>
        </w:tc>
        <w:tc>
          <w:tcPr>
            <w:tcW w:w="651" w:type="pct"/>
            <w:tcBorders>
              <w:top w:val="nil"/>
              <w:left w:val="nil"/>
              <w:bottom w:val="single" w:sz="4" w:space="0" w:color="auto"/>
              <w:right w:val="single" w:sz="4" w:space="0" w:color="auto"/>
            </w:tcBorders>
            <w:shd w:val="clear" w:color="000000" w:fill="D9D9D9"/>
            <w:vAlign w:val="center"/>
            <w:hideMark/>
          </w:tcPr>
          <w:p w14:paraId="4A6A9AFB"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 </w:t>
            </w:r>
          </w:p>
        </w:tc>
        <w:tc>
          <w:tcPr>
            <w:tcW w:w="651" w:type="pct"/>
            <w:tcBorders>
              <w:top w:val="nil"/>
              <w:left w:val="nil"/>
              <w:bottom w:val="single" w:sz="4" w:space="0" w:color="auto"/>
              <w:right w:val="single" w:sz="4" w:space="0" w:color="auto"/>
            </w:tcBorders>
            <w:shd w:val="clear" w:color="000000" w:fill="D9D9D9"/>
            <w:vAlign w:val="center"/>
            <w:hideMark/>
          </w:tcPr>
          <w:p w14:paraId="4A6A9AFC"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 </w:t>
            </w:r>
          </w:p>
        </w:tc>
      </w:tr>
      <w:tr w:rsidR="00E35519" w:rsidRPr="004C0C25" w14:paraId="4A6A9B04" w14:textId="77777777" w:rsidTr="00E35519">
        <w:trPr>
          <w:trHeight w:val="255"/>
        </w:trPr>
        <w:tc>
          <w:tcPr>
            <w:tcW w:w="1746" w:type="pct"/>
            <w:tcBorders>
              <w:top w:val="nil"/>
              <w:left w:val="single" w:sz="4" w:space="0" w:color="auto"/>
              <w:bottom w:val="single" w:sz="4" w:space="0" w:color="auto"/>
              <w:right w:val="single" w:sz="4" w:space="0" w:color="auto"/>
            </w:tcBorders>
            <w:shd w:val="clear" w:color="auto" w:fill="auto"/>
            <w:vAlign w:val="center"/>
            <w:hideMark/>
          </w:tcPr>
          <w:p w14:paraId="4A6A9AFE"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1–3 lesions; total cost per patient (90%)</w:t>
            </w:r>
          </w:p>
        </w:tc>
        <w:tc>
          <w:tcPr>
            <w:tcW w:w="650" w:type="pct"/>
            <w:tcBorders>
              <w:top w:val="nil"/>
              <w:left w:val="nil"/>
              <w:bottom w:val="single" w:sz="4" w:space="0" w:color="auto"/>
              <w:right w:val="single" w:sz="4" w:space="0" w:color="auto"/>
            </w:tcBorders>
            <w:shd w:val="clear" w:color="auto" w:fill="auto"/>
            <w:vAlign w:val="center"/>
            <w:hideMark/>
          </w:tcPr>
          <w:p w14:paraId="4A6A9AFF" w14:textId="77777777" w:rsidR="00E35519" w:rsidRPr="004C0C25" w:rsidRDefault="00E35519" w:rsidP="004C0C25">
            <w:pPr>
              <w:rPr>
                <w:rFonts w:ascii="Arial Narrow" w:hAnsi="Arial Narrow"/>
                <w:sz w:val="20"/>
              </w:rPr>
            </w:pPr>
            <w:r w:rsidRPr="004C0C25">
              <w:rPr>
                <w:rFonts w:ascii="Arial Narrow" w:hAnsi="Arial Narrow"/>
                <w:sz w:val="20"/>
              </w:rPr>
              <w:t>181</w:t>
            </w:r>
          </w:p>
        </w:tc>
        <w:tc>
          <w:tcPr>
            <w:tcW w:w="651" w:type="pct"/>
            <w:tcBorders>
              <w:top w:val="nil"/>
              <w:left w:val="nil"/>
              <w:bottom w:val="single" w:sz="4" w:space="0" w:color="auto"/>
              <w:right w:val="single" w:sz="4" w:space="0" w:color="auto"/>
            </w:tcBorders>
            <w:shd w:val="clear" w:color="auto" w:fill="auto"/>
            <w:vAlign w:val="center"/>
            <w:hideMark/>
          </w:tcPr>
          <w:p w14:paraId="4A6A9B00" w14:textId="77777777" w:rsidR="00E35519" w:rsidRPr="004C0C25" w:rsidRDefault="00E35519" w:rsidP="004C0C25">
            <w:pPr>
              <w:rPr>
                <w:rFonts w:ascii="Arial Narrow" w:hAnsi="Arial Narrow"/>
                <w:sz w:val="20"/>
              </w:rPr>
            </w:pPr>
            <w:r w:rsidRPr="004C0C25">
              <w:rPr>
                <w:rFonts w:ascii="Arial Narrow" w:hAnsi="Arial Narrow"/>
                <w:sz w:val="20"/>
              </w:rPr>
              <w:t>372</w:t>
            </w:r>
          </w:p>
        </w:tc>
        <w:tc>
          <w:tcPr>
            <w:tcW w:w="651" w:type="pct"/>
            <w:tcBorders>
              <w:top w:val="nil"/>
              <w:left w:val="nil"/>
              <w:bottom w:val="single" w:sz="4" w:space="0" w:color="auto"/>
              <w:right w:val="single" w:sz="4" w:space="0" w:color="auto"/>
            </w:tcBorders>
            <w:shd w:val="clear" w:color="auto" w:fill="auto"/>
            <w:vAlign w:val="center"/>
            <w:hideMark/>
          </w:tcPr>
          <w:p w14:paraId="4A6A9B01" w14:textId="77777777" w:rsidR="00E35519" w:rsidRPr="004C0C25" w:rsidRDefault="00E35519" w:rsidP="004C0C25">
            <w:pPr>
              <w:rPr>
                <w:rFonts w:ascii="Arial Narrow" w:hAnsi="Arial Narrow"/>
                <w:sz w:val="20"/>
              </w:rPr>
            </w:pPr>
            <w:r w:rsidRPr="004C0C25">
              <w:rPr>
                <w:rFonts w:ascii="Arial Narrow" w:hAnsi="Arial Narrow"/>
                <w:sz w:val="20"/>
              </w:rPr>
              <w:t>573</w:t>
            </w:r>
          </w:p>
        </w:tc>
        <w:tc>
          <w:tcPr>
            <w:tcW w:w="651" w:type="pct"/>
            <w:tcBorders>
              <w:top w:val="nil"/>
              <w:left w:val="nil"/>
              <w:bottom w:val="single" w:sz="4" w:space="0" w:color="auto"/>
              <w:right w:val="single" w:sz="4" w:space="0" w:color="auto"/>
            </w:tcBorders>
            <w:shd w:val="clear" w:color="auto" w:fill="auto"/>
            <w:vAlign w:val="center"/>
            <w:hideMark/>
          </w:tcPr>
          <w:p w14:paraId="4A6A9B02" w14:textId="77777777" w:rsidR="00E35519" w:rsidRPr="004C0C25" w:rsidRDefault="00E35519" w:rsidP="004C0C25">
            <w:pPr>
              <w:rPr>
                <w:rFonts w:ascii="Arial Narrow" w:hAnsi="Arial Narrow"/>
                <w:sz w:val="20"/>
              </w:rPr>
            </w:pPr>
            <w:r w:rsidRPr="004C0C25">
              <w:rPr>
                <w:rFonts w:ascii="Arial Narrow" w:hAnsi="Arial Narrow"/>
                <w:sz w:val="20"/>
              </w:rPr>
              <w:t>784</w:t>
            </w:r>
          </w:p>
        </w:tc>
        <w:tc>
          <w:tcPr>
            <w:tcW w:w="651" w:type="pct"/>
            <w:tcBorders>
              <w:top w:val="nil"/>
              <w:left w:val="nil"/>
              <w:bottom w:val="single" w:sz="4" w:space="0" w:color="auto"/>
              <w:right w:val="single" w:sz="4" w:space="0" w:color="auto"/>
            </w:tcBorders>
            <w:shd w:val="clear" w:color="auto" w:fill="auto"/>
            <w:vAlign w:val="center"/>
            <w:hideMark/>
          </w:tcPr>
          <w:p w14:paraId="4A6A9B03" w14:textId="77777777" w:rsidR="00E35519" w:rsidRPr="004C0C25" w:rsidRDefault="00E35519" w:rsidP="004C0C25">
            <w:pPr>
              <w:rPr>
                <w:rFonts w:ascii="Arial Narrow" w:hAnsi="Arial Narrow"/>
                <w:sz w:val="20"/>
              </w:rPr>
            </w:pPr>
            <w:r w:rsidRPr="004C0C25">
              <w:rPr>
                <w:rFonts w:ascii="Arial Narrow" w:hAnsi="Arial Narrow"/>
                <w:sz w:val="20"/>
              </w:rPr>
              <w:t>1,005</w:t>
            </w:r>
          </w:p>
        </w:tc>
      </w:tr>
      <w:tr w:rsidR="00E35519" w:rsidRPr="004C0C25" w14:paraId="4A6A9B0B" w14:textId="77777777" w:rsidTr="00E35519">
        <w:trPr>
          <w:trHeight w:val="255"/>
        </w:trPr>
        <w:tc>
          <w:tcPr>
            <w:tcW w:w="1746" w:type="pct"/>
            <w:tcBorders>
              <w:top w:val="nil"/>
              <w:left w:val="single" w:sz="4" w:space="0" w:color="auto"/>
              <w:bottom w:val="single" w:sz="4" w:space="0" w:color="auto"/>
              <w:right w:val="single" w:sz="4" w:space="0" w:color="auto"/>
            </w:tcBorders>
            <w:shd w:val="clear" w:color="auto" w:fill="auto"/>
            <w:vAlign w:val="center"/>
            <w:hideMark/>
          </w:tcPr>
          <w:p w14:paraId="4A6A9B05"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3–5 lesions; total cost per patient (10%)</w:t>
            </w:r>
          </w:p>
        </w:tc>
        <w:tc>
          <w:tcPr>
            <w:tcW w:w="650" w:type="pct"/>
            <w:tcBorders>
              <w:top w:val="nil"/>
              <w:left w:val="nil"/>
              <w:bottom w:val="single" w:sz="4" w:space="0" w:color="auto"/>
              <w:right w:val="single" w:sz="4" w:space="0" w:color="auto"/>
            </w:tcBorders>
            <w:shd w:val="clear" w:color="auto" w:fill="auto"/>
            <w:vAlign w:val="center"/>
            <w:hideMark/>
          </w:tcPr>
          <w:p w14:paraId="4A6A9B06" w14:textId="77777777" w:rsidR="00E35519" w:rsidRPr="004C0C25" w:rsidRDefault="00E35519" w:rsidP="004C0C25">
            <w:pPr>
              <w:rPr>
                <w:rFonts w:ascii="Arial Narrow" w:hAnsi="Arial Narrow"/>
                <w:sz w:val="20"/>
              </w:rPr>
            </w:pPr>
            <w:r w:rsidRPr="004C0C25">
              <w:rPr>
                <w:rFonts w:ascii="Arial Narrow" w:hAnsi="Arial Narrow"/>
                <w:sz w:val="20"/>
              </w:rPr>
              <w:t>20</w:t>
            </w:r>
          </w:p>
        </w:tc>
        <w:tc>
          <w:tcPr>
            <w:tcW w:w="651" w:type="pct"/>
            <w:tcBorders>
              <w:top w:val="nil"/>
              <w:left w:val="nil"/>
              <w:bottom w:val="single" w:sz="4" w:space="0" w:color="auto"/>
              <w:right w:val="single" w:sz="4" w:space="0" w:color="auto"/>
            </w:tcBorders>
            <w:shd w:val="clear" w:color="auto" w:fill="auto"/>
            <w:vAlign w:val="center"/>
            <w:hideMark/>
          </w:tcPr>
          <w:p w14:paraId="4A6A9B07" w14:textId="77777777" w:rsidR="00E35519" w:rsidRPr="004C0C25" w:rsidRDefault="00E35519" w:rsidP="004C0C25">
            <w:pPr>
              <w:rPr>
                <w:rFonts w:ascii="Arial Narrow" w:hAnsi="Arial Narrow"/>
                <w:sz w:val="20"/>
              </w:rPr>
            </w:pPr>
            <w:r w:rsidRPr="004C0C25">
              <w:rPr>
                <w:rFonts w:ascii="Arial Narrow" w:hAnsi="Arial Narrow"/>
                <w:sz w:val="20"/>
              </w:rPr>
              <w:t>41</w:t>
            </w:r>
          </w:p>
        </w:tc>
        <w:tc>
          <w:tcPr>
            <w:tcW w:w="651" w:type="pct"/>
            <w:tcBorders>
              <w:top w:val="nil"/>
              <w:left w:val="nil"/>
              <w:bottom w:val="single" w:sz="4" w:space="0" w:color="auto"/>
              <w:right w:val="single" w:sz="4" w:space="0" w:color="auto"/>
            </w:tcBorders>
            <w:shd w:val="clear" w:color="auto" w:fill="auto"/>
            <w:vAlign w:val="center"/>
            <w:hideMark/>
          </w:tcPr>
          <w:p w14:paraId="4A6A9B08" w14:textId="77777777" w:rsidR="00E35519" w:rsidRPr="004C0C25" w:rsidRDefault="00E35519" w:rsidP="004C0C25">
            <w:pPr>
              <w:rPr>
                <w:rFonts w:ascii="Arial Narrow" w:hAnsi="Arial Narrow"/>
                <w:sz w:val="20"/>
              </w:rPr>
            </w:pPr>
            <w:r w:rsidRPr="004C0C25">
              <w:rPr>
                <w:rFonts w:ascii="Arial Narrow" w:hAnsi="Arial Narrow"/>
                <w:sz w:val="20"/>
              </w:rPr>
              <w:t>64</w:t>
            </w:r>
          </w:p>
        </w:tc>
        <w:tc>
          <w:tcPr>
            <w:tcW w:w="651" w:type="pct"/>
            <w:tcBorders>
              <w:top w:val="nil"/>
              <w:left w:val="nil"/>
              <w:bottom w:val="single" w:sz="4" w:space="0" w:color="auto"/>
              <w:right w:val="single" w:sz="4" w:space="0" w:color="auto"/>
            </w:tcBorders>
            <w:shd w:val="clear" w:color="auto" w:fill="auto"/>
            <w:vAlign w:val="center"/>
            <w:hideMark/>
          </w:tcPr>
          <w:p w14:paraId="4A6A9B09" w14:textId="77777777" w:rsidR="00E35519" w:rsidRPr="004C0C25" w:rsidRDefault="00E35519" w:rsidP="004C0C25">
            <w:pPr>
              <w:rPr>
                <w:rFonts w:ascii="Arial Narrow" w:hAnsi="Arial Narrow"/>
                <w:sz w:val="20"/>
              </w:rPr>
            </w:pPr>
            <w:r w:rsidRPr="004C0C25">
              <w:rPr>
                <w:rFonts w:ascii="Arial Narrow" w:hAnsi="Arial Narrow"/>
                <w:sz w:val="20"/>
              </w:rPr>
              <w:t>87</w:t>
            </w:r>
          </w:p>
        </w:tc>
        <w:tc>
          <w:tcPr>
            <w:tcW w:w="651" w:type="pct"/>
            <w:tcBorders>
              <w:top w:val="nil"/>
              <w:left w:val="nil"/>
              <w:bottom w:val="single" w:sz="4" w:space="0" w:color="auto"/>
              <w:right w:val="single" w:sz="4" w:space="0" w:color="auto"/>
            </w:tcBorders>
            <w:shd w:val="clear" w:color="auto" w:fill="auto"/>
            <w:vAlign w:val="center"/>
            <w:hideMark/>
          </w:tcPr>
          <w:p w14:paraId="4A6A9B0A" w14:textId="77777777" w:rsidR="00E35519" w:rsidRPr="004C0C25" w:rsidRDefault="00E35519" w:rsidP="004C0C25">
            <w:pPr>
              <w:rPr>
                <w:rFonts w:ascii="Arial Narrow" w:hAnsi="Arial Narrow"/>
                <w:sz w:val="20"/>
              </w:rPr>
            </w:pPr>
            <w:r w:rsidRPr="004C0C25">
              <w:rPr>
                <w:rFonts w:ascii="Arial Narrow" w:hAnsi="Arial Narrow"/>
                <w:sz w:val="20"/>
              </w:rPr>
              <w:t>112</w:t>
            </w:r>
          </w:p>
        </w:tc>
      </w:tr>
      <w:tr w:rsidR="00E35519" w:rsidRPr="004C0C25" w14:paraId="4A6A9B12" w14:textId="77777777" w:rsidTr="00E35519">
        <w:trPr>
          <w:trHeight w:val="255"/>
        </w:trPr>
        <w:tc>
          <w:tcPr>
            <w:tcW w:w="1746" w:type="pct"/>
            <w:tcBorders>
              <w:top w:val="nil"/>
              <w:left w:val="single" w:sz="4" w:space="0" w:color="auto"/>
              <w:bottom w:val="single" w:sz="4" w:space="0" w:color="auto"/>
              <w:right w:val="single" w:sz="4" w:space="0" w:color="auto"/>
            </w:tcBorders>
            <w:shd w:val="clear" w:color="auto" w:fill="auto"/>
            <w:vAlign w:val="center"/>
            <w:hideMark/>
          </w:tcPr>
          <w:p w14:paraId="4A6A9B0C"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&gt;5 lesions; total cost per patient (0%)</w:t>
            </w:r>
          </w:p>
        </w:tc>
        <w:tc>
          <w:tcPr>
            <w:tcW w:w="650" w:type="pct"/>
            <w:tcBorders>
              <w:top w:val="nil"/>
              <w:left w:val="nil"/>
              <w:bottom w:val="single" w:sz="4" w:space="0" w:color="auto"/>
              <w:right w:val="single" w:sz="4" w:space="0" w:color="auto"/>
            </w:tcBorders>
            <w:shd w:val="clear" w:color="auto" w:fill="auto"/>
            <w:vAlign w:val="center"/>
            <w:hideMark/>
          </w:tcPr>
          <w:p w14:paraId="4A6A9B0D" w14:textId="77777777" w:rsidR="00E35519" w:rsidRPr="004C0C25" w:rsidRDefault="00E35519" w:rsidP="004C0C25">
            <w:pPr>
              <w:rPr>
                <w:rFonts w:ascii="Arial Narrow" w:hAnsi="Arial Narrow"/>
                <w:sz w:val="20"/>
              </w:rPr>
            </w:pPr>
            <w:r w:rsidRPr="004C0C25">
              <w:rPr>
                <w:rFonts w:ascii="Arial Narrow" w:hAnsi="Arial Narrow"/>
                <w:sz w:val="20"/>
              </w:rPr>
              <w:t>0</w:t>
            </w:r>
          </w:p>
        </w:tc>
        <w:tc>
          <w:tcPr>
            <w:tcW w:w="651" w:type="pct"/>
            <w:tcBorders>
              <w:top w:val="nil"/>
              <w:left w:val="nil"/>
              <w:bottom w:val="single" w:sz="4" w:space="0" w:color="auto"/>
              <w:right w:val="single" w:sz="4" w:space="0" w:color="auto"/>
            </w:tcBorders>
            <w:shd w:val="clear" w:color="auto" w:fill="auto"/>
            <w:vAlign w:val="center"/>
            <w:hideMark/>
          </w:tcPr>
          <w:p w14:paraId="4A6A9B0E" w14:textId="77777777" w:rsidR="00E35519" w:rsidRPr="004C0C25" w:rsidRDefault="00E35519" w:rsidP="004C0C25">
            <w:pPr>
              <w:rPr>
                <w:rFonts w:ascii="Arial Narrow" w:hAnsi="Arial Narrow"/>
                <w:sz w:val="20"/>
              </w:rPr>
            </w:pPr>
            <w:r w:rsidRPr="004C0C25">
              <w:rPr>
                <w:rFonts w:ascii="Arial Narrow" w:hAnsi="Arial Narrow"/>
                <w:sz w:val="20"/>
              </w:rPr>
              <w:t>0</w:t>
            </w:r>
          </w:p>
        </w:tc>
        <w:tc>
          <w:tcPr>
            <w:tcW w:w="651" w:type="pct"/>
            <w:tcBorders>
              <w:top w:val="nil"/>
              <w:left w:val="nil"/>
              <w:bottom w:val="single" w:sz="4" w:space="0" w:color="auto"/>
              <w:right w:val="single" w:sz="4" w:space="0" w:color="auto"/>
            </w:tcBorders>
            <w:shd w:val="clear" w:color="auto" w:fill="auto"/>
            <w:vAlign w:val="center"/>
            <w:hideMark/>
          </w:tcPr>
          <w:p w14:paraId="4A6A9B0F" w14:textId="77777777" w:rsidR="00E35519" w:rsidRPr="004C0C25" w:rsidRDefault="00E35519" w:rsidP="004C0C25">
            <w:pPr>
              <w:rPr>
                <w:rFonts w:ascii="Arial Narrow" w:hAnsi="Arial Narrow"/>
                <w:sz w:val="20"/>
              </w:rPr>
            </w:pPr>
            <w:r w:rsidRPr="004C0C25">
              <w:rPr>
                <w:rFonts w:ascii="Arial Narrow" w:hAnsi="Arial Narrow"/>
                <w:sz w:val="20"/>
              </w:rPr>
              <w:t>0</w:t>
            </w:r>
          </w:p>
        </w:tc>
        <w:tc>
          <w:tcPr>
            <w:tcW w:w="651" w:type="pct"/>
            <w:tcBorders>
              <w:top w:val="nil"/>
              <w:left w:val="nil"/>
              <w:bottom w:val="single" w:sz="4" w:space="0" w:color="auto"/>
              <w:right w:val="single" w:sz="4" w:space="0" w:color="auto"/>
            </w:tcBorders>
            <w:shd w:val="clear" w:color="auto" w:fill="auto"/>
            <w:vAlign w:val="center"/>
            <w:hideMark/>
          </w:tcPr>
          <w:p w14:paraId="4A6A9B10" w14:textId="77777777" w:rsidR="00E35519" w:rsidRPr="004C0C25" w:rsidRDefault="00E35519" w:rsidP="004C0C25">
            <w:pPr>
              <w:rPr>
                <w:rFonts w:ascii="Arial Narrow" w:hAnsi="Arial Narrow"/>
                <w:sz w:val="20"/>
              </w:rPr>
            </w:pPr>
            <w:r w:rsidRPr="004C0C25">
              <w:rPr>
                <w:rFonts w:ascii="Arial Narrow" w:hAnsi="Arial Narrow"/>
                <w:sz w:val="20"/>
              </w:rPr>
              <w:t>0</w:t>
            </w:r>
          </w:p>
        </w:tc>
        <w:tc>
          <w:tcPr>
            <w:tcW w:w="651" w:type="pct"/>
            <w:tcBorders>
              <w:top w:val="nil"/>
              <w:left w:val="nil"/>
              <w:bottom w:val="single" w:sz="4" w:space="0" w:color="auto"/>
              <w:right w:val="single" w:sz="4" w:space="0" w:color="auto"/>
            </w:tcBorders>
            <w:shd w:val="clear" w:color="auto" w:fill="auto"/>
            <w:vAlign w:val="center"/>
            <w:hideMark/>
          </w:tcPr>
          <w:p w14:paraId="4A6A9B11" w14:textId="77777777" w:rsidR="00E35519" w:rsidRPr="004C0C25" w:rsidRDefault="00E35519" w:rsidP="004C0C25">
            <w:pPr>
              <w:rPr>
                <w:rFonts w:ascii="Arial Narrow" w:hAnsi="Arial Narrow"/>
                <w:sz w:val="20"/>
              </w:rPr>
            </w:pPr>
            <w:r w:rsidRPr="004C0C25">
              <w:rPr>
                <w:rFonts w:ascii="Arial Narrow" w:hAnsi="Arial Narrow"/>
                <w:sz w:val="20"/>
              </w:rPr>
              <w:t>0</w:t>
            </w:r>
          </w:p>
        </w:tc>
      </w:tr>
      <w:tr w:rsidR="00E35519" w:rsidRPr="004C0C25" w14:paraId="4A6A9B19" w14:textId="77777777" w:rsidTr="00E35519">
        <w:trPr>
          <w:trHeight w:val="255"/>
        </w:trPr>
        <w:tc>
          <w:tcPr>
            <w:tcW w:w="1746" w:type="pct"/>
            <w:tcBorders>
              <w:top w:val="nil"/>
              <w:left w:val="single" w:sz="4" w:space="0" w:color="auto"/>
              <w:bottom w:val="single" w:sz="4" w:space="0" w:color="auto"/>
              <w:right w:val="single" w:sz="4" w:space="0" w:color="auto"/>
            </w:tcBorders>
            <w:shd w:val="clear" w:color="auto" w:fill="auto"/>
            <w:vAlign w:val="center"/>
            <w:hideMark/>
          </w:tcPr>
          <w:p w14:paraId="4A6A9B13"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Total</w:t>
            </w:r>
          </w:p>
        </w:tc>
        <w:tc>
          <w:tcPr>
            <w:tcW w:w="650" w:type="pct"/>
            <w:tcBorders>
              <w:top w:val="nil"/>
              <w:left w:val="nil"/>
              <w:bottom w:val="single" w:sz="4" w:space="0" w:color="auto"/>
              <w:right w:val="single" w:sz="4" w:space="0" w:color="auto"/>
            </w:tcBorders>
            <w:shd w:val="clear" w:color="auto" w:fill="auto"/>
            <w:vAlign w:val="center"/>
            <w:hideMark/>
          </w:tcPr>
          <w:p w14:paraId="4A6A9B14" w14:textId="77777777" w:rsidR="00E35519" w:rsidRPr="004C0C25" w:rsidRDefault="00E35519" w:rsidP="004C0C25">
            <w:pPr>
              <w:rPr>
                <w:rFonts w:ascii="Arial Narrow" w:hAnsi="Arial Narrow"/>
                <w:sz w:val="20"/>
              </w:rPr>
            </w:pPr>
            <w:r w:rsidRPr="004C0C25">
              <w:rPr>
                <w:rFonts w:ascii="Arial Narrow" w:hAnsi="Arial Narrow"/>
                <w:sz w:val="20"/>
              </w:rPr>
              <w:t>202</w:t>
            </w:r>
          </w:p>
        </w:tc>
        <w:tc>
          <w:tcPr>
            <w:tcW w:w="651" w:type="pct"/>
            <w:tcBorders>
              <w:top w:val="nil"/>
              <w:left w:val="nil"/>
              <w:bottom w:val="single" w:sz="4" w:space="0" w:color="auto"/>
              <w:right w:val="single" w:sz="4" w:space="0" w:color="auto"/>
            </w:tcBorders>
            <w:shd w:val="clear" w:color="auto" w:fill="auto"/>
            <w:vAlign w:val="center"/>
            <w:hideMark/>
          </w:tcPr>
          <w:p w14:paraId="4A6A9B15" w14:textId="77777777" w:rsidR="00E35519" w:rsidRPr="004C0C25" w:rsidRDefault="00E35519" w:rsidP="004C0C25">
            <w:pPr>
              <w:rPr>
                <w:rFonts w:ascii="Arial Narrow" w:hAnsi="Arial Narrow"/>
                <w:sz w:val="20"/>
              </w:rPr>
            </w:pPr>
            <w:r w:rsidRPr="004C0C25">
              <w:rPr>
                <w:rFonts w:ascii="Arial Narrow" w:hAnsi="Arial Narrow"/>
                <w:sz w:val="20"/>
              </w:rPr>
              <w:t>414</w:t>
            </w:r>
          </w:p>
        </w:tc>
        <w:tc>
          <w:tcPr>
            <w:tcW w:w="651" w:type="pct"/>
            <w:tcBorders>
              <w:top w:val="nil"/>
              <w:left w:val="nil"/>
              <w:bottom w:val="single" w:sz="4" w:space="0" w:color="auto"/>
              <w:right w:val="single" w:sz="4" w:space="0" w:color="auto"/>
            </w:tcBorders>
            <w:shd w:val="clear" w:color="auto" w:fill="auto"/>
            <w:vAlign w:val="center"/>
            <w:hideMark/>
          </w:tcPr>
          <w:p w14:paraId="4A6A9B16" w14:textId="77777777" w:rsidR="00E35519" w:rsidRPr="004C0C25" w:rsidRDefault="00E35519" w:rsidP="004C0C25">
            <w:pPr>
              <w:rPr>
                <w:rFonts w:ascii="Arial Narrow" w:hAnsi="Arial Narrow"/>
                <w:sz w:val="20"/>
              </w:rPr>
            </w:pPr>
            <w:r w:rsidRPr="004C0C25">
              <w:rPr>
                <w:rFonts w:ascii="Arial Narrow" w:hAnsi="Arial Narrow"/>
                <w:sz w:val="20"/>
              </w:rPr>
              <w:t>636</w:t>
            </w:r>
          </w:p>
        </w:tc>
        <w:tc>
          <w:tcPr>
            <w:tcW w:w="651" w:type="pct"/>
            <w:tcBorders>
              <w:top w:val="nil"/>
              <w:left w:val="nil"/>
              <w:bottom w:val="single" w:sz="4" w:space="0" w:color="auto"/>
              <w:right w:val="single" w:sz="4" w:space="0" w:color="auto"/>
            </w:tcBorders>
            <w:shd w:val="clear" w:color="auto" w:fill="auto"/>
            <w:vAlign w:val="center"/>
            <w:hideMark/>
          </w:tcPr>
          <w:p w14:paraId="4A6A9B17" w14:textId="77777777" w:rsidR="00E35519" w:rsidRPr="004C0C25" w:rsidRDefault="00E35519" w:rsidP="004C0C25">
            <w:pPr>
              <w:rPr>
                <w:rFonts w:ascii="Arial Narrow" w:hAnsi="Arial Narrow"/>
                <w:sz w:val="20"/>
              </w:rPr>
            </w:pPr>
            <w:r w:rsidRPr="004C0C25">
              <w:rPr>
                <w:rFonts w:ascii="Arial Narrow" w:hAnsi="Arial Narrow"/>
                <w:sz w:val="20"/>
              </w:rPr>
              <w:t>871</w:t>
            </w:r>
          </w:p>
        </w:tc>
        <w:tc>
          <w:tcPr>
            <w:tcW w:w="651" w:type="pct"/>
            <w:tcBorders>
              <w:top w:val="nil"/>
              <w:left w:val="nil"/>
              <w:bottom w:val="single" w:sz="4" w:space="0" w:color="auto"/>
              <w:right w:val="single" w:sz="4" w:space="0" w:color="auto"/>
            </w:tcBorders>
            <w:shd w:val="clear" w:color="auto" w:fill="auto"/>
            <w:vAlign w:val="center"/>
            <w:hideMark/>
          </w:tcPr>
          <w:p w14:paraId="4A6A9B18" w14:textId="77777777" w:rsidR="00E35519" w:rsidRPr="004C0C25" w:rsidRDefault="00E35519" w:rsidP="004C0C25">
            <w:pPr>
              <w:rPr>
                <w:rFonts w:ascii="Arial Narrow" w:hAnsi="Arial Narrow"/>
                <w:sz w:val="20"/>
              </w:rPr>
            </w:pPr>
            <w:r w:rsidRPr="004C0C25">
              <w:rPr>
                <w:rFonts w:ascii="Arial Narrow" w:hAnsi="Arial Narrow"/>
                <w:sz w:val="20"/>
              </w:rPr>
              <w:t>1,117</w:t>
            </w:r>
          </w:p>
        </w:tc>
      </w:tr>
      <w:tr w:rsidR="00E35519" w:rsidRPr="004C0C25" w14:paraId="4A6A9B20" w14:textId="77777777" w:rsidTr="00E35519">
        <w:trPr>
          <w:trHeight w:val="255"/>
        </w:trPr>
        <w:tc>
          <w:tcPr>
            <w:tcW w:w="1746" w:type="pct"/>
            <w:tcBorders>
              <w:top w:val="nil"/>
              <w:left w:val="single" w:sz="4" w:space="0" w:color="auto"/>
              <w:bottom w:val="single" w:sz="4" w:space="0" w:color="auto"/>
              <w:right w:val="single" w:sz="4" w:space="0" w:color="auto"/>
            </w:tcBorders>
            <w:shd w:val="clear" w:color="000000" w:fill="D9D9D9"/>
            <w:vAlign w:val="center"/>
            <w:hideMark/>
          </w:tcPr>
          <w:p w14:paraId="4A6A9B1A" w14:textId="77777777" w:rsidR="00E35519" w:rsidRPr="004C0C25" w:rsidRDefault="00E35519" w:rsidP="004C0C25">
            <w:pPr>
              <w:rPr>
                <w:rFonts w:ascii="Arial Narrow" w:eastAsia="Batang" w:hAnsi="Arial Narrow"/>
                <w:b/>
                <w:sz w:val="20"/>
                <w:lang w:val="en-GB" w:eastAsia="ja-JP"/>
              </w:rPr>
            </w:pPr>
            <w:r w:rsidRPr="004C0C25">
              <w:rPr>
                <w:rFonts w:ascii="Arial Narrow" w:eastAsia="Batang" w:hAnsi="Arial Narrow"/>
                <w:b/>
                <w:sz w:val="20"/>
                <w:lang w:val="en-GB" w:eastAsia="ja-JP"/>
              </w:rPr>
              <w:t>MTA MBS Costs by Lesion Grouping</w:t>
            </w:r>
          </w:p>
        </w:tc>
        <w:tc>
          <w:tcPr>
            <w:tcW w:w="650" w:type="pct"/>
            <w:tcBorders>
              <w:top w:val="nil"/>
              <w:left w:val="nil"/>
              <w:bottom w:val="single" w:sz="4" w:space="0" w:color="auto"/>
              <w:right w:val="single" w:sz="4" w:space="0" w:color="auto"/>
            </w:tcBorders>
            <w:shd w:val="clear" w:color="000000" w:fill="D9D9D9"/>
            <w:vAlign w:val="center"/>
            <w:hideMark/>
          </w:tcPr>
          <w:p w14:paraId="4A6A9B1B"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 </w:t>
            </w:r>
          </w:p>
        </w:tc>
        <w:tc>
          <w:tcPr>
            <w:tcW w:w="651" w:type="pct"/>
            <w:tcBorders>
              <w:top w:val="nil"/>
              <w:left w:val="nil"/>
              <w:bottom w:val="single" w:sz="4" w:space="0" w:color="auto"/>
              <w:right w:val="single" w:sz="4" w:space="0" w:color="auto"/>
            </w:tcBorders>
            <w:shd w:val="clear" w:color="000000" w:fill="D9D9D9"/>
            <w:vAlign w:val="center"/>
            <w:hideMark/>
          </w:tcPr>
          <w:p w14:paraId="4A6A9B1C"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 </w:t>
            </w:r>
          </w:p>
        </w:tc>
        <w:tc>
          <w:tcPr>
            <w:tcW w:w="651" w:type="pct"/>
            <w:tcBorders>
              <w:top w:val="nil"/>
              <w:left w:val="nil"/>
              <w:bottom w:val="single" w:sz="4" w:space="0" w:color="auto"/>
              <w:right w:val="single" w:sz="4" w:space="0" w:color="auto"/>
            </w:tcBorders>
            <w:shd w:val="clear" w:color="000000" w:fill="D9D9D9"/>
            <w:vAlign w:val="center"/>
            <w:hideMark/>
          </w:tcPr>
          <w:p w14:paraId="4A6A9B1D"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 </w:t>
            </w:r>
          </w:p>
        </w:tc>
        <w:tc>
          <w:tcPr>
            <w:tcW w:w="651" w:type="pct"/>
            <w:tcBorders>
              <w:top w:val="nil"/>
              <w:left w:val="nil"/>
              <w:bottom w:val="single" w:sz="4" w:space="0" w:color="auto"/>
              <w:right w:val="single" w:sz="4" w:space="0" w:color="auto"/>
            </w:tcBorders>
            <w:shd w:val="clear" w:color="000000" w:fill="D9D9D9"/>
            <w:vAlign w:val="center"/>
            <w:hideMark/>
          </w:tcPr>
          <w:p w14:paraId="4A6A9B1E"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 </w:t>
            </w:r>
          </w:p>
        </w:tc>
        <w:tc>
          <w:tcPr>
            <w:tcW w:w="651" w:type="pct"/>
            <w:tcBorders>
              <w:top w:val="nil"/>
              <w:left w:val="nil"/>
              <w:bottom w:val="single" w:sz="4" w:space="0" w:color="auto"/>
              <w:right w:val="single" w:sz="4" w:space="0" w:color="auto"/>
            </w:tcBorders>
            <w:shd w:val="clear" w:color="000000" w:fill="D9D9D9"/>
            <w:vAlign w:val="center"/>
            <w:hideMark/>
          </w:tcPr>
          <w:p w14:paraId="4A6A9B1F"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 </w:t>
            </w:r>
          </w:p>
        </w:tc>
      </w:tr>
      <w:tr w:rsidR="00E35519" w:rsidRPr="004C0C25" w14:paraId="4A6A9B27" w14:textId="77777777" w:rsidTr="00E35519">
        <w:trPr>
          <w:trHeight w:val="255"/>
        </w:trPr>
        <w:tc>
          <w:tcPr>
            <w:tcW w:w="1746" w:type="pct"/>
            <w:tcBorders>
              <w:top w:val="nil"/>
              <w:left w:val="single" w:sz="4" w:space="0" w:color="auto"/>
              <w:bottom w:val="single" w:sz="4" w:space="0" w:color="auto"/>
              <w:right w:val="single" w:sz="4" w:space="0" w:color="auto"/>
            </w:tcBorders>
            <w:shd w:val="clear" w:color="auto" w:fill="auto"/>
            <w:vAlign w:val="center"/>
            <w:hideMark/>
          </w:tcPr>
          <w:p w14:paraId="4A6A9B21"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1–3 lesions; total cost per patient (90%)</w:t>
            </w:r>
          </w:p>
        </w:tc>
        <w:tc>
          <w:tcPr>
            <w:tcW w:w="650" w:type="pct"/>
            <w:tcBorders>
              <w:top w:val="nil"/>
              <w:left w:val="nil"/>
              <w:bottom w:val="single" w:sz="4" w:space="0" w:color="auto"/>
              <w:right w:val="single" w:sz="4" w:space="0" w:color="auto"/>
            </w:tcBorders>
            <w:shd w:val="clear" w:color="auto" w:fill="auto"/>
            <w:vAlign w:val="center"/>
            <w:hideMark/>
          </w:tcPr>
          <w:p w14:paraId="4A6A9B22" w14:textId="77777777" w:rsidR="00E35519" w:rsidRPr="004C0C25" w:rsidRDefault="00E35519" w:rsidP="004C0C25">
            <w:pPr>
              <w:rPr>
                <w:rFonts w:ascii="Arial Narrow" w:hAnsi="Arial Narrow"/>
                <w:sz w:val="20"/>
              </w:rPr>
            </w:pPr>
            <w:r w:rsidRPr="004C0C25">
              <w:rPr>
                <w:rFonts w:ascii="Arial Narrow" w:hAnsi="Arial Narrow"/>
                <w:sz w:val="20"/>
              </w:rPr>
              <w:t>549,161</w:t>
            </w:r>
          </w:p>
        </w:tc>
        <w:tc>
          <w:tcPr>
            <w:tcW w:w="651" w:type="pct"/>
            <w:tcBorders>
              <w:top w:val="nil"/>
              <w:left w:val="nil"/>
              <w:bottom w:val="single" w:sz="4" w:space="0" w:color="auto"/>
              <w:right w:val="single" w:sz="4" w:space="0" w:color="auto"/>
            </w:tcBorders>
            <w:shd w:val="clear" w:color="auto" w:fill="auto"/>
            <w:vAlign w:val="center"/>
            <w:hideMark/>
          </w:tcPr>
          <w:p w14:paraId="4A6A9B23" w14:textId="77777777" w:rsidR="00E35519" w:rsidRPr="004C0C25" w:rsidRDefault="00E35519" w:rsidP="004C0C25">
            <w:pPr>
              <w:rPr>
                <w:rFonts w:ascii="Arial Narrow" w:hAnsi="Arial Narrow"/>
                <w:sz w:val="20"/>
              </w:rPr>
            </w:pPr>
            <w:r w:rsidRPr="004C0C25">
              <w:rPr>
                <w:rFonts w:ascii="Arial Narrow" w:hAnsi="Arial Narrow"/>
                <w:sz w:val="20"/>
              </w:rPr>
              <w:t>1,126,565</w:t>
            </w:r>
          </w:p>
        </w:tc>
        <w:tc>
          <w:tcPr>
            <w:tcW w:w="651" w:type="pct"/>
            <w:tcBorders>
              <w:top w:val="nil"/>
              <w:left w:val="nil"/>
              <w:bottom w:val="single" w:sz="4" w:space="0" w:color="auto"/>
              <w:right w:val="single" w:sz="4" w:space="0" w:color="auto"/>
            </w:tcBorders>
            <w:shd w:val="clear" w:color="auto" w:fill="auto"/>
            <w:vAlign w:val="center"/>
            <w:hideMark/>
          </w:tcPr>
          <w:p w14:paraId="4A6A9B24" w14:textId="77777777" w:rsidR="00E35519" w:rsidRPr="004C0C25" w:rsidRDefault="00E35519" w:rsidP="004C0C25">
            <w:pPr>
              <w:rPr>
                <w:rFonts w:ascii="Arial Narrow" w:hAnsi="Arial Narrow"/>
                <w:sz w:val="20"/>
              </w:rPr>
            </w:pPr>
            <w:r w:rsidRPr="004C0C25">
              <w:rPr>
                <w:rFonts w:ascii="Arial Narrow" w:hAnsi="Arial Narrow"/>
                <w:sz w:val="20"/>
              </w:rPr>
              <w:t>1,733,634</w:t>
            </w:r>
          </w:p>
        </w:tc>
        <w:tc>
          <w:tcPr>
            <w:tcW w:w="651" w:type="pct"/>
            <w:tcBorders>
              <w:top w:val="nil"/>
              <w:left w:val="nil"/>
              <w:bottom w:val="single" w:sz="4" w:space="0" w:color="auto"/>
              <w:right w:val="single" w:sz="4" w:space="0" w:color="auto"/>
            </w:tcBorders>
            <w:shd w:val="clear" w:color="auto" w:fill="auto"/>
            <w:vAlign w:val="center"/>
            <w:hideMark/>
          </w:tcPr>
          <w:p w14:paraId="4A6A9B25" w14:textId="77777777" w:rsidR="00E35519" w:rsidRPr="004C0C25" w:rsidRDefault="00E35519" w:rsidP="004C0C25">
            <w:pPr>
              <w:rPr>
                <w:rFonts w:ascii="Arial Narrow" w:hAnsi="Arial Narrow"/>
                <w:sz w:val="20"/>
              </w:rPr>
            </w:pPr>
            <w:r w:rsidRPr="004C0C25">
              <w:rPr>
                <w:rFonts w:ascii="Arial Narrow" w:hAnsi="Arial Narrow"/>
                <w:sz w:val="20"/>
              </w:rPr>
              <w:t>2,371,868</w:t>
            </w:r>
          </w:p>
        </w:tc>
        <w:tc>
          <w:tcPr>
            <w:tcW w:w="651" w:type="pct"/>
            <w:tcBorders>
              <w:top w:val="nil"/>
              <w:left w:val="nil"/>
              <w:bottom w:val="single" w:sz="4" w:space="0" w:color="auto"/>
              <w:right w:val="single" w:sz="4" w:space="0" w:color="auto"/>
            </w:tcBorders>
            <w:shd w:val="clear" w:color="auto" w:fill="auto"/>
            <w:vAlign w:val="center"/>
            <w:hideMark/>
          </w:tcPr>
          <w:p w14:paraId="4A6A9B26" w14:textId="77777777" w:rsidR="00E35519" w:rsidRPr="004C0C25" w:rsidRDefault="00E35519" w:rsidP="004C0C25">
            <w:pPr>
              <w:rPr>
                <w:rFonts w:ascii="Arial Narrow" w:hAnsi="Arial Narrow"/>
                <w:sz w:val="20"/>
              </w:rPr>
            </w:pPr>
            <w:r w:rsidRPr="004C0C25">
              <w:rPr>
                <w:rFonts w:ascii="Arial Narrow" w:hAnsi="Arial Narrow"/>
                <w:sz w:val="20"/>
              </w:rPr>
              <w:t>3,042,840</w:t>
            </w:r>
          </w:p>
        </w:tc>
      </w:tr>
      <w:tr w:rsidR="00E35519" w:rsidRPr="004C0C25" w14:paraId="4A6A9B2E" w14:textId="77777777" w:rsidTr="00E35519">
        <w:trPr>
          <w:trHeight w:val="255"/>
        </w:trPr>
        <w:tc>
          <w:tcPr>
            <w:tcW w:w="1746" w:type="pct"/>
            <w:tcBorders>
              <w:top w:val="nil"/>
              <w:left w:val="single" w:sz="4" w:space="0" w:color="auto"/>
              <w:bottom w:val="single" w:sz="4" w:space="0" w:color="auto"/>
              <w:right w:val="single" w:sz="4" w:space="0" w:color="auto"/>
            </w:tcBorders>
            <w:shd w:val="clear" w:color="auto" w:fill="auto"/>
            <w:vAlign w:val="center"/>
            <w:hideMark/>
          </w:tcPr>
          <w:p w14:paraId="4A6A9B28"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3–5 lesions; total cost per patient (10%)</w:t>
            </w:r>
          </w:p>
        </w:tc>
        <w:tc>
          <w:tcPr>
            <w:tcW w:w="650" w:type="pct"/>
            <w:tcBorders>
              <w:top w:val="nil"/>
              <w:left w:val="nil"/>
              <w:bottom w:val="single" w:sz="4" w:space="0" w:color="auto"/>
              <w:right w:val="single" w:sz="4" w:space="0" w:color="auto"/>
            </w:tcBorders>
            <w:shd w:val="clear" w:color="auto" w:fill="auto"/>
            <w:vAlign w:val="center"/>
            <w:hideMark/>
          </w:tcPr>
          <w:p w14:paraId="4A6A9B29" w14:textId="77777777" w:rsidR="00E35519" w:rsidRPr="004C0C25" w:rsidRDefault="00E35519" w:rsidP="004C0C25">
            <w:pPr>
              <w:rPr>
                <w:rFonts w:ascii="Arial Narrow" w:hAnsi="Arial Narrow"/>
                <w:sz w:val="20"/>
              </w:rPr>
            </w:pPr>
            <w:r w:rsidRPr="004C0C25">
              <w:rPr>
                <w:rFonts w:ascii="Arial Narrow" w:hAnsi="Arial Narrow"/>
                <w:sz w:val="20"/>
              </w:rPr>
              <w:t>65,554</w:t>
            </w:r>
          </w:p>
        </w:tc>
        <w:tc>
          <w:tcPr>
            <w:tcW w:w="651" w:type="pct"/>
            <w:tcBorders>
              <w:top w:val="nil"/>
              <w:left w:val="nil"/>
              <w:bottom w:val="single" w:sz="4" w:space="0" w:color="auto"/>
              <w:right w:val="single" w:sz="4" w:space="0" w:color="auto"/>
            </w:tcBorders>
            <w:shd w:val="clear" w:color="auto" w:fill="auto"/>
            <w:vAlign w:val="center"/>
            <w:hideMark/>
          </w:tcPr>
          <w:p w14:paraId="4A6A9B2A" w14:textId="77777777" w:rsidR="00E35519" w:rsidRPr="004C0C25" w:rsidRDefault="00E35519" w:rsidP="004C0C25">
            <w:pPr>
              <w:rPr>
                <w:rFonts w:ascii="Arial Narrow" w:hAnsi="Arial Narrow"/>
                <w:sz w:val="20"/>
              </w:rPr>
            </w:pPr>
            <w:r w:rsidRPr="004C0C25">
              <w:rPr>
                <w:rFonts w:ascii="Arial Narrow" w:hAnsi="Arial Narrow"/>
                <w:sz w:val="20"/>
              </w:rPr>
              <w:t>134,480</w:t>
            </w:r>
          </w:p>
        </w:tc>
        <w:tc>
          <w:tcPr>
            <w:tcW w:w="651" w:type="pct"/>
            <w:tcBorders>
              <w:top w:val="nil"/>
              <w:left w:val="nil"/>
              <w:bottom w:val="single" w:sz="4" w:space="0" w:color="auto"/>
              <w:right w:val="single" w:sz="4" w:space="0" w:color="auto"/>
            </w:tcBorders>
            <w:shd w:val="clear" w:color="auto" w:fill="auto"/>
            <w:vAlign w:val="center"/>
            <w:hideMark/>
          </w:tcPr>
          <w:p w14:paraId="4A6A9B2B" w14:textId="77777777" w:rsidR="00E35519" w:rsidRPr="004C0C25" w:rsidRDefault="00E35519" w:rsidP="004C0C25">
            <w:pPr>
              <w:rPr>
                <w:rFonts w:ascii="Arial Narrow" w:hAnsi="Arial Narrow"/>
                <w:sz w:val="20"/>
              </w:rPr>
            </w:pPr>
            <w:r w:rsidRPr="004C0C25">
              <w:rPr>
                <w:rFonts w:ascii="Arial Narrow" w:hAnsi="Arial Narrow"/>
                <w:sz w:val="20"/>
              </w:rPr>
              <w:t>206,946</w:t>
            </w:r>
          </w:p>
        </w:tc>
        <w:tc>
          <w:tcPr>
            <w:tcW w:w="651" w:type="pct"/>
            <w:tcBorders>
              <w:top w:val="nil"/>
              <w:left w:val="nil"/>
              <w:bottom w:val="single" w:sz="4" w:space="0" w:color="auto"/>
              <w:right w:val="single" w:sz="4" w:space="0" w:color="auto"/>
            </w:tcBorders>
            <w:shd w:val="clear" w:color="auto" w:fill="auto"/>
            <w:vAlign w:val="center"/>
            <w:hideMark/>
          </w:tcPr>
          <w:p w14:paraId="4A6A9B2C" w14:textId="77777777" w:rsidR="00E35519" w:rsidRPr="004C0C25" w:rsidRDefault="00E35519" w:rsidP="004C0C25">
            <w:pPr>
              <w:rPr>
                <w:rFonts w:ascii="Arial Narrow" w:hAnsi="Arial Narrow"/>
                <w:sz w:val="20"/>
              </w:rPr>
            </w:pPr>
            <w:r w:rsidRPr="004C0C25">
              <w:rPr>
                <w:rFonts w:ascii="Arial Narrow" w:hAnsi="Arial Narrow"/>
                <w:sz w:val="20"/>
              </w:rPr>
              <w:t>283,133</w:t>
            </w:r>
          </w:p>
        </w:tc>
        <w:tc>
          <w:tcPr>
            <w:tcW w:w="651" w:type="pct"/>
            <w:tcBorders>
              <w:top w:val="nil"/>
              <w:left w:val="nil"/>
              <w:bottom w:val="single" w:sz="4" w:space="0" w:color="auto"/>
              <w:right w:val="single" w:sz="4" w:space="0" w:color="auto"/>
            </w:tcBorders>
            <w:shd w:val="clear" w:color="auto" w:fill="auto"/>
            <w:vAlign w:val="center"/>
            <w:hideMark/>
          </w:tcPr>
          <w:p w14:paraId="4A6A9B2D" w14:textId="77777777" w:rsidR="00E35519" w:rsidRPr="004C0C25" w:rsidRDefault="00E35519" w:rsidP="004C0C25">
            <w:pPr>
              <w:rPr>
                <w:rFonts w:ascii="Arial Narrow" w:hAnsi="Arial Narrow"/>
                <w:sz w:val="20"/>
              </w:rPr>
            </w:pPr>
            <w:r w:rsidRPr="004C0C25">
              <w:rPr>
                <w:rFonts w:ascii="Arial Narrow" w:hAnsi="Arial Narrow"/>
                <w:sz w:val="20"/>
              </w:rPr>
              <w:t>363,228</w:t>
            </w:r>
          </w:p>
        </w:tc>
      </w:tr>
      <w:tr w:rsidR="00E35519" w:rsidRPr="004C0C25" w14:paraId="4A6A9B35" w14:textId="77777777" w:rsidTr="00E35519">
        <w:trPr>
          <w:trHeight w:val="255"/>
        </w:trPr>
        <w:tc>
          <w:tcPr>
            <w:tcW w:w="1746" w:type="pct"/>
            <w:tcBorders>
              <w:top w:val="nil"/>
              <w:left w:val="single" w:sz="4" w:space="0" w:color="auto"/>
              <w:bottom w:val="single" w:sz="4" w:space="0" w:color="auto"/>
              <w:right w:val="single" w:sz="4" w:space="0" w:color="auto"/>
            </w:tcBorders>
            <w:shd w:val="clear" w:color="auto" w:fill="auto"/>
            <w:vAlign w:val="center"/>
            <w:hideMark/>
          </w:tcPr>
          <w:p w14:paraId="4A6A9B2F"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&gt;5 lesions; total cost per patient (0%)</w:t>
            </w:r>
          </w:p>
        </w:tc>
        <w:tc>
          <w:tcPr>
            <w:tcW w:w="650" w:type="pct"/>
            <w:tcBorders>
              <w:top w:val="nil"/>
              <w:left w:val="nil"/>
              <w:bottom w:val="single" w:sz="4" w:space="0" w:color="auto"/>
              <w:right w:val="single" w:sz="4" w:space="0" w:color="auto"/>
            </w:tcBorders>
            <w:shd w:val="clear" w:color="auto" w:fill="auto"/>
            <w:vAlign w:val="center"/>
            <w:hideMark/>
          </w:tcPr>
          <w:p w14:paraId="4A6A9B30" w14:textId="77777777" w:rsidR="00E35519" w:rsidRPr="004C0C25" w:rsidRDefault="00E35519" w:rsidP="004C0C25">
            <w:pPr>
              <w:rPr>
                <w:rFonts w:ascii="Arial Narrow" w:hAnsi="Arial Narrow"/>
                <w:sz w:val="20"/>
              </w:rPr>
            </w:pPr>
            <w:r w:rsidRPr="004C0C25">
              <w:rPr>
                <w:rFonts w:ascii="Arial Narrow" w:hAnsi="Arial Narrow"/>
                <w:sz w:val="20"/>
              </w:rPr>
              <w:t>0</w:t>
            </w:r>
          </w:p>
        </w:tc>
        <w:tc>
          <w:tcPr>
            <w:tcW w:w="651" w:type="pct"/>
            <w:tcBorders>
              <w:top w:val="nil"/>
              <w:left w:val="nil"/>
              <w:bottom w:val="single" w:sz="4" w:space="0" w:color="auto"/>
              <w:right w:val="single" w:sz="4" w:space="0" w:color="auto"/>
            </w:tcBorders>
            <w:shd w:val="clear" w:color="auto" w:fill="auto"/>
            <w:vAlign w:val="center"/>
            <w:hideMark/>
          </w:tcPr>
          <w:p w14:paraId="4A6A9B31" w14:textId="77777777" w:rsidR="00E35519" w:rsidRPr="004C0C25" w:rsidRDefault="00E35519" w:rsidP="004C0C25">
            <w:pPr>
              <w:rPr>
                <w:rFonts w:ascii="Arial Narrow" w:hAnsi="Arial Narrow"/>
                <w:sz w:val="20"/>
              </w:rPr>
            </w:pPr>
            <w:r w:rsidRPr="004C0C25">
              <w:rPr>
                <w:rFonts w:ascii="Arial Narrow" w:hAnsi="Arial Narrow"/>
                <w:sz w:val="20"/>
              </w:rPr>
              <w:t>0</w:t>
            </w:r>
          </w:p>
        </w:tc>
        <w:tc>
          <w:tcPr>
            <w:tcW w:w="651" w:type="pct"/>
            <w:tcBorders>
              <w:top w:val="nil"/>
              <w:left w:val="nil"/>
              <w:bottom w:val="single" w:sz="4" w:space="0" w:color="auto"/>
              <w:right w:val="single" w:sz="4" w:space="0" w:color="auto"/>
            </w:tcBorders>
            <w:shd w:val="clear" w:color="auto" w:fill="auto"/>
            <w:vAlign w:val="center"/>
            <w:hideMark/>
          </w:tcPr>
          <w:p w14:paraId="4A6A9B32" w14:textId="77777777" w:rsidR="00E35519" w:rsidRPr="004C0C25" w:rsidRDefault="00E35519" w:rsidP="004C0C25">
            <w:pPr>
              <w:rPr>
                <w:rFonts w:ascii="Arial Narrow" w:hAnsi="Arial Narrow"/>
                <w:sz w:val="20"/>
              </w:rPr>
            </w:pPr>
            <w:r w:rsidRPr="004C0C25">
              <w:rPr>
                <w:rFonts w:ascii="Arial Narrow" w:hAnsi="Arial Narrow"/>
                <w:sz w:val="20"/>
              </w:rPr>
              <w:t>0</w:t>
            </w:r>
          </w:p>
        </w:tc>
        <w:tc>
          <w:tcPr>
            <w:tcW w:w="651" w:type="pct"/>
            <w:tcBorders>
              <w:top w:val="nil"/>
              <w:left w:val="nil"/>
              <w:bottom w:val="single" w:sz="4" w:space="0" w:color="auto"/>
              <w:right w:val="single" w:sz="4" w:space="0" w:color="auto"/>
            </w:tcBorders>
            <w:shd w:val="clear" w:color="auto" w:fill="auto"/>
            <w:vAlign w:val="center"/>
            <w:hideMark/>
          </w:tcPr>
          <w:p w14:paraId="4A6A9B33" w14:textId="77777777" w:rsidR="00E35519" w:rsidRPr="004C0C25" w:rsidRDefault="00E35519" w:rsidP="004C0C25">
            <w:pPr>
              <w:rPr>
                <w:rFonts w:ascii="Arial Narrow" w:hAnsi="Arial Narrow"/>
                <w:sz w:val="20"/>
              </w:rPr>
            </w:pPr>
            <w:r w:rsidRPr="004C0C25">
              <w:rPr>
                <w:rFonts w:ascii="Arial Narrow" w:hAnsi="Arial Narrow"/>
                <w:sz w:val="20"/>
              </w:rPr>
              <w:t>0</w:t>
            </w:r>
          </w:p>
        </w:tc>
        <w:tc>
          <w:tcPr>
            <w:tcW w:w="651" w:type="pct"/>
            <w:tcBorders>
              <w:top w:val="nil"/>
              <w:left w:val="nil"/>
              <w:bottom w:val="single" w:sz="4" w:space="0" w:color="auto"/>
              <w:right w:val="single" w:sz="4" w:space="0" w:color="auto"/>
            </w:tcBorders>
            <w:shd w:val="clear" w:color="auto" w:fill="auto"/>
            <w:vAlign w:val="center"/>
            <w:hideMark/>
          </w:tcPr>
          <w:p w14:paraId="4A6A9B34" w14:textId="77777777" w:rsidR="00E35519" w:rsidRPr="004C0C25" w:rsidRDefault="00E35519" w:rsidP="004C0C25">
            <w:pPr>
              <w:rPr>
                <w:rFonts w:ascii="Arial Narrow" w:hAnsi="Arial Narrow"/>
                <w:sz w:val="20"/>
              </w:rPr>
            </w:pPr>
            <w:r w:rsidRPr="004C0C25">
              <w:rPr>
                <w:rFonts w:ascii="Arial Narrow" w:hAnsi="Arial Narrow"/>
                <w:sz w:val="20"/>
              </w:rPr>
              <w:t>0</w:t>
            </w:r>
          </w:p>
        </w:tc>
      </w:tr>
      <w:tr w:rsidR="00E35519" w:rsidRPr="004C0C25" w14:paraId="4A6A9B3C" w14:textId="77777777" w:rsidTr="00E35519">
        <w:trPr>
          <w:trHeight w:val="255"/>
        </w:trPr>
        <w:tc>
          <w:tcPr>
            <w:tcW w:w="1746" w:type="pct"/>
            <w:tcBorders>
              <w:top w:val="nil"/>
              <w:left w:val="single" w:sz="4" w:space="0" w:color="auto"/>
              <w:bottom w:val="single" w:sz="4" w:space="0" w:color="auto"/>
              <w:right w:val="single" w:sz="4" w:space="0" w:color="auto"/>
            </w:tcBorders>
            <w:shd w:val="clear" w:color="auto" w:fill="auto"/>
            <w:vAlign w:val="center"/>
            <w:hideMark/>
          </w:tcPr>
          <w:p w14:paraId="4A6A9B36"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Total</w:t>
            </w:r>
          </w:p>
        </w:tc>
        <w:tc>
          <w:tcPr>
            <w:tcW w:w="650" w:type="pct"/>
            <w:tcBorders>
              <w:top w:val="nil"/>
              <w:left w:val="nil"/>
              <w:bottom w:val="single" w:sz="4" w:space="0" w:color="auto"/>
              <w:right w:val="single" w:sz="4" w:space="0" w:color="auto"/>
            </w:tcBorders>
            <w:shd w:val="clear" w:color="auto" w:fill="auto"/>
            <w:vAlign w:val="center"/>
            <w:hideMark/>
          </w:tcPr>
          <w:p w14:paraId="4A6A9B37" w14:textId="77777777" w:rsidR="00E35519" w:rsidRPr="004C0C25" w:rsidRDefault="00E35519" w:rsidP="004C0C25">
            <w:pPr>
              <w:rPr>
                <w:rFonts w:ascii="Arial Narrow" w:hAnsi="Arial Narrow"/>
                <w:sz w:val="20"/>
              </w:rPr>
            </w:pPr>
            <w:r w:rsidRPr="004C0C25">
              <w:rPr>
                <w:rFonts w:ascii="Arial Narrow" w:hAnsi="Arial Narrow"/>
                <w:sz w:val="20"/>
              </w:rPr>
              <w:t>614,715</w:t>
            </w:r>
          </w:p>
        </w:tc>
        <w:tc>
          <w:tcPr>
            <w:tcW w:w="651" w:type="pct"/>
            <w:tcBorders>
              <w:top w:val="nil"/>
              <w:left w:val="nil"/>
              <w:bottom w:val="single" w:sz="4" w:space="0" w:color="auto"/>
              <w:right w:val="single" w:sz="4" w:space="0" w:color="auto"/>
            </w:tcBorders>
            <w:shd w:val="clear" w:color="auto" w:fill="auto"/>
            <w:vAlign w:val="center"/>
            <w:hideMark/>
          </w:tcPr>
          <w:p w14:paraId="4A6A9B38" w14:textId="77777777" w:rsidR="00E35519" w:rsidRPr="004C0C25" w:rsidRDefault="00E35519" w:rsidP="004C0C25">
            <w:pPr>
              <w:rPr>
                <w:rFonts w:ascii="Arial Narrow" w:hAnsi="Arial Narrow"/>
                <w:sz w:val="20"/>
              </w:rPr>
            </w:pPr>
            <w:r w:rsidRPr="004C0C25">
              <w:rPr>
                <w:rFonts w:ascii="Arial Narrow" w:hAnsi="Arial Narrow"/>
                <w:sz w:val="20"/>
              </w:rPr>
              <w:t>1,261,044</w:t>
            </w:r>
          </w:p>
        </w:tc>
        <w:tc>
          <w:tcPr>
            <w:tcW w:w="651" w:type="pct"/>
            <w:tcBorders>
              <w:top w:val="nil"/>
              <w:left w:val="nil"/>
              <w:bottom w:val="single" w:sz="4" w:space="0" w:color="auto"/>
              <w:right w:val="single" w:sz="4" w:space="0" w:color="auto"/>
            </w:tcBorders>
            <w:shd w:val="clear" w:color="auto" w:fill="auto"/>
            <w:vAlign w:val="center"/>
            <w:hideMark/>
          </w:tcPr>
          <w:p w14:paraId="4A6A9B39" w14:textId="77777777" w:rsidR="00E35519" w:rsidRPr="004C0C25" w:rsidRDefault="00E35519" w:rsidP="004C0C25">
            <w:pPr>
              <w:rPr>
                <w:rFonts w:ascii="Arial Narrow" w:hAnsi="Arial Narrow"/>
                <w:sz w:val="20"/>
              </w:rPr>
            </w:pPr>
            <w:r w:rsidRPr="004C0C25">
              <w:rPr>
                <w:rFonts w:ascii="Arial Narrow" w:hAnsi="Arial Narrow"/>
                <w:sz w:val="20"/>
              </w:rPr>
              <w:t>1,940,581</w:t>
            </w:r>
          </w:p>
        </w:tc>
        <w:tc>
          <w:tcPr>
            <w:tcW w:w="651" w:type="pct"/>
            <w:tcBorders>
              <w:top w:val="nil"/>
              <w:left w:val="nil"/>
              <w:bottom w:val="single" w:sz="4" w:space="0" w:color="auto"/>
              <w:right w:val="single" w:sz="4" w:space="0" w:color="auto"/>
            </w:tcBorders>
            <w:shd w:val="clear" w:color="auto" w:fill="auto"/>
            <w:vAlign w:val="center"/>
            <w:hideMark/>
          </w:tcPr>
          <w:p w14:paraId="4A6A9B3A" w14:textId="77777777" w:rsidR="00E35519" w:rsidRPr="004C0C25" w:rsidRDefault="00E35519" w:rsidP="004C0C25">
            <w:pPr>
              <w:rPr>
                <w:rFonts w:ascii="Arial Narrow" w:hAnsi="Arial Narrow"/>
                <w:sz w:val="20"/>
              </w:rPr>
            </w:pPr>
            <w:r w:rsidRPr="004C0C25">
              <w:rPr>
                <w:rFonts w:ascii="Arial Narrow" w:hAnsi="Arial Narrow"/>
                <w:sz w:val="20"/>
              </w:rPr>
              <w:t>2,655,001</w:t>
            </w:r>
          </w:p>
        </w:tc>
        <w:tc>
          <w:tcPr>
            <w:tcW w:w="651" w:type="pct"/>
            <w:tcBorders>
              <w:top w:val="nil"/>
              <w:left w:val="nil"/>
              <w:bottom w:val="single" w:sz="4" w:space="0" w:color="auto"/>
              <w:right w:val="single" w:sz="4" w:space="0" w:color="auto"/>
            </w:tcBorders>
            <w:shd w:val="clear" w:color="auto" w:fill="auto"/>
            <w:vAlign w:val="center"/>
            <w:hideMark/>
          </w:tcPr>
          <w:p w14:paraId="4A6A9B3B" w14:textId="77777777" w:rsidR="00E35519" w:rsidRPr="004C0C25" w:rsidRDefault="00E35519" w:rsidP="004C0C25">
            <w:pPr>
              <w:rPr>
                <w:rFonts w:ascii="Arial Narrow" w:hAnsi="Arial Narrow"/>
                <w:sz w:val="20"/>
              </w:rPr>
            </w:pPr>
            <w:r w:rsidRPr="004C0C25">
              <w:rPr>
                <w:rFonts w:ascii="Arial Narrow" w:hAnsi="Arial Narrow"/>
                <w:sz w:val="20"/>
              </w:rPr>
              <w:t>3,406,068</w:t>
            </w:r>
          </w:p>
        </w:tc>
      </w:tr>
      <w:tr w:rsidR="00E35519" w:rsidRPr="004C0C25" w14:paraId="4A6A9B43" w14:textId="77777777" w:rsidTr="00E35519">
        <w:trPr>
          <w:trHeight w:val="255"/>
        </w:trPr>
        <w:tc>
          <w:tcPr>
            <w:tcW w:w="1746" w:type="pct"/>
            <w:tcBorders>
              <w:top w:val="nil"/>
              <w:left w:val="single" w:sz="4" w:space="0" w:color="auto"/>
              <w:bottom w:val="single" w:sz="4" w:space="0" w:color="auto"/>
              <w:right w:val="single" w:sz="4" w:space="0" w:color="auto"/>
            </w:tcBorders>
            <w:shd w:val="clear" w:color="000000" w:fill="D9D9D9"/>
            <w:vAlign w:val="center"/>
            <w:hideMark/>
          </w:tcPr>
          <w:p w14:paraId="4A6A9B3D" w14:textId="77777777" w:rsidR="00E35519" w:rsidRPr="004C0C25" w:rsidRDefault="00E35519" w:rsidP="004C0C25">
            <w:pPr>
              <w:rPr>
                <w:rFonts w:ascii="Arial Narrow" w:eastAsia="Batang" w:hAnsi="Arial Narrow"/>
                <w:b/>
                <w:sz w:val="20"/>
                <w:lang w:val="en-GB" w:eastAsia="ja-JP"/>
              </w:rPr>
            </w:pPr>
            <w:r w:rsidRPr="004C0C25">
              <w:rPr>
                <w:rFonts w:ascii="Arial Narrow" w:eastAsia="Batang" w:hAnsi="Arial Narrow"/>
                <w:b/>
                <w:sz w:val="20"/>
                <w:lang w:val="en-GB" w:eastAsia="ja-JP"/>
              </w:rPr>
              <w:t>SBRT MBS Costs by Lesion Grouping (Item 15600)</w:t>
            </w:r>
          </w:p>
        </w:tc>
        <w:tc>
          <w:tcPr>
            <w:tcW w:w="650" w:type="pct"/>
            <w:tcBorders>
              <w:top w:val="nil"/>
              <w:left w:val="nil"/>
              <w:bottom w:val="single" w:sz="4" w:space="0" w:color="auto"/>
              <w:right w:val="single" w:sz="4" w:space="0" w:color="auto"/>
            </w:tcBorders>
            <w:shd w:val="clear" w:color="000000" w:fill="D9D9D9"/>
            <w:vAlign w:val="center"/>
            <w:hideMark/>
          </w:tcPr>
          <w:p w14:paraId="4A6A9B3E"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 </w:t>
            </w:r>
          </w:p>
        </w:tc>
        <w:tc>
          <w:tcPr>
            <w:tcW w:w="651" w:type="pct"/>
            <w:tcBorders>
              <w:top w:val="nil"/>
              <w:left w:val="nil"/>
              <w:bottom w:val="single" w:sz="4" w:space="0" w:color="auto"/>
              <w:right w:val="single" w:sz="4" w:space="0" w:color="auto"/>
            </w:tcBorders>
            <w:shd w:val="clear" w:color="000000" w:fill="D9D9D9"/>
            <w:vAlign w:val="center"/>
            <w:hideMark/>
          </w:tcPr>
          <w:p w14:paraId="4A6A9B3F"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 </w:t>
            </w:r>
          </w:p>
        </w:tc>
        <w:tc>
          <w:tcPr>
            <w:tcW w:w="651" w:type="pct"/>
            <w:tcBorders>
              <w:top w:val="nil"/>
              <w:left w:val="nil"/>
              <w:bottom w:val="single" w:sz="4" w:space="0" w:color="auto"/>
              <w:right w:val="single" w:sz="4" w:space="0" w:color="auto"/>
            </w:tcBorders>
            <w:shd w:val="clear" w:color="000000" w:fill="D9D9D9"/>
            <w:vAlign w:val="center"/>
            <w:hideMark/>
          </w:tcPr>
          <w:p w14:paraId="4A6A9B40"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 </w:t>
            </w:r>
          </w:p>
        </w:tc>
        <w:tc>
          <w:tcPr>
            <w:tcW w:w="651" w:type="pct"/>
            <w:tcBorders>
              <w:top w:val="nil"/>
              <w:left w:val="nil"/>
              <w:bottom w:val="single" w:sz="4" w:space="0" w:color="auto"/>
              <w:right w:val="single" w:sz="4" w:space="0" w:color="auto"/>
            </w:tcBorders>
            <w:shd w:val="clear" w:color="000000" w:fill="D9D9D9"/>
            <w:vAlign w:val="center"/>
            <w:hideMark/>
          </w:tcPr>
          <w:p w14:paraId="4A6A9B41"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 </w:t>
            </w:r>
          </w:p>
        </w:tc>
        <w:tc>
          <w:tcPr>
            <w:tcW w:w="651" w:type="pct"/>
            <w:tcBorders>
              <w:top w:val="nil"/>
              <w:left w:val="nil"/>
              <w:bottom w:val="single" w:sz="4" w:space="0" w:color="auto"/>
              <w:right w:val="single" w:sz="4" w:space="0" w:color="auto"/>
            </w:tcBorders>
            <w:shd w:val="clear" w:color="000000" w:fill="D9D9D9"/>
            <w:vAlign w:val="center"/>
            <w:hideMark/>
          </w:tcPr>
          <w:p w14:paraId="4A6A9B42"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 </w:t>
            </w:r>
          </w:p>
        </w:tc>
      </w:tr>
      <w:tr w:rsidR="00E35519" w:rsidRPr="004C0C25" w14:paraId="4A6A9B4A" w14:textId="77777777" w:rsidTr="00E35519">
        <w:trPr>
          <w:trHeight w:val="255"/>
        </w:trPr>
        <w:tc>
          <w:tcPr>
            <w:tcW w:w="1746" w:type="pct"/>
            <w:tcBorders>
              <w:top w:val="nil"/>
              <w:left w:val="single" w:sz="4" w:space="0" w:color="auto"/>
              <w:bottom w:val="single" w:sz="4" w:space="0" w:color="auto"/>
              <w:right w:val="single" w:sz="4" w:space="0" w:color="auto"/>
            </w:tcBorders>
            <w:shd w:val="clear" w:color="auto" w:fill="auto"/>
            <w:vAlign w:val="center"/>
            <w:hideMark/>
          </w:tcPr>
          <w:p w14:paraId="4A6A9B44"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1–3 lesions; total cost per patient (90%)</w:t>
            </w:r>
          </w:p>
        </w:tc>
        <w:tc>
          <w:tcPr>
            <w:tcW w:w="650" w:type="pct"/>
            <w:tcBorders>
              <w:top w:val="nil"/>
              <w:left w:val="nil"/>
              <w:bottom w:val="single" w:sz="4" w:space="0" w:color="auto"/>
              <w:right w:val="single" w:sz="4" w:space="0" w:color="auto"/>
            </w:tcBorders>
            <w:shd w:val="clear" w:color="auto" w:fill="auto"/>
            <w:vAlign w:val="center"/>
            <w:hideMark/>
          </w:tcPr>
          <w:p w14:paraId="4A6A9B45" w14:textId="77777777" w:rsidR="00E35519" w:rsidRPr="004C0C25" w:rsidRDefault="00E35519" w:rsidP="004C0C25">
            <w:pPr>
              <w:rPr>
                <w:rFonts w:ascii="Arial Narrow" w:hAnsi="Arial Narrow"/>
                <w:sz w:val="20"/>
              </w:rPr>
            </w:pPr>
            <w:r w:rsidRPr="004C0C25">
              <w:rPr>
                <w:rFonts w:ascii="Arial Narrow" w:hAnsi="Arial Narrow"/>
                <w:sz w:val="20"/>
              </w:rPr>
              <w:t>815,107</w:t>
            </w:r>
          </w:p>
        </w:tc>
        <w:tc>
          <w:tcPr>
            <w:tcW w:w="651" w:type="pct"/>
            <w:tcBorders>
              <w:top w:val="nil"/>
              <w:left w:val="nil"/>
              <w:bottom w:val="single" w:sz="4" w:space="0" w:color="auto"/>
              <w:right w:val="single" w:sz="4" w:space="0" w:color="auto"/>
            </w:tcBorders>
            <w:shd w:val="clear" w:color="auto" w:fill="auto"/>
            <w:vAlign w:val="center"/>
            <w:hideMark/>
          </w:tcPr>
          <w:p w14:paraId="4A6A9B46" w14:textId="77777777" w:rsidR="00E35519" w:rsidRPr="004C0C25" w:rsidRDefault="00E35519" w:rsidP="004C0C25">
            <w:pPr>
              <w:rPr>
                <w:rFonts w:ascii="Arial Narrow" w:hAnsi="Arial Narrow"/>
                <w:sz w:val="20"/>
              </w:rPr>
            </w:pPr>
            <w:r w:rsidRPr="004C0C25">
              <w:rPr>
                <w:rFonts w:ascii="Arial Narrow" w:hAnsi="Arial Narrow"/>
                <w:sz w:val="20"/>
              </w:rPr>
              <w:t>1,672,134</w:t>
            </w:r>
          </w:p>
        </w:tc>
        <w:tc>
          <w:tcPr>
            <w:tcW w:w="651" w:type="pct"/>
            <w:tcBorders>
              <w:top w:val="nil"/>
              <w:left w:val="nil"/>
              <w:bottom w:val="single" w:sz="4" w:space="0" w:color="auto"/>
              <w:right w:val="single" w:sz="4" w:space="0" w:color="auto"/>
            </w:tcBorders>
            <w:shd w:val="clear" w:color="auto" w:fill="auto"/>
            <w:vAlign w:val="center"/>
            <w:hideMark/>
          </w:tcPr>
          <w:p w14:paraId="4A6A9B47" w14:textId="77777777" w:rsidR="00E35519" w:rsidRPr="004C0C25" w:rsidRDefault="00E35519" w:rsidP="004C0C25">
            <w:pPr>
              <w:rPr>
                <w:rFonts w:ascii="Arial Narrow" w:hAnsi="Arial Narrow"/>
                <w:sz w:val="20"/>
              </w:rPr>
            </w:pPr>
            <w:r w:rsidRPr="004C0C25">
              <w:rPr>
                <w:rFonts w:ascii="Arial Narrow" w:hAnsi="Arial Narrow"/>
                <w:sz w:val="20"/>
              </w:rPr>
              <w:t>2,573,194</w:t>
            </w:r>
          </w:p>
        </w:tc>
        <w:tc>
          <w:tcPr>
            <w:tcW w:w="651" w:type="pct"/>
            <w:tcBorders>
              <w:top w:val="nil"/>
              <w:left w:val="nil"/>
              <w:bottom w:val="single" w:sz="4" w:space="0" w:color="auto"/>
              <w:right w:val="single" w:sz="4" w:space="0" w:color="auto"/>
            </w:tcBorders>
            <w:shd w:val="clear" w:color="auto" w:fill="auto"/>
            <w:vAlign w:val="center"/>
            <w:hideMark/>
          </w:tcPr>
          <w:p w14:paraId="4A6A9B48" w14:textId="77777777" w:rsidR="00E35519" w:rsidRPr="004C0C25" w:rsidRDefault="00E35519" w:rsidP="004C0C25">
            <w:pPr>
              <w:rPr>
                <w:rFonts w:ascii="Arial Narrow" w:hAnsi="Arial Narrow"/>
                <w:sz w:val="20"/>
              </w:rPr>
            </w:pPr>
            <w:r w:rsidRPr="004C0C25">
              <w:rPr>
                <w:rFonts w:ascii="Arial Narrow" w:hAnsi="Arial Narrow"/>
                <w:sz w:val="20"/>
              </w:rPr>
              <w:t>3,520,509</w:t>
            </w:r>
          </w:p>
        </w:tc>
        <w:tc>
          <w:tcPr>
            <w:tcW w:w="651" w:type="pct"/>
            <w:tcBorders>
              <w:top w:val="nil"/>
              <w:left w:val="nil"/>
              <w:bottom w:val="single" w:sz="4" w:space="0" w:color="auto"/>
              <w:right w:val="single" w:sz="4" w:space="0" w:color="auto"/>
            </w:tcBorders>
            <w:shd w:val="clear" w:color="auto" w:fill="auto"/>
            <w:vAlign w:val="center"/>
            <w:hideMark/>
          </w:tcPr>
          <w:p w14:paraId="4A6A9B49" w14:textId="77777777" w:rsidR="00E35519" w:rsidRPr="004C0C25" w:rsidRDefault="00E35519" w:rsidP="004C0C25">
            <w:pPr>
              <w:rPr>
                <w:rFonts w:ascii="Arial Narrow" w:hAnsi="Arial Narrow"/>
                <w:sz w:val="20"/>
              </w:rPr>
            </w:pPr>
            <w:r w:rsidRPr="004C0C25">
              <w:rPr>
                <w:rFonts w:ascii="Arial Narrow" w:hAnsi="Arial Narrow"/>
                <w:sz w:val="20"/>
              </w:rPr>
              <w:t>4,516,418</w:t>
            </w:r>
          </w:p>
        </w:tc>
      </w:tr>
      <w:tr w:rsidR="00E35519" w:rsidRPr="004C0C25" w14:paraId="4A6A9B51" w14:textId="77777777" w:rsidTr="00E35519">
        <w:trPr>
          <w:trHeight w:val="255"/>
        </w:trPr>
        <w:tc>
          <w:tcPr>
            <w:tcW w:w="1746" w:type="pct"/>
            <w:tcBorders>
              <w:top w:val="nil"/>
              <w:left w:val="single" w:sz="4" w:space="0" w:color="auto"/>
              <w:bottom w:val="single" w:sz="4" w:space="0" w:color="auto"/>
              <w:right w:val="single" w:sz="4" w:space="0" w:color="auto"/>
            </w:tcBorders>
            <w:shd w:val="clear" w:color="auto" w:fill="auto"/>
            <w:vAlign w:val="center"/>
            <w:hideMark/>
          </w:tcPr>
          <w:p w14:paraId="4A6A9B4B"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3–5 lesions; total cost per patient (10%)</w:t>
            </w:r>
          </w:p>
        </w:tc>
        <w:tc>
          <w:tcPr>
            <w:tcW w:w="650" w:type="pct"/>
            <w:tcBorders>
              <w:top w:val="nil"/>
              <w:left w:val="nil"/>
              <w:bottom w:val="single" w:sz="4" w:space="0" w:color="auto"/>
              <w:right w:val="single" w:sz="4" w:space="0" w:color="auto"/>
            </w:tcBorders>
            <w:shd w:val="clear" w:color="auto" w:fill="auto"/>
            <w:vAlign w:val="center"/>
            <w:hideMark/>
          </w:tcPr>
          <w:p w14:paraId="4A6A9B4C" w14:textId="77777777" w:rsidR="00E35519" w:rsidRPr="004C0C25" w:rsidRDefault="00E35519" w:rsidP="004C0C25">
            <w:pPr>
              <w:rPr>
                <w:rFonts w:ascii="Arial Narrow" w:hAnsi="Arial Narrow"/>
                <w:sz w:val="20"/>
              </w:rPr>
            </w:pPr>
            <w:r w:rsidRPr="004C0C25">
              <w:rPr>
                <w:rFonts w:ascii="Arial Narrow" w:hAnsi="Arial Narrow"/>
                <w:sz w:val="20"/>
              </w:rPr>
              <w:t>96,829</w:t>
            </w:r>
          </w:p>
        </w:tc>
        <w:tc>
          <w:tcPr>
            <w:tcW w:w="651" w:type="pct"/>
            <w:tcBorders>
              <w:top w:val="nil"/>
              <w:left w:val="nil"/>
              <w:bottom w:val="single" w:sz="4" w:space="0" w:color="auto"/>
              <w:right w:val="single" w:sz="4" w:space="0" w:color="auto"/>
            </w:tcBorders>
            <w:shd w:val="clear" w:color="auto" w:fill="auto"/>
            <w:vAlign w:val="center"/>
            <w:hideMark/>
          </w:tcPr>
          <w:p w14:paraId="4A6A9B4D" w14:textId="77777777" w:rsidR="00E35519" w:rsidRPr="004C0C25" w:rsidRDefault="00E35519" w:rsidP="004C0C25">
            <w:pPr>
              <w:rPr>
                <w:rFonts w:ascii="Arial Narrow" w:hAnsi="Arial Narrow"/>
                <w:sz w:val="20"/>
              </w:rPr>
            </w:pPr>
            <w:r w:rsidRPr="004C0C25">
              <w:rPr>
                <w:rFonts w:ascii="Arial Narrow" w:hAnsi="Arial Narrow"/>
                <w:sz w:val="20"/>
              </w:rPr>
              <w:t>198,638</w:t>
            </w:r>
          </w:p>
        </w:tc>
        <w:tc>
          <w:tcPr>
            <w:tcW w:w="651" w:type="pct"/>
            <w:tcBorders>
              <w:top w:val="nil"/>
              <w:left w:val="nil"/>
              <w:bottom w:val="single" w:sz="4" w:space="0" w:color="auto"/>
              <w:right w:val="single" w:sz="4" w:space="0" w:color="auto"/>
            </w:tcBorders>
            <w:shd w:val="clear" w:color="auto" w:fill="auto"/>
            <w:vAlign w:val="center"/>
            <w:hideMark/>
          </w:tcPr>
          <w:p w14:paraId="4A6A9B4E" w14:textId="77777777" w:rsidR="00E35519" w:rsidRPr="004C0C25" w:rsidRDefault="00E35519" w:rsidP="004C0C25">
            <w:pPr>
              <w:rPr>
                <w:rFonts w:ascii="Arial Narrow" w:hAnsi="Arial Narrow"/>
                <w:sz w:val="20"/>
              </w:rPr>
            </w:pPr>
            <w:r w:rsidRPr="004C0C25">
              <w:rPr>
                <w:rFonts w:ascii="Arial Narrow" w:hAnsi="Arial Narrow"/>
                <w:sz w:val="20"/>
              </w:rPr>
              <w:t>305,678</w:t>
            </w:r>
          </w:p>
        </w:tc>
        <w:tc>
          <w:tcPr>
            <w:tcW w:w="651" w:type="pct"/>
            <w:tcBorders>
              <w:top w:val="nil"/>
              <w:left w:val="nil"/>
              <w:bottom w:val="single" w:sz="4" w:space="0" w:color="auto"/>
              <w:right w:val="single" w:sz="4" w:space="0" w:color="auto"/>
            </w:tcBorders>
            <w:shd w:val="clear" w:color="auto" w:fill="auto"/>
            <w:vAlign w:val="center"/>
            <w:hideMark/>
          </w:tcPr>
          <w:p w14:paraId="4A6A9B4F" w14:textId="77777777" w:rsidR="00E35519" w:rsidRPr="004C0C25" w:rsidRDefault="00E35519" w:rsidP="004C0C25">
            <w:pPr>
              <w:rPr>
                <w:rFonts w:ascii="Arial Narrow" w:hAnsi="Arial Narrow"/>
                <w:sz w:val="20"/>
              </w:rPr>
            </w:pPr>
            <w:r w:rsidRPr="004C0C25">
              <w:rPr>
                <w:rFonts w:ascii="Arial Narrow" w:hAnsi="Arial Narrow"/>
                <w:sz w:val="20"/>
              </w:rPr>
              <w:t>418,213</w:t>
            </w:r>
          </w:p>
        </w:tc>
        <w:tc>
          <w:tcPr>
            <w:tcW w:w="651" w:type="pct"/>
            <w:tcBorders>
              <w:top w:val="nil"/>
              <w:left w:val="nil"/>
              <w:bottom w:val="single" w:sz="4" w:space="0" w:color="auto"/>
              <w:right w:val="single" w:sz="4" w:space="0" w:color="auto"/>
            </w:tcBorders>
            <w:shd w:val="clear" w:color="auto" w:fill="auto"/>
            <w:vAlign w:val="center"/>
            <w:hideMark/>
          </w:tcPr>
          <w:p w14:paraId="4A6A9B50" w14:textId="77777777" w:rsidR="00E35519" w:rsidRPr="004C0C25" w:rsidRDefault="00E35519" w:rsidP="004C0C25">
            <w:pPr>
              <w:rPr>
                <w:rFonts w:ascii="Arial Narrow" w:hAnsi="Arial Narrow"/>
                <w:sz w:val="20"/>
              </w:rPr>
            </w:pPr>
            <w:r w:rsidRPr="004C0C25">
              <w:rPr>
                <w:rFonts w:ascii="Arial Narrow" w:hAnsi="Arial Narrow"/>
                <w:sz w:val="20"/>
              </w:rPr>
              <w:t>532,779</w:t>
            </w:r>
          </w:p>
        </w:tc>
      </w:tr>
      <w:tr w:rsidR="00E35519" w:rsidRPr="004C0C25" w14:paraId="4A6A9B58" w14:textId="77777777" w:rsidTr="00E35519">
        <w:trPr>
          <w:trHeight w:val="255"/>
        </w:trPr>
        <w:tc>
          <w:tcPr>
            <w:tcW w:w="1746" w:type="pct"/>
            <w:tcBorders>
              <w:top w:val="nil"/>
              <w:left w:val="single" w:sz="4" w:space="0" w:color="auto"/>
              <w:bottom w:val="single" w:sz="4" w:space="0" w:color="auto"/>
              <w:right w:val="single" w:sz="4" w:space="0" w:color="auto"/>
            </w:tcBorders>
            <w:shd w:val="clear" w:color="auto" w:fill="auto"/>
            <w:vAlign w:val="center"/>
            <w:hideMark/>
          </w:tcPr>
          <w:p w14:paraId="4A6A9B52"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&gt;5 lesions; total cost per patient (0%)</w:t>
            </w:r>
          </w:p>
        </w:tc>
        <w:tc>
          <w:tcPr>
            <w:tcW w:w="650" w:type="pct"/>
            <w:tcBorders>
              <w:top w:val="nil"/>
              <w:left w:val="nil"/>
              <w:bottom w:val="single" w:sz="4" w:space="0" w:color="auto"/>
              <w:right w:val="single" w:sz="4" w:space="0" w:color="auto"/>
            </w:tcBorders>
            <w:shd w:val="clear" w:color="auto" w:fill="auto"/>
            <w:vAlign w:val="center"/>
            <w:hideMark/>
          </w:tcPr>
          <w:p w14:paraId="4A6A9B53" w14:textId="77777777" w:rsidR="00E35519" w:rsidRPr="004C0C25" w:rsidRDefault="00E35519" w:rsidP="004C0C25">
            <w:pPr>
              <w:rPr>
                <w:rFonts w:ascii="Arial Narrow" w:hAnsi="Arial Narrow"/>
                <w:sz w:val="20"/>
              </w:rPr>
            </w:pPr>
            <w:r w:rsidRPr="004C0C25">
              <w:rPr>
                <w:rFonts w:ascii="Arial Narrow" w:hAnsi="Arial Narrow"/>
                <w:sz w:val="20"/>
              </w:rPr>
              <w:t>0</w:t>
            </w:r>
          </w:p>
        </w:tc>
        <w:tc>
          <w:tcPr>
            <w:tcW w:w="651" w:type="pct"/>
            <w:tcBorders>
              <w:top w:val="nil"/>
              <w:left w:val="nil"/>
              <w:bottom w:val="single" w:sz="4" w:space="0" w:color="auto"/>
              <w:right w:val="single" w:sz="4" w:space="0" w:color="auto"/>
            </w:tcBorders>
            <w:shd w:val="clear" w:color="auto" w:fill="auto"/>
            <w:vAlign w:val="center"/>
            <w:hideMark/>
          </w:tcPr>
          <w:p w14:paraId="4A6A9B54" w14:textId="77777777" w:rsidR="00E35519" w:rsidRPr="004C0C25" w:rsidRDefault="00E35519" w:rsidP="004C0C25">
            <w:pPr>
              <w:rPr>
                <w:rFonts w:ascii="Arial Narrow" w:hAnsi="Arial Narrow"/>
                <w:sz w:val="20"/>
              </w:rPr>
            </w:pPr>
            <w:r w:rsidRPr="004C0C25">
              <w:rPr>
                <w:rFonts w:ascii="Arial Narrow" w:hAnsi="Arial Narrow"/>
                <w:sz w:val="20"/>
              </w:rPr>
              <w:t>0</w:t>
            </w:r>
          </w:p>
        </w:tc>
        <w:tc>
          <w:tcPr>
            <w:tcW w:w="651" w:type="pct"/>
            <w:tcBorders>
              <w:top w:val="nil"/>
              <w:left w:val="nil"/>
              <w:bottom w:val="single" w:sz="4" w:space="0" w:color="auto"/>
              <w:right w:val="single" w:sz="4" w:space="0" w:color="auto"/>
            </w:tcBorders>
            <w:shd w:val="clear" w:color="auto" w:fill="auto"/>
            <w:vAlign w:val="center"/>
            <w:hideMark/>
          </w:tcPr>
          <w:p w14:paraId="4A6A9B55" w14:textId="77777777" w:rsidR="00E35519" w:rsidRPr="004C0C25" w:rsidRDefault="00E35519" w:rsidP="004C0C25">
            <w:pPr>
              <w:rPr>
                <w:rFonts w:ascii="Arial Narrow" w:hAnsi="Arial Narrow"/>
                <w:sz w:val="20"/>
              </w:rPr>
            </w:pPr>
            <w:r w:rsidRPr="004C0C25">
              <w:rPr>
                <w:rFonts w:ascii="Arial Narrow" w:hAnsi="Arial Narrow"/>
                <w:sz w:val="20"/>
              </w:rPr>
              <w:t>0</w:t>
            </w:r>
          </w:p>
        </w:tc>
        <w:tc>
          <w:tcPr>
            <w:tcW w:w="651" w:type="pct"/>
            <w:tcBorders>
              <w:top w:val="nil"/>
              <w:left w:val="nil"/>
              <w:bottom w:val="single" w:sz="4" w:space="0" w:color="auto"/>
              <w:right w:val="single" w:sz="4" w:space="0" w:color="auto"/>
            </w:tcBorders>
            <w:shd w:val="clear" w:color="auto" w:fill="auto"/>
            <w:vAlign w:val="center"/>
            <w:hideMark/>
          </w:tcPr>
          <w:p w14:paraId="4A6A9B56" w14:textId="77777777" w:rsidR="00E35519" w:rsidRPr="004C0C25" w:rsidRDefault="00E35519" w:rsidP="004C0C25">
            <w:pPr>
              <w:rPr>
                <w:rFonts w:ascii="Arial Narrow" w:hAnsi="Arial Narrow"/>
                <w:sz w:val="20"/>
              </w:rPr>
            </w:pPr>
            <w:r w:rsidRPr="004C0C25">
              <w:rPr>
                <w:rFonts w:ascii="Arial Narrow" w:hAnsi="Arial Narrow"/>
                <w:sz w:val="20"/>
              </w:rPr>
              <w:t>0</w:t>
            </w:r>
          </w:p>
        </w:tc>
        <w:tc>
          <w:tcPr>
            <w:tcW w:w="651" w:type="pct"/>
            <w:tcBorders>
              <w:top w:val="nil"/>
              <w:left w:val="nil"/>
              <w:bottom w:val="single" w:sz="4" w:space="0" w:color="auto"/>
              <w:right w:val="single" w:sz="4" w:space="0" w:color="auto"/>
            </w:tcBorders>
            <w:shd w:val="clear" w:color="auto" w:fill="auto"/>
            <w:vAlign w:val="center"/>
            <w:hideMark/>
          </w:tcPr>
          <w:p w14:paraId="4A6A9B57" w14:textId="77777777" w:rsidR="00E35519" w:rsidRPr="004C0C25" w:rsidRDefault="00E35519" w:rsidP="004C0C25">
            <w:pPr>
              <w:rPr>
                <w:rFonts w:ascii="Arial Narrow" w:hAnsi="Arial Narrow"/>
                <w:sz w:val="20"/>
              </w:rPr>
            </w:pPr>
            <w:r w:rsidRPr="004C0C25">
              <w:rPr>
                <w:rFonts w:ascii="Arial Narrow" w:hAnsi="Arial Narrow"/>
                <w:sz w:val="20"/>
              </w:rPr>
              <w:t>0</w:t>
            </w:r>
          </w:p>
        </w:tc>
      </w:tr>
      <w:tr w:rsidR="00E35519" w:rsidRPr="004C0C25" w14:paraId="4A6A9B5F" w14:textId="77777777" w:rsidTr="00E35519">
        <w:trPr>
          <w:trHeight w:val="255"/>
        </w:trPr>
        <w:tc>
          <w:tcPr>
            <w:tcW w:w="1746" w:type="pct"/>
            <w:tcBorders>
              <w:top w:val="nil"/>
              <w:left w:val="single" w:sz="4" w:space="0" w:color="auto"/>
              <w:bottom w:val="single" w:sz="4" w:space="0" w:color="auto"/>
              <w:right w:val="single" w:sz="4" w:space="0" w:color="auto"/>
            </w:tcBorders>
            <w:shd w:val="clear" w:color="auto" w:fill="auto"/>
            <w:vAlign w:val="center"/>
            <w:hideMark/>
          </w:tcPr>
          <w:p w14:paraId="4A6A9B59" w14:textId="77777777" w:rsidR="00E35519" w:rsidRPr="004C0C25" w:rsidRDefault="00E35519" w:rsidP="004C0C25">
            <w:pPr>
              <w:rPr>
                <w:rFonts w:ascii="Arial Narrow" w:eastAsia="Batang" w:hAnsi="Arial Narrow"/>
                <w:sz w:val="20"/>
                <w:lang w:val="en-GB" w:eastAsia="ja-JP"/>
              </w:rPr>
            </w:pPr>
            <w:r w:rsidRPr="004C0C25">
              <w:rPr>
                <w:rFonts w:ascii="Arial Narrow" w:eastAsia="Batang" w:hAnsi="Arial Narrow"/>
                <w:sz w:val="20"/>
                <w:lang w:val="en-GB" w:eastAsia="ja-JP"/>
              </w:rPr>
              <w:t>Total</w:t>
            </w:r>
          </w:p>
        </w:tc>
        <w:tc>
          <w:tcPr>
            <w:tcW w:w="650" w:type="pct"/>
            <w:tcBorders>
              <w:top w:val="nil"/>
              <w:left w:val="nil"/>
              <w:bottom w:val="single" w:sz="4" w:space="0" w:color="auto"/>
              <w:right w:val="single" w:sz="4" w:space="0" w:color="auto"/>
            </w:tcBorders>
            <w:shd w:val="clear" w:color="auto" w:fill="auto"/>
            <w:vAlign w:val="center"/>
            <w:hideMark/>
          </w:tcPr>
          <w:p w14:paraId="4A6A9B5A" w14:textId="77777777" w:rsidR="00E35519" w:rsidRPr="004C0C25" w:rsidRDefault="00E35519" w:rsidP="004C0C25">
            <w:pPr>
              <w:rPr>
                <w:rFonts w:ascii="Arial Narrow" w:hAnsi="Arial Narrow"/>
                <w:sz w:val="20"/>
              </w:rPr>
            </w:pPr>
            <w:r w:rsidRPr="004C0C25">
              <w:rPr>
                <w:rFonts w:ascii="Arial Narrow" w:hAnsi="Arial Narrow"/>
                <w:sz w:val="20"/>
              </w:rPr>
              <w:t>911,937</w:t>
            </w:r>
          </w:p>
        </w:tc>
        <w:tc>
          <w:tcPr>
            <w:tcW w:w="651" w:type="pct"/>
            <w:tcBorders>
              <w:top w:val="nil"/>
              <w:left w:val="nil"/>
              <w:bottom w:val="single" w:sz="4" w:space="0" w:color="auto"/>
              <w:right w:val="single" w:sz="4" w:space="0" w:color="auto"/>
            </w:tcBorders>
            <w:shd w:val="clear" w:color="auto" w:fill="auto"/>
            <w:vAlign w:val="center"/>
            <w:hideMark/>
          </w:tcPr>
          <w:p w14:paraId="4A6A9B5B" w14:textId="77777777" w:rsidR="00E35519" w:rsidRPr="004C0C25" w:rsidRDefault="00E35519" w:rsidP="004C0C25">
            <w:pPr>
              <w:rPr>
                <w:rFonts w:ascii="Arial Narrow" w:hAnsi="Arial Narrow"/>
                <w:sz w:val="20"/>
              </w:rPr>
            </w:pPr>
            <w:r w:rsidRPr="004C0C25">
              <w:rPr>
                <w:rFonts w:ascii="Arial Narrow" w:hAnsi="Arial Narrow"/>
                <w:sz w:val="20"/>
              </w:rPr>
              <w:t>1,870,773</w:t>
            </w:r>
          </w:p>
        </w:tc>
        <w:tc>
          <w:tcPr>
            <w:tcW w:w="651" w:type="pct"/>
            <w:tcBorders>
              <w:top w:val="nil"/>
              <w:left w:val="nil"/>
              <w:bottom w:val="single" w:sz="4" w:space="0" w:color="auto"/>
              <w:right w:val="single" w:sz="4" w:space="0" w:color="auto"/>
            </w:tcBorders>
            <w:shd w:val="clear" w:color="auto" w:fill="auto"/>
            <w:vAlign w:val="center"/>
            <w:hideMark/>
          </w:tcPr>
          <w:p w14:paraId="4A6A9B5C" w14:textId="77777777" w:rsidR="00E35519" w:rsidRPr="004C0C25" w:rsidRDefault="00E35519" w:rsidP="004C0C25">
            <w:pPr>
              <w:rPr>
                <w:rFonts w:ascii="Arial Narrow" w:hAnsi="Arial Narrow"/>
                <w:sz w:val="20"/>
              </w:rPr>
            </w:pPr>
            <w:r w:rsidRPr="004C0C25">
              <w:rPr>
                <w:rFonts w:ascii="Arial Narrow" w:hAnsi="Arial Narrow"/>
                <w:sz w:val="20"/>
              </w:rPr>
              <w:t>2,878,872</w:t>
            </w:r>
          </w:p>
        </w:tc>
        <w:tc>
          <w:tcPr>
            <w:tcW w:w="651" w:type="pct"/>
            <w:tcBorders>
              <w:top w:val="nil"/>
              <w:left w:val="nil"/>
              <w:bottom w:val="single" w:sz="4" w:space="0" w:color="auto"/>
              <w:right w:val="single" w:sz="4" w:space="0" w:color="auto"/>
            </w:tcBorders>
            <w:shd w:val="clear" w:color="auto" w:fill="auto"/>
            <w:vAlign w:val="center"/>
            <w:hideMark/>
          </w:tcPr>
          <w:p w14:paraId="4A6A9B5D" w14:textId="77777777" w:rsidR="00E35519" w:rsidRPr="004C0C25" w:rsidRDefault="00E35519" w:rsidP="004C0C25">
            <w:pPr>
              <w:rPr>
                <w:rFonts w:ascii="Arial Narrow" w:hAnsi="Arial Narrow"/>
                <w:sz w:val="20"/>
              </w:rPr>
            </w:pPr>
            <w:r w:rsidRPr="004C0C25">
              <w:rPr>
                <w:rFonts w:ascii="Arial Narrow" w:hAnsi="Arial Narrow"/>
                <w:sz w:val="20"/>
              </w:rPr>
              <w:t>3,938,722</w:t>
            </w:r>
          </w:p>
        </w:tc>
        <w:tc>
          <w:tcPr>
            <w:tcW w:w="651" w:type="pct"/>
            <w:tcBorders>
              <w:top w:val="nil"/>
              <w:left w:val="nil"/>
              <w:bottom w:val="single" w:sz="4" w:space="0" w:color="auto"/>
              <w:right w:val="single" w:sz="4" w:space="0" w:color="auto"/>
            </w:tcBorders>
            <w:shd w:val="clear" w:color="auto" w:fill="auto"/>
            <w:vAlign w:val="center"/>
            <w:hideMark/>
          </w:tcPr>
          <w:p w14:paraId="4A6A9B5E" w14:textId="77777777" w:rsidR="00E35519" w:rsidRPr="004C0C25" w:rsidRDefault="00E35519" w:rsidP="004C0C25">
            <w:pPr>
              <w:rPr>
                <w:rFonts w:ascii="Arial Narrow" w:hAnsi="Arial Narrow"/>
                <w:sz w:val="20"/>
              </w:rPr>
            </w:pPr>
            <w:r w:rsidRPr="004C0C25">
              <w:rPr>
                <w:rFonts w:ascii="Arial Narrow" w:hAnsi="Arial Narrow"/>
                <w:sz w:val="20"/>
              </w:rPr>
              <w:t>5,049,197</w:t>
            </w:r>
          </w:p>
        </w:tc>
      </w:tr>
      <w:tr w:rsidR="00E35519" w:rsidRPr="004C0C25" w14:paraId="4A6A9B66" w14:textId="77777777" w:rsidTr="00E35519">
        <w:trPr>
          <w:trHeight w:val="255"/>
        </w:trPr>
        <w:tc>
          <w:tcPr>
            <w:tcW w:w="1746" w:type="pct"/>
            <w:tcBorders>
              <w:top w:val="nil"/>
              <w:left w:val="single" w:sz="4" w:space="0" w:color="auto"/>
              <w:bottom w:val="single" w:sz="4" w:space="0" w:color="auto"/>
              <w:right w:val="single" w:sz="4" w:space="0" w:color="auto"/>
            </w:tcBorders>
            <w:shd w:val="clear" w:color="000000" w:fill="D9D9D9"/>
            <w:vAlign w:val="center"/>
            <w:hideMark/>
          </w:tcPr>
          <w:p w14:paraId="4A6A9B60" w14:textId="77777777" w:rsidR="00E35519" w:rsidRPr="004C0C25" w:rsidRDefault="00E35519" w:rsidP="004C0C25">
            <w:pPr>
              <w:rPr>
                <w:rFonts w:ascii="Arial Narrow" w:eastAsia="Batang" w:hAnsi="Arial Narrow"/>
                <w:b/>
                <w:sz w:val="20"/>
                <w:lang w:val="en-GB" w:eastAsia="ja-JP"/>
              </w:rPr>
            </w:pPr>
            <w:r w:rsidRPr="004C0C25">
              <w:rPr>
                <w:rFonts w:ascii="Arial Narrow" w:eastAsia="Batang" w:hAnsi="Arial Narrow"/>
                <w:b/>
                <w:sz w:val="20"/>
                <w:lang w:val="en-GB" w:eastAsia="ja-JP"/>
              </w:rPr>
              <w:t>Net MBS Costs</w:t>
            </w:r>
          </w:p>
        </w:tc>
        <w:tc>
          <w:tcPr>
            <w:tcW w:w="650" w:type="pct"/>
            <w:tcBorders>
              <w:top w:val="nil"/>
              <w:left w:val="nil"/>
              <w:bottom w:val="single" w:sz="4" w:space="0" w:color="auto"/>
              <w:right w:val="single" w:sz="4" w:space="0" w:color="auto"/>
            </w:tcBorders>
            <w:shd w:val="clear" w:color="000000" w:fill="D9D9D9"/>
            <w:vAlign w:val="center"/>
            <w:hideMark/>
          </w:tcPr>
          <w:p w14:paraId="4A6A9B61" w14:textId="77777777" w:rsidR="00E35519" w:rsidRPr="004C0C25" w:rsidRDefault="00E35519" w:rsidP="004C0C25">
            <w:pPr>
              <w:rPr>
                <w:rFonts w:ascii="Arial Narrow" w:hAnsi="Arial Narrow"/>
                <w:sz w:val="20"/>
              </w:rPr>
            </w:pPr>
            <w:r w:rsidRPr="004C0C25">
              <w:rPr>
                <w:rFonts w:ascii="Arial Narrow" w:hAnsi="Arial Narrow"/>
                <w:sz w:val="20"/>
              </w:rPr>
              <w:t>-296,546</w:t>
            </w:r>
          </w:p>
        </w:tc>
        <w:tc>
          <w:tcPr>
            <w:tcW w:w="651" w:type="pct"/>
            <w:tcBorders>
              <w:top w:val="nil"/>
              <w:left w:val="nil"/>
              <w:bottom w:val="single" w:sz="4" w:space="0" w:color="auto"/>
              <w:right w:val="single" w:sz="4" w:space="0" w:color="auto"/>
            </w:tcBorders>
            <w:shd w:val="clear" w:color="000000" w:fill="D9D9D9"/>
            <w:vAlign w:val="center"/>
            <w:hideMark/>
          </w:tcPr>
          <w:p w14:paraId="4A6A9B62" w14:textId="77777777" w:rsidR="00E35519" w:rsidRPr="004C0C25" w:rsidRDefault="00E35519" w:rsidP="004C0C25">
            <w:pPr>
              <w:rPr>
                <w:rFonts w:ascii="Arial Narrow" w:hAnsi="Arial Narrow"/>
                <w:sz w:val="20"/>
              </w:rPr>
            </w:pPr>
            <w:r w:rsidRPr="004C0C25">
              <w:rPr>
                <w:rFonts w:ascii="Arial Narrow" w:hAnsi="Arial Narrow"/>
                <w:sz w:val="20"/>
              </w:rPr>
              <w:t>-608,343</w:t>
            </w:r>
          </w:p>
        </w:tc>
        <w:tc>
          <w:tcPr>
            <w:tcW w:w="651" w:type="pct"/>
            <w:tcBorders>
              <w:top w:val="nil"/>
              <w:left w:val="nil"/>
              <w:bottom w:val="single" w:sz="4" w:space="0" w:color="auto"/>
              <w:right w:val="single" w:sz="4" w:space="0" w:color="auto"/>
            </w:tcBorders>
            <w:shd w:val="clear" w:color="000000" w:fill="D9D9D9"/>
            <w:vAlign w:val="center"/>
            <w:hideMark/>
          </w:tcPr>
          <w:p w14:paraId="4A6A9B63" w14:textId="77777777" w:rsidR="00E35519" w:rsidRPr="004C0C25" w:rsidRDefault="00E35519" w:rsidP="004C0C25">
            <w:pPr>
              <w:rPr>
                <w:rFonts w:ascii="Arial Narrow" w:hAnsi="Arial Narrow"/>
                <w:sz w:val="20"/>
              </w:rPr>
            </w:pPr>
            <w:r w:rsidRPr="004C0C25">
              <w:rPr>
                <w:rFonts w:ascii="Arial Narrow" w:hAnsi="Arial Narrow"/>
                <w:sz w:val="20"/>
              </w:rPr>
              <w:t>-936,160</w:t>
            </w:r>
          </w:p>
        </w:tc>
        <w:tc>
          <w:tcPr>
            <w:tcW w:w="651" w:type="pct"/>
            <w:tcBorders>
              <w:top w:val="nil"/>
              <w:left w:val="nil"/>
              <w:bottom w:val="single" w:sz="4" w:space="0" w:color="auto"/>
              <w:right w:val="single" w:sz="4" w:space="0" w:color="auto"/>
            </w:tcBorders>
            <w:shd w:val="clear" w:color="000000" w:fill="D9D9D9"/>
            <w:vAlign w:val="center"/>
            <w:hideMark/>
          </w:tcPr>
          <w:p w14:paraId="4A6A9B64" w14:textId="77777777" w:rsidR="00E35519" w:rsidRPr="004C0C25" w:rsidRDefault="00E35519" w:rsidP="004C0C25">
            <w:pPr>
              <w:rPr>
                <w:rFonts w:ascii="Arial Narrow" w:hAnsi="Arial Narrow"/>
                <w:sz w:val="20"/>
              </w:rPr>
            </w:pPr>
            <w:r w:rsidRPr="004C0C25">
              <w:rPr>
                <w:rFonts w:ascii="Arial Narrow" w:hAnsi="Arial Narrow"/>
                <w:sz w:val="20"/>
              </w:rPr>
              <w:t>-1,280,805</w:t>
            </w:r>
          </w:p>
        </w:tc>
        <w:tc>
          <w:tcPr>
            <w:tcW w:w="651" w:type="pct"/>
            <w:tcBorders>
              <w:top w:val="nil"/>
              <w:left w:val="nil"/>
              <w:bottom w:val="single" w:sz="4" w:space="0" w:color="auto"/>
              <w:right w:val="single" w:sz="4" w:space="0" w:color="auto"/>
            </w:tcBorders>
            <w:shd w:val="clear" w:color="000000" w:fill="D9D9D9"/>
            <w:vAlign w:val="center"/>
            <w:hideMark/>
          </w:tcPr>
          <w:p w14:paraId="4A6A9B65" w14:textId="77777777" w:rsidR="00E35519" w:rsidRPr="004C0C25" w:rsidRDefault="00E35519" w:rsidP="004C0C25">
            <w:pPr>
              <w:rPr>
                <w:rFonts w:ascii="Arial Narrow" w:hAnsi="Arial Narrow"/>
                <w:sz w:val="20"/>
              </w:rPr>
            </w:pPr>
            <w:r w:rsidRPr="004C0C25">
              <w:rPr>
                <w:rFonts w:ascii="Arial Narrow" w:hAnsi="Arial Narrow"/>
                <w:sz w:val="20"/>
              </w:rPr>
              <w:t>-1,643,129</w:t>
            </w:r>
          </w:p>
        </w:tc>
      </w:tr>
    </w:tbl>
    <w:p w14:paraId="4A6A9B67" w14:textId="77777777" w:rsidR="00E35519" w:rsidRPr="004C0C25" w:rsidRDefault="00E35519" w:rsidP="00E35519">
      <w:pPr>
        <w:widowControl w:val="0"/>
        <w:spacing w:before="60" w:after="60"/>
        <w:rPr>
          <w:rFonts w:ascii="Arial Narrow" w:hAnsi="Arial Narrow"/>
          <w:bCs/>
          <w:snapToGrid w:val="0"/>
          <w:sz w:val="20"/>
        </w:rPr>
      </w:pPr>
      <w:r w:rsidRPr="004C0C25">
        <w:rPr>
          <w:rFonts w:ascii="Arial Narrow" w:hAnsi="Arial Narrow"/>
          <w:bCs/>
          <w:sz w:val="20"/>
        </w:rPr>
        <w:t>MBS = Medicare benefits schedule; MTA = microwave tissue ablation for primary and secondary lung cancer.</w:t>
      </w:r>
    </w:p>
    <w:p w14:paraId="4A6A9B68" w14:textId="77777777" w:rsidR="00E35519" w:rsidRPr="0090621B" w:rsidRDefault="00E35519" w:rsidP="00E35519">
      <w:pPr>
        <w:rPr>
          <w:noProof/>
          <w:szCs w:val="24"/>
        </w:rPr>
      </w:pPr>
    </w:p>
    <w:p w14:paraId="4A6A9B69" w14:textId="77777777" w:rsidR="00E35519" w:rsidRPr="0090621B" w:rsidRDefault="00E35519" w:rsidP="00E35519">
      <w:pPr>
        <w:rPr>
          <w:b/>
          <w:szCs w:val="24"/>
          <w:lang w:eastAsia="en-US"/>
        </w:rPr>
      </w:pPr>
      <w:r w:rsidRPr="0090621B">
        <w:rPr>
          <w:noProof/>
          <w:szCs w:val="24"/>
        </w:rPr>
        <w:t>The costs of the MTA machine, and probes are borne by private health funds, patients or hospitals (state and territory budget). The base case estimate assume</w:t>
      </w:r>
      <w:r w:rsidR="004C0C25">
        <w:rPr>
          <w:noProof/>
          <w:szCs w:val="24"/>
        </w:rPr>
        <w:t>d</w:t>
      </w:r>
      <w:r w:rsidRPr="0090621B">
        <w:rPr>
          <w:noProof/>
          <w:szCs w:val="24"/>
        </w:rPr>
        <w:t xml:space="preserve"> the number of MTA patients increases from 202 to 1,117 per year, leading to a total cost of the machines of $0.05 million in year one increasing to $0.28 million in year five. The cost of probes and hospital stays also increase. Probes are the largest cost item – increasing from $0.60 million in Year 1 to $3.31 million in Year 5. The total cost to private health funds and hospitals in </w:t>
      </w:r>
      <w:r>
        <w:rPr>
          <w:noProof/>
          <w:szCs w:val="24"/>
        </w:rPr>
        <w:t>Y</w:t>
      </w:r>
      <w:r w:rsidRPr="0090621B">
        <w:rPr>
          <w:noProof/>
          <w:szCs w:val="24"/>
        </w:rPr>
        <w:t xml:space="preserve">ear </w:t>
      </w:r>
      <w:r>
        <w:rPr>
          <w:noProof/>
          <w:szCs w:val="24"/>
        </w:rPr>
        <w:t>5</w:t>
      </w:r>
      <w:r w:rsidRPr="0090621B">
        <w:rPr>
          <w:noProof/>
          <w:szCs w:val="24"/>
        </w:rPr>
        <w:t xml:space="preserve"> is $13.42 million. This is substantially more than the net impact to the MBS. Variables such as </w:t>
      </w:r>
      <w:r w:rsidRPr="0090621B">
        <w:rPr>
          <w:noProof/>
          <w:szCs w:val="24"/>
        </w:rPr>
        <w:lastRenderedPageBreak/>
        <w:t>the proportion of lung cancer that is NSCLC, the relative size of population one and two patient numbers, and assumed uptake have an impact on net MBS expenditures. Increases in these parameters generally increase the MBS net cost savings, as a higher number of SBRT procedures are being substituted.</w:t>
      </w:r>
    </w:p>
    <w:p w14:paraId="4A6A9B6A" w14:textId="77777777" w:rsidR="006A0D97" w:rsidRPr="00F715D1" w:rsidRDefault="006A0D97" w:rsidP="00C22C2D">
      <w:pPr>
        <w:pStyle w:val="Heading1"/>
        <w:ind w:hanging="720"/>
      </w:pPr>
      <w:r w:rsidRPr="00F715D1">
        <w:t>Key issues from ESC for MSAC</w:t>
      </w:r>
    </w:p>
    <w:p w14:paraId="4A6A9B6B" w14:textId="77777777" w:rsidR="00E35519" w:rsidRPr="0090621B" w:rsidRDefault="00E35519" w:rsidP="00E35519">
      <w:pPr>
        <w:rPr>
          <w:szCs w:val="24"/>
        </w:rPr>
      </w:pPr>
      <w:r w:rsidRPr="0090621B">
        <w:rPr>
          <w:szCs w:val="24"/>
        </w:rPr>
        <w:t xml:space="preserve">ESC noted that </w:t>
      </w:r>
      <w:r w:rsidR="00A20194">
        <w:rPr>
          <w:szCs w:val="24"/>
        </w:rPr>
        <w:t>lung MTA</w:t>
      </w:r>
      <w:r w:rsidRPr="0090621B">
        <w:rPr>
          <w:szCs w:val="24"/>
        </w:rPr>
        <w:t xml:space="preserve"> is administered percutaneously for pulmonary lesions and is delivered with image guidance by CT or ultrasound.  MTA is currently not reimbursed under the MBS for lung tumours and is currently performed largely within the public system.</w:t>
      </w:r>
    </w:p>
    <w:p w14:paraId="4A6A9B6C" w14:textId="77777777" w:rsidR="00E35519" w:rsidRPr="0090621B" w:rsidRDefault="00E35519" w:rsidP="00E35519">
      <w:pPr>
        <w:rPr>
          <w:szCs w:val="24"/>
        </w:rPr>
      </w:pPr>
    </w:p>
    <w:p w14:paraId="4A6A9B6D" w14:textId="77777777" w:rsidR="00E35519" w:rsidRPr="0090621B" w:rsidRDefault="00762BA2" w:rsidP="00E35519">
      <w:pPr>
        <w:rPr>
          <w:szCs w:val="24"/>
        </w:rPr>
      </w:pPr>
      <w:r>
        <w:rPr>
          <w:szCs w:val="24"/>
        </w:rPr>
        <w:t>ESC n</w:t>
      </w:r>
      <w:r w:rsidR="00E35519" w:rsidRPr="0090621B">
        <w:rPr>
          <w:szCs w:val="24"/>
        </w:rPr>
        <w:t>oted that there is lack of evidence, no studies and significant uncertaint</w:t>
      </w:r>
      <w:r w:rsidR="00E35519">
        <w:rPr>
          <w:szCs w:val="24"/>
        </w:rPr>
        <w:t>y</w:t>
      </w:r>
      <w:r w:rsidR="00E35519" w:rsidRPr="0090621B">
        <w:rPr>
          <w:szCs w:val="24"/>
        </w:rPr>
        <w:t xml:space="preserve"> regarding the comparative benefit of MTA tumour destruction over existing treatment options and potential out of pocket expenses for patients. </w:t>
      </w:r>
      <w:r>
        <w:rPr>
          <w:szCs w:val="24"/>
        </w:rPr>
        <w:t xml:space="preserve"> </w:t>
      </w:r>
      <w:r w:rsidR="00E35519" w:rsidRPr="0090621B">
        <w:rPr>
          <w:szCs w:val="24"/>
        </w:rPr>
        <w:t xml:space="preserve">Approximately 90% of lung MTA in Australia is </w:t>
      </w:r>
      <w:r w:rsidR="00E35519">
        <w:rPr>
          <w:szCs w:val="24"/>
        </w:rPr>
        <w:t xml:space="preserve">performed </w:t>
      </w:r>
      <w:r w:rsidR="00E35519" w:rsidRPr="0090621B">
        <w:rPr>
          <w:szCs w:val="24"/>
        </w:rPr>
        <w:t xml:space="preserve">for early stage non-small cell lung cancer (NSCLC) and 10% for </w:t>
      </w:r>
      <w:proofErr w:type="spellStart"/>
      <w:r w:rsidR="00E35519" w:rsidRPr="0090621B">
        <w:rPr>
          <w:szCs w:val="24"/>
        </w:rPr>
        <w:t>oligometastatic</w:t>
      </w:r>
      <w:proofErr w:type="spellEnd"/>
      <w:r w:rsidR="00E35519" w:rsidRPr="0090621B">
        <w:rPr>
          <w:szCs w:val="24"/>
        </w:rPr>
        <w:t xml:space="preserve"> disease. </w:t>
      </w:r>
    </w:p>
    <w:p w14:paraId="4A6A9B6E" w14:textId="77777777" w:rsidR="00A20194" w:rsidRDefault="00A20194" w:rsidP="00E35519">
      <w:pPr>
        <w:rPr>
          <w:szCs w:val="24"/>
        </w:rPr>
      </w:pPr>
    </w:p>
    <w:p w14:paraId="4A6A9B6F" w14:textId="77777777" w:rsidR="00762BA2" w:rsidRPr="0090621B" w:rsidRDefault="00E35519" w:rsidP="00E35519">
      <w:pPr>
        <w:rPr>
          <w:szCs w:val="24"/>
        </w:rPr>
      </w:pPr>
      <w:r w:rsidRPr="0090621B">
        <w:rPr>
          <w:szCs w:val="24"/>
        </w:rPr>
        <w:t>ESC noted the 3 populations as follows:</w:t>
      </w:r>
    </w:p>
    <w:p w14:paraId="4A6A9B70" w14:textId="77777777" w:rsidR="00E35519" w:rsidRPr="0090621B" w:rsidRDefault="00E35519" w:rsidP="004C0C25">
      <w:pPr>
        <w:numPr>
          <w:ilvl w:val="0"/>
          <w:numId w:val="29"/>
        </w:numPr>
        <w:ind w:left="714" w:hanging="357"/>
        <w:rPr>
          <w:szCs w:val="24"/>
        </w:rPr>
      </w:pPr>
      <w:r w:rsidRPr="0090621B">
        <w:rPr>
          <w:szCs w:val="24"/>
        </w:rPr>
        <w:t>Population 1: Early stage non-small cell lung cancer;</w:t>
      </w:r>
    </w:p>
    <w:p w14:paraId="4A6A9B71" w14:textId="77777777" w:rsidR="00E35519" w:rsidRPr="0090621B" w:rsidRDefault="00E35519" w:rsidP="004C0C25">
      <w:pPr>
        <w:numPr>
          <w:ilvl w:val="0"/>
          <w:numId w:val="29"/>
        </w:numPr>
        <w:ind w:left="714" w:hanging="357"/>
        <w:rPr>
          <w:szCs w:val="24"/>
        </w:rPr>
      </w:pPr>
      <w:r w:rsidRPr="0090621B">
        <w:rPr>
          <w:szCs w:val="24"/>
        </w:rPr>
        <w:t xml:space="preserve">Population 2: </w:t>
      </w:r>
      <w:proofErr w:type="spellStart"/>
      <w:r w:rsidRPr="0090621B">
        <w:rPr>
          <w:szCs w:val="24"/>
        </w:rPr>
        <w:t>Oligometastatic</w:t>
      </w:r>
      <w:proofErr w:type="spellEnd"/>
      <w:r w:rsidRPr="0090621B">
        <w:rPr>
          <w:szCs w:val="24"/>
        </w:rPr>
        <w:t xml:space="preserve"> disease; and</w:t>
      </w:r>
    </w:p>
    <w:p w14:paraId="4A6A9B72" w14:textId="77777777" w:rsidR="00E35519" w:rsidRPr="0090621B" w:rsidRDefault="00E35519" w:rsidP="004C0C25">
      <w:pPr>
        <w:numPr>
          <w:ilvl w:val="0"/>
          <w:numId w:val="29"/>
        </w:numPr>
        <w:spacing w:after="240"/>
        <w:ind w:left="714" w:hanging="357"/>
        <w:rPr>
          <w:szCs w:val="24"/>
        </w:rPr>
      </w:pPr>
      <w:r w:rsidRPr="0090621B">
        <w:rPr>
          <w:szCs w:val="24"/>
        </w:rPr>
        <w:t>Population 3: Palliative therapy – unlikely to be used according to clinical experience.</w:t>
      </w:r>
    </w:p>
    <w:p w14:paraId="4A6A9B73" w14:textId="77777777" w:rsidR="00E35519" w:rsidRDefault="00E35519" w:rsidP="00E35519">
      <w:pPr>
        <w:rPr>
          <w:szCs w:val="24"/>
        </w:rPr>
      </w:pPr>
      <w:r w:rsidRPr="0090621B">
        <w:rPr>
          <w:szCs w:val="24"/>
        </w:rPr>
        <w:t xml:space="preserve">ESC noted that MTA is </w:t>
      </w:r>
      <w:r>
        <w:rPr>
          <w:szCs w:val="24"/>
        </w:rPr>
        <w:t>proposed to replace</w:t>
      </w:r>
      <w:r w:rsidRPr="0090621B">
        <w:rPr>
          <w:szCs w:val="24"/>
        </w:rPr>
        <w:t xml:space="preserve"> </w:t>
      </w:r>
      <w:r>
        <w:rPr>
          <w:szCs w:val="24"/>
        </w:rPr>
        <w:t>radiofrequency ablation (</w:t>
      </w:r>
      <w:r w:rsidRPr="0090621B">
        <w:rPr>
          <w:szCs w:val="24"/>
        </w:rPr>
        <w:t>RFA</w:t>
      </w:r>
      <w:r>
        <w:rPr>
          <w:szCs w:val="24"/>
        </w:rPr>
        <w:t>)</w:t>
      </w:r>
      <w:r w:rsidRPr="0090621B">
        <w:rPr>
          <w:szCs w:val="24"/>
        </w:rPr>
        <w:t xml:space="preserve">, and that currently </w:t>
      </w:r>
      <w:r w:rsidR="00A20194">
        <w:rPr>
          <w:szCs w:val="24"/>
        </w:rPr>
        <w:t xml:space="preserve">there is </w:t>
      </w:r>
      <w:r w:rsidRPr="0090621B">
        <w:rPr>
          <w:szCs w:val="24"/>
        </w:rPr>
        <w:t>no MB</w:t>
      </w:r>
      <w:r w:rsidR="00A20194">
        <w:rPr>
          <w:szCs w:val="24"/>
        </w:rPr>
        <w:t>S item for RFA for lung tumours.</w:t>
      </w:r>
    </w:p>
    <w:p w14:paraId="4A6A9B74" w14:textId="77777777" w:rsidR="00E35519" w:rsidRDefault="00E35519" w:rsidP="00E35519">
      <w:pPr>
        <w:rPr>
          <w:szCs w:val="24"/>
        </w:rPr>
      </w:pPr>
    </w:p>
    <w:p w14:paraId="4A6A9B75" w14:textId="77777777" w:rsidR="00E35519" w:rsidRPr="0090621B" w:rsidRDefault="00E35519" w:rsidP="00E35519">
      <w:pPr>
        <w:rPr>
          <w:szCs w:val="24"/>
        </w:rPr>
      </w:pPr>
      <w:r>
        <w:rPr>
          <w:szCs w:val="24"/>
        </w:rPr>
        <w:t xml:space="preserve">ESC noted </w:t>
      </w:r>
      <w:r w:rsidRPr="0090621B">
        <w:rPr>
          <w:szCs w:val="24"/>
        </w:rPr>
        <w:t xml:space="preserve">that the evidence for MTA is Level IV (case series). The evidence base for the comparator interventions – RFA, radiotherapy and surgical resection – </w:t>
      </w:r>
      <w:r>
        <w:rPr>
          <w:szCs w:val="24"/>
        </w:rPr>
        <w:t>is</w:t>
      </w:r>
      <w:r w:rsidRPr="0090621B">
        <w:rPr>
          <w:szCs w:val="24"/>
        </w:rPr>
        <w:t xml:space="preserve"> also limited by study design (predominantly Level IV case series).</w:t>
      </w:r>
    </w:p>
    <w:p w14:paraId="4A6A9B76" w14:textId="77777777" w:rsidR="00E35519" w:rsidRPr="0090621B" w:rsidRDefault="00E35519" w:rsidP="00E35519">
      <w:pPr>
        <w:rPr>
          <w:szCs w:val="24"/>
        </w:rPr>
      </w:pPr>
    </w:p>
    <w:p w14:paraId="4A6A9B77" w14:textId="77777777" w:rsidR="00E35519" w:rsidRPr="0090621B" w:rsidRDefault="00E35519" w:rsidP="00E35519">
      <w:pPr>
        <w:rPr>
          <w:szCs w:val="24"/>
        </w:rPr>
      </w:pPr>
      <w:r w:rsidRPr="0090621B">
        <w:rPr>
          <w:szCs w:val="24"/>
        </w:rPr>
        <w:t>ESC discussed the safety and agreed pneumothorax was the most common adverse event associated with MTA (median 30%, range 8–64%, 20 studies) and that procedure-related deaths were rare (0.2%, 2/916, 23 studies).</w:t>
      </w:r>
    </w:p>
    <w:p w14:paraId="4A6A9B78" w14:textId="77777777" w:rsidR="00E35519" w:rsidRPr="0090621B" w:rsidRDefault="00E35519" w:rsidP="00E35519">
      <w:pPr>
        <w:rPr>
          <w:szCs w:val="24"/>
        </w:rPr>
      </w:pPr>
    </w:p>
    <w:p w14:paraId="4A6A9B79" w14:textId="77777777" w:rsidR="00E35519" w:rsidRPr="0090621B" w:rsidRDefault="00E35519" w:rsidP="00E35519">
      <w:pPr>
        <w:rPr>
          <w:szCs w:val="24"/>
        </w:rPr>
      </w:pPr>
      <w:r w:rsidRPr="0090621B">
        <w:rPr>
          <w:szCs w:val="24"/>
        </w:rPr>
        <w:t xml:space="preserve">ESC noted that the cost of lung MTA is affected by the choice of treatment modality: that is, whether it is performed as an inpatient or outpatient procedure, or </w:t>
      </w:r>
      <w:r>
        <w:rPr>
          <w:szCs w:val="24"/>
        </w:rPr>
        <w:t>under</w:t>
      </w:r>
      <w:r w:rsidRPr="0090621B">
        <w:rPr>
          <w:szCs w:val="24"/>
        </w:rPr>
        <w:t xml:space="preserve"> general or local anaesthetic.</w:t>
      </w:r>
    </w:p>
    <w:p w14:paraId="4A6A9B7A" w14:textId="77777777" w:rsidR="00E35519" w:rsidRPr="0090621B" w:rsidRDefault="00E35519" w:rsidP="00E35519">
      <w:pPr>
        <w:rPr>
          <w:szCs w:val="24"/>
        </w:rPr>
      </w:pPr>
    </w:p>
    <w:p w14:paraId="4A6A9B7B" w14:textId="77777777" w:rsidR="00E35519" w:rsidRPr="00762BA2" w:rsidRDefault="00E35519" w:rsidP="00E35519">
      <w:pPr>
        <w:rPr>
          <w:szCs w:val="24"/>
        </w:rPr>
      </w:pPr>
      <w:r w:rsidRPr="0090621B">
        <w:rPr>
          <w:szCs w:val="24"/>
        </w:rPr>
        <w:t xml:space="preserve">ESC noted the clinical input </w:t>
      </w:r>
      <w:r>
        <w:rPr>
          <w:szCs w:val="24"/>
        </w:rPr>
        <w:t>suggesting that</w:t>
      </w:r>
      <w:r w:rsidRPr="0090621B">
        <w:rPr>
          <w:szCs w:val="24"/>
        </w:rPr>
        <w:t xml:space="preserve"> lung MTA is not used for palliative therapy in Australia, as patients would be more likely to receive systemic therapies. </w:t>
      </w:r>
      <w:r w:rsidR="00762BA2">
        <w:rPr>
          <w:szCs w:val="24"/>
        </w:rPr>
        <w:t xml:space="preserve"> </w:t>
      </w:r>
      <w:r w:rsidRPr="0090621B">
        <w:rPr>
          <w:color w:val="000000" w:themeColor="text1"/>
          <w:szCs w:val="24"/>
        </w:rPr>
        <w:t>Studies have shown that surgical resection is effective for population 2; however, without randomised control trial data it is difficult to assess MTA’s comparative effectiveness against surgery.</w:t>
      </w:r>
    </w:p>
    <w:p w14:paraId="4A6A9B7C" w14:textId="77777777" w:rsidR="00E35519" w:rsidRPr="0090621B" w:rsidRDefault="00E35519" w:rsidP="00E35519">
      <w:pPr>
        <w:rPr>
          <w:szCs w:val="24"/>
        </w:rPr>
      </w:pPr>
    </w:p>
    <w:p w14:paraId="4A6A9B7D" w14:textId="77777777" w:rsidR="00E35519" w:rsidRDefault="00E35519" w:rsidP="00E35519">
      <w:pPr>
        <w:rPr>
          <w:szCs w:val="24"/>
        </w:rPr>
      </w:pPr>
      <w:r>
        <w:rPr>
          <w:szCs w:val="24"/>
        </w:rPr>
        <w:t xml:space="preserve">ESC noted the costs for treatment of base </w:t>
      </w:r>
      <w:r w:rsidRPr="0090621B">
        <w:rPr>
          <w:szCs w:val="24"/>
        </w:rPr>
        <w:t xml:space="preserve">case </w:t>
      </w:r>
      <w:r>
        <w:rPr>
          <w:szCs w:val="24"/>
        </w:rPr>
        <w:t>primary lung cancer with: stereotactic body radiotherapy (</w:t>
      </w:r>
      <w:r w:rsidRPr="0090621B">
        <w:rPr>
          <w:szCs w:val="24"/>
        </w:rPr>
        <w:t>SBRT</w:t>
      </w:r>
      <w:r>
        <w:rPr>
          <w:szCs w:val="24"/>
        </w:rPr>
        <w:t>) (</w:t>
      </w:r>
      <w:r w:rsidRPr="0090621B">
        <w:rPr>
          <w:szCs w:val="24"/>
        </w:rPr>
        <w:t xml:space="preserve">over three months for </w:t>
      </w:r>
      <w:r>
        <w:rPr>
          <w:szCs w:val="24"/>
        </w:rPr>
        <w:t>fewer</w:t>
      </w:r>
      <w:r w:rsidRPr="0090621B">
        <w:rPr>
          <w:szCs w:val="24"/>
        </w:rPr>
        <w:t xml:space="preserve"> than three lesions) </w:t>
      </w:r>
      <w:r>
        <w:rPr>
          <w:szCs w:val="24"/>
        </w:rPr>
        <w:t>is $</w:t>
      </w:r>
      <w:r w:rsidRPr="0090621B">
        <w:rPr>
          <w:szCs w:val="24"/>
        </w:rPr>
        <w:t>5,372.95;</w:t>
      </w:r>
      <w:r>
        <w:rPr>
          <w:szCs w:val="24"/>
        </w:rPr>
        <w:t xml:space="preserve"> MTA is </w:t>
      </w:r>
      <w:r w:rsidRPr="0090621B">
        <w:rPr>
          <w:szCs w:val="24"/>
        </w:rPr>
        <w:t>$7,843.83</w:t>
      </w:r>
      <w:r>
        <w:rPr>
          <w:szCs w:val="24"/>
        </w:rPr>
        <w:t xml:space="preserve"> and surgery is </w:t>
      </w:r>
      <w:r w:rsidRPr="0090621B">
        <w:rPr>
          <w:szCs w:val="24"/>
        </w:rPr>
        <w:t>$19,472.05</w:t>
      </w:r>
      <w:r>
        <w:rPr>
          <w:szCs w:val="24"/>
        </w:rPr>
        <w:t>.</w:t>
      </w:r>
    </w:p>
    <w:p w14:paraId="4A6A9B7E" w14:textId="77777777" w:rsidR="00E35519" w:rsidRPr="0090621B" w:rsidRDefault="00E35519" w:rsidP="00E35519">
      <w:pPr>
        <w:rPr>
          <w:szCs w:val="24"/>
        </w:rPr>
      </w:pPr>
    </w:p>
    <w:p w14:paraId="4A6A9B7F" w14:textId="77777777" w:rsidR="00E35519" w:rsidRPr="0090621B" w:rsidRDefault="006353C5" w:rsidP="00E35519">
      <w:pPr>
        <w:autoSpaceDE w:val="0"/>
        <w:autoSpaceDN w:val="0"/>
        <w:adjustRightInd w:val="0"/>
      </w:pPr>
      <w:r>
        <w:t>ESC noted that c</w:t>
      </w:r>
      <w:r w:rsidR="00E35519" w:rsidRPr="0090621B">
        <w:t>linical advice suggests MTA may be useful in rural or remote areas on the basis of convenience (only one treatment usually required) and price, particularly in those areas where access to radiation therapy is limited.</w:t>
      </w:r>
    </w:p>
    <w:p w14:paraId="4A6A9B80" w14:textId="77777777" w:rsidR="00E35519" w:rsidRPr="0090621B" w:rsidRDefault="00E35519" w:rsidP="00E35519">
      <w:pPr>
        <w:rPr>
          <w:szCs w:val="24"/>
        </w:rPr>
      </w:pPr>
    </w:p>
    <w:p w14:paraId="4A6A9B81" w14:textId="77777777" w:rsidR="00E35519" w:rsidRPr="0090621B" w:rsidRDefault="0065164D" w:rsidP="00E35519">
      <w:pPr>
        <w:rPr>
          <w:szCs w:val="24"/>
        </w:rPr>
      </w:pPr>
      <w:r>
        <w:rPr>
          <w:szCs w:val="24"/>
        </w:rPr>
        <w:lastRenderedPageBreak/>
        <w:t>ESC a</w:t>
      </w:r>
      <w:r w:rsidR="00E35519" w:rsidRPr="0090621B">
        <w:rPr>
          <w:szCs w:val="24"/>
        </w:rPr>
        <w:t xml:space="preserve">lso noted, the annual MBS costs </w:t>
      </w:r>
      <w:r w:rsidR="003058D4">
        <w:rPr>
          <w:szCs w:val="24"/>
        </w:rPr>
        <w:t>are</w:t>
      </w:r>
      <w:r w:rsidR="00E35519">
        <w:rPr>
          <w:szCs w:val="24"/>
        </w:rPr>
        <w:t xml:space="preserve"> projected</w:t>
      </w:r>
      <w:r w:rsidR="00E35519" w:rsidRPr="0090621B">
        <w:rPr>
          <w:szCs w:val="24"/>
        </w:rPr>
        <w:t xml:space="preserve"> to decrease over the 5-year horizon, related to substitution </w:t>
      </w:r>
      <w:r w:rsidR="00E35519">
        <w:rPr>
          <w:szCs w:val="24"/>
        </w:rPr>
        <w:t>for</w:t>
      </w:r>
      <w:r w:rsidR="00E35519" w:rsidRPr="0090621B">
        <w:rPr>
          <w:szCs w:val="24"/>
        </w:rPr>
        <w:t xml:space="preserve"> SBRT, which has a higher rebate, with an increasing capacity </w:t>
      </w:r>
      <w:r w:rsidR="00E35519">
        <w:rPr>
          <w:szCs w:val="24"/>
        </w:rPr>
        <w:t>to provide</w:t>
      </w:r>
      <w:r w:rsidR="00E35519" w:rsidRPr="0090621B">
        <w:rPr>
          <w:szCs w:val="24"/>
        </w:rPr>
        <w:t xml:space="preserve"> lung MTA services over time.</w:t>
      </w:r>
    </w:p>
    <w:p w14:paraId="4A6A9B82" w14:textId="77777777" w:rsidR="00E35519" w:rsidRPr="0090621B" w:rsidRDefault="00E35519" w:rsidP="00E35519">
      <w:pPr>
        <w:rPr>
          <w:szCs w:val="24"/>
        </w:rPr>
      </w:pPr>
    </w:p>
    <w:p w14:paraId="4A6A9B83" w14:textId="77777777" w:rsidR="00E35519" w:rsidRPr="0090621B" w:rsidRDefault="00E35519" w:rsidP="00E35519">
      <w:pPr>
        <w:rPr>
          <w:szCs w:val="24"/>
        </w:rPr>
      </w:pPr>
      <w:r w:rsidRPr="0090621B">
        <w:rPr>
          <w:szCs w:val="24"/>
        </w:rPr>
        <w:t xml:space="preserve">ESC noted potential out of pocket cost of the disposable probe $2,960 each, </w:t>
      </w:r>
      <w:r>
        <w:rPr>
          <w:szCs w:val="24"/>
        </w:rPr>
        <w:t xml:space="preserve">plus additional </w:t>
      </w:r>
      <w:r w:rsidRPr="0090621B">
        <w:rPr>
          <w:szCs w:val="24"/>
        </w:rPr>
        <w:t>optimal temperature probe cost of $960</w:t>
      </w:r>
      <w:r>
        <w:rPr>
          <w:szCs w:val="24"/>
        </w:rPr>
        <w:t xml:space="preserve"> (which was not included in the economic analysis)</w:t>
      </w:r>
      <w:r w:rsidRPr="0090621B">
        <w:rPr>
          <w:szCs w:val="24"/>
        </w:rPr>
        <w:t>.</w:t>
      </w:r>
    </w:p>
    <w:p w14:paraId="4A6A9B84" w14:textId="77777777" w:rsidR="00D90A38" w:rsidRPr="00F715D1" w:rsidRDefault="00BC1364" w:rsidP="00C22C2D">
      <w:pPr>
        <w:pStyle w:val="Heading1"/>
        <w:ind w:hanging="720"/>
      </w:pPr>
      <w:r w:rsidRPr="00F715D1">
        <w:t>Other significant factors</w:t>
      </w:r>
    </w:p>
    <w:p w14:paraId="4A6A9B85" w14:textId="77777777" w:rsidR="00BC1364" w:rsidRPr="00F715D1" w:rsidRDefault="005E674E" w:rsidP="00F715D1">
      <w:pPr>
        <w:spacing w:after="240"/>
        <w:rPr>
          <w:szCs w:val="24"/>
        </w:rPr>
      </w:pPr>
      <w:r>
        <w:rPr>
          <w:szCs w:val="24"/>
        </w:rPr>
        <w:t>Nil.</w:t>
      </w:r>
    </w:p>
    <w:p w14:paraId="4A6A9B86" w14:textId="77777777" w:rsidR="00BC1364" w:rsidRPr="00F715D1" w:rsidRDefault="00BC1364" w:rsidP="00C22C2D">
      <w:pPr>
        <w:pStyle w:val="Heading1"/>
        <w:ind w:hanging="720"/>
      </w:pPr>
      <w:r w:rsidRPr="00F715D1">
        <w:t xml:space="preserve">Applicant’s comments on MSAC’s </w:t>
      </w:r>
      <w:r w:rsidR="00DA56AA" w:rsidRPr="00F715D1">
        <w:t>Public Summary Document</w:t>
      </w:r>
    </w:p>
    <w:p w14:paraId="4A6A9B87" w14:textId="77777777" w:rsidR="00BC1364" w:rsidRPr="009F1092" w:rsidRDefault="00D20B5E" w:rsidP="00F715D1">
      <w:pPr>
        <w:spacing w:after="240"/>
        <w:rPr>
          <w:szCs w:val="24"/>
        </w:rPr>
      </w:pPr>
      <w:r w:rsidRPr="009F1092">
        <w:rPr>
          <w:szCs w:val="24"/>
        </w:rPr>
        <w:t>The applicant had no comment.</w:t>
      </w:r>
    </w:p>
    <w:p w14:paraId="4A6A9B88" w14:textId="77777777" w:rsidR="00BC1364" w:rsidRPr="00F715D1" w:rsidRDefault="00271F18" w:rsidP="00C22C2D">
      <w:pPr>
        <w:pStyle w:val="Heading1"/>
        <w:ind w:hanging="720"/>
      </w:pPr>
      <w:r w:rsidRPr="00F715D1">
        <w:t>Further information on MSAC</w:t>
      </w:r>
    </w:p>
    <w:p w14:paraId="4A6A9B89"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1" w:history="1">
        <w:r w:rsidR="00BC2667" w:rsidRPr="00F715D1">
          <w:rPr>
            <w:rStyle w:val="Hyperlink"/>
            <w:szCs w:val="24"/>
          </w:rPr>
          <w:t>visit the MSAC website</w:t>
        </w:r>
      </w:hyperlink>
    </w:p>
    <w:sectPr w:rsidR="00BC1364" w:rsidRPr="00F715D1" w:rsidSect="00271F18">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A9B8E" w14:textId="77777777" w:rsidR="00793024" w:rsidRDefault="00793024" w:rsidP="00065623">
      <w:r>
        <w:separator/>
      </w:r>
    </w:p>
  </w:endnote>
  <w:endnote w:type="continuationSeparator" w:id="0">
    <w:p w14:paraId="4A6A9B8F" w14:textId="77777777" w:rsidR="00793024" w:rsidRDefault="00793024"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70C9D" w14:textId="77777777" w:rsidR="00BF263E" w:rsidRDefault="00BF26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4A6A9B90" w14:textId="77777777" w:rsidR="00231483" w:rsidRDefault="00231483">
        <w:pPr>
          <w:pStyle w:val="Footer"/>
          <w:jc w:val="right"/>
        </w:pPr>
        <w:r>
          <w:fldChar w:fldCharType="begin"/>
        </w:r>
        <w:r>
          <w:instrText xml:space="preserve"> PAGE   \* MERGEFORMAT </w:instrText>
        </w:r>
        <w:r>
          <w:fldChar w:fldCharType="separate"/>
        </w:r>
        <w:r w:rsidR="00BF263E">
          <w:rPr>
            <w:noProof/>
          </w:rPr>
          <w:t>6</w:t>
        </w:r>
        <w:r>
          <w:rPr>
            <w:noProof/>
          </w:rPr>
          <w:fldChar w:fldCharType="end"/>
        </w:r>
      </w:p>
    </w:sdtContent>
  </w:sdt>
  <w:p w14:paraId="4A6A9B91" w14:textId="77777777" w:rsidR="00231483" w:rsidRDefault="002314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53359" w14:textId="77777777" w:rsidR="00BF263E" w:rsidRDefault="00BF2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A9B8C" w14:textId="77777777" w:rsidR="00793024" w:rsidRDefault="00793024" w:rsidP="00065623">
      <w:r>
        <w:separator/>
      </w:r>
    </w:p>
  </w:footnote>
  <w:footnote w:type="continuationSeparator" w:id="0">
    <w:p w14:paraId="4A6A9B8D" w14:textId="77777777" w:rsidR="00793024" w:rsidRDefault="00793024"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D0FC" w14:textId="77777777" w:rsidR="00BF263E" w:rsidRDefault="00BF26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C57F" w14:textId="77777777" w:rsidR="00BF263E" w:rsidRDefault="00BF26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D8186" w14:textId="77777777" w:rsidR="00BF263E" w:rsidRDefault="00BF26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4D1679"/>
    <w:multiLevelType w:val="hybridMultilevel"/>
    <w:tmpl w:val="B56C81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4A3730D"/>
    <w:multiLevelType w:val="hybridMultilevel"/>
    <w:tmpl w:val="FA88EC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560C96"/>
    <w:multiLevelType w:val="hybridMultilevel"/>
    <w:tmpl w:val="5D8C4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C570274"/>
    <w:multiLevelType w:val="hybridMultilevel"/>
    <w:tmpl w:val="B56C8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DE2523F"/>
    <w:multiLevelType w:val="hybridMultilevel"/>
    <w:tmpl w:val="FB9C5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9F20330"/>
    <w:multiLevelType w:val="hybridMultilevel"/>
    <w:tmpl w:val="9A8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
  </w:num>
  <w:num w:numId="4">
    <w:abstractNumId w:val="17"/>
  </w:num>
  <w:num w:numId="5">
    <w:abstractNumId w:val="9"/>
  </w:num>
  <w:num w:numId="6">
    <w:abstractNumId w:val="16"/>
  </w:num>
  <w:num w:numId="7">
    <w:abstractNumId w:val="20"/>
  </w:num>
  <w:num w:numId="8">
    <w:abstractNumId w:val="12"/>
  </w:num>
  <w:num w:numId="9">
    <w:abstractNumId w:val="30"/>
  </w:num>
  <w:num w:numId="10">
    <w:abstractNumId w:val="0"/>
  </w:num>
  <w:num w:numId="11">
    <w:abstractNumId w:val="19"/>
  </w:num>
  <w:num w:numId="12">
    <w:abstractNumId w:val="21"/>
  </w:num>
  <w:num w:numId="13">
    <w:abstractNumId w:val="4"/>
  </w:num>
  <w:num w:numId="14">
    <w:abstractNumId w:val="28"/>
  </w:num>
  <w:num w:numId="15">
    <w:abstractNumId w:val="18"/>
  </w:num>
  <w:num w:numId="16">
    <w:abstractNumId w:val="22"/>
  </w:num>
  <w:num w:numId="17">
    <w:abstractNumId w:val="13"/>
  </w:num>
  <w:num w:numId="18">
    <w:abstractNumId w:val="14"/>
  </w:num>
  <w:num w:numId="19">
    <w:abstractNumId w:val="24"/>
  </w:num>
  <w:num w:numId="20">
    <w:abstractNumId w:val="23"/>
  </w:num>
  <w:num w:numId="21">
    <w:abstractNumId w:val="3"/>
  </w:num>
  <w:num w:numId="22">
    <w:abstractNumId w:val="8"/>
  </w:num>
  <w:num w:numId="23">
    <w:abstractNumId w:val="2"/>
  </w:num>
  <w:num w:numId="24">
    <w:abstractNumId w:val="7"/>
  </w:num>
  <w:num w:numId="25">
    <w:abstractNumId w:val="5"/>
  </w:num>
  <w:num w:numId="26">
    <w:abstractNumId w:val="10"/>
  </w:num>
  <w:num w:numId="27">
    <w:abstractNumId w:val="26"/>
  </w:num>
  <w:num w:numId="28">
    <w:abstractNumId w:val="11"/>
  </w:num>
  <w:num w:numId="29">
    <w:abstractNumId w:val="29"/>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7"/>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47606"/>
    <w:rsid w:val="00065623"/>
    <w:rsid w:val="000756B9"/>
    <w:rsid w:val="00096B67"/>
    <w:rsid w:val="00096DAF"/>
    <w:rsid w:val="000B1C6F"/>
    <w:rsid w:val="000C2F47"/>
    <w:rsid w:val="000C61DC"/>
    <w:rsid w:val="000D28E9"/>
    <w:rsid w:val="000D6C00"/>
    <w:rsid w:val="000E4E04"/>
    <w:rsid w:val="000F14B4"/>
    <w:rsid w:val="000F61C9"/>
    <w:rsid w:val="000F75DF"/>
    <w:rsid w:val="00117E11"/>
    <w:rsid w:val="001328FA"/>
    <w:rsid w:val="00147AAF"/>
    <w:rsid w:val="001552C0"/>
    <w:rsid w:val="001640B1"/>
    <w:rsid w:val="00182D06"/>
    <w:rsid w:val="0018435E"/>
    <w:rsid w:val="002041A1"/>
    <w:rsid w:val="002054F0"/>
    <w:rsid w:val="00230D6B"/>
    <w:rsid w:val="00231483"/>
    <w:rsid w:val="00232068"/>
    <w:rsid w:val="002330F2"/>
    <w:rsid w:val="00243D9E"/>
    <w:rsid w:val="00253B66"/>
    <w:rsid w:val="00261DF1"/>
    <w:rsid w:val="00271F18"/>
    <w:rsid w:val="00273004"/>
    <w:rsid w:val="00282779"/>
    <w:rsid w:val="0028334D"/>
    <w:rsid w:val="002B7528"/>
    <w:rsid w:val="002B7FFA"/>
    <w:rsid w:val="002C2BCF"/>
    <w:rsid w:val="002E1945"/>
    <w:rsid w:val="002F279D"/>
    <w:rsid w:val="002F43B8"/>
    <w:rsid w:val="003058D4"/>
    <w:rsid w:val="0032613A"/>
    <w:rsid w:val="00336856"/>
    <w:rsid w:val="0034554D"/>
    <w:rsid w:val="00352224"/>
    <w:rsid w:val="003671E6"/>
    <w:rsid w:val="00384272"/>
    <w:rsid w:val="00386D67"/>
    <w:rsid w:val="0039399A"/>
    <w:rsid w:val="003945B8"/>
    <w:rsid w:val="003D7F29"/>
    <w:rsid w:val="003F5B97"/>
    <w:rsid w:val="00405A6B"/>
    <w:rsid w:val="00407B1F"/>
    <w:rsid w:val="00414C57"/>
    <w:rsid w:val="0041758C"/>
    <w:rsid w:val="00443E94"/>
    <w:rsid w:val="004539DE"/>
    <w:rsid w:val="00462DF6"/>
    <w:rsid w:val="004A2CF1"/>
    <w:rsid w:val="004C0C25"/>
    <w:rsid w:val="004C3035"/>
    <w:rsid w:val="004C307F"/>
    <w:rsid w:val="004E4BA8"/>
    <w:rsid w:val="004F340F"/>
    <w:rsid w:val="004F7B7C"/>
    <w:rsid w:val="0052243D"/>
    <w:rsid w:val="00532435"/>
    <w:rsid w:val="00550354"/>
    <w:rsid w:val="00571236"/>
    <w:rsid w:val="005953A1"/>
    <w:rsid w:val="005D0332"/>
    <w:rsid w:val="005D0D8C"/>
    <w:rsid w:val="005E674E"/>
    <w:rsid w:val="006055DE"/>
    <w:rsid w:val="00614C31"/>
    <w:rsid w:val="006353C5"/>
    <w:rsid w:val="006409C7"/>
    <w:rsid w:val="0064191B"/>
    <w:rsid w:val="0065164D"/>
    <w:rsid w:val="00667329"/>
    <w:rsid w:val="006776AE"/>
    <w:rsid w:val="006A0D97"/>
    <w:rsid w:val="006B1A6E"/>
    <w:rsid w:val="006B1F86"/>
    <w:rsid w:val="006C0A91"/>
    <w:rsid w:val="007054BB"/>
    <w:rsid w:val="00707064"/>
    <w:rsid w:val="00730683"/>
    <w:rsid w:val="0075261F"/>
    <w:rsid w:val="0075468E"/>
    <w:rsid w:val="00762183"/>
    <w:rsid w:val="00762BA2"/>
    <w:rsid w:val="007665D8"/>
    <w:rsid w:val="00766E36"/>
    <w:rsid w:val="007765F4"/>
    <w:rsid w:val="00776633"/>
    <w:rsid w:val="00784D53"/>
    <w:rsid w:val="00793024"/>
    <w:rsid w:val="00797692"/>
    <w:rsid w:val="00797797"/>
    <w:rsid w:val="007A63C9"/>
    <w:rsid w:val="007B32D1"/>
    <w:rsid w:val="007B7095"/>
    <w:rsid w:val="007C72D3"/>
    <w:rsid w:val="007D24E1"/>
    <w:rsid w:val="007D6288"/>
    <w:rsid w:val="007E007E"/>
    <w:rsid w:val="007F4CE9"/>
    <w:rsid w:val="007F4E20"/>
    <w:rsid w:val="0080701D"/>
    <w:rsid w:val="00822C7E"/>
    <w:rsid w:val="008235A5"/>
    <w:rsid w:val="008467FF"/>
    <w:rsid w:val="00847060"/>
    <w:rsid w:val="00856A33"/>
    <w:rsid w:val="008807D0"/>
    <w:rsid w:val="00885D69"/>
    <w:rsid w:val="00892620"/>
    <w:rsid w:val="00892689"/>
    <w:rsid w:val="008C7D37"/>
    <w:rsid w:val="008D5885"/>
    <w:rsid w:val="008F5790"/>
    <w:rsid w:val="00923FA2"/>
    <w:rsid w:val="00951310"/>
    <w:rsid w:val="0096060D"/>
    <w:rsid w:val="00974A50"/>
    <w:rsid w:val="0097585A"/>
    <w:rsid w:val="009921AA"/>
    <w:rsid w:val="009924B0"/>
    <w:rsid w:val="009942C9"/>
    <w:rsid w:val="009B35C4"/>
    <w:rsid w:val="009C630A"/>
    <w:rsid w:val="009D2E5F"/>
    <w:rsid w:val="009E0D98"/>
    <w:rsid w:val="009E2033"/>
    <w:rsid w:val="009F1092"/>
    <w:rsid w:val="00A010D9"/>
    <w:rsid w:val="00A0260A"/>
    <w:rsid w:val="00A068A1"/>
    <w:rsid w:val="00A1207D"/>
    <w:rsid w:val="00A12FD8"/>
    <w:rsid w:val="00A20194"/>
    <w:rsid w:val="00A346FC"/>
    <w:rsid w:val="00A47F00"/>
    <w:rsid w:val="00A822AF"/>
    <w:rsid w:val="00A84F93"/>
    <w:rsid w:val="00A95439"/>
    <w:rsid w:val="00AB1AC5"/>
    <w:rsid w:val="00AB3BFC"/>
    <w:rsid w:val="00AC4F2E"/>
    <w:rsid w:val="00AD0C37"/>
    <w:rsid w:val="00AD385F"/>
    <w:rsid w:val="00AE6E2A"/>
    <w:rsid w:val="00B156CC"/>
    <w:rsid w:val="00B31E9C"/>
    <w:rsid w:val="00B35595"/>
    <w:rsid w:val="00B51C6D"/>
    <w:rsid w:val="00B71507"/>
    <w:rsid w:val="00B86D64"/>
    <w:rsid w:val="00B95CDA"/>
    <w:rsid w:val="00BA4AC5"/>
    <w:rsid w:val="00BB09ED"/>
    <w:rsid w:val="00BC1364"/>
    <w:rsid w:val="00BC2667"/>
    <w:rsid w:val="00BC4A5A"/>
    <w:rsid w:val="00BC7DE9"/>
    <w:rsid w:val="00BF263E"/>
    <w:rsid w:val="00BF479B"/>
    <w:rsid w:val="00C02577"/>
    <w:rsid w:val="00C140E6"/>
    <w:rsid w:val="00C204FB"/>
    <w:rsid w:val="00C20BEE"/>
    <w:rsid w:val="00C2158D"/>
    <w:rsid w:val="00C22C2D"/>
    <w:rsid w:val="00C3699A"/>
    <w:rsid w:val="00C67DD2"/>
    <w:rsid w:val="00C725CB"/>
    <w:rsid w:val="00C76F5C"/>
    <w:rsid w:val="00C96BAD"/>
    <w:rsid w:val="00CA6944"/>
    <w:rsid w:val="00CB0F8E"/>
    <w:rsid w:val="00CB7E7D"/>
    <w:rsid w:val="00CC2911"/>
    <w:rsid w:val="00CD4749"/>
    <w:rsid w:val="00CE58FD"/>
    <w:rsid w:val="00CF0C6D"/>
    <w:rsid w:val="00CF7307"/>
    <w:rsid w:val="00CF7C68"/>
    <w:rsid w:val="00D00D99"/>
    <w:rsid w:val="00D124FA"/>
    <w:rsid w:val="00D20B5E"/>
    <w:rsid w:val="00D340DE"/>
    <w:rsid w:val="00D55723"/>
    <w:rsid w:val="00D62FAD"/>
    <w:rsid w:val="00D70450"/>
    <w:rsid w:val="00D82F6E"/>
    <w:rsid w:val="00D83BFD"/>
    <w:rsid w:val="00D90A38"/>
    <w:rsid w:val="00D93640"/>
    <w:rsid w:val="00DA0515"/>
    <w:rsid w:val="00DA171E"/>
    <w:rsid w:val="00DA56AA"/>
    <w:rsid w:val="00DB5833"/>
    <w:rsid w:val="00DD2858"/>
    <w:rsid w:val="00DF1581"/>
    <w:rsid w:val="00DF1BA4"/>
    <w:rsid w:val="00E03E33"/>
    <w:rsid w:val="00E059E0"/>
    <w:rsid w:val="00E35519"/>
    <w:rsid w:val="00E3642A"/>
    <w:rsid w:val="00E415C4"/>
    <w:rsid w:val="00E50016"/>
    <w:rsid w:val="00E50EAA"/>
    <w:rsid w:val="00E656D6"/>
    <w:rsid w:val="00E977EE"/>
    <w:rsid w:val="00EA2F24"/>
    <w:rsid w:val="00EA67A2"/>
    <w:rsid w:val="00EB6B6F"/>
    <w:rsid w:val="00EC4F98"/>
    <w:rsid w:val="00EE5E1D"/>
    <w:rsid w:val="00F12F02"/>
    <w:rsid w:val="00F32E0D"/>
    <w:rsid w:val="00F35134"/>
    <w:rsid w:val="00F41812"/>
    <w:rsid w:val="00F443A8"/>
    <w:rsid w:val="00F715D1"/>
    <w:rsid w:val="00F73333"/>
    <w:rsid w:val="00F95D8F"/>
    <w:rsid w:val="00FB350A"/>
    <w:rsid w:val="00FB4C5D"/>
    <w:rsid w:val="00FE4BA0"/>
    <w:rsid w:val="00FE731D"/>
    <w:rsid w:val="00FF6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6A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B71507"/>
    <w:pPr>
      <w:keepNext/>
      <w:keepLines/>
      <w:numPr>
        <w:numId w:val="23"/>
      </w:numPr>
      <w:spacing w:before="240" w:after="240"/>
      <w:ind w:left="714" w:hanging="357"/>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1507"/>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
    <w:name w:val="Table"/>
    <w:basedOn w:val="Normal"/>
    <w:link w:val="TableChar"/>
    <w:qFormat/>
    <w:rsid w:val="00E35519"/>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E35519"/>
    <w:rPr>
      <w:rFonts w:ascii="Candara" w:eastAsiaTheme="majorEastAsia" w:hAnsi="Candara" w:cstheme="majorBidi"/>
      <w:sz w:val="20"/>
      <w:lang w:eastAsia="en-US" w:bidi="en-US"/>
    </w:rPr>
  </w:style>
  <w:style w:type="paragraph" w:customStyle="1" w:styleId="Tabletext">
    <w:name w:val="Table text"/>
    <w:basedOn w:val="Normal"/>
    <w:link w:val="TabletextChar"/>
    <w:qFormat/>
    <w:rsid w:val="00E35519"/>
    <w:rPr>
      <w:rFonts w:ascii="Arial Narrow" w:hAnsi="Arial Narrow"/>
      <w:sz w:val="20"/>
      <w:szCs w:val="24"/>
      <w:lang w:eastAsia="en-US"/>
    </w:rPr>
  </w:style>
  <w:style w:type="character" w:customStyle="1" w:styleId="TabletextChar">
    <w:name w:val="Table text Char"/>
    <w:basedOn w:val="DefaultParagraphFont"/>
    <w:link w:val="Tabletext"/>
    <w:rsid w:val="00E35519"/>
    <w:rPr>
      <w:rFonts w:ascii="Arial Narrow" w:eastAsia="Times New Roman" w:hAnsi="Arial Narrow"/>
      <w:sz w:val="20"/>
      <w:szCs w:val="24"/>
      <w:lang w:eastAsia="en-US"/>
    </w:rPr>
  </w:style>
  <w:style w:type="table" w:customStyle="1" w:styleId="TableGrid8">
    <w:name w:val="Table Grid8"/>
    <w:basedOn w:val="TableNormal"/>
    <w:next w:val="TableGrid"/>
    <w:uiPriority w:val="59"/>
    <w:rsid w:val="00E35519"/>
    <w:pPr>
      <w:spacing w:before="60" w:after="6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35519"/>
    <w:pPr>
      <w:spacing w:before="60" w:after="6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E35519"/>
    <w:pPr>
      <w:spacing w:before="60" w:after="6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Summary box"/>
    <w:basedOn w:val="TableNormal"/>
    <w:uiPriority w:val="59"/>
    <w:locked/>
    <w:rsid w:val="00E3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E35519"/>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E35519"/>
    <w:rPr>
      <w:rFonts w:ascii="Arial Narrow" w:eastAsia="Times New Roman" w:hAnsi="Arial Narrow" w:cs="Arial"/>
      <w:b/>
      <w:bCs/>
      <w:iCs/>
      <w:sz w:val="20"/>
      <w:szCs w:val="20"/>
      <w:lang w:eastAsia="en-US"/>
    </w:rPr>
  </w:style>
  <w:style w:type="paragraph" w:styleId="BodyText">
    <w:name w:val="Body Text"/>
    <w:basedOn w:val="Normal"/>
    <w:link w:val="BodyTextChar"/>
    <w:uiPriority w:val="1"/>
    <w:qFormat/>
    <w:rsid w:val="0080701D"/>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80701D"/>
    <w:rPr>
      <w:rFonts w:asciiTheme="minorHAnsi" w:eastAsia="Times New Roman" w:hAnsiTheme="minorHAnsi"/>
      <w:sz w:val="20"/>
      <w:szCs w:val="24"/>
    </w:rPr>
  </w:style>
  <w:style w:type="paragraph" w:customStyle="1" w:styleId="TableHeading">
    <w:name w:val="TableHeading"/>
    <w:basedOn w:val="Normal"/>
    <w:link w:val="TableHeadingChar"/>
    <w:qFormat/>
    <w:rsid w:val="00FE4BA0"/>
    <w:pPr>
      <w:keepNext/>
      <w:spacing w:before="40" w:after="40" w:line="312" w:lineRule="auto"/>
      <w:jc w:val="both"/>
    </w:pPr>
    <w:rPr>
      <w:rFonts w:ascii="Arial Narrow" w:hAnsi="Arial Narrow" w:cs="Tahoma"/>
      <w:b/>
      <w:sz w:val="20"/>
    </w:rPr>
  </w:style>
  <w:style w:type="character" w:customStyle="1" w:styleId="TableHeadingChar">
    <w:name w:val="TableHeading Char"/>
    <w:link w:val="TableHeading"/>
    <w:rsid w:val="00FE4BA0"/>
    <w:rPr>
      <w:rFonts w:ascii="Arial Narrow" w:eastAsia="Times New Roman" w:hAnsi="Arial Narrow" w:cs="Tahoma"/>
      <w:b/>
      <w:sz w:val="20"/>
      <w:szCs w:val="20"/>
    </w:rPr>
  </w:style>
  <w:style w:type="table" w:customStyle="1" w:styleId="TableGrid3">
    <w:name w:val="Table Grid3"/>
    <w:basedOn w:val="TableNormal"/>
    <w:next w:val="TableGrid"/>
    <w:uiPriority w:val="59"/>
    <w:rsid w:val="00FE4BA0"/>
    <w:pPr>
      <w:spacing w:before="60" w:after="60"/>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B71507"/>
    <w:pPr>
      <w:keepNext/>
      <w:keepLines/>
      <w:numPr>
        <w:numId w:val="23"/>
      </w:numPr>
      <w:spacing w:before="240" w:after="240"/>
      <w:ind w:left="714" w:hanging="357"/>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1507"/>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
    <w:name w:val="Table"/>
    <w:basedOn w:val="Normal"/>
    <w:link w:val="TableChar"/>
    <w:qFormat/>
    <w:rsid w:val="00E35519"/>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E35519"/>
    <w:rPr>
      <w:rFonts w:ascii="Candara" w:eastAsiaTheme="majorEastAsia" w:hAnsi="Candara" w:cstheme="majorBidi"/>
      <w:sz w:val="20"/>
      <w:lang w:eastAsia="en-US" w:bidi="en-US"/>
    </w:rPr>
  </w:style>
  <w:style w:type="paragraph" w:customStyle="1" w:styleId="Tabletext">
    <w:name w:val="Table text"/>
    <w:basedOn w:val="Normal"/>
    <w:link w:val="TabletextChar"/>
    <w:qFormat/>
    <w:rsid w:val="00E35519"/>
    <w:rPr>
      <w:rFonts w:ascii="Arial Narrow" w:hAnsi="Arial Narrow"/>
      <w:sz w:val="20"/>
      <w:szCs w:val="24"/>
      <w:lang w:eastAsia="en-US"/>
    </w:rPr>
  </w:style>
  <w:style w:type="character" w:customStyle="1" w:styleId="TabletextChar">
    <w:name w:val="Table text Char"/>
    <w:basedOn w:val="DefaultParagraphFont"/>
    <w:link w:val="Tabletext"/>
    <w:rsid w:val="00E35519"/>
    <w:rPr>
      <w:rFonts w:ascii="Arial Narrow" w:eastAsia="Times New Roman" w:hAnsi="Arial Narrow"/>
      <w:sz w:val="20"/>
      <w:szCs w:val="24"/>
      <w:lang w:eastAsia="en-US"/>
    </w:rPr>
  </w:style>
  <w:style w:type="table" w:customStyle="1" w:styleId="TableGrid8">
    <w:name w:val="Table Grid8"/>
    <w:basedOn w:val="TableNormal"/>
    <w:next w:val="TableGrid"/>
    <w:uiPriority w:val="59"/>
    <w:rsid w:val="00E35519"/>
    <w:pPr>
      <w:spacing w:before="60" w:after="6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35519"/>
    <w:pPr>
      <w:spacing w:before="60" w:after="6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E35519"/>
    <w:pPr>
      <w:spacing w:before="60" w:after="6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Summary box"/>
    <w:basedOn w:val="TableNormal"/>
    <w:uiPriority w:val="59"/>
    <w:locked/>
    <w:rsid w:val="00E3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E35519"/>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E35519"/>
    <w:rPr>
      <w:rFonts w:ascii="Arial Narrow" w:eastAsia="Times New Roman" w:hAnsi="Arial Narrow" w:cs="Arial"/>
      <w:b/>
      <w:bCs/>
      <w:iCs/>
      <w:sz w:val="20"/>
      <w:szCs w:val="20"/>
      <w:lang w:eastAsia="en-US"/>
    </w:rPr>
  </w:style>
  <w:style w:type="paragraph" w:styleId="BodyText">
    <w:name w:val="Body Text"/>
    <w:basedOn w:val="Normal"/>
    <w:link w:val="BodyTextChar"/>
    <w:uiPriority w:val="1"/>
    <w:qFormat/>
    <w:rsid w:val="0080701D"/>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80701D"/>
    <w:rPr>
      <w:rFonts w:asciiTheme="minorHAnsi" w:eastAsia="Times New Roman" w:hAnsiTheme="minorHAnsi"/>
      <w:sz w:val="20"/>
      <w:szCs w:val="24"/>
    </w:rPr>
  </w:style>
  <w:style w:type="paragraph" w:customStyle="1" w:styleId="TableHeading">
    <w:name w:val="TableHeading"/>
    <w:basedOn w:val="Normal"/>
    <w:link w:val="TableHeadingChar"/>
    <w:qFormat/>
    <w:rsid w:val="00FE4BA0"/>
    <w:pPr>
      <w:keepNext/>
      <w:spacing w:before="40" w:after="40" w:line="312" w:lineRule="auto"/>
      <w:jc w:val="both"/>
    </w:pPr>
    <w:rPr>
      <w:rFonts w:ascii="Arial Narrow" w:hAnsi="Arial Narrow" w:cs="Tahoma"/>
      <w:b/>
      <w:sz w:val="20"/>
    </w:rPr>
  </w:style>
  <w:style w:type="character" w:customStyle="1" w:styleId="TableHeadingChar">
    <w:name w:val="TableHeading Char"/>
    <w:link w:val="TableHeading"/>
    <w:rsid w:val="00FE4BA0"/>
    <w:rPr>
      <w:rFonts w:ascii="Arial Narrow" w:eastAsia="Times New Roman" w:hAnsi="Arial Narrow" w:cs="Tahoma"/>
      <w:b/>
      <w:sz w:val="20"/>
      <w:szCs w:val="20"/>
    </w:rPr>
  </w:style>
  <w:style w:type="table" w:customStyle="1" w:styleId="TableGrid3">
    <w:name w:val="Table Grid3"/>
    <w:basedOn w:val="TableNormal"/>
    <w:next w:val="TableGrid"/>
    <w:uiPriority w:val="59"/>
    <w:rsid w:val="00FE4BA0"/>
    <w:pPr>
      <w:spacing w:before="60" w:after="60"/>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sac.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71CFE-DBC6-43DC-95E6-35ED9D60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6056</Words>
  <Characters>32654</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1403 Final PSD</dc:title>
  <dc:creator/>
  <cp:lastModifiedBy/>
  <cp:revision>1</cp:revision>
  <dcterms:created xsi:type="dcterms:W3CDTF">2017-02-14T02:33:00Z</dcterms:created>
  <dcterms:modified xsi:type="dcterms:W3CDTF">2017-02-14T02:33:00Z</dcterms:modified>
</cp:coreProperties>
</file>