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1802" w14:textId="13A23976" w:rsidR="00DF3582" w:rsidRDefault="00DF3582" w:rsidP="00AB25C3">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00AB25C3" w:rsidRPr="00F76D74">
        <w:rPr>
          <w:rFonts w:ascii="Arial" w:hAnsi="Arial" w:cs="Arial"/>
          <w:b/>
          <w:bCs/>
          <w:color w:val="000080"/>
          <w:sz w:val="36"/>
          <w:szCs w:val="36"/>
        </w:rPr>
        <w:t>Public Summary Document</w:t>
      </w:r>
    </w:p>
    <w:bookmarkEnd w:id="0"/>
    <w:p w14:paraId="05310E32" w14:textId="77777777" w:rsidR="00DF3582" w:rsidRPr="00CE28E3" w:rsidRDefault="00DF3582" w:rsidP="00DF3582">
      <w:pPr>
        <w:pStyle w:val="Subtitle"/>
      </w:pPr>
      <w:r w:rsidRPr="003C4E83">
        <w:t xml:space="preserve">Application No. 1740 – </w:t>
      </w:r>
      <w:r w:rsidRPr="004771B1">
        <w:t>N-Terminal-pro Brain Natriuretic Peptide (NT-</w:t>
      </w:r>
      <w:proofErr w:type="spellStart"/>
      <w:r w:rsidRPr="004771B1">
        <w:t>proBNP</w:t>
      </w:r>
      <w:proofErr w:type="spellEnd"/>
      <w:r w:rsidRPr="004771B1">
        <w:t xml:space="preserve">) to aid in the diagnosis of patients with suspected heart failure in a non-hospital </w:t>
      </w:r>
      <w:proofErr w:type="gramStart"/>
      <w:r w:rsidRPr="004771B1">
        <w:t>setting</w:t>
      </w:r>
      <w:proofErr w:type="gramEnd"/>
    </w:p>
    <w:p w14:paraId="45FA561A" w14:textId="77777777" w:rsidR="00DF3582" w:rsidRPr="0044058B" w:rsidRDefault="00DF3582" w:rsidP="00DF3582">
      <w:pPr>
        <w:tabs>
          <w:tab w:val="left" w:pos="3686"/>
        </w:tabs>
        <w:spacing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sidRPr="002A7F55">
        <w:rPr>
          <w:rFonts w:ascii="Arial" w:hAnsi="Arial" w:cs="Arial"/>
          <w:b/>
          <w:szCs w:val="24"/>
        </w:rPr>
        <w:t>Roche Diagnostics Australia Pty Limited</w:t>
      </w:r>
    </w:p>
    <w:p w14:paraId="3EA24DF2" w14:textId="353C1B05" w:rsidR="00CA5031" w:rsidRDefault="00CA5031" w:rsidP="00CA5031">
      <w:pPr>
        <w:spacing w:before="320"/>
        <w:rPr>
          <w:rFonts w:ascii="Arial" w:hAnsi="Arial" w:cs="Arial"/>
          <w:b/>
          <w:bCs/>
        </w:rPr>
      </w:pPr>
      <w:bookmarkStart w:id="1" w:name="_Toc69491415"/>
      <w:r w:rsidRPr="0001306A">
        <w:rPr>
          <w:rFonts w:ascii="Arial" w:hAnsi="Arial" w:cs="Arial"/>
          <w:b/>
          <w:bCs/>
        </w:rPr>
        <w:t xml:space="preserve">Date of </w:t>
      </w:r>
      <w:r w:rsidR="00AB25C3">
        <w:rPr>
          <w:rFonts w:ascii="Arial" w:hAnsi="Arial" w:cs="Arial"/>
          <w:b/>
          <w:bCs/>
        </w:rPr>
        <w:t>MSAC</w:t>
      </w:r>
      <w:r w:rsidRPr="0001306A">
        <w:rPr>
          <w:rFonts w:ascii="Arial" w:hAnsi="Arial" w:cs="Arial"/>
          <w:b/>
          <w:bCs/>
        </w:rPr>
        <w:t xml:space="preserve"> consideration:</w:t>
      </w:r>
      <w:r w:rsidRPr="0001306A">
        <w:rPr>
          <w:rFonts w:ascii="Arial" w:hAnsi="Arial" w:cs="Arial"/>
          <w:b/>
          <w:bCs/>
        </w:rPr>
        <w:tab/>
      </w:r>
      <w:r w:rsidR="00AB25C3">
        <w:rPr>
          <w:rFonts w:ascii="Arial" w:hAnsi="Arial" w:cs="Arial"/>
          <w:b/>
          <w:bCs/>
        </w:rPr>
        <w:t>23-24 November</w:t>
      </w:r>
      <w:r w:rsidRPr="0001306A">
        <w:rPr>
          <w:rFonts w:ascii="Arial" w:hAnsi="Arial" w:cs="Arial"/>
          <w:b/>
          <w:bCs/>
        </w:rPr>
        <w:t xml:space="preserve"> 2023</w:t>
      </w:r>
    </w:p>
    <w:p w14:paraId="45EF7B10" w14:textId="06552C84" w:rsidR="00AB25C3" w:rsidRPr="00415A9B" w:rsidRDefault="00AB25C3" w:rsidP="00AB25C3">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r>
        <w:t>1.</w:t>
      </w:r>
      <w:r>
        <w:tab/>
      </w:r>
      <w:r w:rsidR="00772829" w:rsidRPr="00CE28E3">
        <w:t xml:space="preserve">Purpose </w:t>
      </w:r>
      <w:r w:rsidR="00772829" w:rsidRPr="00CE28E3">
        <w:rPr>
          <w:szCs w:val="32"/>
        </w:rPr>
        <w:t>of</w:t>
      </w:r>
      <w:r w:rsidR="00772829" w:rsidRPr="00CE28E3">
        <w:t xml:space="preserve"> application</w:t>
      </w:r>
      <w:bookmarkEnd w:id="1"/>
    </w:p>
    <w:p w14:paraId="6BF31FF2" w14:textId="732C34EA" w:rsidR="00772829" w:rsidRDefault="00772829" w:rsidP="00772829">
      <w:pPr>
        <w:spacing w:after="240"/>
        <w:rPr>
          <w:iCs/>
        </w:rPr>
      </w:pPr>
      <w:bookmarkStart w:id="2" w:name="_Hlk69734469"/>
      <w:r w:rsidRPr="009A3778">
        <w:rPr>
          <w:iCs/>
        </w:rPr>
        <w:t xml:space="preserve">An application </w:t>
      </w:r>
      <w:r w:rsidRPr="00D37D9A">
        <w:rPr>
          <w:iCs/>
        </w:rPr>
        <w:t xml:space="preserve">requesting Medicare Benefits Schedule (MBS) listing of </w:t>
      </w:r>
      <w:r w:rsidR="001C1050" w:rsidRPr="00D37D9A">
        <w:rPr>
          <w:iCs/>
        </w:rPr>
        <w:t>N-terminal</w:t>
      </w:r>
      <w:r w:rsidR="001C1050" w:rsidRPr="00E46459">
        <w:rPr>
          <w:iCs/>
        </w:rPr>
        <w:t xml:space="preserve"> (NT)-pro hormone brain natriuretic peptide (NT-</w:t>
      </w:r>
      <w:proofErr w:type="spellStart"/>
      <w:r w:rsidR="001C1050" w:rsidRPr="00E46459">
        <w:rPr>
          <w:iCs/>
        </w:rPr>
        <w:t>proBNP</w:t>
      </w:r>
      <w:proofErr w:type="spellEnd"/>
      <w:r w:rsidR="001C1050" w:rsidRPr="00E46459">
        <w:rPr>
          <w:iCs/>
        </w:rPr>
        <w:t xml:space="preserve">) assays </w:t>
      </w:r>
      <w:r w:rsidRPr="009A3778">
        <w:rPr>
          <w:iCs/>
        </w:rPr>
        <w:t xml:space="preserve">for </w:t>
      </w:r>
      <w:r w:rsidR="001C1050" w:rsidRPr="00E46459">
        <w:rPr>
          <w:iCs/>
        </w:rPr>
        <w:t>diagnosis of</w:t>
      </w:r>
      <w:r w:rsidR="00D37D9A">
        <w:rPr>
          <w:iCs/>
        </w:rPr>
        <w:t xml:space="preserve"> heart failure</w:t>
      </w:r>
      <w:r w:rsidR="001C1050" w:rsidRPr="00E46459">
        <w:rPr>
          <w:iCs/>
        </w:rPr>
        <w:t xml:space="preserve"> </w:t>
      </w:r>
      <w:r w:rsidR="00D37D9A">
        <w:rPr>
          <w:iCs/>
        </w:rPr>
        <w:t>(</w:t>
      </w:r>
      <w:r w:rsidR="001C1050" w:rsidRPr="00E46459">
        <w:rPr>
          <w:iCs/>
        </w:rPr>
        <w:t>HF</w:t>
      </w:r>
      <w:r w:rsidR="00D37D9A">
        <w:rPr>
          <w:iCs/>
        </w:rPr>
        <w:t>)</w:t>
      </w:r>
      <w:r w:rsidR="001C1050" w:rsidRPr="009A3778">
        <w:rPr>
          <w:iCs/>
        </w:rPr>
        <w:t xml:space="preserve"> </w:t>
      </w:r>
      <w:r w:rsidR="001C1050" w:rsidRPr="00E46459">
        <w:rPr>
          <w:iCs/>
        </w:rPr>
        <w:t>in patients w</w:t>
      </w:r>
      <w:r w:rsidR="00D37D9A">
        <w:rPr>
          <w:iCs/>
        </w:rPr>
        <w:t>here the diagnosis is</w:t>
      </w:r>
      <w:r w:rsidR="001C1050" w:rsidRPr="00E46459">
        <w:rPr>
          <w:iCs/>
        </w:rPr>
        <w:t xml:space="preserve"> suspected but uncertain</w:t>
      </w:r>
      <w:r w:rsidR="001C1050" w:rsidRPr="009A3778">
        <w:rPr>
          <w:iCs/>
        </w:rPr>
        <w:t xml:space="preserve"> </w:t>
      </w:r>
      <w:r w:rsidRPr="009A3778">
        <w:rPr>
          <w:iCs/>
        </w:rPr>
        <w:t>was received from</w:t>
      </w:r>
      <w:r w:rsidR="00D37D9A" w:rsidRPr="00D37D9A">
        <w:t xml:space="preserve"> </w:t>
      </w:r>
      <w:r w:rsidR="00D37D9A" w:rsidRPr="00D37D9A">
        <w:rPr>
          <w:iCs/>
        </w:rPr>
        <w:t>Roche Diagnostics Australia Pty Limited</w:t>
      </w:r>
      <w:r w:rsidRPr="009A3778">
        <w:rPr>
          <w:iCs/>
        </w:rPr>
        <w:t xml:space="preserve"> by the Department of Health</w:t>
      </w:r>
      <w:r w:rsidR="00EC56F5">
        <w:rPr>
          <w:iCs/>
        </w:rPr>
        <w:t xml:space="preserve"> and Aged Care</w:t>
      </w:r>
      <w:r w:rsidRPr="009A3778">
        <w:rPr>
          <w:iCs/>
        </w:rPr>
        <w:t>.</w:t>
      </w:r>
    </w:p>
    <w:p w14:paraId="23D13AE7" w14:textId="77777777" w:rsidR="00AB25C3" w:rsidRDefault="00AB25C3" w:rsidP="00AB25C3">
      <w:pPr>
        <w:pStyle w:val="Heading2"/>
        <w:numPr>
          <w:ilvl w:val="1"/>
          <w:numId w:val="0"/>
        </w:numPr>
      </w:pPr>
      <w:r>
        <w:t>2.</w:t>
      </w:r>
      <w:r>
        <w:tab/>
        <w:t>MSAC’s advice to the Minister</w:t>
      </w:r>
    </w:p>
    <w:p w14:paraId="0703F26F" w14:textId="32144BB0" w:rsidR="00D51A58" w:rsidRPr="00D51A58" w:rsidRDefault="00AB25C3" w:rsidP="00D51A58">
      <w:pPr>
        <w:rPr>
          <w:iCs/>
        </w:rPr>
      </w:pPr>
      <w:r w:rsidRPr="000A352D">
        <w:rPr>
          <w:iCs/>
        </w:rPr>
        <w:t xml:space="preserve">After considering the strength of the available evidence in relation to comparative safety, clinical effectiveness, </w:t>
      </w:r>
      <w:proofErr w:type="gramStart"/>
      <w:r w:rsidRPr="000A352D">
        <w:rPr>
          <w:iCs/>
        </w:rPr>
        <w:t>cost-effectiveness</w:t>
      </w:r>
      <w:proofErr w:type="gramEnd"/>
      <w:r w:rsidRPr="000A352D">
        <w:rPr>
          <w:iCs/>
        </w:rPr>
        <w:t xml:space="preserve"> and total cost, </w:t>
      </w:r>
      <w:r w:rsidR="00D51A58" w:rsidRPr="00D51A58">
        <w:rPr>
          <w:iCs/>
        </w:rPr>
        <w:t>MSAC supported the creation of a new Medicare Benefits Schedule (MBS) item for Brain Natriuretic Peptide (BNP) and N-Terminal-pro Brain Natriuretic Peptide (NT-</w:t>
      </w:r>
      <w:proofErr w:type="spellStart"/>
      <w:r w:rsidR="00D51A58" w:rsidRPr="00D51A58">
        <w:rPr>
          <w:iCs/>
        </w:rPr>
        <w:t>proBNP</w:t>
      </w:r>
      <w:proofErr w:type="spellEnd"/>
      <w:r w:rsidR="00D51A58" w:rsidRPr="00D51A58">
        <w:rPr>
          <w:iCs/>
        </w:rPr>
        <w:t>) testing to aid in the diagnosis of patients with suspected but uncertain heart failure (HF) in a non-hospital setting. The evidence demonstrated that BNP and NT-</w:t>
      </w:r>
      <w:proofErr w:type="spellStart"/>
      <w:r w:rsidR="00D51A58" w:rsidRPr="00D51A58">
        <w:rPr>
          <w:iCs/>
        </w:rPr>
        <w:t>proBNP</w:t>
      </w:r>
      <w:proofErr w:type="spellEnd"/>
      <w:r w:rsidR="00D51A58" w:rsidRPr="00D51A58">
        <w:rPr>
          <w:iCs/>
        </w:rPr>
        <w:t xml:space="preserve"> testing had superior test </w:t>
      </w:r>
      <w:proofErr w:type="gramStart"/>
      <w:r w:rsidR="00D51A58" w:rsidRPr="00D51A58">
        <w:rPr>
          <w:iCs/>
        </w:rPr>
        <w:t>accuracy, but</w:t>
      </w:r>
      <w:proofErr w:type="gramEnd"/>
      <w:r w:rsidR="00D51A58" w:rsidRPr="00D51A58">
        <w:rPr>
          <w:iCs/>
        </w:rPr>
        <w:t xml:space="preserve"> did not show that testing improved health outcomes. However, despite the substantial limitations of the published evidence for change in management and health outcomes, MSAC considered that use of BNP/NT-</w:t>
      </w:r>
      <w:proofErr w:type="spellStart"/>
      <w:r w:rsidR="00D51A58" w:rsidRPr="00D51A58">
        <w:rPr>
          <w:iCs/>
        </w:rPr>
        <w:t>proBNP</w:t>
      </w:r>
      <w:proofErr w:type="spellEnd"/>
      <w:r w:rsidR="00D51A58" w:rsidRPr="00D51A58">
        <w:rPr>
          <w:iCs/>
        </w:rPr>
        <w:t xml:space="preserve"> testing as a triage test for echocardiography was likely to have superior effectiveness as it is widely recommended for this purpose in Australian and international clinical practice guidelines. MSAC’s previous assessment of non-inferior safety in the non-hospital setting remained reasonable. MSAC considered there was a compelling argument that publicly funding this testing would improve equity of access for First Nations people and people in rural and remote areas.</w:t>
      </w:r>
    </w:p>
    <w:p w14:paraId="2CCD7B39" w14:textId="29D1478B" w:rsidR="00AB25C3" w:rsidRPr="00DD0A34" w:rsidRDefault="00D51A58" w:rsidP="307F7FE8">
      <w:pPr>
        <w:rPr>
          <w:color w:val="FF0000"/>
        </w:rPr>
      </w:pPr>
      <w:r>
        <w:t xml:space="preserve">While the </w:t>
      </w:r>
      <w:r w:rsidR="0639657E">
        <w:t>cost-effectiveness</w:t>
      </w:r>
      <w:r>
        <w:t xml:space="preserve"> and total financial impact of the service were somewhat uncertain, listing was likely to be cost-effective and result in a net financial saving to the MBS because it was reasonable to assume echocardiography is currently performed in a high proportion of suspected HF patients. MSAC considered that the main value of this testing arose from avoiding echocardiography after a rule out </w:t>
      </w:r>
      <w:proofErr w:type="gramStart"/>
      <w:r>
        <w:t>diagnosis, and</w:t>
      </w:r>
      <w:proofErr w:type="gramEnd"/>
      <w:r>
        <w:t xml:space="preserve"> was concerned that there was a risk of widespread inappropriate use outside this purpose, including clinical situations when echocardiography will be used anyway. The risk of leakage should be reduced through a practice note describing that the test purpose is as a decision aid for determining whether to conduct echocardiography, restricting the frequency to once per year, and requesting the relevant professional </w:t>
      </w:r>
      <w:r w:rsidR="003F45D2">
        <w:t>organisations</w:t>
      </w:r>
      <w:r w:rsidR="2EA34C1F">
        <w:t xml:space="preserve"> </w:t>
      </w:r>
      <w:r>
        <w:t>develop education programs for health professionals. Utilisation should also be monitored through a utilisation review after two years. </w:t>
      </w:r>
    </w:p>
    <w:p w14:paraId="00EEF750" w14:textId="049D1085" w:rsidR="005956F2" w:rsidRDefault="005956F2" w:rsidP="00302B2A">
      <w:pPr>
        <w:pStyle w:val="Caption"/>
      </w:pPr>
      <w:r>
        <w:lastRenderedPageBreak/>
        <w:t xml:space="preserve">Table </w:t>
      </w:r>
      <w:r w:rsidR="00057006">
        <w:fldChar w:fldCharType="begin"/>
      </w:r>
      <w:r w:rsidR="00057006">
        <w:instrText xml:space="preserve"> SEQ Table \* ARABIC </w:instrText>
      </w:r>
      <w:r w:rsidR="00057006">
        <w:fldChar w:fldCharType="separate"/>
      </w:r>
      <w:r w:rsidR="00472DB9">
        <w:rPr>
          <w:noProof/>
        </w:rPr>
        <w:t>1</w:t>
      </w:r>
      <w:r w:rsidR="00057006">
        <w:rPr>
          <w:noProof/>
        </w:rPr>
        <w:fldChar w:fldCharType="end"/>
      </w:r>
      <w:r>
        <w:tab/>
        <w:t xml:space="preserve">MSAC’s supported MBS item </w:t>
      </w:r>
      <w:proofErr w:type="gramStart"/>
      <w:r>
        <w:t>descriptor</w:t>
      </w:r>
      <w:proofErr w:type="gramEnd"/>
    </w:p>
    <w:tbl>
      <w:tblPr>
        <w:tblStyle w:val="HealthConsult1"/>
        <w:tblW w:w="0" w:type="auto"/>
        <w:tblInd w:w="0" w:type="dxa"/>
        <w:tblLook w:val="04A0" w:firstRow="1" w:lastRow="0" w:firstColumn="1" w:lastColumn="0" w:noHBand="0" w:noVBand="1"/>
        <w:tblCaption w:val="MBS item descriptor for patients with uncertain but suspected HF diagnosis in a non-hospital setting"/>
        <w:tblDescription w:val="MBS item suggested for the quantitation of laboratory-based NT-proBNP testing for diagnosis in patients with suspected heart failure"/>
      </w:tblPr>
      <w:tblGrid>
        <w:gridCol w:w="9016"/>
      </w:tblGrid>
      <w:tr w:rsidR="00DD0A34" w:rsidRPr="00CA4F3F" w14:paraId="10EF5E4A" w14:textId="77777777" w:rsidTr="307F7FE8">
        <w:trPr>
          <w:cantSplit/>
          <w:tblHeader/>
        </w:trPr>
        <w:tc>
          <w:tcPr>
            <w:tcW w:w="9016" w:type="dxa"/>
            <w:tcBorders>
              <w:top w:val="single" w:sz="4" w:space="0" w:color="auto"/>
              <w:left w:val="single" w:sz="4" w:space="0" w:color="auto"/>
              <w:bottom w:val="single" w:sz="4" w:space="0" w:color="auto"/>
              <w:right w:val="single" w:sz="4" w:space="0" w:color="auto"/>
            </w:tcBorders>
            <w:hideMark/>
          </w:tcPr>
          <w:p w14:paraId="6B8E4B7B" w14:textId="77777777" w:rsidR="00DD0A34" w:rsidRPr="001D2982" w:rsidRDefault="00DD0A34">
            <w:pPr>
              <w:keepNext/>
              <w:spacing w:before="40" w:after="40"/>
              <w:jc w:val="right"/>
              <w:rPr>
                <w:rFonts w:ascii="Arial Narrow" w:hAnsi="Arial Narrow" w:cs="Tahoma"/>
                <w:sz w:val="20"/>
                <w:lang w:eastAsia="en-AU"/>
              </w:rPr>
            </w:pPr>
            <w:r w:rsidRPr="001D2982">
              <w:rPr>
                <w:rFonts w:ascii="Arial Narrow" w:hAnsi="Arial Narrow" w:cs="Tahoma"/>
                <w:sz w:val="20"/>
                <w:lang w:eastAsia="en-AU"/>
              </w:rPr>
              <w:t>Category 6 – Pathology services</w:t>
            </w:r>
          </w:p>
          <w:p w14:paraId="4CF2929D" w14:textId="77777777" w:rsidR="00DD0A34" w:rsidRPr="001D2982" w:rsidRDefault="00DD0A34">
            <w:pPr>
              <w:keepNext/>
              <w:spacing w:before="40" w:after="40"/>
              <w:jc w:val="right"/>
              <w:rPr>
                <w:rFonts w:ascii="Arial Narrow" w:hAnsi="Arial Narrow" w:cs="Tahoma"/>
                <w:sz w:val="20"/>
                <w:lang w:eastAsia="en-AU"/>
              </w:rPr>
            </w:pPr>
            <w:r w:rsidRPr="001D2982">
              <w:rPr>
                <w:rFonts w:ascii="Arial Narrow" w:hAnsi="Arial Narrow" w:cs="Tahoma"/>
                <w:sz w:val="20"/>
                <w:lang w:eastAsia="en-AU"/>
              </w:rPr>
              <w:t xml:space="preserve"> Group P2 Chemical</w:t>
            </w:r>
          </w:p>
        </w:tc>
      </w:tr>
      <w:tr w:rsidR="00DD0A34" w:rsidRPr="00CA4F3F" w14:paraId="5EA27E19" w14:textId="77777777" w:rsidTr="307F7FE8">
        <w:trPr>
          <w:cantSplit/>
          <w:tblHeader/>
        </w:trPr>
        <w:tc>
          <w:tcPr>
            <w:tcW w:w="9016" w:type="dxa"/>
            <w:tcBorders>
              <w:top w:val="single" w:sz="4" w:space="0" w:color="auto"/>
              <w:left w:val="single" w:sz="4" w:space="0" w:color="auto"/>
              <w:bottom w:val="single" w:sz="4" w:space="0" w:color="auto"/>
              <w:right w:val="single" w:sz="4" w:space="0" w:color="auto"/>
            </w:tcBorders>
          </w:tcPr>
          <w:p w14:paraId="4A00FAC6" w14:textId="77777777" w:rsidR="00DD0A34" w:rsidRPr="001D2982" w:rsidRDefault="00DD0A34">
            <w:pPr>
              <w:spacing w:before="40" w:after="40"/>
              <w:rPr>
                <w:rFonts w:ascii="Arial Narrow" w:hAnsi="Arial Narrow" w:cs="Tahoma"/>
                <w:sz w:val="20"/>
                <w:lang w:eastAsia="en-AU"/>
              </w:rPr>
            </w:pPr>
            <w:r w:rsidRPr="001D2982">
              <w:rPr>
                <w:rFonts w:ascii="Arial Narrow" w:hAnsi="Arial Narrow" w:cs="Tahoma"/>
                <w:sz w:val="20"/>
                <w:lang w:eastAsia="en-AU"/>
              </w:rPr>
              <w:t>MBS item CCCC</w:t>
            </w:r>
          </w:p>
          <w:p w14:paraId="22A1591F" w14:textId="77777777" w:rsidR="00DD0A34" w:rsidRPr="001D2982" w:rsidRDefault="00DD0A34">
            <w:pPr>
              <w:spacing w:before="40" w:after="40"/>
              <w:rPr>
                <w:rFonts w:ascii="Arial Narrow" w:hAnsi="Arial Narrow" w:cs="Tahoma"/>
                <w:sz w:val="20"/>
                <w:lang w:eastAsia="en-AU"/>
              </w:rPr>
            </w:pPr>
            <w:r w:rsidRPr="001D2982">
              <w:rPr>
                <w:rFonts w:ascii="Arial Narrow" w:hAnsi="Arial Narrow" w:cs="Tahoma"/>
                <w:sz w:val="20"/>
                <w:lang w:eastAsia="en-AU"/>
              </w:rPr>
              <w:t>Quantitation of BNP or NT-</w:t>
            </w:r>
            <w:proofErr w:type="spellStart"/>
            <w:r w:rsidRPr="001D2982">
              <w:rPr>
                <w:rFonts w:ascii="Arial Narrow" w:hAnsi="Arial Narrow" w:cs="Tahoma"/>
                <w:sz w:val="20"/>
                <w:lang w:eastAsia="en-AU"/>
              </w:rPr>
              <w:t>proBNP</w:t>
            </w:r>
            <w:proofErr w:type="spellEnd"/>
            <w:r w:rsidRPr="001D2982">
              <w:rPr>
                <w:rFonts w:ascii="Arial Narrow" w:hAnsi="Arial Narrow" w:cs="Tahoma"/>
                <w:sz w:val="20"/>
                <w:lang w:eastAsia="en-AU"/>
              </w:rPr>
              <w:t xml:space="preserve"> for the exclusion of a diagnosis of heart failure in patients presenting to a non-hospital setting to assist in decision-making regarding the clinical necessity of an echocardiogram, where heart failure is suspected based on signs and </w:t>
            </w:r>
            <w:proofErr w:type="gramStart"/>
            <w:r w:rsidRPr="001D2982">
              <w:rPr>
                <w:rFonts w:ascii="Arial Narrow" w:hAnsi="Arial Narrow" w:cs="Tahoma"/>
                <w:sz w:val="20"/>
                <w:lang w:eastAsia="en-AU"/>
              </w:rPr>
              <w:t>symptoms</w:t>
            </w:r>
            <w:proofErr w:type="gramEnd"/>
            <w:r w:rsidRPr="001D2982">
              <w:rPr>
                <w:rFonts w:ascii="Arial Narrow" w:hAnsi="Arial Narrow" w:cs="Tahoma"/>
                <w:sz w:val="20"/>
                <w:lang w:eastAsia="en-AU"/>
              </w:rPr>
              <w:t xml:space="preserve"> but diagnosis is uncertain.</w:t>
            </w:r>
          </w:p>
          <w:p w14:paraId="22E4AFEA" w14:textId="77777777" w:rsidR="00DD0A34" w:rsidRPr="001D2982" w:rsidRDefault="00DD0A34">
            <w:pPr>
              <w:spacing w:before="40" w:after="40"/>
              <w:rPr>
                <w:rFonts w:ascii="Arial Narrow" w:hAnsi="Arial Narrow" w:cs="Tahoma"/>
                <w:sz w:val="20"/>
                <w:lang w:eastAsia="en-AU"/>
              </w:rPr>
            </w:pPr>
          </w:p>
          <w:p w14:paraId="3A3D5995" w14:textId="77777777" w:rsidR="00DD0A34" w:rsidRPr="001D2982" w:rsidRDefault="00DD0A34">
            <w:pPr>
              <w:spacing w:before="40" w:after="40"/>
              <w:rPr>
                <w:rFonts w:ascii="Arial Narrow" w:hAnsi="Arial Narrow" w:cs="Tahoma"/>
                <w:sz w:val="20"/>
                <w:lang w:eastAsia="en-AU"/>
              </w:rPr>
            </w:pPr>
            <w:r w:rsidRPr="001D2982">
              <w:rPr>
                <w:rFonts w:ascii="Arial Narrow" w:hAnsi="Arial Narrow" w:cs="Tahoma"/>
                <w:sz w:val="20"/>
                <w:lang w:eastAsia="en-AU"/>
              </w:rPr>
              <w:t>Applicable not more than once in a 12-month period</w:t>
            </w:r>
          </w:p>
        </w:tc>
      </w:tr>
      <w:tr w:rsidR="00DD0A34" w:rsidRPr="00CA4F3F" w14:paraId="2D4596B3" w14:textId="77777777" w:rsidTr="307F7FE8">
        <w:trPr>
          <w:cantSplit/>
          <w:tblHeader/>
        </w:trPr>
        <w:tc>
          <w:tcPr>
            <w:tcW w:w="9016" w:type="dxa"/>
            <w:tcBorders>
              <w:top w:val="single" w:sz="4" w:space="0" w:color="auto"/>
              <w:left w:val="single" w:sz="4" w:space="0" w:color="auto"/>
              <w:bottom w:val="single" w:sz="4" w:space="0" w:color="auto"/>
              <w:right w:val="single" w:sz="4" w:space="0" w:color="auto"/>
            </w:tcBorders>
            <w:vAlign w:val="center"/>
          </w:tcPr>
          <w:p w14:paraId="1ACC5E2D" w14:textId="77777777" w:rsidR="00DD0A34" w:rsidRPr="001D2982" w:rsidRDefault="00DD0A34">
            <w:pPr>
              <w:spacing w:before="40" w:after="40"/>
              <w:rPr>
                <w:rFonts w:ascii="Arial Narrow" w:hAnsi="Arial Narrow" w:cs="Tahoma"/>
                <w:sz w:val="20"/>
                <w:lang w:eastAsia="en-AU"/>
              </w:rPr>
            </w:pPr>
            <w:r w:rsidRPr="001D2982">
              <w:rPr>
                <w:rFonts w:ascii="Arial Narrow" w:hAnsi="Arial Narrow" w:cs="Tahoma"/>
                <w:b/>
                <w:sz w:val="20"/>
                <w:lang w:eastAsia="en-AU"/>
              </w:rPr>
              <w:t>Fee</w:t>
            </w:r>
            <w:r w:rsidRPr="001D2982">
              <w:rPr>
                <w:rFonts w:ascii="Arial Narrow" w:hAnsi="Arial Narrow" w:cs="Tahoma"/>
                <w:sz w:val="20"/>
                <w:lang w:eastAsia="en-AU"/>
              </w:rPr>
              <w:t xml:space="preserve">: $58.50 </w:t>
            </w:r>
            <w:r w:rsidRPr="001D2982">
              <w:rPr>
                <w:rFonts w:ascii="Arial Narrow" w:hAnsi="Arial Narrow" w:cs="Tahoma"/>
                <w:b/>
                <w:sz w:val="20"/>
                <w:lang w:eastAsia="en-AU"/>
              </w:rPr>
              <w:t>Benefit</w:t>
            </w:r>
            <w:r w:rsidRPr="001D2982">
              <w:rPr>
                <w:rFonts w:ascii="Arial Narrow" w:hAnsi="Arial Narrow" w:cs="Tahoma"/>
                <w:sz w:val="20"/>
                <w:lang w:eastAsia="en-AU"/>
              </w:rPr>
              <w:t>: 75% = $43.90 85% = $49.75</w:t>
            </w:r>
          </w:p>
        </w:tc>
      </w:tr>
      <w:tr w:rsidR="00DD0A34" w:rsidRPr="009B6117" w14:paraId="31DC542F" w14:textId="77777777" w:rsidTr="307F7FE8">
        <w:trPr>
          <w:cantSplit/>
          <w:tblHeader/>
        </w:trPr>
        <w:tc>
          <w:tcPr>
            <w:tcW w:w="9016" w:type="dxa"/>
            <w:tcBorders>
              <w:top w:val="single" w:sz="4" w:space="0" w:color="auto"/>
              <w:left w:val="single" w:sz="4" w:space="0" w:color="auto"/>
              <w:bottom w:val="single" w:sz="4" w:space="0" w:color="auto"/>
              <w:right w:val="single" w:sz="4" w:space="0" w:color="auto"/>
            </w:tcBorders>
            <w:vAlign w:val="center"/>
          </w:tcPr>
          <w:p w14:paraId="61B32D43" w14:textId="7B3FE36E" w:rsidR="00DD0A34" w:rsidRPr="001D2982" w:rsidRDefault="0BCF475A" w:rsidP="307F7FE8">
            <w:pPr>
              <w:spacing w:before="40" w:after="40"/>
              <w:rPr>
                <w:rFonts w:ascii="Arial Narrow" w:hAnsi="Arial Narrow" w:cs="Tahoma"/>
                <w:sz w:val="20"/>
                <w:szCs w:val="20"/>
                <w:lang w:val="en-US" w:eastAsia="en-AU"/>
              </w:rPr>
            </w:pPr>
            <w:r w:rsidRPr="307F7FE8">
              <w:rPr>
                <w:rFonts w:ascii="Arial Narrow" w:hAnsi="Arial Narrow" w:cs="Tahoma"/>
                <w:b/>
                <w:bCs/>
                <w:sz w:val="20"/>
                <w:szCs w:val="20"/>
                <w:lang w:val="en-US" w:eastAsia="en-AU"/>
              </w:rPr>
              <w:t xml:space="preserve">New practice note </w:t>
            </w:r>
            <w:proofErr w:type="gramStart"/>
            <w:r w:rsidRPr="307F7FE8">
              <w:rPr>
                <w:rFonts w:ascii="Arial Narrow" w:hAnsi="Arial Narrow" w:cs="Tahoma"/>
                <w:b/>
                <w:bCs/>
                <w:sz w:val="20"/>
                <w:szCs w:val="20"/>
                <w:lang w:val="en-US" w:eastAsia="en-AU"/>
              </w:rPr>
              <w:t>PN.XX</w:t>
            </w:r>
            <w:proofErr w:type="gramEnd"/>
            <w:r w:rsidRPr="307F7FE8">
              <w:rPr>
                <w:rFonts w:ascii="Arial Narrow" w:hAnsi="Arial Narrow" w:cs="Tahoma"/>
                <w:sz w:val="20"/>
                <w:szCs w:val="20"/>
                <w:lang w:val="en-US" w:eastAsia="en-AU"/>
              </w:rPr>
              <w:t>: BNP or NT-</w:t>
            </w:r>
            <w:proofErr w:type="spellStart"/>
            <w:r w:rsidRPr="307F7FE8">
              <w:rPr>
                <w:rFonts w:ascii="Arial Narrow" w:hAnsi="Arial Narrow" w:cs="Tahoma"/>
                <w:sz w:val="20"/>
                <w:szCs w:val="20"/>
                <w:lang w:val="en-US" w:eastAsia="en-AU"/>
              </w:rPr>
              <w:t>proBNP</w:t>
            </w:r>
            <w:proofErr w:type="spellEnd"/>
            <w:r w:rsidRPr="307F7FE8">
              <w:rPr>
                <w:rFonts w:ascii="Arial Narrow" w:hAnsi="Arial Narrow" w:cs="Tahoma"/>
                <w:sz w:val="20"/>
                <w:szCs w:val="20"/>
                <w:lang w:val="en-US" w:eastAsia="en-AU"/>
              </w:rPr>
              <w:t xml:space="preserve"> testing under MBS item CCCC is intended </w:t>
            </w:r>
            <w:r w:rsidR="4C21270D" w:rsidRPr="307F7FE8">
              <w:rPr>
                <w:rFonts w:ascii="Arial Narrow" w:hAnsi="Arial Narrow" w:cs="Tahoma"/>
                <w:sz w:val="20"/>
                <w:szCs w:val="20"/>
                <w:lang w:val="en-US" w:eastAsia="en-AU"/>
              </w:rPr>
              <w:t>as a decision aid</w:t>
            </w:r>
            <w:r w:rsidRPr="307F7FE8">
              <w:rPr>
                <w:rFonts w:ascii="Arial Narrow" w:hAnsi="Arial Narrow" w:cs="Tahoma"/>
                <w:sz w:val="20"/>
                <w:szCs w:val="20"/>
                <w:lang w:val="en-US" w:eastAsia="en-AU"/>
              </w:rPr>
              <w:t xml:space="preserve"> regarding the clinical necessity of an echocardiogram. Where a patient presents with symptoms of suspected </w:t>
            </w:r>
            <w:r w:rsidR="79C0DFE9" w:rsidRPr="307F7FE8">
              <w:rPr>
                <w:rFonts w:ascii="Arial Narrow" w:hAnsi="Arial Narrow" w:cs="Tahoma"/>
                <w:sz w:val="20"/>
                <w:szCs w:val="20"/>
                <w:lang w:val="en-US" w:eastAsia="en-AU"/>
              </w:rPr>
              <w:t xml:space="preserve">but uncertain </w:t>
            </w:r>
            <w:r w:rsidRPr="307F7FE8">
              <w:rPr>
                <w:rFonts w:ascii="Arial Narrow" w:hAnsi="Arial Narrow" w:cs="Tahoma"/>
                <w:sz w:val="20"/>
                <w:szCs w:val="20"/>
                <w:lang w:val="en-US" w:eastAsia="en-AU"/>
              </w:rPr>
              <w:t>heart failure, a BNP or NT-</w:t>
            </w:r>
            <w:proofErr w:type="spellStart"/>
            <w:r w:rsidRPr="307F7FE8">
              <w:rPr>
                <w:rFonts w:ascii="Arial Narrow" w:hAnsi="Arial Narrow" w:cs="Tahoma"/>
                <w:sz w:val="20"/>
                <w:szCs w:val="20"/>
                <w:lang w:val="en-US" w:eastAsia="en-AU"/>
              </w:rPr>
              <w:t>proBNP</w:t>
            </w:r>
            <w:proofErr w:type="spellEnd"/>
            <w:r w:rsidRPr="307F7FE8">
              <w:rPr>
                <w:rFonts w:ascii="Arial Narrow" w:hAnsi="Arial Narrow" w:cs="Tahoma"/>
                <w:sz w:val="20"/>
                <w:szCs w:val="20"/>
                <w:lang w:val="en-US" w:eastAsia="en-AU"/>
              </w:rPr>
              <w:t xml:space="preserve"> test under MBS item CCCC can be requested by the treating medical practitioner where clinically appropriate</w:t>
            </w:r>
            <w:r w:rsidR="008D0526" w:rsidRPr="008D0526">
              <w:rPr>
                <w:rFonts w:ascii="Arial Narrow" w:hAnsi="Arial Narrow" w:cs="Tahoma"/>
                <w:sz w:val="20"/>
                <w:szCs w:val="20"/>
                <w:lang w:val="en-US" w:eastAsia="en-AU"/>
              </w:rPr>
              <w:t>, in line with guidelines from the National Heart Foundation of Australia and Cardiac Society of Australia and New Zealand</w:t>
            </w:r>
            <w:r w:rsidRPr="307F7FE8">
              <w:rPr>
                <w:rFonts w:ascii="Arial Narrow" w:hAnsi="Arial Narrow" w:cs="Tahoma"/>
                <w:sz w:val="20"/>
                <w:szCs w:val="20"/>
                <w:lang w:val="en-US" w:eastAsia="en-AU"/>
              </w:rPr>
              <w:t>.</w:t>
            </w:r>
          </w:p>
        </w:tc>
      </w:tr>
    </w:tbl>
    <w:p w14:paraId="66B1C1FE" w14:textId="77777777" w:rsidR="00DD0A34" w:rsidRDefault="00DD0A34" w:rsidP="00AB25C3">
      <w:pPr>
        <w:spacing w:after="240"/>
        <w:rPr>
          <w:iCs/>
        </w:rPr>
      </w:pPr>
    </w:p>
    <w:tbl>
      <w:tblPr>
        <w:tblStyle w:val="TableGrid"/>
        <w:tblW w:w="0" w:type="auto"/>
        <w:tblLook w:val="04A0" w:firstRow="1" w:lastRow="0" w:firstColumn="1" w:lastColumn="0" w:noHBand="0" w:noVBand="1"/>
        <w:tblDescription w:val="Consumer summary of MSAC consideration"/>
      </w:tblPr>
      <w:tblGrid>
        <w:gridCol w:w="9016"/>
      </w:tblGrid>
      <w:tr w:rsidR="00AB25C3" w:rsidRPr="00AF46D8" w14:paraId="424BB168" w14:textId="77777777">
        <w:trPr>
          <w:tblHeader/>
        </w:trPr>
        <w:tc>
          <w:tcPr>
            <w:tcW w:w="9016" w:type="dxa"/>
          </w:tcPr>
          <w:p w14:paraId="61FD023C" w14:textId="77777777" w:rsidR="00AB25C3" w:rsidRPr="00AF46D8" w:rsidRDefault="00AB25C3">
            <w:pPr>
              <w:pStyle w:val="Heading3"/>
              <w:spacing w:before="120"/>
              <w:ind w:left="720" w:hanging="720"/>
              <w:rPr>
                <w:iCs/>
              </w:rPr>
            </w:pPr>
            <w:r w:rsidRPr="00AF46D8">
              <w:t>Consumer summary</w:t>
            </w:r>
          </w:p>
        </w:tc>
      </w:tr>
      <w:tr w:rsidR="00AB25C3" w:rsidRPr="00AF46D8" w14:paraId="6FE65E18" w14:textId="77777777">
        <w:tc>
          <w:tcPr>
            <w:tcW w:w="9016" w:type="dxa"/>
          </w:tcPr>
          <w:p w14:paraId="580638B3" w14:textId="3A647B72" w:rsidR="00F874DB" w:rsidRDefault="00F874DB" w:rsidP="00F874DB">
            <w:r w:rsidRPr="00AF46D8">
              <w:t xml:space="preserve">This </w:t>
            </w:r>
            <w:r w:rsidR="009167D9">
              <w:t>wa</w:t>
            </w:r>
            <w:r w:rsidR="009167D9" w:rsidRPr="00AF46D8">
              <w:t xml:space="preserve">s </w:t>
            </w:r>
            <w:r w:rsidRPr="00AF46D8">
              <w:t xml:space="preserve">an application from </w:t>
            </w:r>
            <w:r>
              <w:t>Roche Diagnostics Australia</w:t>
            </w:r>
            <w:r w:rsidRPr="00AF46D8">
              <w:t xml:space="preserve"> requesting Medicare Benefits Schedule (MBS) listing of</w:t>
            </w:r>
            <w:r>
              <w:t xml:space="preserve"> </w:t>
            </w:r>
            <w:r w:rsidR="00834477">
              <w:t>a test to</w:t>
            </w:r>
            <w:r w:rsidR="00450325">
              <w:t xml:space="preserve"> measur</w:t>
            </w:r>
            <w:r w:rsidR="00834477">
              <w:t>e</w:t>
            </w:r>
            <w:r w:rsidR="00450325">
              <w:t xml:space="preserve"> </w:t>
            </w:r>
            <w:r w:rsidR="00834477">
              <w:t xml:space="preserve">the levels of a protein called </w:t>
            </w:r>
            <w:r>
              <w:t>N-terminal-pro hormone brain natriuretic peptide (NT-</w:t>
            </w:r>
            <w:proofErr w:type="spellStart"/>
            <w:r>
              <w:t>proBNP</w:t>
            </w:r>
            <w:proofErr w:type="spellEnd"/>
            <w:r>
              <w:t xml:space="preserve">) </w:t>
            </w:r>
            <w:r w:rsidR="00834477">
              <w:t xml:space="preserve">in a blood sample, </w:t>
            </w:r>
            <w:r>
              <w:t>to diagnose heart failure in patients who have uncertain but suspected heart failure.</w:t>
            </w:r>
            <w:r w:rsidR="00273037">
              <w:t xml:space="preserve"> MSAC </w:t>
            </w:r>
            <w:r w:rsidR="00C52963">
              <w:t>previously</w:t>
            </w:r>
            <w:r w:rsidR="00273037">
              <w:t xml:space="preserve"> considered </w:t>
            </w:r>
            <w:r w:rsidR="00C52963">
              <w:t>an</w:t>
            </w:r>
            <w:r w:rsidR="00273037">
              <w:t xml:space="preserve"> </w:t>
            </w:r>
            <w:r w:rsidR="00DF2251">
              <w:t>application</w:t>
            </w:r>
            <w:r w:rsidR="00273037">
              <w:t xml:space="preserve"> </w:t>
            </w:r>
            <w:r w:rsidR="00C52963">
              <w:t xml:space="preserve">for this testing </w:t>
            </w:r>
            <w:r w:rsidR="00273037">
              <w:t>in</w:t>
            </w:r>
            <w:r w:rsidR="0069551B">
              <w:t xml:space="preserve"> </w:t>
            </w:r>
            <w:r w:rsidR="0098372E">
              <w:t>a non-hospital setting in</w:t>
            </w:r>
            <w:r w:rsidR="00273037">
              <w:t xml:space="preserve"> </w:t>
            </w:r>
            <w:proofErr w:type="gramStart"/>
            <w:r w:rsidR="00DF2251">
              <w:t>2007</w:t>
            </w:r>
            <w:r w:rsidR="0098372E">
              <w:t>, but</w:t>
            </w:r>
            <w:proofErr w:type="gramEnd"/>
            <w:r w:rsidR="0098372E">
              <w:t xml:space="preserve"> did not support it then because there was not enough evidence that it was good value for money</w:t>
            </w:r>
            <w:r w:rsidR="00DF2251">
              <w:t>.</w:t>
            </w:r>
          </w:p>
          <w:p w14:paraId="5759B5D4" w14:textId="519B6B1B" w:rsidR="00F874DB" w:rsidRDefault="00F874DB" w:rsidP="00F874DB">
            <w:r>
              <w:t>Heart failure occurs when the heart does not pump blood as well as it should</w:t>
            </w:r>
            <w:r w:rsidR="008235F9">
              <w:t>, which</w:t>
            </w:r>
            <w:r>
              <w:t xml:space="preserve"> </w:t>
            </w:r>
            <w:r w:rsidR="003B7D48">
              <w:t>can lead to f</w:t>
            </w:r>
            <w:r>
              <w:t>luid build</w:t>
            </w:r>
            <w:r w:rsidR="003B7D48">
              <w:t>ing</w:t>
            </w:r>
            <w:r>
              <w:t xml:space="preserve"> up in the lungs, causing shortness of breath. </w:t>
            </w:r>
            <w:r w:rsidR="00AF04E7">
              <w:t>Other symptoms of heart failure include swelling of the ankles</w:t>
            </w:r>
            <w:r w:rsidR="00E806C0">
              <w:t xml:space="preserve">, </w:t>
            </w:r>
            <w:proofErr w:type="gramStart"/>
            <w:r w:rsidR="00E806C0">
              <w:t>dizziness</w:t>
            </w:r>
            <w:proofErr w:type="gramEnd"/>
            <w:r w:rsidR="00E806C0">
              <w:t xml:space="preserve"> and fatigue. </w:t>
            </w:r>
            <w:r>
              <w:t xml:space="preserve">Because </w:t>
            </w:r>
            <w:r w:rsidR="00E806C0">
              <w:t>these symptoms</w:t>
            </w:r>
            <w:r>
              <w:t xml:space="preserve"> can be caused by several </w:t>
            </w:r>
            <w:r w:rsidR="008235F9">
              <w:t xml:space="preserve">other </w:t>
            </w:r>
            <w:r>
              <w:t>conditions</w:t>
            </w:r>
            <w:r w:rsidR="008235F9">
              <w:t xml:space="preserve"> too</w:t>
            </w:r>
            <w:r>
              <w:t>, heart failure can be difficult to diagnose.</w:t>
            </w:r>
          </w:p>
          <w:p w14:paraId="27A174EA" w14:textId="5B0ED58E" w:rsidR="00F874DB" w:rsidRPr="00020FCD" w:rsidRDefault="00F874DB" w:rsidP="00F874DB">
            <w:r>
              <w:t xml:space="preserve">People who have an uncertain but suspected diagnosis of heart failure are usually sent to have </w:t>
            </w:r>
            <w:r w:rsidR="00AD0381">
              <w:t xml:space="preserve">a test called </w:t>
            </w:r>
            <w:r>
              <w:t>an echocardiogram</w:t>
            </w:r>
            <w:r w:rsidR="009155D4">
              <w:t xml:space="preserve"> t</w:t>
            </w:r>
            <w:r w:rsidR="00AF04E7">
              <w:t>o help work out the diagnosis</w:t>
            </w:r>
            <w:r>
              <w:t xml:space="preserve">. This is a test that uses ultrasound </w:t>
            </w:r>
            <w:r w:rsidR="00F02818">
              <w:t xml:space="preserve">waves </w:t>
            </w:r>
            <w:r>
              <w:t>to give a picture of the heart</w:t>
            </w:r>
            <w:r w:rsidR="00CD4E73">
              <w:t xml:space="preserve"> and look at how well the heart is pumping</w:t>
            </w:r>
            <w:r>
              <w:t xml:space="preserve">. However, echocardiograms are not </w:t>
            </w:r>
            <w:r w:rsidR="00AD1F61">
              <w:t xml:space="preserve">easily </w:t>
            </w:r>
            <w:r>
              <w:t xml:space="preserve">available to some people (such as those living in rural and remote areas), and some people pay high out-of-pocket costs for </w:t>
            </w:r>
            <w:r w:rsidR="00AD1F61">
              <w:t>an echocardiogram</w:t>
            </w:r>
            <w:r>
              <w:t>.</w:t>
            </w:r>
          </w:p>
          <w:p w14:paraId="780EF8E4" w14:textId="5FABCD5E" w:rsidR="00F874DB" w:rsidRDefault="00087991" w:rsidP="00F874DB">
            <w:r>
              <w:t>A</w:t>
            </w:r>
            <w:r w:rsidRPr="00E7007D">
              <w:t>s pressure in the heart increases</w:t>
            </w:r>
            <w:r w:rsidR="0037730B">
              <w:t>, the heart</w:t>
            </w:r>
            <w:r>
              <w:t xml:space="preserve"> muscles are stretched and overloaded, and they release </w:t>
            </w:r>
            <w:r w:rsidR="00E76393">
              <w:t xml:space="preserve">a protein called B-type </w:t>
            </w:r>
            <w:r w:rsidR="00F874DB">
              <w:t xml:space="preserve">natriuretic peptide (BNP) </w:t>
            </w:r>
            <w:r>
              <w:t>into the blood stream</w:t>
            </w:r>
            <w:r w:rsidR="00F874DB" w:rsidRPr="00E7007D">
              <w:t xml:space="preserve">. </w:t>
            </w:r>
            <w:r w:rsidR="00F874DB">
              <w:t>The</w:t>
            </w:r>
            <w:r>
              <w:t xml:space="preserve"> levels of </w:t>
            </w:r>
            <w:r w:rsidR="00D84D60">
              <w:t>BNP and NT-</w:t>
            </w:r>
            <w:proofErr w:type="spellStart"/>
            <w:r w:rsidR="00D84D60">
              <w:t>proBNP</w:t>
            </w:r>
            <w:proofErr w:type="spellEnd"/>
            <w:r w:rsidR="00D84D60">
              <w:t xml:space="preserve"> </w:t>
            </w:r>
            <w:r w:rsidR="00F874DB" w:rsidRPr="00E7007D">
              <w:t>can be measured with a blood test</w:t>
            </w:r>
            <w:r w:rsidR="00D84D60">
              <w:t xml:space="preserve"> for BNP or NT-</w:t>
            </w:r>
            <w:proofErr w:type="spellStart"/>
            <w:r w:rsidR="00D84D60">
              <w:t>proBNP</w:t>
            </w:r>
            <w:proofErr w:type="spellEnd"/>
            <w:r w:rsidR="00F874DB" w:rsidRPr="00E7007D">
              <w:t xml:space="preserve">. Higher levels of </w:t>
            </w:r>
            <w:r w:rsidR="00F874DB">
              <w:t xml:space="preserve">BNP and </w:t>
            </w:r>
            <w:r w:rsidR="00F874DB" w:rsidRPr="00E7007D">
              <w:t>NT-</w:t>
            </w:r>
            <w:proofErr w:type="spellStart"/>
            <w:r w:rsidR="00F874DB" w:rsidRPr="00E7007D">
              <w:t>proBNP</w:t>
            </w:r>
            <w:proofErr w:type="spellEnd"/>
            <w:r w:rsidR="00F874DB" w:rsidRPr="00E7007D">
              <w:t xml:space="preserve"> in the bloodstream may </w:t>
            </w:r>
            <w:r w:rsidR="000C3155">
              <w:t>mean</w:t>
            </w:r>
            <w:r w:rsidR="000C3155" w:rsidRPr="00E7007D">
              <w:t xml:space="preserve"> </w:t>
            </w:r>
            <w:r w:rsidR="00F874DB" w:rsidRPr="00E7007D">
              <w:t xml:space="preserve">problems with the heart, such as </w:t>
            </w:r>
            <w:r w:rsidR="00F874DB">
              <w:t>heart failure</w:t>
            </w:r>
            <w:r w:rsidR="00F874DB" w:rsidRPr="00E7007D">
              <w:t xml:space="preserve">. </w:t>
            </w:r>
            <w:r w:rsidR="00F874DB">
              <w:t xml:space="preserve">This is then confirmed using more tests, including </w:t>
            </w:r>
            <w:r w:rsidR="0023614B">
              <w:t xml:space="preserve">an </w:t>
            </w:r>
            <w:r w:rsidR="00B15B8A">
              <w:t>ultrasound assessment of the heart (</w:t>
            </w:r>
            <w:r w:rsidR="00F874DB">
              <w:t>an echocardiogram</w:t>
            </w:r>
            <w:r w:rsidR="00B15B8A">
              <w:t>)</w:t>
            </w:r>
            <w:r w:rsidR="00F874DB">
              <w:t xml:space="preserve">. </w:t>
            </w:r>
            <w:r w:rsidR="00DD6420">
              <w:t>But i</w:t>
            </w:r>
            <w:r w:rsidR="00096884">
              <w:t xml:space="preserve">f a patient’s </w:t>
            </w:r>
            <w:r w:rsidR="00F874DB">
              <w:t>BNP and NT-</w:t>
            </w:r>
            <w:proofErr w:type="spellStart"/>
            <w:r w:rsidR="00F874DB">
              <w:t>proBNP</w:t>
            </w:r>
            <w:proofErr w:type="spellEnd"/>
            <w:r w:rsidR="00F874DB">
              <w:t xml:space="preserve"> </w:t>
            </w:r>
            <w:r w:rsidR="00096884">
              <w:t xml:space="preserve">levels are </w:t>
            </w:r>
            <w:r w:rsidR="00DD6420">
              <w:t>low enough to rule out heart failure</w:t>
            </w:r>
            <w:r w:rsidR="00096884">
              <w:t>, then those patients may not need an echocardiogram</w:t>
            </w:r>
            <w:r w:rsidR="00642BE5">
              <w:t>. This</w:t>
            </w:r>
            <w:r w:rsidR="00096884">
              <w:t xml:space="preserve"> </w:t>
            </w:r>
            <w:r w:rsidR="00F874DB">
              <w:t xml:space="preserve">can help prevent </w:t>
            </w:r>
            <w:r w:rsidR="00642BE5">
              <w:t xml:space="preserve">patients from having </w:t>
            </w:r>
            <w:r w:rsidR="00F874DB">
              <w:t xml:space="preserve">unnecessary echocardiograms and </w:t>
            </w:r>
            <w:r w:rsidR="00876BD4">
              <w:t xml:space="preserve">so </w:t>
            </w:r>
            <w:r w:rsidR="005162B3">
              <w:t xml:space="preserve">reduce </w:t>
            </w:r>
            <w:r w:rsidR="00F874DB">
              <w:t>costs</w:t>
            </w:r>
            <w:r w:rsidR="001D15DC">
              <w:t xml:space="preserve"> to both patients and the healthcare system</w:t>
            </w:r>
            <w:r w:rsidR="00F874DB">
              <w:t>.</w:t>
            </w:r>
          </w:p>
          <w:p w14:paraId="21403CF6" w14:textId="1A7644C7" w:rsidR="00AD1F61" w:rsidRDefault="00AD1F61" w:rsidP="00AD1F61">
            <w:r>
              <w:t>Test</w:t>
            </w:r>
            <w:r w:rsidR="001D15DC">
              <w:t>ing</w:t>
            </w:r>
            <w:r>
              <w:t xml:space="preserve"> for BNP and NT-</w:t>
            </w:r>
            <w:proofErr w:type="spellStart"/>
            <w:r>
              <w:t>proBNP</w:t>
            </w:r>
            <w:proofErr w:type="spellEnd"/>
            <w:r>
              <w:t xml:space="preserve"> is already publicly funded in the hospital emergency setting. This application proposed also funding the test in a non-hospital setting, such as in a general practitioner’s (GP’s) or specialist’s office.</w:t>
            </w:r>
          </w:p>
          <w:p w14:paraId="767D3E24" w14:textId="568AE9AD" w:rsidR="0043399C" w:rsidRDefault="007330A7" w:rsidP="00F874DB">
            <w:r>
              <w:t xml:space="preserve">The evidence showed that </w:t>
            </w:r>
            <w:r w:rsidR="00352B62">
              <w:t xml:space="preserve">compared to clinical care without </w:t>
            </w:r>
            <w:r>
              <w:t>BNP and NT-</w:t>
            </w:r>
            <w:proofErr w:type="spellStart"/>
            <w:r>
              <w:t>proBNP</w:t>
            </w:r>
            <w:proofErr w:type="spellEnd"/>
            <w:r>
              <w:t xml:space="preserve"> testing</w:t>
            </w:r>
            <w:r w:rsidR="00D81B5C">
              <w:t>, adding this testing</w:t>
            </w:r>
            <w:r>
              <w:t xml:space="preserve"> is more accurate at </w:t>
            </w:r>
            <w:r w:rsidR="00640DAD">
              <w:t>ruling out a diagnosis of</w:t>
            </w:r>
            <w:r>
              <w:t xml:space="preserve"> heart failure</w:t>
            </w:r>
            <w:r w:rsidR="00814427">
              <w:t xml:space="preserve">. However, </w:t>
            </w:r>
            <w:r w:rsidR="00931E82">
              <w:t>there was limited evidence</w:t>
            </w:r>
            <w:r w:rsidR="00982ADD">
              <w:t xml:space="preserve"> that adding this testing would improve patients’ health outcomes.</w:t>
            </w:r>
            <w:r w:rsidR="006E7C19">
              <w:t xml:space="preserve"> But despite </w:t>
            </w:r>
            <w:r w:rsidR="00F874DB">
              <w:t xml:space="preserve">the </w:t>
            </w:r>
            <w:r w:rsidR="008172D8">
              <w:t xml:space="preserve">lack of strong </w:t>
            </w:r>
            <w:r w:rsidR="00F874DB">
              <w:t xml:space="preserve">evidence, </w:t>
            </w:r>
            <w:r w:rsidR="0012572A">
              <w:t xml:space="preserve">MSAC considered that </w:t>
            </w:r>
            <w:r w:rsidR="00F874DB">
              <w:t xml:space="preserve">national and international </w:t>
            </w:r>
            <w:r w:rsidR="00F64545">
              <w:t xml:space="preserve">clinical </w:t>
            </w:r>
            <w:r w:rsidR="00F874DB">
              <w:lastRenderedPageBreak/>
              <w:t xml:space="preserve">guidelines recommend the use of </w:t>
            </w:r>
            <w:r w:rsidR="00311977">
              <w:t>BNP/</w:t>
            </w:r>
            <w:r w:rsidR="00F874DB">
              <w:t>NT-</w:t>
            </w:r>
            <w:proofErr w:type="spellStart"/>
            <w:r w:rsidR="00F874DB">
              <w:t>proBNP</w:t>
            </w:r>
            <w:proofErr w:type="spellEnd"/>
            <w:r w:rsidR="00F874DB">
              <w:t xml:space="preserve"> in non-hospital settings</w:t>
            </w:r>
            <w:r w:rsidR="00D361AD">
              <w:t xml:space="preserve">, </w:t>
            </w:r>
            <w:r w:rsidR="00EE15E9">
              <w:t>so</w:t>
            </w:r>
            <w:r w:rsidR="00D361AD">
              <w:t xml:space="preserve"> it </w:t>
            </w:r>
            <w:r w:rsidR="00B15B8A">
              <w:t xml:space="preserve">already </w:t>
            </w:r>
            <w:r w:rsidR="00D361AD">
              <w:t>has a</w:t>
            </w:r>
            <w:r w:rsidR="00B15B8A">
              <w:t>n established</w:t>
            </w:r>
            <w:r w:rsidR="00D361AD">
              <w:t xml:space="preserve"> role in the diagnostic pathway for heart failure</w:t>
            </w:r>
            <w:r w:rsidR="00F874DB">
              <w:t xml:space="preserve">. </w:t>
            </w:r>
            <w:r w:rsidR="002A057B">
              <w:t>MSAC considered that</w:t>
            </w:r>
            <w:r w:rsidR="009630B5">
              <w:t xml:space="preserve"> </w:t>
            </w:r>
            <w:r w:rsidR="004E28FB">
              <w:t xml:space="preserve">some </w:t>
            </w:r>
            <w:r w:rsidR="009630B5">
              <w:t>patients may already be doing this testing</w:t>
            </w:r>
            <w:r w:rsidR="004E28FB">
              <w:t xml:space="preserve"> by paying privately for it</w:t>
            </w:r>
            <w:r w:rsidR="003562BD">
              <w:t xml:space="preserve">, and publicly funding it would improve equity of access to </w:t>
            </w:r>
            <w:r w:rsidR="004F5A2D">
              <w:t>BNP/NT-</w:t>
            </w:r>
            <w:proofErr w:type="spellStart"/>
            <w:r w:rsidR="004F5A2D">
              <w:t>proBNP</w:t>
            </w:r>
            <w:proofErr w:type="spellEnd"/>
            <w:r w:rsidR="003562BD">
              <w:t xml:space="preserve"> testing in the community</w:t>
            </w:r>
            <w:r w:rsidR="00761DD4">
              <w:t>, especially for people in rural and remote areas and First Nations people</w:t>
            </w:r>
            <w:r w:rsidR="003562BD">
              <w:t>.</w:t>
            </w:r>
            <w:r w:rsidR="00DB01BB">
              <w:t xml:space="preserve"> </w:t>
            </w:r>
            <w:r w:rsidR="00D40291">
              <w:t xml:space="preserve">First Nations people are disproportionately burdened by heart failure. </w:t>
            </w:r>
            <w:r w:rsidR="00572553">
              <w:t>He</w:t>
            </w:r>
            <w:r w:rsidR="004A3389">
              <w:t>art failure is 1.7 times more common in First Nations people than non-</w:t>
            </w:r>
            <w:r w:rsidR="00862C8A">
              <w:t>i</w:t>
            </w:r>
            <w:r w:rsidR="004A3389">
              <w:t xml:space="preserve">ndigenous Australians, </w:t>
            </w:r>
            <w:r w:rsidR="00862C8A">
              <w:t>and heart failure occurs 10-20 years earlier among First Nations people than non-indigenous Australians</w:t>
            </w:r>
            <w:r w:rsidR="00D40291">
              <w:t>.</w:t>
            </w:r>
          </w:p>
          <w:p w14:paraId="07629BF7" w14:textId="44BD6160" w:rsidR="008410F6" w:rsidRDefault="00F211B3" w:rsidP="00F874DB">
            <w:r>
              <w:t>MSAC considered t</w:t>
            </w:r>
            <w:r w:rsidR="008410F6">
              <w:t xml:space="preserve">he best evidence </w:t>
            </w:r>
            <w:r w:rsidR="009A2C45">
              <w:t>that was presented</w:t>
            </w:r>
            <w:r w:rsidR="008410F6">
              <w:t xml:space="preserve"> on how many people </w:t>
            </w:r>
            <w:r w:rsidR="00164C0C">
              <w:t xml:space="preserve">would be able to avoid an echocardiogram </w:t>
            </w:r>
            <w:r w:rsidR="0043399C">
              <w:t>after BNP/NT-</w:t>
            </w:r>
            <w:proofErr w:type="spellStart"/>
            <w:r w:rsidR="0043399C">
              <w:t>proBNP</w:t>
            </w:r>
            <w:proofErr w:type="spellEnd"/>
            <w:r w:rsidR="0043399C">
              <w:t xml:space="preserve"> testing </w:t>
            </w:r>
            <w:r w:rsidR="00164C0C">
              <w:t xml:space="preserve">was </w:t>
            </w:r>
            <w:r w:rsidR="0005335A">
              <w:t>no longer relevant</w:t>
            </w:r>
            <w:r w:rsidR="009A2C45">
              <w:t>.</w:t>
            </w:r>
            <w:r w:rsidR="008D6B94">
              <w:t xml:space="preserve"> </w:t>
            </w:r>
            <w:r w:rsidR="0005335A">
              <w:t>MSAC considered that</w:t>
            </w:r>
            <w:r w:rsidR="00210C3F">
              <w:t xml:space="preserve"> probably</w:t>
            </w:r>
            <w:r w:rsidR="0005335A">
              <w:t xml:space="preserve"> </w:t>
            </w:r>
            <w:r w:rsidR="006B1695">
              <w:t xml:space="preserve">many people who currently get an echocardiogram will </w:t>
            </w:r>
            <w:r w:rsidR="00210C3F">
              <w:t xml:space="preserve">have heart failure ruled out </w:t>
            </w:r>
            <w:r w:rsidR="00734788">
              <w:t>by</w:t>
            </w:r>
            <w:r w:rsidR="006B1695">
              <w:t xml:space="preserve"> BNP/NT-</w:t>
            </w:r>
            <w:proofErr w:type="spellStart"/>
            <w:r w:rsidR="006B1695">
              <w:t>proBNP</w:t>
            </w:r>
            <w:proofErr w:type="spellEnd"/>
            <w:r w:rsidR="006B1695">
              <w:t xml:space="preserve"> testing </w:t>
            </w:r>
            <w:r w:rsidR="00734788">
              <w:t>when it</w:t>
            </w:r>
            <w:r w:rsidR="006B1695">
              <w:t xml:space="preserve"> is available</w:t>
            </w:r>
            <w:r w:rsidR="00210C3F">
              <w:t xml:space="preserve">. This will save money for patients and the healthcare system, </w:t>
            </w:r>
            <w:proofErr w:type="gramStart"/>
            <w:r w:rsidR="00210C3F">
              <w:t>and also</w:t>
            </w:r>
            <w:proofErr w:type="gramEnd"/>
            <w:r w:rsidR="00210C3F">
              <w:t xml:space="preserve"> ma</w:t>
            </w:r>
            <w:r w:rsidR="00750F6B">
              <w:t>k</w:t>
            </w:r>
            <w:r w:rsidR="00210C3F">
              <w:t>e</w:t>
            </w:r>
            <w:r w:rsidR="00750F6B">
              <w:t>s</w:t>
            </w:r>
            <w:r w:rsidR="00210C3F">
              <w:t xml:space="preserve"> this testing good value for money.</w:t>
            </w:r>
            <w:r w:rsidR="0043399C">
              <w:t xml:space="preserve"> </w:t>
            </w:r>
            <w:r w:rsidR="0038265D">
              <w:t xml:space="preserve">While it </w:t>
            </w:r>
            <w:r w:rsidR="00C002C6">
              <w:t>wa</w:t>
            </w:r>
            <w:r w:rsidR="0038265D">
              <w:t xml:space="preserve">s hard to know </w:t>
            </w:r>
            <w:r w:rsidR="00C002C6">
              <w:t xml:space="preserve">exactly </w:t>
            </w:r>
            <w:r w:rsidR="0038265D">
              <w:t>how many echocardiograms will be avoided</w:t>
            </w:r>
            <w:r w:rsidR="000E70D7">
              <w:t xml:space="preserve"> in practice, </w:t>
            </w:r>
            <w:r w:rsidR="00A3417C">
              <w:t xml:space="preserve">MSAC considered </w:t>
            </w:r>
            <w:r w:rsidR="002D1888">
              <w:t xml:space="preserve">this testing </w:t>
            </w:r>
            <w:r w:rsidR="00A3417C">
              <w:t>wa</w:t>
            </w:r>
            <w:r w:rsidR="002D1888">
              <w:t xml:space="preserve">s likely to overall save </w:t>
            </w:r>
            <w:r w:rsidR="00A3417C">
              <w:t xml:space="preserve">the </w:t>
            </w:r>
            <w:r w:rsidR="00892B06">
              <w:t>MBS</w:t>
            </w:r>
            <w:r w:rsidR="00A3417C">
              <w:t xml:space="preserve"> money.</w:t>
            </w:r>
          </w:p>
          <w:p w14:paraId="716F3265" w14:textId="2E31C8A5" w:rsidR="00F874DB" w:rsidRDefault="00F874DB" w:rsidP="00F874DB">
            <w:r>
              <w:t xml:space="preserve">MSAC </w:t>
            </w:r>
            <w:r w:rsidR="005B0374">
              <w:t xml:space="preserve">did not have any concerns about the safety of </w:t>
            </w:r>
            <w:r w:rsidR="008D7F95">
              <w:t>BNP/</w:t>
            </w:r>
            <w:r>
              <w:t>NT-</w:t>
            </w:r>
            <w:proofErr w:type="spellStart"/>
            <w:r>
              <w:t>proBNP</w:t>
            </w:r>
            <w:proofErr w:type="spellEnd"/>
            <w:r>
              <w:t xml:space="preserve"> test</w:t>
            </w:r>
            <w:r w:rsidR="00A35A09">
              <w:t>ing</w:t>
            </w:r>
            <w:r>
              <w:t>.</w:t>
            </w:r>
          </w:p>
          <w:p w14:paraId="4F1F40D0" w14:textId="4D093B72" w:rsidR="00A35A09" w:rsidRDefault="00333B6B" w:rsidP="00F874DB">
            <w:r>
              <w:t>The applicant proposed only NT-</w:t>
            </w:r>
            <w:proofErr w:type="spellStart"/>
            <w:r>
              <w:t>proBNP</w:t>
            </w:r>
            <w:proofErr w:type="spellEnd"/>
            <w:r>
              <w:t xml:space="preserve"> testing, but </w:t>
            </w:r>
            <w:r w:rsidR="00A35A09">
              <w:t xml:space="preserve">MSAC supported </w:t>
            </w:r>
            <w:r w:rsidR="008C13F4">
              <w:t>funding</w:t>
            </w:r>
            <w:r w:rsidR="00A35A09">
              <w:t xml:space="preserve"> </w:t>
            </w:r>
            <w:r w:rsidR="002A50E9">
              <w:t>both the NT-</w:t>
            </w:r>
            <w:proofErr w:type="spellStart"/>
            <w:r w:rsidR="002A50E9">
              <w:t>proBNP</w:t>
            </w:r>
            <w:proofErr w:type="spellEnd"/>
            <w:r w:rsidR="002A50E9">
              <w:t xml:space="preserve"> and </w:t>
            </w:r>
            <w:r w:rsidR="00A35A09">
              <w:t>BNP test</w:t>
            </w:r>
            <w:r w:rsidR="002A50E9">
              <w:t>s</w:t>
            </w:r>
            <w:r w:rsidR="009209B9">
              <w:t>. This is</w:t>
            </w:r>
            <w:r w:rsidR="00A35A09">
              <w:t xml:space="preserve"> in line with </w:t>
            </w:r>
            <w:r w:rsidR="009F21B0">
              <w:t>MSAC’s</w:t>
            </w:r>
            <w:r w:rsidR="00A35A09">
              <w:t xml:space="preserve"> previous support for funding of </w:t>
            </w:r>
            <w:r w:rsidR="0038265D">
              <w:t xml:space="preserve">testing that measures either </w:t>
            </w:r>
            <w:r w:rsidR="00892B06">
              <w:t>BNP or NT-</w:t>
            </w:r>
            <w:proofErr w:type="spellStart"/>
            <w:r w:rsidR="00892B06">
              <w:t>proBNP</w:t>
            </w:r>
            <w:proofErr w:type="spellEnd"/>
            <w:r w:rsidR="00892B06">
              <w:t xml:space="preserve"> for patients</w:t>
            </w:r>
            <w:r w:rsidR="009209B9">
              <w:t xml:space="preserve"> in other </w:t>
            </w:r>
            <w:proofErr w:type="gramStart"/>
            <w:r w:rsidR="009209B9">
              <w:t>setting</w:t>
            </w:r>
            <w:r w:rsidR="009F21B0">
              <w:t>s,</w:t>
            </w:r>
            <w:r w:rsidR="009209B9">
              <w:t xml:space="preserve"> and</w:t>
            </w:r>
            <w:proofErr w:type="gramEnd"/>
            <w:r w:rsidR="009209B9">
              <w:t xml:space="preserve"> is supported by</w:t>
            </w:r>
            <w:r w:rsidR="009F21B0">
              <w:t xml:space="preserve"> </w:t>
            </w:r>
            <w:r w:rsidR="005727BE">
              <w:t>clinical practice guidelines</w:t>
            </w:r>
            <w:r w:rsidR="00A35A09">
              <w:t>.</w:t>
            </w:r>
          </w:p>
          <w:p w14:paraId="51ED385D" w14:textId="0FFCE234" w:rsidR="00F874DB" w:rsidRDefault="00892B06" w:rsidP="00F874DB">
            <w:r>
              <w:t>MSAC considered t</w:t>
            </w:r>
            <w:r w:rsidR="00750F6B">
              <w:t xml:space="preserve">he value of this testing comes from helping </w:t>
            </w:r>
            <w:r w:rsidR="00862C91">
              <w:t xml:space="preserve">make </w:t>
            </w:r>
            <w:r w:rsidR="00750F6B">
              <w:t xml:space="preserve">decisions about </w:t>
            </w:r>
            <w:proofErr w:type="gramStart"/>
            <w:r w:rsidR="00750F6B">
              <w:t>whether or not</w:t>
            </w:r>
            <w:proofErr w:type="gramEnd"/>
            <w:r w:rsidR="00750F6B">
              <w:t xml:space="preserve"> to do an echocardiogram, so testing is not needed when a </w:t>
            </w:r>
            <w:r w:rsidR="00F50098">
              <w:t>decision has already been made to do an</w:t>
            </w:r>
            <w:r w:rsidR="00750F6B">
              <w:t xml:space="preserve"> echocardiogram</w:t>
            </w:r>
            <w:r w:rsidR="00F50098">
              <w:t>.</w:t>
            </w:r>
            <w:r w:rsidR="009F21B0">
              <w:t xml:space="preserve"> </w:t>
            </w:r>
            <w:r w:rsidR="00F874DB">
              <w:t xml:space="preserve">To </w:t>
            </w:r>
            <w:r w:rsidR="001341DC">
              <w:t xml:space="preserve">ensure doctors understand </w:t>
            </w:r>
            <w:r w:rsidR="00644505">
              <w:t>when</w:t>
            </w:r>
            <w:r w:rsidR="004C4717">
              <w:t xml:space="preserve"> </w:t>
            </w:r>
            <w:r w:rsidR="001341DC">
              <w:t xml:space="preserve">to use this testing and </w:t>
            </w:r>
            <w:r w:rsidR="00F874DB">
              <w:t xml:space="preserve">help avoid </w:t>
            </w:r>
            <w:r w:rsidR="00726372">
              <w:t>inappropriate</w:t>
            </w:r>
            <w:r w:rsidR="00A73238">
              <w:t xml:space="preserve"> </w:t>
            </w:r>
            <w:r w:rsidR="00F874DB">
              <w:t>use</w:t>
            </w:r>
            <w:r w:rsidR="00F874DB" w:rsidDel="001341DC">
              <w:t xml:space="preserve"> of </w:t>
            </w:r>
            <w:r w:rsidR="00F874DB" w:rsidDel="00A73238">
              <w:t xml:space="preserve">the </w:t>
            </w:r>
            <w:r w:rsidR="005E4B28">
              <w:t>test</w:t>
            </w:r>
            <w:r w:rsidR="00F874DB">
              <w:t xml:space="preserve">, MSAC </w:t>
            </w:r>
            <w:r w:rsidR="00C468BC">
              <w:t xml:space="preserve">advised </w:t>
            </w:r>
            <w:r w:rsidR="00726372">
              <w:t>the test should be described as a decision aid</w:t>
            </w:r>
            <w:r w:rsidR="009802C4">
              <w:t xml:space="preserve"> for echocardiography</w:t>
            </w:r>
            <w:r w:rsidR="00726372">
              <w:t xml:space="preserve">, limited to once per year, and </w:t>
            </w:r>
            <w:r w:rsidR="00F874DB">
              <w:t xml:space="preserve">relevant professional </w:t>
            </w:r>
            <w:r w:rsidR="00F874DB" w:rsidDel="003A79D6">
              <w:t xml:space="preserve">organisations </w:t>
            </w:r>
            <w:r w:rsidR="00A73238">
              <w:t xml:space="preserve">should </w:t>
            </w:r>
            <w:r w:rsidR="00F874DB">
              <w:t xml:space="preserve">be asked to </w:t>
            </w:r>
            <w:r w:rsidR="005954B3">
              <w:t xml:space="preserve">develop </w:t>
            </w:r>
            <w:r w:rsidR="00F874DB">
              <w:t>education program</w:t>
            </w:r>
            <w:r w:rsidR="003A79D6">
              <w:t>s</w:t>
            </w:r>
            <w:r w:rsidR="00F874DB">
              <w:t xml:space="preserve"> for </w:t>
            </w:r>
            <w:r w:rsidR="003A79D6">
              <w:t>doctors</w:t>
            </w:r>
            <w:r w:rsidR="00F874DB">
              <w:t xml:space="preserve">. </w:t>
            </w:r>
            <w:r w:rsidR="009802C4">
              <w:t>A</w:t>
            </w:r>
            <w:r w:rsidR="00F874DB">
              <w:t xml:space="preserve"> review </w:t>
            </w:r>
            <w:r w:rsidR="009802C4">
              <w:t xml:space="preserve">should also </w:t>
            </w:r>
            <w:r w:rsidR="00F874DB">
              <w:t xml:space="preserve">be undertaken after 2 years to ensure </w:t>
            </w:r>
            <w:r w:rsidR="009802C4">
              <w:t xml:space="preserve">this </w:t>
            </w:r>
            <w:r w:rsidR="00F874DB">
              <w:t>test</w:t>
            </w:r>
            <w:r w:rsidR="009802C4">
              <w:t>ing</w:t>
            </w:r>
            <w:r w:rsidR="00F874DB">
              <w:t xml:space="preserve"> </w:t>
            </w:r>
            <w:r w:rsidR="009802C4">
              <w:t xml:space="preserve">is </w:t>
            </w:r>
            <w:r w:rsidR="00F874DB">
              <w:t>being used appropriately.</w:t>
            </w:r>
          </w:p>
          <w:p w14:paraId="29EB9E7F" w14:textId="77777777" w:rsidR="00AB25C3" w:rsidRPr="00AF46D8" w:rsidRDefault="00AB25C3">
            <w:pPr>
              <w:pStyle w:val="Heading3"/>
              <w:ind w:left="720" w:hanging="720"/>
            </w:pPr>
            <w:r w:rsidRPr="00AF46D8">
              <w:t xml:space="preserve">MSAC’s advice to the </w:t>
            </w:r>
            <w:proofErr w:type="gramStart"/>
            <w:r w:rsidRPr="00AF46D8">
              <w:t>Commonwealth Minister</w:t>
            </w:r>
            <w:proofErr w:type="gramEnd"/>
            <w:r w:rsidRPr="00AF46D8">
              <w:t xml:space="preserve"> for Health</w:t>
            </w:r>
            <w:r>
              <w:t xml:space="preserve"> and Aged Care</w:t>
            </w:r>
          </w:p>
          <w:p w14:paraId="4F2C41D5" w14:textId="519E72F7" w:rsidR="00AB25C3" w:rsidRPr="00AF46D8" w:rsidRDefault="005E73CE">
            <w:pPr>
              <w:spacing w:after="120"/>
            </w:pPr>
            <w:r w:rsidRPr="00AF46D8">
              <w:t>MSAC supported</w:t>
            </w:r>
            <w:r>
              <w:t xml:space="preserve"> MBS funding of </w:t>
            </w:r>
            <w:r w:rsidR="0038265D">
              <w:t xml:space="preserve">BNP and </w:t>
            </w:r>
            <w:r>
              <w:t>NT-</w:t>
            </w:r>
            <w:proofErr w:type="spellStart"/>
            <w:r>
              <w:t>proBNP</w:t>
            </w:r>
            <w:proofErr w:type="spellEnd"/>
            <w:r>
              <w:t xml:space="preserve"> </w:t>
            </w:r>
            <w:r w:rsidR="00081D0B">
              <w:t>to rule out a</w:t>
            </w:r>
            <w:r>
              <w:t xml:space="preserve"> diagnosis of heart failure in patients who have uncertain but suspected heart failure in the non-hospital setting. MSAC considered the test</w:t>
            </w:r>
            <w:r w:rsidR="00F84A79">
              <w:t>ing</w:t>
            </w:r>
            <w:r>
              <w:t xml:space="preserve"> to be safe and effective in helping </w:t>
            </w:r>
            <w:r w:rsidR="00627470">
              <w:t xml:space="preserve">some </w:t>
            </w:r>
            <w:r w:rsidR="0038265D">
              <w:t xml:space="preserve">patients </w:t>
            </w:r>
            <w:r>
              <w:t xml:space="preserve">avoid unnecessary </w:t>
            </w:r>
            <w:r w:rsidR="00F84A79">
              <w:t>echocardiography</w:t>
            </w:r>
            <w:r>
              <w:t>. MSAC also considered the test to be good value for money</w:t>
            </w:r>
            <w:r w:rsidR="0038265D">
              <w:t xml:space="preserve">, and that financially it would likely </w:t>
            </w:r>
            <w:r w:rsidR="00195278">
              <w:t xml:space="preserve">be </w:t>
            </w:r>
            <w:r w:rsidR="00F50098">
              <w:t xml:space="preserve">a </w:t>
            </w:r>
            <w:r w:rsidR="00195278">
              <w:t>net cost saving for the MBS</w:t>
            </w:r>
            <w:r w:rsidR="0038265D">
              <w:t xml:space="preserve"> from echocardiograms avoided</w:t>
            </w:r>
            <w:r>
              <w:t xml:space="preserve">. </w:t>
            </w:r>
          </w:p>
        </w:tc>
      </w:tr>
    </w:tbl>
    <w:p w14:paraId="76E242EE" w14:textId="77777777" w:rsidR="00AB25C3" w:rsidRDefault="00AB25C3" w:rsidP="00AB25C3">
      <w:pPr>
        <w:pStyle w:val="Heading2"/>
        <w:numPr>
          <w:ilvl w:val="1"/>
          <w:numId w:val="0"/>
        </w:numPr>
      </w:pPr>
      <w:r>
        <w:lastRenderedPageBreak/>
        <w:t>3.</w:t>
      </w:r>
      <w:r>
        <w:tab/>
        <w:t>Summary of consideration and rationale for MSAC’s advice</w:t>
      </w:r>
    </w:p>
    <w:p w14:paraId="54450EAD" w14:textId="4B9D94FF" w:rsidR="00433C05" w:rsidRDefault="00433C05" w:rsidP="00433C05">
      <w:r w:rsidRPr="00516D4E">
        <w:t>MSAC</w:t>
      </w:r>
      <w:r>
        <w:t xml:space="preserve"> noted that this application from Roche Diagnostics Australia Pty Ltd requested Medicare Benefits Schedule (MBS) funding of N-terminal-pro hormone brain natriuretic peptide (NT-</w:t>
      </w:r>
      <w:proofErr w:type="spellStart"/>
      <w:r>
        <w:t>proBNP</w:t>
      </w:r>
      <w:proofErr w:type="spellEnd"/>
      <w:r>
        <w:t>) assays for the diagnosis of heart failure in patients</w:t>
      </w:r>
      <w:r w:rsidR="003256E2">
        <w:t xml:space="preserve"> in the </w:t>
      </w:r>
      <w:r w:rsidR="009D5A3A">
        <w:t>non-hospital setting</w:t>
      </w:r>
      <w:r w:rsidR="00897877">
        <w:t>,</w:t>
      </w:r>
      <w:r>
        <w:t xml:space="preserve"> whose diagnosis is suspected but uncertain.</w:t>
      </w:r>
    </w:p>
    <w:p w14:paraId="7850E53A" w14:textId="1DF80820" w:rsidR="00433C05" w:rsidRDefault="00433C05" w:rsidP="00433C05">
      <w:r>
        <w:t>MSAC noted that heart failure</w:t>
      </w:r>
      <w:r w:rsidR="00226606">
        <w:t xml:space="preserve"> (HF)</w:t>
      </w:r>
      <w:r>
        <w:t xml:space="preserve"> is a highly prevalent condition</w:t>
      </w:r>
      <w:r w:rsidR="00581A6F">
        <w:t>.</w:t>
      </w:r>
      <w:r w:rsidR="0052702B">
        <w:t xml:space="preserve"> </w:t>
      </w:r>
      <w:r w:rsidR="00581A6F">
        <w:t>The</w:t>
      </w:r>
      <w:r w:rsidR="00226606">
        <w:t xml:space="preserve"> two main types of HF are HF with reduced ejection fraction</w:t>
      </w:r>
      <w:r w:rsidR="00DB2FA8">
        <w:t xml:space="preserve"> (</w:t>
      </w:r>
      <w:proofErr w:type="spellStart"/>
      <w:r w:rsidR="00DB2FA8">
        <w:t>HFrEF</w:t>
      </w:r>
      <w:proofErr w:type="spellEnd"/>
      <w:r w:rsidR="00DB2FA8">
        <w:t>)</w:t>
      </w:r>
      <w:r w:rsidR="00226606">
        <w:t xml:space="preserve"> and HF with preserved ejection fraction</w:t>
      </w:r>
      <w:r w:rsidR="00DB2FA8">
        <w:t xml:space="preserve"> (</w:t>
      </w:r>
      <w:proofErr w:type="spellStart"/>
      <w:r w:rsidR="00DB2FA8">
        <w:t>HFpEF</w:t>
      </w:r>
      <w:proofErr w:type="spellEnd"/>
      <w:r w:rsidR="00DB2FA8">
        <w:t>)</w:t>
      </w:r>
      <w:r w:rsidR="00226606">
        <w:t>.</w:t>
      </w:r>
      <w:r>
        <w:t xml:space="preserve"> </w:t>
      </w:r>
      <w:proofErr w:type="spellStart"/>
      <w:r w:rsidR="00DB2FA8">
        <w:t>HFpEF</w:t>
      </w:r>
      <w:proofErr w:type="spellEnd"/>
      <w:r w:rsidR="00DB2FA8">
        <w:t xml:space="preserve"> </w:t>
      </w:r>
      <w:r w:rsidR="002D2170">
        <w:t xml:space="preserve">has previously been difficult to </w:t>
      </w:r>
      <w:r w:rsidR="00043A2A">
        <w:t>detect</w:t>
      </w:r>
      <w:r w:rsidR="002D2170">
        <w:t xml:space="preserve"> and diagnose but recently has become</w:t>
      </w:r>
      <w:r w:rsidR="00EB7452">
        <w:t xml:space="preserve"> increasingly recognised </w:t>
      </w:r>
      <w:r w:rsidR="00043A2A">
        <w:t>by clinicians.</w:t>
      </w:r>
      <w:r w:rsidR="007A6B57">
        <w:t xml:space="preserve"> </w:t>
      </w:r>
      <w:r w:rsidR="00E12AE3">
        <w:t xml:space="preserve">HF is becoming </w:t>
      </w:r>
      <w:r>
        <w:t xml:space="preserve">increasingly treatable with medical therapy that improves prognosis. However, heart failure is often </w:t>
      </w:r>
      <w:r w:rsidR="00614B68">
        <w:t xml:space="preserve">hard to diagnose </w:t>
      </w:r>
      <w:r>
        <w:t xml:space="preserve">because </w:t>
      </w:r>
      <w:r w:rsidR="00065059">
        <w:t xml:space="preserve">its </w:t>
      </w:r>
      <w:r>
        <w:t>symptoms</w:t>
      </w:r>
      <w:r w:rsidR="002A50E9">
        <w:t>,</w:t>
      </w:r>
      <w:r>
        <w:t xml:space="preserve"> </w:t>
      </w:r>
      <w:r w:rsidR="002A50E9">
        <w:t xml:space="preserve">such as exertional shortness of breath, </w:t>
      </w:r>
      <w:r>
        <w:t>are non-specific.</w:t>
      </w:r>
      <w:r w:rsidR="00B56FA1" w:rsidRPr="00B56FA1">
        <w:t xml:space="preserve"> </w:t>
      </w:r>
      <w:r w:rsidR="00B56FA1">
        <w:t xml:space="preserve">MSAC noted that the National Heart </w:t>
      </w:r>
      <w:r w:rsidR="00B56FA1">
        <w:lastRenderedPageBreak/>
        <w:t>Foundation of Australia (NHFA) and Cardiac Society of Australia and New Zealand (CSANZ) guidelines</w:t>
      </w:r>
      <w:r w:rsidR="00B56FA1">
        <w:rPr>
          <w:rStyle w:val="FootnoteReference"/>
        </w:rPr>
        <w:footnoteReference w:id="2"/>
      </w:r>
      <w:r w:rsidR="00B56FA1">
        <w:t xml:space="preserve"> recommend BNP or NT-</w:t>
      </w:r>
      <w:proofErr w:type="spellStart"/>
      <w:r w:rsidR="00B56FA1">
        <w:t>proBNP</w:t>
      </w:r>
      <w:proofErr w:type="spellEnd"/>
      <w:r w:rsidR="00B56FA1">
        <w:t xml:space="preserve"> testing in primary care for patients with suspected heart failure when the diagnosis is uncertain.</w:t>
      </w:r>
    </w:p>
    <w:p w14:paraId="5276CEDE" w14:textId="27B93936" w:rsidR="00433C05" w:rsidRDefault="00433C05" w:rsidP="00433C05">
      <w:r w:rsidRPr="00511DE5">
        <w:t xml:space="preserve">MSAC </w:t>
      </w:r>
      <w:r w:rsidR="00A06280">
        <w:t>recalled</w:t>
      </w:r>
      <w:r w:rsidR="00A06280" w:rsidRPr="00511DE5">
        <w:t xml:space="preserve"> </w:t>
      </w:r>
      <w:r w:rsidRPr="00511DE5">
        <w:t>there had been two previous MSAC applications for BNP and NT-</w:t>
      </w:r>
      <w:proofErr w:type="spellStart"/>
      <w:r w:rsidRPr="00511DE5">
        <w:t>proBNP</w:t>
      </w:r>
      <w:proofErr w:type="spellEnd"/>
      <w:r w:rsidRPr="00511DE5">
        <w:t xml:space="preserve"> testing for the diagnosis of heart failure. At its November 2006 meeting, MSAC </w:t>
      </w:r>
      <w:r w:rsidR="009457E6">
        <w:t>supported</w:t>
      </w:r>
      <w:r w:rsidRPr="00511DE5">
        <w:t xml:space="preserve"> funding of BNP assays (i.e.</w:t>
      </w:r>
      <w:r w:rsidR="007A6B57">
        <w:t>,</w:t>
      </w:r>
      <w:r w:rsidRPr="00511DE5">
        <w:t xml:space="preserve"> including both BNP and NT-</w:t>
      </w:r>
      <w:proofErr w:type="spellStart"/>
      <w:r w:rsidRPr="00511DE5">
        <w:t>proBNP</w:t>
      </w:r>
      <w:proofErr w:type="spellEnd"/>
      <w:r w:rsidRPr="00511DE5">
        <w:t>) in the diagnosis of heart failure in the hospital emergency setting only (Part A of MSAC </w:t>
      </w:r>
      <w:r w:rsidR="00627470" w:rsidRPr="007A6B57">
        <w:t>application 1087</w:t>
      </w:r>
      <w:r w:rsidR="00627470">
        <w:rPr>
          <w:rStyle w:val="FootnoteReference"/>
        </w:rPr>
        <w:footnoteReference w:id="3"/>
      </w:r>
      <w:r>
        <w:t>,</w:t>
      </w:r>
      <w:r w:rsidRPr="00511DE5">
        <w:t xml:space="preserve"> implemented as MBS item 66830). </w:t>
      </w:r>
      <w:r w:rsidR="00170D66">
        <w:t>Then a</w:t>
      </w:r>
      <w:r w:rsidRPr="00511DE5">
        <w:t>t its May 2007 meeting, MSAC considered the use of the assay in the non-hospital setting (Part B of MSAC application 1087</w:t>
      </w:r>
      <w:proofErr w:type="gramStart"/>
      <w:r w:rsidRPr="00511DE5">
        <w:t>)</w:t>
      </w:r>
      <w:r w:rsidR="00627470">
        <w:t>,</w:t>
      </w:r>
      <w:r w:rsidRPr="00511DE5">
        <w:t xml:space="preserve"> but</w:t>
      </w:r>
      <w:proofErr w:type="gramEnd"/>
      <w:r w:rsidRPr="00511DE5">
        <w:t xml:space="preserve"> did not support </w:t>
      </w:r>
      <w:r w:rsidR="00627470">
        <w:t>public funding</w:t>
      </w:r>
      <w:r>
        <w:t xml:space="preserve">. This was </w:t>
      </w:r>
      <w:r w:rsidRPr="00511DE5">
        <w:t xml:space="preserve">primarily due to </w:t>
      </w:r>
      <w:r w:rsidR="00170D66">
        <w:t xml:space="preserve">highly </w:t>
      </w:r>
      <w:r w:rsidRPr="00511DE5">
        <w:t>uncertain cost-effectiveness</w:t>
      </w:r>
      <w:r>
        <w:t>,</w:t>
      </w:r>
      <w:r w:rsidRPr="00511DE5">
        <w:t xml:space="preserve"> arising mainly from the overestimation of the echocardiography referral rate in the comparator</w:t>
      </w:r>
      <w:r w:rsidR="00413ED8">
        <w:t xml:space="preserve"> </w:t>
      </w:r>
      <w:r w:rsidR="00EB630C">
        <w:t>arm</w:t>
      </w:r>
      <w:r w:rsidR="00413ED8">
        <w:t xml:space="preserve"> </w:t>
      </w:r>
      <w:r w:rsidR="00687801">
        <w:t xml:space="preserve">relative to the best </w:t>
      </w:r>
      <w:r w:rsidR="00DF5C8B">
        <w:t xml:space="preserve">available </w:t>
      </w:r>
      <w:r w:rsidR="00687801">
        <w:t>real-world evidence</w:t>
      </w:r>
      <w:r w:rsidR="00B24059">
        <w:t xml:space="preserve"> on </w:t>
      </w:r>
      <w:r w:rsidR="00DF5C8B">
        <w:t>the echocardiography</w:t>
      </w:r>
      <w:r w:rsidR="00B24059">
        <w:t xml:space="preserve"> referral rate</w:t>
      </w:r>
      <w:r w:rsidRPr="00511DE5">
        <w:t>.</w:t>
      </w:r>
    </w:p>
    <w:p w14:paraId="10F84DD9" w14:textId="7F33DBA3" w:rsidR="007B6AB0" w:rsidRDefault="00B823AC" w:rsidP="00433C05">
      <w:r>
        <w:t>MSAC noted the applicant had proposed only NT-</w:t>
      </w:r>
      <w:proofErr w:type="spellStart"/>
      <w:r>
        <w:t>proBNP</w:t>
      </w:r>
      <w:proofErr w:type="spellEnd"/>
      <w:r>
        <w:t xml:space="preserve">, and not also BNP, </w:t>
      </w:r>
      <w:r w:rsidR="00870C2F">
        <w:t>in this application</w:t>
      </w:r>
      <w:r>
        <w:t xml:space="preserve">. </w:t>
      </w:r>
      <w:r w:rsidR="007B6AB0">
        <w:t xml:space="preserve">To align with both national and international guidelines and previous MSAC advice (for applications 1087 (part A) and </w:t>
      </w:r>
      <w:r w:rsidR="007B6AB0" w:rsidRPr="007A6B57">
        <w:t>1689.1</w:t>
      </w:r>
      <w:r w:rsidR="007B6AB0" w:rsidRPr="00703E0F">
        <w:rPr>
          <w:vertAlign w:val="superscript"/>
        </w:rPr>
        <w:footnoteReference w:id="4"/>
      </w:r>
      <w:r w:rsidR="007B6AB0">
        <w:t xml:space="preserve">), MSAC advised </w:t>
      </w:r>
      <w:r>
        <w:t xml:space="preserve">this </w:t>
      </w:r>
      <w:r w:rsidR="007B6AB0">
        <w:t>testing should include BNP assays in addition to the proposed NT-</w:t>
      </w:r>
      <w:proofErr w:type="spellStart"/>
      <w:r w:rsidR="007B6AB0">
        <w:t>proBNP</w:t>
      </w:r>
      <w:proofErr w:type="spellEnd"/>
      <w:r w:rsidR="007B6AB0">
        <w:t xml:space="preserve"> assays.</w:t>
      </w:r>
    </w:p>
    <w:p w14:paraId="32EAEA99" w14:textId="6F37CDED" w:rsidR="00433C05" w:rsidRDefault="00433C05" w:rsidP="00433C05">
      <w:r w:rsidRPr="0053762A">
        <w:t xml:space="preserve">MSAC noted the </w:t>
      </w:r>
      <w:r w:rsidR="00266355">
        <w:t xml:space="preserve">application had </w:t>
      </w:r>
      <w:r w:rsidRPr="0053762A">
        <w:t>original</w:t>
      </w:r>
      <w:r w:rsidR="00266355">
        <w:t>ly</w:t>
      </w:r>
      <w:r w:rsidRPr="0053762A">
        <w:t xml:space="preserve"> proposed one item to be restricted to cardiologists only</w:t>
      </w:r>
      <w:r w:rsidR="00C267B8">
        <w:t xml:space="preserve">, but also </w:t>
      </w:r>
      <w:r w:rsidR="00A540C2">
        <w:t xml:space="preserve">incorrectly </w:t>
      </w:r>
      <w:r w:rsidR="00C267B8">
        <w:t>describ</w:t>
      </w:r>
      <w:r w:rsidR="000B6848">
        <w:t>ed</w:t>
      </w:r>
      <w:r w:rsidR="00C267B8">
        <w:t xml:space="preserve"> </w:t>
      </w:r>
      <w:r w:rsidR="00FD0FB2">
        <w:t>cardiology</w:t>
      </w:r>
      <w:r w:rsidR="00C267B8">
        <w:t xml:space="preserve"> as being </w:t>
      </w:r>
      <w:r w:rsidR="00A540C2">
        <w:t>part of</w:t>
      </w:r>
      <w:r w:rsidR="00AC7431">
        <w:t xml:space="preserve"> </w:t>
      </w:r>
      <w:r w:rsidR="00C267B8">
        <w:t>primary care</w:t>
      </w:r>
      <w:r w:rsidRPr="0053762A">
        <w:t>. PASC had considered</w:t>
      </w:r>
      <w:r w:rsidR="00C267B8">
        <w:t xml:space="preserve"> that cardiologists were not </w:t>
      </w:r>
      <w:r w:rsidR="00FD0FB2">
        <w:t xml:space="preserve">regarded as </w:t>
      </w:r>
      <w:r w:rsidR="00C267B8">
        <w:t xml:space="preserve">primary care </w:t>
      </w:r>
      <w:r w:rsidR="00D0135E">
        <w:t xml:space="preserve">providers </w:t>
      </w:r>
      <w:r w:rsidR="00C267B8">
        <w:t>in Australia, and that</w:t>
      </w:r>
      <w:r w:rsidRPr="0053762A">
        <w:t xml:space="preserve"> the test </w:t>
      </w:r>
      <w:r w:rsidR="000B6848">
        <w:t>would</w:t>
      </w:r>
      <w:r w:rsidR="00D0135E">
        <w:t xml:space="preserve"> likely</w:t>
      </w:r>
      <w:r w:rsidR="000B6848" w:rsidRPr="0053762A">
        <w:t xml:space="preserve"> </w:t>
      </w:r>
      <w:r w:rsidRPr="0053762A">
        <w:t xml:space="preserve">be </w:t>
      </w:r>
      <w:r w:rsidR="00D0135E">
        <w:t xml:space="preserve">of more value </w:t>
      </w:r>
      <w:r w:rsidRPr="0053762A">
        <w:t>in primary care</w:t>
      </w:r>
      <w:r w:rsidR="009C1E1B">
        <w:t xml:space="preserve"> </w:t>
      </w:r>
      <w:r w:rsidR="00775342">
        <w:t xml:space="preserve">(such as </w:t>
      </w:r>
      <w:r w:rsidR="00FB24AB">
        <w:t xml:space="preserve">the </w:t>
      </w:r>
      <w:r w:rsidR="00775342">
        <w:t>general practitioner (GP)</w:t>
      </w:r>
      <w:r w:rsidR="00FB24AB">
        <w:t xml:space="preserve"> setting</w:t>
      </w:r>
      <w:r w:rsidR="00775342">
        <w:t xml:space="preserve">) </w:t>
      </w:r>
      <w:r w:rsidR="009C1E1B">
        <w:t>rather than</w:t>
      </w:r>
      <w:r w:rsidRPr="0053762A">
        <w:t xml:space="preserve"> </w:t>
      </w:r>
      <w:r w:rsidR="007E2AA2">
        <w:t xml:space="preserve">in </w:t>
      </w:r>
      <w:r w:rsidRPr="0053762A">
        <w:t>specialist settings</w:t>
      </w:r>
      <w:r>
        <w:t xml:space="preserve">. </w:t>
      </w:r>
      <w:r w:rsidR="007E2AA2">
        <w:t xml:space="preserve">MSAC noted </w:t>
      </w:r>
      <w:r>
        <w:t>PASC</w:t>
      </w:r>
      <w:r w:rsidR="007E2AA2">
        <w:t xml:space="preserve"> had</w:t>
      </w:r>
      <w:r>
        <w:t xml:space="preserve"> considered</w:t>
      </w:r>
      <w:r w:rsidRPr="0053762A">
        <w:t xml:space="preserve"> that the test was less likely to be cost-effective if requested by cardiologists</w:t>
      </w:r>
      <w:r>
        <w:t xml:space="preserve"> because</w:t>
      </w:r>
      <w:r w:rsidRPr="0053762A">
        <w:t xml:space="preserve"> it was more likely that cardiologists would still perform a</w:t>
      </w:r>
      <w:r w:rsidR="003373B7">
        <w:t>n</w:t>
      </w:r>
      <w:r w:rsidRPr="0053762A">
        <w:t xml:space="preserve"> echocardiogram even if the </w:t>
      </w:r>
      <w:r w:rsidR="00AB1EE6">
        <w:t xml:space="preserve">BNP or </w:t>
      </w:r>
      <w:r w:rsidRPr="0053762A">
        <w:t>NT-</w:t>
      </w:r>
      <w:proofErr w:type="spellStart"/>
      <w:r w:rsidRPr="0053762A">
        <w:t>proBNP</w:t>
      </w:r>
      <w:proofErr w:type="spellEnd"/>
      <w:r w:rsidRPr="0053762A">
        <w:t xml:space="preserve"> test ruled out heart failure. PASC </w:t>
      </w:r>
      <w:r w:rsidR="009418A8">
        <w:t xml:space="preserve">had therefore </w:t>
      </w:r>
      <w:r w:rsidR="00A91634">
        <w:t>advised</w:t>
      </w:r>
      <w:r w:rsidR="00A91634" w:rsidRPr="0053762A">
        <w:t xml:space="preserve"> </w:t>
      </w:r>
      <w:r w:rsidRPr="0053762A">
        <w:t>t</w:t>
      </w:r>
      <w:r>
        <w:t>hat t</w:t>
      </w:r>
      <w:r w:rsidRPr="0053762A">
        <w:t xml:space="preserve">he primary care and specialist populations </w:t>
      </w:r>
      <w:r w:rsidR="009418A8">
        <w:t xml:space="preserve">should </w:t>
      </w:r>
      <w:r w:rsidRPr="0053762A">
        <w:t xml:space="preserve">be </w:t>
      </w:r>
      <w:r w:rsidR="009418A8">
        <w:t>assessed separately</w:t>
      </w:r>
      <w:r w:rsidRPr="0053762A">
        <w:t>,</w:t>
      </w:r>
      <w:r w:rsidR="009418A8">
        <w:t xml:space="preserve"> and</w:t>
      </w:r>
      <w:r w:rsidRPr="0053762A">
        <w:t xml:space="preserve"> the PICO contained two separate PICO sets and item descriptors: one for the primary care setting in which NT-</w:t>
      </w:r>
      <w:proofErr w:type="spellStart"/>
      <w:r w:rsidRPr="0053762A">
        <w:t>proBNP</w:t>
      </w:r>
      <w:proofErr w:type="spellEnd"/>
      <w:r w:rsidRPr="0053762A">
        <w:t xml:space="preserve"> testing was proposed to triage access to echocardiography (MBS item AAAA), and another for the specialist setting in which NT-</w:t>
      </w:r>
      <w:proofErr w:type="spellStart"/>
      <w:r w:rsidRPr="0053762A">
        <w:t>proBNP</w:t>
      </w:r>
      <w:proofErr w:type="spellEnd"/>
      <w:r w:rsidRPr="0053762A">
        <w:t xml:space="preserve"> testing </w:t>
      </w:r>
      <w:r w:rsidR="009418A8">
        <w:t>would</w:t>
      </w:r>
      <w:r w:rsidRPr="0053762A">
        <w:t xml:space="preserve"> be used in addition to echocardiography (MBS item BBBB).</w:t>
      </w:r>
      <w:r w:rsidR="00934FFB">
        <w:t xml:space="preserve"> However</w:t>
      </w:r>
      <w:r w:rsidR="001C10A5">
        <w:t>,</w:t>
      </w:r>
      <w:r w:rsidR="00934FFB">
        <w:t xml:space="preserve"> </w:t>
      </w:r>
      <w:r w:rsidR="000C1ADF">
        <w:t xml:space="preserve">the ADAR did not present </w:t>
      </w:r>
      <w:r w:rsidR="001F4472">
        <w:t xml:space="preserve">evidence </w:t>
      </w:r>
      <w:r w:rsidR="00AD621F">
        <w:t xml:space="preserve">for </w:t>
      </w:r>
      <w:r w:rsidR="0040592D">
        <w:t>PICO set 2</w:t>
      </w:r>
      <w:r w:rsidR="001F4472">
        <w:t xml:space="preserve">, so ESC proposed the </w:t>
      </w:r>
      <w:r w:rsidR="00AD621F">
        <w:t>populations should</w:t>
      </w:r>
      <w:r w:rsidR="001F4472">
        <w:t xml:space="preserve"> be combined (MBS item CCCC)</w:t>
      </w:r>
      <w:r w:rsidR="00157BF4">
        <w:t>.</w:t>
      </w:r>
    </w:p>
    <w:p w14:paraId="7936C226" w14:textId="7FB147E2" w:rsidR="00433C05" w:rsidRDefault="00B56FA1" w:rsidP="00433C05">
      <w:r>
        <w:t>MSAC noted the NHFA</w:t>
      </w:r>
      <w:r w:rsidR="005A1BAB">
        <w:t>/</w:t>
      </w:r>
      <w:r>
        <w:t xml:space="preserve">CSANZ </w:t>
      </w:r>
      <w:r w:rsidR="006360D1">
        <w:t xml:space="preserve">guidelines </w:t>
      </w:r>
      <w:r w:rsidR="00433C05" w:rsidRPr="004A4DC7">
        <w:t>position</w:t>
      </w:r>
      <w:r w:rsidR="005A1BAB">
        <w:t xml:space="preserve"> BNP/NT-</w:t>
      </w:r>
      <w:proofErr w:type="spellStart"/>
      <w:r w:rsidR="005A1BAB">
        <w:t>proBNP</w:t>
      </w:r>
      <w:proofErr w:type="spellEnd"/>
      <w:r w:rsidR="005A1BAB">
        <w:t xml:space="preserve"> testing not</w:t>
      </w:r>
      <w:r w:rsidR="00433C05" w:rsidRPr="004A4DC7">
        <w:t xml:space="preserve"> purely as a triage test but as an option alongside direct referral to echocardiography, or in addition to echocardiography. When used </w:t>
      </w:r>
      <w:r w:rsidR="00433C05">
        <w:t>before</w:t>
      </w:r>
      <w:r w:rsidR="00433C05" w:rsidRPr="004A4DC7">
        <w:t xml:space="preserve"> echocardiography, </w:t>
      </w:r>
      <w:r w:rsidR="00D8101A">
        <w:t xml:space="preserve">MSAC noted </w:t>
      </w:r>
      <w:r w:rsidR="00433C05" w:rsidRPr="004A4DC7">
        <w:t>a rule-out threshold of 300 </w:t>
      </w:r>
      <w:proofErr w:type="spellStart"/>
      <w:r w:rsidR="00433C05" w:rsidRPr="004A4DC7">
        <w:t>pg</w:t>
      </w:r>
      <w:proofErr w:type="spellEnd"/>
      <w:r w:rsidR="00433C05" w:rsidRPr="004A4DC7">
        <w:t xml:space="preserve">/mL </w:t>
      </w:r>
      <w:r w:rsidR="008D09F6">
        <w:t>NT-</w:t>
      </w:r>
      <w:proofErr w:type="spellStart"/>
      <w:r w:rsidR="008D09F6">
        <w:t>proBNP</w:t>
      </w:r>
      <w:proofErr w:type="spellEnd"/>
      <w:r w:rsidR="008D09F6">
        <w:t xml:space="preserve"> </w:t>
      </w:r>
      <w:r w:rsidR="00433C05" w:rsidRPr="004A4DC7">
        <w:t xml:space="preserve">is a </w:t>
      </w:r>
      <w:r w:rsidR="00433C05">
        <w:t>“</w:t>
      </w:r>
      <w:r w:rsidR="00433C05" w:rsidRPr="004A4DC7">
        <w:t>pragmatic guide</w:t>
      </w:r>
      <w:r w:rsidR="00433C05">
        <w:t>”</w:t>
      </w:r>
      <w:r w:rsidR="00183B0A">
        <w:t xml:space="preserve"> and the current national recommendation</w:t>
      </w:r>
      <w:r w:rsidR="00433C05">
        <w:t>,</w:t>
      </w:r>
      <w:r w:rsidR="00433C05" w:rsidRPr="004A4DC7">
        <w:t xml:space="preserve"> </w:t>
      </w:r>
      <w:r w:rsidR="00183B0A">
        <w:t>although</w:t>
      </w:r>
      <w:r w:rsidR="00183B0A" w:rsidRPr="004A4DC7">
        <w:t xml:space="preserve"> </w:t>
      </w:r>
      <w:r w:rsidR="00433C05" w:rsidRPr="004A4DC7">
        <w:t>the NHFA/CSANZ guidelines acknowledg</w:t>
      </w:r>
      <w:r w:rsidR="00183B0A">
        <w:t>e</w:t>
      </w:r>
      <w:r w:rsidR="00433C05">
        <w:t xml:space="preserve"> there are </w:t>
      </w:r>
      <w:r w:rsidR="00183B0A">
        <w:t>different</w:t>
      </w:r>
      <w:r w:rsidR="00183B0A" w:rsidRPr="004A4DC7">
        <w:t xml:space="preserve"> </w:t>
      </w:r>
      <w:r w:rsidR="00433C05" w:rsidRPr="004A4DC7">
        <w:t>cut-offs in other</w:t>
      </w:r>
      <w:r w:rsidR="005B5586">
        <w:t xml:space="preserve"> international</w:t>
      </w:r>
      <w:r w:rsidR="00433C05" w:rsidRPr="004A4DC7">
        <w:t xml:space="preserve"> guidelines</w:t>
      </w:r>
      <w:r w:rsidR="00183B0A">
        <w:t xml:space="preserve"> depending on the balance </w:t>
      </w:r>
      <w:r w:rsidR="00A331FE">
        <w:t>sought</w:t>
      </w:r>
      <w:r w:rsidR="00183B0A">
        <w:t xml:space="preserve"> </w:t>
      </w:r>
      <w:r w:rsidR="00A331FE">
        <w:t>in the trade-off between over-diagnosis and under-diagnosis</w:t>
      </w:r>
      <w:r w:rsidR="00433C05" w:rsidRPr="004A4DC7">
        <w:t>. Additional age-based rule-in thresholds are also provided</w:t>
      </w:r>
      <w:r w:rsidR="005B5586">
        <w:t xml:space="preserve"> by the NHFA/CSANZ guidelines</w:t>
      </w:r>
      <w:r w:rsidR="00433C05" w:rsidRPr="004A4DC7">
        <w:t>.</w:t>
      </w:r>
    </w:p>
    <w:p w14:paraId="44C33273" w14:textId="124481FD" w:rsidR="00433C05" w:rsidRDefault="00606875" w:rsidP="00433C05">
      <w:r>
        <w:t>MSAC noted that consultation feedback was supportive of public funding for NT-</w:t>
      </w:r>
      <w:proofErr w:type="spellStart"/>
      <w:r>
        <w:t>proBNP</w:t>
      </w:r>
      <w:proofErr w:type="spellEnd"/>
      <w:r>
        <w:t xml:space="preserve"> to aid in the diagnosis of patients with suspected heart failure in the non-hospital setting. </w:t>
      </w:r>
      <w:r w:rsidR="00433C05">
        <w:t xml:space="preserve">MSAC agreed </w:t>
      </w:r>
      <w:r w:rsidR="00433C05">
        <w:lastRenderedPageBreak/>
        <w:t>with the applicant’s pre-MSAC response that, despite not being publicly reimbursed in the non-hospital setting, the strong recommendation for NT-</w:t>
      </w:r>
      <w:proofErr w:type="spellStart"/>
      <w:r w:rsidR="00433C05">
        <w:t>proBNP</w:t>
      </w:r>
      <w:proofErr w:type="spellEnd"/>
      <w:r w:rsidR="00433C05">
        <w:t xml:space="preserve"> in Australian guidelines </w:t>
      </w:r>
      <w:r w:rsidR="001101AD">
        <w:t xml:space="preserve">could </w:t>
      </w:r>
      <w:r w:rsidR="00433C05">
        <w:t>create a significant equity issue for people who cannot afford the test in the primary care setting. MSAC also agreed with feedback from the Heart Foundation that access to NT-</w:t>
      </w:r>
      <w:proofErr w:type="spellStart"/>
      <w:r w:rsidR="00433C05">
        <w:t>proBNP</w:t>
      </w:r>
      <w:proofErr w:type="spellEnd"/>
      <w:r w:rsidR="00433C05">
        <w:t xml:space="preserve"> would provide a significant health benefit for people who are disproportionately burdened by heart failure (such as those in rural and remote areas, and First Nations people), which is compounded by limited access to echocardiography. </w:t>
      </w:r>
    </w:p>
    <w:p w14:paraId="0FEE02F9" w14:textId="42E97CBD" w:rsidR="00433C05" w:rsidRDefault="00433C05" w:rsidP="00433C05">
      <w:r>
        <w:t xml:space="preserve">MSAC noted </w:t>
      </w:r>
      <w:r w:rsidR="00F34CA7">
        <w:t xml:space="preserve">that in </w:t>
      </w:r>
      <w:r>
        <w:t>the clinical management algorithm</w:t>
      </w:r>
      <w:r w:rsidR="00F34CA7">
        <w:t>,</w:t>
      </w:r>
      <w:r>
        <w:t xml:space="preserve"> NT-</w:t>
      </w:r>
      <w:proofErr w:type="spellStart"/>
      <w:r>
        <w:t>proBNP</w:t>
      </w:r>
      <w:proofErr w:type="spellEnd"/>
      <w:r>
        <w:t xml:space="preserve"> </w:t>
      </w:r>
      <w:r w:rsidR="00DF0CDD">
        <w:t>testing wa</w:t>
      </w:r>
      <w:r>
        <w:t xml:space="preserve">s proposed to occur after the initial clinical assessment </w:t>
      </w:r>
      <w:r w:rsidR="00E63A56">
        <w:t xml:space="preserve">and </w:t>
      </w:r>
      <w:r>
        <w:t xml:space="preserve">when there </w:t>
      </w:r>
      <w:r w:rsidR="004E68A5">
        <w:t>wa</w:t>
      </w:r>
      <w:r>
        <w:t xml:space="preserve">s an </w:t>
      </w:r>
      <w:proofErr w:type="gramStart"/>
      <w:r>
        <w:t>uncertain</w:t>
      </w:r>
      <w:proofErr w:type="gramEnd"/>
      <w:r>
        <w:t xml:space="preserve"> but suspected diagnosis of </w:t>
      </w:r>
      <w:r w:rsidR="004F1BCB">
        <w:t>HF</w:t>
      </w:r>
      <w:r>
        <w:t xml:space="preserve">. MSAC </w:t>
      </w:r>
      <w:r w:rsidR="00DF0CDD">
        <w:t>considered</w:t>
      </w:r>
      <w:r>
        <w:t xml:space="preserve"> this </w:t>
      </w:r>
      <w:r w:rsidR="00CB564F">
        <w:t xml:space="preserve">was </w:t>
      </w:r>
      <w:r w:rsidR="00F34CA7">
        <w:t xml:space="preserve">appropriate and </w:t>
      </w:r>
      <w:r w:rsidR="00106670">
        <w:t>in accordance</w:t>
      </w:r>
      <w:r w:rsidR="00CB564F">
        <w:t xml:space="preserve"> </w:t>
      </w:r>
      <w:r w:rsidR="00AA0FCB">
        <w:t>with</w:t>
      </w:r>
      <w:r w:rsidR="00CB564F">
        <w:t xml:space="preserve"> </w:t>
      </w:r>
      <w:r>
        <w:t>the NHFA/CSANZ guidelines. MSAC noted the comparator in the primary care setting was no NT-</w:t>
      </w:r>
      <w:proofErr w:type="spellStart"/>
      <w:r>
        <w:t>proBNP</w:t>
      </w:r>
      <w:proofErr w:type="spellEnd"/>
      <w:r>
        <w:t>, while the comparator in the specialist and consultant physician setting was echocardiography.</w:t>
      </w:r>
    </w:p>
    <w:p w14:paraId="38F4B445" w14:textId="5FCF9AE4" w:rsidR="00433C05" w:rsidRDefault="00433C05" w:rsidP="00433C05">
      <w:r>
        <w:t>MSAC noted that no evidence was presented in the applicant-developed assessment report (ADAR) for PICO set 2 (NT-</w:t>
      </w:r>
      <w:proofErr w:type="spellStart"/>
      <w:r>
        <w:t>proBNP</w:t>
      </w:r>
      <w:proofErr w:type="spellEnd"/>
      <w:r>
        <w:t xml:space="preserve"> as an additional test to echocardiography in the specialist </w:t>
      </w:r>
      <w:r w:rsidR="008470BF">
        <w:t xml:space="preserve">requestor </w:t>
      </w:r>
      <w:r>
        <w:t xml:space="preserve">setting). This included no evidence </w:t>
      </w:r>
      <w:r w:rsidR="0011447D">
        <w:t>being presented</w:t>
      </w:r>
      <w:r>
        <w:t xml:space="preserve"> </w:t>
      </w:r>
      <w:r w:rsidR="0011447D">
        <w:t>for</w:t>
      </w:r>
      <w:r w:rsidR="0011447D" w:rsidRPr="00A52735">
        <w:t xml:space="preserve"> </w:t>
      </w:r>
      <w:r w:rsidR="005A548B">
        <w:t xml:space="preserve">the use of </w:t>
      </w:r>
      <w:r w:rsidRPr="00A52735">
        <w:t>NT-</w:t>
      </w:r>
      <w:proofErr w:type="spellStart"/>
      <w:r w:rsidRPr="00A52735">
        <w:t>proBNP</w:t>
      </w:r>
      <w:proofErr w:type="spellEnd"/>
      <w:r w:rsidRPr="00A52735">
        <w:t xml:space="preserve"> as an additional test to echocardiography</w:t>
      </w:r>
      <w:r>
        <w:t>,</w:t>
      </w:r>
      <w:r w:rsidRPr="00A52735">
        <w:t xml:space="preserve"> </w:t>
      </w:r>
      <w:r>
        <w:t>which was</w:t>
      </w:r>
      <w:r w:rsidRPr="00A52735">
        <w:t xml:space="preserve"> advised by PASC</w:t>
      </w:r>
      <w:r>
        <w:t>.</w:t>
      </w:r>
      <w:r w:rsidRPr="00FF0BF9">
        <w:t xml:space="preserve"> </w:t>
      </w:r>
      <w:r>
        <w:t>MSAC considered that c</w:t>
      </w:r>
      <w:r w:rsidRPr="00A52735">
        <w:t>linical evidence that would have supported the use of the test in this setting and pathway could have included prognostic studies and diagnostic studies that specifically addressed the role of NT-</w:t>
      </w:r>
      <w:proofErr w:type="spellStart"/>
      <w:r w:rsidRPr="00A52735">
        <w:t>proBNP</w:t>
      </w:r>
      <w:proofErr w:type="spellEnd"/>
      <w:r w:rsidRPr="00A52735">
        <w:t xml:space="preserve"> in </w:t>
      </w:r>
      <w:proofErr w:type="spellStart"/>
      <w:r w:rsidR="00846092">
        <w:t>HFpEF</w:t>
      </w:r>
      <w:proofErr w:type="spellEnd"/>
      <w:r w:rsidRPr="00A52735">
        <w:t>.</w:t>
      </w:r>
    </w:p>
    <w:p w14:paraId="1EB47C2E" w14:textId="6FA73D9E" w:rsidR="00433C05" w:rsidRDefault="00433C05" w:rsidP="00433C05">
      <w:r>
        <w:t xml:space="preserve">MSAC considered that the </w:t>
      </w:r>
      <w:r w:rsidR="00E714C5">
        <w:t xml:space="preserve">effectiveness </w:t>
      </w:r>
      <w:r>
        <w:t xml:space="preserve">evidence </w:t>
      </w:r>
      <w:r w:rsidR="00000AEE">
        <w:t xml:space="preserve">presented </w:t>
      </w:r>
      <w:r>
        <w:t>for PICO set 1 (</w:t>
      </w:r>
      <w:r w:rsidR="005F384B">
        <w:t>BNP/</w:t>
      </w:r>
      <w:r>
        <w:t>NT-</w:t>
      </w:r>
      <w:proofErr w:type="spellStart"/>
      <w:r>
        <w:t>proBNP</w:t>
      </w:r>
      <w:proofErr w:type="spellEnd"/>
      <w:r>
        <w:t xml:space="preserve"> as a triage test to access echocardiography in the primary care setting) was of very poor quality. However, MSAC considered that without the sharing of linked datasets across the health system, it was unlikely that better</w:t>
      </w:r>
      <w:r w:rsidR="00AD0A15">
        <w:t xml:space="preserve"> </w:t>
      </w:r>
      <w:r>
        <w:t xml:space="preserve">quality evidence would be obtained </w:t>
      </w:r>
      <w:r w:rsidR="00AD0A15">
        <w:t>soon</w:t>
      </w:r>
      <w:r>
        <w:t xml:space="preserve">. MSAC noted that there were very few studies reporting on </w:t>
      </w:r>
      <w:r w:rsidR="00B07C31">
        <w:t>the value of BNP/NT-</w:t>
      </w:r>
      <w:proofErr w:type="spellStart"/>
      <w:r w:rsidR="00B07C31">
        <w:t>proBNP</w:t>
      </w:r>
      <w:proofErr w:type="spellEnd"/>
      <w:r w:rsidR="00B07C31">
        <w:t xml:space="preserve"> for determining </w:t>
      </w:r>
      <w:proofErr w:type="gramStart"/>
      <w:r>
        <w:t>prognos</w:t>
      </w:r>
      <w:r w:rsidR="00B07C31">
        <w:t>is</w:t>
      </w:r>
      <w:r>
        <w:t>, but</w:t>
      </w:r>
      <w:proofErr w:type="gramEnd"/>
      <w:r>
        <w:t xml:space="preserve"> considered this reasonable as </w:t>
      </w:r>
      <w:r w:rsidR="00BD5AF6">
        <w:t>BNP/</w:t>
      </w:r>
      <w:r>
        <w:t>NT-</w:t>
      </w:r>
      <w:proofErr w:type="spellStart"/>
      <w:r>
        <w:t>proBNP</w:t>
      </w:r>
      <w:proofErr w:type="spellEnd"/>
      <w:r w:rsidR="00BD5AF6">
        <w:t xml:space="preserve"> testing</w:t>
      </w:r>
      <w:r>
        <w:t xml:space="preserve"> is not </w:t>
      </w:r>
      <w:r w:rsidR="008E581C">
        <w:t xml:space="preserve">generally </w:t>
      </w:r>
      <w:r>
        <w:t>used as a prognostic tool.</w:t>
      </w:r>
    </w:p>
    <w:p w14:paraId="0F6137F9" w14:textId="5CF28336" w:rsidR="00437771" w:rsidRDefault="00437771" w:rsidP="00433C05">
      <w:r>
        <w:t>MSAC noted that three of the included studies (</w:t>
      </w:r>
      <w:proofErr w:type="spellStart"/>
      <w:r>
        <w:t>Burri</w:t>
      </w:r>
      <w:proofErr w:type="spellEnd"/>
      <w:r>
        <w:t xml:space="preserve"> et al 2012</w:t>
      </w:r>
      <w:r>
        <w:rPr>
          <w:rStyle w:val="FootnoteReference"/>
        </w:rPr>
        <w:footnoteReference w:id="5"/>
      </w:r>
      <w:r>
        <w:t xml:space="preserve">, </w:t>
      </w:r>
      <w:proofErr w:type="spellStart"/>
      <w:r>
        <w:t>Verdu</w:t>
      </w:r>
      <w:proofErr w:type="spellEnd"/>
      <w:r>
        <w:t xml:space="preserve"> et al 2012</w:t>
      </w:r>
      <w:r>
        <w:rPr>
          <w:rStyle w:val="FootnoteReference"/>
        </w:rPr>
        <w:footnoteReference w:id="6"/>
      </w:r>
      <w:r>
        <w:t>, Taylor et al 2017</w:t>
      </w:r>
      <w:r>
        <w:rPr>
          <w:rStyle w:val="FootnoteReference"/>
        </w:rPr>
        <w:footnoteReference w:id="7"/>
      </w:r>
      <w:r>
        <w:t>) examined point-of-care BNP or NT-</w:t>
      </w:r>
      <w:proofErr w:type="spellStart"/>
      <w:r>
        <w:t>proBNP</w:t>
      </w:r>
      <w:proofErr w:type="spellEnd"/>
      <w:r>
        <w:t xml:space="preserve"> testing (</w:t>
      </w:r>
      <w:proofErr w:type="spellStart"/>
      <w:r>
        <w:t>PoCT</w:t>
      </w:r>
      <w:proofErr w:type="spellEnd"/>
      <w:r>
        <w:t>). MSAC considered that BNP/NT-</w:t>
      </w:r>
      <w:proofErr w:type="spellStart"/>
      <w:r>
        <w:t>proBNP</w:t>
      </w:r>
      <w:proofErr w:type="spellEnd"/>
      <w:r>
        <w:t xml:space="preserve"> testing in the non-hospital setting should appropriately be performed in a laboratory, and noted policy advice </w:t>
      </w:r>
      <w:r w:rsidR="00DD5F85">
        <w:t xml:space="preserve">that legislation </w:t>
      </w:r>
      <w:r w:rsidR="008D7AED">
        <w:t>would restrict this testing to that provided in a laboratory (</w:t>
      </w:r>
      <w:proofErr w:type="spellStart"/>
      <w:r w:rsidR="008D7AED">
        <w:t>ie</w:t>
      </w:r>
      <w:proofErr w:type="spellEnd"/>
      <w:r w:rsidR="008D7AED">
        <w:t xml:space="preserve">. excluding </w:t>
      </w:r>
      <w:proofErr w:type="spellStart"/>
      <w:r w:rsidR="008D7AED">
        <w:t>PoCT</w:t>
      </w:r>
      <w:proofErr w:type="spellEnd"/>
      <w:r w:rsidR="008D7AED">
        <w:t>) by default</w:t>
      </w:r>
      <w:r>
        <w:t xml:space="preserve">, therefore MSAC considered the evidence from </w:t>
      </w:r>
      <w:proofErr w:type="spellStart"/>
      <w:r>
        <w:t>PoCT</w:t>
      </w:r>
      <w:proofErr w:type="spellEnd"/>
      <w:r>
        <w:t xml:space="preserve"> studies was not relevant. </w:t>
      </w:r>
      <w:r w:rsidR="00AC7CF7">
        <w:t xml:space="preserve">MSAC therefore also advised that it was not necessary to specify </w:t>
      </w:r>
      <w:r w:rsidR="000B2E95">
        <w:t>in the item descriptor that this was for laboratory</w:t>
      </w:r>
      <w:r w:rsidR="00346803">
        <w:t>-based testing only</w:t>
      </w:r>
      <w:r w:rsidR="000B2E95">
        <w:t>.</w:t>
      </w:r>
    </w:p>
    <w:p w14:paraId="0D0CC4A2" w14:textId="5EA09651" w:rsidR="00433C05" w:rsidRPr="00CE0CB3" w:rsidRDefault="00433C05" w:rsidP="00433C05">
      <w:r>
        <w:t xml:space="preserve">MSAC noted that the ADAR did not address the comparative safety of the test. MSAC considered that, although the test is a standard venepuncture blood test that is unlikely to cause direct harm to the patient, false positive or false negative test results could consequently cause harm, which </w:t>
      </w:r>
      <w:r w:rsidR="00FA1CD4">
        <w:t>were</w:t>
      </w:r>
      <w:r>
        <w:t xml:space="preserve"> not addressed in the ADAR. However, MSAC recalled that in its consideration of </w:t>
      </w:r>
      <w:r w:rsidR="0047148B" w:rsidRPr="007A6B57">
        <w:t>application 1087</w:t>
      </w:r>
      <w:r>
        <w:t xml:space="preserve"> in 2007, it had accepted that “</w:t>
      </w:r>
      <w:r w:rsidRPr="007A6B57">
        <w:rPr>
          <w:i/>
          <w:iCs/>
        </w:rPr>
        <w:t>as the population of interest in the non-hospital setting is not acutely ill, delayed treatment associated with (the very low likelihood of) a false negative test result is unlikely to be harmful</w:t>
      </w:r>
      <w:r w:rsidRPr="00030654">
        <w:t>” (</w:t>
      </w:r>
      <w:r>
        <w:t>p2</w:t>
      </w:r>
      <w:r w:rsidR="001E37AD">
        <w:t xml:space="preserve"> </w:t>
      </w:r>
      <w:r w:rsidR="00E209C9">
        <w:t xml:space="preserve">part B </w:t>
      </w:r>
      <w:r w:rsidR="00966C6B">
        <w:t xml:space="preserve">May 2007 </w:t>
      </w:r>
      <w:r w:rsidR="001E37AD">
        <w:t>MSAC 1087 PSD</w:t>
      </w:r>
      <w:r>
        <w:t>), and had advised that BNP</w:t>
      </w:r>
      <w:r w:rsidR="007E746D">
        <w:t>/</w:t>
      </w:r>
      <w:r>
        <w:t>NT-</w:t>
      </w:r>
      <w:proofErr w:type="spellStart"/>
      <w:r>
        <w:t>proBNP</w:t>
      </w:r>
      <w:proofErr w:type="spellEnd"/>
      <w:r>
        <w:t xml:space="preserve"> testing for the diagnosis of heart failure in patients presenting with </w:t>
      </w:r>
      <w:r>
        <w:lastRenderedPageBreak/>
        <w:t xml:space="preserve">dyspnoea in a non-hospital setting was comparatively safe. </w:t>
      </w:r>
      <w:r w:rsidR="004E2353">
        <w:t>In line with its</w:t>
      </w:r>
      <w:r>
        <w:t xml:space="preserve"> previous advice, MSAC </w:t>
      </w:r>
      <w:r w:rsidR="004E2353">
        <w:t xml:space="preserve">advised </w:t>
      </w:r>
      <w:r>
        <w:t>the comparative safety of BNP</w:t>
      </w:r>
      <w:r w:rsidR="007E746D">
        <w:t>/</w:t>
      </w:r>
      <w:r>
        <w:t>NT-</w:t>
      </w:r>
      <w:proofErr w:type="spellStart"/>
      <w:r>
        <w:t>proBNP</w:t>
      </w:r>
      <w:proofErr w:type="spellEnd"/>
      <w:r>
        <w:t xml:space="preserve"> testing was likely non-inferior.</w:t>
      </w:r>
    </w:p>
    <w:p w14:paraId="6BB1707E" w14:textId="0A7953C2" w:rsidR="005376B8" w:rsidRDefault="00433C05" w:rsidP="00433C05">
      <w:r>
        <w:t xml:space="preserve">MSAC </w:t>
      </w:r>
      <w:r w:rsidR="00BD5AF6">
        <w:t xml:space="preserve">considered </w:t>
      </w:r>
      <w:r>
        <w:t>that</w:t>
      </w:r>
      <w:r w:rsidRPr="00A52735">
        <w:t xml:space="preserve"> the evidence supported a clinical claim of superior effectiveness in terms of test accuracy</w:t>
      </w:r>
      <w:r w:rsidR="005376B8">
        <w:t>.</w:t>
      </w:r>
      <w:r w:rsidRPr="00A52735">
        <w:t xml:space="preserve"> </w:t>
      </w:r>
      <w:r w:rsidR="005376B8">
        <w:t xml:space="preserve">MSAC noted that the Danish </w:t>
      </w:r>
      <w:r w:rsidR="005376B8" w:rsidDel="00716376">
        <w:t>pragmatic cluster</w:t>
      </w:r>
      <w:r w:rsidR="005376B8">
        <w:t>-</w:t>
      </w:r>
      <w:r w:rsidR="005376B8" w:rsidDel="00716376">
        <w:t>RCT</w:t>
      </w:r>
      <w:r w:rsidR="005376B8">
        <w:t xml:space="preserve"> presented did not appear to show benefit in terms of HF diagnosis</w:t>
      </w:r>
      <w:r w:rsidR="005376B8">
        <w:rPr>
          <w:rStyle w:val="FootnoteReference"/>
        </w:rPr>
        <w:footnoteReference w:id="8"/>
      </w:r>
      <w:r w:rsidR="005376B8">
        <w:t xml:space="preserve">, which MSAC considered was a result </w:t>
      </w:r>
      <w:r w:rsidR="00E007DF">
        <w:t xml:space="preserve">that </w:t>
      </w:r>
      <w:r w:rsidR="005376B8">
        <w:t>lack</w:t>
      </w:r>
      <w:r w:rsidR="00E007DF">
        <w:t>ed</w:t>
      </w:r>
      <w:r w:rsidR="005376B8">
        <w:t xml:space="preserve"> face validity </w:t>
      </w:r>
      <w:r w:rsidR="00E007DF">
        <w:t xml:space="preserve">and </w:t>
      </w:r>
      <w:r w:rsidR="005376B8">
        <w:t>could not be relied upon for decision-making.</w:t>
      </w:r>
      <w:r w:rsidR="00D67814">
        <w:t xml:space="preserve"> MSAC considered the main evidence for diagnostic accuracy was therefore </w:t>
      </w:r>
      <w:proofErr w:type="spellStart"/>
      <w:r w:rsidR="00D67814">
        <w:t>Zaphiriou</w:t>
      </w:r>
      <w:proofErr w:type="spellEnd"/>
      <w:r w:rsidR="00D67814">
        <w:t xml:space="preserve"> et al. 2005</w:t>
      </w:r>
      <w:r w:rsidR="00D67814">
        <w:rPr>
          <w:rStyle w:val="FootnoteReference"/>
        </w:rPr>
        <w:footnoteReference w:id="9"/>
      </w:r>
      <w:r w:rsidR="00B366DC">
        <w:t xml:space="preserve">, which reported </w:t>
      </w:r>
      <w:r w:rsidR="003561E2">
        <w:t xml:space="preserve">consistently high </w:t>
      </w:r>
      <w:r w:rsidR="003B1A60">
        <w:t xml:space="preserve">sensitivity </w:t>
      </w:r>
      <w:r w:rsidR="00AE4A16">
        <w:t>but lower</w:t>
      </w:r>
      <w:r w:rsidR="003B1A60">
        <w:t xml:space="preserve"> specificity across a range of thresholds.</w:t>
      </w:r>
    </w:p>
    <w:p w14:paraId="4712C4C3" w14:textId="72A3BE3E" w:rsidR="00425F7B" w:rsidRDefault="00425F7B" w:rsidP="00425F7B">
      <w:r>
        <w:t xml:space="preserve">MSAC </w:t>
      </w:r>
      <w:r w:rsidR="00497EDA">
        <w:t>considered</w:t>
      </w:r>
      <w:r>
        <w:t xml:space="preserve"> that</w:t>
      </w:r>
      <w:r w:rsidR="00C60C2E">
        <w:t xml:space="preserve"> BNP and NT-</w:t>
      </w:r>
      <w:proofErr w:type="spellStart"/>
      <w:r w:rsidR="00C60C2E">
        <w:t>proBNP</w:t>
      </w:r>
      <w:proofErr w:type="spellEnd"/>
      <w:r w:rsidR="00C60C2E">
        <w:t xml:space="preserve"> are not perfect biomarkers for HF, and</w:t>
      </w:r>
      <w:r>
        <w:t xml:space="preserve"> there is the potential for</w:t>
      </w:r>
      <w:r w:rsidR="003E06F6">
        <w:t xml:space="preserve"> a</w:t>
      </w:r>
      <w:r>
        <w:t xml:space="preserve"> false </w:t>
      </w:r>
      <w:r w:rsidR="003E06F6">
        <w:t>negative result</w:t>
      </w:r>
      <w:r w:rsidR="00BF6CF0">
        <w:t xml:space="preserve"> (i.e. falsely ruling out HF)</w:t>
      </w:r>
      <w:r>
        <w:t xml:space="preserve"> when using </w:t>
      </w:r>
      <w:r w:rsidR="00C60C2E">
        <w:t>this</w:t>
      </w:r>
      <w:r>
        <w:t xml:space="preserve"> testing to detect </w:t>
      </w:r>
      <w:proofErr w:type="spellStart"/>
      <w:r>
        <w:t>HFpEF</w:t>
      </w:r>
      <w:proofErr w:type="spellEnd"/>
      <w:r w:rsidR="003E06F6">
        <w:t xml:space="preserve">, because </w:t>
      </w:r>
      <w:r w:rsidR="00A844EE">
        <w:t>20-35</w:t>
      </w:r>
      <w:r>
        <w:t xml:space="preserve">% of </w:t>
      </w:r>
      <w:r w:rsidR="00271380">
        <w:t xml:space="preserve">patients with </w:t>
      </w:r>
      <w:proofErr w:type="spellStart"/>
      <w:r>
        <w:t>HF</w:t>
      </w:r>
      <w:r w:rsidR="00271380">
        <w:t>pEF</w:t>
      </w:r>
      <w:proofErr w:type="spellEnd"/>
      <w:r>
        <w:t xml:space="preserve"> (which account for more than 50% of HF patients in the community) have low BNP</w:t>
      </w:r>
      <w:r w:rsidR="00C60C2E">
        <w:t>/NT-</w:t>
      </w:r>
      <w:proofErr w:type="spellStart"/>
      <w:r w:rsidR="00C60C2E">
        <w:t>proBNP</w:t>
      </w:r>
      <w:proofErr w:type="spellEnd"/>
      <w:r>
        <w:t xml:space="preserve"> levels despite evidence of increased pulmonary capillary wedge pressure</w:t>
      </w:r>
      <w:r>
        <w:rPr>
          <w:rStyle w:val="FootnoteReference"/>
        </w:rPr>
        <w:footnoteReference w:id="10"/>
      </w:r>
      <w:r>
        <w:t>. This can be due to genetics, obesity and insulin resistance, lack of increased wall stress, increased androgens, and being of African descent.</w:t>
      </w:r>
    </w:p>
    <w:p w14:paraId="1F559856" w14:textId="504DD4A1" w:rsidR="00433C05" w:rsidRDefault="00BC0290" w:rsidP="00433C05">
      <w:r>
        <w:t>While the evidence supported improved test accuracy</w:t>
      </w:r>
      <w:r w:rsidR="00853A67">
        <w:t>, MSAC c</w:t>
      </w:r>
      <w:r>
        <w:t>onsidered the evidence</w:t>
      </w:r>
      <w:r w:rsidR="00433C05" w:rsidRPr="00A52735">
        <w:t xml:space="preserve"> </w:t>
      </w:r>
      <w:r w:rsidR="00040FD4">
        <w:t xml:space="preserve">from the literature </w:t>
      </w:r>
      <w:r w:rsidR="00433C05" w:rsidRPr="00A52735">
        <w:t xml:space="preserve">did not show that testing would improve health outcomes, </w:t>
      </w:r>
      <w:r w:rsidR="004525F6">
        <w:t>and noted</w:t>
      </w:r>
      <w:r w:rsidR="004525F6" w:rsidRPr="00A52735">
        <w:t xml:space="preserve"> </w:t>
      </w:r>
      <w:r w:rsidR="00433C05" w:rsidRPr="00A52735">
        <w:t xml:space="preserve">the evidence base for </w:t>
      </w:r>
      <w:r w:rsidR="004525F6">
        <w:t xml:space="preserve">health </w:t>
      </w:r>
      <w:r w:rsidR="00433C05" w:rsidRPr="00A52735">
        <w:t xml:space="preserve">outcomes was small and of low certainty. </w:t>
      </w:r>
      <w:r w:rsidR="00D35FC2">
        <w:t xml:space="preserve">The evidence </w:t>
      </w:r>
      <w:r w:rsidR="00433C05" w:rsidRPr="00A52735">
        <w:t xml:space="preserve">suggested improved health outcomes were more likely in patients correctly excluded from heart failure than those </w:t>
      </w:r>
      <w:r w:rsidR="004C779D">
        <w:t xml:space="preserve">diagnosed </w:t>
      </w:r>
      <w:r w:rsidR="00433C05" w:rsidRPr="00A52735">
        <w:t xml:space="preserve">with </w:t>
      </w:r>
      <w:r w:rsidR="00433C05">
        <w:t>heart failure</w:t>
      </w:r>
      <w:r w:rsidR="00433C05" w:rsidRPr="00A52735">
        <w:t xml:space="preserve">, which aligned with MSAC’s advice </w:t>
      </w:r>
      <w:r w:rsidR="00433C05">
        <w:t>for</w:t>
      </w:r>
      <w:r w:rsidR="00433C05" w:rsidRPr="00A52735">
        <w:t xml:space="preserve"> application</w:t>
      </w:r>
      <w:r w:rsidR="00433C05">
        <w:t> </w:t>
      </w:r>
      <w:r w:rsidR="00433C05" w:rsidRPr="00A52735">
        <w:t>1087</w:t>
      </w:r>
      <w:r w:rsidR="00D35FC2">
        <w:t xml:space="preserve"> but </w:t>
      </w:r>
      <w:r w:rsidR="00433C05" w:rsidRPr="00A52735">
        <w:t>was not modelled in the economic analyses.</w:t>
      </w:r>
      <w:r w:rsidR="00D35FC2">
        <w:t xml:space="preserve"> </w:t>
      </w:r>
      <w:r w:rsidR="00C43287">
        <w:t>NT-</w:t>
      </w:r>
      <w:proofErr w:type="spellStart"/>
      <w:r w:rsidR="00C43287">
        <w:t>pro</w:t>
      </w:r>
      <w:r w:rsidR="00433C05">
        <w:t>BNP</w:t>
      </w:r>
      <w:proofErr w:type="spellEnd"/>
      <w:r w:rsidR="00433C05">
        <w:t xml:space="preserve"> testing also appeared to have little effect on the downstream utilisation of echocardiography</w:t>
      </w:r>
      <w:r w:rsidR="00FD132C">
        <w:t>.</w:t>
      </w:r>
      <w:r w:rsidR="00947FD9">
        <w:t xml:space="preserve"> </w:t>
      </w:r>
      <w:r w:rsidR="0016642F">
        <w:t xml:space="preserve">However, MSAC considered that </w:t>
      </w:r>
      <w:r w:rsidR="00641EEF">
        <w:t>BNP/NT-</w:t>
      </w:r>
      <w:proofErr w:type="spellStart"/>
      <w:r w:rsidR="00641EEF">
        <w:t>proBNP</w:t>
      </w:r>
      <w:proofErr w:type="spellEnd"/>
      <w:r w:rsidR="00641EEF">
        <w:t xml:space="preserve"> testing is widely recommended in Australian and international </w:t>
      </w:r>
      <w:proofErr w:type="gramStart"/>
      <w:r w:rsidR="00641EEF">
        <w:t>guidelines, and</w:t>
      </w:r>
      <w:proofErr w:type="gramEnd"/>
      <w:r w:rsidR="00641EEF">
        <w:t xml:space="preserve"> is being increasingly used</w:t>
      </w:r>
      <w:r w:rsidR="002534F2" w:rsidRPr="002534F2">
        <w:t xml:space="preserve"> </w:t>
      </w:r>
      <w:r w:rsidR="002534F2">
        <w:t>as a diagnostic tool for patients with suspected heart failure</w:t>
      </w:r>
      <w:r w:rsidR="00641EEF">
        <w:t xml:space="preserve">. MSAC considered that this testing has a </w:t>
      </w:r>
      <w:r w:rsidR="00C773DB">
        <w:t>well-established</w:t>
      </w:r>
      <w:r w:rsidR="00641EEF">
        <w:t xml:space="preserve"> role as a triage test before echocardiography</w:t>
      </w:r>
      <w:r w:rsidR="0043776C">
        <w:t xml:space="preserve">, and that despite the </w:t>
      </w:r>
      <w:r w:rsidR="0063537D">
        <w:t xml:space="preserve">substantial limitations of the published </w:t>
      </w:r>
      <w:r w:rsidR="00302354">
        <w:t>evidence, BNP/NT-</w:t>
      </w:r>
      <w:proofErr w:type="spellStart"/>
      <w:r w:rsidR="00302354">
        <w:t>proBNP</w:t>
      </w:r>
      <w:proofErr w:type="spellEnd"/>
      <w:r w:rsidR="00302354">
        <w:t xml:space="preserve"> testing </w:t>
      </w:r>
      <w:r w:rsidR="00302354">
        <w:rPr>
          <w:rFonts w:cs="Calibri"/>
        </w:rPr>
        <w:t>was likely to have superior effectiveness as a triage test for echocardiography because it is widely recommended for this purpose in clinical practice guidelines in Australia and internationally.</w:t>
      </w:r>
    </w:p>
    <w:p w14:paraId="38E86999" w14:textId="6844CAA0" w:rsidR="007D04A2" w:rsidRDefault="007D04A2" w:rsidP="00D307EF">
      <w:r>
        <w:t xml:space="preserve">MSAC noted the application was predicated on the assertion that </w:t>
      </w:r>
      <w:r w:rsidR="00AF1393">
        <w:t>NT-</w:t>
      </w:r>
      <w:proofErr w:type="spellStart"/>
      <w:r w:rsidR="00AF1393">
        <w:t>proBNP</w:t>
      </w:r>
      <w:proofErr w:type="spellEnd"/>
      <w:r w:rsidR="00AF1393">
        <w:t xml:space="preserve"> testing would be able to rule out HF in some patients, allowing them to avoid echocardiography. </w:t>
      </w:r>
      <w:r>
        <w:t>MSAC noted that th</w:t>
      </w:r>
      <w:r w:rsidR="004E2353">
        <w:t>e assumption of 100% echocardiography uptake in the absence of BNP/NT-</w:t>
      </w:r>
      <w:proofErr w:type="spellStart"/>
      <w:r w:rsidR="004E2353">
        <w:t>proBNP</w:t>
      </w:r>
      <w:proofErr w:type="spellEnd"/>
      <w:r w:rsidR="004E2353">
        <w:t xml:space="preserve"> testing </w:t>
      </w:r>
      <w:r>
        <w:t xml:space="preserve">aligned with guidelines from the National Institute for Health and Care Excellence (NICE), but PASC and ESC were concerned that </w:t>
      </w:r>
      <w:r w:rsidR="00663CC5">
        <w:t>assuming perfect uptake</w:t>
      </w:r>
      <w:r>
        <w:t xml:space="preserve"> </w:t>
      </w:r>
      <w:r w:rsidR="004E2353">
        <w:t>did not align with</w:t>
      </w:r>
      <w:r>
        <w:t xml:space="preserve"> real-world evidence</w:t>
      </w:r>
      <w:r w:rsidR="00E2613A">
        <w:t>.</w:t>
      </w:r>
      <w:r w:rsidR="004E2353">
        <w:t xml:space="preserve"> </w:t>
      </w:r>
      <w:r w:rsidR="0097237F">
        <w:t xml:space="preserve">MSAC had previously </w:t>
      </w:r>
      <w:r w:rsidR="00783574">
        <w:t xml:space="preserve">reviewed evidence </w:t>
      </w:r>
      <w:r w:rsidR="005A794E">
        <w:t>that</w:t>
      </w:r>
      <w:r w:rsidR="00783574">
        <w:t xml:space="preserve"> </w:t>
      </w:r>
      <w:r w:rsidR="009A3451">
        <w:t>stated</w:t>
      </w:r>
      <w:r>
        <w:t xml:space="preserve"> the </w:t>
      </w:r>
      <w:r w:rsidR="00B84210">
        <w:t>echocardiography uptake</w:t>
      </w:r>
      <w:r>
        <w:t xml:space="preserve"> was more likely to be 3.8</w:t>
      </w:r>
      <w:r w:rsidR="00615BC0">
        <w:t>-</w:t>
      </w:r>
      <w:r>
        <w:t>17.7%</w:t>
      </w:r>
      <w:r w:rsidR="00B84210">
        <w:t xml:space="preserve"> in the comparator arm</w:t>
      </w:r>
      <w:r>
        <w:t xml:space="preserve">. In </w:t>
      </w:r>
      <w:r w:rsidR="00615BC0">
        <w:t>its</w:t>
      </w:r>
      <w:r>
        <w:t xml:space="preserve"> pre-ESC </w:t>
      </w:r>
      <w:proofErr w:type="gramStart"/>
      <w:r>
        <w:t>response</w:t>
      </w:r>
      <w:proofErr w:type="gramEnd"/>
      <w:r>
        <w:t xml:space="preserve"> the applicant </w:t>
      </w:r>
      <w:r w:rsidR="00271258">
        <w:t>revised</w:t>
      </w:r>
      <w:r>
        <w:t xml:space="preserve"> the </w:t>
      </w:r>
      <w:r w:rsidR="0097237F">
        <w:t>assumed echocardiography uptake</w:t>
      </w:r>
      <w:r w:rsidR="00D573AC">
        <w:t xml:space="preserve"> from 100% to 64%</w:t>
      </w:r>
      <w:r>
        <w:t xml:space="preserve">, </w:t>
      </w:r>
      <w:r w:rsidR="00D573AC">
        <w:t>citing</w:t>
      </w:r>
      <w:r>
        <w:t xml:space="preserve"> </w:t>
      </w:r>
      <w:r w:rsidR="007A6ED2">
        <w:t xml:space="preserve">real-world evidence from </w:t>
      </w:r>
      <w:r w:rsidR="00631E1C">
        <w:t>Krum et al. 2001</w:t>
      </w:r>
      <w:r w:rsidR="00631E1C">
        <w:rPr>
          <w:rStyle w:val="FootnoteReference"/>
        </w:rPr>
        <w:footnoteReference w:id="11"/>
      </w:r>
      <w:r>
        <w:t xml:space="preserve"> </w:t>
      </w:r>
      <w:r w:rsidR="007A6ED2">
        <w:t>show</w:t>
      </w:r>
      <w:r w:rsidR="00D470BD">
        <w:t>ing</w:t>
      </w:r>
      <w:r>
        <w:t xml:space="preserve"> </w:t>
      </w:r>
      <w:r w:rsidR="00631E1C">
        <w:t>&gt;</w:t>
      </w:r>
      <w:r>
        <w:t>64% of people with suspected HF would be referred for echocardiography</w:t>
      </w:r>
      <w:r w:rsidR="00D470BD">
        <w:t>.</w:t>
      </w:r>
      <w:r w:rsidR="00E24C38">
        <w:t xml:space="preserve"> </w:t>
      </w:r>
      <w:proofErr w:type="gramStart"/>
      <w:r w:rsidR="00D470BD">
        <w:t>H</w:t>
      </w:r>
      <w:r w:rsidR="00E24C38">
        <w:t>owever</w:t>
      </w:r>
      <w:proofErr w:type="gramEnd"/>
      <w:r w:rsidR="00631E1C">
        <w:t xml:space="preserve"> MSAC considered</w:t>
      </w:r>
      <w:r>
        <w:t xml:space="preserve"> this was an incorrect interpretation and </w:t>
      </w:r>
      <w:r w:rsidR="00631E1C">
        <w:t xml:space="preserve">Krum et al. had </w:t>
      </w:r>
      <w:r w:rsidR="00E24C38">
        <w:t xml:space="preserve">in fact </w:t>
      </w:r>
      <w:r w:rsidR="00631E1C">
        <w:t>reported</w:t>
      </w:r>
      <w:r w:rsidR="001B6967">
        <w:t xml:space="preserve"> echocardiography</w:t>
      </w:r>
      <w:r>
        <w:t xml:space="preserve"> utilisation was 17.7% </w:t>
      </w:r>
      <w:r w:rsidR="001B6967">
        <w:t xml:space="preserve">amongst </w:t>
      </w:r>
      <w:r w:rsidR="007A6ED2">
        <w:t xml:space="preserve">the proposed population of </w:t>
      </w:r>
      <w:r w:rsidR="001B6967">
        <w:t>patients with</w:t>
      </w:r>
      <w:r>
        <w:t xml:space="preserve"> suspected HF</w:t>
      </w:r>
      <w:r w:rsidR="00E17E71">
        <w:t xml:space="preserve">, as per its previous advice on </w:t>
      </w:r>
      <w:r w:rsidR="006D3DC6">
        <w:t xml:space="preserve">the results of </w:t>
      </w:r>
      <w:r w:rsidR="00E17E71">
        <w:t xml:space="preserve">this study </w:t>
      </w:r>
      <w:r w:rsidR="00E17E71">
        <w:lastRenderedPageBreak/>
        <w:t>under application 1087</w:t>
      </w:r>
      <w:r>
        <w:t xml:space="preserve">. </w:t>
      </w:r>
      <w:r w:rsidR="00150C16">
        <w:t>However,</w:t>
      </w:r>
      <w:r w:rsidR="009E3A34">
        <w:t xml:space="preserve"> MSAC considered the results </w:t>
      </w:r>
      <w:r w:rsidR="00150C16">
        <w:t>from</w:t>
      </w:r>
      <w:r w:rsidR="009E3A34">
        <w:t xml:space="preserve"> Krum et al. were</w:t>
      </w:r>
      <w:r w:rsidR="00D470BD">
        <w:t xml:space="preserve"> now</w:t>
      </w:r>
      <w:r w:rsidR="009E3A34">
        <w:t xml:space="preserve"> </w:t>
      </w:r>
      <w:r w:rsidR="005952DA">
        <w:t>out of date and</w:t>
      </w:r>
      <w:r w:rsidR="00E17E71">
        <w:t xml:space="preserve"> no longer relevant as clinical practice has changed over time.</w:t>
      </w:r>
      <w:r>
        <w:t xml:space="preserve"> MSAC noted that</w:t>
      </w:r>
      <w:r w:rsidR="00150C16">
        <w:t xml:space="preserve"> current</w:t>
      </w:r>
      <w:r>
        <w:t xml:space="preserve"> clinical practice guidelines recommend that echocardiography is performed if HF is uncertain but suspected and </w:t>
      </w:r>
      <w:r w:rsidR="007605F8">
        <w:t>BNP/</w:t>
      </w:r>
      <w:r>
        <w:t>NT-</w:t>
      </w:r>
      <w:proofErr w:type="spellStart"/>
      <w:r>
        <w:t>proBNP</w:t>
      </w:r>
      <w:proofErr w:type="spellEnd"/>
      <w:r>
        <w:t xml:space="preserve"> testing </w:t>
      </w:r>
      <w:r w:rsidR="007605F8">
        <w:t xml:space="preserve">is </w:t>
      </w:r>
      <w:r>
        <w:t xml:space="preserve">not available. </w:t>
      </w:r>
      <w:r w:rsidR="00C944A0">
        <w:t>MSAC considered c</w:t>
      </w:r>
      <w:r>
        <w:t>linical feedback also show</w:t>
      </w:r>
      <w:r w:rsidR="00C944A0">
        <w:t>ed</w:t>
      </w:r>
      <w:r>
        <w:t xml:space="preserve"> that echocardiography is considered in the standard workup for confirming a diagnosis of HF. Therefore, given changes in </w:t>
      </w:r>
      <w:r w:rsidR="00C944A0">
        <w:t xml:space="preserve">clinical </w:t>
      </w:r>
      <w:r w:rsidR="009E442E">
        <w:t>practice</w:t>
      </w:r>
      <w:r>
        <w:t xml:space="preserve"> that have been reflected in management guidelines, MSAC considered it likely that echocardiography uptake for suspected HF </w:t>
      </w:r>
      <w:r w:rsidR="00C944A0">
        <w:t>wa</w:t>
      </w:r>
      <w:r>
        <w:t xml:space="preserve">s </w:t>
      </w:r>
      <w:r w:rsidR="006270AB">
        <w:t xml:space="preserve">probably </w:t>
      </w:r>
      <w:r>
        <w:t xml:space="preserve">greater than 50%. </w:t>
      </w:r>
      <w:r w:rsidR="008A2EF8">
        <w:t xml:space="preserve">MSAC considered that although it was erroneous, the applicant’s 64% echocardiography </w:t>
      </w:r>
      <w:r w:rsidR="006270AB">
        <w:t>uptake may well</w:t>
      </w:r>
      <w:r w:rsidR="008A2EF8">
        <w:t xml:space="preserve"> be closer to the truth than the </w:t>
      </w:r>
      <w:r w:rsidR="009E442E">
        <w:t xml:space="preserve">outdated </w:t>
      </w:r>
      <w:r w:rsidR="0028181C">
        <w:t>real-world</w:t>
      </w:r>
      <w:r w:rsidR="009E442E">
        <w:t xml:space="preserve"> evidence of 17.7%.</w:t>
      </w:r>
    </w:p>
    <w:p w14:paraId="53C083D2" w14:textId="6CAF78D1" w:rsidR="00D307EF" w:rsidRPr="00440382" w:rsidRDefault="00206A01" w:rsidP="00D307EF">
      <w:r>
        <w:t>MSAC considered the appropriate clinical place for BNP/NT-</w:t>
      </w:r>
      <w:proofErr w:type="spellStart"/>
      <w:r>
        <w:t>proBNP</w:t>
      </w:r>
      <w:proofErr w:type="spellEnd"/>
      <w:r>
        <w:t xml:space="preserve"> testing was as a triage test for echocardiography</w:t>
      </w:r>
      <w:r w:rsidR="003D22FE">
        <w:t xml:space="preserve"> (and it would also allow some unnecessary cardiologist referrals to be avoided)</w:t>
      </w:r>
      <w:r w:rsidR="00BD4CE1">
        <w:t>, but there was a risk that it would be used inappropriately (e.</w:t>
      </w:r>
      <w:r w:rsidR="00C97F5F">
        <w:t>g.,</w:t>
      </w:r>
      <w:r w:rsidR="00BD4CE1">
        <w:t xml:space="preserve"> used when an echocardiogram will be done anyway</w:t>
      </w:r>
      <w:r w:rsidR="00C97F5F">
        <w:t>, or to assess HF severity</w:t>
      </w:r>
      <w:r w:rsidR="00BD4CE1">
        <w:t>). MSAC considered the item descriptor should specify in the practice notes that this test is to be used as a “decision aid”</w:t>
      </w:r>
      <w:r w:rsidR="00022028">
        <w:t xml:space="preserve"> in determin</w:t>
      </w:r>
      <w:r w:rsidR="00246DF7">
        <w:t>ing</w:t>
      </w:r>
      <w:r w:rsidR="00022028">
        <w:t xml:space="preserve"> whether an echocardiogram is needed.</w:t>
      </w:r>
      <w:r w:rsidR="00022028" w:rsidRPr="00022028">
        <w:t xml:space="preserve"> </w:t>
      </w:r>
      <w:r w:rsidR="008D0526" w:rsidRPr="008D0526">
        <w:t>MSAC considered that the addition of a reference to the NHFA/CSANZ guidelines in the practice note would also support appropriate requesting practices.</w:t>
      </w:r>
      <w:r w:rsidR="008D0526">
        <w:t xml:space="preserve"> </w:t>
      </w:r>
      <w:r w:rsidR="00022028">
        <w:t xml:space="preserve">MSAC considered the proposed frequency restriction of maximum once in a 12-month period was reasonable and would help mitigate the risk of inappropriate use. </w:t>
      </w:r>
      <w:r w:rsidR="00D307EF" w:rsidRPr="00440382">
        <w:t xml:space="preserve">MSAC </w:t>
      </w:r>
      <w:r w:rsidR="00D307EF">
        <w:t xml:space="preserve">considered that </w:t>
      </w:r>
      <w:r w:rsidR="00785A92">
        <w:t xml:space="preserve">while the test would likely be used mostly in primary care, </w:t>
      </w:r>
      <w:r w:rsidR="00D307EF">
        <w:t>the item descriptor should not exclude specialist or consultant physician</w:t>
      </w:r>
      <w:r w:rsidR="00785A92">
        <w:t xml:space="preserve"> requestor</w:t>
      </w:r>
      <w:r w:rsidR="00D307EF">
        <w:t xml:space="preserve">s, </w:t>
      </w:r>
      <w:r w:rsidR="00EF455B">
        <w:t xml:space="preserve">as it would not be appropriate to exclude </w:t>
      </w:r>
      <w:r w:rsidR="00022028">
        <w:t>them</w:t>
      </w:r>
      <w:r w:rsidR="00EF455B">
        <w:t xml:space="preserve"> from being able to request the test. </w:t>
      </w:r>
    </w:p>
    <w:p w14:paraId="783A5FEE" w14:textId="59AD9ECC" w:rsidR="00433C05" w:rsidRDefault="00433C05" w:rsidP="00433C05">
      <w:r>
        <w:t>MSAC noted that the ADAR’s economic model results showed NT-</w:t>
      </w:r>
      <w:proofErr w:type="spellStart"/>
      <w:r>
        <w:t>proBNP</w:t>
      </w:r>
      <w:proofErr w:type="spellEnd"/>
      <w:r>
        <w:t xml:space="preserve"> testing </w:t>
      </w:r>
      <w:r>
        <w:rPr>
          <w:rFonts w:ascii="Symbol" w:eastAsia="Symbol" w:hAnsi="Symbol" w:cs="Symbol"/>
        </w:rPr>
        <w:t>±</w:t>
      </w:r>
      <w:r>
        <w:t xml:space="preserve"> echocardiography was cost saving over echocardiography alone ($68 saved per patient), and the commentary’s respecified base case found the intervention was still dominant over echocardiography ($25 saved per patient). Additionally, the time to diagnosis or exclusion of </w:t>
      </w:r>
      <w:r w:rsidR="00F82A4B">
        <w:t>HF</w:t>
      </w:r>
      <w:r>
        <w:t xml:space="preserve"> was </w:t>
      </w:r>
      <w:r w:rsidR="00F82A4B">
        <w:t xml:space="preserve">reduced </w:t>
      </w:r>
      <w:r>
        <w:t>when NT-</w:t>
      </w:r>
      <w:proofErr w:type="spellStart"/>
      <w:r>
        <w:t>proBNP</w:t>
      </w:r>
      <w:proofErr w:type="spellEnd"/>
      <w:r>
        <w:t xml:space="preserve"> testing</w:t>
      </w:r>
      <w:r w:rsidR="00F82A4B">
        <w:t xml:space="preserve"> </w:t>
      </w:r>
      <w:r w:rsidR="00EC00A4">
        <w:t>wa</w:t>
      </w:r>
      <w:r w:rsidR="00F82A4B">
        <w:t>s used</w:t>
      </w:r>
      <w:r>
        <w:t>.</w:t>
      </w:r>
      <w:r w:rsidRPr="00126FAE">
        <w:t xml:space="preserve"> </w:t>
      </w:r>
      <w:r>
        <w:t>MSAC noted that the pre-MSAC response also revised the base case to apply a 3-month (rather than 2-month) delay to echocardiography, in response to ESC feedback. This resulted in a greater reduction in time to diagnosis for NT-</w:t>
      </w:r>
      <w:proofErr w:type="spellStart"/>
      <w:r>
        <w:t>proBNP</w:t>
      </w:r>
      <w:proofErr w:type="spellEnd"/>
      <w:r>
        <w:t xml:space="preserve"> </w:t>
      </w:r>
      <w:r>
        <w:rPr>
          <w:rFonts w:ascii="Symbol" w:eastAsia="Symbol" w:hAnsi="Symbol" w:cs="Symbol"/>
        </w:rPr>
        <w:t>±</w:t>
      </w:r>
      <w:r>
        <w:t xml:space="preserve"> echocardiography (1.43 months) than echocardiography alone (1.92 months). </w:t>
      </w:r>
      <w:r w:rsidR="006C6104">
        <w:t>T</w:t>
      </w:r>
      <w:r>
        <w:t>he pre-MSAC response also presented an additional scenario that considered out-of-pocket costs (gap payment and travel). This resulted in a greater incremental cost-saving per patient ($42.60) than the revised base case</w:t>
      </w:r>
      <w:r w:rsidR="002C499F">
        <w:t xml:space="preserve"> saving</w:t>
      </w:r>
      <w:r>
        <w:t xml:space="preserve"> ($9.59).</w:t>
      </w:r>
    </w:p>
    <w:p w14:paraId="727F13CF" w14:textId="4527094C" w:rsidR="00433C05" w:rsidRDefault="00433C05" w:rsidP="00433C05">
      <w:r>
        <w:t xml:space="preserve">MSAC noted that the economic model was sensitive to the percentage of echocardiography referrals, </w:t>
      </w:r>
      <w:r w:rsidR="00AF1393">
        <w:t xml:space="preserve">that affected both costs and the number of correct diagnoses of HF. </w:t>
      </w:r>
      <w:r w:rsidR="004E2353">
        <w:t xml:space="preserve">The ADAR’s economic model assumed that 100% of patients in the comparator arm would receive echocardiography, which was assumed to have a higher cost, perfect </w:t>
      </w:r>
      <w:proofErr w:type="gramStart"/>
      <w:r w:rsidR="004E2353">
        <w:t>accuracy</w:t>
      </w:r>
      <w:proofErr w:type="gramEnd"/>
      <w:r w:rsidR="004E2353">
        <w:t xml:space="preserve"> and slower access than the intervention. </w:t>
      </w:r>
      <w:r>
        <w:t>MSAC noted that, when the model assumed 64% of patients would be referred for echocardiography</w:t>
      </w:r>
      <w:r w:rsidR="004F6C02">
        <w:t xml:space="preserve"> in the comparator arm</w:t>
      </w:r>
      <w:r>
        <w:t xml:space="preserve">, the intervention would still be cost saving. MSAC noted that the commentary considered several different </w:t>
      </w:r>
      <w:r w:rsidR="004850C7">
        <w:t xml:space="preserve">echocardiography </w:t>
      </w:r>
      <w:r>
        <w:t xml:space="preserve">uptake </w:t>
      </w:r>
      <w:r w:rsidR="0064764E">
        <w:t>rates</w:t>
      </w:r>
      <w:r>
        <w:t xml:space="preserve">, </w:t>
      </w:r>
      <w:r w:rsidR="0011799D">
        <w:t xml:space="preserve">and that </w:t>
      </w:r>
      <w:r w:rsidR="00744061">
        <w:t xml:space="preserve">uptake </w:t>
      </w:r>
      <w:r w:rsidR="007F399E">
        <w:t xml:space="preserve">at or </w:t>
      </w:r>
      <w:r w:rsidR="00744061">
        <w:t>below 80%</w:t>
      </w:r>
      <w:r>
        <w:t xml:space="preserve"> changed the intervention from being cost saving to cost positive</w:t>
      </w:r>
      <w:r w:rsidR="007F399E">
        <w:t xml:space="preserve"> (</w:t>
      </w:r>
      <w:r w:rsidR="007F399E">
        <w:fldChar w:fldCharType="begin"/>
      </w:r>
      <w:r w:rsidR="007F399E">
        <w:instrText xml:space="preserve"> REF _Ref141824707 \h </w:instrText>
      </w:r>
      <w:r w:rsidR="007F399E">
        <w:fldChar w:fldCharType="separate"/>
      </w:r>
      <w:r w:rsidR="007F399E">
        <w:t xml:space="preserve">Table </w:t>
      </w:r>
      <w:r w:rsidR="007F399E">
        <w:rPr>
          <w:noProof/>
        </w:rPr>
        <w:t>17</w:t>
      </w:r>
      <w:r w:rsidR="007F399E">
        <w:fldChar w:fldCharType="end"/>
      </w:r>
      <w:r w:rsidR="007F399E">
        <w:t>)</w:t>
      </w:r>
      <w:r>
        <w:t>.</w:t>
      </w:r>
    </w:p>
    <w:p w14:paraId="1027F133" w14:textId="0A2ADCE9" w:rsidR="00433C05" w:rsidRDefault="00433C05" w:rsidP="00433C05">
      <w:r>
        <w:t xml:space="preserve">MSAC noted that similar findings were seen with the financial impacts. The ADAR (assuming 100% echocardiography referrals in the comparator arm) estimated net cost savings to the MBS of $6,473,083 in year 1 to $9,675,089 in year 6. The commentary revised the financial impacts by updating the MBS fees (from July 2023), using the test accuracy results from </w:t>
      </w:r>
      <w:proofErr w:type="spellStart"/>
      <w:r>
        <w:t>Zaphiriou</w:t>
      </w:r>
      <w:proofErr w:type="spellEnd"/>
      <w:r>
        <w:t xml:space="preserve"> et al. 2005, including additional GP visits to receive results, assuming that all patients were treated in primary care,</w:t>
      </w:r>
      <w:r w:rsidRPr="00C56A19">
        <w:t xml:space="preserve"> </w:t>
      </w:r>
      <w:r>
        <w:t>and correcting errors. This resulted in reduced net cost savings of $2,050,786 in year 1 to $3,749,889 in year 6.</w:t>
      </w:r>
      <w:r w:rsidRPr="002C47E9">
        <w:t xml:space="preserve"> </w:t>
      </w:r>
      <w:r>
        <w:t>Sensitivity analyses showed that NT-</w:t>
      </w:r>
      <w:proofErr w:type="spellStart"/>
      <w:r>
        <w:t>proBNP</w:t>
      </w:r>
      <w:proofErr w:type="spellEnd"/>
      <w:r>
        <w:t xml:space="preserve"> </w:t>
      </w:r>
      <w:r w:rsidR="008F5764">
        <w:t xml:space="preserve">testing </w:t>
      </w:r>
      <w:r>
        <w:t>was cost-</w:t>
      </w:r>
      <w:r>
        <w:lastRenderedPageBreak/>
        <w:t>saving to the MBS when used as an add-on to echocardiography in up to 50% of cases. However, MSAC agreed with ESC that an increased cost to the MBS did not necessarily equate to poor value for money.</w:t>
      </w:r>
    </w:p>
    <w:p w14:paraId="45E4C87B" w14:textId="059C76C3" w:rsidR="00433C05" w:rsidRPr="00AF46D8" w:rsidRDefault="002F2767" w:rsidP="00736E50">
      <w:r>
        <w:t xml:space="preserve">MSAC considered there was a </w:t>
      </w:r>
      <w:r w:rsidR="00206A01">
        <w:t xml:space="preserve">risk of </w:t>
      </w:r>
      <w:r w:rsidR="00736E50">
        <w:t xml:space="preserve">widespread </w:t>
      </w:r>
      <w:r w:rsidR="00206A01">
        <w:t>inappropriate use</w:t>
      </w:r>
      <w:r w:rsidR="00736E50">
        <w:t xml:space="preserve"> (in particular, where an echocardiogram will be done anyway)</w:t>
      </w:r>
      <w:r w:rsidR="00206A01">
        <w:t xml:space="preserve">, </w:t>
      </w:r>
      <w:r>
        <w:t xml:space="preserve">so </w:t>
      </w:r>
      <w:r w:rsidR="00736E50">
        <w:t>advised on safeguards around BNP/NT-</w:t>
      </w:r>
      <w:proofErr w:type="spellStart"/>
      <w:r w:rsidR="00736E50">
        <w:t>proBNP</w:t>
      </w:r>
      <w:proofErr w:type="spellEnd"/>
      <w:r w:rsidR="00736E50">
        <w:t xml:space="preserve"> testing to rule out heart failure. As above, the MBS item descriptor should clarify that this testing is to be used specifically as a decision</w:t>
      </w:r>
      <w:r w:rsidR="00524827">
        <w:t xml:space="preserve"> </w:t>
      </w:r>
      <w:r w:rsidR="00736E50">
        <w:t xml:space="preserve">aid for </w:t>
      </w:r>
      <w:r w:rsidR="00903687">
        <w:t xml:space="preserve">referral to </w:t>
      </w:r>
      <w:r w:rsidR="00736E50">
        <w:t xml:space="preserve">echocardiography. </w:t>
      </w:r>
      <w:r w:rsidR="00433C05">
        <w:t xml:space="preserve">MSAC </w:t>
      </w:r>
      <w:r w:rsidR="00736E50">
        <w:t xml:space="preserve">also </w:t>
      </w:r>
      <w:r w:rsidR="001150FC">
        <w:t xml:space="preserve">advised </w:t>
      </w:r>
      <w:r w:rsidR="00433C05">
        <w:t xml:space="preserve">that </w:t>
      </w:r>
      <w:r w:rsidR="00206A01">
        <w:t>requestors should</w:t>
      </w:r>
      <w:r w:rsidR="00433C05">
        <w:t xml:space="preserve"> be provided guidance on the correct use </w:t>
      </w:r>
      <w:r w:rsidR="008B1405">
        <w:t xml:space="preserve">and interpretation </w:t>
      </w:r>
      <w:r w:rsidR="00433C05">
        <w:t xml:space="preserve">of the tests. </w:t>
      </w:r>
      <w:r w:rsidR="005B317B">
        <w:t>MSAC requested t</w:t>
      </w:r>
      <w:r w:rsidR="00433C05">
        <w:t>he Department write to various colleges</w:t>
      </w:r>
      <w:r w:rsidR="005B317B" w:rsidRPr="005B317B">
        <w:t xml:space="preserve"> </w:t>
      </w:r>
      <w:r w:rsidR="005B317B">
        <w:t xml:space="preserve">to request their support </w:t>
      </w:r>
      <w:r w:rsidR="00735A71">
        <w:t>to develop</w:t>
      </w:r>
      <w:r w:rsidR="005B317B">
        <w:t xml:space="preserve"> education program</w:t>
      </w:r>
      <w:r w:rsidR="00735A71">
        <w:t xml:space="preserve">s for </w:t>
      </w:r>
      <w:r w:rsidR="00397A17">
        <w:t>health professionals</w:t>
      </w:r>
      <w:r w:rsidR="005B317B">
        <w:t xml:space="preserve">, </w:t>
      </w:r>
      <w:r w:rsidR="004925BF">
        <w:t xml:space="preserve">such as </w:t>
      </w:r>
      <w:r w:rsidR="00433C05">
        <w:t>the Royal Australian College of General Practitioners</w:t>
      </w:r>
      <w:r w:rsidR="00C548C0">
        <w:t xml:space="preserve"> (RACGP)</w:t>
      </w:r>
      <w:r w:rsidR="00433C05">
        <w:t>, the Cardiac Society of Australia and New Zealand</w:t>
      </w:r>
      <w:r w:rsidR="00C548C0">
        <w:t xml:space="preserve"> (CSANZ)</w:t>
      </w:r>
      <w:r w:rsidR="00433C05">
        <w:t>,</w:t>
      </w:r>
      <w:r w:rsidR="005B317B">
        <w:t xml:space="preserve"> the </w:t>
      </w:r>
      <w:r w:rsidR="005B317B" w:rsidRPr="005B317B">
        <w:t>Australian College of Rural and Remote Medicine (ACRRM)</w:t>
      </w:r>
      <w:r w:rsidR="005B317B">
        <w:t>, and</w:t>
      </w:r>
      <w:r w:rsidR="00433C05">
        <w:t xml:space="preserve"> the Royal College of Pathologists of Australasia</w:t>
      </w:r>
      <w:r w:rsidR="00C548C0">
        <w:t xml:space="preserve"> (RCPA)</w:t>
      </w:r>
      <w:r w:rsidR="00433C05">
        <w:t xml:space="preserve"> </w:t>
      </w:r>
      <w:r w:rsidR="005B317B">
        <w:t xml:space="preserve">in their role as stewards of </w:t>
      </w:r>
      <w:r w:rsidR="00433C05">
        <w:t xml:space="preserve">the </w:t>
      </w:r>
      <w:r w:rsidR="00A32826" w:rsidRPr="007A6B57">
        <w:t>Choosing Wisely</w:t>
      </w:r>
      <w:r w:rsidR="00433C05">
        <w:t xml:space="preserve"> initiative</w:t>
      </w:r>
      <w:r w:rsidR="00F1557C">
        <w:rPr>
          <w:rStyle w:val="FootnoteReference"/>
        </w:rPr>
        <w:footnoteReference w:id="12"/>
      </w:r>
      <w:r w:rsidR="00433C05">
        <w:t xml:space="preserve">. </w:t>
      </w:r>
      <w:r w:rsidR="006A5EAC">
        <w:rPr>
          <w:color w:val="000000"/>
          <w:shd w:val="clear" w:color="auto" w:fill="FFFFFF"/>
        </w:rPr>
        <w:t xml:space="preserve">MSAC considered that healthcare provider education around this testing should include that some people with </w:t>
      </w:r>
      <w:proofErr w:type="spellStart"/>
      <w:r w:rsidR="002E2659">
        <w:rPr>
          <w:color w:val="000000"/>
          <w:shd w:val="clear" w:color="auto" w:fill="FFFFFF"/>
        </w:rPr>
        <w:t>HFpEF</w:t>
      </w:r>
      <w:proofErr w:type="spellEnd"/>
      <w:r w:rsidR="006A5EAC">
        <w:rPr>
          <w:color w:val="000000"/>
          <w:shd w:val="clear" w:color="auto" w:fill="FFFFFF"/>
        </w:rPr>
        <w:t xml:space="preserve"> will have a low BNP/NT-</w:t>
      </w:r>
      <w:proofErr w:type="spellStart"/>
      <w:r w:rsidR="006A5EAC">
        <w:rPr>
          <w:color w:val="000000"/>
          <w:shd w:val="clear" w:color="auto" w:fill="FFFFFF"/>
        </w:rPr>
        <w:t>proBNP</w:t>
      </w:r>
      <w:proofErr w:type="spellEnd"/>
      <w:r w:rsidR="006A5EAC">
        <w:rPr>
          <w:color w:val="000000"/>
          <w:shd w:val="clear" w:color="auto" w:fill="FFFFFF"/>
        </w:rPr>
        <w:t xml:space="preserve"> result</w:t>
      </w:r>
      <w:r w:rsidR="00D95400">
        <w:rPr>
          <w:color w:val="000000"/>
          <w:shd w:val="clear" w:color="auto" w:fill="FFFFFF"/>
        </w:rPr>
        <w:t xml:space="preserve"> (false negative result)</w:t>
      </w:r>
      <w:r w:rsidR="002E2659">
        <w:rPr>
          <w:color w:val="000000"/>
          <w:shd w:val="clear" w:color="auto" w:fill="FFFFFF"/>
        </w:rPr>
        <w:t>, as detailed above</w:t>
      </w:r>
      <w:r w:rsidR="006A5EAC">
        <w:rPr>
          <w:color w:val="000000"/>
          <w:shd w:val="clear" w:color="auto" w:fill="FFFFFF"/>
        </w:rPr>
        <w:t xml:space="preserve">. </w:t>
      </w:r>
      <w:r w:rsidR="00736E50">
        <w:t>MSAC also advised that an analysis of predicted versus actual utilisation be undertaken 2 years post-implementation.</w:t>
      </w:r>
    </w:p>
    <w:p w14:paraId="6710B69D" w14:textId="0FDD468E" w:rsidR="00772829" w:rsidRPr="00CE28E3" w:rsidRDefault="00AB25C3" w:rsidP="002A18BE">
      <w:pPr>
        <w:pStyle w:val="Heading2"/>
        <w:numPr>
          <w:ilvl w:val="0"/>
          <w:numId w:val="0"/>
        </w:numPr>
      </w:pPr>
      <w:bookmarkStart w:id="3" w:name="_Toc69491416"/>
      <w:bookmarkEnd w:id="2"/>
      <w:r>
        <w:t>4</w:t>
      </w:r>
      <w:r w:rsidR="00C36633">
        <w:t>.</w:t>
      </w:r>
      <w:r w:rsidR="00C36633">
        <w:tab/>
      </w:r>
      <w:r w:rsidR="00772829" w:rsidRPr="00CE28E3">
        <w:t>Background</w:t>
      </w:r>
      <w:bookmarkEnd w:id="3"/>
    </w:p>
    <w:p w14:paraId="18B84D9C" w14:textId="4C02D17C" w:rsidR="007E0C3E" w:rsidRDefault="007E0C3E" w:rsidP="007E0C3E">
      <w:bookmarkStart w:id="4" w:name="_Hlk69734494"/>
      <w:r>
        <w:t>MSAC has previously considered NT-</w:t>
      </w:r>
      <w:proofErr w:type="spellStart"/>
      <w:r>
        <w:t>proBNP</w:t>
      </w:r>
      <w:proofErr w:type="spellEnd"/>
      <w:r>
        <w:t xml:space="preserve"> testing for the diagnosis of HF</w:t>
      </w:r>
      <w:r w:rsidR="00FE4F93">
        <w:t>,</w:t>
      </w:r>
      <w:r w:rsidR="00F820B8">
        <w:t xml:space="preserve"> </w:t>
      </w:r>
      <w:r w:rsidR="00FE4F93">
        <w:t>under MSAC application 1087</w:t>
      </w:r>
      <w:r w:rsidR="001D023F">
        <w:t xml:space="preserve"> </w:t>
      </w:r>
      <w:r w:rsidR="0045177E">
        <w:t xml:space="preserve">in </w:t>
      </w:r>
      <w:r w:rsidR="009B2168">
        <w:t xml:space="preserve">November 2006 and </w:t>
      </w:r>
      <w:r w:rsidR="0045177E">
        <w:t xml:space="preserve">May 2007 </w:t>
      </w:r>
      <w:r w:rsidR="001D023F">
        <w:t>(</w:t>
      </w:r>
      <w:r w:rsidR="001D023F">
        <w:fldChar w:fldCharType="begin"/>
      </w:r>
      <w:r w:rsidR="001D023F">
        <w:instrText xml:space="preserve"> REF _Ref141797707 \h </w:instrText>
      </w:r>
      <w:r w:rsidR="001D023F">
        <w:fldChar w:fldCharType="separate"/>
      </w:r>
      <w:r w:rsidR="00472DB9">
        <w:t xml:space="preserve">Table </w:t>
      </w:r>
      <w:r w:rsidR="00472DB9">
        <w:rPr>
          <w:noProof/>
        </w:rPr>
        <w:t>2</w:t>
      </w:r>
      <w:r w:rsidR="001D023F">
        <w:fldChar w:fldCharType="end"/>
      </w:r>
      <w:r w:rsidR="001D023F">
        <w:t>)</w:t>
      </w:r>
      <w:r w:rsidR="00AF4AE2">
        <w:t xml:space="preserve">. MBS item </w:t>
      </w:r>
      <w:r w:rsidR="00D85A93">
        <w:t xml:space="preserve">66830 </w:t>
      </w:r>
      <w:r w:rsidR="004332A2">
        <w:t>(</w:t>
      </w:r>
      <w:r w:rsidR="00875F1B">
        <w:t xml:space="preserve">quantitation of </w:t>
      </w:r>
      <w:r w:rsidR="00875F1B">
        <w:rPr>
          <w:rStyle w:val="highlight"/>
        </w:rPr>
        <w:t>BNP</w:t>
      </w:r>
      <w:r w:rsidR="00875F1B">
        <w:t xml:space="preserve"> or NT-</w:t>
      </w:r>
      <w:proofErr w:type="spellStart"/>
      <w:r w:rsidR="00875F1B">
        <w:t>pro</w:t>
      </w:r>
      <w:r w:rsidR="00875F1B">
        <w:rPr>
          <w:rStyle w:val="highlight"/>
        </w:rPr>
        <w:t>BNP</w:t>
      </w:r>
      <w:proofErr w:type="spellEnd"/>
      <w:r w:rsidR="00875F1B">
        <w:t xml:space="preserve"> for the diagnosis of </w:t>
      </w:r>
      <w:r w:rsidR="004332A2">
        <w:t>HF</w:t>
      </w:r>
      <w:r w:rsidR="00875F1B">
        <w:t xml:space="preserve"> in patients presenting with dyspnoea to a hospital </w:t>
      </w:r>
      <w:r w:rsidR="004332A2">
        <w:t>e</w:t>
      </w:r>
      <w:r w:rsidR="00875F1B">
        <w:t xml:space="preserve">mergency </w:t>
      </w:r>
      <w:r w:rsidR="004332A2">
        <w:t>d</w:t>
      </w:r>
      <w:r w:rsidR="00875F1B">
        <w:t>epartment</w:t>
      </w:r>
      <w:r w:rsidR="004332A2">
        <w:t>)</w:t>
      </w:r>
      <w:r w:rsidR="00875F1B">
        <w:t xml:space="preserve"> was introduced on the MBS from </w:t>
      </w:r>
      <w:r w:rsidR="00E95283">
        <w:t xml:space="preserve">1 July 2008. </w:t>
      </w:r>
      <w:r w:rsidR="000E34B6">
        <w:t xml:space="preserve">At the time, </w:t>
      </w:r>
      <w:r w:rsidR="00204268">
        <w:t>MSAC did not support public funding in the non-hospital setting.</w:t>
      </w:r>
    </w:p>
    <w:p w14:paraId="47134154" w14:textId="35FFD38A" w:rsidR="00204268" w:rsidRDefault="00204268" w:rsidP="007E0C3E">
      <w:r>
        <w:t xml:space="preserve">MSAC has also </w:t>
      </w:r>
      <w:r w:rsidR="00245AA4">
        <w:t xml:space="preserve">previously </w:t>
      </w:r>
      <w:r>
        <w:t>considered NT-</w:t>
      </w:r>
      <w:proofErr w:type="spellStart"/>
      <w:r>
        <w:t>proBNP</w:t>
      </w:r>
      <w:proofErr w:type="spellEnd"/>
      <w:r>
        <w:t xml:space="preserve"> testing </w:t>
      </w:r>
      <w:r w:rsidR="001D023F" w:rsidRPr="001D023F">
        <w:t>in patients with systemic sclerosis, and in patients with diagnosed pulmonary arterial hypertension</w:t>
      </w:r>
      <w:r w:rsidR="003A174A">
        <w:t xml:space="preserve"> (PAH)</w:t>
      </w:r>
      <w:r w:rsidR="00245AA4">
        <w:t>, under MSAC applications 1689 and 1689.1</w:t>
      </w:r>
      <w:r w:rsidR="001D023F">
        <w:t>.</w:t>
      </w:r>
    </w:p>
    <w:p w14:paraId="24252E57" w14:textId="4FECD698" w:rsidR="002F17EE" w:rsidRDefault="002F17EE" w:rsidP="002F17EE">
      <w:pPr>
        <w:pStyle w:val="Caption"/>
      </w:pPr>
      <w:bookmarkStart w:id="5" w:name="_Ref141797707"/>
      <w:r>
        <w:t xml:space="preserve">Table </w:t>
      </w:r>
      <w:r>
        <w:fldChar w:fldCharType="begin"/>
      </w:r>
      <w:r>
        <w:instrText>SEQ Table \* ARABIC</w:instrText>
      </w:r>
      <w:r>
        <w:fldChar w:fldCharType="separate"/>
      </w:r>
      <w:r w:rsidR="00472DB9">
        <w:rPr>
          <w:noProof/>
        </w:rPr>
        <w:t>2</w:t>
      </w:r>
      <w:r>
        <w:fldChar w:fldCharType="end"/>
      </w:r>
      <w:bookmarkEnd w:id="5"/>
      <w:r>
        <w:tab/>
      </w:r>
      <w:r w:rsidR="00F21619" w:rsidRPr="00F21619">
        <w:t>Prior MSAC applications for BNP and NT-</w:t>
      </w:r>
      <w:proofErr w:type="spellStart"/>
      <w:r w:rsidR="00F21619" w:rsidRPr="00F21619">
        <w:t>proBNP</w:t>
      </w:r>
      <w:proofErr w:type="spellEnd"/>
      <w:r w:rsidR="00245AA4">
        <w:t xml:space="preserve"> testing for the diagnosis of </w:t>
      </w:r>
      <w:r w:rsidR="00E16896">
        <w:t xml:space="preserve">heart </w:t>
      </w:r>
      <w:proofErr w:type="gramStart"/>
      <w:r w:rsidR="00E16896">
        <w:t>failure</w:t>
      </w:r>
      <w:proofErr w:type="gramEnd"/>
    </w:p>
    <w:tbl>
      <w:tblPr>
        <w:tblStyle w:val="TableGrid"/>
        <w:tblW w:w="0" w:type="auto"/>
        <w:tblLook w:val="04A0" w:firstRow="1" w:lastRow="0" w:firstColumn="1" w:lastColumn="0" w:noHBand="0" w:noVBand="1"/>
        <w:tblCaption w:val="Prior MSAC applications for BNP and NT-proBNP testing for the diagnosis of heart failure"/>
        <w:tblDescription w:val="MSAC meeting dates, application number and name, setting, and MSAC advice are reported for prior MSAC applications for BNP and NT-proBNP testing for the diagnosis of heart failure."/>
      </w:tblPr>
      <w:tblGrid>
        <w:gridCol w:w="1255"/>
        <w:gridCol w:w="2709"/>
        <w:gridCol w:w="5052"/>
      </w:tblGrid>
      <w:tr w:rsidR="006C4FC1" w14:paraId="128D871D" w14:textId="77777777" w:rsidTr="00E759AF">
        <w:trPr>
          <w:tblHeader/>
        </w:trPr>
        <w:tc>
          <w:tcPr>
            <w:tcW w:w="1255" w:type="dxa"/>
          </w:tcPr>
          <w:p w14:paraId="66CCB772" w14:textId="208CA976" w:rsidR="006C4FC1" w:rsidRDefault="006C4FC1" w:rsidP="006C4FC1">
            <w:pPr>
              <w:pStyle w:val="In-tableHeading"/>
            </w:pPr>
            <w:r w:rsidRPr="006D16E6">
              <w:t xml:space="preserve">MSAC </w:t>
            </w:r>
            <w:r w:rsidR="00682493">
              <w:t>m</w:t>
            </w:r>
            <w:r w:rsidRPr="006D16E6">
              <w:t>eeting</w:t>
            </w:r>
          </w:p>
        </w:tc>
        <w:tc>
          <w:tcPr>
            <w:tcW w:w="2709" w:type="dxa"/>
          </w:tcPr>
          <w:p w14:paraId="1DC07016" w14:textId="77777777" w:rsidR="006C4FC1" w:rsidRDefault="006C4FC1" w:rsidP="006C4FC1">
            <w:pPr>
              <w:pStyle w:val="In-tableHeading"/>
            </w:pPr>
            <w:r w:rsidRPr="006D16E6">
              <w:t>Application number and name</w:t>
            </w:r>
          </w:p>
          <w:p w14:paraId="56A68587" w14:textId="1425E723" w:rsidR="006C4FC1" w:rsidRDefault="006C4FC1" w:rsidP="006C4FC1">
            <w:pPr>
              <w:pStyle w:val="In-tableHeading"/>
            </w:pPr>
            <w:r>
              <w:t>Setting</w:t>
            </w:r>
          </w:p>
        </w:tc>
        <w:tc>
          <w:tcPr>
            <w:tcW w:w="5052" w:type="dxa"/>
          </w:tcPr>
          <w:p w14:paraId="4D5D6236" w14:textId="4F4DD607" w:rsidR="006C4FC1" w:rsidRDefault="00682493" w:rsidP="006C4FC1">
            <w:pPr>
              <w:pStyle w:val="In-tableHeading"/>
            </w:pPr>
            <w:r>
              <w:t xml:space="preserve">MSAC </w:t>
            </w:r>
            <w:r w:rsidR="004C7165">
              <w:t>advice</w:t>
            </w:r>
          </w:p>
        </w:tc>
      </w:tr>
      <w:tr w:rsidR="00FB411D" w14:paraId="59AE70D0" w14:textId="77777777" w:rsidTr="00E759AF">
        <w:tc>
          <w:tcPr>
            <w:tcW w:w="1255" w:type="dxa"/>
          </w:tcPr>
          <w:p w14:paraId="5A8520AD" w14:textId="3D199035" w:rsidR="00FB411D" w:rsidRDefault="00FB411D" w:rsidP="00FB411D">
            <w:pPr>
              <w:pStyle w:val="TableText"/>
            </w:pPr>
            <w:r w:rsidRPr="00FA7771">
              <w:t>15 November 2006</w:t>
            </w:r>
          </w:p>
        </w:tc>
        <w:tc>
          <w:tcPr>
            <w:tcW w:w="2709" w:type="dxa"/>
          </w:tcPr>
          <w:p w14:paraId="23995304" w14:textId="7818B34A" w:rsidR="00FB411D" w:rsidRDefault="00FB411D" w:rsidP="00FB411D">
            <w:pPr>
              <w:pStyle w:val="TableText"/>
            </w:pPr>
            <w:r w:rsidRPr="00FA7771">
              <w:t xml:space="preserve">MSAC </w:t>
            </w:r>
            <w:r w:rsidR="00BE3A39">
              <w:t>a</w:t>
            </w:r>
            <w:r w:rsidRPr="00FA7771">
              <w:t xml:space="preserve">pplication 1087 - B-type natriuretic peptide assays in the diagnosis of heart failure </w:t>
            </w:r>
          </w:p>
          <w:p w14:paraId="40436F14" w14:textId="2731156E" w:rsidR="00737623" w:rsidRDefault="00737623" w:rsidP="00FB411D">
            <w:pPr>
              <w:pStyle w:val="TableText"/>
            </w:pPr>
            <w:r w:rsidRPr="00737623">
              <w:t>Part A – in the hospital emergency setting</w:t>
            </w:r>
          </w:p>
        </w:tc>
        <w:tc>
          <w:tcPr>
            <w:tcW w:w="5052" w:type="dxa"/>
          </w:tcPr>
          <w:p w14:paraId="7609311F" w14:textId="0C4A6E52" w:rsidR="00FB411D" w:rsidRDefault="00E32BDE" w:rsidP="00FB411D">
            <w:pPr>
              <w:pStyle w:val="TableText"/>
            </w:pPr>
            <w:r>
              <w:rPr>
                <w:lang w:eastAsia="en-AU"/>
              </w:rPr>
              <w:t xml:space="preserve">MSAC </w:t>
            </w:r>
            <w:r w:rsidR="00245AA4">
              <w:rPr>
                <w:lang w:eastAsia="en-AU"/>
              </w:rPr>
              <w:t xml:space="preserve">found </w:t>
            </w:r>
            <w:r>
              <w:rPr>
                <w:lang w:eastAsia="en-AU"/>
              </w:rPr>
              <w:t xml:space="preserve">there </w:t>
            </w:r>
            <w:r w:rsidR="00245AA4">
              <w:rPr>
                <w:lang w:eastAsia="en-AU"/>
              </w:rPr>
              <w:t>wa</w:t>
            </w:r>
            <w:r>
              <w:rPr>
                <w:lang w:eastAsia="en-AU"/>
              </w:rPr>
              <w:t xml:space="preserve">s sufficient evidence that B-type natriuretic peptide assays, when used in the </w:t>
            </w:r>
            <w:r w:rsidR="005223AC">
              <w:rPr>
                <w:lang w:eastAsia="en-AU"/>
              </w:rPr>
              <w:t xml:space="preserve">hospital emergency setting for the </w:t>
            </w:r>
            <w:r>
              <w:rPr>
                <w:lang w:eastAsia="en-AU"/>
              </w:rPr>
              <w:t xml:space="preserve">diagnosis of heart failure in patients presenting with dyspnoea, </w:t>
            </w:r>
            <w:r w:rsidR="00245AA4">
              <w:rPr>
                <w:lang w:eastAsia="en-AU"/>
              </w:rPr>
              <w:t>we</w:t>
            </w:r>
            <w:r>
              <w:rPr>
                <w:lang w:eastAsia="en-AU"/>
              </w:rPr>
              <w:t>re safe</w:t>
            </w:r>
            <w:r w:rsidR="0003072A">
              <w:rPr>
                <w:lang w:eastAsia="en-AU"/>
              </w:rPr>
              <w:t>,</w:t>
            </w:r>
            <w:r>
              <w:rPr>
                <w:lang w:eastAsia="en-AU"/>
              </w:rPr>
              <w:t xml:space="preserve"> effective (diagnostically accurate)</w:t>
            </w:r>
            <w:r w:rsidR="00913A7D">
              <w:rPr>
                <w:lang w:eastAsia="en-AU"/>
              </w:rPr>
              <w:t>, cost-effective</w:t>
            </w:r>
            <w:r w:rsidR="00F64448">
              <w:rPr>
                <w:lang w:eastAsia="en-AU"/>
              </w:rPr>
              <w:t xml:space="preserve"> and had an acceptable financial cost. MSAC did n</w:t>
            </w:r>
            <w:r w:rsidR="005D64CD">
              <w:rPr>
                <w:lang w:eastAsia="en-AU"/>
              </w:rPr>
              <w:t>ot support public funding for their use in monitoring</w:t>
            </w:r>
            <w:r w:rsidR="00BD4FFB">
              <w:rPr>
                <w:lang w:eastAsia="en-AU"/>
              </w:rPr>
              <w:t xml:space="preserve"> the progress of patients with heart failure</w:t>
            </w:r>
            <w:r>
              <w:rPr>
                <w:lang w:eastAsia="en-AU"/>
              </w:rPr>
              <w:t>.</w:t>
            </w:r>
          </w:p>
        </w:tc>
      </w:tr>
      <w:tr w:rsidR="0082227B" w14:paraId="2BA770F0" w14:textId="77777777" w:rsidTr="00E759AF">
        <w:tc>
          <w:tcPr>
            <w:tcW w:w="1255" w:type="dxa"/>
          </w:tcPr>
          <w:p w14:paraId="142AD3D3" w14:textId="718BC205" w:rsidR="0082227B" w:rsidRDefault="00796804" w:rsidP="003304D9">
            <w:pPr>
              <w:pStyle w:val="TableText"/>
            </w:pPr>
            <w:r>
              <w:rPr>
                <w:lang w:eastAsia="en-AU"/>
              </w:rPr>
              <w:t>May 2007</w:t>
            </w:r>
          </w:p>
        </w:tc>
        <w:tc>
          <w:tcPr>
            <w:tcW w:w="2709" w:type="dxa"/>
          </w:tcPr>
          <w:p w14:paraId="7DB0677F" w14:textId="1E76EBED" w:rsidR="00C648E8" w:rsidRDefault="00C648E8" w:rsidP="00C648E8">
            <w:pPr>
              <w:pStyle w:val="TableText"/>
            </w:pPr>
            <w:r>
              <w:t xml:space="preserve">MSAC </w:t>
            </w:r>
            <w:r w:rsidR="00BE3A39">
              <w:t>a</w:t>
            </w:r>
            <w:r>
              <w:t xml:space="preserve">pplication 1087 - B-type natriuretic peptide assays in the diagnosis of heart failure </w:t>
            </w:r>
          </w:p>
          <w:p w14:paraId="4A0D0D95" w14:textId="737F79DB" w:rsidR="0082227B" w:rsidRDefault="00C648E8" w:rsidP="00C648E8">
            <w:pPr>
              <w:pStyle w:val="TableText"/>
            </w:pPr>
            <w:r>
              <w:t>Part B – in the non-hospital setting</w:t>
            </w:r>
          </w:p>
        </w:tc>
        <w:tc>
          <w:tcPr>
            <w:tcW w:w="5052" w:type="dxa"/>
          </w:tcPr>
          <w:p w14:paraId="71CEF55A" w14:textId="7F6B3649" w:rsidR="0082227B" w:rsidRDefault="00F04277" w:rsidP="003304D9">
            <w:pPr>
              <w:pStyle w:val="TableText"/>
            </w:pPr>
            <w:r w:rsidRPr="00F04277">
              <w:t xml:space="preserve">MSAC </w:t>
            </w:r>
            <w:r w:rsidR="00167FFA">
              <w:t>found</w:t>
            </w:r>
            <w:r w:rsidR="00167FFA" w:rsidRPr="00F04277">
              <w:t xml:space="preserve"> </w:t>
            </w:r>
            <w:r w:rsidRPr="00F04277">
              <w:t xml:space="preserve">there </w:t>
            </w:r>
            <w:r w:rsidR="00167FFA">
              <w:t>wa</w:t>
            </w:r>
            <w:r w:rsidRPr="00F04277">
              <w:t xml:space="preserve">s major uncertainty around the cost effectiveness in the non-hospital setting. MSAC </w:t>
            </w:r>
            <w:r w:rsidR="001B14B0">
              <w:t>advised</w:t>
            </w:r>
            <w:r w:rsidRPr="00F04277">
              <w:t xml:space="preserve"> that public funding </w:t>
            </w:r>
            <w:r w:rsidR="001B14B0">
              <w:t>wa</w:t>
            </w:r>
            <w:r w:rsidRPr="00F04277">
              <w:t xml:space="preserve">s not supported for the use of assays of B-type natriuretic peptides in the diagnosis of heart failure in patients presenting with dyspnoea in the non-hospital setting at this time. MSAC </w:t>
            </w:r>
            <w:r w:rsidR="00A526C5">
              <w:t>advised</w:t>
            </w:r>
            <w:r w:rsidR="00466451">
              <w:t xml:space="preserve"> further</w:t>
            </w:r>
            <w:r w:rsidRPr="00F04277">
              <w:t xml:space="preserve"> research </w:t>
            </w:r>
            <w:r w:rsidR="00F80BE9">
              <w:t xml:space="preserve">should be conducted </w:t>
            </w:r>
            <w:r w:rsidRPr="00F04277">
              <w:t>on the use of BNP in the general practice setting to identify appropriate usage and the patient group most likely to benefit in the non</w:t>
            </w:r>
            <w:r w:rsidR="00840F56">
              <w:t>-</w:t>
            </w:r>
            <w:r w:rsidRPr="00F04277">
              <w:t>hospital setting.</w:t>
            </w:r>
          </w:p>
        </w:tc>
      </w:tr>
      <w:tr w:rsidR="0082227B" w14:paraId="7360B70A" w14:textId="77777777" w:rsidTr="00E759AF">
        <w:tc>
          <w:tcPr>
            <w:tcW w:w="1255" w:type="dxa"/>
          </w:tcPr>
          <w:p w14:paraId="51A468C0" w14:textId="5BBD18DB" w:rsidR="0082227B" w:rsidRDefault="00D46403" w:rsidP="003304D9">
            <w:pPr>
              <w:pStyle w:val="TableText"/>
            </w:pPr>
            <w:r>
              <w:rPr>
                <w:lang w:eastAsia="en-AU"/>
              </w:rPr>
              <w:lastRenderedPageBreak/>
              <w:t>6-7 April 2017</w:t>
            </w:r>
          </w:p>
        </w:tc>
        <w:tc>
          <w:tcPr>
            <w:tcW w:w="2709" w:type="dxa"/>
          </w:tcPr>
          <w:p w14:paraId="6EBA93F9" w14:textId="7BFC2728" w:rsidR="00993D52" w:rsidRDefault="00993D52" w:rsidP="00993D52">
            <w:pPr>
              <w:pStyle w:val="TableText"/>
            </w:pPr>
            <w:r>
              <w:t xml:space="preserve">Report to </w:t>
            </w:r>
            <w:r w:rsidR="00BE3A39">
              <w:t>MSAC</w:t>
            </w:r>
            <w:r>
              <w:t xml:space="preserve"> on real world outcomes of </w:t>
            </w:r>
            <w:r w:rsidR="00BE3A39">
              <w:t>a</w:t>
            </w:r>
            <w:r>
              <w:t xml:space="preserve">pplication 1087: Brain natriuretic peptide assays in the diagnosis and monitoring of heart </w:t>
            </w:r>
            <w:proofErr w:type="gramStart"/>
            <w:r>
              <w:t>failure</w:t>
            </w:r>
            <w:proofErr w:type="gramEnd"/>
          </w:p>
          <w:p w14:paraId="2B53651E" w14:textId="06CB99FE" w:rsidR="0082227B" w:rsidRDefault="00993D52" w:rsidP="00993D52">
            <w:pPr>
              <w:pStyle w:val="TableText"/>
            </w:pPr>
            <w:r>
              <w:t>Hospital emergency department setting</w:t>
            </w:r>
          </w:p>
        </w:tc>
        <w:tc>
          <w:tcPr>
            <w:tcW w:w="5052" w:type="dxa"/>
          </w:tcPr>
          <w:p w14:paraId="395B01CC" w14:textId="7B1CA512" w:rsidR="0082227B" w:rsidRDefault="000B2DA9" w:rsidP="003304D9">
            <w:pPr>
              <w:pStyle w:val="TableText"/>
            </w:pPr>
            <w:r w:rsidRPr="000B2DA9">
              <w:t>After considering the real</w:t>
            </w:r>
            <w:r w:rsidR="0000098F">
              <w:t>-</w:t>
            </w:r>
            <w:r w:rsidRPr="000B2DA9">
              <w:t xml:space="preserve">world </w:t>
            </w:r>
            <w:r w:rsidR="00BF6FE7">
              <w:t>utilisation</w:t>
            </w:r>
            <w:r w:rsidR="00BF6FE7" w:rsidRPr="000B2DA9">
              <w:t xml:space="preserve"> </w:t>
            </w:r>
            <w:r w:rsidRPr="000B2DA9">
              <w:t xml:space="preserve">of the outcomes of </w:t>
            </w:r>
            <w:r w:rsidR="00124C53">
              <w:t xml:space="preserve">MSAC </w:t>
            </w:r>
            <w:r w:rsidRPr="000B2DA9">
              <w:t xml:space="preserve">application 1087, MSAC noted there was significant under-utilisation of </w:t>
            </w:r>
            <w:r w:rsidR="00D56F4F">
              <w:t xml:space="preserve">MBS </w:t>
            </w:r>
            <w:r w:rsidRPr="000B2DA9">
              <w:t xml:space="preserve">item 66830 post-implementation and </w:t>
            </w:r>
            <w:r w:rsidR="00AD2995">
              <w:t>advised</w:t>
            </w:r>
            <w:r w:rsidR="00AD2995" w:rsidRPr="000B2DA9">
              <w:t xml:space="preserve"> </w:t>
            </w:r>
            <w:r w:rsidRPr="000B2DA9">
              <w:t>no further action.</w:t>
            </w:r>
          </w:p>
        </w:tc>
      </w:tr>
    </w:tbl>
    <w:p w14:paraId="208FF509" w14:textId="0A44D35A" w:rsidR="00E83249" w:rsidRDefault="00AF4429" w:rsidP="00AB25C3">
      <w:pPr>
        <w:pStyle w:val="TableFigureFooter"/>
      </w:pPr>
      <w:r w:rsidRPr="00FF725D">
        <w:rPr>
          <w:b/>
        </w:rPr>
        <w:t>Source:</w:t>
      </w:r>
      <w:r>
        <w:t xml:space="preserve"> </w:t>
      </w:r>
      <w:r w:rsidR="0044470E">
        <w:t>Adapted from</w:t>
      </w:r>
      <w:r w:rsidR="00FE4F93">
        <w:t xml:space="preserve"> </w:t>
      </w:r>
      <w:r>
        <w:t xml:space="preserve">Commentary Table </w:t>
      </w:r>
      <w:r w:rsidR="00D46AF5">
        <w:t xml:space="preserve">1 of </w:t>
      </w:r>
      <w:r w:rsidR="00FE654F">
        <w:t>MSAC 1740 ADAR+ in-line commentary</w:t>
      </w:r>
    </w:p>
    <w:p w14:paraId="6CDABB9C" w14:textId="2D5771CA" w:rsidR="00DE1588" w:rsidRPr="00310C3F" w:rsidRDefault="0085400C" w:rsidP="008F202C">
      <w:pPr>
        <w:keepNext/>
      </w:pPr>
      <w:r>
        <w:t xml:space="preserve">Previous observations made by MSAC in </w:t>
      </w:r>
      <w:r w:rsidR="003B7C72">
        <w:t xml:space="preserve">its </w:t>
      </w:r>
      <w:r>
        <w:t xml:space="preserve">May 2007 consideration of </w:t>
      </w:r>
      <w:r w:rsidR="00300434">
        <w:t xml:space="preserve">B-type </w:t>
      </w:r>
      <w:r>
        <w:t>natriuretic peptides for diagnosing HF in the non-hospital setting (MSAC application 1087</w:t>
      </w:r>
      <w:r w:rsidR="00300434">
        <w:t>, part B</w:t>
      </w:r>
      <w:r>
        <w:t>) are summarised in</w:t>
      </w:r>
      <w:r w:rsidR="003C2600">
        <w:t xml:space="preserve"> </w:t>
      </w:r>
      <w:r>
        <w:fldChar w:fldCharType="begin"/>
      </w:r>
      <w:r>
        <w:instrText xml:space="preserve"> REF _Ref69480768 \h </w:instrText>
      </w:r>
      <w:r>
        <w:fldChar w:fldCharType="separate"/>
      </w:r>
      <w:r w:rsidR="00472DB9">
        <w:t xml:space="preserve">Table </w:t>
      </w:r>
      <w:r w:rsidR="00472DB9">
        <w:rPr>
          <w:noProof/>
        </w:rPr>
        <w:t>3</w:t>
      </w:r>
      <w:r>
        <w:fldChar w:fldCharType="end"/>
      </w:r>
      <w:r w:rsidR="007C269C">
        <w:t xml:space="preserve">, based on the key matters of concern described in </w:t>
      </w:r>
      <w:r w:rsidR="00125D45">
        <w:t>A</w:t>
      </w:r>
      <w:r w:rsidR="009E61F6">
        <w:t>ppendix A</w:t>
      </w:r>
      <w:r w:rsidR="007C269C">
        <w:t xml:space="preserve"> of the 1740 PICO</w:t>
      </w:r>
      <w:r w:rsidR="00023717">
        <w:t xml:space="preserve"> Confirmation</w:t>
      </w:r>
      <w:r w:rsidR="00E301FF">
        <w:t>.</w:t>
      </w:r>
      <w:r w:rsidR="00930AE8">
        <w:t xml:space="preserve"> </w:t>
      </w:r>
    </w:p>
    <w:p w14:paraId="6EC12EDF" w14:textId="55187347" w:rsidR="0068682C" w:rsidRPr="00CE28E3" w:rsidRDefault="0040629F" w:rsidP="0068682C">
      <w:pPr>
        <w:pStyle w:val="Caption"/>
      </w:pPr>
      <w:bookmarkStart w:id="6" w:name="_Ref69480768"/>
      <w:bookmarkStart w:id="7" w:name="_Hlk69734557"/>
      <w:bookmarkEnd w:id="4"/>
      <w:r>
        <w:t xml:space="preserve">Table </w:t>
      </w:r>
      <w:r>
        <w:fldChar w:fldCharType="begin"/>
      </w:r>
      <w:r>
        <w:instrText>SEQ Table \* ARABIC</w:instrText>
      </w:r>
      <w:r>
        <w:fldChar w:fldCharType="separate"/>
      </w:r>
      <w:r w:rsidR="00472DB9">
        <w:rPr>
          <w:noProof/>
        </w:rPr>
        <w:t>3</w:t>
      </w:r>
      <w:r>
        <w:fldChar w:fldCharType="end"/>
      </w:r>
      <w:bookmarkEnd w:id="6"/>
      <w:r w:rsidR="0068682C" w:rsidRPr="00CE28E3">
        <w:tab/>
        <w:t>Summary of key matters of concern</w:t>
      </w:r>
      <w:r w:rsidR="00413A4C">
        <w:t xml:space="preserve"> from MSAC application 1087</w:t>
      </w:r>
      <w:r w:rsidR="00423971">
        <w:t xml:space="preserve"> – </w:t>
      </w:r>
      <w:r w:rsidR="007C0F54">
        <w:t xml:space="preserve">part B, </w:t>
      </w:r>
      <w:r w:rsidR="00423971">
        <w:t>non</w:t>
      </w:r>
      <w:r w:rsidR="00840F56">
        <w:t>-</w:t>
      </w:r>
      <w:r w:rsidR="00423971">
        <w:t>hospital setting</w:t>
      </w:r>
    </w:p>
    <w:tbl>
      <w:tblPr>
        <w:tblStyle w:val="TableGrid1"/>
        <w:tblW w:w="0" w:type="auto"/>
        <w:tblLook w:val="04A0" w:firstRow="1" w:lastRow="0" w:firstColumn="1" w:lastColumn="0" w:noHBand="0" w:noVBand="1"/>
        <w:tblCaption w:val="Summary of key matters of concern from MSAC application 1087 – non-hospital setting"/>
        <w:tblDescription w:val="The table shows the component of the application, matter of concern and updated evidence required, and how the current assessment report addresses the concern for MSAC application 1087."/>
      </w:tblPr>
      <w:tblGrid>
        <w:gridCol w:w="1205"/>
        <w:gridCol w:w="3740"/>
        <w:gridCol w:w="4071"/>
      </w:tblGrid>
      <w:tr w:rsidR="002E15CF" w:rsidRPr="00CE28E3" w14:paraId="2BDCC27B" w14:textId="5975F078" w:rsidTr="00E301FF">
        <w:trPr>
          <w:cnfStyle w:val="100000000000" w:firstRow="1" w:lastRow="0" w:firstColumn="0" w:lastColumn="0" w:oddVBand="0" w:evenVBand="0" w:oddHBand="0" w:evenHBand="0" w:firstRowFirstColumn="0" w:firstRowLastColumn="0" w:lastRowFirstColumn="0" w:lastRowLastColumn="0"/>
          <w:cantSplit/>
          <w:tblHeader/>
        </w:trPr>
        <w:tc>
          <w:tcPr>
            <w:tcW w:w="0" w:type="auto"/>
            <w:shd w:val="clear" w:color="auto" w:fill="auto"/>
          </w:tcPr>
          <w:p w14:paraId="58F6A808" w14:textId="77777777" w:rsidR="002E15CF" w:rsidRPr="00CE28E3" w:rsidRDefault="002E15CF" w:rsidP="00183A78">
            <w:pPr>
              <w:pStyle w:val="In-tableHeading"/>
              <w:keepNext w:val="0"/>
            </w:pPr>
            <w:bookmarkStart w:id="8" w:name="ColumnTitle_Table1"/>
            <w:bookmarkStart w:id="9" w:name="_Hlk68275590"/>
            <w:bookmarkEnd w:id="8"/>
            <w:r w:rsidRPr="00CE28E3">
              <w:t>Component</w:t>
            </w:r>
          </w:p>
        </w:tc>
        <w:tc>
          <w:tcPr>
            <w:tcW w:w="3740" w:type="dxa"/>
            <w:shd w:val="clear" w:color="auto" w:fill="auto"/>
          </w:tcPr>
          <w:p w14:paraId="09992FB9" w14:textId="2A863136" w:rsidR="002E15CF" w:rsidRPr="00CE28E3" w:rsidRDefault="002E15CF" w:rsidP="00183A78">
            <w:pPr>
              <w:pStyle w:val="In-tableHeading"/>
              <w:keepNext w:val="0"/>
            </w:pPr>
            <w:r w:rsidRPr="00CE28E3">
              <w:t>Matter</w:t>
            </w:r>
            <w:r w:rsidR="006C2158">
              <w:t>s</w:t>
            </w:r>
            <w:r w:rsidRPr="00CE28E3">
              <w:t xml:space="preserve"> of concern</w:t>
            </w:r>
            <w:r w:rsidR="00413A4C">
              <w:t xml:space="preserve"> from application 1087</w:t>
            </w:r>
            <w:r w:rsidR="00DF28A3">
              <w:t>, and updated evidence required</w:t>
            </w:r>
          </w:p>
        </w:tc>
        <w:tc>
          <w:tcPr>
            <w:tcW w:w="4071" w:type="dxa"/>
            <w:shd w:val="clear" w:color="auto" w:fill="auto"/>
          </w:tcPr>
          <w:p w14:paraId="54C88680" w14:textId="512CD4E8" w:rsidR="002E15CF" w:rsidRPr="00CE28E3" w:rsidRDefault="002E15CF" w:rsidP="00183A78">
            <w:pPr>
              <w:pStyle w:val="In-tableHeading"/>
              <w:keepNext w:val="0"/>
            </w:pPr>
            <w:r w:rsidRPr="00CE28E3">
              <w:t xml:space="preserve">How the </w:t>
            </w:r>
            <w:r w:rsidR="00851A7D">
              <w:t xml:space="preserve">commentary considered </w:t>
            </w:r>
            <w:r>
              <w:t>current assessment report addresses</w:t>
            </w:r>
            <w:r w:rsidRPr="00CE28E3">
              <w:t xml:space="preserve"> </w:t>
            </w:r>
            <w:r w:rsidR="000801EB">
              <w:t xml:space="preserve">the </w:t>
            </w:r>
            <w:r w:rsidR="006C2158">
              <w:t>matter of concern</w:t>
            </w:r>
          </w:p>
        </w:tc>
      </w:tr>
      <w:tr w:rsidR="002E15CF" w:rsidRPr="00CE28E3" w14:paraId="0D0A7682" w14:textId="33CD0FAC" w:rsidTr="00E301FF">
        <w:trPr>
          <w:cantSplit/>
        </w:trPr>
        <w:tc>
          <w:tcPr>
            <w:tcW w:w="0" w:type="auto"/>
          </w:tcPr>
          <w:p w14:paraId="4F1DA453" w14:textId="668C2D16" w:rsidR="002E15CF" w:rsidRPr="00966F81" w:rsidRDefault="002E15CF" w:rsidP="00183A78">
            <w:pPr>
              <w:pStyle w:val="TableText"/>
            </w:pPr>
            <w:r w:rsidRPr="00966F81">
              <w:t>Patient population</w:t>
            </w:r>
          </w:p>
        </w:tc>
        <w:tc>
          <w:tcPr>
            <w:tcW w:w="3740" w:type="dxa"/>
          </w:tcPr>
          <w:p w14:paraId="3F35F478" w14:textId="2661011F" w:rsidR="002E15CF" w:rsidRPr="00CE28E3" w:rsidRDefault="002E15CF" w:rsidP="00183A78">
            <w:pPr>
              <w:pStyle w:val="TableText"/>
            </w:pPr>
            <w:r w:rsidRPr="00280A3B">
              <w:t xml:space="preserve">MSAC </w:t>
            </w:r>
            <w:r w:rsidR="00680A80">
              <w:t>advised further</w:t>
            </w:r>
            <w:r w:rsidRPr="00280A3B">
              <w:t xml:space="preserve"> research on the use of BNP in the general practice setting to identify appropriate usage and the patient group most likely to benefit in the non-hospital setting</w:t>
            </w:r>
            <w:r w:rsidR="004B5576">
              <w:t xml:space="preserve"> (PSD, p.3)</w:t>
            </w:r>
            <w:r w:rsidRPr="00280A3B">
              <w:t>.</w:t>
            </w:r>
          </w:p>
        </w:tc>
        <w:tc>
          <w:tcPr>
            <w:tcW w:w="4071" w:type="dxa"/>
          </w:tcPr>
          <w:p w14:paraId="67BE4346" w14:textId="1C999219" w:rsidR="002E15CF" w:rsidRDefault="00B92C2B" w:rsidP="00183A78">
            <w:pPr>
              <w:pStyle w:val="TableText"/>
            </w:pPr>
            <w:r>
              <w:t>N</w:t>
            </w:r>
            <w:r w:rsidR="002E15CF" w:rsidRPr="00BC4972">
              <w:t>ot addressed</w:t>
            </w:r>
            <w:r w:rsidR="00114346">
              <w:t>.</w:t>
            </w:r>
          </w:p>
          <w:p w14:paraId="13F08427" w14:textId="341620E6" w:rsidR="002E15CF" w:rsidRPr="00CE28E3" w:rsidRDefault="002E15CF" w:rsidP="00183A78">
            <w:pPr>
              <w:pStyle w:val="TableText"/>
            </w:pPr>
            <w:r>
              <w:t xml:space="preserve">The patient population specified in the PICO </w:t>
            </w:r>
            <w:r w:rsidR="009E61F6">
              <w:t>wa</w:t>
            </w:r>
            <w:r>
              <w:t>s ‘people with signs and/or symptoms consistent with HF in whom a HF diagnosis is suspect</w:t>
            </w:r>
            <w:r w:rsidR="009E28BC">
              <w:t>ed</w:t>
            </w:r>
            <w:r>
              <w:t xml:space="preserve"> but uncertain.’ The extent to which these patients are </w:t>
            </w:r>
            <w:r w:rsidR="00FB63D4">
              <w:t>appropriately</w:t>
            </w:r>
            <w:r>
              <w:t xml:space="preserve"> treated currently</w:t>
            </w:r>
            <w:r w:rsidR="00C4143C">
              <w:t>,</w:t>
            </w:r>
            <w:r>
              <w:t xml:space="preserve"> and how broadly the test is likely to be used in practice</w:t>
            </w:r>
            <w:r w:rsidR="00C4143C">
              <w:t>,</w:t>
            </w:r>
            <w:r>
              <w:t xml:space="preserve"> </w:t>
            </w:r>
            <w:r w:rsidR="009E61F6">
              <w:t>we</w:t>
            </w:r>
            <w:r>
              <w:t>re not addressed.</w:t>
            </w:r>
          </w:p>
        </w:tc>
      </w:tr>
      <w:tr w:rsidR="002E15CF" w:rsidRPr="00CE28E3" w14:paraId="4C3B6A2C" w14:textId="48EF64D4" w:rsidTr="00E301FF">
        <w:trPr>
          <w:cantSplit/>
        </w:trPr>
        <w:tc>
          <w:tcPr>
            <w:tcW w:w="0" w:type="auto"/>
          </w:tcPr>
          <w:p w14:paraId="3ADC1FC4" w14:textId="15EDC95F" w:rsidR="002E15CF" w:rsidRPr="00CE28E3" w:rsidRDefault="002E15CF" w:rsidP="00183A78">
            <w:pPr>
              <w:pStyle w:val="Tabletext0"/>
            </w:pPr>
            <w:r w:rsidRPr="00310C7C">
              <w:t>Test performance</w:t>
            </w:r>
          </w:p>
        </w:tc>
        <w:tc>
          <w:tcPr>
            <w:tcW w:w="3740" w:type="dxa"/>
          </w:tcPr>
          <w:p w14:paraId="2739E5F3" w14:textId="4FF8E614" w:rsidR="002E15CF" w:rsidRDefault="002E15CF" w:rsidP="00183A78">
            <w:pPr>
              <w:pStyle w:val="TableText"/>
              <w:rPr>
                <w:rFonts w:cs="Arial"/>
                <w:snapToGrid w:val="0"/>
              </w:rPr>
            </w:pPr>
            <w:r w:rsidRPr="00064290">
              <w:rPr>
                <w:rFonts w:cs="Arial"/>
                <w:snapToGrid w:val="0"/>
              </w:rPr>
              <w:t>MSAC found there was sufficient evidence that BNP assays, when used in the diagnosis of HF, are effective and safe. However, the assessment report identified that it is unlikely that the use of the NT-</w:t>
            </w:r>
            <w:proofErr w:type="spellStart"/>
            <w:r w:rsidRPr="00064290">
              <w:rPr>
                <w:rFonts w:cs="Arial"/>
                <w:snapToGrid w:val="0"/>
              </w:rPr>
              <w:t>proBNP</w:t>
            </w:r>
            <w:proofErr w:type="spellEnd"/>
            <w:r w:rsidRPr="00064290">
              <w:rPr>
                <w:rFonts w:cs="Arial"/>
                <w:snapToGrid w:val="0"/>
              </w:rPr>
              <w:t xml:space="preserve"> test would result in earlier identification of HF than currently for patients due to the low positive predictive value of the test and thus the need for further testing.</w:t>
            </w:r>
          </w:p>
          <w:p w14:paraId="29BB6916" w14:textId="1A9F74E5" w:rsidR="002E15CF" w:rsidRPr="00CE28E3" w:rsidRDefault="001C639D" w:rsidP="00183A78">
            <w:pPr>
              <w:pStyle w:val="TableText"/>
              <w:rPr>
                <w:rFonts w:cs="Arial"/>
                <w:snapToGrid w:val="0"/>
              </w:rPr>
            </w:pPr>
            <w:r>
              <w:rPr>
                <w:rFonts w:cs="Arial"/>
                <w:snapToGrid w:val="0"/>
              </w:rPr>
              <w:t>MSAC advised t</w:t>
            </w:r>
            <w:r w:rsidRPr="00F44CC7">
              <w:rPr>
                <w:rFonts w:cs="Arial"/>
                <w:snapToGrid w:val="0"/>
              </w:rPr>
              <w:t xml:space="preserve">he </w:t>
            </w:r>
            <w:r w:rsidR="002E15CF" w:rsidRPr="00F44CC7">
              <w:rPr>
                <w:rFonts w:cs="Arial"/>
                <w:snapToGrid w:val="0"/>
              </w:rPr>
              <w:t>assessment report should provide updated evidence on the test performance and the resulting change in management (time to appropriate diagnosis and treatment) to support the clinical claim in this application</w:t>
            </w:r>
            <w:r w:rsidR="00BA570B">
              <w:rPr>
                <w:rFonts w:cs="Arial"/>
                <w:snapToGrid w:val="0"/>
              </w:rPr>
              <w:t xml:space="preserve"> </w:t>
            </w:r>
            <w:r w:rsidR="00BA570B">
              <w:t>(PSD, p.3)</w:t>
            </w:r>
            <w:r w:rsidR="002E15CF" w:rsidRPr="00F44CC7">
              <w:rPr>
                <w:rFonts w:cs="Arial"/>
                <w:snapToGrid w:val="0"/>
              </w:rPr>
              <w:t>.</w:t>
            </w:r>
          </w:p>
        </w:tc>
        <w:tc>
          <w:tcPr>
            <w:tcW w:w="4071" w:type="dxa"/>
          </w:tcPr>
          <w:p w14:paraId="6BFB4424" w14:textId="47F5A258" w:rsidR="002E15CF" w:rsidRDefault="002E15CF" w:rsidP="00183A78">
            <w:pPr>
              <w:pStyle w:val="TableText"/>
            </w:pPr>
            <w:r w:rsidRPr="00BC4972">
              <w:t>Not adequately addressed</w:t>
            </w:r>
            <w:r w:rsidR="00114346">
              <w:t>.</w:t>
            </w:r>
          </w:p>
          <w:p w14:paraId="15BB4464" w14:textId="62B2CDEC" w:rsidR="002E15CF" w:rsidRPr="00CE28E3" w:rsidRDefault="002E15CF" w:rsidP="00183A78">
            <w:pPr>
              <w:pStyle w:val="TableText"/>
              <w:rPr>
                <w:rFonts w:cs="Arial"/>
                <w:bCs/>
                <w:snapToGrid w:val="0"/>
              </w:rPr>
            </w:pPr>
            <w:r>
              <w:t>The ADAR included one study on change in management (</w:t>
            </w:r>
            <w:proofErr w:type="spellStart"/>
            <w:r>
              <w:t>Burri</w:t>
            </w:r>
            <w:proofErr w:type="spellEnd"/>
            <w:r>
              <w:t>, 2012). The study used a BNP point-of-care test</w:t>
            </w:r>
            <w:r w:rsidR="009E61F6">
              <w:t>,</w:t>
            </w:r>
            <w:r>
              <w:t xml:space="preserve"> which limit</w:t>
            </w:r>
            <w:r w:rsidR="0098622D">
              <w:t>ed</w:t>
            </w:r>
            <w:r>
              <w:t xml:space="preserve"> the applicability regarding time to appropriate treatment (</w:t>
            </w:r>
            <w:r w:rsidR="003E756D">
              <w:t xml:space="preserve">which </w:t>
            </w:r>
            <w:r>
              <w:t>was initiated on</w:t>
            </w:r>
            <w:r w:rsidR="0098622D">
              <w:t>-</w:t>
            </w:r>
            <w:r>
              <w:t>the</w:t>
            </w:r>
            <w:r w:rsidR="0098622D">
              <w:t>-</w:t>
            </w:r>
            <w:r>
              <w:t>day in 66% of patients in the BNP group</w:t>
            </w:r>
            <w:r w:rsidR="003E756D">
              <w:t xml:space="preserve"> in the study</w:t>
            </w:r>
            <w:r>
              <w:t>). This outcome was assessed as very low certainty</w:t>
            </w:r>
            <w:r w:rsidR="003E756D">
              <w:t xml:space="preserve"> evidence</w:t>
            </w:r>
            <w:r w:rsidR="002C18D0">
              <w:t xml:space="preserve"> according to GRADE</w:t>
            </w:r>
            <w:r>
              <w:t>. Additional direct and change in management outcomes were not reported</w:t>
            </w:r>
            <w:r w:rsidR="00362799">
              <w:t xml:space="preserve"> </w:t>
            </w:r>
            <w:r>
              <w:t>in the ADAR</w:t>
            </w:r>
            <w:r w:rsidR="009C0F7F">
              <w:t>. Those reported by the commentary</w:t>
            </w:r>
            <w:r w:rsidR="00000905">
              <w:t xml:space="preserve"> </w:t>
            </w:r>
            <w:r>
              <w:t>d</w:t>
            </w:r>
            <w:r w:rsidR="009B0D1D">
              <w:t>id</w:t>
            </w:r>
            <w:r>
              <w:t xml:space="preserve"> not support improved HF outcomes. If there is a clinical benefit</w:t>
            </w:r>
            <w:r w:rsidR="00B5610A">
              <w:t>,</w:t>
            </w:r>
            <w:r>
              <w:t xml:space="preserve"> it is likely to be in patients with alternative diagnoses in which HF can be more rapidly excluded</w:t>
            </w:r>
            <w:r w:rsidR="00B5610A">
              <w:t>. T</w:t>
            </w:r>
            <w:r>
              <w:t xml:space="preserve">he ADAR </w:t>
            </w:r>
            <w:r w:rsidR="0098622D">
              <w:t xml:space="preserve">did </w:t>
            </w:r>
            <w:r>
              <w:t>not provide clinical evidence to support this</w:t>
            </w:r>
            <w:r w:rsidR="0098622D">
              <w:t>,</w:t>
            </w:r>
            <w:r>
              <w:t xml:space="preserve"> </w:t>
            </w:r>
            <w:r w:rsidR="0098622D">
              <w:t>n</w:t>
            </w:r>
            <w:r>
              <w:t>or model these outcomes in the economic analysis.</w:t>
            </w:r>
          </w:p>
        </w:tc>
      </w:tr>
      <w:tr w:rsidR="002E15CF" w:rsidRPr="00CE28E3" w14:paraId="3B9AD9C3" w14:textId="24E266FC" w:rsidTr="00E301FF">
        <w:trPr>
          <w:cantSplit/>
        </w:trPr>
        <w:tc>
          <w:tcPr>
            <w:tcW w:w="0" w:type="auto"/>
          </w:tcPr>
          <w:p w14:paraId="23382853" w14:textId="74EE36F5" w:rsidR="002E15CF" w:rsidRPr="00CE28E3" w:rsidRDefault="002E15CF" w:rsidP="00183A78">
            <w:pPr>
              <w:pStyle w:val="TableText"/>
            </w:pPr>
            <w:r w:rsidRPr="00610416">
              <w:lastRenderedPageBreak/>
              <w:t>Health outcomes</w:t>
            </w:r>
          </w:p>
        </w:tc>
        <w:tc>
          <w:tcPr>
            <w:tcW w:w="3740" w:type="dxa"/>
          </w:tcPr>
          <w:p w14:paraId="3A139A1F" w14:textId="21DF3D18" w:rsidR="002E15CF" w:rsidRDefault="002E15CF" w:rsidP="00183A78">
            <w:pPr>
              <w:pStyle w:val="TableText"/>
            </w:pPr>
            <w:r w:rsidRPr="00D854B4">
              <w:t>Clinical impact of the test (i.e.</w:t>
            </w:r>
            <w:r w:rsidR="00B54303">
              <w:t>,</w:t>
            </w:r>
            <w:r w:rsidRPr="00D854B4">
              <w:t xml:space="preserve"> on health outcomes) was unknown in non-hospital settings.</w:t>
            </w:r>
          </w:p>
          <w:p w14:paraId="3C6FBFDC" w14:textId="5A607713" w:rsidR="002E15CF" w:rsidRPr="00CE28E3" w:rsidRDefault="00EF7D45" w:rsidP="00183A78">
            <w:pPr>
              <w:pStyle w:val="TableText"/>
            </w:pPr>
            <w:r>
              <w:t>MSAC advised that i</w:t>
            </w:r>
            <w:r w:rsidR="002E15CF" w:rsidRPr="00653EA8">
              <w:t>f there is a change in diagnosis, timing of diagnosis or treatment, or patient behaviour resulting from the use of NT-</w:t>
            </w:r>
            <w:proofErr w:type="spellStart"/>
            <w:r w:rsidR="002E15CF" w:rsidRPr="00653EA8">
              <w:t>proBNP</w:t>
            </w:r>
            <w:proofErr w:type="spellEnd"/>
            <w:r w:rsidR="002E15CF" w:rsidRPr="00653EA8">
              <w:t>, the assessment report should assess whether this change in management leads to better health outcomes</w:t>
            </w:r>
            <w:r w:rsidR="00BA570B">
              <w:t xml:space="preserve"> (PSD, p.3)</w:t>
            </w:r>
            <w:r w:rsidR="002E15CF" w:rsidRPr="00653EA8">
              <w:t>.</w:t>
            </w:r>
          </w:p>
        </w:tc>
        <w:tc>
          <w:tcPr>
            <w:tcW w:w="4071" w:type="dxa"/>
          </w:tcPr>
          <w:p w14:paraId="1F8D5AA1" w14:textId="7875D4A8" w:rsidR="00E22367" w:rsidRDefault="002E15CF" w:rsidP="00183A78">
            <w:pPr>
              <w:pStyle w:val="TableText"/>
              <w:rPr>
                <w:rFonts w:cs="Arial"/>
                <w:snapToGrid w:val="0"/>
              </w:rPr>
            </w:pPr>
            <w:r w:rsidRPr="00BC4972">
              <w:t>Not adequately addressed</w:t>
            </w:r>
            <w:r w:rsidR="00B5610A">
              <w:t>.</w:t>
            </w:r>
            <w:r w:rsidRPr="004452B6">
              <w:rPr>
                <w:rFonts w:cs="Arial"/>
                <w:snapToGrid w:val="0"/>
              </w:rPr>
              <w:t xml:space="preserve"> </w:t>
            </w:r>
          </w:p>
          <w:p w14:paraId="14140064" w14:textId="7BAEAFF1" w:rsidR="002E15CF" w:rsidRPr="004452B6" w:rsidRDefault="002E15CF" w:rsidP="00183A78">
            <w:pPr>
              <w:pStyle w:val="TableText"/>
              <w:rPr>
                <w:rFonts w:cs="Arial"/>
                <w:snapToGrid w:val="0"/>
              </w:rPr>
            </w:pPr>
            <w:r w:rsidRPr="004452B6">
              <w:rPr>
                <w:rFonts w:cs="Arial"/>
                <w:snapToGrid w:val="0"/>
              </w:rPr>
              <w:t xml:space="preserve">The commentary added health outcomes reported in </w:t>
            </w:r>
            <w:proofErr w:type="spellStart"/>
            <w:r w:rsidRPr="004452B6">
              <w:rPr>
                <w:rFonts w:cs="Arial"/>
                <w:snapToGrid w:val="0"/>
              </w:rPr>
              <w:t>Burri</w:t>
            </w:r>
            <w:proofErr w:type="spellEnd"/>
            <w:r w:rsidRPr="004452B6">
              <w:rPr>
                <w:rFonts w:cs="Arial"/>
                <w:snapToGrid w:val="0"/>
              </w:rPr>
              <w:t xml:space="preserve"> (2012) and </w:t>
            </w:r>
            <w:proofErr w:type="spellStart"/>
            <w:r w:rsidRPr="004452B6">
              <w:rPr>
                <w:rFonts w:cs="Arial"/>
                <w:snapToGrid w:val="0"/>
              </w:rPr>
              <w:t>Najbjerg</w:t>
            </w:r>
            <w:proofErr w:type="spellEnd"/>
            <w:r w:rsidRPr="004452B6">
              <w:rPr>
                <w:rFonts w:cs="Arial"/>
                <w:snapToGrid w:val="0"/>
              </w:rPr>
              <w:t xml:space="preserve"> (2019). These outcomes did not show a benefit of NT-</w:t>
            </w:r>
            <w:proofErr w:type="spellStart"/>
            <w:r w:rsidRPr="004452B6">
              <w:rPr>
                <w:rFonts w:cs="Arial"/>
                <w:snapToGrid w:val="0"/>
              </w:rPr>
              <w:t>proBNP</w:t>
            </w:r>
            <w:proofErr w:type="spellEnd"/>
            <w:r w:rsidRPr="004452B6">
              <w:rPr>
                <w:rFonts w:cs="Arial"/>
                <w:snapToGrid w:val="0"/>
              </w:rPr>
              <w:t xml:space="preserve"> testing. </w:t>
            </w:r>
          </w:p>
          <w:p w14:paraId="26202E3E" w14:textId="5B9528A0" w:rsidR="002E15CF" w:rsidRPr="00CE28E3" w:rsidRDefault="002E15CF" w:rsidP="00183A78">
            <w:pPr>
              <w:pStyle w:val="TableText"/>
              <w:rPr>
                <w:rFonts w:cs="Arial"/>
                <w:bCs/>
                <w:snapToGrid w:val="0"/>
              </w:rPr>
            </w:pPr>
            <w:r w:rsidRPr="004452B6">
              <w:rPr>
                <w:rFonts w:cs="Arial"/>
                <w:snapToGrid w:val="0"/>
              </w:rPr>
              <w:t xml:space="preserve">The ADAR relied on </w:t>
            </w:r>
            <w:r w:rsidR="004C2E12">
              <w:rPr>
                <w:rFonts w:cs="Arial"/>
                <w:snapToGrid w:val="0"/>
              </w:rPr>
              <w:t xml:space="preserve">assumed perfect </w:t>
            </w:r>
            <w:r w:rsidRPr="004452B6">
              <w:rPr>
                <w:rFonts w:cs="Arial"/>
                <w:snapToGrid w:val="0"/>
              </w:rPr>
              <w:t xml:space="preserve">adherence to clinical practice guidelines to assess the benefit of the testing strategy, however published evidence </w:t>
            </w:r>
            <w:r w:rsidR="004C2E12">
              <w:rPr>
                <w:rFonts w:cs="Arial"/>
                <w:snapToGrid w:val="0"/>
              </w:rPr>
              <w:t xml:space="preserve">showed </w:t>
            </w:r>
            <w:r w:rsidRPr="004452B6">
              <w:rPr>
                <w:rFonts w:cs="Arial"/>
                <w:snapToGrid w:val="0"/>
              </w:rPr>
              <w:t>that such guidelines are poorly adhered to in this patient population (</w:t>
            </w:r>
            <w:proofErr w:type="spellStart"/>
            <w:r w:rsidRPr="004452B6">
              <w:rPr>
                <w:rFonts w:cs="Arial"/>
                <w:snapToGrid w:val="0"/>
              </w:rPr>
              <w:t>Sindone</w:t>
            </w:r>
            <w:proofErr w:type="spellEnd"/>
            <w:r w:rsidRPr="004452B6">
              <w:rPr>
                <w:rFonts w:cs="Arial"/>
                <w:snapToGrid w:val="0"/>
              </w:rPr>
              <w:t>, 2021</w:t>
            </w:r>
            <w:r w:rsidR="00C85C1B">
              <w:rPr>
                <w:rStyle w:val="FootnoteReference"/>
                <w:rFonts w:cs="Arial"/>
                <w:snapToGrid w:val="0"/>
              </w:rPr>
              <w:footnoteReference w:id="13"/>
            </w:r>
            <w:r w:rsidRPr="004452B6">
              <w:rPr>
                <w:rFonts w:cs="Arial"/>
                <w:snapToGrid w:val="0"/>
              </w:rPr>
              <w:t xml:space="preserve">; </w:t>
            </w:r>
            <w:proofErr w:type="spellStart"/>
            <w:r w:rsidRPr="004452B6">
              <w:rPr>
                <w:rFonts w:cs="Arial"/>
                <w:snapToGrid w:val="0"/>
              </w:rPr>
              <w:t>Hayhoe</w:t>
            </w:r>
            <w:proofErr w:type="spellEnd"/>
            <w:r w:rsidRPr="004452B6">
              <w:rPr>
                <w:rFonts w:cs="Arial"/>
                <w:snapToGrid w:val="0"/>
              </w:rPr>
              <w:t>, 2018</w:t>
            </w:r>
            <w:r w:rsidR="00C077F1">
              <w:rPr>
                <w:rStyle w:val="FootnoteReference"/>
                <w:rFonts w:cs="Arial"/>
                <w:snapToGrid w:val="0"/>
              </w:rPr>
              <w:footnoteReference w:id="14"/>
            </w:r>
            <w:r w:rsidRPr="004452B6">
              <w:rPr>
                <w:rFonts w:cs="Arial"/>
                <w:snapToGrid w:val="0"/>
              </w:rPr>
              <w:t>).</w:t>
            </w:r>
          </w:p>
        </w:tc>
      </w:tr>
      <w:tr w:rsidR="002E15CF" w:rsidRPr="00CE28E3" w14:paraId="69927986" w14:textId="77777777" w:rsidTr="00E301FF">
        <w:trPr>
          <w:cantSplit/>
        </w:trPr>
        <w:tc>
          <w:tcPr>
            <w:tcW w:w="0" w:type="auto"/>
          </w:tcPr>
          <w:p w14:paraId="025E2CD2" w14:textId="6706BF1C" w:rsidR="002E15CF" w:rsidRPr="00610416" w:rsidRDefault="002E15CF" w:rsidP="00183A78">
            <w:pPr>
              <w:pStyle w:val="TableText"/>
            </w:pPr>
            <w:r w:rsidRPr="002E15CF">
              <w:t>Cost-effectiveness</w:t>
            </w:r>
          </w:p>
        </w:tc>
        <w:tc>
          <w:tcPr>
            <w:tcW w:w="3740" w:type="dxa"/>
          </w:tcPr>
          <w:p w14:paraId="134749FA" w14:textId="0D17F05C" w:rsidR="009A7843" w:rsidRDefault="009A7843" w:rsidP="00183A78">
            <w:pPr>
              <w:pStyle w:val="TableText"/>
            </w:pPr>
            <w:r>
              <w:t>MSAC found there was major uncertainty around the cost-effectiveness of NT-</w:t>
            </w:r>
            <w:proofErr w:type="spellStart"/>
            <w:r>
              <w:t>proBNP</w:t>
            </w:r>
            <w:proofErr w:type="spellEnd"/>
            <w:r>
              <w:t xml:space="preserve"> testing in the non-hospital setting.</w:t>
            </w:r>
          </w:p>
          <w:p w14:paraId="71EA2D3B" w14:textId="044456F3" w:rsidR="002E15CF" w:rsidRPr="00D854B4" w:rsidRDefault="005920EA" w:rsidP="00183A78">
            <w:pPr>
              <w:pStyle w:val="TableText"/>
            </w:pPr>
            <w:r>
              <w:t>MSAC noted that c</w:t>
            </w:r>
            <w:r w:rsidR="009A7843">
              <w:t>ost-effectiveness usually depended on referral propensity. This was explored, though the three referral pattern scenarios all assumed that 100% of patients would currently receive an echocardiogram as per guidelines, and MSAC was concerned that available data suggested that actual echocardiogram referral rates may range from 3.8% to 17.7% for patients with new symptoms suggestive of HF. Results of a one-way sensitivity analysis suggested that BNP testing would not be cost-saving if GPs currently refer this patient group to echocardiography at a rate of 60% or lower.</w:t>
            </w:r>
          </w:p>
        </w:tc>
        <w:tc>
          <w:tcPr>
            <w:tcW w:w="4071" w:type="dxa"/>
          </w:tcPr>
          <w:p w14:paraId="37159D9C" w14:textId="156F66D4" w:rsidR="00E22367" w:rsidRDefault="00E22367" w:rsidP="00183A78">
            <w:pPr>
              <w:pStyle w:val="TableText"/>
              <w:rPr>
                <w:rFonts w:cs="Arial"/>
                <w:snapToGrid w:val="0"/>
              </w:rPr>
            </w:pPr>
            <w:r w:rsidRPr="00BC4972">
              <w:t>Not adequately addressed</w:t>
            </w:r>
            <w:r w:rsidR="00125D45">
              <w:t>.</w:t>
            </w:r>
            <w:r w:rsidRPr="004452B6">
              <w:rPr>
                <w:rFonts w:cs="Arial"/>
                <w:snapToGrid w:val="0"/>
              </w:rPr>
              <w:t xml:space="preserve"> </w:t>
            </w:r>
          </w:p>
          <w:p w14:paraId="3FD63270" w14:textId="56F801D7" w:rsidR="002E15CF" w:rsidRPr="00BC4972" w:rsidRDefault="00B962BC" w:rsidP="00183A78">
            <w:pPr>
              <w:pStyle w:val="TableText"/>
            </w:pPr>
            <w:r w:rsidRPr="00B962BC">
              <w:t xml:space="preserve">Although rates of echocardiography referral </w:t>
            </w:r>
            <w:r>
              <w:t xml:space="preserve">may </w:t>
            </w:r>
            <w:r w:rsidRPr="00B962BC">
              <w:t>have increased in Australia</w:t>
            </w:r>
            <w:r w:rsidR="001270D5">
              <w:t xml:space="preserve"> since 2007</w:t>
            </w:r>
            <w:r w:rsidRPr="00B962BC">
              <w:t xml:space="preserve">, it does not follow that all patients with a suspected but uncertain diagnosis of HF are currently </w:t>
            </w:r>
            <w:r w:rsidR="001270D5">
              <w:t>referred for</w:t>
            </w:r>
            <w:r w:rsidR="001270D5" w:rsidRPr="00B962BC">
              <w:t xml:space="preserve"> </w:t>
            </w:r>
            <w:r w:rsidRPr="00B962BC">
              <w:t>echocardiography. Echocardiography</w:t>
            </w:r>
            <w:r w:rsidR="001270D5">
              <w:t xml:space="preserve"> referral</w:t>
            </w:r>
            <w:r w:rsidRPr="00B962BC">
              <w:t xml:space="preserve"> rates vary across Australia</w:t>
            </w:r>
            <w:r w:rsidR="00414812">
              <w:rPr>
                <w:rStyle w:val="FootnoteReference"/>
              </w:rPr>
              <w:footnoteReference w:id="15"/>
            </w:r>
            <w:r w:rsidRPr="00B962BC">
              <w:t xml:space="preserve">. No data </w:t>
            </w:r>
            <w:r w:rsidR="001270D5">
              <w:t>were</w:t>
            </w:r>
            <w:r w:rsidRPr="00B962BC">
              <w:t xml:space="preserve"> presented on the actual rate of referral </w:t>
            </w:r>
            <w:r w:rsidR="001270D5">
              <w:t>for</w:t>
            </w:r>
            <w:r w:rsidR="001270D5" w:rsidRPr="00B962BC">
              <w:t xml:space="preserve"> </w:t>
            </w:r>
            <w:r w:rsidRPr="00B962BC">
              <w:t>echocardiography for the proposed patient population.</w:t>
            </w:r>
          </w:p>
        </w:tc>
      </w:tr>
    </w:tbl>
    <w:p w14:paraId="014B63BA" w14:textId="4AC32015" w:rsidR="00F733DD" w:rsidRPr="00CE28E3" w:rsidRDefault="00F733DD" w:rsidP="00F733DD">
      <w:pPr>
        <w:pStyle w:val="Tablenotes0"/>
      </w:pPr>
      <w:bookmarkStart w:id="10" w:name="_Hlk68275617"/>
      <w:bookmarkEnd w:id="9"/>
      <w:r w:rsidRPr="00FF725D">
        <w:rPr>
          <w:b/>
          <w:szCs w:val="20"/>
        </w:rPr>
        <w:t>Abbreviations:</w:t>
      </w:r>
      <w:r>
        <w:rPr>
          <w:szCs w:val="20"/>
        </w:rPr>
        <w:t xml:space="preserve"> ADAR, </w:t>
      </w:r>
      <w:r w:rsidR="006F7584">
        <w:rPr>
          <w:szCs w:val="20"/>
        </w:rPr>
        <w:t>A</w:t>
      </w:r>
      <w:r>
        <w:rPr>
          <w:szCs w:val="20"/>
        </w:rPr>
        <w:t xml:space="preserve">pplicant </w:t>
      </w:r>
      <w:r w:rsidR="006F7584">
        <w:rPr>
          <w:szCs w:val="20"/>
        </w:rPr>
        <w:t>D</w:t>
      </w:r>
      <w:r>
        <w:rPr>
          <w:szCs w:val="20"/>
        </w:rPr>
        <w:t xml:space="preserve">eveloped </w:t>
      </w:r>
      <w:r w:rsidR="006F7584">
        <w:rPr>
          <w:szCs w:val="20"/>
        </w:rPr>
        <w:t>A</w:t>
      </w:r>
      <w:r>
        <w:rPr>
          <w:szCs w:val="20"/>
        </w:rPr>
        <w:t xml:space="preserve">ssessment </w:t>
      </w:r>
      <w:r w:rsidR="006F7584">
        <w:rPr>
          <w:szCs w:val="20"/>
        </w:rPr>
        <w:t>R</w:t>
      </w:r>
      <w:r>
        <w:rPr>
          <w:szCs w:val="20"/>
        </w:rPr>
        <w:t xml:space="preserve">eport; </w:t>
      </w:r>
      <w:r w:rsidR="00CB7F7D">
        <w:rPr>
          <w:szCs w:val="20"/>
        </w:rPr>
        <w:t xml:space="preserve">BNP, </w:t>
      </w:r>
      <w:r w:rsidR="009E047A">
        <w:rPr>
          <w:szCs w:val="20"/>
        </w:rPr>
        <w:t>B</w:t>
      </w:r>
      <w:r w:rsidR="00D34BF2">
        <w:rPr>
          <w:szCs w:val="20"/>
        </w:rPr>
        <w:t>-type</w:t>
      </w:r>
      <w:r w:rsidR="00C4143C">
        <w:rPr>
          <w:szCs w:val="20"/>
        </w:rPr>
        <w:t xml:space="preserve"> natriuretic peptide; </w:t>
      </w:r>
      <w:r w:rsidR="005920EA">
        <w:rPr>
          <w:szCs w:val="20"/>
        </w:rPr>
        <w:t xml:space="preserve">GP, general practitioner; </w:t>
      </w:r>
      <w:r>
        <w:rPr>
          <w:szCs w:val="20"/>
        </w:rPr>
        <w:t xml:space="preserve">GRADE, </w:t>
      </w:r>
      <w:r w:rsidRPr="00A43EA1">
        <w:rPr>
          <w:szCs w:val="20"/>
        </w:rPr>
        <w:t>Grading of Recommendations, Assessment, Development, and Evaluation</w:t>
      </w:r>
      <w:r>
        <w:rPr>
          <w:szCs w:val="20"/>
        </w:rPr>
        <w:t xml:space="preserve">; HF, heart failure; MSAC, Medical Services Advisory Committee; </w:t>
      </w:r>
      <w:r w:rsidR="004A1258">
        <w:rPr>
          <w:szCs w:val="20"/>
        </w:rPr>
        <w:t>NT-</w:t>
      </w:r>
      <w:proofErr w:type="spellStart"/>
      <w:r w:rsidR="004A1258">
        <w:rPr>
          <w:szCs w:val="20"/>
        </w:rPr>
        <w:t>proBNP</w:t>
      </w:r>
      <w:proofErr w:type="spellEnd"/>
      <w:r w:rsidR="004A1258">
        <w:rPr>
          <w:szCs w:val="20"/>
        </w:rPr>
        <w:t xml:space="preserve">, </w:t>
      </w:r>
      <w:r w:rsidR="004A1258" w:rsidRPr="004A1258">
        <w:rPr>
          <w:szCs w:val="20"/>
        </w:rPr>
        <w:t>N-terminal-pro brain natriuretic peptide</w:t>
      </w:r>
      <w:r w:rsidR="004A1258">
        <w:rPr>
          <w:szCs w:val="20"/>
        </w:rPr>
        <w:t>;</w:t>
      </w:r>
      <w:r w:rsidR="004A1258" w:rsidRPr="004A1258">
        <w:rPr>
          <w:szCs w:val="20"/>
        </w:rPr>
        <w:t xml:space="preserve"> </w:t>
      </w:r>
      <w:r>
        <w:rPr>
          <w:szCs w:val="20"/>
        </w:rPr>
        <w:t>PICO, population intervention comparator outcome</w:t>
      </w:r>
      <w:r w:rsidR="000142B3">
        <w:rPr>
          <w:szCs w:val="20"/>
        </w:rPr>
        <w:t>;</w:t>
      </w:r>
      <w:r>
        <w:rPr>
          <w:szCs w:val="20"/>
        </w:rPr>
        <w:t xml:space="preserve"> PSD, </w:t>
      </w:r>
      <w:r w:rsidR="004A1258">
        <w:rPr>
          <w:szCs w:val="20"/>
        </w:rPr>
        <w:t>P</w:t>
      </w:r>
      <w:r>
        <w:rPr>
          <w:szCs w:val="20"/>
        </w:rPr>
        <w:t xml:space="preserve">ublic </w:t>
      </w:r>
      <w:r w:rsidR="004A1258">
        <w:rPr>
          <w:szCs w:val="20"/>
        </w:rPr>
        <w:t>S</w:t>
      </w:r>
      <w:r>
        <w:rPr>
          <w:szCs w:val="20"/>
        </w:rPr>
        <w:t xml:space="preserve">ummary </w:t>
      </w:r>
      <w:r w:rsidR="004A1258">
        <w:rPr>
          <w:szCs w:val="20"/>
        </w:rPr>
        <w:t>D</w:t>
      </w:r>
      <w:r>
        <w:rPr>
          <w:szCs w:val="20"/>
        </w:rPr>
        <w:t>ocument.</w:t>
      </w:r>
    </w:p>
    <w:p w14:paraId="4DC15EFC" w14:textId="111ACDE6" w:rsidR="00C8254E" w:rsidRDefault="008753F7" w:rsidP="00BB1E3B">
      <w:pPr>
        <w:pStyle w:val="Tablenotes0"/>
        <w:rPr>
          <w:szCs w:val="20"/>
        </w:rPr>
      </w:pPr>
      <w:r w:rsidRPr="00FF725D">
        <w:rPr>
          <w:b/>
          <w:szCs w:val="20"/>
        </w:rPr>
        <w:t>Source:</w:t>
      </w:r>
      <w:r>
        <w:rPr>
          <w:szCs w:val="20"/>
        </w:rPr>
        <w:t xml:space="preserve"> Adapted from</w:t>
      </w:r>
      <w:r w:rsidR="00E56F82">
        <w:rPr>
          <w:szCs w:val="20"/>
        </w:rPr>
        <w:t xml:space="preserve"> Table 3</w:t>
      </w:r>
      <w:r w:rsidR="00C8254E" w:rsidRPr="00C8254E">
        <w:t xml:space="preserve"> </w:t>
      </w:r>
      <w:r w:rsidR="00C8254E">
        <w:t>of MSAC 1740 ADAR+ in-line commentary</w:t>
      </w:r>
      <w:r w:rsidR="004C2E12">
        <w:t>, which was based on 1740 PICO Appendix A.</w:t>
      </w:r>
      <w:r w:rsidR="00E56F82">
        <w:rPr>
          <w:szCs w:val="20"/>
        </w:rPr>
        <w:t xml:space="preserve"> </w:t>
      </w:r>
    </w:p>
    <w:p w14:paraId="6F52500A" w14:textId="132C498D" w:rsidR="00772829" w:rsidRPr="00CE28E3" w:rsidRDefault="00AB25C3" w:rsidP="002A18BE">
      <w:pPr>
        <w:pStyle w:val="Heading2"/>
        <w:numPr>
          <w:ilvl w:val="0"/>
          <w:numId w:val="0"/>
        </w:numPr>
      </w:pPr>
      <w:bookmarkStart w:id="11" w:name="_Toc69491417"/>
      <w:bookmarkEnd w:id="7"/>
      <w:bookmarkEnd w:id="10"/>
      <w:r>
        <w:t>5</w:t>
      </w:r>
      <w:r w:rsidR="00C36633">
        <w:t>.</w:t>
      </w:r>
      <w:r w:rsidR="00C36633">
        <w:tab/>
      </w:r>
      <w:r w:rsidR="00772829" w:rsidRPr="00CE28E3">
        <w:t>Prerequisites to implementation of any funding advice</w:t>
      </w:r>
      <w:bookmarkEnd w:id="11"/>
    </w:p>
    <w:p w14:paraId="4737241B" w14:textId="0F1B0FE8" w:rsidR="006C6754" w:rsidRDefault="00A44EBD" w:rsidP="00720696">
      <w:r w:rsidRPr="00A44EBD">
        <w:t>The proposed technology is laboratory NT-</w:t>
      </w:r>
      <w:proofErr w:type="spellStart"/>
      <w:r w:rsidRPr="00A44EBD">
        <w:t>proBNP</w:t>
      </w:r>
      <w:proofErr w:type="spellEnd"/>
      <w:r w:rsidRPr="00A44EBD">
        <w:t xml:space="preserve"> immunoassay. There are multiple commercially available assays. </w:t>
      </w:r>
      <w:r w:rsidR="006C6754" w:rsidRPr="00D854B4">
        <w:t xml:space="preserve">The </w:t>
      </w:r>
      <w:proofErr w:type="spellStart"/>
      <w:r w:rsidR="006C6754" w:rsidRPr="00D854B4">
        <w:t>Elecsys</w:t>
      </w:r>
      <w:proofErr w:type="spellEnd"/>
      <w:r w:rsidR="006C6754" w:rsidRPr="00D854B4">
        <w:t xml:space="preserve">® </w:t>
      </w:r>
      <w:proofErr w:type="spellStart"/>
      <w:r w:rsidR="006C6754" w:rsidRPr="00D854B4">
        <w:t>proBNP</w:t>
      </w:r>
      <w:proofErr w:type="spellEnd"/>
      <w:r w:rsidR="006C6754" w:rsidRPr="00D854B4">
        <w:t xml:space="preserve"> II and </w:t>
      </w:r>
      <w:proofErr w:type="spellStart"/>
      <w:r w:rsidR="006C6754" w:rsidRPr="00D854B4">
        <w:t>proBNP</w:t>
      </w:r>
      <w:proofErr w:type="spellEnd"/>
      <w:r w:rsidR="006C6754" w:rsidRPr="00D854B4">
        <w:t xml:space="preserve"> II STAT assays are manufactured by Roche Diagnostics. Other commercially available laboratory-based assays include Siemens </w:t>
      </w:r>
      <w:proofErr w:type="spellStart"/>
      <w:r w:rsidR="006C6754" w:rsidRPr="00D854B4">
        <w:t>Healthineers</w:t>
      </w:r>
      <w:proofErr w:type="spellEnd"/>
      <w:r w:rsidR="006C6754" w:rsidRPr="00D854B4">
        <w:t xml:space="preserve"> (Stratus® CS Acute Care™), </w:t>
      </w:r>
      <w:proofErr w:type="spellStart"/>
      <w:r w:rsidR="006C6754" w:rsidRPr="00D854B4">
        <w:t>BioMerieux</w:t>
      </w:r>
      <w:proofErr w:type="spellEnd"/>
      <w:r w:rsidR="006C6754" w:rsidRPr="00D854B4">
        <w:t xml:space="preserve"> (VIDAS NT-proBNP2), Abbott Alere NT-</w:t>
      </w:r>
      <w:proofErr w:type="spellStart"/>
      <w:r w:rsidR="006C6754" w:rsidRPr="00D854B4">
        <w:t>proBNP</w:t>
      </w:r>
      <w:proofErr w:type="spellEnd"/>
      <w:r w:rsidR="006C6754" w:rsidRPr="00D854B4">
        <w:t>, Ortho VITROS® NT-</w:t>
      </w:r>
      <w:proofErr w:type="spellStart"/>
      <w:r w:rsidR="006C6754" w:rsidRPr="00D854B4">
        <w:t>proBNP</w:t>
      </w:r>
      <w:proofErr w:type="spellEnd"/>
      <w:r w:rsidR="006C6754" w:rsidRPr="00D854B4">
        <w:t xml:space="preserve"> II</w:t>
      </w:r>
      <w:r w:rsidR="003F6BCB">
        <w:t>,</w:t>
      </w:r>
      <w:r w:rsidR="006C6754" w:rsidRPr="00D854B4">
        <w:t xml:space="preserve"> and Radiometer AQT90 FLEX NT-</w:t>
      </w:r>
      <w:proofErr w:type="spellStart"/>
      <w:r w:rsidR="006C6754" w:rsidRPr="00D854B4">
        <w:t>proBNP</w:t>
      </w:r>
      <w:proofErr w:type="spellEnd"/>
      <w:r w:rsidR="006C6754" w:rsidRPr="00D854B4">
        <w:t>.</w:t>
      </w:r>
    </w:p>
    <w:p w14:paraId="06307CA2" w14:textId="5E84C144" w:rsidR="00ED5504" w:rsidRDefault="006C6754" w:rsidP="00720696">
      <w:r w:rsidRPr="00D854B4">
        <w:t xml:space="preserve">The </w:t>
      </w:r>
      <w:proofErr w:type="spellStart"/>
      <w:r w:rsidRPr="00D854B4">
        <w:t>Elecsys</w:t>
      </w:r>
      <w:proofErr w:type="spellEnd"/>
      <w:r w:rsidRPr="00D854B4">
        <w:t xml:space="preserve">® </w:t>
      </w:r>
      <w:proofErr w:type="spellStart"/>
      <w:r w:rsidRPr="00D854B4">
        <w:t>proBNP</w:t>
      </w:r>
      <w:proofErr w:type="spellEnd"/>
      <w:r w:rsidRPr="00D854B4">
        <w:t xml:space="preserve"> II and </w:t>
      </w:r>
      <w:proofErr w:type="spellStart"/>
      <w:r w:rsidRPr="00D854B4">
        <w:t>proBNP</w:t>
      </w:r>
      <w:proofErr w:type="spellEnd"/>
      <w:r w:rsidRPr="00D854B4">
        <w:t xml:space="preserve"> II STAT assay is </w:t>
      </w:r>
      <w:r w:rsidR="003F6BCB">
        <w:t>included</w:t>
      </w:r>
      <w:r w:rsidR="003F6BCB" w:rsidRPr="00D854B4">
        <w:t xml:space="preserve"> </w:t>
      </w:r>
      <w:r w:rsidR="003F6BCB">
        <w:t>in</w:t>
      </w:r>
      <w:r w:rsidRPr="00D854B4">
        <w:t xml:space="preserve"> the </w:t>
      </w:r>
      <w:r w:rsidR="0079180C" w:rsidRPr="0079180C">
        <w:t xml:space="preserve">Australian Register of Therapeutic Goods (ARTG) </w:t>
      </w:r>
      <w:r w:rsidRPr="00D854B4">
        <w:t xml:space="preserve">under identification number 200275. The </w:t>
      </w:r>
      <w:r w:rsidR="004702D3">
        <w:t xml:space="preserve">registered </w:t>
      </w:r>
      <w:r w:rsidRPr="00D854B4">
        <w:t xml:space="preserve">intended </w:t>
      </w:r>
      <w:r w:rsidRPr="00D854B4">
        <w:lastRenderedPageBreak/>
        <w:t xml:space="preserve">purpose </w:t>
      </w:r>
      <w:r w:rsidR="004702D3">
        <w:t>is</w:t>
      </w:r>
      <w:r w:rsidRPr="00D854B4">
        <w:t xml:space="preserve"> for the qualitative/quantitative determination of specific proteins in biological samples</w:t>
      </w:r>
      <w:r w:rsidR="00ED5504">
        <w:t>,</w:t>
      </w:r>
      <w:r w:rsidRPr="00D854B4">
        <w:t xml:space="preserve"> </w:t>
      </w:r>
      <w:r w:rsidR="00ED5504">
        <w:t>with</w:t>
      </w:r>
      <w:r w:rsidRPr="00D854B4">
        <w:t xml:space="preserve"> no conditions</w:t>
      </w:r>
      <w:r w:rsidR="00ED5504">
        <w:t xml:space="preserve"> specified</w:t>
      </w:r>
      <w:r w:rsidRPr="00D854B4">
        <w:t xml:space="preserve">. </w:t>
      </w:r>
    </w:p>
    <w:p w14:paraId="3D284752" w14:textId="71F95B4D" w:rsidR="00720696" w:rsidRDefault="006C6754" w:rsidP="00720696">
      <w:r w:rsidRPr="00D854B4">
        <w:t>The Royal College of Pathologists Austral</w:t>
      </w:r>
      <w:r w:rsidR="00C07AA3">
        <w:t>as</w:t>
      </w:r>
      <w:r w:rsidRPr="00D854B4">
        <w:t>ia (RCPA) has Quality Assurance Programs for NT-</w:t>
      </w:r>
      <w:proofErr w:type="spellStart"/>
      <w:r w:rsidRPr="00D854B4">
        <w:t>proBNP</w:t>
      </w:r>
      <w:proofErr w:type="spellEnd"/>
      <w:r w:rsidR="00C07AA3">
        <w:t xml:space="preserve"> testing</w:t>
      </w:r>
      <w:r w:rsidRPr="00D854B4">
        <w:t>.</w:t>
      </w:r>
    </w:p>
    <w:p w14:paraId="44C3B242" w14:textId="31496893" w:rsidR="00772829" w:rsidRPr="00CE28E3" w:rsidRDefault="00AB25C3" w:rsidP="002A18BE">
      <w:pPr>
        <w:pStyle w:val="Heading2"/>
        <w:numPr>
          <w:ilvl w:val="0"/>
          <w:numId w:val="0"/>
        </w:numPr>
      </w:pPr>
      <w:bookmarkStart w:id="12" w:name="_Toc69491418"/>
      <w:r>
        <w:t>6</w:t>
      </w:r>
      <w:r w:rsidR="00C36633">
        <w:t>.</w:t>
      </w:r>
      <w:r w:rsidR="00C36633">
        <w:tab/>
      </w:r>
      <w:r w:rsidR="00772829" w:rsidRPr="00CE28E3">
        <w:t>Proposal for public funding</w:t>
      </w:r>
      <w:bookmarkEnd w:id="12"/>
    </w:p>
    <w:p w14:paraId="4DBF2C0A" w14:textId="3EABBD67" w:rsidR="00DB4897" w:rsidRDefault="00DB4897" w:rsidP="00DB4897">
      <w:r>
        <w:t xml:space="preserve">The proposed MBS item descriptor for patients with suspected but uncertain HF in a non-hospital setting is presented in </w:t>
      </w:r>
      <w:r>
        <w:fldChar w:fldCharType="begin"/>
      </w:r>
      <w:r>
        <w:instrText xml:space="preserve"> REF _Ref69481033 \h </w:instrText>
      </w:r>
      <w:r>
        <w:fldChar w:fldCharType="separate"/>
      </w:r>
      <w:r w:rsidR="00472DB9">
        <w:t>Table </w:t>
      </w:r>
      <w:r w:rsidR="00472DB9">
        <w:rPr>
          <w:noProof/>
        </w:rPr>
        <w:t>4</w:t>
      </w:r>
      <w:r>
        <w:fldChar w:fldCharType="end"/>
      </w:r>
      <w:r>
        <w:t xml:space="preserve">. </w:t>
      </w:r>
      <w:r w:rsidR="00CC5439">
        <w:t xml:space="preserve">The proposed fee and benefit are the same as MBS </w:t>
      </w:r>
      <w:r w:rsidR="00FA6375">
        <w:t>i</w:t>
      </w:r>
      <w:r w:rsidR="00CC5439">
        <w:t>tem 66830 (quantitation of BNP or NT-</w:t>
      </w:r>
      <w:proofErr w:type="spellStart"/>
      <w:r w:rsidR="00CC5439">
        <w:t>proBNP</w:t>
      </w:r>
      <w:proofErr w:type="spellEnd"/>
      <w:r w:rsidR="00CC5439">
        <w:t xml:space="preserve"> for the diagnosis of HF in patients presenting with dyspnoea to a hospital </w:t>
      </w:r>
      <w:r w:rsidR="00C07AA3">
        <w:t>e</w:t>
      </w:r>
      <w:r w:rsidR="00CC5439">
        <w:t xml:space="preserve">mergency </w:t>
      </w:r>
      <w:r w:rsidR="00C07AA3">
        <w:t>d</w:t>
      </w:r>
      <w:r w:rsidR="00CC5439">
        <w:t xml:space="preserve">epartment). </w:t>
      </w:r>
      <w:r w:rsidR="00701F53">
        <w:t>T</w:t>
      </w:r>
      <w:r w:rsidR="00C07AA3">
        <w:t>he</w:t>
      </w:r>
      <w:r w:rsidR="00CC5439">
        <w:t xml:space="preserve"> proposed item descriptor </w:t>
      </w:r>
      <w:r w:rsidR="00C07AA3">
        <w:t xml:space="preserve">differed from </w:t>
      </w:r>
      <w:r w:rsidR="00FD6C60">
        <w:t xml:space="preserve">item 66830 in that it </w:t>
      </w:r>
      <w:r w:rsidR="00CC5439">
        <w:t>d</w:t>
      </w:r>
      <w:r w:rsidR="00FD6C60">
        <w:t>id</w:t>
      </w:r>
      <w:r w:rsidR="00CC5439">
        <w:t xml:space="preserve"> not include BNP and </w:t>
      </w:r>
      <w:r w:rsidR="00FD6C60">
        <w:t>wa</w:t>
      </w:r>
      <w:r w:rsidR="00CC5439">
        <w:t xml:space="preserve">s only for patients presenting in a non-hospital setting. </w:t>
      </w:r>
    </w:p>
    <w:p w14:paraId="6E7EAD89" w14:textId="5E84DB9F" w:rsidR="00E61466" w:rsidRDefault="00E61466" w:rsidP="00DB4897">
      <w:r>
        <w:t xml:space="preserve">MSAC </w:t>
      </w:r>
      <w:r w:rsidR="00C94A2E">
        <w:t xml:space="preserve">considered </w:t>
      </w:r>
      <w:r>
        <w:t xml:space="preserve">the appropriate biomarker or biomarkers. </w:t>
      </w:r>
      <w:r w:rsidR="004604A6">
        <w:t>PASC considered it was probably reasonable to restrict the intervention to NT-</w:t>
      </w:r>
      <w:proofErr w:type="spellStart"/>
      <w:r w:rsidR="004604A6">
        <w:t>proBNP</w:t>
      </w:r>
      <w:proofErr w:type="spellEnd"/>
      <w:r w:rsidR="004604A6">
        <w:t xml:space="preserve"> testing</w:t>
      </w:r>
      <w:r w:rsidR="00205A22">
        <w:t xml:space="preserve"> </w:t>
      </w:r>
      <w:r w:rsidR="002B7632">
        <w:t xml:space="preserve">based on the shorter half-life of BNP and </w:t>
      </w:r>
      <w:r w:rsidR="00F33996">
        <w:t>the applicant</w:t>
      </w:r>
      <w:r w:rsidR="00B02710">
        <w:t>’s intention to expand the use of the Roche NT-</w:t>
      </w:r>
      <w:proofErr w:type="spellStart"/>
      <w:r w:rsidR="00B02710">
        <w:t>proBNP</w:t>
      </w:r>
      <w:proofErr w:type="spellEnd"/>
      <w:r w:rsidR="00B02710">
        <w:t xml:space="preserve"> assay</w:t>
      </w:r>
      <w:r w:rsidR="00B16C8C">
        <w:t>, however the ADAR’s evidence base included both biomarkers</w:t>
      </w:r>
      <w:r w:rsidR="00B02710">
        <w:t>. I</w:t>
      </w:r>
      <w:r w:rsidR="00205A22" w:rsidRPr="00205A22">
        <w:t>n July 2022</w:t>
      </w:r>
      <w:r w:rsidR="00FA6375">
        <w:t>,</w:t>
      </w:r>
      <w:r w:rsidR="00205A22" w:rsidRPr="00205A22">
        <w:t xml:space="preserve"> MSAC supported testing of NT-</w:t>
      </w:r>
      <w:proofErr w:type="spellStart"/>
      <w:r w:rsidR="00205A22" w:rsidRPr="00205A22">
        <w:t>proBNP</w:t>
      </w:r>
      <w:proofErr w:type="spellEnd"/>
      <w:r w:rsidR="00205A22" w:rsidRPr="00205A22">
        <w:t xml:space="preserve"> alone rather than of BNP or NT-</w:t>
      </w:r>
      <w:proofErr w:type="spellStart"/>
      <w:r w:rsidR="00205A22" w:rsidRPr="00205A22">
        <w:t>proBNP</w:t>
      </w:r>
      <w:proofErr w:type="spellEnd"/>
      <w:r w:rsidR="00205A22" w:rsidRPr="00205A22">
        <w:t xml:space="preserve">, </w:t>
      </w:r>
      <w:r w:rsidR="00B16C8C">
        <w:t>al</w:t>
      </w:r>
      <w:r w:rsidR="00205A22" w:rsidRPr="00205A22">
        <w:t>though for a different patient population (MSAC application 1689</w:t>
      </w:r>
      <w:r w:rsidR="00205A22">
        <w:t xml:space="preserve">). Australian clinical practice guidelines </w:t>
      </w:r>
      <w:r w:rsidR="00042EDD">
        <w:t>rec</w:t>
      </w:r>
      <w:r w:rsidR="00EC0082">
        <w:t>ommend either NT-</w:t>
      </w:r>
      <w:proofErr w:type="spellStart"/>
      <w:r w:rsidR="00EC0082">
        <w:t>proBNP</w:t>
      </w:r>
      <w:proofErr w:type="spellEnd"/>
      <w:r w:rsidR="00EC0082">
        <w:t xml:space="preserve"> or BNP testing</w:t>
      </w:r>
      <w:r w:rsidR="00FD170F">
        <w:t xml:space="preserve"> but do not specify </w:t>
      </w:r>
      <w:r w:rsidR="00B16C8C">
        <w:t xml:space="preserve">the </w:t>
      </w:r>
      <w:r w:rsidR="00FD170F">
        <w:t>setting</w:t>
      </w:r>
      <w:r w:rsidR="00EC0082">
        <w:t>.</w:t>
      </w:r>
    </w:p>
    <w:p w14:paraId="311DFD77" w14:textId="1C8FDDAD" w:rsidR="000E619C" w:rsidRDefault="004742F6" w:rsidP="000E619C">
      <w:r w:rsidRPr="008F202C">
        <w:t xml:space="preserve">PASC </w:t>
      </w:r>
      <w:r w:rsidR="00FD6C60" w:rsidRPr="008F202C">
        <w:t xml:space="preserve">advised </w:t>
      </w:r>
      <w:r w:rsidRPr="008F202C">
        <w:t>that NT-</w:t>
      </w:r>
      <w:proofErr w:type="spellStart"/>
      <w:r w:rsidRPr="008F202C">
        <w:t>proBNP</w:t>
      </w:r>
      <w:proofErr w:type="spellEnd"/>
      <w:r w:rsidRPr="008F202C">
        <w:t xml:space="preserve"> testing in primary care should be assessed separately from where the request is made by a cardiologist</w:t>
      </w:r>
      <w:r w:rsidR="00E64950" w:rsidRPr="008F202C">
        <w:t xml:space="preserve">, </w:t>
      </w:r>
      <w:r w:rsidR="00A75C77">
        <w:t xml:space="preserve">and </w:t>
      </w:r>
      <w:r w:rsidR="003F0E6C">
        <w:t xml:space="preserve">advised </w:t>
      </w:r>
      <w:r w:rsidR="00A75C77">
        <w:t>on</w:t>
      </w:r>
      <w:r w:rsidR="00E64950" w:rsidRPr="008F202C">
        <w:t xml:space="preserve"> PICO sets 1 and 2 for different requestor settings</w:t>
      </w:r>
      <w:r w:rsidRPr="008F202C">
        <w:t xml:space="preserve">. </w:t>
      </w:r>
      <w:r w:rsidR="00E64950" w:rsidRPr="008F202C">
        <w:t>Separate</w:t>
      </w:r>
      <w:r w:rsidRPr="008F202C">
        <w:t xml:space="preserve"> MBS item</w:t>
      </w:r>
      <w:r w:rsidR="00E64950" w:rsidRPr="008F202C">
        <w:t>s</w:t>
      </w:r>
      <w:r w:rsidRPr="008F202C">
        <w:t xml:space="preserve"> </w:t>
      </w:r>
      <w:r w:rsidR="000424E1">
        <w:t xml:space="preserve">were </w:t>
      </w:r>
      <w:r w:rsidRPr="008F202C">
        <w:t xml:space="preserve">therefore proposed for </w:t>
      </w:r>
      <w:r w:rsidR="00E64950" w:rsidRPr="008F202C">
        <w:t>each setting</w:t>
      </w:r>
      <w:r w:rsidR="00B50320">
        <w:t>, to facilitate</w:t>
      </w:r>
      <w:r w:rsidRPr="008F202C">
        <w:t xml:space="preserve"> MSAC </w:t>
      </w:r>
      <w:r w:rsidR="00B50320">
        <w:t>advising separately on each</w:t>
      </w:r>
      <w:r w:rsidRPr="008F202C">
        <w:t xml:space="preserve"> </w:t>
      </w:r>
      <w:r w:rsidR="00954207" w:rsidRPr="008F202C">
        <w:t>(</w:t>
      </w:r>
      <w:r w:rsidR="00954207" w:rsidRPr="008F202C">
        <w:fldChar w:fldCharType="begin"/>
      </w:r>
      <w:r w:rsidR="00954207" w:rsidRPr="008F202C">
        <w:instrText xml:space="preserve"> REF _Ref69481033 </w:instrText>
      </w:r>
      <w:r w:rsidR="002E1B7E">
        <w:instrText xml:space="preserve"> \* MERGEFORMAT </w:instrText>
      </w:r>
      <w:r w:rsidR="00954207" w:rsidRPr="008F202C">
        <w:fldChar w:fldCharType="separate"/>
      </w:r>
      <w:r w:rsidR="00472DB9">
        <w:t>Table 4</w:t>
      </w:r>
      <w:r w:rsidR="00954207" w:rsidRPr="008F202C">
        <w:fldChar w:fldCharType="end"/>
      </w:r>
      <w:r w:rsidR="00954207" w:rsidRPr="008F202C">
        <w:t>)</w:t>
      </w:r>
      <w:r w:rsidRPr="008F202C">
        <w:t xml:space="preserve">. </w:t>
      </w:r>
      <w:r w:rsidR="0029688C" w:rsidRPr="008F202C">
        <w:t>If</w:t>
      </w:r>
      <w:r w:rsidR="0029688C">
        <w:t xml:space="preserve"> MSAC advised that NT-</w:t>
      </w:r>
      <w:proofErr w:type="spellStart"/>
      <w:r w:rsidR="0029688C">
        <w:t>proBNP</w:t>
      </w:r>
      <w:proofErr w:type="spellEnd"/>
      <w:r w:rsidR="0029688C">
        <w:t xml:space="preserve"> should be available without reference to a particular requesting practitioner (i.e.</w:t>
      </w:r>
      <w:r w:rsidR="00497DB0">
        <w:t>,</w:t>
      </w:r>
      <w:r w:rsidR="0029688C">
        <w:t xml:space="preserve"> in both primary care setting and specialist physician setting), then only one MBS item would be required.</w:t>
      </w:r>
    </w:p>
    <w:p w14:paraId="0F1F07A2" w14:textId="552C7076" w:rsidR="00ED2AA1" w:rsidRPr="00D87293" w:rsidRDefault="003D3AE2" w:rsidP="004742F6">
      <w:pPr>
        <w:rPr>
          <w:rFonts w:ascii="Calibri" w:hAnsi="Calibri"/>
          <w:color w:val="000000"/>
          <w:shd w:val="clear" w:color="auto" w:fill="FFFFFF"/>
        </w:rPr>
      </w:pPr>
      <w:r>
        <w:t>At time of preparation of the commentary, t</w:t>
      </w:r>
      <w:r w:rsidR="000E619C">
        <w:t>he</w:t>
      </w:r>
      <w:r w:rsidR="000E619C" w:rsidDel="000E619C">
        <w:t xml:space="preserve"> Pathology Policy Section </w:t>
      </w:r>
      <w:r>
        <w:t>wa</w:t>
      </w:r>
      <w:r w:rsidR="000E619C">
        <w:t>s</w:t>
      </w:r>
      <w:r w:rsidR="000E619C" w:rsidDel="000E619C">
        <w:t xml:space="preserve"> seeking advice as to whether and how, an MBS item </w:t>
      </w:r>
      <w:r w:rsidR="000E619C">
        <w:t xml:space="preserve">can </w:t>
      </w:r>
      <w:r w:rsidR="000E619C" w:rsidDel="000E619C">
        <w:t xml:space="preserve">be restricted to </w:t>
      </w:r>
      <w:r w:rsidR="000E619C" w:rsidRPr="33758FB5" w:rsidDel="000E619C">
        <w:rPr>
          <w:rStyle w:val="normaltextrun"/>
          <w:color w:val="000000" w:themeColor="text1"/>
        </w:rPr>
        <w:t xml:space="preserve">general practitioners (GPs) and nurse practitioners only, at the exclusion of specialists and consultant physicians. Policy </w:t>
      </w:r>
      <w:r>
        <w:rPr>
          <w:rStyle w:val="normaltextrun"/>
          <w:color w:val="000000" w:themeColor="text1"/>
        </w:rPr>
        <w:t>wa</w:t>
      </w:r>
      <w:r w:rsidR="000E619C" w:rsidRPr="33758FB5">
        <w:rPr>
          <w:rStyle w:val="normaltextrun"/>
          <w:color w:val="000000" w:themeColor="text1"/>
        </w:rPr>
        <w:t>s</w:t>
      </w:r>
      <w:r w:rsidR="000E619C" w:rsidRPr="33758FB5" w:rsidDel="000E619C">
        <w:rPr>
          <w:rStyle w:val="normaltextrun"/>
          <w:color w:val="000000" w:themeColor="text1"/>
        </w:rPr>
        <w:t xml:space="preserve"> also seeking advice on how such an item descriptor might be worded to prevent leakage to the specialist setting. </w:t>
      </w:r>
    </w:p>
    <w:p w14:paraId="0D2A521C" w14:textId="2A2B928E" w:rsidR="0073374E" w:rsidRDefault="004742F6" w:rsidP="004742F6">
      <w:r w:rsidRPr="008F202C">
        <w:t xml:space="preserve">PASC considered that while </w:t>
      </w:r>
      <w:r w:rsidR="000424E1">
        <w:t xml:space="preserve">proposed item </w:t>
      </w:r>
      <w:r w:rsidRPr="008F202C">
        <w:t xml:space="preserve">BBBB </w:t>
      </w:r>
      <w:r w:rsidR="00954207" w:rsidRPr="008F202C">
        <w:t>wa</w:t>
      </w:r>
      <w:r w:rsidRPr="008F202C">
        <w:t xml:space="preserve">s intended primarily for use by cardiologists, there will be times when a patient presents to a different type of specialist or consultant physician with signs and/or symptoms of </w:t>
      </w:r>
      <w:r w:rsidR="000424E1">
        <w:t>HF</w:t>
      </w:r>
      <w:r w:rsidRPr="008F202C">
        <w:t xml:space="preserve">, so requestors should not exclude other specialists. PASC therefore advised that requestors for </w:t>
      </w:r>
      <w:r w:rsidR="000424E1">
        <w:t xml:space="preserve">proposed item </w:t>
      </w:r>
      <w:r w:rsidRPr="008F202C">
        <w:t>BBBB should be expanded to all specialists or consultant physicians.</w:t>
      </w:r>
    </w:p>
    <w:p w14:paraId="1E6DC038" w14:textId="7373D605" w:rsidR="00655626" w:rsidRPr="00655626" w:rsidRDefault="00B967E5" w:rsidP="00655626">
      <w:r>
        <w:t>The proposed item descriptor include</w:t>
      </w:r>
      <w:r w:rsidR="008D16ED">
        <w:t>d</w:t>
      </w:r>
      <w:r>
        <w:t xml:space="preserve"> a restriction to ‘once in a 12-month period’ to </w:t>
      </w:r>
      <w:r w:rsidR="00E9690A">
        <w:t xml:space="preserve">mitigate </w:t>
      </w:r>
      <w:r w:rsidR="00144E10">
        <w:t xml:space="preserve">non-diagnostic </w:t>
      </w:r>
      <w:r w:rsidR="00905368">
        <w:t>use of the test</w:t>
      </w:r>
      <w:r w:rsidR="00144E10">
        <w:t>.</w:t>
      </w:r>
      <w:bookmarkStart w:id="13" w:name="_Ref69481033"/>
      <w:r w:rsidR="00655626">
        <w:br w:type="page"/>
      </w:r>
    </w:p>
    <w:p w14:paraId="39392CFD" w14:textId="29EA593A" w:rsidR="003328A9" w:rsidRPr="00CE28E3" w:rsidRDefault="00310C3F" w:rsidP="00310C3F">
      <w:pPr>
        <w:pStyle w:val="Caption"/>
        <w:rPr>
          <w:rFonts w:cs="Arial"/>
        </w:rPr>
      </w:pPr>
      <w:r>
        <w:lastRenderedPageBreak/>
        <w:t>Table</w:t>
      </w:r>
      <w:r w:rsidR="004A4FDF">
        <w:t> </w:t>
      </w:r>
      <w:r>
        <w:fldChar w:fldCharType="begin"/>
      </w:r>
      <w:r>
        <w:instrText>SEQ Table \* ARABIC</w:instrText>
      </w:r>
      <w:r>
        <w:fldChar w:fldCharType="separate"/>
      </w:r>
      <w:r w:rsidR="00472DB9">
        <w:rPr>
          <w:noProof/>
        </w:rPr>
        <w:t>4</w:t>
      </w:r>
      <w:r>
        <w:fldChar w:fldCharType="end"/>
      </w:r>
      <w:bookmarkEnd w:id="13"/>
      <w:r w:rsidR="003328A9" w:rsidRPr="00CE28E3">
        <w:rPr>
          <w:rFonts w:cs="Arial"/>
        </w:rPr>
        <w:tab/>
      </w:r>
      <w:r w:rsidR="00E83F61">
        <w:rPr>
          <w:rFonts w:cs="Arial"/>
        </w:rPr>
        <w:t>P</w:t>
      </w:r>
      <w:r w:rsidR="00B26622" w:rsidRPr="00CE28E3">
        <w:rPr>
          <w:rFonts w:cs="Arial"/>
        </w:rPr>
        <w:t>roposed MBS item</w:t>
      </w:r>
      <w:r w:rsidR="00E83F61">
        <w:rPr>
          <w:rFonts w:cs="Arial"/>
        </w:rPr>
        <w:t>s</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s"/>
        <w:tblDescription w:val="The table shows the two proposed MBS item descriptors."/>
      </w:tblPr>
      <w:tblGrid>
        <w:gridCol w:w="9016"/>
      </w:tblGrid>
      <w:tr w:rsidR="003328A9" w:rsidRPr="00CE28E3" w14:paraId="7A70B700" w14:textId="77777777" w:rsidTr="00170D5B">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3D456AD2" w14:textId="77777777" w:rsidR="00E83F61" w:rsidRDefault="00E83F61" w:rsidP="00E83F61">
            <w:pPr>
              <w:pStyle w:val="TableText"/>
              <w:jc w:val="right"/>
            </w:pPr>
            <w:r>
              <w:t>Category 6 – Pathology services</w:t>
            </w:r>
          </w:p>
          <w:p w14:paraId="617FAF30" w14:textId="2B1FDB9F" w:rsidR="003328A9" w:rsidRPr="00CE28E3" w:rsidRDefault="00E83F61" w:rsidP="00E83F61">
            <w:pPr>
              <w:pStyle w:val="TableText"/>
              <w:jc w:val="right"/>
              <w:rPr>
                <w:sz w:val="24"/>
              </w:rPr>
            </w:pPr>
            <w:r>
              <w:t>Group P2 Chemical</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403D88D0" w14:textId="77777777" w:rsidR="004E504C" w:rsidRPr="004E504C" w:rsidRDefault="004E504C" w:rsidP="004E504C">
            <w:pPr>
              <w:spacing w:after="120"/>
              <w:rPr>
                <w:rFonts w:ascii="Arial Narrow" w:hAnsi="Arial Narrow"/>
                <w:lang w:val="en-US" w:eastAsia="ja-JP"/>
              </w:rPr>
            </w:pPr>
            <w:r w:rsidRPr="004E504C">
              <w:rPr>
                <w:rFonts w:ascii="Arial Narrow" w:hAnsi="Arial Narrow"/>
                <w:lang w:val="en-US" w:eastAsia="ja-JP"/>
              </w:rPr>
              <w:t xml:space="preserve">MBS item AAAA </w:t>
            </w:r>
          </w:p>
          <w:p w14:paraId="13B675B9" w14:textId="77777777" w:rsidR="004E504C" w:rsidRPr="004E504C" w:rsidRDefault="004E504C" w:rsidP="004E504C">
            <w:pPr>
              <w:spacing w:after="120"/>
              <w:rPr>
                <w:rFonts w:ascii="Arial Narrow" w:hAnsi="Arial Narrow"/>
                <w:lang w:val="en-US" w:eastAsia="ja-JP"/>
              </w:rPr>
            </w:pPr>
            <w:r w:rsidRPr="004E504C">
              <w:rPr>
                <w:rFonts w:ascii="Arial Narrow" w:hAnsi="Arial Narrow"/>
                <w:lang w:val="en-US" w:eastAsia="ja-JP"/>
              </w:rPr>
              <w:t>Quantitation of NT-</w:t>
            </w:r>
            <w:proofErr w:type="spellStart"/>
            <w:r w:rsidRPr="004E504C">
              <w:rPr>
                <w:rFonts w:ascii="Arial Narrow" w:hAnsi="Arial Narrow"/>
                <w:lang w:val="en-US" w:eastAsia="ja-JP"/>
              </w:rPr>
              <w:t>proBNP</w:t>
            </w:r>
            <w:proofErr w:type="spellEnd"/>
            <w:r w:rsidRPr="004E504C">
              <w:rPr>
                <w:rFonts w:ascii="Arial Narrow" w:hAnsi="Arial Narrow"/>
                <w:lang w:val="en-US" w:eastAsia="ja-JP"/>
              </w:rPr>
              <w:t xml:space="preserve"> for the exclusion of a diagnosis of heart failure in patients presenting to a non-hospital setting, where </w:t>
            </w:r>
            <w:proofErr w:type="gramStart"/>
            <w:r w:rsidRPr="00D87293">
              <w:rPr>
                <w:rFonts w:ascii="Arial Narrow" w:hAnsi="Arial Narrow"/>
                <w:lang w:val="en-US" w:eastAsia="ja-JP"/>
              </w:rPr>
              <w:t>all of</w:t>
            </w:r>
            <w:proofErr w:type="gramEnd"/>
            <w:r w:rsidRPr="00D87293">
              <w:rPr>
                <w:rFonts w:ascii="Arial Narrow" w:hAnsi="Arial Narrow"/>
                <w:lang w:val="en-US" w:eastAsia="ja-JP"/>
              </w:rPr>
              <w:t xml:space="preserve"> the following apply:</w:t>
            </w:r>
          </w:p>
          <w:p w14:paraId="59CEEBBC" w14:textId="7E5BB4EA" w:rsidR="004E504C" w:rsidRPr="004E504C" w:rsidRDefault="004E504C" w:rsidP="004E504C">
            <w:pPr>
              <w:spacing w:after="120"/>
              <w:rPr>
                <w:rFonts w:ascii="Arial Narrow" w:hAnsi="Arial Narrow"/>
                <w:lang w:val="en-US" w:eastAsia="ja-JP"/>
              </w:rPr>
            </w:pPr>
            <w:r w:rsidRPr="00D87293">
              <w:rPr>
                <w:rFonts w:ascii="Arial Narrow" w:hAnsi="Arial Narrow"/>
                <w:lang w:val="en-US" w:eastAsia="ja-JP"/>
              </w:rPr>
              <w:t>(a) H</w:t>
            </w:r>
            <w:r w:rsidRPr="004E504C">
              <w:rPr>
                <w:rFonts w:ascii="Arial Narrow" w:hAnsi="Arial Narrow"/>
                <w:lang w:val="en-US" w:eastAsia="ja-JP"/>
              </w:rPr>
              <w:t xml:space="preserve">eart failure </w:t>
            </w:r>
            <w:proofErr w:type="gramStart"/>
            <w:r w:rsidRPr="00D87293">
              <w:rPr>
                <w:rFonts w:ascii="Arial Narrow" w:hAnsi="Arial Narrow"/>
                <w:strike/>
                <w:lang w:val="en-US" w:eastAsia="ja-JP"/>
              </w:rPr>
              <w:t>is</w:t>
            </w:r>
            <w:r w:rsidRPr="004E504C">
              <w:rPr>
                <w:rFonts w:ascii="Arial Narrow" w:hAnsi="Arial Narrow"/>
                <w:lang w:val="en-US" w:eastAsia="ja-JP"/>
              </w:rPr>
              <w:t xml:space="preserve"> </w:t>
            </w:r>
            <w:r w:rsidR="00DB2417" w:rsidRPr="00D87293">
              <w:rPr>
                <w:rFonts w:ascii="Arial Narrow" w:hAnsi="Arial Narrow"/>
                <w:u w:val="single"/>
                <w:lang w:val="en-US" w:eastAsia="ja-JP"/>
              </w:rPr>
              <w:t>may be</w:t>
            </w:r>
            <w:proofErr w:type="gramEnd"/>
            <w:r w:rsidR="00DB2417">
              <w:rPr>
                <w:rFonts w:ascii="Arial Narrow" w:hAnsi="Arial Narrow"/>
                <w:lang w:val="en-US" w:eastAsia="ja-JP"/>
              </w:rPr>
              <w:t xml:space="preserve"> </w:t>
            </w:r>
            <w:r w:rsidRPr="004E504C">
              <w:rPr>
                <w:rFonts w:ascii="Arial Narrow" w:hAnsi="Arial Narrow"/>
                <w:lang w:val="en-US" w:eastAsia="ja-JP"/>
              </w:rPr>
              <w:t xml:space="preserve">suspected </w:t>
            </w:r>
            <w:r w:rsidR="00DB2417">
              <w:rPr>
                <w:rFonts w:ascii="Arial Narrow" w:hAnsi="Arial Narrow"/>
                <w:u w:val="single"/>
                <w:lang w:val="en-US" w:eastAsia="ja-JP"/>
              </w:rPr>
              <w:t xml:space="preserve">based on signs and symptoms </w:t>
            </w:r>
            <w:r w:rsidRPr="004E504C">
              <w:rPr>
                <w:rFonts w:ascii="Arial Narrow" w:hAnsi="Arial Narrow"/>
                <w:lang w:val="en-US" w:eastAsia="ja-JP"/>
              </w:rPr>
              <w:t xml:space="preserve">but diagnosis is uncertain </w:t>
            </w:r>
            <w:r w:rsidRPr="00D87293">
              <w:rPr>
                <w:rFonts w:ascii="Arial Narrow" w:hAnsi="Arial Narrow"/>
                <w:strike/>
                <w:lang w:val="en-US" w:eastAsia="ja-JP"/>
              </w:rPr>
              <w:t>based on initial assessment</w:t>
            </w:r>
          </w:p>
          <w:p w14:paraId="2C319D1F" w14:textId="73246A4E" w:rsidR="004E504C" w:rsidRPr="00D87293" w:rsidRDefault="004E504C" w:rsidP="004E504C">
            <w:pPr>
              <w:spacing w:after="120"/>
              <w:rPr>
                <w:rFonts w:ascii="Arial Narrow" w:hAnsi="Arial Narrow"/>
                <w:lang w:val="en-US" w:eastAsia="ja-JP"/>
              </w:rPr>
            </w:pPr>
            <w:r w:rsidRPr="00D87293">
              <w:rPr>
                <w:rFonts w:ascii="Arial Narrow" w:hAnsi="Arial Narrow"/>
                <w:lang w:val="en-US" w:eastAsia="ja-JP"/>
              </w:rPr>
              <w:t xml:space="preserve">(b) The service is requested by a general practitioner or appropriate nurse practitioners </w:t>
            </w:r>
          </w:p>
          <w:p w14:paraId="3EEC2DE6" w14:textId="066572D3" w:rsidR="003328A9" w:rsidRPr="00170D5B" w:rsidRDefault="004E504C" w:rsidP="004E504C">
            <w:pPr>
              <w:spacing w:after="120"/>
              <w:rPr>
                <w:rFonts w:ascii="Arial Narrow" w:hAnsi="Arial Narrow"/>
                <w:lang w:val="en-US" w:eastAsia="ja-JP"/>
              </w:rPr>
            </w:pPr>
            <w:r w:rsidRPr="004E504C">
              <w:rPr>
                <w:rFonts w:ascii="Arial Narrow" w:hAnsi="Arial Narrow"/>
                <w:lang w:val="en-US" w:eastAsia="ja-JP"/>
              </w:rPr>
              <w:t>Applicable not more than once in a 12-month period</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08DB16EF" w:rsidR="003328A9" w:rsidRPr="005D749D" w:rsidRDefault="00454226" w:rsidP="00170D5B">
            <w:pPr>
              <w:pStyle w:val="TableText"/>
            </w:pPr>
            <w:r w:rsidRPr="00454226">
              <w:t>Fee: $58.50 Benefit: 75% = $43.90 85% = $49.75</w:t>
            </w:r>
          </w:p>
        </w:tc>
      </w:tr>
      <w:tr w:rsidR="00581A11" w:rsidRPr="005D749D" w14:paraId="651FAE36"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tcPr>
          <w:p w14:paraId="02B903FE" w14:textId="77777777" w:rsidR="00531F1D" w:rsidRPr="00D87293" w:rsidRDefault="00531F1D" w:rsidP="00D87293">
            <w:pPr>
              <w:spacing w:after="120"/>
              <w:rPr>
                <w:lang w:val="en-US" w:eastAsia="ja-JP"/>
              </w:rPr>
            </w:pPr>
            <w:r w:rsidRPr="00D87293">
              <w:rPr>
                <w:rFonts w:ascii="Arial Narrow" w:hAnsi="Arial Narrow"/>
                <w:lang w:val="en-US" w:eastAsia="ja-JP"/>
              </w:rPr>
              <w:t xml:space="preserve">MBS item BBBB </w:t>
            </w:r>
          </w:p>
          <w:p w14:paraId="0EDACAF1" w14:textId="77777777" w:rsidR="00531F1D" w:rsidRPr="00D87293" w:rsidRDefault="00531F1D" w:rsidP="00D87293">
            <w:pPr>
              <w:spacing w:after="120"/>
              <w:rPr>
                <w:lang w:val="en-US" w:eastAsia="ja-JP"/>
              </w:rPr>
            </w:pPr>
            <w:r w:rsidRPr="00D87293">
              <w:rPr>
                <w:rFonts w:ascii="Arial Narrow" w:hAnsi="Arial Narrow"/>
                <w:lang w:val="en-US" w:eastAsia="ja-JP"/>
              </w:rPr>
              <w:t>Quantitation of NT-</w:t>
            </w:r>
            <w:proofErr w:type="spellStart"/>
            <w:r w:rsidRPr="00D87293">
              <w:rPr>
                <w:rFonts w:ascii="Arial Narrow" w:hAnsi="Arial Narrow"/>
                <w:lang w:val="en-US" w:eastAsia="ja-JP"/>
              </w:rPr>
              <w:t>proBNP</w:t>
            </w:r>
            <w:proofErr w:type="spellEnd"/>
            <w:r w:rsidRPr="00D87293">
              <w:rPr>
                <w:rFonts w:ascii="Arial Narrow" w:hAnsi="Arial Narrow"/>
                <w:lang w:val="en-US" w:eastAsia="ja-JP"/>
              </w:rPr>
              <w:t xml:space="preserve"> for the exclusion of a diagnosis of heart failure in patients presenting to a non-hospital setting, where </w:t>
            </w:r>
            <w:proofErr w:type="gramStart"/>
            <w:r w:rsidRPr="00D87293">
              <w:rPr>
                <w:rFonts w:ascii="Arial Narrow" w:hAnsi="Arial Narrow"/>
                <w:lang w:val="en-US" w:eastAsia="ja-JP"/>
              </w:rPr>
              <w:t>all of</w:t>
            </w:r>
            <w:proofErr w:type="gramEnd"/>
            <w:r w:rsidRPr="00D87293">
              <w:rPr>
                <w:rFonts w:ascii="Arial Narrow" w:hAnsi="Arial Narrow"/>
                <w:lang w:val="en-US" w:eastAsia="ja-JP"/>
              </w:rPr>
              <w:t xml:space="preserve"> the following apply:</w:t>
            </w:r>
          </w:p>
          <w:p w14:paraId="7AA844B5" w14:textId="77777777" w:rsidR="00531F1D" w:rsidRPr="00D87293" w:rsidRDefault="00531F1D" w:rsidP="00D87293">
            <w:pPr>
              <w:spacing w:after="120"/>
              <w:rPr>
                <w:lang w:val="en-US" w:eastAsia="ja-JP"/>
              </w:rPr>
            </w:pPr>
            <w:r w:rsidRPr="00D87293">
              <w:rPr>
                <w:rFonts w:ascii="Arial Narrow" w:hAnsi="Arial Narrow"/>
                <w:lang w:val="en-US" w:eastAsia="ja-JP"/>
              </w:rPr>
              <w:t>(a) Heart failure is suspected but diagnosis is uncertain based on initial assessment</w:t>
            </w:r>
          </w:p>
          <w:p w14:paraId="2460DDB3" w14:textId="3C8FC942" w:rsidR="00531F1D" w:rsidRPr="00D87293" w:rsidRDefault="00531F1D" w:rsidP="00D87293">
            <w:pPr>
              <w:spacing w:after="120"/>
              <w:rPr>
                <w:lang w:val="en-US" w:eastAsia="ja-JP"/>
              </w:rPr>
            </w:pPr>
            <w:r w:rsidRPr="00D87293">
              <w:rPr>
                <w:rFonts w:ascii="Arial Narrow" w:hAnsi="Arial Narrow"/>
                <w:lang w:val="en-US" w:eastAsia="ja-JP"/>
              </w:rPr>
              <w:t xml:space="preserve">(b) The service is requested by a specialist or consultant physician </w:t>
            </w:r>
          </w:p>
          <w:p w14:paraId="2385F549" w14:textId="4EE67EE5" w:rsidR="00581A11" w:rsidRPr="005D749D" w:rsidRDefault="00531F1D" w:rsidP="00531F1D">
            <w:pPr>
              <w:pStyle w:val="TableText"/>
            </w:pPr>
            <w:r w:rsidRPr="00531F1D">
              <w:t>Applicable not more than once in a 12-month period</w:t>
            </w:r>
          </w:p>
        </w:tc>
      </w:tr>
      <w:tr w:rsidR="00581A11" w:rsidRPr="005D749D" w14:paraId="6D71F5AF"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tcPr>
          <w:p w14:paraId="56E6C074" w14:textId="760C83C5" w:rsidR="00581A11" w:rsidRPr="005D749D" w:rsidRDefault="0060599C" w:rsidP="00170D5B">
            <w:pPr>
              <w:pStyle w:val="TableText"/>
            </w:pPr>
            <w:r w:rsidRPr="0060599C">
              <w:t>Fee: $58.50 Benefit: 75% = $43.90 85% = $49.75</w:t>
            </w:r>
          </w:p>
        </w:tc>
      </w:tr>
    </w:tbl>
    <w:p w14:paraId="2DB4FBB9" w14:textId="2B8D465D" w:rsidR="00B82ADA" w:rsidRDefault="00B82ADA" w:rsidP="00B82ADA">
      <w:pPr>
        <w:pStyle w:val="Tablenotes0"/>
      </w:pPr>
      <w:r>
        <w:t>Note: Strikethrough and underline indicate deletions and additions from</w:t>
      </w:r>
      <w:r w:rsidR="009F6428">
        <w:t>/to</w:t>
      </w:r>
      <w:r>
        <w:t xml:space="preserve"> the item descriptors </w:t>
      </w:r>
      <w:r w:rsidR="009F6428">
        <w:t>from</w:t>
      </w:r>
      <w:r>
        <w:t xml:space="preserve"> the ratified PICO</w:t>
      </w:r>
      <w:r w:rsidR="00B5584D">
        <w:t xml:space="preserve"> Confirmation</w:t>
      </w:r>
      <w:r>
        <w:t>.</w:t>
      </w:r>
    </w:p>
    <w:p w14:paraId="1CB696C2" w14:textId="051C52FC" w:rsidR="006D769A" w:rsidRDefault="006D769A" w:rsidP="006D769A">
      <w:pPr>
        <w:pStyle w:val="Tablenotes0"/>
      </w:pPr>
      <w:r w:rsidRPr="00FF725D">
        <w:rPr>
          <w:b/>
        </w:rPr>
        <w:t>Source:</w:t>
      </w:r>
      <w:r>
        <w:t xml:space="preserve"> </w:t>
      </w:r>
      <w:r w:rsidR="00BB1E3B">
        <w:t xml:space="preserve">Table 9 of </w:t>
      </w:r>
      <w:r>
        <w:t>MSAC 1740 ADAR+ in-line commentary</w:t>
      </w:r>
      <w:r w:rsidR="00B33AB7">
        <w:t xml:space="preserve"> and Table 11 of Ratified PICO</w:t>
      </w:r>
    </w:p>
    <w:p w14:paraId="34E0B08F" w14:textId="1CC9CCC8" w:rsidR="00772829" w:rsidRPr="00CE28E3" w:rsidRDefault="00AB25C3" w:rsidP="002A18BE">
      <w:pPr>
        <w:pStyle w:val="Heading2"/>
        <w:numPr>
          <w:ilvl w:val="0"/>
          <w:numId w:val="0"/>
        </w:numPr>
      </w:pPr>
      <w:r>
        <w:t>7</w:t>
      </w:r>
      <w:r w:rsidR="00C36633">
        <w:t>.</w:t>
      </w:r>
      <w:r w:rsidR="00C36633">
        <w:tab/>
      </w:r>
      <w:r w:rsidR="00772829" w:rsidRPr="00CE28E3">
        <w:t>Population</w:t>
      </w:r>
    </w:p>
    <w:p w14:paraId="62CF7BEF" w14:textId="0349A5F5" w:rsidR="00867B9F" w:rsidRDefault="00F57C8D" w:rsidP="008F202C">
      <w:pPr>
        <w:keepNext/>
      </w:pPr>
      <w:r>
        <w:t>The</w:t>
      </w:r>
      <w:r w:rsidR="00576DB8">
        <w:t xml:space="preserve"> </w:t>
      </w:r>
      <w:r w:rsidR="000E032D">
        <w:t xml:space="preserve">Ratified </w:t>
      </w:r>
      <w:r w:rsidR="00576DB8">
        <w:t>PICO Confirmation specified two PICO sets</w:t>
      </w:r>
      <w:r w:rsidR="00D931F3">
        <w:t xml:space="preserve">, </w:t>
      </w:r>
      <w:r w:rsidR="00E1578D">
        <w:t>one for each</w:t>
      </w:r>
      <w:r w:rsidR="00D931F3">
        <w:t xml:space="preserve"> requestor setting</w:t>
      </w:r>
      <w:r w:rsidR="00576DB8">
        <w:t>.</w:t>
      </w:r>
    </w:p>
    <w:p w14:paraId="29B18428" w14:textId="0A5FC1E4" w:rsidR="00576DB8" w:rsidRDefault="00576DB8" w:rsidP="00576DB8">
      <w:pPr>
        <w:pStyle w:val="Heading3"/>
      </w:pPr>
      <w:r>
        <w:t>PICO Set 1</w:t>
      </w:r>
    </w:p>
    <w:p w14:paraId="456E34A1" w14:textId="7468A5DE" w:rsidR="00576DB8" w:rsidRDefault="00E024DD" w:rsidP="00576DB8">
      <w:r>
        <w:t xml:space="preserve">The population specified in the PICO Confirmation for PICO set 1 </w:t>
      </w:r>
      <w:r w:rsidR="00D931F3">
        <w:t>wa</w:t>
      </w:r>
      <w:r>
        <w:t xml:space="preserve">s </w:t>
      </w:r>
      <w:r w:rsidR="00934FB9" w:rsidRPr="00934FB9">
        <w:t xml:space="preserve">patients presenting to the primary care setting with signs and symptoms of </w:t>
      </w:r>
      <w:r w:rsidR="009475E2">
        <w:t>HF</w:t>
      </w:r>
      <w:r w:rsidR="00934FB9" w:rsidRPr="00934FB9">
        <w:t>, where the diagnosis</w:t>
      </w:r>
      <w:r w:rsidR="009475E2">
        <w:t xml:space="preserve"> of HF</w:t>
      </w:r>
      <w:r w:rsidR="00934FB9" w:rsidRPr="00934FB9">
        <w:t xml:space="preserve"> is suspected but uncertain.</w:t>
      </w:r>
    </w:p>
    <w:p w14:paraId="3583829A" w14:textId="37351740" w:rsidR="00072A23" w:rsidRDefault="00D931F3" w:rsidP="00576DB8">
      <w:r>
        <w:t xml:space="preserve">PASC advised that in this setting, </w:t>
      </w:r>
      <w:r w:rsidR="00072A23">
        <w:t>NT-</w:t>
      </w:r>
      <w:proofErr w:type="spellStart"/>
      <w:r w:rsidR="00072A23">
        <w:t>proBNP</w:t>
      </w:r>
      <w:proofErr w:type="spellEnd"/>
      <w:r w:rsidR="00072A23">
        <w:t xml:space="preserve"> </w:t>
      </w:r>
      <w:r>
        <w:t>testing would</w:t>
      </w:r>
      <w:r w:rsidR="00072A23">
        <w:t xml:space="preserve"> be used as a triage test</w:t>
      </w:r>
      <w:r w:rsidR="00D103CD">
        <w:t xml:space="preserve"> before echocardiography.</w:t>
      </w:r>
    </w:p>
    <w:p w14:paraId="3EFD76AF" w14:textId="075F363C" w:rsidR="00AE386C" w:rsidRDefault="00AE386C" w:rsidP="00AE386C">
      <w:pPr>
        <w:pStyle w:val="Heading3"/>
      </w:pPr>
      <w:r>
        <w:t xml:space="preserve">PICO </w:t>
      </w:r>
      <w:r w:rsidR="00C252B1">
        <w:t>S</w:t>
      </w:r>
      <w:r>
        <w:t>et 2</w:t>
      </w:r>
    </w:p>
    <w:p w14:paraId="37CA7296" w14:textId="26BEA153" w:rsidR="00C252B1" w:rsidRDefault="00C252B1" w:rsidP="00C252B1">
      <w:r>
        <w:t xml:space="preserve">The population specified in the PICO Confirmation for PICO set 2 </w:t>
      </w:r>
      <w:r w:rsidR="00D931F3">
        <w:t>wa</w:t>
      </w:r>
      <w:r>
        <w:t xml:space="preserve">s </w:t>
      </w:r>
      <w:r w:rsidR="004250C4" w:rsidRPr="004250C4">
        <w:t>all patients who are referred to a specialist or consultant physician with a suspected but uncertain HF diagnosis</w:t>
      </w:r>
      <w:r w:rsidR="004250C4">
        <w:t>.</w:t>
      </w:r>
    </w:p>
    <w:p w14:paraId="3B38404C" w14:textId="7BF4D106" w:rsidR="00D103CD" w:rsidRDefault="00D931F3" w:rsidP="00C252B1">
      <w:r>
        <w:t xml:space="preserve">PASC advised that in this setting, </w:t>
      </w:r>
      <w:r w:rsidR="00D103CD">
        <w:t>NT-</w:t>
      </w:r>
      <w:proofErr w:type="spellStart"/>
      <w:r w:rsidR="00D103CD">
        <w:t>proBNP</w:t>
      </w:r>
      <w:proofErr w:type="spellEnd"/>
      <w:r w:rsidR="00D103CD">
        <w:t xml:space="preserve"> </w:t>
      </w:r>
      <w:r>
        <w:t>testing would</w:t>
      </w:r>
      <w:r w:rsidR="00D103CD">
        <w:t xml:space="preserve"> be used as an additional test alongside echocardiography.</w:t>
      </w:r>
    </w:p>
    <w:p w14:paraId="343D3600" w14:textId="5A1F4682" w:rsidR="00F77684" w:rsidRPr="00C252B1" w:rsidRDefault="00F77684" w:rsidP="00C252B1">
      <w:r>
        <w:t>The applicant disagreed that NT-</w:t>
      </w:r>
      <w:proofErr w:type="spellStart"/>
      <w:r>
        <w:t>proBNP</w:t>
      </w:r>
      <w:proofErr w:type="spellEnd"/>
      <w:r>
        <w:t xml:space="preserve"> would be used as an additional test and proposed NT-</w:t>
      </w:r>
      <w:proofErr w:type="spellStart"/>
      <w:r>
        <w:t>proBNP</w:t>
      </w:r>
      <w:proofErr w:type="spellEnd"/>
      <w:r>
        <w:t xml:space="preserve"> be used as a triage test </w:t>
      </w:r>
      <w:r w:rsidR="006A7AB7">
        <w:t>in both settings.</w:t>
      </w:r>
    </w:p>
    <w:p w14:paraId="66BDFCC1" w14:textId="1A3E657B" w:rsidR="00772829" w:rsidRDefault="00AB25C3" w:rsidP="002A18BE">
      <w:pPr>
        <w:pStyle w:val="Heading2"/>
        <w:numPr>
          <w:ilvl w:val="0"/>
          <w:numId w:val="0"/>
        </w:numPr>
      </w:pPr>
      <w:bookmarkStart w:id="14" w:name="_Toc69491420"/>
      <w:r>
        <w:lastRenderedPageBreak/>
        <w:t>8</w:t>
      </w:r>
      <w:r w:rsidR="00C36633">
        <w:t>.</w:t>
      </w:r>
      <w:r w:rsidR="00C36633">
        <w:tab/>
      </w:r>
      <w:r w:rsidR="00772829" w:rsidRPr="00CE28E3">
        <w:t>Comparator</w:t>
      </w:r>
      <w:bookmarkEnd w:id="14"/>
    </w:p>
    <w:p w14:paraId="47C19418" w14:textId="77777777" w:rsidR="00F5670F" w:rsidRDefault="00F5670F" w:rsidP="00F5670F">
      <w:pPr>
        <w:pStyle w:val="Heading3"/>
      </w:pPr>
      <w:r>
        <w:t>PICO Set 1</w:t>
      </w:r>
    </w:p>
    <w:p w14:paraId="461C8359" w14:textId="6F534E2C" w:rsidR="00106795" w:rsidRDefault="00106795" w:rsidP="00106795">
      <w:r>
        <w:t xml:space="preserve">For PICO set 1, </w:t>
      </w:r>
      <w:r w:rsidR="00B471B5">
        <w:t xml:space="preserve">the </w:t>
      </w:r>
      <w:r w:rsidR="00AC7E58">
        <w:t xml:space="preserve">Ratified </w:t>
      </w:r>
      <w:r w:rsidR="00B471B5">
        <w:t xml:space="preserve">PICO Confirmation advised </w:t>
      </w:r>
      <w:r w:rsidR="00662FCD">
        <w:t xml:space="preserve">that </w:t>
      </w:r>
      <w:r>
        <w:t>the comparator to NT-</w:t>
      </w:r>
      <w:proofErr w:type="spellStart"/>
      <w:r>
        <w:t>proBNP</w:t>
      </w:r>
      <w:proofErr w:type="spellEnd"/>
      <w:r>
        <w:t xml:space="preserve"> testing as part of the initial investigations </w:t>
      </w:r>
      <w:r w:rsidR="00BB07ED">
        <w:t xml:space="preserve">in a primary care setting </w:t>
      </w:r>
      <w:r w:rsidR="008D6E67">
        <w:t>wa</w:t>
      </w:r>
      <w:r>
        <w:t>s no NT-</w:t>
      </w:r>
      <w:proofErr w:type="spellStart"/>
      <w:r>
        <w:t>proBNP</w:t>
      </w:r>
      <w:proofErr w:type="spellEnd"/>
      <w:r>
        <w:t xml:space="preserve"> testing (i.e.</w:t>
      </w:r>
      <w:r w:rsidR="00821009">
        <w:t>,</w:t>
      </w:r>
      <w:r>
        <w:t xml:space="preserve"> initial </w:t>
      </w:r>
      <w:r w:rsidR="009034D7">
        <w:t xml:space="preserve">investigations </w:t>
      </w:r>
      <w:r>
        <w:t>without NT-</w:t>
      </w:r>
      <w:proofErr w:type="spellStart"/>
      <w:r>
        <w:t>proBNP</w:t>
      </w:r>
      <w:proofErr w:type="spellEnd"/>
      <w:r>
        <w:t xml:space="preserve"> testing). In this comparator scenario, if patients are still suspected of HF after the initial investigations (i.e.</w:t>
      </w:r>
      <w:r w:rsidR="00821009">
        <w:t>,</w:t>
      </w:r>
      <w:r>
        <w:t xml:space="preserve"> without NT-</w:t>
      </w:r>
      <w:proofErr w:type="spellStart"/>
      <w:r>
        <w:t>proBNP</w:t>
      </w:r>
      <w:proofErr w:type="spellEnd"/>
      <w:r>
        <w:t xml:space="preserve"> testing)</w:t>
      </w:r>
      <w:r w:rsidR="00502191">
        <w:t xml:space="preserve"> but the diagnosis is uncertain</w:t>
      </w:r>
      <w:r>
        <w:t xml:space="preserve">, they </w:t>
      </w:r>
      <w:r w:rsidR="009E6866">
        <w:t xml:space="preserve">may </w:t>
      </w:r>
      <w:r>
        <w:t xml:space="preserve">then be referred for a specialist clinical assessment (by a cardiologist and/or </w:t>
      </w:r>
      <w:r w:rsidR="008265DA">
        <w:t>echocardiogram</w:t>
      </w:r>
      <w:r>
        <w:t>) for confirmation or exclusion of the HF diagnosis. If the initial investigations determined HF was unlikely, patients may then be investigated for an alternative diagnosis, or referred to a different type of specialist, such as a respiratory physician. PASC considered this was appropriate.</w:t>
      </w:r>
    </w:p>
    <w:p w14:paraId="724A5215" w14:textId="4EE7C3A6" w:rsidR="00F5670F" w:rsidRDefault="00106795" w:rsidP="00106795">
      <w:r>
        <w:t>PASC further commented that if the echocardiogram were regarded as part of the intervention and comparator rather than subsequent, then an alternative approach to use a weighted comparator (comprising an evidence-based proportion of patients receiving echocardiogram, and the remainder receiving only initial assessment) appeared reasonable.</w:t>
      </w:r>
    </w:p>
    <w:p w14:paraId="02E0136D" w14:textId="60F21C39" w:rsidR="0024193D" w:rsidRDefault="0024193D" w:rsidP="00106795">
      <w:r>
        <w:t xml:space="preserve">The ADAR has taken the </w:t>
      </w:r>
      <w:r w:rsidR="00C5533A">
        <w:t xml:space="preserve">second </w:t>
      </w:r>
      <w:r>
        <w:t>approach of including echocardiogram as part of both the intervention and the comparator rather than subsequent</w:t>
      </w:r>
      <w:r w:rsidR="00FC3DF8">
        <w:t>. Th</w:t>
      </w:r>
      <w:r w:rsidR="00854DD1">
        <w:t>e</w:t>
      </w:r>
      <w:r w:rsidR="008651E8">
        <w:t xml:space="preserve"> commentary considered this</w:t>
      </w:r>
      <w:r w:rsidR="00FC3DF8">
        <w:t xml:space="preserve"> </w:t>
      </w:r>
      <w:r w:rsidR="00691EDC">
        <w:t xml:space="preserve">was </w:t>
      </w:r>
      <w:r w:rsidR="00FC3DF8">
        <w:t xml:space="preserve">an appropriate approach for the assessment of a triage </w:t>
      </w:r>
      <w:r w:rsidR="00072A23">
        <w:t>test</w:t>
      </w:r>
      <w:r w:rsidR="008651E8">
        <w:t xml:space="preserve"> </w:t>
      </w:r>
      <w:r w:rsidR="00BB308D">
        <w:t xml:space="preserve">(and it </w:t>
      </w:r>
      <w:r w:rsidR="008651E8">
        <w:t>aligned with PASC advice</w:t>
      </w:r>
      <w:r w:rsidR="00BB308D">
        <w:t>)</w:t>
      </w:r>
      <w:r w:rsidR="00072A23">
        <w:t>;</w:t>
      </w:r>
      <w:r w:rsidR="00FC3DF8">
        <w:t xml:space="preserve"> however</w:t>
      </w:r>
      <w:r w:rsidR="00AC7E58">
        <w:t>,</w:t>
      </w:r>
      <w:r w:rsidR="00FC3DF8">
        <w:t xml:space="preserve"> </w:t>
      </w:r>
      <w:r w:rsidR="00900779">
        <w:t>this necessitate</w:t>
      </w:r>
      <w:r w:rsidR="008651E8">
        <w:t>d</w:t>
      </w:r>
      <w:r w:rsidR="00900779">
        <w:t xml:space="preserve"> consideration of </w:t>
      </w:r>
      <w:r w:rsidR="00144E68">
        <w:t xml:space="preserve">whether the </w:t>
      </w:r>
      <w:r w:rsidR="00211E3A">
        <w:t>decision</w:t>
      </w:r>
      <w:r w:rsidR="00AC7E58">
        <w:t xml:space="preserve"> </w:t>
      </w:r>
      <w:r w:rsidR="00211E3A">
        <w:t>threshold for clinicians for requesting a NT-</w:t>
      </w:r>
      <w:proofErr w:type="spellStart"/>
      <w:r w:rsidR="00211E3A">
        <w:t>proBNP</w:t>
      </w:r>
      <w:proofErr w:type="spellEnd"/>
      <w:r w:rsidR="00211E3A">
        <w:t xml:space="preserve"> test </w:t>
      </w:r>
      <w:r w:rsidR="008B52EA">
        <w:t>wa</w:t>
      </w:r>
      <w:r w:rsidR="00211E3A">
        <w:t>s different to that for referral for an echocardiogram (Question 1 of the Assessment Framework, page 18 of Ratified PICO Confirmation).</w:t>
      </w:r>
      <w:r w:rsidR="00EF7863">
        <w:t xml:space="preserve"> This </w:t>
      </w:r>
      <w:r w:rsidR="00FE5196">
        <w:t xml:space="preserve">‘weighted comparator’ approach was not taken by the </w:t>
      </w:r>
      <w:r w:rsidR="00F85909">
        <w:t>ADAR</w:t>
      </w:r>
      <w:r w:rsidR="001C1657">
        <w:t>: instead, it assumed</w:t>
      </w:r>
      <w:r w:rsidR="00021002">
        <w:t xml:space="preserve"> 100% echocardiography uptake in the comparator, and identical referral propensities for NT-</w:t>
      </w:r>
      <w:proofErr w:type="spellStart"/>
      <w:r w:rsidR="00021002">
        <w:t>proBNP</w:t>
      </w:r>
      <w:proofErr w:type="spellEnd"/>
      <w:r w:rsidR="00021002">
        <w:t xml:space="preserve"> and echocardiography</w:t>
      </w:r>
      <w:r w:rsidR="00FE5196">
        <w:t>.</w:t>
      </w:r>
    </w:p>
    <w:p w14:paraId="66BCE76C" w14:textId="6E824AC8" w:rsidR="005C3B2C" w:rsidRDefault="00CE1491" w:rsidP="00106795">
      <w:r>
        <w:t>The ADAR</w:t>
      </w:r>
      <w:r w:rsidR="00460A56">
        <w:t xml:space="preserve"> propose</w:t>
      </w:r>
      <w:r w:rsidR="00691EDC">
        <w:t>d</w:t>
      </w:r>
      <w:r w:rsidR="00460A56">
        <w:t xml:space="preserve"> that implementation of NT-</w:t>
      </w:r>
      <w:proofErr w:type="spellStart"/>
      <w:r w:rsidR="00460A56">
        <w:t>proBNP</w:t>
      </w:r>
      <w:proofErr w:type="spellEnd"/>
      <w:r w:rsidR="00460A56">
        <w:t xml:space="preserve"> </w:t>
      </w:r>
      <w:r w:rsidR="00691EDC">
        <w:t xml:space="preserve">testing </w:t>
      </w:r>
      <w:r w:rsidR="00460A56">
        <w:t>would reduce the number of echocardiograms</w:t>
      </w:r>
      <w:r w:rsidR="0054691B">
        <w:t xml:space="preserve"> </w:t>
      </w:r>
      <w:r w:rsidR="002601DB" w:rsidRPr="00460A56">
        <w:t>(MBS item 55126)</w:t>
      </w:r>
      <w:r w:rsidR="002601DB">
        <w:t xml:space="preserve"> </w:t>
      </w:r>
      <w:r w:rsidR="0054691B">
        <w:t xml:space="preserve">as patients </w:t>
      </w:r>
      <w:r w:rsidR="00DF6310">
        <w:t xml:space="preserve">without HF </w:t>
      </w:r>
      <w:r w:rsidR="0054691B">
        <w:t xml:space="preserve">can be excluded </w:t>
      </w:r>
      <w:r w:rsidR="00B45056">
        <w:t xml:space="preserve">from echocardiogram referral </w:t>
      </w:r>
      <w:r w:rsidR="00A206A2">
        <w:t>based on</w:t>
      </w:r>
      <w:r w:rsidR="00DF6310">
        <w:t xml:space="preserve"> the NT-</w:t>
      </w:r>
      <w:proofErr w:type="spellStart"/>
      <w:r w:rsidR="00DF6310">
        <w:t>proBNP</w:t>
      </w:r>
      <w:proofErr w:type="spellEnd"/>
      <w:r w:rsidR="00DF6310">
        <w:t xml:space="preserve"> test</w:t>
      </w:r>
      <w:r w:rsidR="00691EDC">
        <w:t xml:space="preserve"> result</w:t>
      </w:r>
      <w:r w:rsidR="00DF6310">
        <w:t>.</w:t>
      </w:r>
    </w:p>
    <w:p w14:paraId="4F1180CC" w14:textId="77FACA95" w:rsidR="00A206A2" w:rsidRDefault="00A206A2" w:rsidP="00A206A2">
      <w:pPr>
        <w:pStyle w:val="Heading3"/>
      </w:pPr>
      <w:r>
        <w:t>PICO Set 2</w:t>
      </w:r>
    </w:p>
    <w:p w14:paraId="3CE9CAF1" w14:textId="4331A00E" w:rsidR="00526BDE" w:rsidRDefault="00091140" w:rsidP="00A206A2">
      <w:r w:rsidRPr="00091140">
        <w:t xml:space="preserve">For PICO set 2, </w:t>
      </w:r>
      <w:r w:rsidR="003A2C24">
        <w:t xml:space="preserve">the Ratified PICO Confirmation advised that </w:t>
      </w:r>
      <w:r w:rsidR="00BB6C85">
        <w:t xml:space="preserve">the comparator </w:t>
      </w:r>
      <w:r w:rsidR="00BB6C85" w:rsidRPr="00091140">
        <w:t>to the NT-</w:t>
      </w:r>
      <w:proofErr w:type="spellStart"/>
      <w:r w:rsidR="00BB6C85" w:rsidRPr="00091140">
        <w:t>proBNP</w:t>
      </w:r>
      <w:proofErr w:type="spellEnd"/>
      <w:r w:rsidR="00BB6C85" w:rsidRPr="00091140">
        <w:t xml:space="preserve"> assay + echocardiogram</w:t>
      </w:r>
      <w:r w:rsidR="00BE3307">
        <w:t>, requested</w:t>
      </w:r>
      <w:r w:rsidR="00BB6C85" w:rsidRPr="00091140">
        <w:t xml:space="preserve"> </w:t>
      </w:r>
      <w:r w:rsidR="00BB07ED">
        <w:t>in a specialist setting</w:t>
      </w:r>
      <w:r w:rsidR="00BE3307">
        <w:t>,</w:t>
      </w:r>
      <w:r w:rsidR="00BB07ED">
        <w:t xml:space="preserve"> </w:t>
      </w:r>
      <w:r w:rsidR="00691EDC">
        <w:t>wa</w:t>
      </w:r>
      <w:r w:rsidR="00BB6C85">
        <w:t>s</w:t>
      </w:r>
      <w:r w:rsidRPr="00091140">
        <w:t xml:space="preserve"> echocardiogram </w:t>
      </w:r>
      <w:r w:rsidR="00BE3307">
        <w:t xml:space="preserve">alone </w:t>
      </w:r>
      <w:r w:rsidRPr="00091140">
        <w:t>(MBS item 55126).</w:t>
      </w:r>
    </w:p>
    <w:p w14:paraId="4266DB2F" w14:textId="4081CA74" w:rsidR="00A206A2" w:rsidRDefault="00526BDE" w:rsidP="00A206A2">
      <w:r>
        <w:t xml:space="preserve">The applicant disagreed </w:t>
      </w:r>
      <w:r w:rsidR="00037111">
        <w:t xml:space="preserve">that </w:t>
      </w:r>
      <w:r w:rsidR="00094C2C">
        <w:t>NT-</w:t>
      </w:r>
      <w:proofErr w:type="spellStart"/>
      <w:r w:rsidR="00094C2C">
        <w:t>proBNP</w:t>
      </w:r>
      <w:proofErr w:type="spellEnd"/>
      <w:r w:rsidR="00094C2C">
        <w:t xml:space="preserve"> </w:t>
      </w:r>
      <w:r w:rsidR="00037111">
        <w:t xml:space="preserve">would be </w:t>
      </w:r>
      <w:r w:rsidR="00CF4A3B">
        <w:t>an additional test</w:t>
      </w:r>
      <w:r w:rsidR="006B4562">
        <w:t xml:space="preserve"> to echocardiography</w:t>
      </w:r>
      <w:r w:rsidR="00CF4A3B">
        <w:t xml:space="preserve"> in this set</w:t>
      </w:r>
      <w:r w:rsidR="00037111">
        <w:t>ting</w:t>
      </w:r>
      <w:r w:rsidR="00726B78">
        <w:t>. The applicant consider</w:t>
      </w:r>
      <w:r w:rsidR="00C91EDF">
        <w:t>ed</w:t>
      </w:r>
      <w:r w:rsidR="00726B78">
        <w:t xml:space="preserve"> that NT-</w:t>
      </w:r>
      <w:proofErr w:type="spellStart"/>
      <w:r w:rsidR="00726B78">
        <w:t>proBNP</w:t>
      </w:r>
      <w:proofErr w:type="spellEnd"/>
      <w:r w:rsidR="00726B78">
        <w:t xml:space="preserve"> testing will be used as a triage test prior to echocardiography </w:t>
      </w:r>
      <w:r w:rsidR="009554AD">
        <w:t>in both</w:t>
      </w:r>
      <w:r w:rsidR="00443EDB">
        <w:t xml:space="preserve"> settings</w:t>
      </w:r>
      <w:r w:rsidR="009554AD">
        <w:t>.</w:t>
      </w:r>
    </w:p>
    <w:p w14:paraId="307C0C02" w14:textId="381DC802" w:rsidR="00F41C01" w:rsidRDefault="00C02A6E" w:rsidP="00A206A2">
      <w:r>
        <w:t>The ADAR state</w:t>
      </w:r>
      <w:r w:rsidR="00120CA5">
        <w:t>d</w:t>
      </w:r>
      <w:r>
        <w:t xml:space="preserve"> that the use of NT-</w:t>
      </w:r>
      <w:proofErr w:type="spellStart"/>
      <w:r>
        <w:t>proBNP</w:t>
      </w:r>
      <w:proofErr w:type="spellEnd"/>
      <w:r>
        <w:t xml:space="preserve"> as a triage test is </w:t>
      </w:r>
      <w:r w:rsidR="000247CB">
        <w:t xml:space="preserve">consistent with Australian </w:t>
      </w:r>
      <w:r w:rsidR="006C6780">
        <w:t>c</w:t>
      </w:r>
      <w:r w:rsidR="000247CB">
        <w:t xml:space="preserve">linical </w:t>
      </w:r>
      <w:r w:rsidR="006C6780">
        <w:t>p</w:t>
      </w:r>
      <w:r w:rsidR="000247CB">
        <w:t xml:space="preserve">ractice </w:t>
      </w:r>
      <w:r w:rsidR="006C6780">
        <w:t>g</w:t>
      </w:r>
      <w:r w:rsidR="000247CB">
        <w:t xml:space="preserve">uidelines </w:t>
      </w:r>
      <w:r w:rsidR="009D2CCD">
        <w:t xml:space="preserve">from the </w:t>
      </w:r>
      <w:r w:rsidR="000247CB">
        <w:t xml:space="preserve">National Heart Foundation </w:t>
      </w:r>
      <w:r w:rsidR="009C1A3C">
        <w:t xml:space="preserve">of </w:t>
      </w:r>
      <w:r w:rsidR="007A2D81">
        <w:t xml:space="preserve">Australia </w:t>
      </w:r>
      <w:r w:rsidR="000247CB">
        <w:t>and Cardiac Society of Australia and New Zealand (</w:t>
      </w:r>
      <w:r w:rsidR="006C6780">
        <w:t>NHFA/</w:t>
      </w:r>
      <w:r w:rsidR="000247CB">
        <w:t>CSANZ</w:t>
      </w:r>
      <w:r w:rsidR="00E42E99">
        <w:t>;</w:t>
      </w:r>
      <w:r w:rsidR="000247CB">
        <w:t xml:space="preserve"> </w:t>
      </w:r>
      <w:r w:rsidR="00DC27D0">
        <w:t>Atherton</w:t>
      </w:r>
      <w:r w:rsidR="00B46A7B">
        <w:t xml:space="preserve"> et al</w:t>
      </w:r>
      <w:r w:rsidR="00DC27D0">
        <w:t xml:space="preserve">, </w:t>
      </w:r>
      <w:r w:rsidR="00B46A7B">
        <w:t>(</w:t>
      </w:r>
      <w:r w:rsidR="00DC27D0">
        <w:t>2018</w:t>
      </w:r>
      <w:r w:rsidR="00B46A7B">
        <w:t>)</w:t>
      </w:r>
      <w:r w:rsidR="00DC27D0">
        <w:t>)</w:t>
      </w:r>
      <w:r w:rsidR="008A468A">
        <w:t xml:space="preserve">. The </w:t>
      </w:r>
      <w:r w:rsidR="00E42E99">
        <w:t>g</w:t>
      </w:r>
      <w:r w:rsidR="008A468A">
        <w:t xml:space="preserve">uidelines do not </w:t>
      </w:r>
      <w:r w:rsidR="00F41C01">
        <w:t>specifically position NT-</w:t>
      </w:r>
      <w:proofErr w:type="spellStart"/>
      <w:r w:rsidR="00F41C01">
        <w:t>proBNP</w:t>
      </w:r>
      <w:proofErr w:type="spellEnd"/>
      <w:r w:rsidR="00F41C01">
        <w:t xml:space="preserve"> as a triage test</w:t>
      </w:r>
      <w:r w:rsidR="00B41780">
        <w:t xml:space="preserve"> for echocardiography</w:t>
      </w:r>
      <w:r w:rsidR="00C121C5">
        <w:t>;</w:t>
      </w:r>
      <w:r w:rsidR="00F41C01">
        <w:t xml:space="preserve"> they state:</w:t>
      </w:r>
    </w:p>
    <w:p w14:paraId="2DFCAA28" w14:textId="28FBC1C6" w:rsidR="00C02A6E" w:rsidRDefault="00F41C01" w:rsidP="00A206A2">
      <w:pPr>
        <w:rPr>
          <w:i/>
          <w:iCs/>
        </w:rPr>
      </w:pPr>
      <w:r w:rsidRPr="000551B7">
        <w:rPr>
          <w:i/>
          <w:iCs/>
        </w:rPr>
        <w:t>‘</w:t>
      </w:r>
      <w:r w:rsidR="00A91042" w:rsidRPr="000551B7">
        <w:rPr>
          <w:i/>
          <w:iCs/>
        </w:rPr>
        <w:t>The single most useful investigation in patients with suspected or confirmed heart failure is the echocardiogram. However, if the diagnosis is unclear and an echocardiogram cannot be arranged in a timely fashion, measurement of plasma BNP and NT</w:t>
      </w:r>
      <w:r w:rsidR="00407736">
        <w:rPr>
          <w:i/>
          <w:iCs/>
        </w:rPr>
        <w:t>-</w:t>
      </w:r>
      <w:proofErr w:type="spellStart"/>
      <w:r w:rsidR="00A91042" w:rsidRPr="000551B7">
        <w:rPr>
          <w:i/>
          <w:iCs/>
        </w:rPr>
        <w:t>proBNP</w:t>
      </w:r>
      <w:proofErr w:type="spellEnd"/>
      <w:r w:rsidR="00A91042" w:rsidRPr="000551B7">
        <w:rPr>
          <w:i/>
          <w:iCs/>
        </w:rPr>
        <w:t xml:space="preserve"> has been shown to improve diagnostic accuracy.’</w:t>
      </w:r>
    </w:p>
    <w:p w14:paraId="7F7F65DF" w14:textId="66724CEB" w:rsidR="00225B9C" w:rsidRPr="00225B9C" w:rsidRDefault="00225B9C" w:rsidP="00A206A2">
      <w:r>
        <w:lastRenderedPageBreak/>
        <w:t xml:space="preserve">The </w:t>
      </w:r>
      <w:r w:rsidR="005B0A3E">
        <w:t xml:space="preserve">2018 NHFA/CSANZ guidelines </w:t>
      </w:r>
      <w:r>
        <w:t xml:space="preserve">additionally include </w:t>
      </w:r>
      <w:r w:rsidR="009F1E2E">
        <w:t xml:space="preserve">age-based </w:t>
      </w:r>
      <w:r>
        <w:t>rule-in thresholds</w:t>
      </w:r>
      <w:r w:rsidR="00646923">
        <w:t xml:space="preserve"> for NT-</w:t>
      </w:r>
      <w:proofErr w:type="spellStart"/>
      <w:r w:rsidR="00646923">
        <w:t>proBNP</w:t>
      </w:r>
      <w:proofErr w:type="spellEnd"/>
      <w:r w:rsidR="00341066">
        <w:t xml:space="preserve"> and </w:t>
      </w:r>
      <w:r w:rsidR="008F4F50">
        <w:t>BNP</w:t>
      </w:r>
      <w:r w:rsidR="005B0A3E">
        <w:t>,</w:t>
      </w:r>
      <w:r>
        <w:t xml:space="preserve"> which </w:t>
      </w:r>
      <w:r w:rsidR="00120CA5">
        <w:t>we</w:t>
      </w:r>
      <w:r>
        <w:t xml:space="preserve">re not </w:t>
      </w:r>
      <w:r w:rsidR="009F1E2E">
        <w:t>discussed in the ADAR.</w:t>
      </w:r>
    </w:p>
    <w:p w14:paraId="6CA6863B" w14:textId="3233EB58" w:rsidR="006C4A5A" w:rsidRDefault="006C4A5A" w:rsidP="006C4A5A">
      <w:pPr>
        <w:pStyle w:val="Heading3"/>
      </w:pPr>
      <w:r>
        <w:t>Summary</w:t>
      </w:r>
    </w:p>
    <w:p w14:paraId="12EE73AC" w14:textId="0D6BA758" w:rsidR="00034CD2" w:rsidRDefault="00034CD2" w:rsidP="00034CD2">
      <w:r>
        <w:t xml:space="preserve">The </w:t>
      </w:r>
      <w:r w:rsidR="00AD4344">
        <w:t xml:space="preserve">commentary considered </w:t>
      </w:r>
      <w:r w:rsidR="00A91EB7">
        <w:t>that the</w:t>
      </w:r>
      <w:r>
        <w:t xml:space="preserve"> ADAR </w:t>
      </w:r>
      <w:r w:rsidR="00161209">
        <w:t xml:space="preserve">did </w:t>
      </w:r>
      <w:r>
        <w:t xml:space="preserve">not align with the </w:t>
      </w:r>
      <w:r w:rsidR="004844A6">
        <w:t xml:space="preserve">Ratified </w:t>
      </w:r>
      <w:r>
        <w:t>PICO Confirmation, in particular the ADAR:</w:t>
      </w:r>
    </w:p>
    <w:p w14:paraId="09CC65CA" w14:textId="5F666048" w:rsidR="00B65587" w:rsidRPr="003251C2" w:rsidRDefault="00B65587" w:rsidP="00B65587">
      <w:pPr>
        <w:pStyle w:val="ListParagraph"/>
        <w:numPr>
          <w:ilvl w:val="0"/>
          <w:numId w:val="28"/>
        </w:numPr>
      </w:pPr>
      <w:r>
        <w:t xml:space="preserve">did not consider </w:t>
      </w:r>
      <w:r w:rsidR="009745EB">
        <w:t xml:space="preserve">differential </w:t>
      </w:r>
      <w:r>
        <w:t>rates of uptake of echocardiography for PICO set 1 (primary care setting) but assumed 100% uptake in the comparator (no NT-</w:t>
      </w:r>
      <w:proofErr w:type="spellStart"/>
      <w:r>
        <w:t>proBNP</w:t>
      </w:r>
      <w:proofErr w:type="spellEnd"/>
      <w:r>
        <w:t xml:space="preserve"> testing) and identical referral propensities for NT-</w:t>
      </w:r>
      <w:proofErr w:type="spellStart"/>
      <w:r>
        <w:t>proBNP</w:t>
      </w:r>
      <w:proofErr w:type="spellEnd"/>
      <w:r>
        <w:t xml:space="preserve"> and echocardiography in primary </w:t>
      </w:r>
      <w:proofErr w:type="gramStart"/>
      <w:r>
        <w:t>care</w:t>
      </w:r>
      <w:proofErr w:type="gramEnd"/>
      <w:r>
        <w:t xml:space="preserve"> </w:t>
      </w:r>
    </w:p>
    <w:p w14:paraId="0169BC4C" w14:textId="72F8B1BD" w:rsidR="00B65587" w:rsidRDefault="00B65587" w:rsidP="00B65587">
      <w:pPr>
        <w:pStyle w:val="ListParagraph"/>
        <w:numPr>
          <w:ilvl w:val="0"/>
          <w:numId w:val="28"/>
        </w:numPr>
      </w:pPr>
      <w:r>
        <w:t xml:space="preserve">did not address PICO set 2 (specialist requestor setting) </w:t>
      </w:r>
      <w:r w:rsidR="00256910">
        <w:t>as specified</w:t>
      </w:r>
      <w:r>
        <w:t xml:space="preserve"> by PASC.</w:t>
      </w:r>
    </w:p>
    <w:p w14:paraId="47BC3A84" w14:textId="1E4117EF" w:rsidR="00772829" w:rsidRPr="00CE28E3" w:rsidRDefault="00AB25C3" w:rsidP="002A18BE">
      <w:pPr>
        <w:pStyle w:val="Heading2"/>
        <w:numPr>
          <w:ilvl w:val="0"/>
          <w:numId w:val="0"/>
        </w:numPr>
      </w:pPr>
      <w:bookmarkStart w:id="15" w:name="_Toc69491421"/>
      <w:r>
        <w:t>9</w:t>
      </w:r>
      <w:r w:rsidR="00C36633">
        <w:t>.</w:t>
      </w:r>
      <w:r w:rsidR="00C36633">
        <w:tab/>
      </w:r>
      <w:r w:rsidR="00772829" w:rsidRPr="00CE28E3">
        <w:t xml:space="preserve">Summary of public consultation </w:t>
      </w:r>
      <w:r w:rsidR="0052575D">
        <w:t>input</w:t>
      </w:r>
      <w:bookmarkEnd w:id="15"/>
    </w:p>
    <w:p w14:paraId="102A3693" w14:textId="709773FD" w:rsidR="00C350CD" w:rsidRDefault="00C350CD" w:rsidP="00AE429F">
      <w:r>
        <w:t>Consultation feedback was received from four organisations:</w:t>
      </w:r>
    </w:p>
    <w:p w14:paraId="3E7C6BFC" w14:textId="40735AE0" w:rsidR="00C350CD" w:rsidRDefault="00C350CD" w:rsidP="00D87293">
      <w:pPr>
        <w:pStyle w:val="ListParagraph"/>
        <w:numPr>
          <w:ilvl w:val="0"/>
          <w:numId w:val="31"/>
        </w:numPr>
      </w:pPr>
      <w:r>
        <w:t>Lung Foundation Australia (LFA)</w:t>
      </w:r>
    </w:p>
    <w:p w14:paraId="4647806F" w14:textId="516960CD" w:rsidR="00C350CD" w:rsidRDefault="00C350CD" w:rsidP="00D87293">
      <w:pPr>
        <w:pStyle w:val="ListParagraph"/>
        <w:numPr>
          <w:ilvl w:val="0"/>
          <w:numId w:val="31"/>
        </w:numPr>
      </w:pPr>
      <w:r>
        <w:t>National Heart Foundation of Australia (The Heart Foundation)</w:t>
      </w:r>
    </w:p>
    <w:p w14:paraId="4016ECA7" w14:textId="16FA771D" w:rsidR="00C350CD" w:rsidRDefault="00C350CD" w:rsidP="00D87293">
      <w:pPr>
        <w:pStyle w:val="ListParagraph"/>
        <w:numPr>
          <w:ilvl w:val="0"/>
          <w:numId w:val="31"/>
        </w:numPr>
      </w:pPr>
      <w:r>
        <w:t>Royal Australian College of General Practitioners (RACGP)</w:t>
      </w:r>
    </w:p>
    <w:p w14:paraId="4A81A3B3" w14:textId="066E5A94" w:rsidR="00C350CD" w:rsidRDefault="00C350CD" w:rsidP="00D87293">
      <w:pPr>
        <w:pStyle w:val="ListParagraph"/>
        <w:numPr>
          <w:ilvl w:val="0"/>
          <w:numId w:val="31"/>
        </w:numPr>
      </w:pPr>
      <w:r>
        <w:t>Royal College of Pathologists of Australasia (RCPA)</w:t>
      </w:r>
    </w:p>
    <w:p w14:paraId="507A6D80" w14:textId="1DAF9C20" w:rsidR="00772829" w:rsidRDefault="00C350CD" w:rsidP="00AE429F">
      <w:r>
        <w:t>The consultation feedback received was all supportive of public funding for NT-</w:t>
      </w:r>
      <w:proofErr w:type="spellStart"/>
      <w:r>
        <w:t>proBNP</w:t>
      </w:r>
      <w:proofErr w:type="spellEnd"/>
      <w:r>
        <w:t xml:space="preserve"> to aid in the diagnosis of patients with suspected </w:t>
      </w:r>
      <w:r w:rsidR="00E3677E">
        <w:t>HF</w:t>
      </w:r>
      <w:r>
        <w:t xml:space="preserve"> in the non-hospital setting.</w:t>
      </w:r>
    </w:p>
    <w:p w14:paraId="018A4EF0" w14:textId="77777777" w:rsidR="00EF6435" w:rsidRDefault="00EF6435" w:rsidP="00EF6435">
      <w:pPr>
        <w:pStyle w:val="Heading3"/>
      </w:pPr>
      <w:r>
        <w:t>Clinical need and public health significance</w:t>
      </w:r>
    </w:p>
    <w:p w14:paraId="3203077C" w14:textId="657831E7" w:rsidR="00EF6435" w:rsidRDefault="00EF6435" w:rsidP="00EF6435">
      <w:r>
        <w:t xml:space="preserve">The main benefits of public funding received in the consultation feedback related to early diagnosis of lung conditions and </w:t>
      </w:r>
      <w:r w:rsidR="00295697">
        <w:t>HF</w:t>
      </w:r>
      <w:r>
        <w:t xml:space="preserve"> leading to early treatment and better health and financial outcomes. A further benefit identified was complying with international guidelines from the UK, US, and Europe; that all recommend the use of NT-</w:t>
      </w:r>
      <w:proofErr w:type="spellStart"/>
      <w:r>
        <w:t>proBNP</w:t>
      </w:r>
      <w:proofErr w:type="spellEnd"/>
      <w:r>
        <w:t xml:space="preserve"> to diagnose or rule out HF in primary care/ambulatory settings.</w:t>
      </w:r>
    </w:p>
    <w:p w14:paraId="3942DFAA" w14:textId="67523F6E" w:rsidR="00EF6435" w:rsidRDefault="00EF6435" w:rsidP="00EF6435">
      <w:r>
        <w:t>The Department sought feedback from several general practice organisations on whether this test should be used in the primary care setting. The RACGP proposed that testing should be available for GPs to conduct in their practices.</w:t>
      </w:r>
    </w:p>
    <w:p w14:paraId="558B43E7" w14:textId="77777777" w:rsidR="00EF6435" w:rsidRDefault="00EF6435" w:rsidP="00EF6435">
      <w:r>
        <w:t>The main disadvantages of public funding received in the consultation feedback were limitations to accessing specialist and laboratory services, particularly for those in rural and remote areas.</w:t>
      </w:r>
    </w:p>
    <w:p w14:paraId="5AB8CD7B" w14:textId="77777777" w:rsidR="00EF6435" w:rsidRDefault="00EF6435" w:rsidP="00EF6435">
      <w:pPr>
        <w:pStyle w:val="Heading3"/>
      </w:pPr>
      <w:r>
        <w:t>The proposed population, clinical claim, service description and fee</w:t>
      </w:r>
    </w:p>
    <w:p w14:paraId="7EAFDC58" w14:textId="77777777" w:rsidR="00EF6435" w:rsidRDefault="00EF6435" w:rsidP="00EF6435">
      <w:r>
        <w:t>The consultation agreed with the proposed population and clinical claims. Neither organisation commented on the proposed comparator, service descriptor or fee.</w:t>
      </w:r>
    </w:p>
    <w:p w14:paraId="3BA5150E" w14:textId="77777777" w:rsidR="00EF6435" w:rsidRDefault="00EF6435" w:rsidP="00EF6435">
      <w:pPr>
        <w:pStyle w:val="Heading3"/>
      </w:pPr>
      <w:r>
        <w:t xml:space="preserve">Additional comments </w:t>
      </w:r>
    </w:p>
    <w:p w14:paraId="40001C45" w14:textId="3A9C5806" w:rsidR="00B9355D" w:rsidRDefault="00EF6435" w:rsidP="00EF6435">
      <w:r>
        <w:t xml:space="preserve">The Heart Foundation stated that First Nation people are 1.4 times more likely to die from </w:t>
      </w:r>
      <w:r w:rsidR="008A2634">
        <w:t>HF</w:t>
      </w:r>
      <w:r>
        <w:t xml:space="preserve"> than non-indigenous Australians. They added that hospitalisation rates for people with </w:t>
      </w:r>
      <w:r w:rsidR="008A2634">
        <w:t>HF</w:t>
      </w:r>
      <w:r>
        <w:t xml:space="preserve"> are substantially higher in remote areas compared with major cities.</w:t>
      </w:r>
    </w:p>
    <w:p w14:paraId="40BFB727" w14:textId="3BCF3CF9" w:rsidR="00B9355D" w:rsidRDefault="00EF6435" w:rsidP="00EF6435">
      <w:r>
        <w:t>The RACGP refer to a B-type natriuretic peptide (BNP) test and not specifically NT-</w:t>
      </w:r>
      <w:proofErr w:type="spellStart"/>
      <w:r>
        <w:t>proBNP</w:t>
      </w:r>
      <w:proofErr w:type="spellEnd"/>
      <w:r>
        <w:t xml:space="preserve"> testing. </w:t>
      </w:r>
    </w:p>
    <w:p w14:paraId="472581F1" w14:textId="163D179E" w:rsidR="00EF6435" w:rsidRDefault="00EF6435" w:rsidP="00EF6435">
      <w:r>
        <w:lastRenderedPageBreak/>
        <w:t>Targeted consultation was received from the RCPA regarding the usage of BNP versus NT-</w:t>
      </w:r>
      <w:proofErr w:type="spellStart"/>
      <w:r>
        <w:t>proBNP</w:t>
      </w:r>
      <w:proofErr w:type="spellEnd"/>
      <w:r>
        <w:t>. The RCPA considered BNP and NT-pro-BNP both clinically perform well and should yield similar results, noting that NT-</w:t>
      </w:r>
      <w:proofErr w:type="spellStart"/>
      <w:r>
        <w:t>proBNP</w:t>
      </w:r>
      <w:proofErr w:type="spellEnd"/>
      <w:r>
        <w:t xml:space="preserve"> has a longer half-life and is more stable.</w:t>
      </w:r>
    </w:p>
    <w:p w14:paraId="04F6DBD0" w14:textId="14CF4EC7" w:rsidR="00EF6435" w:rsidRDefault="00EF6435" w:rsidP="00EF6435">
      <w:r>
        <w:t xml:space="preserve">PASC noted </w:t>
      </w:r>
      <w:r w:rsidR="004651E7">
        <w:t>the</w:t>
      </w:r>
      <w:r>
        <w:t xml:space="preserve"> consultation </w:t>
      </w:r>
      <w:r w:rsidR="004651E7">
        <w:t xml:space="preserve">feedback </w:t>
      </w:r>
      <w:r>
        <w:t xml:space="preserve">from </w:t>
      </w:r>
      <w:r w:rsidR="004651E7">
        <w:t xml:space="preserve">the </w:t>
      </w:r>
      <w:r>
        <w:t>five professional medical organisations</w:t>
      </w:r>
      <w:r w:rsidR="004651E7">
        <w:t xml:space="preserve"> and</w:t>
      </w:r>
      <w:r>
        <w:t xml:space="preserve"> considered the consensus was that:</w:t>
      </w:r>
    </w:p>
    <w:p w14:paraId="0D5B6533" w14:textId="20B69B7C" w:rsidR="00EF6435" w:rsidRDefault="00EF6435" w:rsidP="001A44E9">
      <w:pPr>
        <w:pStyle w:val="ListParagraph"/>
        <w:numPr>
          <w:ilvl w:val="0"/>
          <w:numId w:val="10"/>
        </w:numPr>
      </w:pPr>
      <w:r>
        <w:t>There was support for the use of NT-</w:t>
      </w:r>
      <w:proofErr w:type="spellStart"/>
      <w:r>
        <w:t>proBNP</w:t>
      </w:r>
      <w:proofErr w:type="spellEnd"/>
      <w:r>
        <w:t xml:space="preserve"> testing in the diagnosis of HF as a good rule-out test as it can shorten the time to diagnosis and appropriate treatment.</w:t>
      </w:r>
    </w:p>
    <w:p w14:paraId="06461692" w14:textId="700DDD1D" w:rsidR="00EF6435" w:rsidRDefault="00EF6435" w:rsidP="001A44E9">
      <w:pPr>
        <w:pStyle w:val="ListParagraph"/>
        <w:numPr>
          <w:ilvl w:val="0"/>
          <w:numId w:val="10"/>
        </w:numPr>
      </w:pPr>
      <w:r>
        <w:t>NT-</w:t>
      </w:r>
      <w:proofErr w:type="spellStart"/>
      <w:r>
        <w:t>proBNP</w:t>
      </w:r>
      <w:proofErr w:type="spellEnd"/>
      <w:r>
        <w:t xml:space="preserve"> testing may be better placed in primary care due to difficulty in accessing cardiology services and </w:t>
      </w:r>
      <w:r w:rsidR="009D1BCE">
        <w:t>echocardiography</w:t>
      </w:r>
      <w:r>
        <w:t>.</w:t>
      </w:r>
    </w:p>
    <w:p w14:paraId="380EA48E" w14:textId="2185610B" w:rsidR="003F6FD4" w:rsidRPr="003251C2" w:rsidRDefault="00EF6435" w:rsidP="001A44E9">
      <w:pPr>
        <w:pStyle w:val="ListParagraph"/>
        <w:numPr>
          <w:ilvl w:val="0"/>
          <w:numId w:val="10"/>
        </w:numPr>
      </w:pPr>
      <w:r>
        <w:t>In some cases, NT-</w:t>
      </w:r>
      <w:proofErr w:type="spellStart"/>
      <w:r>
        <w:t>proBNP</w:t>
      </w:r>
      <w:proofErr w:type="spellEnd"/>
      <w:r>
        <w:t xml:space="preserve"> testing may also provide prognostic information.</w:t>
      </w:r>
    </w:p>
    <w:p w14:paraId="03C7A1F1" w14:textId="59CB6432" w:rsidR="00772829" w:rsidRPr="00CE28E3" w:rsidRDefault="00AB25C3" w:rsidP="002A18BE">
      <w:pPr>
        <w:pStyle w:val="Heading2"/>
        <w:numPr>
          <w:ilvl w:val="0"/>
          <w:numId w:val="0"/>
        </w:numPr>
      </w:pPr>
      <w:bookmarkStart w:id="16" w:name="_Toc69491422"/>
      <w:r>
        <w:t>10</w:t>
      </w:r>
      <w:r w:rsidR="00C36633">
        <w:t>.</w:t>
      </w:r>
      <w:r w:rsidR="00C36633">
        <w:tab/>
      </w:r>
      <w:r w:rsidR="00772829" w:rsidRPr="00CE28E3">
        <w:t>Characteristics of the evidence base</w:t>
      </w:r>
      <w:bookmarkEnd w:id="16"/>
    </w:p>
    <w:p w14:paraId="7186163B" w14:textId="48C53854" w:rsidR="004F542D" w:rsidRDefault="00187506" w:rsidP="00187506">
      <w:pPr>
        <w:pStyle w:val="Heading3"/>
      </w:pPr>
      <w:r>
        <w:t>PICO Set 1</w:t>
      </w:r>
    </w:p>
    <w:p w14:paraId="4225BA54" w14:textId="3D3A5833" w:rsidR="00187506" w:rsidRDefault="00187506" w:rsidP="00187506">
      <w:r>
        <w:t xml:space="preserve">The key evidence included for PICO set 1 is summarised in </w:t>
      </w:r>
      <w:r>
        <w:fldChar w:fldCharType="begin"/>
      </w:r>
      <w:r>
        <w:instrText xml:space="preserve"> REF _Ref69725659 \h </w:instrText>
      </w:r>
      <w:r>
        <w:fldChar w:fldCharType="separate"/>
      </w:r>
      <w:r w:rsidR="00472DB9" w:rsidRPr="00CE28E3">
        <w:t>Table</w:t>
      </w:r>
      <w:r w:rsidR="00472DB9">
        <w:t> </w:t>
      </w:r>
      <w:r w:rsidR="00472DB9">
        <w:rPr>
          <w:noProof/>
        </w:rPr>
        <w:t>5</w:t>
      </w:r>
      <w:r>
        <w:fldChar w:fldCharType="end"/>
      </w:r>
      <w:r w:rsidR="00E75728">
        <w:t>. There were three randomised controlled trials (RCTs); two provided direct evidence of health outcomes</w:t>
      </w:r>
      <w:r w:rsidR="00F11052">
        <w:t xml:space="preserve"> and of change in management</w:t>
      </w:r>
      <w:r w:rsidR="001D5CB0">
        <w:t>,</w:t>
      </w:r>
      <w:r w:rsidR="00F11052">
        <w:t xml:space="preserve"> and one provided evidence of diagnostic accuracy and concordance with the comparator.</w:t>
      </w:r>
      <w:r w:rsidR="00E40D89">
        <w:t xml:space="preserve"> Two </w:t>
      </w:r>
      <w:r w:rsidR="005C2C89">
        <w:t xml:space="preserve">used </w:t>
      </w:r>
      <w:r w:rsidR="000D057C">
        <w:t>laboratory-based</w:t>
      </w:r>
      <w:r w:rsidR="00BB34EE">
        <w:t xml:space="preserve"> </w:t>
      </w:r>
      <w:r w:rsidR="005C2C89">
        <w:t>NT-</w:t>
      </w:r>
      <w:proofErr w:type="spellStart"/>
      <w:r w:rsidR="005C2C89">
        <w:t>proBNP</w:t>
      </w:r>
      <w:proofErr w:type="spellEnd"/>
      <w:r w:rsidR="005C2C89">
        <w:t xml:space="preserve"> testing and one used </w:t>
      </w:r>
      <w:r w:rsidR="00BB34EE">
        <w:t xml:space="preserve">rapid point-of-care </w:t>
      </w:r>
      <w:r w:rsidR="005C2C89">
        <w:t xml:space="preserve">BNP </w:t>
      </w:r>
      <w:r w:rsidR="00BB34EE">
        <w:t>testing.</w:t>
      </w:r>
      <w:r w:rsidR="0040611F">
        <w:t xml:space="preserve"> </w:t>
      </w:r>
      <w:r w:rsidR="00BC495E">
        <w:t xml:space="preserve">The ADAR included the RCT </w:t>
      </w:r>
      <w:r w:rsidR="00AD7E85">
        <w:t>that</w:t>
      </w:r>
      <w:r w:rsidR="00BC495E">
        <w:t xml:space="preserve"> used the BNP biomarker to increase the volume of evidence providing change in management outcomes</w:t>
      </w:r>
      <w:r w:rsidR="00343280">
        <w:t>, implying</w:t>
      </w:r>
      <w:r w:rsidR="007775C8">
        <w:t xml:space="preserve"> it considered the two biomarkers interchangeable</w:t>
      </w:r>
      <w:r w:rsidR="00117883">
        <w:t>.</w:t>
      </w:r>
      <w:r w:rsidR="00BC495E">
        <w:t xml:space="preserve"> </w:t>
      </w:r>
      <w:r w:rsidR="00117883">
        <w:t>T</w:t>
      </w:r>
      <w:r w:rsidR="00BC495E">
        <w:t xml:space="preserve">he commentary considered </w:t>
      </w:r>
      <w:r w:rsidR="00117883">
        <w:t xml:space="preserve">this </w:t>
      </w:r>
      <w:r w:rsidR="00BC495E">
        <w:t>an appropriate approach.</w:t>
      </w:r>
    </w:p>
    <w:p w14:paraId="331369CE" w14:textId="7980222B" w:rsidR="00FA251B" w:rsidRDefault="00FA251B" w:rsidP="00187506">
      <w:r>
        <w:t>The remaining studies were cross-sectional diagnostic accuracy studies. The commentary and the ADAR selected different set</w:t>
      </w:r>
      <w:r w:rsidR="009451C6">
        <w:t>s</w:t>
      </w:r>
      <w:r>
        <w:t xml:space="preserve"> of studies on diagnostic </w:t>
      </w:r>
      <w:r w:rsidR="0078373D">
        <w:t>accuracy</w:t>
      </w:r>
      <w:r w:rsidR="00670E87">
        <w:t>.</w:t>
      </w:r>
    </w:p>
    <w:p w14:paraId="26031F87" w14:textId="3200B4D4" w:rsidR="00417E3A" w:rsidRDefault="0037244A" w:rsidP="00187506">
      <w:r>
        <w:t>D</w:t>
      </w:r>
      <w:r w:rsidR="00023983">
        <w:t>iagnostic accuracy was</w:t>
      </w:r>
      <w:r>
        <w:t xml:space="preserve"> the only outcome</w:t>
      </w:r>
      <w:r w:rsidR="00023983">
        <w:t xml:space="preserve"> </w:t>
      </w:r>
      <w:r w:rsidR="009E4337">
        <w:t>applied to</w:t>
      </w:r>
      <w:r w:rsidR="00023983">
        <w:t xml:space="preserve"> the economic evaluation. The diagnostic accuracy studies used in the </w:t>
      </w:r>
      <w:r w:rsidR="00EF56A7">
        <w:t xml:space="preserve">ADAR’s </w:t>
      </w:r>
      <w:r w:rsidR="00023983">
        <w:t xml:space="preserve">economic evaluation </w:t>
      </w:r>
      <w:r w:rsidR="00A923E8">
        <w:t>included</w:t>
      </w:r>
      <w:r w:rsidR="00023983">
        <w:t xml:space="preserve"> </w:t>
      </w:r>
      <w:r w:rsidR="001C3167">
        <w:t>point-of-care NT-</w:t>
      </w:r>
      <w:proofErr w:type="spellStart"/>
      <w:r w:rsidR="001C3167">
        <w:t>proBNP</w:t>
      </w:r>
      <w:proofErr w:type="spellEnd"/>
      <w:r w:rsidR="001C3167">
        <w:t xml:space="preserve"> studies that were excluded from </w:t>
      </w:r>
      <w:r w:rsidR="00023983">
        <w:t xml:space="preserve">the </w:t>
      </w:r>
      <w:r w:rsidR="00EF56A7">
        <w:t xml:space="preserve">ADAR’s </w:t>
      </w:r>
      <w:r w:rsidR="00023983">
        <w:t>clinical evaluation</w:t>
      </w:r>
      <w:r w:rsidR="001C3167">
        <w:t>.</w:t>
      </w:r>
      <w:r w:rsidR="001D0FE8">
        <w:t xml:space="preserve"> </w:t>
      </w:r>
      <w:r w:rsidR="001C3167">
        <w:t>G</w:t>
      </w:r>
      <w:r w:rsidR="00BC160D" w:rsidRPr="00BC160D">
        <w:t xml:space="preserve">iven the limited evidence </w:t>
      </w:r>
      <w:r w:rsidR="008164DA">
        <w:t>base</w:t>
      </w:r>
      <w:r w:rsidR="00A83D12">
        <w:t xml:space="preserve"> </w:t>
      </w:r>
      <w:r w:rsidR="00855107">
        <w:t>on test performance at the threshold specified in the Australian guidelines</w:t>
      </w:r>
      <w:r w:rsidR="00BC160D" w:rsidRPr="00BC160D">
        <w:t xml:space="preserve">, </w:t>
      </w:r>
      <w:r w:rsidR="001C3167">
        <w:t xml:space="preserve">the commentary considered that </w:t>
      </w:r>
      <w:r w:rsidR="008164DA">
        <w:t>point-of-care tests</w:t>
      </w:r>
      <w:r w:rsidR="00C11E72">
        <w:t>,</w:t>
      </w:r>
      <w:r w:rsidR="00BC160D" w:rsidRPr="00BC160D">
        <w:t xml:space="preserve"> </w:t>
      </w:r>
      <w:r w:rsidR="001C3167">
        <w:t>and</w:t>
      </w:r>
      <w:r w:rsidR="00BC160D" w:rsidRPr="00BC160D">
        <w:t xml:space="preserve"> studies using</w:t>
      </w:r>
      <w:r w:rsidR="008676B2">
        <w:t xml:space="preserve"> alternative thresholds</w:t>
      </w:r>
      <w:r w:rsidR="00C11E72">
        <w:t>,</w:t>
      </w:r>
      <w:r w:rsidR="008676B2">
        <w:t xml:space="preserve"> we</w:t>
      </w:r>
      <w:r w:rsidR="005F1955">
        <w:t>re appropriate to include in the clinical evaluation.</w:t>
      </w:r>
    </w:p>
    <w:p w14:paraId="005968B3" w14:textId="4A32E3E1" w:rsidR="00956ACE" w:rsidRPr="00CE28E3" w:rsidRDefault="00956ACE" w:rsidP="009A06F4">
      <w:pPr>
        <w:pStyle w:val="Caption"/>
        <w:rPr>
          <w:sz w:val="16"/>
          <w:szCs w:val="16"/>
        </w:rPr>
      </w:pPr>
      <w:bookmarkStart w:id="17" w:name="_Ref69725659"/>
      <w:r w:rsidRPr="00CE28E3">
        <w:lastRenderedPageBreak/>
        <w:t>Table</w:t>
      </w:r>
      <w:r w:rsidR="004A4FDF">
        <w:t> </w:t>
      </w:r>
      <w:r>
        <w:fldChar w:fldCharType="begin"/>
      </w:r>
      <w:r>
        <w:instrText>SEQ Table \* ARABIC</w:instrText>
      </w:r>
      <w:r>
        <w:fldChar w:fldCharType="separate"/>
      </w:r>
      <w:r w:rsidR="00472DB9">
        <w:rPr>
          <w:noProof/>
        </w:rPr>
        <w:t>5</w:t>
      </w:r>
      <w:r>
        <w:fldChar w:fldCharType="end"/>
      </w:r>
      <w:bookmarkEnd w:id="17"/>
      <w:r w:rsidRPr="00CE28E3">
        <w:tab/>
        <w:t>Key features of the included evidence</w:t>
      </w:r>
    </w:p>
    <w:tbl>
      <w:tblPr>
        <w:tblStyle w:val="TableGrid1"/>
        <w:tblW w:w="5000" w:type="pct"/>
        <w:tblLook w:val="04A0" w:firstRow="1" w:lastRow="0" w:firstColumn="1" w:lastColumn="0" w:noHBand="0" w:noVBand="1"/>
        <w:tblCaption w:val="Key features of the included evidence"/>
        <w:tblDescription w:val="The table shows the key features of the included evidence, including criterion, type of evidence, extent of evidence and overall risk of bias of the evidence."/>
      </w:tblPr>
      <w:tblGrid>
        <w:gridCol w:w="1696"/>
        <w:gridCol w:w="3686"/>
        <w:gridCol w:w="1843"/>
        <w:gridCol w:w="1791"/>
      </w:tblGrid>
      <w:tr w:rsidR="00956ACE" w:rsidRPr="00CE28E3" w14:paraId="530E3954" w14:textId="77777777" w:rsidTr="008F202C">
        <w:trPr>
          <w:cnfStyle w:val="100000000000" w:firstRow="1" w:lastRow="0" w:firstColumn="0" w:lastColumn="0" w:oddVBand="0" w:evenVBand="0" w:oddHBand="0" w:evenHBand="0" w:firstRowFirstColumn="0" w:firstRowLastColumn="0" w:lastRowFirstColumn="0" w:lastRowLastColumn="0"/>
          <w:tblHeader/>
        </w:trPr>
        <w:tc>
          <w:tcPr>
            <w:tcW w:w="941" w:type="pct"/>
            <w:tcBorders>
              <w:top w:val="single" w:sz="4" w:space="0" w:color="auto"/>
              <w:left w:val="single" w:sz="4" w:space="0" w:color="auto"/>
              <w:bottom w:val="single" w:sz="4" w:space="0" w:color="auto"/>
              <w:right w:val="single" w:sz="4" w:space="0" w:color="auto"/>
            </w:tcBorders>
            <w:vAlign w:val="center"/>
          </w:tcPr>
          <w:p w14:paraId="0112563A" w14:textId="3CE1178E" w:rsidR="00956ACE" w:rsidRPr="00CE28E3" w:rsidRDefault="00BC4972" w:rsidP="008F202C">
            <w:pPr>
              <w:pStyle w:val="TableHeading0"/>
            </w:pPr>
            <w:bookmarkStart w:id="18" w:name="ColumnTitle_Table4"/>
            <w:bookmarkStart w:id="19" w:name="_Hlk68276288"/>
            <w:bookmarkEnd w:id="18"/>
            <w:r>
              <w:t>Criteri</w:t>
            </w:r>
            <w:r w:rsidR="004D4425">
              <w:t>on</w:t>
            </w:r>
          </w:p>
        </w:tc>
        <w:tc>
          <w:tcPr>
            <w:tcW w:w="2044" w:type="pct"/>
            <w:tcBorders>
              <w:top w:val="single" w:sz="4" w:space="0" w:color="auto"/>
              <w:left w:val="single" w:sz="4" w:space="0" w:color="auto"/>
              <w:bottom w:val="single" w:sz="4" w:space="0" w:color="auto"/>
              <w:right w:val="single" w:sz="4" w:space="0" w:color="auto"/>
            </w:tcBorders>
            <w:vAlign w:val="center"/>
            <w:hideMark/>
          </w:tcPr>
          <w:p w14:paraId="37828F38" w14:textId="77777777" w:rsidR="00956ACE" w:rsidRPr="00CE28E3" w:rsidRDefault="00956ACE" w:rsidP="008F202C">
            <w:pPr>
              <w:pStyle w:val="TableHeading0"/>
            </w:pPr>
            <w:r w:rsidRPr="00CE28E3">
              <w:t>Type of evidence supplied</w:t>
            </w:r>
          </w:p>
        </w:tc>
        <w:tc>
          <w:tcPr>
            <w:tcW w:w="1022" w:type="pct"/>
            <w:tcBorders>
              <w:top w:val="single" w:sz="4" w:space="0" w:color="auto"/>
              <w:left w:val="single" w:sz="4" w:space="0" w:color="auto"/>
              <w:bottom w:val="single" w:sz="4" w:space="0" w:color="auto"/>
              <w:right w:val="single" w:sz="4" w:space="0" w:color="auto"/>
            </w:tcBorders>
            <w:vAlign w:val="center"/>
            <w:hideMark/>
          </w:tcPr>
          <w:p w14:paraId="26BD1646" w14:textId="77777777" w:rsidR="00956ACE" w:rsidRPr="00CE28E3" w:rsidRDefault="00956ACE" w:rsidP="008F202C">
            <w:pPr>
              <w:pStyle w:val="TableHeading0"/>
            </w:pPr>
            <w:r w:rsidRPr="00CE28E3">
              <w:t>Extent of evidence supplied</w:t>
            </w:r>
          </w:p>
        </w:tc>
        <w:tc>
          <w:tcPr>
            <w:tcW w:w="993" w:type="pct"/>
            <w:tcBorders>
              <w:top w:val="single" w:sz="4" w:space="0" w:color="auto"/>
              <w:left w:val="single" w:sz="4" w:space="0" w:color="auto"/>
              <w:bottom w:val="single" w:sz="4" w:space="0" w:color="auto"/>
              <w:right w:val="single" w:sz="4" w:space="0" w:color="auto"/>
            </w:tcBorders>
            <w:vAlign w:val="center"/>
            <w:hideMark/>
          </w:tcPr>
          <w:p w14:paraId="3F0C39B2" w14:textId="77777777" w:rsidR="00956ACE" w:rsidRPr="00CE28E3" w:rsidRDefault="00956ACE" w:rsidP="008F202C">
            <w:pPr>
              <w:pStyle w:val="TableHeading0"/>
            </w:pPr>
            <w:r w:rsidRPr="00CE28E3">
              <w:t>Overall risk of bias in evidence base</w:t>
            </w:r>
          </w:p>
        </w:tc>
      </w:tr>
      <w:tr w:rsidR="00956ACE" w:rsidRPr="00CE28E3" w14:paraId="34571304" w14:textId="77777777" w:rsidTr="008F202C">
        <w:tc>
          <w:tcPr>
            <w:tcW w:w="941" w:type="pct"/>
            <w:tcBorders>
              <w:top w:val="single" w:sz="4" w:space="0" w:color="auto"/>
              <w:left w:val="single" w:sz="4" w:space="0" w:color="auto"/>
              <w:bottom w:val="single" w:sz="4" w:space="0" w:color="auto"/>
              <w:right w:val="single" w:sz="4" w:space="0" w:color="auto"/>
            </w:tcBorders>
            <w:hideMark/>
          </w:tcPr>
          <w:p w14:paraId="63BA3949" w14:textId="77777777" w:rsidR="00956ACE" w:rsidRPr="00CE28E3" w:rsidRDefault="00956ACE" w:rsidP="00670650">
            <w:pPr>
              <w:pStyle w:val="TableText"/>
              <w:keepNext/>
            </w:pPr>
            <w:r w:rsidRPr="00CE28E3">
              <w:t>Accuracy and performance of the test (cross-sectional accuracy)</w:t>
            </w:r>
          </w:p>
        </w:tc>
        <w:tc>
          <w:tcPr>
            <w:tcW w:w="2044" w:type="pct"/>
            <w:tcBorders>
              <w:top w:val="single" w:sz="4" w:space="0" w:color="auto"/>
              <w:left w:val="single" w:sz="4" w:space="0" w:color="auto"/>
              <w:bottom w:val="single" w:sz="4" w:space="0" w:color="auto"/>
              <w:right w:val="single" w:sz="4" w:space="0" w:color="auto"/>
            </w:tcBorders>
            <w:hideMark/>
          </w:tcPr>
          <w:p w14:paraId="2BAFA091" w14:textId="2C58B051" w:rsidR="00956ACE" w:rsidRDefault="00721994" w:rsidP="00721994">
            <w:pPr>
              <w:pStyle w:val="TableText"/>
            </w:pPr>
            <w:r>
              <w:t xml:space="preserve">ADAR: </w:t>
            </w:r>
            <w:r w:rsidR="00351CF9">
              <w:t xml:space="preserve">2 studies </w:t>
            </w:r>
            <w:r w:rsidR="002273BA">
              <w:t>using an NT-</w:t>
            </w:r>
            <w:proofErr w:type="spellStart"/>
            <w:r w:rsidR="002273BA">
              <w:t>proBNP</w:t>
            </w:r>
            <w:proofErr w:type="spellEnd"/>
            <w:r w:rsidR="002273BA">
              <w:t xml:space="preserve"> </w:t>
            </w:r>
            <w:r w:rsidR="001F5583">
              <w:t>threshold of</w:t>
            </w:r>
            <w:r w:rsidR="00351CF9">
              <w:t xml:space="preserve"> 300 </w:t>
            </w:r>
            <w:proofErr w:type="spellStart"/>
            <w:r w:rsidR="00351CF9">
              <w:t>pg</w:t>
            </w:r>
            <w:proofErr w:type="spellEnd"/>
            <w:r w:rsidR="00351CF9">
              <w:t>/</w:t>
            </w:r>
            <w:r w:rsidR="0078373D">
              <w:t>mL</w:t>
            </w:r>
            <w:r w:rsidR="0078373D" w:rsidRPr="00D854B4">
              <w:t xml:space="preserve"> (</w:t>
            </w:r>
            <w:r w:rsidR="00FE1142" w:rsidRPr="00D854B4">
              <w:t xml:space="preserve">±25 </w:t>
            </w:r>
            <w:proofErr w:type="spellStart"/>
            <w:r w:rsidR="00FE1142" w:rsidRPr="00D854B4">
              <w:t>pg</w:t>
            </w:r>
            <w:proofErr w:type="spellEnd"/>
            <w:r w:rsidR="00FE1142" w:rsidRPr="00D854B4">
              <w:t>/mL)</w:t>
            </w:r>
            <w:r w:rsidR="00FE1142">
              <w:t>, 9 additional studies</w:t>
            </w:r>
          </w:p>
          <w:p w14:paraId="7A348354" w14:textId="1E6C3A36" w:rsidR="0087111C" w:rsidRPr="00721994" w:rsidRDefault="00FE1142" w:rsidP="00721994">
            <w:pPr>
              <w:pStyle w:val="TableText"/>
            </w:pPr>
            <w:r>
              <w:t xml:space="preserve">Commentary: </w:t>
            </w:r>
            <w:r w:rsidR="009E03B1">
              <w:t>7 studies across a range of thresholds</w:t>
            </w:r>
            <w:r w:rsidR="006F7584">
              <w:t xml:space="preserve"> (</w:t>
            </w:r>
            <w:r w:rsidR="00E65FA6">
              <w:t>6 cross</w:t>
            </w:r>
            <w:r w:rsidR="00FF6510">
              <w:t>-</w:t>
            </w:r>
            <w:r w:rsidR="00E65FA6">
              <w:t>sectional accuracy, 1 RCT</w:t>
            </w:r>
            <w:r w:rsidR="006F7584">
              <w:t>)</w:t>
            </w:r>
          </w:p>
        </w:tc>
        <w:tc>
          <w:tcPr>
            <w:tcW w:w="1022" w:type="pct"/>
            <w:tcBorders>
              <w:top w:val="single" w:sz="4" w:space="0" w:color="auto"/>
              <w:left w:val="single" w:sz="4" w:space="0" w:color="auto"/>
              <w:bottom w:val="single" w:sz="4" w:space="0" w:color="auto"/>
              <w:right w:val="single" w:sz="4" w:space="0" w:color="auto"/>
            </w:tcBorders>
            <w:hideMark/>
          </w:tcPr>
          <w:p w14:paraId="3A782F17" w14:textId="77777777" w:rsidR="00B775DB" w:rsidRDefault="00B775DB" w:rsidP="00670650">
            <w:pPr>
              <w:pStyle w:val="TableText"/>
              <w:keepNext/>
            </w:pPr>
          </w:p>
          <w:p w14:paraId="0D3E4B06" w14:textId="77777777" w:rsidR="00B775DB" w:rsidRDefault="00B775DB" w:rsidP="00670650">
            <w:pPr>
              <w:pStyle w:val="TableText"/>
              <w:keepNext/>
            </w:pPr>
          </w:p>
          <w:p w14:paraId="6009424F" w14:textId="3901FB71" w:rsidR="00B535F0" w:rsidRDefault="00956ACE" w:rsidP="00670650">
            <w:pPr>
              <w:pStyle w:val="TableText"/>
              <w:keepNext/>
            </w:pPr>
            <w:r w:rsidRPr="00CE28E3">
              <w:t>k=</w:t>
            </w:r>
            <w:r w:rsidR="00E65FA6">
              <w:t>7</w:t>
            </w:r>
          </w:p>
          <w:p w14:paraId="4B9F173D" w14:textId="1C17DF04" w:rsidR="00956ACE" w:rsidRPr="00D0355A" w:rsidRDefault="00956ACE" w:rsidP="00670650">
            <w:pPr>
              <w:pStyle w:val="TableText"/>
              <w:keepNext/>
              <w:rPr>
                <w:vertAlign w:val="superscript"/>
              </w:rPr>
            </w:pPr>
            <w:r w:rsidRPr="00CE28E3">
              <w:t>n=</w:t>
            </w:r>
            <w:r w:rsidR="009326D4">
              <w:t>157</w:t>
            </w:r>
            <w:r w:rsidR="008676B2">
              <w:t>,</w:t>
            </w:r>
            <w:r w:rsidR="009326D4">
              <w:t>278</w:t>
            </w:r>
            <w:r w:rsidR="00902FB4">
              <w:rPr>
                <w:vertAlign w:val="superscript"/>
              </w:rPr>
              <w:t>a</w:t>
            </w:r>
          </w:p>
        </w:tc>
        <w:tc>
          <w:tcPr>
            <w:tcW w:w="993" w:type="pct"/>
            <w:tcBorders>
              <w:top w:val="single" w:sz="4" w:space="0" w:color="auto"/>
              <w:left w:val="single" w:sz="4" w:space="0" w:color="auto"/>
              <w:bottom w:val="single" w:sz="4" w:space="0" w:color="auto"/>
              <w:right w:val="single" w:sz="4" w:space="0" w:color="auto"/>
            </w:tcBorders>
            <w:hideMark/>
          </w:tcPr>
          <w:p w14:paraId="314B6464" w14:textId="00A274F4" w:rsidR="00956ACE" w:rsidRPr="00CE28E3" w:rsidRDefault="008B0BF0" w:rsidP="008B0BF0">
            <w:pPr>
              <w:pStyle w:val="TableText"/>
            </w:pPr>
            <w:r>
              <w:t>Low risk</w:t>
            </w:r>
          </w:p>
        </w:tc>
      </w:tr>
      <w:tr w:rsidR="00956ACE" w:rsidRPr="00CE28E3" w14:paraId="05D3B099" w14:textId="77777777" w:rsidTr="008F202C">
        <w:tc>
          <w:tcPr>
            <w:tcW w:w="941"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670650">
            <w:pPr>
              <w:pStyle w:val="TableText"/>
              <w:keepNext/>
            </w:pPr>
            <w:r w:rsidRPr="00CE28E3">
              <w:t>Prognostic evidence (longitudinal accuracy)</w:t>
            </w:r>
          </w:p>
        </w:tc>
        <w:tc>
          <w:tcPr>
            <w:tcW w:w="2044" w:type="pct"/>
            <w:tcBorders>
              <w:top w:val="single" w:sz="4" w:space="0" w:color="auto"/>
              <w:left w:val="single" w:sz="4" w:space="0" w:color="auto"/>
              <w:bottom w:val="single" w:sz="4" w:space="0" w:color="auto"/>
              <w:right w:val="single" w:sz="4" w:space="0" w:color="auto"/>
            </w:tcBorders>
            <w:hideMark/>
          </w:tcPr>
          <w:p w14:paraId="2496489A" w14:textId="5AD3626F" w:rsidR="00FF6510" w:rsidRDefault="00B8111B" w:rsidP="00B8111B">
            <w:pPr>
              <w:pStyle w:val="TableText"/>
            </w:pPr>
            <w:r>
              <w:t xml:space="preserve">None provided in </w:t>
            </w:r>
            <w:r w:rsidR="00D80CD2">
              <w:t xml:space="preserve">the </w:t>
            </w:r>
            <w:r>
              <w:t>ADAR.</w:t>
            </w:r>
          </w:p>
          <w:p w14:paraId="7A7D976B" w14:textId="7A742F30" w:rsidR="00956ACE" w:rsidRPr="00B8111B" w:rsidRDefault="00B8111B" w:rsidP="00B8111B">
            <w:pPr>
              <w:pStyle w:val="TableText"/>
            </w:pPr>
            <w:r>
              <w:t xml:space="preserve">Commentary included </w:t>
            </w:r>
            <w:proofErr w:type="gramStart"/>
            <w:r>
              <w:t>a brief summary</w:t>
            </w:r>
            <w:proofErr w:type="gramEnd"/>
            <w:r>
              <w:t xml:space="preserve"> of a recent systematic review and met</w:t>
            </w:r>
            <w:r w:rsidR="000D17DE">
              <w:t>a-</w:t>
            </w:r>
            <w:r>
              <w:t>analysis.</w:t>
            </w:r>
          </w:p>
        </w:tc>
        <w:tc>
          <w:tcPr>
            <w:tcW w:w="1022" w:type="pct"/>
            <w:tcBorders>
              <w:top w:val="single" w:sz="4" w:space="0" w:color="auto"/>
              <w:left w:val="single" w:sz="4" w:space="0" w:color="auto"/>
              <w:bottom w:val="single" w:sz="4" w:space="0" w:color="auto"/>
              <w:right w:val="single" w:sz="4" w:space="0" w:color="auto"/>
            </w:tcBorders>
            <w:hideMark/>
          </w:tcPr>
          <w:p w14:paraId="3F26D7C9" w14:textId="4669BECE" w:rsidR="00956ACE" w:rsidRPr="00CE28E3" w:rsidRDefault="0002270D" w:rsidP="00670650">
            <w:pPr>
              <w:pStyle w:val="TableText"/>
              <w:keepNext/>
            </w:pPr>
            <w:r>
              <w:t>N/A</w:t>
            </w:r>
          </w:p>
        </w:tc>
        <w:tc>
          <w:tcPr>
            <w:tcW w:w="993" w:type="pct"/>
            <w:tcBorders>
              <w:top w:val="single" w:sz="4" w:space="0" w:color="auto"/>
              <w:left w:val="single" w:sz="4" w:space="0" w:color="auto"/>
              <w:bottom w:val="single" w:sz="4" w:space="0" w:color="auto"/>
              <w:right w:val="single" w:sz="4" w:space="0" w:color="auto"/>
            </w:tcBorders>
            <w:hideMark/>
          </w:tcPr>
          <w:p w14:paraId="503113DC" w14:textId="4A685F57" w:rsidR="00956ACE" w:rsidRPr="006E33CB" w:rsidRDefault="00163C62" w:rsidP="006E33CB">
            <w:pPr>
              <w:pStyle w:val="TableText"/>
            </w:pPr>
            <w:r w:rsidRPr="006E33CB">
              <w:t>N/A</w:t>
            </w:r>
          </w:p>
        </w:tc>
      </w:tr>
      <w:tr w:rsidR="00956ACE" w:rsidRPr="00CE28E3" w14:paraId="020F989B" w14:textId="77777777" w:rsidTr="008F202C">
        <w:tc>
          <w:tcPr>
            <w:tcW w:w="941" w:type="pct"/>
            <w:tcBorders>
              <w:top w:val="single" w:sz="4" w:space="0" w:color="auto"/>
              <w:left w:val="single" w:sz="4" w:space="0" w:color="auto"/>
              <w:bottom w:val="single" w:sz="4" w:space="0" w:color="auto"/>
              <w:right w:val="single" w:sz="4" w:space="0" w:color="auto"/>
            </w:tcBorders>
            <w:hideMark/>
          </w:tcPr>
          <w:p w14:paraId="252A909C" w14:textId="56432FBC" w:rsidR="00956ACE" w:rsidRPr="00CE28E3" w:rsidRDefault="00956ACE" w:rsidP="00670650">
            <w:pPr>
              <w:pStyle w:val="TableText"/>
              <w:keepNext/>
            </w:pPr>
            <w:r w:rsidRPr="00CE28E3">
              <w:t>Change in patient management</w:t>
            </w:r>
          </w:p>
        </w:tc>
        <w:tc>
          <w:tcPr>
            <w:tcW w:w="2044" w:type="pct"/>
            <w:tcBorders>
              <w:top w:val="single" w:sz="4" w:space="0" w:color="auto"/>
              <w:left w:val="single" w:sz="4" w:space="0" w:color="auto"/>
              <w:bottom w:val="single" w:sz="4" w:space="0" w:color="auto"/>
              <w:right w:val="single" w:sz="4" w:space="0" w:color="auto"/>
            </w:tcBorders>
            <w:hideMark/>
          </w:tcPr>
          <w:p w14:paraId="6CFA7EE5" w14:textId="6167D0F5" w:rsidR="00956ACE" w:rsidRPr="00F8485D" w:rsidRDefault="00F8485D" w:rsidP="00F8485D">
            <w:pPr>
              <w:pStyle w:val="TableText"/>
            </w:pPr>
            <w:r w:rsidRPr="00F8485D">
              <w:t>RCTs</w:t>
            </w:r>
            <w:r w:rsidR="00771A04">
              <w:t xml:space="preserve"> (1 reported in the ADAR</w:t>
            </w:r>
            <w:r w:rsidR="00F6102B">
              <w:t>, 1 identified by the commentary</w:t>
            </w:r>
            <w:r w:rsidR="00771A04">
              <w:t>)</w:t>
            </w:r>
          </w:p>
        </w:tc>
        <w:tc>
          <w:tcPr>
            <w:tcW w:w="1022" w:type="pct"/>
            <w:tcBorders>
              <w:top w:val="single" w:sz="4" w:space="0" w:color="auto"/>
              <w:left w:val="single" w:sz="4" w:space="0" w:color="auto"/>
              <w:bottom w:val="single" w:sz="4" w:space="0" w:color="auto"/>
              <w:right w:val="single" w:sz="4" w:space="0" w:color="auto"/>
            </w:tcBorders>
            <w:hideMark/>
          </w:tcPr>
          <w:p w14:paraId="1D499057" w14:textId="6A8B1D54" w:rsidR="007C29FA" w:rsidRDefault="00956ACE" w:rsidP="00670650">
            <w:pPr>
              <w:pStyle w:val="TableText"/>
              <w:keepNext/>
            </w:pPr>
            <w:r w:rsidRPr="00CE28E3">
              <w:t>k=</w:t>
            </w:r>
            <w:r w:rsidR="0069773E">
              <w:t>2</w:t>
            </w:r>
          </w:p>
          <w:p w14:paraId="60E3094E" w14:textId="55A55CC3" w:rsidR="00956ACE" w:rsidRPr="00CE28E3" w:rsidRDefault="00956ACE" w:rsidP="00670650">
            <w:pPr>
              <w:pStyle w:val="TableText"/>
              <w:keepNext/>
            </w:pPr>
            <w:r w:rsidRPr="00CE28E3">
              <w:t>n=</w:t>
            </w:r>
            <w:r w:rsidR="00AB24F6">
              <w:t>3</w:t>
            </w:r>
            <w:r w:rsidR="00F5550A">
              <w:t>23</w:t>
            </w:r>
            <w:r w:rsidR="00AB24F6">
              <w:t xml:space="preserve"> patients (1 study), 69 GP practices (1 study)</w:t>
            </w:r>
          </w:p>
        </w:tc>
        <w:tc>
          <w:tcPr>
            <w:tcW w:w="993" w:type="pct"/>
            <w:tcBorders>
              <w:top w:val="single" w:sz="4" w:space="0" w:color="auto"/>
              <w:left w:val="single" w:sz="4" w:space="0" w:color="auto"/>
              <w:bottom w:val="single" w:sz="4" w:space="0" w:color="auto"/>
              <w:right w:val="single" w:sz="4" w:space="0" w:color="auto"/>
            </w:tcBorders>
            <w:hideMark/>
          </w:tcPr>
          <w:p w14:paraId="00E8E7C1" w14:textId="6A1E6791" w:rsidR="00956ACE" w:rsidRPr="00263238" w:rsidRDefault="00263238" w:rsidP="00263238">
            <w:pPr>
              <w:pStyle w:val="TableText"/>
            </w:pPr>
            <w:r>
              <w:t>Some concerns</w:t>
            </w:r>
          </w:p>
        </w:tc>
      </w:tr>
      <w:tr w:rsidR="00956ACE" w:rsidRPr="00CE28E3" w14:paraId="0A575DD3" w14:textId="77777777" w:rsidTr="008F202C">
        <w:tc>
          <w:tcPr>
            <w:tcW w:w="941" w:type="pct"/>
            <w:tcBorders>
              <w:top w:val="single" w:sz="4" w:space="0" w:color="auto"/>
              <w:left w:val="single" w:sz="4" w:space="0" w:color="auto"/>
              <w:bottom w:val="single" w:sz="4" w:space="0" w:color="auto"/>
              <w:right w:val="single" w:sz="4" w:space="0" w:color="auto"/>
            </w:tcBorders>
            <w:hideMark/>
          </w:tcPr>
          <w:p w14:paraId="2B5E1C59" w14:textId="75F11E24" w:rsidR="00956ACE" w:rsidRPr="00CE28E3" w:rsidRDefault="00956ACE" w:rsidP="00670650">
            <w:pPr>
              <w:pStyle w:val="TableText"/>
              <w:keepNext/>
            </w:pPr>
            <w:r w:rsidRPr="00CE28E3">
              <w:t>Health outcomes</w:t>
            </w:r>
          </w:p>
        </w:tc>
        <w:tc>
          <w:tcPr>
            <w:tcW w:w="2044" w:type="pct"/>
            <w:tcBorders>
              <w:top w:val="single" w:sz="4" w:space="0" w:color="auto"/>
              <w:left w:val="single" w:sz="4" w:space="0" w:color="auto"/>
              <w:bottom w:val="single" w:sz="4" w:space="0" w:color="auto"/>
              <w:right w:val="single" w:sz="4" w:space="0" w:color="auto"/>
            </w:tcBorders>
          </w:tcPr>
          <w:p w14:paraId="54723D7C" w14:textId="3E1E4A3B" w:rsidR="00771A04" w:rsidRPr="00CE28E3" w:rsidRDefault="00AB24F6" w:rsidP="00670650">
            <w:pPr>
              <w:pStyle w:val="TableText"/>
              <w:keepNext/>
            </w:pPr>
            <w:r w:rsidRPr="00AB24F6">
              <w:t>RCTs</w:t>
            </w:r>
            <w:r w:rsidR="00771A04">
              <w:t xml:space="preserve"> (no</w:t>
            </w:r>
            <w:r w:rsidR="00F6102B">
              <w:t>t</w:t>
            </w:r>
            <w:r w:rsidR="00771A04">
              <w:t xml:space="preserve"> reported in the ADAR</w:t>
            </w:r>
            <w:r w:rsidR="004145AD">
              <w:t>, added by the commentary</w:t>
            </w:r>
            <w:r w:rsidR="00771A04">
              <w:t>)</w:t>
            </w:r>
          </w:p>
        </w:tc>
        <w:tc>
          <w:tcPr>
            <w:tcW w:w="1022" w:type="pct"/>
            <w:tcBorders>
              <w:top w:val="single" w:sz="4" w:space="0" w:color="auto"/>
              <w:left w:val="single" w:sz="4" w:space="0" w:color="auto"/>
              <w:bottom w:val="single" w:sz="4" w:space="0" w:color="auto"/>
              <w:right w:val="single" w:sz="4" w:space="0" w:color="auto"/>
            </w:tcBorders>
          </w:tcPr>
          <w:p w14:paraId="1B61F95A" w14:textId="2B129CB7" w:rsidR="00B535F0" w:rsidRDefault="00AB24F6" w:rsidP="00670650">
            <w:pPr>
              <w:pStyle w:val="TableText"/>
              <w:keepNext/>
            </w:pPr>
            <w:r w:rsidRPr="00CE28E3">
              <w:t>k=</w:t>
            </w:r>
            <w:r>
              <w:t>2</w:t>
            </w:r>
          </w:p>
          <w:p w14:paraId="496A8CDC" w14:textId="7ADA4583" w:rsidR="00956ACE" w:rsidRPr="00CE28E3" w:rsidRDefault="00AB24F6" w:rsidP="00670650">
            <w:pPr>
              <w:pStyle w:val="TableText"/>
              <w:keepNext/>
            </w:pPr>
            <w:r w:rsidRPr="00CE28E3">
              <w:t>n=</w:t>
            </w:r>
            <w:r>
              <w:t>3</w:t>
            </w:r>
            <w:r w:rsidR="00F5550A">
              <w:t>23</w:t>
            </w:r>
            <w:r>
              <w:t xml:space="preserve"> patients (1 study), 69 GP practices (1 study)</w:t>
            </w:r>
          </w:p>
        </w:tc>
        <w:tc>
          <w:tcPr>
            <w:tcW w:w="993" w:type="pct"/>
            <w:tcBorders>
              <w:top w:val="single" w:sz="4" w:space="0" w:color="auto"/>
              <w:left w:val="single" w:sz="4" w:space="0" w:color="auto"/>
              <w:bottom w:val="single" w:sz="4" w:space="0" w:color="auto"/>
              <w:right w:val="single" w:sz="4" w:space="0" w:color="auto"/>
            </w:tcBorders>
            <w:hideMark/>
          </w:tcPr>
          <w:p w14:paraId="17AAB10F" w14:textId="4F49BF3C" w:rsidR="00956ACE" w:rsidRPr="00CE28E3" w:rsidRDefault="00AB24F6" w:rsidP="00670650">
            <w:pPr>
              <w:pStyle w:val="TableText"/>
              <w:keepNext/>
            </w:pPr>
            <w:r>
              <w:t>Some concerns</w:t>
            </w:r>
          </w:p>
        </w:tc>
      </w:tr>
      <w:tr w:rsidR="00956ACE" w:rsidRPr="00CE28E3" w14:paraId="08C1132B" w14:textId="77777777" w:rsidTr="008F202C">
        <w:tc>
          <w:tcPr>
            <w:tcW w:w="941" w:type="pct"/>
            <w:tcBorders>
              <w:top w:val="single" w:sz="4" w:space="0" w:color="auto"/>
              <w:left w:val="single" w:sz="4" w:space="0" w:color="auto"/>
              <w:bottom w:val="single" w:sz="4" w:space="0" w:color="auto"/>
              <w:right w:val="single" w:sz="4" w:space="0" w:color="auto"/>
            </w:tcBorders>
          </w:tcPr>
          <w:p w14:paraId="1119C155" w14:textId="22A9B558" w:rsidR="00956ACE" w:rsidRPr="00CE28E3" w:rsidRDefault="00956ACE" w:rsidP="00670650">
            <w:pPr>
              <w:pStyle w:val="TableText"/>
              <w:keepNext/>
            </w:pPr>
            <w:r w:rsidRPr="00CE28E3">
              <w:t>Predictive effect</w:t>
            </w:r>
            <w:r w:rsidR="00BC4972">
              <w:t xml:space="preserve"> </w:t>
            </w:r>
            <w:r w:rsidRPr="00CE28E3">
              <w:t>(treatment effect variation)</w:t>
            </w:r>
          </w:p>
        </w:tc>
        <w:tc>
          <w:tcPr>
            <w:tcW w:w="2044" w:type="pct"/>
            <w:tcBorders>
              <w:top w:val="single" w:sz="4" w:space="0" w:color="auto"/>
              <w:left w:val="single" w:sz="4" w:space="0" w:color="auto"/>
              <w:bottom w:val="single" w:sz="4" w:space="0" w:color="auto"/>
              <w:right w:val="single" w:sz="4" w:space="0" w:color="auto"/>
            </w:tcBorders>
          </w:tcPr>
          <w:p w14:paraId="241AA423" w14:textId="6CB5817C" w:rsidR="00956ACE" w:rsidRPr="00E27116" w:rsidRDefault="00E27116" w:rsidP="00E27116">
            <w:pPr>
              <w:pStyle w:val="TableText"/>
            </w:pPr>
            <w:r w:rsidRPr="00E27116">
              <w:t>Not reported</w:t>
            </w:r>
          </w:p>
        </w:tc>
        <w:tc>
          <w:tcPr>
            <w:tcW w:w="1022" w:type="pct"/>
            <w:tcBorders>
              <w:top w:val="single" w:sz="4" w:space="0" w:color="auto"/>
              <w:left w:val="single" w:sz="4" w:space="0" w:color="auto"/>
              <w:bottom w:val="single" w:sz="4" w:space="0" w:color="auto"/>
              <w:right w:val="single" w:sz="4" w:space="0" w:color="auto"/>
            </w:tcBorders>
          </w:tcPr>
          <w:p w14:paraId="7A8C7715" w14:textId="5648EDB6" w:rsidR="00956ACE" w:rsidRPr="00CE28E3" w:rsidRDefault="0002270D" w:rsidP="00670650">
            <w:pPr>
              <w:pStyle w:val="TableText"/>
              <w:keepNext/>
            </w:pPr>
            <w:r>
              <w:t>N/A</w:t>
            </w:r>
          </w:p>
        </w:tc>
        <w:tc>
          <w:tcPr>
            <w:tcW w:w="993" w:type="pct"/>
            <w:tcBorders>
              <w:top w:val="single" w:sz="4" w:space="0" w:color="auto"/>
              <w:left w:val="single" w:sz="4" w:space="0" w:color="auto"/>
              <w:bottom w:val="single" w:sz="4" w:space="0" w:color="auto"/>
              <w:right w:val="single" w:sz="4" w:space="0" w:color="auto"/>
            </w:tcBorders>
          </w:tcPr>
          <w:p w14:paraId="79C15404" w14:textId="46DFFB30" w:rsidR="00956ACE" w:rsidRPr="00CE28E3" w:rsidRDefault="0002270D" w:rsidP="00670650">
            <w:pPr>
              <w:pStyle w:val="TableText"/>
              <w:keepNext/>
            </w:pPr>
            <w:r>
              <w:t>N/A</w:t>
            </w:r>
          </w:p>
        </w:tc>
      </w:tr>
    </w:tbl>
    <w:p w14:paraId="36B53B57" w14:textId="425DBC4D" w:rsidR="00956ACE" w:rsidRDefault="00A071D4" w:rsidP="003F15EF">
      <w:pPr>
        <w:pStyle w:val="Tablenotes0"/>
      </w:pPr>
      <w:bookmarkStart w:id="20" w:name="_Hlk68276301"/>
      <w:bookmarkEnd w:id="19"/>
      <w:r w:rsidRPr="00FF725D">
        <w:rPr>
          <w:b/>
        </w:rPr>
        <w:t>Abbreviations:</w:t>
      </w:r>
      <w:r>
        <w:t xml:space="preserve"> </w:t>
      </w:r>
      <w:r w:rsidR="009843B8">
        <w:t xml:space="preserve">ADAR, </w:t>
      </w:r>
      <w:r w:rsidR="006F7584">
        <w:t>A</w:t>
      </w:r>
      <w:r w:rsidR="009843B8">
        <w:t xml:space="preserve">pplicant </w:t>
      </w:r>
      <w:r w:rsidR="006F7584">
        <w:t>D</w:t>
      </w:r>
      <w:r w:rsidR="009843B8">
        <w:t xml:space="preserve">eveloped </w:t>
      </w:r>
      <w:r w:rsidR="006F7584">
        <w:t>A</w:t>
      </w:r>
      <w:r w:rsidR="009843B8">
        <w:t xml:space="preserve">ssessment </w:t>
      </w:r>
      <w:r w:rsidR="006F7584">
        <w:t>R</w:t>
      </w:r>
      <w:r w:rsidR="009843B8">
        <w:t xml:space="preserve">eport; </w:t>
      </w:r>
      <w:r w:rsidR="00DB642F">
        <w:t>GP, general practi</w:t>
      </w:r>
      <w:r w:rsidR="002D6E7A">
        <w:t>tioner</w:t>
      </w:r>
      <w:r w:rsidR="00DB642F">
        <w:t>; k,</w:t>
      </w:r>
      <w:r w:rsidR="00DB642F" w:rsidRPr="00CE28E3">
        <w:t xml:space="preserve"> number</w:t>
      </w:r>
      <w:r w:rsidR="00956ACE" w:rsidRPr="00CE28E3">
        <w:t xml:space="preserve"> of studies</w:t>
      </w:r>
      <w:r w:rsidR="00AF5992">
        <w:t>;</w:t>
      </w:r>
      <w:r w:rsidR="00956ACE" w:rsidRPr="00CE28E3">
        <w:t xml:space="preserve"> </w:t>
      </w:r>
      <w:r w:rsidR="00CB246F">
        <w:rPr>
          <w:szCs w:val="20"/>
        </w:rPr>
        <w:t>NT-</w:t>
      </w:r>
      <w:proofErr w:type="spellStart"/>
      <w:r w:rsidR="00CB246F">
        <w:rPr>
          <w:szCs w:val="20"/>
        </w:rPr>
        <w:t>proBNP</w:t>
      </w:r>
      <w:proofErr w:type="spellEnd"/>
      <w:r w:rsidR="00CB246F">
        <w:rPr>
          <w:szCs w:val="20"/>
        </w:rPr>
        <w:t xml:space="preserve">, </w:t>
      </w:r>
      <w:r w:rsidR="00CB246F" w:rsidRPr="004A1258">
        <w:rPr>
          <w:szCs w:val="20"/>
        </w:rPr>
        <w:t>N-terminal-pro brain natriuretic peptide</w:t>
      </w:r>
      <w:r w:rsidR="00B603B5">
        <w:t xml:space="preserve">; </w:t>
      </w:r>
      <w:r w:rsidR="00956ACE" w:rsidRPr="00CE28E3">
        <w:t>n</w:t>
      </w:r>
      <w:r w:rsidR="00AF5992">
        <w:t xml:space="preserve">, </w:t>
      </w:r>
      <w:r w:rsidR="00956ACE" w:rsidRPr="00CE28E3">
        <w:t>number of patients</w:t>
      </w:r>
      <w:r w:rsidR="00AF5992">
        <w:t xml:space="preserve">; </w:t>
      </w:r>
      <w:r w:rsidR="009843B8">
        <w:t xml:space="preserve">N/A, not applicable, </w:t>
      </w:r>
      <w:proofErr w:type="spellStart"/>
      <w:r w:rsidR="00DB47E0">
        <w:t>pg</w:t>
      </w:r>
      <w:proofErr w:type="spellEnd"/>
      <w:r w:rsidR="00DB47E0">
        <w:t xml:space="preserve">/mL, picograms per millilitre; </w:t>
      </w:r>
      <w:r w:rsidR="00AF5992">
        <w:t>RCT, randomised controlled trial</w:t>
      </w:r>
      <w:r w:rsidR="00956ACE" w:rsidRPr="00CE28E3">
        <w:t>.</w:t>
      </w:r>
    </w:p>
    <w:p w14:paraId="00474394" w14:textId="6C6A1DD5" w:rsidR="008676B2" w:rsidRDefault="00902FB4" w:rsidP="008676B2">
      <w:pPr>
        <w:pStyle w:val="Tablenotes0"/>
      </w:pPr>
      <w:r>
        <w:t>a</w:t>
      </w:r>
      <w:r w:rsidR="008676B2">
        <w:t xml:space="preserve"> </w:t>
      </w:r>
      <w:r>
        <w:t>O</w:t>
      </w:r>
      <w:r w:rsidR="008676B2">
        <w:t>ne diagnostic accuracy study was from a large database and included 155,347 patients.</w:t>
      </w:r>
    </w:p>
    <w:p w14:paraId="5AFADC3C" w14:textId="4DC5F480" w:rsidR="008676B2" w:rsidRDefault="008676B2" w:rsidP="003F15EF">
      <w:pPr>
        <w:pStyle w:val="Tablenotes0"/>
      </w:pPr>
      <w:r w:rsidRPr="00FF725D">
        <w:rPr>
          <w:b/>
        </w:rPr>
        <w:t>Source:</w:t>
      </w:r>
      <w:r>
        <w:t xml:space="preserve"> </w:t>
      </w:r>
      <w:r w:rsidR="00C77FFD">
        <w:t>Compiled</w:t>
      </w:r>
      <w:r>
        <w:t xml:space="preserve"> for the </w:t>
      </w:r>
      <w:r w:rsidR="00C77FFD">
        <w:t>commentary</w:t>
      </w:r>
      <w:r>
        <w:t xml:space="preserve"> from MSAC 1740 ADAR+ in-line commentary</w:t>
      </w:r>
    </w:p>
    <w:p w14:paraId="3663231D" w14:textId="2AAF0034" w:rsidR="00670E87" w:rsidRDefault="00670E87" w:rsidP="00670E87">
      <w:pPr>
        <w:pStyle w:val="Heading3"/>
      </w:pPr>
      <w:r>
        <w:t>PI</w:t>
      </w:r>
      <w:r w:rsidR="006846D7">
        <w:t>C</w:t>
      </w:r>
      <w:r>
        <w:t>O Set 2</w:t>
      </w:r>
    </w:p>
    <w:p w14:paraId="7BDA61DE" w14:textId="69B79A27" w:rsidR="00670E87" w:rsidRPr="00670E87" w:rsidRDefault="00670E87" w:rsidP="00670E87">
      <w:r>
        <w:t xml:space="preserve">The </w:t>
      </w:r>
      <w:r w:rsidR="00B4181F">
        <w:t>commentary noted that the</w:t>
      </w:r>
      <w:r>
        <w:t xml:space="preserve"> ADAR did not present any evidence to address PICO set 2</w:t>
      </w:r>
      <w:r w:rsidR="00771A04">
        <w:t>.</w:t>
      </w:r>
    </w:p>
    <w:p w14:paraId="3B9FC2AD" w14:textId="586D3630" w:rsidR="00772829" w:rsidRPr="00CE28E3" w:rsidRDefault="00AB25C3" w:rsidP="002A18BE">
      <w:pPr>
        <w:pStyle w:val="Heading2"/>
        <w:numPr>
          <w:ilvl w:val="0"/>
          <w:numId w:val="0"/>
        </w:numPr>
      </w:pPr>
      <w:bookmarkStart w:id="21" w:name="_Toc69491423"/>
      <w:bookmarkEnd w:id="20"/>
      <w:r>
        <w:t>11</w:t>
      </w:r>
      <w:r w:rsidR="00C36633">
        <w:t>.</w:t>
      </w:r>
      <w:r w:rsidR="00C36633">
        <w:tab/>
      </w:r>
      <w:r w:rsidR="00772829" w:rsidRPr="00CE28E3">
        <w:t>Comparative safety</w:t>
      </w:r>
      <w:bookmarkEnd w:id="21"/>
    </w:p>
    <w:p w14:paraId="41DCE9AE" w14:textId="6104B9A1" w:rsidR="004742F7" w:rsidRDefault="00A3028C" w:rsidP="004742F7">
      <w:r w:rsidRPr="00A3028C">
        <w:t xml:space="preserve">The </w:t>
      </w:r>
      <w:r w:rsidR="004577B1">
        <w:t xml:space="preserve">commentary noted that </w:t>
      </w:r>
      <w:r w:rsidR="003554D2">
        <w:t>the</w:t>
      </w:r>
      <w:r w:rsidRPr="00A3028C">
        <w:t xml:space="preserve"> ADAR </w:t>
      </w:r>
      <w:r>
        <w:t>did</w:t>
      </w:r>
      <w:r w:rsidRPr="00A3028C">
        <w:t xml:space="preserve"> not address the </w:t>
      </w:r>
      <w:r w:rsidR="00B443C7">
        <w:t xml:space="preserve">comparative </w:t>
      </w:r>
      <w:r w:rsidRPr="00A3028C">
        <w:t xml:space="preserve">safety of the test. The test is a standard venepuncture blood test that is unlikely to cause </w:t>
      </w:r>
      <w:r w:rsidR="00BF4A2E">
        <w:t>direct</w:t>
      </w:r>
      <w:r w:rsidRPr="00A3028C">
        <w:t xml:space="preserve"> harm to the patient; however, false positive or false negative test results could cause </w:t>
      </w:r>
      <w:r w:rsidR="00957427">
        <w:t xml:space="preserve">consequent </w:t>
      </w:r>
      <w:r w:rsidRPr="00A3028C">
        <w:t xml:space="preserve">harm, and this </w:t>
      </w:r>
      <w:r w:rsidR="00130453">
        <w:t>w</w:t>
      </w:r>
      <w:r w:rsidRPr="00A3028C">
        <w:t>as not addressed.</w:t>
      </w:r>
    </w:p>
    <w:p w14:paraId="170EB013" w14:textId="73D2AB66" w:rsidR="00957427" w:rsidRPr="003251C2" w:rsidRDefault="00F405F5" w:rsidP="00F405F5">
      <w:r>
        <w:t xml:space="preserve">MSAC previously accepted that </w:t>
      </w:r>
      <w:r w:rsidR="00F81185">
        <w:t>”</w:t>
      </w:r>
      <w:r w:rsidRPr="00D87293">
        <w:rPr>
          <w:i/>
          <w:iCs/>
        </w:rPr>
        <w:t>as the population of interest in the non-hospital setting is not acutely ill, delayed treatment associated with (the very low likelihood of) a false negative test result is unlikely to be</w:t>
      </w:r>
      <w:r w:rsidR="00E607FB" w:rsidRPr="00D87293">
        <w:rPr>
          <w:i/>
          <w:iCs/>
        </w:rPr>
        <w:t xml:space="preserve"> </w:t>
      </w:r>
      <w:r w:rsidRPr="00D87293">
        <w:rPr>
          <w:i/>
          <w:iCs/>
        </w:rPr>
        <w:t>harmful</w:t>
      </w:r>
      <w:r w:rsidR="00F81185">
        <w:t>”</w:t>
      </w:r>
      <w:r w:rsidR="00932F92">
        <w:t xml:space="preserve"> and advised that BNP</w:t>
      </w:r>
      <w:r w:rsidR="007C2312">
        <w:t>/NT-</w:t>
      </w:r>
      <w:proofErr w:type="spellStart"/>
      <w:r w:rsidR="007C2312">
        <w:t>proBNP</w:t>
      </w:r>
      <w:proofErr w:type="spellEnd"/>
      <w:r w:rsidR="007C2312">
        <w:t xml:space="preserve"> testing for the diagnosis of </w:t>
      </w:r>
      <w:r w:rsidR="001B6D7B">
        <w:t>HF</w:t>
      </w:r>
      <w:r w:rsidR="007C2312">
        <w:t xml:space="preserve"> in patients presenting with dy</w:t>
      </w:r>
      <w:r w:rsidR="008D70BB">
        <w:t xml:space="preserve">spnoea </w:t>
      </w:r>
      <w:r w:rsidR="00374214">
        <w:t xml:space="preserve">in a non-hospital setting </w:t>
      </w:r>
      <w:r w:rsidR="007C2312">
        <w:t xml:space="preserve">was </w:t>
      </w:r>
      <w:r w:rsidR="00F81185">
        <w:t xml:space="preserve">comparatively </w:t>
      </w:r>
      <w:r w:rsidR="007C2312">
        <w:t>safe</w:t>
      </w:r>
      <w:r w:rsidR="00E607FB">
        <w:t xml:space="preserve"> (</w:t>
      </w:r>
      <w:r w:rsidR="001530A5">
        <w:t xml:space="preserve">MSAC </w:t>
      </w:r>
      <w:r w:rsidR="009057F7">
        <w:t>a</w:t>
      </w:r>
      <w:r w:rsidR="001530A5">
        <w:t>pplication 1087</w:t>
      </w:r>
      <w:r w:rsidR="00C37BC0">
        <w:t>,</w:t>
      </w:r>
      <w:r w:rsidR="00074348">
        <w:t xml:space="preserve"> </w:t>
      </w:r>
      <w:r w:rsidR="003D24F3">
        <w:t xml:space="preserve">part B </w:t>
      </w:r>
      <w:r w:rsidR="00074348">
        <w:t>(</w:t>
      </w:r>
      <w:r w:rsidR="003D24F3">
        <w:t xml:space="preserve">May </w:t>
      </w:r>
      <w:r w:rsidR="00074348">
        <w:t>200</w:t>
      </w:r>
      <w:r w:rsidR="003D24F3">
        <w:t>7</w:t>
      </w:r>
      <w:r w:rsidR="00074348">
        <w:t>)</w:t>
      </w:r>
      <w:r w:rsidR="001530A5">
        <w:t xml:space="preserve">, </w:t>
      </w:r>
      <w:r w:rsidR="00E607FB">
        <w:t>P</w:t>
      </w:r>
      <w:r w:rsidR="001B6D7B">
        <w:t xml:space="preserve">ublic </w:t>
      </w:r>
      <w:r w:rsidR="00E607FB">
        <w:t>S</w:t>
      </w:r>
      <w:r w:rsidR="001B6D7B">
        <w:t xml:space="preserve">ummary </w:t>
      </w:r>
      <w:r w:rsidR="00E607FB">
        <w:t>D</w:t>
      </w:r>
      <w:r w:rsidR="001B6D7B">
        <w:t>ocument</w:t>
      </w:r>
      <w:r w:rsidR="00E607FB">
        <w:t xml:space="preserve">, page </w:t>
      </w:r>
      <w:r w:rsidR="001530A5">
        <w:t>2)</w:t>
      </w:r>
      <w:r>
        <w:t>.</w:t>
      </w:r>
    </w:p>
    <w:p w14:paraId="3717AA01" w14:textId="46C0D662" w:rsidR="00772829" w:rsidRPr="00CE28E3" w:rsidRDefault="00C36633" w:rsidP="002A18BE">
      <w:pPr>
        <w:pStyle w:val="Heading2"/>
        <w:numPr>
          <w:ilvl w:val="0"/>
          <w:numId w:val="0"/>
        </w:numPr>
      </w:pPr>
      <w:bookmarkStart w:id="22" w:name="_Toc69491424"/>
      <w:r>
        <w:t>1</w:t>
      </w:r>
      <w:r w:rsidR="00AB25C3">
        <w:t>2</w:t>
      </w:r>
      <w:r>
        <w:t>.</w:t>
      </w:r>
      <w:r>
        <w:tab/>
      </w:r>
      <w:r w:rsidR="00772829" w:rsidRPr="00CE28E3">
        <w:t>Comparative effectiveness</w:t>
      </w:r>
      <w:bookmarkEnd w:id="22"/>
    </w:p>
    <w:p w14:paraId="6DE54915" w14:textId="6456451D" w:rsidR="00DD40E6" w:rsidRDefault="00330B7D" w:rsidP="00DD40E6">
      <w:pPr>
        <w:pStyle w:val="Heading3"/>
      </w:pPr>
      <w:r>
        <w:t>H</w:t>
      </w:r>
      <w:r w:rsidR="00A0706F">
        <w:t>ealth outcome</w:t>
      </w:r>
      <w:r w:rsidR="000C30A6">
        <w:t>s</w:t>
      </w:r>
    </w:p>
    <w:p w14:paraId="5011D3F1" w14:textId="1F71C396" w:rsidR="00CC290D" w:rsidRDefault="00976C74" w:rsidP="00BC144A">
      <w:r>
        <w:t>The ADAR did not present any direct from test to health outcomes evidence. The commentary presented d</w:t>
      </w:r>
      <w:r w:rsidR="00E6204E">
        <w:t>irect from test to health outcome</w:t>
      </w:r>
      <w:r w:rsidR="00227344">
        <w:t>s</w:t>
      </w:r>
      <w:r w:rsidR="00E6204E">
        <w:t xml:space="preserve"> evidence </w:t>
      </w:r>
      <w:r w:rsidR="00B958E2">
        <w:t>from</w:t>
      </w:r>
      <w:r w:rsidR="00E6204E">
        <w:t xml:space="preserve"> two RCTs; one identified in the </w:t>
      </w:r>
      <w:r w:rsidR="00E6204E">
        <w:lastRenderedPageBreak/>
        <w:t>ADAR</w:t>
      </w:r>
      <w:r w:rsidR="00706335">
        <w:t xml:space="preserve"> (</w:t>
      </w:r>
      <w:proofErr w:type="spellStart"/>
      <w:r w:rsidR="00706335">
        <w:t>Burri</w:t>
      </w:r>
      <w:proofErr w:type="spellEnd"/>
      <w:r w:rsidR="00706335">
        <w:t>, 2012</w:t>
      </w:r>
      <w:r w:rsidR="004457C8">
        <w:t xml:space="preserve"> – used for change of management outcomes only in the ADAR</w:t>
      </w:r>
      <w:r w:rsidR="00706335">
        <w:t>)</w:t>
      </w:r>
      <w:r w:rsidR="00E6204E">
        <w:t xml:space="preserve"> and one</w:t>
      </w:r>
      <w:r w:rsidR="000C50C9">
        <w:t xml:space="preserve"> identified</w:t>
      </w:r>
      <w:r w:rsidR="00E6204E">
        <w:t xml:space="preserve"> by the commentary</w:t>
      </w:r>
      <w:r w:rsidR="00706335">
        <w:t xml:space="preserve"> (</w:t>
      </w:r>
      <w:proofErr w:type="spellStart"/>
      <w:r w:rsidR="00706335">
        <w:t>Naj</w:t>
      </w:r>
      <w:r w:rsidR="00326AF8">
        <w:t>bjerg</w:t>
      </w:r>
      <w:proofErr w:type="spellEnd"/>
      <w:r w:rsidR="00324F08">
        <w:t xml:space="preserve"> et al</w:t>
      </w:r>
      <w:r w:rsidR="00326AF8">
        <w:t>, 2019)</w:t>
      </w:r>
      <w:r w:rsidR="00E6204E">
        <w:t>.</w:t>
      </w:r>
      <w:r w:rsidR="000A16EF">
        <w:t xml:space="preserve"> </w:t>
      </w:r>
      <w:r w:rsidR="00E6204E">
        <w:t xml:space="preserve">The </w:t>
      </w:r>
      <w:r w:rsidR="0041018E">
        <w:t xml:space="preserve">characteristics of these studies are summarised in </w:t>
      </w:r>
      <w:r w:rsidR="0041018E">
        <w:fldChar w:fldCharType="begin"/>
      </w:r>
      <w:r w:rsidR="0041018E">
        <w:instrText xml:space="preserve"> REF _Ref141814814 \h </w:instrText>
      </w:r>
      <w:r w:rsidR="0041018E">
        <w:fldChar w:fldCharType="separate"/>
      </w:r>
      <w:r w:rsidR="00472DB9">
        <w:t xml:space="preserve">Table </w:t>
      </w:r>
      <w:r w:rsidR="00472DB9">
        <w:rPr>
          <w:noProof/>
        </w:rPr>
        <w:t>6</w:t>
      </w:r>
      <w:r w:rsidR="0041018E">
        <w:fldChar w:fldCharType="end"/>
      </w:r>
      <w:r w:rsidR="0041018E">
        <w:t>.</w:t>
      </w:r>
    </w:p>
    <w:p w14:paraId="02E9C338" w14:textId="0FAC4044" w:rsidR="00BC144A" w:rsidRDefault="0041018E" w:rsidP="00BC144A">
      <w:r>
        <w:t>One study (</w:t>
      </w:r>
      <w:proofErr w:type="spellStart"/>
      <w:r>
        <w:t>Burri</w:t>
      </w:r>
      <w:proofErr w:type="spellEnd"/>
      <w:r w:rsidR="004D48B0">
        <w:t xml:space="preserve"> et al</w:t>
      </w:r>
      <w:r>
        <w:t xml:space="preserve">, 2012) </w:t>
      </w:r>
      <w:r w:rsidR="00A729D9">
        <w:t>used point-of-care BNP test</w:t>
      </w:r>
      <w:r w:rsidR="00E15C58">
        <w:t>ing</w:t>
      </w:r>
      <w:r w:rsidR="00A729D9">
        <w:t xml:space="preserve"> rather than </w:t>
      </w:r>
      <w:r w:rsidR="005D10A3">
        <w:t>laboratory-based</w:t>
      </w:r>
      <w:r w:rsidR="00A729D9">
        <w:t xml:space="preserve"> NT-</w:t>
      </w:r>
      <w:proofErr w:type="spellStart"/>
      <w:r w:rsidR="00A729D9">
        <w:t>proBNP</w:t>
      </w:r>
      <w:proofErr w:type="spellEnd"/>
      <w:r w:rsidR="00E15C58">
        <w:t xml:space="preserve"> testing</w:t>
      </w:r>
      <w:r w:rsidR="005D10A3">
        <w:t xml:space="preserve">. The tests are likely to have similar performance, however the different test approaches may </w:t>
      </w:r>
      <w:r w:rsidR="006C3595">
        <w:t xml:space="preserve">limit applicability for some outcomes such as time to appropriate treatment. This study included patients with dyspnoea </w:t>
      </w:r>
      <w:r w:rsidR="004203BB">
        <w:t>as their primary presenting symptom</w:t>
      </w:r>
      <w:r w:rsidR="00D952DA">
        <w:t>,</w:t>
      </w:r>
      <w:r w:rsidR="004203BB">
        <w:t xml:space="preserve"> </w:t>
      </w:r>
      <w:r w:rsidR="006C3595">
        <w:t xml:space="preserve">rather than suspected </w:t>
      </w:r>
      <w:r w:rsidR="00D854A9">
        <w:t xml:space="preserve">but uncertain </w:t>
      </w:r>
      <w:r w:rsidR="006C3595">
        <w:t xml:space="preserve">HF </w:t>
      </w:r>
      <w:r w:rsidR="00E075E4">
        <w:t>as per the PICO confirmation.</w:t>
      </w:r>
      <w:r w:rsidR="00237CD5">
        <w:t xml:space="preserve"> </w:t>
      </w:r>
      <w:r w:rsidR="00326223">
        <w:t>As dyspnoea is the most common symptom of HF, the</w:t>
      </w:r>
      <w:r w:rsidR="00237CD5">
        <w:t xml:space="preserve"> commentary did not consider this </w:t>
      </w:r>
      <w:r w:rsidR="00326223">
        <w:t xml:space="preserve">to </w:t>
      </w:r>
      <w:r w:rsidR="00FC073F">
        <w:t>appreciably</w:t>
      </w:r>
      <w:r w:rsidR="00326223">
        <w:t xml:space="preserve"> reduce applicability</w:t>
      </w:r>
      <w:r w:rsidR="006C3595">
        <w:t>.</w:t>
      </w:r>
    </w:p>
    <w:p w14:paraId="63213019" w14:textId="2F78E67E" w:rsidR="006C3595" w:rsidRPr="00BC144A" w:rsidDel="00716376" w:rsidRDefault="006C3595" w:rsidP="00BC144A">
      <w:r w:rsidDel="00716376">
        <w:t>The second study (</w:t>
      </w:r>
      <w:proofErr w:type="spellStart"/>
      <w:r w:rsidRPr="006C3595" w:rsidDel="00716376">
        <w:t>Najbjerg</w:t>
      </w:r>
      <w:proofErr w:type="spellEnd"/>
      <w:r w:rsidR="00324F08">
        <w:t xml:space="preserve"> et al</w:t>
      </w:r>
      <w:r w:rsidRPr="006C3595" w:rsidDel="00716376">
        <w:t>, 2019</w:t>
      </w:r>
      <w:r w:rsidDel="00716376">
        <w:t>) was a pragmatic cluster RCT. Randomisation occurred at the level of</w:t>
      </w:r>
      <w:r w:rsidR="00933CC4">
        <w:t xml:space="preserve"> the</w:t>
      </w:r>
      <w:r w:rsidDel="00716376">
        <w:t xml:space="preserve"> GP practice</w:t>
      </w:r>
      <w:r w:rsidR="00E75AD6">
        <w:t>.</w:t>
      </w:r>
      <w:r w:rsidR="00E308E7">
        <w:t xml:space="preserve"> </w:t>
      </w:r>
      <w:r w:rsidR="00E75AD6">
        <w:t>I</w:t>
      </w:r>
      <w:r w:rsidR="00186D70">
        <w:t>ntervention</w:t>
      </w:r>
      <w:r w:rsidR="00D05066">
        <w:t xml:space="preserve"> GP</w:t>
      </w:r>
      <w:r w:rsidR="00186D70">
        <w:t xml:space="preserve"> </w:t>
      </w:r>
      <w:r w:rsidR="00764826">
        <w:t xml:space="preserve">practices </w:t>
      </w:r>
      <w:r w:rsidR="006213F9">
        <w:t>receiv</w:t>
      </w:r>
      <w:r w:rsidR="00E75AD6">
        <w:t>ed</w:t>
      </w:r>
      <w:r w:rsidR="006213F9">
        <w:t xml:space="preserve"> a</w:t>
      </w:r>
      <w:r w:rsidR="00211768">
        <w:t xml:space="preserve"> standardised</w:t>
      </w:r>
      <w:r w:rsidR="006213F9">
        <w:t xml:space="preserve"> education</w:t>
      </w:r>
      <w:r w:rsidR="001D08C0">
        <w:t>al</w:t>
      </w:r>
      <w:r w:rsidR="006213F9">
        <w:t xml:space="preserve"> visit and </w:t>
      </w:r>
      <w:r w:rsidR="00155061">
        <w:t>ha</w:t>
      </w:r>
      <w:r w:rsidR="00E75AD6">
        <w:t>d</w:t>
      </w:r>
      <w:r w:rsidR="00155061">
        <w:t xml:space="preserve"> </w:t>
      </w:r>
      <w:r w:rsidR="00764826">
        <w:t>NT-</w:t>
      </w:r>
      <w:proofErr w:type="spellStart"/>
      <w:r w:rsidR="00764826">
        <w:t>proBNP</w:t>
      </w:r>
      <w:proofErr w:type="spellEnd"/>
      <w:r w:rsidR="00764826">
        <w:t xml:space="preserve"> testing available</w:t>
      </w:r>
      <w:r w:rsidR="00A07A9F">
        <w:t xml:space="preserve">. </w:t>
      </w:r>
      <w:r w:rsidR="00CC13C1">
        <w:t xml:space="preserve">The control </w:t>
      </w:r>
      <w:r w:rsidR="00D05066">
        <w:t xml:space="preserve">GP </w:t>
      </w:r>
      <w:r w:rsidR="00CC13C1">
        <w:t>practices received no information regarding the project and did not have NT-</w:t>
      </w:r>
      <w:proofErr w:type="spellStart"/>
      <w:r w:rsidR="00CC13C1">
        <w:t>proBNP</w:t>
      </w:r>
      <w:proofErr w:type="spellEnd"/>
      <w:r w:rsidR="00CC13C1">
        <w:t xml:space="preserve"> testing available.</w:t>
      </w:r>
      <w:r w:rsidDel="00716376">
        <w:t xml:space="preserve"> </w:t>
      </w:r>
      <w:r w:rsidR="00CC13C1">
        <w:t>T</w:t>
      </w:r>
      <w:r w:rsidDel="00716376">
        <w:t>he denominator for the outcomes was the number of registered patients across the GP practices.</w:t>
      </w:r>
    </w:p>
    <w:p w14:paraId="5CE22559" w14:textId="5E4E9D75" w:rsidR="00DA0BF4" w:rsidRDefault="00DA0BF4" w:rsidP="00DA0BF4">
      <w:pPr>
        <w:pStyle w:val="Caption"/>
      </w:pPr>
      <w:bookmarkStart w:id="23" w:name="_Ref141814814"/>
      <w:r>
        <w:t xml:space="preserve">Table </w:t>
      </w:r>
      <w:r>
        <w:fldChar w:fldCharType="begin"/>
      </w:r>
      <w:r>
        <w:instrText>SEQ Table \* ARABIC</w:instrText>
      </w:r>
      <w:r>
        <w:fldChar w:fldCharType="separate"/>
      </w:r>
      <w:r w:rsidR="00472DB9">
        <w:rPr>
          <w:noProof/>
        </w:rPr>
        <w:t>6</w:t>
      </w:r>
      <w:r>
        <w:fldChar w:fldCharType="end"/>
      </w:r>
      <w:bookmarkEnd w:id="23"/>
      <w:r>
        <w:tab/>
        <w:t xml:space="preserve">Study characteristics of </w:t>
      </w:r>
      <w:r w:rsidR="00E6204E">
        <w:t xml:space="preserve">RCTs providing direct to health outcomes </w:t>
      </w:r>
      <w:proofErr w:type="gramStart"/>
      <w:r w:rsidR="00E6204E">
        <w:t>evidence</w:t>
      </w:r>
      <w:proofErr w:type="gramEnd"/>
    </w:p>
    <w:tbl>
      <w:tblPr>
        <w:tblStyle w:val="TableGrid"/>
        <w:tblW w:w="0" w:type="auto"/>
        <w:tblLayout w:type="fixed"/>
        <w:tblLook w:val="04A0" w:firstRow="1" w:lastRow="0" w:firstColumn="1" w:lastColumn="0" w:noHBand="0" w:noVBand="1"/>
        <w:tblCaption w:val="Study characteristics of RCTs providing direct to health outcomes evidence"/>
        <w:tblDescription w:val="The table summarises the study characteristics of the relevant RCTs including study, country, number of participants, study design, risk of bias, population, intervention, comparator and key outcomes."/>
      </w:tblPr>
      <w:tblGrid>
        <w:gridCol w:w="1129"/>
        <w:gridCol w:w="1134"/>
        <w:gridCol w:w="1276"/>
        <w:gridCol w:w="1418"/>
        <w:gridCol w:w="1275"/>
        <w:gridCol w:w="1276"/>
        <w:gridCol w:w="1288"/>
      </w:tblGrid>
      <w:tr w:rsidR="000E3283" w:rsidRPr="004B34DC" w14:paraId="73827AD0" w14:textId="77777777" w:rsidTr="008F202C">
        <w:trPr>
          <w:tblHeader/>
        </w:trPr>
        <w:tc>
          <w:tcPr>
            <w:tcW w:w="1129" w:type="dxa"/>
          </w:tcPr>
          <w:p w14:paraId="601310E2" w14:textId="74162D78" w:rsidR="00FC15BC" w:rsidRDefault="00E75AD6" w:rsidP="008F202C">
            <w:pPr>
              <w:pStyle w:val="TableFigureHeading"/>
              <w:keepNext w:val="0"/>
            </w:pPr>
            <w:r>
              <w:t>S</w:t>
            </w:r>
            <w:r w:rsidR="00FC15BC" w:rsidRPr="004B34DC">
              <w:t>tudy</w:t>
            </w:r>
          </w:p>
          <w:p w14:paraId="567B8671" w14:textId="77777777" w:rsidR="00FC15BC" w:rsidRPr="004B34DC" w:rsidRDefault="00FC15BC" w:rsidP="008F202C">
            <w:pPr>
              <w:pStyle w:val="TableFigureHeading"/>
              <w:keepNext w:val="0"/>
            </w:pPr>
            <w:r>
              <w:t>Country</w:t>
            </w:r>
          </w:p>
        </w:tc>
        <w:tc>
          <w:tcPr>
            <w:tcW w:w="1134" w:type="dxa"/>
          </w:tcPr>
          <w:p w14:paraId="5BE17CCF" w14:textId="77777777" w:rsidR="00FC15BC" w:rsidRPr="004B34DC" w:rsidRDefault="00FC15BC" w:rsidP="008F202C">
            <w:pPr>
              <w:pStyle w:val="TableFigureHeading"/>
              <w:keepNext w:val="0"/>
            </w:pPr>
            <w:r w:rsidRPr="004B34DC">
              <w:t>N</w:t>
            </w:r>
          </w:p>
        </w:tc>
        <w:tc>
          <w:tcPr>
            <w:tcW w:w="1276" w:type="dxa"/>
          </w:tcPr>
          <w:p w14:paraId="747DF048" w14:textId="77777777" w:rsidR="00FC15BC" w:rsidRPr="004B34DC" w:rsidRDefault="00FC15BC" w:rsidP="008F202C">
            <w:pPr>
              <w:pStyle w:val="TableFigureHeading"/>
              <w:keepNext w:val="0"/>
            </w:pPr>
            <w:r w:rsidRPr="004B34DC">
              <w:t>Study design</w:t>
            </w:r>
          </w:p>
          <w:p w14:paraId="1E77E741" w14:textId="6238DD96" w:rsidR="00FC15BC" w:rsidRPr="008F202C" w:rsidRDefault="00FC15BC" w:rsidP="000E3283">
            <w:pPr>
              <w:pStyle w:val="TableFigureHeading"/>
            </w:pPr>
            <w:r w:rsidRPr="008F202C">
              <w:t>Risk of bias</w:t>
            </w:r>
          </w:p>
        </w:tc>
        <w:tc>
          <w:tcPr>
            <w:tcW w:w="1418" w:type="dxa"/>
          </w:tcPr>
          <w:p w14:paraId="78EF6E12" w14:textId="77777777" w:rsidR="00FC15BC" w:rsidRPr="004B34DC" w:rsidRDefault="00FC15BC" w:rsidP="008F202C">
            <w:pPr>
              <w:pStyle w:val="TableFigureHeading"/>
              <w:keepNext w:val="0"/>
            </w:pPr>
            <w:r w:rsidRPr="004B34DC">
              <w:t>Population</w:t>
            </w:r>
          </w:p>
        </w:tc>
        <w:tc>
          <w:tcPr>
            <w:tcW w:w="1275" w:type="dxa"/>
          </w:tcPr>
          <w:p w14:paraId="145E90FE" w14:textId="77777777" w:rsidR="00FC15BC" w:rsidRPr="004B34DC" w:rsidRDefault="00FC15BC" w:rsidP="008F202C">
            <w:pPr>
              <w:pStyle w:val="TableFigureHeading"/>
              <w:keepNext w:val="0"/>
            </w:pPr>
            <w:r w:rsidRPr="004B34DC">
              <w:t>Intervention</w:t>
            </w:r>
          </w:p>
        </w:tc>
        <w:tc>
          <w:tcPr>
            <w:tcW w:w="1276" w:type="dxa"/>
          </w:tcPr>
          <w:p w14:paraId="0AED1BD8" w14:textId="77777777" w:rsidR="00FC15BC" w:rsidRPr="004B34DC" w:rsidRDefault="00FC15BC" w:rsidP="008F202C">
            <w:pPr>
              <w:pStyle w:val="TableFigureHeading"/>
              <w:keepNext w:val="0"/>
            </w:pPr>
            <w:r w:rsidRPr="004B34DC">
              <w:t>Comparator</w:t>
            </w:r>
          </w:p>
        </w:tc>
        <w:tc>
          <w:tcPr>
            <w:tcW w:w="1288" w:type="dxa"/>
          </w:tcPr>
          <w:p w14:paraId="4551F074" w14:textId="77777777" w:rsidR="00FC15BC" w:rsidRPr="004B34DC" w:rsidRDefault="00FC15BC" w:rsidP="008F202C">
            <w:pPr>
              <w:pStyle w:val="TableFigureHeading"/>
              <w:keepNext w:val="0"/>
            </w:pPr>
            <w:r w:rsidRPr="004B34DC">
              <w:t>Key outcomes(s)</w:t>
            </w:r>
          </w:p>
        </w:tc>
      </w:tr>
      <w:tr w:rsidR="008A5349" w14:paraId="79188C0B" w14:textId="77777777" w:rsidTr="008F202C">
        <w:tc>
          <w:tcPr>
            <w:tcW w:w="1129" w:type="dxa"/>
          </w:tcPr>
          <w:p w14:paraId="6FAE743F" w14:textId="77777777" w:rsidR="00FC15BC" w:rsidRDefault="00FC15BC" w:rsidP="00B35BAD">
            <w:pPr>
              <w:pStyle w:val="TableText"/>
            </w:pPr>
            <w:proofErr w:type="spellStart"/>
            <w:r>
              <w:t>Burri</w:t>
            </w:r>
            <w:proofErr w:type="spellEnd"/>
            <w:r>
              <w:t>, 2012</w:t>
            </w:r>
          </w:p>
          <w:p w14:paraId="12AE8A4D" w14:textId="77777777" w:rsidR="00FC15BC" w:rsidRDefault="00FC15BC" w:rsidP="00B35BAD">
            <w:pPr>
              <w:pStyle w:val="TableText"/>
            </w:pPr>
            <w:r>
              <w:t>Switzerland and Germany</w:t>
            </w:r>
          </w:p>
        </w:tc>
        <w:tc>
          <w:tcPr>
            <w:tcW w:w="1134" w:type="dxa"/>
          </w:tcPr>
          <w:p w14:paraId="0C89E68D" w14:textId="26EF5FDA" w:rsidR="00FC15BC" w:rsidRDefault="00FC15BC" w:rsidP="00B35BAD">
            <w:pPr>
              <w:pStyle w:val="TableText"/>
            </w:pPr>
            <w:r>
              <w:t xml:space="preserve">323 </w:t>
            </w:r>
            <w:r w:rsidR="0001049A">
              <w:t>patients</w:t>
            </w:r>
          </w:p>
          <w:p w14:paraId="215E69BE" w14:textId="483D076F" w:rsidR="00FC15BC" w:rsidRDefault="00FC15BC" w:rsidP="00B35BAD">
            <w:pPr>
              <w:pStyle w:val="TableText"/>
            </w:pPr>
            <w:r>
              <w:t>BNP: 163</w:t>
            </w:r>
          </w:p>
          <w:p w14:paraId="3E0B728B" w14:textId="685313F9" w:rsidR="00FC15BC" w:rsidRDefault="00FC15BC" w:rsidP="00B35BAD">
            <w:pPr>
              <w:pStyle w:val="TableText"/>
            </w:pPr>
            <w:r>
              <w:t>Control:160</w:t>
            </w:r>
          </w:p>
        </w:tc>
        <w:tc>
          <w:tcPr>
            <w:tcW w:w="1276" w:type="dxa"/>
          </w:tcPr>
          <w:p w14:paraId="58361423" w14:textId="77777777" w:rsidR="00FC15BC" w:rsidRDefault="00FC15BC" w:rsidP="00B35BAD">
            <w:pPr>
              <w:pStyle w:val="TableText"/>
            </w:pPr>
            <w:r>
              <w:t>Single-blind RCT</w:t>
            </w:r>
          </w:p>
          <w:p w14:paraId="2DAF7428" w14:textId="77777777" w:rsidR="00FC15BC" w:rsidRDefault="00FC15BC" w:rsidP="00B35BAD">
            <w:pPr>
              <w:pStyle w:val="TableText"/>
            </w:pPr>
          </w:p>
          <w:p w14:paraId="3F07FC85" w14:textId="309CF0A4" w:rsidR="00FC15BC" w:rsidRPr="008F202C" w:rsidRDefault="00FC15BC" w:rsidP="00B35BAD">
            <w:pPr>
              <w:pStyle w:val="TableText"/>
            </w:pPr>
            <w:r w:rsidRPr="008F202C">
              <w:t>Some concerns</w:t>
            </w:r>
            <w:r w:rsidR="005A7548">
              <w:t xml:space="preserve"> (ADAR assessment)</w:t>
            </w:r>
          </w:p>
        </w:tc>
        <w:tc>
          <w:tcPr>
            <w:tcW w:w="1418" w:type="dxa"/>
          </w:tcPr>
          <w:p w14:paraId="306F59ED" w14:textId="71F53544" w:rsidR="00FC15BC" w:rsidRDefault="00144812" w:rsidP="00B35BAD">
            <w:pPr>
              <w:pStyle w:val="TableText"/>
            </w:pPr>
            <w:r>
              <w:t xml:space="preserve">Adults </w:t>
            </w:r>
            <w:r w:rsidR="00FC15BC">
              <w:t xml:space="preserve">with dyspnoea </w:t>
            </w:r>
            <w:r w:rsidR="001E1B54">
              <w:t>(</w:t>
            </w:r>
            <w:r w:rsidR="00FC15BC">
              <w:t>new onset or clearly worsening</w:t>
            </w:r>
            <w:r w:rsidR="001E1B54">
              <w:t>)</w:t>
            </w:r>
            <w:r w:rsidR="00FC15BC">
              <w:t xml:space="preserve"> </w:t>
            </w:r>
            <w:r w:rsidR="009B7E29">
              <w:t xml:space="preserve">as their primary symptom at </w:t>
            </w:r>
            <w:proofErr w:type="gramStart"/>
            <w:r w:rsidR="009B7E29">
              <w:t>presentation</w:t>
            </w:r>
            <w:proofErr w:type="gramEnd"/>
          </w:p>
          <w:p w14:paraId="3AD9AA3F" w14:textId="28541F54" w:rsidR="00FC15BC" w:rsidRDefault="00FC15BC" w:rsidP="00B35BAD">
            <w:pPr>
              <w:pStyle w:val="TableText"/>
            </w:pPr>
            <w:r>
              <w:t>Exclusions: obvious traumatic cause of dyspnoea, severe renal disease, sepsis</w:t>
            </w:r>
          </w:p>
        </w:tc>
        <w:tc>
          <w:tcPr>
            <w:tcW w:w="1275" w:type="dxa"/>
          </w:tcPr>
          <w:p w14:paraId="4B6501DC" w14:textId="3E429D7A" w:rsidR="00FC15BC" w:rsidRDefault="00FC15BC" w:rsidP="00B35BAD">
            <w:pPr>
              <w:pStyle w:val="TableText"/>
            </w:pPr>
            <w:r>
              <w:t>Evaluation using diagnostic strategy that included rapid point-of-care measurement of BNP levels at initial presentation</w:t>
            </w:r>
          </w:p>
        </w:tc>
        <w:tc>
          <w:tcPr>
            <w:tcW w:w="1276" w:type="dxa"/>
          </w:tcPr>
          <w:p w14:paraId="7D053FFE" w14:textId="4631C640" w:rsidR="00FC15BC" w:rsidRDefault="00FC15BC" w:rsidP="00B35BAD">
            <w:pPr>
              <w:pStyle w:val="TableText"/>
            </w:pPr>
            <w:r>
              <w:t>Evaluation using conventional diagnostic strategy without</w:t>
            </w:r>
            <w:r w:rsidR="00482815">
              <w:t xml:space="preserve"> </w:t>
            </w:r>
            <w:r>
              <w:t>measurement of BNP</w:t>
            </w:r>
          </w:p>
        </w:tc>
        <w:tc>
          <w:tcPr>
            <w:tcW w:w="1288" w:type="dxa"/>
          </w:tcPr>
          <w:p w14:paraId="6DCEBC18" w14:textId="2B4CBC77" w:rsidR="00180C84" w:rsidRPr="00180C84" w:rsidRDefault="00180C84" w:rsidP="00B35BAD">
            <w:pPr>
              <w:pStyle w:val="TableText"/>
              <w:rPr>
                <w:u w:val="single"/>
              </w:rPr>
            </w:pPr>
            <w:r>
              <w:rPr>
                <w:u w:val="single"/>
              </w:rPr>
              <w:t>Direct</w:t>
            </w:r>
          </w:p>
          <w:p w14:paraId="50087AE5" w14:textId="65865744" w:rsidR="00FC15BC" w:rsidRDefault="00CE39FC" w:rsidP="00B35BAD">
            <w:pPr>
              <w:pStyle w:val="TableText"/>
            </w:pPr>
            <w:r>
              <w:t>All-cause mortality</w:t>
            </w:r>
          </w:p>
          <w:p w14:paraId="543C1950" w14:textId="77777777" w:rsidR="00CE39FC" w:rsidRDefault="00CE39FC" w:rsidP="00B35BAD">
            <w:pPr>
              <w:pStyle w:val="TableText"/>
            </w:pPr>
            <w:r>
              <w:t>All-cause hospitalisation</w:t>
            </w:r>
          </w:p>
          <w:p w14:paraId="6891C8E1" w14:textId="1B669D8B" w:rsidR="00180C84" w:rsidRPr="00180C84" w:rsidRDefault="00180C84" w:rsidP="00B35BAD">
            <w:pPr>
              <w:pStyle w:val="TableText"/>
              <w:rPr>
                <w:u w:val="single"/>
              </w:rPr>
            </w:pPr>
            <w:r>
              <w:rPr>
                <w:u w:val="single"/>
              </w:rPr>
              <w:t xml:space="preserve">Change in </w:t>
            </w:r>
            <w:proofErr w:type="gramStart"/>
            <w:r>
              <w:rPr>
                <w:u w:val="single"/>
              </w:rPr>
              <w:t>management</w:t>
            </w:r>
            <w:proofErr w:type="gramEnd"/>
          </w:p>
          <w:p w14:paraId="40153809" w14:textId="47A44DED" w:rsidR="00DE6423" w:rsidRDefault="00DE6423" w:rsidP="00B35BAD">
            <w:pPr>
              <w:pStyle w:val="TableText"/>
            </w:pPr>
            <w:r>
              <w:t xml:space="preserve">Echocardiograms </w:t>
            </w:r>
            <w:proofErr w:type="gramStart"/>
            <w:r>
              <w:t>received</w:t>
            </w:r>
            <w:proofErr w:type="gramEnd"/>
          </w:p>
          <w:p w14:paraId="182C5DD6" w14:textId="20595E48" w:rsidR="00BE6CA4" w:rsidRDefault="00BE6CA4" w:rsidP="00B35BAD">
            <w:pPr>
              <w:pStyle w:val="TableText"/>
            </w:pPr>
            <w:r>
              <w:t>Time to appropriate treatment</w:t>
            </w:r>
          </w:p>
        </w:tc>
      </w:tr>
      <w:tr w:rsidR="0012451A" w14:paraId="5964BC71" w14:textId="77777777" w:rsidTr="008F202C">
        <w:tc>
          <w:tcPr>
            <w:tcW w:w="1129" w:type="dxa"/>
          </w:tcPr>
          <w:p w14:paraId="3DC16FC4" w14:textId="77777777" w:rsidR="00FC15BC" w:rsidRDefault="00FC15BC" w:rsidP="00B35BAD">
            <w:pPr>
              <w:pStyle w:val="TableText"/>
            </w:pPr>
            <w:proofErr w:type="spellStart"/>
            <w:r>
              <w:t>Najbjerg</w:t>
            </w:r>
            <w:proofErr w:type="spellEnd"/>
            <w:r>
              <w:t>, 2019</w:t>
            </w:r>
          </w:p>
          <w:p w14:paraId="5B498CAF" w14:textId="795555E5" w:rsidR="00FC15BC" w:rsidRDefault="00FC15BC" w:rsidP="00B35BAD">
            <w:pPr>
              <w:pStyle w:val="TableText"/>
            </w:pPr>
            <w:r>
              <w:t>Denmark</w:t>
            </w:r>
          </w:p>
        </w:tc>
        <w:tc>
          <w:tcPr>
            <w:tcW w:w="1134" w:type="dxa"/>
          </w:tcPr>
          <w:p w14:paraId="334F7AC4" w14:textId="0256174F" w:rsidR="00FC15BC" w:rsidRDefault="00FC15BC" w:rsidP="00B35BAD">
            <w:pPr>
              <w:pStyle w:val="TableText"/>
            </w:pPr>
            <w:r>
              <w:t>69 GP practices</w:t>
            </w:r>
          </w:p>
          <w:p w14:paraId="0B257E9C" w14:textId="7CBE573C" w:rsidR="00FC15BC" w:rsidRDefault="00FC15BC" w:rsidP="00B35BAD">
            <w:pPr>
              <w:pStyle w:val="TableText"/>
            </w:pPr>
            <w:r>
              <w:t>Intervention: 34</w:t>
            </w:r>
          </w:p>
          <w:p w14:paraId="40822DA9" w14:textId="188D4717" w:rsidR="00FC15BC" w:rsidRDefault="00FC15BC" w:rsidP="00B35BAD">
            <w:pPr>
              <w:pStyle w:val="TableText"/>
            </w:pPr>
            <w:r>
              <w:t>Control: 35</w:t>
            </w:r>
          </w:p>
        </w:tc>
        <w:tc>
          <w:tcPr>
            <w:tcW w:w="1276" w:type="dxa"/>
          </w:tcPr>
          <w:p w14:paraId="5D1E8928" w14:textId="77777777" w:rsidR="00FC15BC" w:rsidRDefault="00FC15BC" w:rsidP="00B35BAD">
            <w:pPr>
              <w:pStyle w:val="TableText"/>
            </w:pPr>
            <w:r>
              <w:t>Pragmatic cluster-RCT</w:t>
            </w:r>
          </w:p>
          <w:p w14:paraId="7780986C" w14:textId="77777777" w:rsidR="00FC15BC" w:rsidRDefault="00FC15BC" w:rsidP="00B35BAD">
            <w:pPr>
              <w:pStyle w:val="TableText"/>
            </w:pPr>
          </w:p>
          <w:p w14:paraId="1B645FB9" w14:textId="5F7A366E" w:rsidR="00FC15BC" w:rsidRPr="008F202C" w:rsidRDefault="008D5AE4" w:rsidP="00B35BAD">
            <w:pPr>
              <w:pStyle w:val="TableText"/>
            </w:pPr>
            <w:r w:rsidRPr="008F202C">
              <w:t>Some concerns</w:t>
            </w:r>
            <w:r w:rsidR="005A7548">
              <w:t xml:space="preserve"> (commentary assessment)</w:t>
            </w:r>
          </w:p>
        </w:tc>
        <w:tc>
          <w:tcPr>
            <w:tcW w:w="1418" w:type="dxa"/>
          </w:tcPr>
          <w:p w14:paraId="74B8F2AD" w14:textId="7ABC1793" w:rsidR="00FC15BC" w:rsidRDefault="002B1037" w:rsidP="00B35BAD">
            <w:pPr>
              <w:pStyle w:val="TableText"/>
            </w:pPr>
            <w:r>
              <w:t xml:space="preserve">Data collected on </w:t>
            </w:r>
            <w:r w:rsidR="002D49AA">
              <w:t>adults</w:t>
            </w:r>
            <w:r w:rsidR="00FC15BC">
              <w:t xml:space="preserve"> referred from a GP to outpatient echocardiography and examined at a </w:t>
            </w:r>
            <w:r w:rsidR="00415D6C">
              <w:t xml:space="preserve">regional hospital </w:t>
            </w:r>
            <w:r w:rsidR="00FC15BC">
              <w:t>heart clinic on suspicion of HF</w:t>
            </w:r>
          </w:p>
        </w:tc>
        <w:tc>
          <w:tcPr>
            <w:tcW w:w="1275" w:type="dxa"/>
          </w:tcPr>
          <w:p w14:paraId="7642D912" w14:textId="0F9E0D49" w:rsidR="00FC15BC" w:rsidRDefault="00FC15BC" w:rsidP="00B35BAD">
            <w:pPr>
              <w:pStyle w:val="TableText"/>
            </w:pPr>
            <w:r>
              <w:t>NT-</w:t>
            </w:r>
            <w:proofErr w:type="spellStart"/>
            <w:r>
              <w:t>proBNP</w:t>
            </w:r>
            <w:proofErr w:type="spellEnd"/>
            <w:r>
              <w:t xml:space="preserve"> </w:t>
            </w:r>
            <w:proofErr w:type="spellStart"/>
            <w:r w:rsidR="00771D03">
              <w:t>testing</w:t>
            </w:r>
            <w:r w:rsidR="00160D43" w:rsidRPr="008F202C">
              <w:rPr>
                <w:vertAlign w:val="superscript"/>
              </w:rPr>
              <w:t>a</w:t>
            </w:r>
            <w:proofErr w:type="spellEnd"/>
            <w:r w:rsidR="00771D03">
              <w:t xml:space="preserve"> </w:t>
            </w:r>
            <w:r>
              <w:t>available plus educational visit</w:t>
            </w:r>
          </w:p>
        </w:tc>
        <w:tc>
          <w:tcPr>
            <w:tcW w:w="1276" w:type="dxa"/>
          </w:tcPr>
          <w:p w14:paraId="7D8E7C0D" w14:textId="3D706B02" w:rsidR="00FC15BC" w:rsidRDefault="00FC15BC" w:rsidP="00B35BAD">
            <w:pPr>
              <w:pStyle w:val="TableText"/>
            </w:pPr>
            <w:r>
              <w:t>No NT-</w:t>
            </w:r>
            <w:proofErr w:type="spellStart"/>
            <w:r>
              <w:t>proBNP</w:t>
            </w:r>
            <w:proofErr w:type="spellEnd"/>
            <w:r w:rsidR="00D82D5A">
              <w:t xml:space="preserve"> </w:t>
            </w:r>
            <w:r w:rsidR="00771D03">
              <w:t xml:space="preserve">testing </w:t>
            </w:r>
            <w:r w:rsidR="00D82D5A">
              <w:t xml:space="preserve">and no </w:t>
            </w:r>
            <w:r w:rsidR="00744818">
              <w:t>information regarding project</w:t>
            </w:r>
          </w:p>
        </w:tc>
        <w:tc>
          <w:tcPr>
            <w:tcW w:w="1288" w:type="dxa"/>
          </w:tcPr>
          <w:p w14:paraId="08DEDC07" w14:textId="14405EE8" w:rsidR="00180C84" w:rsidRPr="00180C84" w:rsidRDefault="00180C84" w:rsidP="00B35BAD">
            <w:pPr>
              <w:pStyle w:val="TableText"/>
              <w:rPr>
                <w:u w:val="single"/>
              </w:rPr>
            </w:pPr>
            <w:r>
              <w:rPr>
                <w:u w:val="single"/>
              </w:rPr>
              <w:t>Direct</w:t>
            </w:r>
          </w:p>
          <w:p w14:paraId="36EAC1A6" w14:textId="530F3130" w:rsidR="00FC15BC" w:rsidRDefault="00245355" w:rsidP="00B35BAD">
            <w:pPr>
              <w:pStyle w:val="TableText"/>
            </w:pPr>
            <w:r>
              <w:t>Number of HF diagnoses</w:t>
            </w:r>
          </w:p>
          <w:p w14:paraId="148092F9" w14:textId="3CA60DBC" w:rsidR="00180C84" w:rsidRPr="00180C84" w:rsidRDefault="00180C84" w:rsidP="00B35BAD">
            <w:pPr>
              <w:pStyle w:val="TableText"/>
              <w:rPr>
                <w:u w:val="single"/>
              </w:rPr>
            </w:pPr>
            <w:r>
              <w:rPr>
                <w:u w:val="single"/>
              </w:rPr>
              <w:t xml:space="preserve">Change in </w:t>
            </w:r>
            <w:proofErr w:type="gramStart"/>
            <w:r>
              <w:rPr>
                <w:u w:val="single"/>
              </w:rPr>
              <w:t>management</w:t>
            </w:r>
            <w:proofErr w:type="gramEnd"/>
          </w:p>
          <w:p w14:paraId="6ED0C00E" w14:textId="04859A64" w:rsidR="00245355" w:rsidRDefault="00245355" w:rsidP="00B35BAD">
            <w:pPr>
              <w:pStyle w:val="TableText"/>
            </w:pPr>
            <w:r>
              <w:t>Echocardiograms received</w:t>
            </w:r>
          </w:p>
        </w:tc>
      </w:tr>
    </w:tbl>
    <w:p w14:paraId="7A137189" w14:textId="6864965E" w:rsidR="00837EBD" w:rsidRDefault="00837EBD" w:rsidP="00837EBD">
      <w:pPr>
        <w:pStyle w:val="Tablenotes0"/>
      </w:pPr>
      <w:r w:rsidRPr="00FF725D">
        <w:rPr>
          <w:b/>
        </w:rPr>
        <w:t>Abbreviations:</w:t>
      </w:r>
      <w:r>
        <w:t xml:space="preserve"> </w:t>
      </w:r>
      <w:r w:rsidR="001606E0">
        <w:t xml:space="preserve">BNP, B-type natriuretic peptide; </w:t>
      </w:r>
      <w:r>
        <w:t xml:space="preserve">ESC, European Society of Cardiology; GP, </w:t>
      </w:r>
      <w:r w:rsidR="002A41F7">
        <w:t>g</w:t>
      </w:r>
      <w:r>
        <w:t xml:space="preserve">eneral </w:t>
      </w:r>
      <w:r w:rsidR="002A41F7">
        <w:t>p</w:t>
      </w:r>
      <w:r>
        <w:t xml:space="preserve">ractitioner; HF, heart failure; ITT, intention to treat; </w:t>
      </w:r>
      <w:r w:rsidR="001606E0">
        <w:t>NT-</w:t>
      </w:r>
      <w:proofErr w:type="spellStart"/>
      <w:r w:rsidR="001606E0">
        <w:t>proBNP</w:t>
      </w:r>
      <w:proofErr w:type="spellEnd"/>
      <w:r w:rsidR="001606E0">
        <w:t xml:space="preserve">, </w:t>
      </w:r>
      <w:r w:rsidR="00EF0838" w:rsidRPr="004A1258">
        <w:rPr>
          <w:szCs w:val="20"/>
        </w:rPr>
        <w:t>N-terminal-pro brain natriuretic peptide</w:t>
      </w:r>
      <w:r w:rsidR="001606E0">
        <w:t xml:space="preserve">; </w:t>
      </w:r>
      <w:r>
        <w:t>RCT, randomised controlled trial</w:t>
      </w:r>
    </w:p>
    <w:p w14:paraId="57E33B1E" w14:textId="040C1AC4" w:rsidR="00160D43" w:rsidRDefault="00160D43" w:rsidP="00837EBD">
      <w:pPr>
        <w:pStyle w:val="Tablenotes0"/>
      </w:pPr>
      <w:r>
        <w:t xml:space="preserve">a </w:t>
      </w:r>
      <w:r w:rsidR="002C2617">
        <w:t>Test result interpretation based on Danish Health Board Guidance and ESC guidelines (&lt;125 ng/L HF unlikely).</w:t>
      </w:r>
    </w:p>
    <w:p w14:paraId="65F08E4B" w14:textId="749E97E6" w:rsidR="008F5A20" w:rsidRDefault="00547070" w:rsidP="00547070">
      <w:pPr>
        <w:pStyle w:val="Tablenotes0"/>
      </w:pPr>
      <w:r w:rsidRPr="00FF725D">
        <w:rPr>
          <w:b/>
        </w:rPr>
        <w:t>Source:</w:t>
      </w:r>
      <w:r>
        <w:t xml:space="preserve"> </w:t>
      </w:r>
      <w:r w:rsidR="00FE17C3">
        <w:t xml:space="preserve">Adapted from </w:t>
      </w:r>
      <w:r w:rsidR="008A7725">
        <w:t>C</w:t>
      </w:r>
      <w:r w:rsidR="007D5CB8">
        <w:t>ommentary Table 5 from MSAC 1740 ADAR+ in-line commentary</w:t>
      </w:r>
    </w:p>
    <w:p w14:paraId="6AD5AAE2" w14:textId="43960386" w:rsidR="003858DF" w:rsidRDefault="00584101" w:rsidP="00201888">
      <w:proofErr w:type="spellStart"/>
      <w:r>
        <w:t>Burri</w:t>
      </w:r>
      <w:proofErr w:type="spellEnd"/>
      <w:r>
        <w:t xml:space="preserve"> </w:t>
      </w:r>
      <w:r w:rsidR="00324F08">
        <w:t>et al</w:t>
      </w:r>
      <w:r w:rsidR="00CC69FA">
        <w:t>.</w:t>
      </w:r>
      <w:r w:rsidR="002643A0">
        <w:t xml:space="preserve"> </w:t>
      </w:r>
      <w:r w:rsidR="005A727A">
        <w:t xml:space="preserve">2012 reported </w:t>
      </w:r>
      <w:r w:rsidR="00FD67E5" w:rsidRPr="00201888">
        <w:t>no difference in mortality</w:t>
      </w:r>
      <w:r w:rsidR="00A46333">
        <w:t xml:space="preserve"> between </w:t>
      </w:r>
      <w:r w:rsidR="00907C8D">
        <w:t>the</w:t>
      </w:r>
      <w:r w:rsidR="00AC6236">
        <w:t xml:space="preserve"> BNP testing</w:t>
      </w:r>
      <w:r w:rsidR="003D66F3">
        <w:t xml:space="preserve"> strategy and the </w:t>
      </w:r>
      <w:r w:rsidR="00194A1A">
        <w:t>conventional testing strategy</w:t>
      </w:r>
      <w:r w:rsidR="00AC6236">
        <w:t xml:space="preserve"> in primary care</w:t>
      </w:r>
      <w:r w:rsidR="00FD67E5" w:rsidRPr="00201888">
        <w:t xml:space="preserve"> at </w:t>
      </w:r>
      <w:r w:rsidR="008A7725">
        <w:t>3</w:t>
      </w:r>
      <w:r w:rsidR="00D061F9">
        <w:t xml:space="preserve"> or </w:t>
      </w:r>
      <w:r w:rsidR="00FD67E5" w:rsidRPr="00201888">
        <w:t xml:space="preserve">12 months </w:t>
      </w:r>
      <w:r w:rsidR="0026399B">
        <w:t>(</w:t>
      </w:r>
      <w:r w:rsidR="0026399B">
        <w:fldChar w:fldCharType="begin"/>
      </w:r>
      <w:r w:rsidR="0026399B">
        <w:instrText xml:space="preserve"> REF _Ref141816715 \h </w:instrText>
      </w:r>
      <w:r w:rsidR="0026399B">
        <w:fldChar w:fldCharType="separate"/>
      </w:r>
      <w:r w:rsidR="00472DB9">
        <w:t xml:space="preserve">Table </w:t>
      </w:r>
      <w:r w:rsidR="00472DB9">
        <w:rPr>
          <w:noProof/>
        </w:rPr>
        <w:t>7</w:t>
      </w:r>
      <w:r w:rsidR="0026399B">
        <w:fldChar w:fldCharType="end"/>
      </w:r>
      <w:r w:rsidR="0026399B">
        <w:t>)</w:t>
      </w:r>
      <w:r w:rsidR="00FD67E5" w:rsidRPr="00201888">
        <w:t xml:space="preserve">. </w:t>
      </w:r>
      <w:r w:rsidR="00662425">
        <w:t>T</w:t>
      </w:r>
      <w:r w:rsidR="00201888" w:rsidRPr="00201888">
        <w:t xml:space="preserve">he </w:t>
      </w:r>
      <w:r w:rsidR="00C36F65">
        <w:t xml:space="preserve">number of hospitalisations and the </w:t>
      </w:r>
      <w:r w:rsidR="00201888" w:rsidRPr="00201888">
        <w:t xml:space="preserve">number of days in hospital were similar in both groups at </w:t>
      </w:r>
      <w:r w:rsidR="00B8580D">
        <w:t xml:space="preserve">3 and </w:t>
      </w:r>
      <w:r w:rsidR="00201888" w:rsidRPr="00201888">
        <w:t>12</w:t>
      </w:r>
      <w:r w:rsidR="00655626">
        <w:t> </w:t>
      </w:r>
      <w:r w:rsidR="00201888" w:rsidRPr="00201888">
        <w:t>months</w:t>
      </w:r>
      <w:r w:rsidR="00C73EC4">
        <w:t xml:space="preserve"> (</w:t>
      </w:r>
      <w:r w:rsidR="00FF69E5">
        <w:fldChar w:fldCharType="begin"/>
      </w:r>
      <w:r w:rsidR="00FF69E5">
        <w:instrText xml:space="preserve"> REF _Ref141816715 \h </w:instrText>
      </w:r>
      <w:r w:rsidR="00FF69E5">
        <w:fldChar w:fldCharType="separate"/>
      </w:r>
      <w:r w:rsidR="00472DB9">
        <w:t xml:space="preserve">Table </w:t>
      </w:r>
      <w:r w:rsidR="00472DB9">
        <w:rPr>
          <w:noProof/>
        </w:rPr>
        <w:t>7</w:t>
      </w:r>
      <w:r w:rsidR="00FF69E5">
        <w:fldChar w:fldCharType="end"/>
      </w:r>
      <w:r w:rsidR="00FF69E5">
        <w:t xml:space="preserve"> and </w:t>
      </w:r>
      <w:r w:rsidR="00C73EC4">
        <w:fldChar w:fldCharType="begin"/>
      </w:r>
      <w:r w:rsidR="00C73EC4">
        <w:instrText xml:space="preserve"> REF _Ref143780020 \h </w:instrText>
      </w:r>
      <w:r w:rsidR="00C73EC4">
        <w:fldChar w:fldCharType="separate"/>
      </w:r>
      <w:r w:rsidR="00472DB9">
        <w:t xml:space="preserve">Table </w:t>
      </w:r>
      <w:r w:rsidR="00472DB9">
        <w:rPr>
          <w:noProof/>
        </w:rPr>
        <w:t>8</w:t>
      </w:r>
      <w:r w:rsidR="00C73EC4">
        <w:fldChar w:fldCharType="end"/>
      </w:r>
      <w:r w:rsidR="000D398E">
        <w:t>,</w:t>
      </w:r>
      <w:r w:rsidR="00FF69E5">
        <w:t xml:space="preserve"> respectively</w:t>
      </w:r>
      <w:r w:rsidR="00C73EC4">
        <w:t>)</w:t>
      </w:r>
      <w:r w:rsidR="00662425">
        <w:t>.</w:t>
      </w:r>
    </w:p>
    <w:p w14:paraId="07CC3FFE" w14:textId="7D862E2F" w:rsidR="00DF5DDF" w:rsidRDefault="00DF5DDF" w:rsidP="00DF5DDF">
      <w:pPr>
        <w:pStyle w:val="Caption"/>
      </w:pPr>
      <w:bookmarkStart w:id="24" w:name="_Ref141816715"/>
      <w:r>
        <w:lastRenderedPageBreak/>
        <w:t xml:space="preserve">Table </w:t>
      </w:r>
      <w:r>
        <w:fldChar w:fldCharType="begin"/>
      </w:r>
      <w:r>
        <w:instrText>SEQ Table \* ARABIC</w:instrText>
      </w:r>
      <w:r>
        <w:fldChar w:fldCharType="separate"/>
      </w:r>
      <w:r w:rsidR="00472DB9">
        <w:rPr>
          <w:noProof/>
        </w:rPr>
        <w:t>7</w:t>
      </w:r>
      <w:r>
        <w:fldChar w:fldCharType="end"/>
      </w:r>
      <w:bookmarkEnd w:id="24"/>
      <w:r w:rsidR="00AB195A">
        <w:tab/>
      </w:r>
      <w:r w:rsidR="00DB203A">
        <w:t>Mortality and h</w:t>
      </w:r>
      <w:r w:rsidR="00F75FA8" w:rsidRPr="00F75FA8">
        <w:t xml:space="preserve">ospitalisation </w:t>
      </w:r>
      <w:r w:rsidR="00F75FA8">
        <w:t>with and without BNP testing in primary care</w:t>
      </w:r>
      <w:r w:rsidR="00F75FA8" w:rsidRPr="00F75FA8">
        <w:t xml:space="preserve"> </w:t>
      </w:r>
      <w:r w:rsidR="00F75FA8">
        <w:t>(</w:t>
      </w:r>
      <w:proofErr w:type="spellStart"/>
      <w:r w:rsidR="00F75FA8" w:rsidRPr="00F75FA8">
        <w:t>Burri</w:t>
      </w:r>
      <w:proofErr w:type="spellEnd"/>
      <w:r w:rsidR="00324F08">
        <w:t xml:space="preserve"> et al</w:t>
      </w:r>
      <w:r w:rsidR="00F75FA8">
        <w:t xml:space="preserve">, </w:t>
      </w:r>
      <w:r w:rsidR="00F75FA8" w:rsidRPr="00F75FA8">
        <w:t>20</w:t>
      </w:r>
      <w:r w:rsidR="005B464F">
        <w:t>1</w:t>
      </w:r>
      <w:r w:rsidR="00F75FA8" w:rsidRPr="00F75FA8">
        <w:t>2)</w:t>
      </w:r>
    </w:p>
    <w:tbl>
      <w:tblPr>
        <w:tblStyle w:val="TableGrid"/>
        <w:tblW w:w="0" w:type="auto"/>
        <w:tblLook w:val="04A0" w:firstRow="1" w:lastRow="0" w:firstColumn="1" w:lastColumn="0" w:noHBand="0" w:noVBand="1"/>
        <w:tblCaption w:val="Mortality and hospitalisation with and without BNP testing in primary care (Burri, 2012)"/>
        <w:tblDescription w:val="The table summarises mortality and hopitalisation results of the Burri (2012) study, including absolute difference and relative risk."/>
      </w:tblPr>
      <w:tblGrid>
        <w:gridCol w:w="1696"/>
        <w:gridCol w:w="1417"/>
        <w:gridCol w:w="1418"/>
        <w:gridCol w:w="2977"/>
        <w:gridCol w:w="1508"/>
      </w:tblGrid>
      <w:tr w:rsidR="00BF1B03" w14:paraId="7170E243" w14:textId="46083198" w:rsidTr="008F202C">
        <w:trPr>
          <w:tblHeader/>
        </w:trPr>
        <w:tc>
          <w:tcPr>
            <w:tcW w:w="1696" w:type="dxa"/>
          </w:tcPr>
          <w:p w14:paraId="5EB17744" w14:textId="77777777" w:rsidR="001E6CD7" w:rsidRPr="00613272" w:rsidRDefault="001E6CD7" w:rsidP="003858DF">
            <w:pPr>
              <w:pStyle w:val="TableFigureHeading"/>
            </w:pPr>
            <w:r w:rsidRPr="00613272">
              <w:t>Outcomes</w:t>
            </w:r>
          </w:p>
        </w:tc>
        <w:tc>
          <w:tcPr>
            <w:tcW w:w="1417" w:type="dxa"/>
          </w:tcPr>
          <w:p w14:paraId="593950EE" w14:textId="0EEF7DEB" w:rsidR="001E6CD7" w:rsidRPr="00613272" w:rsidRDefault="001E6CD7" w:rsidP="003858DF">
            <w:pPr>
              <w:pStyle w:val="TableFigureHeading"/>
            </w:pPr>
            <w:r w:rsidRPr="00613272">
              <w:t>Intervention</w:t>
            </w:r>
            <w:r w:rsidR="00BF1B03">
              <w:br/>
            </w:r>
            <w:r w:rsidRPr="00613272">
              <w:t>(n=163)</w:t>
            </w:r>
          </w:p>
        </w:tc>
        <w:tc>
          <w:tcPr>
            <w:tcW w:w="1418" w:type="dxa"/>
          </w:tcPr>
          <w:p w14:paraId="06E2A384" w14:textId="14BE4B62" w:rsidR="001E6CD7" w:rsidRPr="00613272" w:rsidRDefault="001E6CD7" w:rsidP="003858DF">
            <w:pPr>
              <w:pStyle w:val="TableFigureHeading"/>
            </w:pPr>
            <w:r w:rsidRPr="00613272">
              <w:t>Comparator</w:t>
            </w:r>
            <w:r w:rsidR="00BF1B03">
              <w:br/>
            </w:r>
            <w:r w:rsidRPr="00613272">
              <w:t>(n=160)</w:t>
            </w:r>
          </w:p>
        </w:tc>
        <w:tc>
          <w:tcPr>
            <w:tcW w:w="2977" w:type="dxa"/>
          </w:tcPr>
          <w:p w14:paraId="3FA7A564" w14:textId="10B14BC3" w:rsidR="001E6CD7" w:rsidRPr="00613272" w:rsidRDefault="001E6CD7" w:rsidP="003858DF">
            <w:pPr>
              <w:pStyle w:val="TableFigureHeading"/>
            </w:pPr>
            <w:r w:rsidRPr="00613272">
              <w:t>Absolute difference</w:t>
            </w:r>
            <w:r w:rsidR="00BF1B03">
              <w:br/>
              <w:t>(95% CI)</w:t>
            </w:r>
          </w:p>
        </w:tc>
        <w:tc>
          <w:tcPr>
            <w:tcW w:w="1508" w:type="dxa"/>
          </w:tcPr>
          <w:p w14:paraId="1D80CE23" w14:textId="41FDD99C" w:rsidR="001E6CD7" w:rsidRPr="00613272" w:rsidRDefault="001E6CD7" w:rsidP="003858DF">
            <w:pPr>
              <w:pStyle w:val="TableFigureHeading"/>
            </w:pPr>
            <w:r w:rsidRPr="00613272">
              <w:t xml:space="preserve">Relative </w:t>
            </w:r>
            <w:r w:rsidR="00E52FC9">
              <w:t>risk</w:t>
            </w:r>
            <w:r w:rsidR="00E52FC9">
              <w:br/>
            </w:r>
            <w:r>
              <w:t>(95% CI)</w:t>
            </w:r>
          </w:p>
        </w:tc>
      </w:tr>
      <w:tr w:rsidR="00BF1B03" w14:paraId="1BDF6AB6" w14:textId="77777777" w:rsidTr="008F202C">
        <w:tc>
          <w:tcPr>
            <w:tcW w:w="1696" w:type="dxa"/>
          </w:tcPr>
          <w:p w14:paraId="4E3528E5" w14:textId="6C9297FA" w:rsidR="001E6CD7" w:rsidRPr="00613272" w:rsidRDefault="001E6CD7" w:rsidP="008F202C">
            <w:pPr>
              <w:pStyle w:val="TableText"/>
            </w:pPr>
            <w:r>
              <w:t xml:space="preserve">Mortality </w:t>
            </w:r>
            <w:r w:rsidR="00BF1B03">
              <w:br/>
            </w:r>
            <w:r>
              <w:t>(after 3 months)</w:t>
            </w:r>
          </w:p>
        </w:tc>
        <w:tc>
          <w:tcPr>
            <w:tcW w:w="1417" w:type="dxa"/>
          </w:tcPr>
          <w:p w14:paraId="686EB607" w14:textId="09CF64EC" w:rsidR="001E6CD7" w:rsidRPr="00613272" w:rsidRDefault="001E6CD7" w:rsidP="008F202C">
            <w:pPr>
              <w:pStyle w:val="TableText"/>
            </w:pPr>
            <w:r>
              <w:t>4 (</w:t>
            </w:r>
            <w:r w:rsidR="0003299E">
              <w:t>2.5%</w:t>
            </w:r>
            <w:r>
              <w:t>)</w:t>
            </w:r>
          </w:p>
        </w:tc>
        <w:tc>
          <w:tcPr>
            <w:tcW w:w="1418" w:type="dxa"/>
          </w:tcPr>
          <w:p w14:paraId="7A4A0667" w14:textId="0CDB51C9" w:rsidR="001E6CD7" w:rsidRPr="00613272" w:rsidRDefault="001E6CD7" w:rsidP="008F202C">
            <w:pPr>
              <w:pStyle w:val="TableText"/>
            </w:pPr>
            <w:r>
              <w:t>3 (</w:t>
            </w:r>
            <w:r w:rsidR="00E178F7">
              <w:t>1.9%</w:t>
            </w:r>
            <w:r>
              <w:t>)</w:t>
            </w:r>
          </w:p>
        </w:tc>
        <w:tc>
          <w:tcPr>
            <w:tcW w:w="2977" w:type="dxa"/>
          </w:tcPr>
          <w:p w14:paraId="04E491C9" w14:textId="54DD4497" w:rsidR="001E6CD7" w:rsidRPr="00613272" w:rsidRDefault="001E6CD7" w:rsidP="008F202C">
            <w:pPr>
              <w:pStyle w:val="TableText"/>
            </w:pPr>
            <w:r w:rsidRPr="00B91165">
              <w:t>6 more</w:t>
            </w:r>
            <w:r>
              <w:t xml:space="preserve"> deaths</w:t>
            </w:r>
            <w:r w:rsidRPr="00B91165">
              <w:t xml:space="preserve"> per 1000 </w:t>
            </w:r>
            <w:r w:rsidR="00BF1B03">
              <w:br/>
            </w:r>
            <w:r w:rsidRPr="00500AFA">
              <w:t>(13 fewer to 89 more)</w:t>
            </w:r>
          </w:p>
        </w:tc>
        <w:tc>
          <w:tcPr>
            <w:tcW w:w="1508" w:type="dxa"/>
          </w:tcPr>
          <w:p w14:paraId="4FB982F1" w14:textId="020CFEDF" w:rsidR="001E6CD7" w:rsidRPr="00613272" w:rsidRDefault="001E6CD7" w:rsidP="008F202C">
            <w:pPr>
              <w:pStyle w:val="TableText"/>
            </w:pPr>
            <w:r>
              <w:t xml:space="preserve">RR 1.31 </w:t>
            </w:r>
            <w:r w:rsidR="00E52FC9">
              <w:br/>
            </w:r>
            <w:r>
              <w:t>(0.30 to 5.76)</w:t>
            </w:r>
          </w:p>
        </w:tc>
      </w:tr>
      <w:tr w:rsidR="00BF1B03" w14:paraId="4D6D2964" w14:textId="7AD4BD8A" w:rsidTr="00BF1B03">
        <w:tc>
          <w:tcPr>
            <w:tcW w:w="1696" w:type="dxa"/>
          </w:tcPr>
          <w:p w14:paraId="12A52478" w14:textId="75F874B3" w:rsidR="001E6CD7" w:rsidRDefault="001E6CD7" w:rsidP="00FF2D47">
            <w:pPr>
              <w:pStyle w:val="TableText"/>
            </w:pPr>
            <w:r>
              <w:t xml:space="preserve">Mortality </w:t>
            </w:r>
            <w:r w:rsidR="00BF1B03">
              <w:br/>
            </w:r>
            <w:r>
              <w:t>(after 12 months)</w:t>
            </w:r>
          </w:p>
        </w:tc>
        <w:tc>
          <w:tcPr>
            <w:tcW w:w="1417" w:type="dxa"/>
          </w:tcPr>
          <w:p w14:paraId="6474DA72" w14:textId="57A1EF23" w:rsidR="001E6CD7" w:rsidRDefault="001E6CD7" w:rsidP="00FF2D47">
            <w:pPr>
              <w:pStyle w:val="TableText"/>
            </w:pPr>
            <w:r w:rsidRPr="00DB2D94">
              <w:t>9 (5.5%)</w:t>
            </w:r>
          </w:p>
        </w:tc>
        <w:tc>
          <w:tcPr>
            <w:tcW w:w="1418" w:type="dxa"/>
          </w:tcPr>
          <w:p w14:paraId="71ED32DC" w14:textId="7A5FF225" w:rsidR="001E6CD7" w:rsidRDefault="001E6CD7" w:rsidP="00FF2D47">
            <w:pPr>
              <w:pStyle w:val="TableText"/>
            </w:pPr>
            <w:r w:rsidRPr="001225A1">
              <w:t>11 (6.9%)</w:t>
            </w:r>
          </w:p>
        </w:tc>
        <w:tc>
          <w:tcPr>
            <w:tcW w:w="2977" w:type="dxa"/>
          </w:tcPr>
          <w:p w14:paraId="33C50DE5" w14:textId="4DD96CE0" w:rsidR="001E6CD7" w:rsidRDefault="001E6CD7" w:rsidP="00FF2D47">
            <w:pPr>
              <w:pStyle w:val="TableText"/>
            </w:pPr>
            <w:r>
              <w:t xml:space="preserve">14 fewer deaths per 1000 </w:t>
            </w:r>
            <w:r>
              <w:br/>
              <w:t>(45 fewer to 61 more)</w:t>
            </w:r>
          </w:p>
        </w:tc>
        <w:tc>
          <w:tcPr>
            <w:tcW w:w="1508" w:type="dxa"/>
          </w:tcPr>
          <w:p w14:paraId="29B2DA4B" w14:textId="10E1D4F4" w:rsidR="001E6CD7" w:rsidRDefault="001E6CD7" w:rsidP="00FF2D47">
            <w:pPr>
              <w:pStyle w:val="TableText"/>
            </w:pPr>
            <w:r>
              <w:t xml:space="preserve">RR 0.80 </w:t>
            </w:r>
            <w:r>
              <w:br/>
              <w:t>(0.34 to 1.89)</w:t>
            </w:r>
          </w:p>
        </w:tc>
      </w:tr>
      <w:tr w:rsidR="00BF1B03" w14:paraId="108D6C22" w14:textId="77777777" w:rsidTr="008F202C">
        <w:tc>
          <w:tcPr>
            <w:tcW w:w="1696" w:type="dxa"/>
          </w:tcPr>
          <w:p w14:paraId="14F7615B" w14:textId="0E872D4D" w:rsidR="001E6CD7" w:rsidRDefault="001E6CD7" w:rsidP="00FF2D47">
            <w:pPr>
              <w:pStyle w:val="TableText"/>
            </w:pPr>
            <w:r>
              <w:t xml:space="preserve">Hospitalisations </w:t>
            </w:r>
            <w:r w:rsidR="00BF1B03">
              <w:br/>
            </w:r>
            <w:r>
              <w:t>(3-months)</w:t>
            </w:r>
          </w:p>
        </w:tc>
        <w:tc>
          <w:tcPr>
            <w:tcW w:w="1417" w:type="dxa"/>
          </w:tcPr>
          <w:p w14:paraId="715E9807" w14:textId="2932BBE5" w:rsidR="001E6CD7" w:rsidRPr="00DB2D94" w:rsidRDefault="001E6CD7" w:rsidP="00FF2D47">
            <w:pPr>
              <w:pStyle w:val="TableText"/>
            </w:pPr>
            <w:r w:rsidRPr="00C56C12">
              <w:t>28 (17</w:t>
            </w:r>
            <w:r w:rsidR="00ED6983">
              <w:t>.2%</w:t>
            </w:r>
            <w:r w:rsidRPr="00C56C12">
              <w:t>)</w:t>
            </w:r>
          </w:p>
        </w:tc>
        <w:tc>
          <w:tcPr>
            <w:tcW w:w="1418" w:type="dxa"/>
          </w:tcPr>
          <w:p w14:paraId="54FB38AE" w14:textId="1A5F16F6" w:rsidR="001E6CD7" w:rsidRPr="001225A1" w:rsidRDefault="001E6CD7" w:rsidP="00FF2D47">
            <w:pPr>
              <w:pStyle w:val="TableText"/>
            </w:pPr>
            <w:r>
              <w:t>20 (1</w:t>
            </w:r>
            <w:r w:rsidR="00E308B8">
              <w:t>2.5%</w:t>
            </w:r>
            <w:r>
              <w:t>)</w:t>
            </w:r>
          </w:p>
        </w:tc>
        <w:tc>
          <w:tcPr>
            <w:tcW w:w="2977" w:type="dxa"/>
          </w:tcPr>
          <w:p w14:paraId="44BA5A08" w14:textId="60AF4919" w:rsidR="001E6CD7" w:rsidRDefault="001E6CD7" w:rsidP="00BF1B03">
            <w:pPr>
              <w:pStyle w:val="TableText"/>
            </w:pPr>
            <w:r>
              <w:t xml:space="preserve">46 more hospitalisations per 1000 </w:t>
            </w:r>
            <w:r w:rsidR="00BF1B03">
              <w:br/>
            </w:r>
            <w:r>
              <w:t>(24 fewer to 168 more)</w:t>
            </w:r>
          </w:p>
        </w:tc>
        <w:tc>
          <w:tcPr>
            <w:tcW w:w="1508" w:type="dxa"/>
          </w:tcPr>
          <w:p w14:paraId="3C1CB12F" w14:textId="7FCFE9FE" w:rsidR="001E6CD7" w:rsidRDefault="001E6CD7" w:rsidP="00E52FC9">
            <w:pPr>
              <w:pStyle w:val="TableText"/>
            </w:pPr>
            <w:r>
              <w:t xml:space="preserve">RR 1.37 </w:t>
            </w:r>
            <w:r w:rsidR="00E52FC9">
              <w:br/>
            </w:r>
            <w:r>
              <w:t>(0.81 to 2.34)</w:t>
            </w:r>
          </w:p>
        </w:tc>
      </w:tr>
      <w:tr w:rsidR="00BF1B03" w14:paraId="2E9E2A77" w14:textId="33EF6825" w:rsidTr="00BF1B03">
        <w:tc>
          <w:tcPr>
            <w:tcW w:w="1696" w:type="dxa"/>
          </w:tcPr>
          <w:p w14:paraId="6FD9B95E" w14:textId="13E7B008" w:rsidR="001E6CD7" w:rsidRDefault="001E6CD7" w:rsidP="003858DF">
            <w:pPr>
              <w:pStyle w:val="TableText"/>
            </w:pPr>
            <w:r>
              <w:t xml:space="preserve">Hospitalisations </w:t>
            </w:r>
            <w:r w:rsidR="00BF1B03">
              <w:br/>
            </w:r>
            <w:r>
              <w:t>(12-months)</w:t>
            </w:r>
          </w:p>
        </w:tc>
        <w:tc>
          <w:tcPr>
            <w:tcW w:w="1417" w:type="dxa"/>
          </w:tcPr>
          <w:p w14:paraId="0EA93566" w14:textId="6D07164D" w:rsidR="001E6CD7" w:rsidRDefault="001E6CD7" w:rsidP="003858DF">
            <w:pPr>
              <w:pStyle w:val="TableText"/>
            </w:pPr>
            <w:r w:rsidRPr="00CF6FF3">
              <w:t>50 (30.7%)</w:t>
            </w:r>
          </w:p>
        </w:tc>
        <w:tc>
          <w:tcPr>
            <w:tcW w:w="1418" w:type="dxa"/>
          </w:tcPr>
          <w:p w14:paraId="0C72536A" w14:textId="43EF79F0" w:rsidR="001E6CD7" w:rsidRDefault="001E6CD7" w:rsidP="003858DF">
            <w:pPr>
              <w:pStyle w:val="TableText"/>
            </w:pPr>
            <w:r w:rsidRPr="0017639C">
              <w:t>42 (26.3%)</w:t>
            </w:r>
          </w:p>
        </w:tc>
        <w:tc>
          <w:tcPr>
            <w:tcW w:w="2977" w:type="dxa"/>
          </w:tcPr>
          <w:p w14:paraId="18F6B651" w14:textId="5525D0AA" w:rsidR="001E6CD7" w:rsidRDefault="001E6CD7" w:rsidP="003858DF">
            <w:pPr>
              <w:pStyle w:val="TableText"/>
            </w:pPr>
            <w:r>
              <w:t xml:space="preserve">45 more hospitalisations per 1000 </w:t>
            </w:r>
            <w:r>
              <w:br/>
              <w:t>(45 fewer to 171 more)</w:t>
            </w:r>
          </w:p>
        </w:tc>
        <w:tc>
          <w:tcPr>
            <w:tcW w:w="1508" w:type="dxa"/>
          </w:tcPr>
          <w:p w14:paraId="4BBD0CBA" w14:textId="77777777" w:rsidR="001E6CD7" w:rsidRDefault="001E6CD7" w:rsidP="003858DF">
            <w:pPr>
              <w:pStyle w:val="TableText"/>
            </w:pPr>
            <w:r>
              <w:t xml:space="preserve">RR 1.17 </w:t>
            </w:r>
            <w:r>
              <w:br/>
              <w:t>(0.83 to 1.65)</w:t>
            </w:r>
          </w:p>
        </w:tc>
      </w:tr>
    </w:tbl>
    <w:p w14:paraId="5E0E1C02" w14:textId="20F7EFD9" w:rsidR="006F45BD" w:rsidRDefault="006F45BD" w:rsidP="006F45BD">
      <w:pPr>
        <w:pStyle w:val="Tablenotes0"/>
      </w:pPr>
      <w:r w:rsidRPr="00FF725D">
        <w:rPr>
          <w:b/>
        </w:rPr>
        <w:t>Abbreviations:</w:t>
      </w:r>
      <w:r>
        <w:t xml:space="preserve"> CI, confidence interval; n, number of patients; RR</w:t>
      </w:r>
      <w:r w:rsidR="002F3512">
        <w:t>,</w:t>
      </w:r>
      <w:r>
        <w:t xml:space="preserve"> relative risk.</w:t>
      </w:r>
    </w:p>
    <w:p w14:paraId="660165F6" w14:textId="66C00BD4" w:rsidR="003858DF" w:rsidRDefault="00F77A7C" w:rsidP="00F77A7C">
      <w:pPr>
        <w:pStyle w:val="Tablenotes0"/>
      </w:pPr>
      <w:r w:rsidRPr="00FF725D">
        <w:rPr>
          <w:b/>
        </w:rPr>
        <w:t>Source:</w:t>
      </w:r>
      <w:r>
        <w:t xml:space="preserve"> </w:t>
      </w:r>
      <w:r w:rsidR="00AF7C9F">
        <w:t>A</w:t>
      </w:r>
      <w:r>
        <w:t xml:space="preserve">dapted from Commentary Table 6 </w:t>
      </w:r>
      <w:r w:rsidR="005C24BF">
        <w:t>from MSAC 1740 ADAR+ in-line commentary</w:t>
      </w:r>
    </w:p>
    <w:p w14:paraId="661DE9D6" w14:textId="4D6A0DF3" w:rsidR="00E86026" w:rsidRDefault="00E86026" w:rsidP="008F202C">
      <w:pPr>
        <w:pStyle w:val="Caption"/>
      </w:pPr>
      <w:bookmarkStart w:id="25" w:name="_Ref143780020"/>
      <w:r>
        <w:t xml:space="preserve">Table </w:t>
      </w:r>
      <w:r>
        <w:fldChar w:fldCharType="begin"/>
      </w:r>
      <w:r>
        <w:instrText>SEQ Table \* ARABIC</w:instrText>
      </w:r>
      <w:r>
        <w:fldChar w:fldCharType="separate"/>
      </w:r>
      <w:r w:rsidR="00472DB9">
        <w:rPr>
          <w:noProof/>
        </w:rPr>
        <w:t>8</w:t>
      </w:r>
      <w:r>
        <w:fldChar w:fldCharType="end"/>
      </w:r>
      <w:bookmarkEnd w:id="25"/>
      <w:r>
        <w:tab/>
        <w:t xml:space="preserve">Days in hospital </w:t>
      </w:r>
      <w:r w:rsidR="00DB203A">
        <w:t>with and without BNP testing in primary care (</w:t>
      </w:r>
      <w:proofErr w:type="spellStart"/>
      <w:r>
        <w:t>Burri</w:t>
      </w:r>
      <w:proofErr w:type="spellEnd"/>
      <w:r w:rsidR="00324F08">
        <w:t xml:space="preserve"> et al</w:t>
      </w:r>
      <w:r w:rsidR="00B014CD">
        <w:t>,</w:t>
      </w:r>
      <w:r>
        <w:t xml:space="preserve"> 20</w:t>
      </w:r>
      <w:r w:rsidR="00B014CD">
        <w:t>12</w:t>
      </w:r>
      <w:r>
        <w:t>)</w:t>
      </w:r>
    </w:p>
    <w:tbl>
      <w:tblPr>
        <w:tblStyle w:val="TableGrid"/>
        <w:tblW w:w="0" w:type="auto"/>
        <w:tblLook w:val="04A0" w:firstRow="1" w:lastRow="0" w:firstColumn="1" w:lastColumn="0" w:noHBand="0" w:noVBand="1"/>
        <w:tblCaption w:val="Days in hospital with and without BNP testing in primary care (Burri, 2012)"/>
        <w:tblDescription w:val="The table summarises the days in hospital results of the Burri (2012) study including median, interquartile range and p-value."/>
      </w:tblPr>
      <w:tblGrid>
        <w:gridCol w:w="3539"/>
        <w:gridCol w:w="2126"/>
        <w:gridCol w:w="2127"/>
        <w:gridCol w:w="1224"/>
      </w:tblGrid>
      <w:tr w:rsidR="008655DC" w14:paraId="5786529A" w14:textId="77777777" w:rsidTr="008F202C">
        <w:trPr>
          <w:tblHeader/>
        </w:trPr>
        <w:tc>
          <w:tcPr>
            <w:tcW w:w="3539" w:type="dxa"/>
          </w:tcPr>
          <w:p w14:paraId="446EB42C" w14:textId="2028D0D2" w:rsidR="008655DC" w:rsidRDefault="008655DC" w:rsidP="008F202C">
            <w:pPr>
              <w:pStyle w:val="TableHeading0"/>
            </w:pPr>
            <w:r w:rsidRPr="008C062A">
              <w:t>Outcomes</w:t>
            </w:r>
          </w:p>
        </w:tc>
        <w:tc>
          <w:tcPr>
            <w:tcW w:w="2126" w:type="dxa"/>
          </w:tcPr>
          <w:p w14:paraId="6602E841" w14:textId="58DFCD72" w:rsidR="008655DC" w:rsidRDefault="008655DC" w:rsidP="008F202C">
            <w:pPr>
              <w:pStyle w:val="TableHeading0"/>
            </w:pPr>
            <w:r w:rsidRPr="008C062A">
              <w:t>Intervention (n=163)</w:t>
            </w:r>
          </w:p>
        </w:tc>
        <w:tc>
          <w:tcPr>
            <w:tcW w:w="2127" w:type="dxa"/>
          </w:tcPr>
          <w:p w14:paraId="1894F183" w14:textId="1CD9815B" w:rsidR="008655DC" w:rsidRDefault="008655DC" w:rsidP="008F202C">
            <w:pPr>
              <w:pStyle w:val="TableHeading0"/>
            </w:pPr>
            <w:r w:rsidRPr="008C062A">
              <w:t>Comparator (n=160)</w:t>
            </w:r>
          </w:p>
        </w:tc>
        <w:tc>
          <w:tcPr>
            <w:tcW w:w="1224" w:type="dxa"/>
          </w:tcPr>
          <w:p w14:paraId="2501F7A6" w14:textId="5F444BF6" w:rsidR="008655DC" w:rsidRDefault="008655DC" w:rsidP="008F202C">
            <w:pPr>
              <w:pStyle w:val="TableHeading0"/>
            </w:pPr>
            <w:r w:rsidRPr="008C062A">
              <w:t>p-value</w:t>
            </w:r>
          </w:p>
        </w:tc>
      </w:tr>
      <w:tr w:rsidR="000E3DFA" w14:paraId="46DD188A" w14:textId="77777777" w:rsidTr="008F202C">
        <w:tc>
          <w:tcPr>
            <w:tcW w:w="3539" w:type="dxa"/>
          </w:tcPr>
          <w:p w14:paraId="571BB9BB" w14:textId="255F0A87" w:rsidR="000E3DFA" w:rsidRDefault="000E3DFA" w:rsidP="008F202C">
            <w:pPr>
              <w:pStyle w:val="TableText"/>
            </w:pPr>
            <w:r w:rsidRPr="00E42165">
              <w:t>Days in hospital (3</w:t>
            </w:r>
            <w:r w:rsidR="00B014CD">
              <w:t xml:space="preserve"> </w:t>
            </w:r>
            <w:r w:rsidRPr="00E42165">
              <w:t>months), median (IQR)</w:t>
            </w:r>
          </w:p>
        </w:tc>
        <w:tc>
          <w:tcPr>
            <w:tcW w:w="2126" w:type="dxa"/>
          </w:tcPr>
          <w:p w14:paraId="5DB12854" w14:textId="39132645" w:rsidR="000E3DFA" w:rsidRDefault="000E3DFA" w:rsidP="008F202C">
            <w:pPr>
              <w:pStyle w:val="TableText"/>
            </w:pPr>
            <w:r w:rsidRPr="00E42165">
              <w:t>12.1 (5–18)</w:t>
            </w:r>
          </w:p>
        </w:tc>
        <w:tc>
          <w:tcPr>
            <w:tcW w:w="2127" w:type="dxa"/>
          </w:tcPr>
          <w:p w14:paraId="7064FFD8" w14:textId="2EB002CE" w:rsidR="000E3DFA" w:rsidRDefault="000E3DFA" w:rsidP="008F202C">
            <w:pPr>
              <w:pStyle w:val="TableText"/>
            </w:pPr>
            <w:r w:rsidRPr="00E42165">
              <w:t>9.5 (4–14)</w:t>
            </w:r>
          </w:p>
        </w:tc>
        <w:tc>
          <w:tcPr>
            <w:tcW w:w="1224" w:type="dxa"/>
          </w:tcPr>
          <w:p w14:paraId="6DB7FFCC" w14:textId="3168553B" w:rsidR="000E3DFA" w:rsidRDefault="000E3DFA" w:rsidP="008F202C">
            <w:pPr>
              <w:pStyle w:val="TableText"/>
            </w:pPr>
            <w:r w:rsidRPr="00E42165">
              <w:t>0.31</w:t>
            </w:r>
          </w:p>
        </w:tc>
      </w:tr>
      <w:tr w:rsidR="000E3DFA" w14:paraId="64E98B5C" w14:textId="77777777" w:rsidTr="008F202C">
        <w:tc>
          <w:tcPr>
            <w:tcW w:w="3539" w:type="dxa"/>
          </w:tcPr>
          <w:p w14:paraId="2B034179" w14:textId="61550B87" w:rsidR="000E3DFA" w:rsidRDefault="000E3DFA" w:rsidP="008F202C">
            <w:pPr>
              <w:pStyle w:val="TableText"/>
            </w:pPr>
            <w:r w:rsidRPr="00E42165">
              <w:t>Days in hospital (12</w:t>
            </w:r>
            <w:r w:rsidR="00B014CD">
              <w:t xml:space="preserve"> </w:t>
            </w:r>
            <w:r w:rsidRPr="00E42165">
              <w:t>months), median (IQR)</w:t>
            </w:r>
          </w:p>
        </w:tc>
        <w:tc>
          <w:tcPr>
            <w:tcW w:w="2126" w:type="dxa"/>
          </w:tcPr>
          <w:p w14:paraId="36F3828B" w14:textId="637AC0AC" w:rsidR="000E3DFA" w:rsidRDefault="000E3DFA" w:rsidP="008F202C">
            <w:pPr>
              <w:pStyle w:val="TableText"/>
            </w:pPr>
            <w:r w:rsidRPr="00E42165">
              <w:t>14.3 (4–20)</w:t>
            </w:r>
          </w:p>
        </w:tc>
        <w:tc>
          <w:tcPr>
            <w:tcW w:w="2127" w:type="dxa"/>
          </w:tcPr>
          <w:p w14:paraId="36E3E231" w14:textId="773E814A" w:rsidR="000E3DFA" w:rsidRDefault="000E3DFA" w:rsidP="008F202C">
            <w:pPr>
              <w:pStyle w:val="TableText"/>
            </w:pPr>
            <w:r w:rsidRPr="00E42165">
              <w:t>14.9 (4–16)</w:t>
            </w:r>
          </w:p>
        </w:tc>
        <w:tc>
          <w:tcPr>
            <w:tcW w:w="1224" w:type="dxa"/>
          </w:tcPr>
          <w:p w14:paraId="5F694784" w14:textId="33F2E8EC" w:rsidR="000E3DFA" w:rsidRDefault="000E3DFA" w:rsidP="008F202C">
            <w:pPr>
              <w:pStyle w:val="TableText"/>
            </w:pPr>
            <w:r w:rsidRPr="00E42165">
              <w:t>0.76</w:t>
            </w:r>
          </w:p>
        </w:tc>
      </w:tr>
    </w:tbl>
    <w:p w14:paraId="7A09AAB6" w14:textId="77777777" w:rsidR="006F45BD" w:rsidRPr="00E86026" w:rsidRDefault="006F45BD" w:rsidP="006F45BD">
      <w:pPr>
        <w:pStyle w:val="Tablenotes0"/>
      </w:pPr>
      <w:r>
        <w:t>Abbreviations: IQR, interquartile range.</w:t>
      </w:r>
    </w:p>
    <w:p w14:paraId="48E53653" w14:textId="772C46B9" w:rsidR="00B8580D" w:rsidRDefault="00E86026" w:rsidP="00E86026">
      <w:pPr>
        <w:pStyle w:val="Tablenotes0"/>
      </w:pPr>
      <w:r>
        <w:t xml:space="preserve">Source: </w:t>
      </w:r>
      <w:r w:rsidR="0031430A">
        <w:t>Commentary Table 7 from MSAC 1740 ADAR+ in-line commentary</w:t>
      </w:r>
    </w:p>
    <w:p w14:paraId="4B3792F9" w14:textId="1B25416F" w:rsidR="00662425" w:rsidRDefault="007277CD" w:rsidP="007277CD">
      <w:r>
        <w:t xml:space="preserve">There was </w:t>
      </w:r>
      <w:r w:rsidRPr="007277CD">
        <w:t xml:space="preserve">no difference between </w:t>
      </w:r>
      <w:r w:rsidR="003D6EF0">
        <w:t xml:space="preserve">the </w:t>
      </w:r>
      <w:r w:rsidRPr="007277CD">
        <w:t xml:space="preserve">groups in the number per 1000 of HF patients diagnosed among those referred </w:t>
      </w:r>
      <w:r w:rsidR="00D90288">
        <w:t xml:space="preserve">to echocardiography </w:t>
      </w:r>
      <w:r w:rsidRPr="007277CD">
        <w:t>from intervention GPs</w:t>
      </w:r>
      <w:r w:rsidR="00F73FBD">
        <w:t xml:space="preserve"> with access to </w:t>
      </w:r>
      <w:r w:rsidR="00EA1779">
        <w:t>NT-</w:t>
      </w:r>
      <w:proofErr w:type="spellStart"/>
      <w:r w:rsidR="00EA1779">
        <w:t>pro</w:t>
      </w:r>
      <w:r w:rsidR="00F73FBD">
        <w:t>BNP</w:t>
      </w:r>
      <w:proofErr w:type="spellEnd"/>
      <w:r w:rsidR="00F73FBD">
        <w:t xml:space="preserve"> testing compared to control GPs without access</w:t>
      </w:r>
      <w:r w:rsidR="00146410">
        <w:t xml:space="preserve"> </w:t>
      </w:r>
      <w:r w:rsidR="007F6C72">
        <w:t>(</w:t>
      </w:r>
      <w:r w:rsidR="007F6C72">
        <w:fldChar w:fldCharType="begin"/>
      </w:r>
      <w:r w:rsidR="007F6C72">
        <w:instrText xml:space="preserve"> REF _Ref143780508 \h </w:instrText>
      </w:r>
      <w:r w:rsidR="007F6C72">
        <w:fldChar w:fldCharType="separate"/>
      </w:r>
      <w:r w:rsidR="00472DB9">
        <w:t xml:space="preserve">Table </w:t>
      </w:r>
      <w:r w:rsidR="00472DB9">
        <w:rPr>
          <w:noProof/>
        </w:rPr>
        <w:t>9</w:t>
      </w:r>
      <w:r w:rsidR="007F6C72">
        <w:fldChar w:fldCharType="end"/>
      </w:r>
      <w:r w:rsidR="007F6C72">
        <w:t>)</w:t>
      </w:r>
      <w:r w:rsidR="00EF6ADB">
        <w:t xml:space="preserve"> (</w:t>
      </w:r>
      <w:proofErr w:type="spellStart"/>
      <w:r w:rsidR="00620255" w:rsidRPr="009B676D">
        <w:t>Najbjerg</w:t>
      </w:r>
      <w:proofErr w:type="spellEnd"/>
      <w:r w:rsidR="00CC69FA">
        <w:t xml:space="preserve"> et al</w:t>
      </w:r>
      <w:r w:rsidR="00620255">
        <w:t>, 2019</w:t>
      </w:r>
      <w:r w:rsidRPr="007277CD">
        <w:t>).</w:t>
      </w:r>
    </w:p>
    <w:p w14:paraId="6869DE9F" w14:textId="21D93B30" w:rsidR="00E317D6" w:rsidRDefault="00E317D6" w:rsidP="008F202C">
      <w:pPr>
        <w:pStyle w:val="Caption"/>
      </w:pPr>
      <w:bookmarkStart w:id="26" w:name="_Ref143780508"/>
      <w:r>
        <w:t xml:space="preserve">Table </w:t>
      </w:r>
      <w:r>
        <w:fldChar w:fldCharType="begin"/>
      </w:r>
      <w:r>
        <w:instrText>SEQ Table \* ARABIC</w:instrText>
      </w:r>
      <w:r>
        <w:fldChar w:fldCharType="separate"/>
      </w:r>
      <w:r w:rsidR="00472DB9">
        <w:rPr>
          <w:noProof/>
        </w:rPr>
        <w:t>9</w:t>
      </w:r>
      <w:r>
        <w:fldChar w:fldCharType="end"/>
      </w:r>
      <w:bookmarkEnd w:id="26"/>
      <w:r w:rsidR="00DC03FB">
        <w:tab/>
        <w:t xml:space="preserve">Patients diagnosed with heart failure from </w:t>
      </w:r>
      <w:proofErr w:type="spellStart"/>
      <w:r w:rsidR="00DC03FB">
        <w:t>Najbjerg</w:t>
      </w:r>
      <w:proofErr w:type="spellEnd"/>
      <w:r w:rsidR="00DC03FB">
        <w:t xml:space="preserve"> (2019)</w:t>
      </w:r>
    </w:p>
    <w:tbl>
      <w:tblPr>
        <w:tblStyle w:val="TableGrid"/>
        <w:tblW w:w="0" w:type="auto"/>
        <w:tblLook w:val="04A0" w:firstRow="1" w:lastRow="0" w:firstColumn="1" w:lastColumn="0" w:noHBand="0" w:noVBand="1"/>
        <w:tblCaption w:val="Patients diagnosed with heart failure from Najbjerg (2019)"/>
        <w:tblDescription w:val="The table summarises the number of patients diagnosed with heart failure in the Najbjerg (2019) study in each study arm."/>
      </w:tblPr>
      <w:tblGrid>
        <w:gridCol w:w="3681"/>
        <w:gridCol w:w="2055"/>
        <w:gridCol w:w="2056"/>
        <w:gridCol w:w="1224"/>
      </w:tblGrid>
      <w:tr w:rsidR="00CE5851" w14:paraId="4F811F46" w14:textId="77777777" w:rsidTr="008F202C">
        <w:trPr>
          <w:tblHeader/>
        </w:trPr>
        <w:tc>
          <w:tcPr>
            <w:tcW w:w="3681" w:type="dxa"/>
          </w:tcPr>
          <w:p w14:paraId="2F96883A" w14:textId="6C7E4284" w:rsidR="00CE5851" w:rsidRDefault="00CE5851" w:rsidP="008F202C">
            <w:pPr>
              <w:pStyle w:val="TableHeading0"/>
            </w:pPr>
            <w:r w:rsidRPr="00432AEB">
              <w:t>Outcome</w:t>
            </w:r>
          </w:p>
        </w:tc>
        <w:tc>
          <w:tcPr>
            <w:tcW w:w="2055" w:type="dxa"/>
          </w:tcPr>
          <w:p w14:paraId="3CF4E606" w14:textId="0E04C021" w:rsidR="00CE5851" w:rsidRDefault="00CE5851" w:rsidP="008F202C">
            <w:pPr>
              <w:pStyle w:val="TableHeading0"/>
            </w:pPr>
            <w:r w:rsidRPr="00432AEB">
              <w:t>Intervention</w:t>
            </w:r>
            <w:r>
              <w:t xml:space="preserve"> </w:t>
            </w:r>
            <w:r w:rsidR="006A1328">
              <w:br/>
            </w:r>
            <w:r>
              <w:t>(35 GP practices)</w:t>
            </w:r>
          </w:p>
        </w:tc>
        <w:tc>
          <w:tcPr>
            <w:tcW w:w="2056" w:type="dxa"/>
          </w:tcPr>
          <w:p w14:paraId="1A293C90" w14:textId="7055CA4D" w:rsidR="00CE5851" w:rsidRDefault="00CE5851" w:rsidP="008F202C">
            <w:pPr>
              <w:pStyle w:val="TableHeading0"/>
            </w:pPr>
            <w:r>
              <w:t xml:space="preserve">Comparator </w:t>
            </w:r>
            <w:r w:rsidR="006A1328">
              <w:br/>
            </w:r>
            <w:r>
              <w:t>(34 GP practices)</w:t>
            </w:r>
          </w:p>
        </w:tc>
        <w:tc>
          <w:tcPr>
            <w:tcW w:w="1224" w:type="dxa"/>
          </w:tcPr>
          <w:p w14:paraId="3B05259F" w14:textId="4E34847D" w:rsidR="00CE5851" w:rsidRDefault="00CE5851" w:rsidP="008F202C">
            <w:pPr>
              <w:pStyle w:val="TableHeading0"/>
            </w:pPr>
            <w:r>
              <w:t>p-value</w:t>
            </w:r>
          </w:p>
        </w:tc>
      </w:tr>
      <w:tr w:rsidR="00E317D6" w14:paraId="3CA2BBBC" w14:textId="77777777" w:rsidTr="008F202C">
        <w:tc>
          <w:tcPr>
            <w:tcW w:w="3681" w:type="dxa"/>
          </w:tcPr>
          <w:p w14:paraId="2799AA74" w14:textId="5699F306" w:rsidR="00E317D6" w:rsidRDefault="00E317D6" w:rsidP="008F202C">
            <w:pPr>
              <w:pStyle w:val="TableText"/>
            </w:pPr>
            <w:r w:rsidRPr="00836CFA">
              <w:t>Patient base, n</w:t>
            </w:r>
          </w:p>
        </w:tc>
        <w:tc>
          <w:tcPr>
            <w:tcW w:w="2055" w:type="dxa"/>
          </w:tcPr>
          <w:p w14:paraId="4D2CFECE" w14:textId="6B0D09DD" w:rsidR="00E317D6" w:rsidRDefault="00E317D6" w:rsidP="008F202C">
            <w:pPr>
              <w:pStyle w:val="TableText"/>
            </w:pPr>
            <w:r w:rsidRPr="00836CFA">
              <w:t>75,025</w:t>
            </w:r>
          </w:p>
        </w:tc>
        <w:tc>
          <w:tcPr>
            <w:tcW w:w="2056" w:type="dxa"/>
          </w:tcPr>
          <w:p w14:paraId="5237F66F" w14:textId="6E405792" w:rsidR="00E317D6" w:rsidRDefault="00E317D6" w:rsidP="008F202C">
            <w:pPr>
              <w:pStyle w:val="TableText"/>
            </w:pPr>
            <w:r w:rsidRPr="00836CFA">
              <w:t>11,3027</w:t>
            </w:r>
          </w:p>
        </w:tc>
        <w:tc>
          <w:tcPr>
            <w:tcW w:w="1224" w:type="dxa"/>
          </w:tcPr>
          <w:p w14:paraId="47F5D2BF" w14:textId="356C78A5" w:rsidR="00E317D6" w:rsidRDefault="00E317D6" w:rsidP="008F202C">
            <w:pPr>
              <w:pStyle w:val="TableText"/>
            </w:pPr>
            <w:r w:rsidRPr="00836CFA">
              <w:t>-</w:t>
            </w:r>
          </w:p>
        </w:tc>
      </w:tr>
      <w:tr w:rsidR="00E317D6" w14:paraId="2AE3270F" w14:textId="77777777" w:rsidTr="008F202C">
        <w:tc>
          <w:tcPr>
            <w:tcW w:w="3681" w:type="dxa"/>
          </w:tcPr>
          <w:p w14:paraId="4A08E6AD" w14:textId="1D5D2E7B" w:rsidR="00E317D6" w:rsidRDefault="00E317D6" w:rsidP="008F202C">
            <w:pPr>
              <w:pStyle w:val="TableText"/>
            </w:pPr>
            <w:r w:rsidRPr="00836CFA">
              <w:t>Patients diagnosed with HF, n</w:t>
            </w:r>
          </w:p>
        </w:tc>
        <w:tc>
          <w:tcPr>
            <w:tcW w:w="2055" w:type="dxa"/>
          </w:tcPr>
          <w:p w14:paraId="52864A59" w14:textId="1ACCE4AD" w:rsidR="00E317D6" w:rsidRDefault="00E317D6" w:rsidP="008F202C">
            <w:pPr>
              <w:pStyle w:val="TableText"/>
            </w:pPr>
            <w:r w:rsidRPr="00836CFA">
              <w:t>7</w:t>
            </w:r>
          </w:p>
        </w:tc>
        <w:tc>
          <w:tcPr>
            <w:tcW w:w="2056" w:type="dxa"/>
          </w:tcPr>
          <w:p w14:paraId="04DF0776" w14:textId="416D78F8" w:rsidR="00E317D6" w:rsidRDefault="00E317D6" w:rsidP="008F202C">
            <w:pPr>
              <w:pStyle w:val="TableText"/>
            </w:pPr>
            <w:r w:rsidRPr="00836CFA">
              <w:t>16</w:t>
            </w:r>
          </w:p>
        </w:tc>
        <w:tc>
          <w:tcPr>
            <w:tcW w:w="1224" w:type="dxa"/>
          </w:tcPr>
          <w:p w14:paraId="7B2DE626" w14:textId="1FC69DCF" w:rsidR="00E317D6" w:rsidRDefault="00E317D6" w:rsidP="008F202C">
            <w:pPr>
              <w:pStyle w:val="TableText"/>
            </w:pPr>
            <w:r w:rsidRPr="00836CFA">
              <w:t>-</w:t>
            </w:r>
          </w:p>
        </w:tc>
      </w:tr>
      <w:tr w:rsidR="00E317D6" w14:paraId="585855C0" w14:textId="77777777" w:rsidTr="008F202C">
        <w:tc>
          <w:tcPr>
            <w:tcW w:w="3681" w:type="dxa"/>
          </w:tcPr>
          <w:p w14:paraId="675E299D" w14:textId="21A0CE44" w:rsidR="00E317D6" w:rsidRDefault="00E317D6" w:rsidP="008F202C">
            <w:pPr>
              <w:pStyle w:val="TableText"/>
            </w:pPr>
            <w:r w:rsidRPr="00836CFA">
              <w:t>Patients diagnosed with HF per 1,000 patients, x (95% CI)</w:t>
            </w:r>
          </w:p>
        </w:tc>
        <w:tc>
          <w:tcPr>
            <w:tcW w:w="2055" w:type="dxa"/>
          </w:tcPr>
          <w:p w14:paraId="226F4A99" w14:textId="3115C5CB" w:rsidR="00E317D6" w:rsidRDefault="00E317D6" w:rsidP="008F202C">
            <w:pPr>
              <w:pStyle w:val="TableText"/>
            </w:pPr>
            <w:r w:rsidRPr="00836CFA">
              <w:t>0.09 (0.02-0.16)</w:t>
            </w:r>
          </w:p>
        </w:tc>
        <w:tc>
          <w:tcPr>
            <w:tcW w:w="2056" w:type="dxa"/>
          </w:tcPr>
          <w:p w14:paraId="228D8BE7" w14:textId="2B51D457" w:rsidR="00E317D6" w:rsidRDefault="00E317D6" w:rsidP="008F202C">
            <w:pPr>
              <w:pStyle w:val="TableText"/>
            </w:pPr>
            <w:r w:rsidRPr="00836CFA">
              <w:t>0.14 (0.07-0.21)</w:t>
            </w:r>
          </w:p>
        </w:tc>
        <w:tc>
          <w:tcPr>
            <w:tcW w:w="1224" w:type="dxa"/>
          </w:tcPr>
          <w:p w14:paraId="2B3CD8DD" w14:textId="7D4BCE0A" w:rsidR="00E317D6" w:rsidRDefault="00E317D6" w:rsidP="008F202C">
            <w:pPr>
              <w:pStyle w:val="TableText"/>
            </w:pPr>
            <w:r w:rsidRPr="00836CFA">
              <w:t>0.35</w:t>
            </w:r>
          </w:p>
        </w:tc>
      </w:tr>
    </w:tbl>
    <w:p w14:paraId="70C6ADDB" w14:textId="7CCC455B" w:rsidR="006F45BD" w:rsidRDefault="006F45BD" w:rsidP="006F45BD">
      <w:pPr>
        <w:pStyle w:val="Tablenotes0"/>
      </w:pPr>
      <w:r w:rsidRPr="00FF725D">
        <w:rPr>
          <w:b/>
        </w:rPr>
        <w:t>Abbreviations:</w:t>
      </w:r>
      <w:r w:rsidRPr="001264C8">
        <w:t xml:space="preserve"> CI, confidence interval; GP, general practi</w:t>
      </w:r>
      <w:r w:rsidR="000C5B3E">
        <w:t>ce</w:t>
      </w:r>
      <w:r w:rsidRPr="001264C8">
        <w:t xml:space="preserve">; HF, heart failure; </w:t>
      </w:r>
      <w:r w:rsidR="009A2FC3">
        <w:t>n</w:t>
      </w:r>
      <w:r w:rsidRPr="001264C8">
        <w:t>, number of patients; x, estimate.</w:t>
      </w:r>
    </w:p>
    <w:p w14:paraId="618B46EC" w14:textId="42B42CEC" w:rsidR="00C73EC4" w:rsidRDefault="00DC03FB" w:rsidP="00DC03FB">
      <w:pPr>
        <w:pStyle w:val="Tablenotes0"/>
      </w:pPr>
      <w:r w:rsidRPr="00FF725D">
        <w:rPr>
          <w:b/>
        </w:rPr>
        <w:t>Source:</w:t>
      </w:r>
      <w:r>
        <w:t xml:space="preserve"> Commentary Table 8</w:t>
      </w:r>
      <w:r w:rsidR="007C1DB9">
        <w:t xml:space="preserve"> from MSAC 1740 ADAR+ in-line commentary</w:t>
      </w:r>
    </w:p>
    <w:p w14:paraId="64B3FBAC" w14:textId="65623C4A" w:rsidR="00DC0D04" w:rsidRDefault="003D329D" w:rsidP="007277CD">
      <w:r>
        <w:t>The commentary concluded that the direct evidence showed n</w:t>
      </w:r>
      <w:r w:rsidR="008611A7">
        <w:t xml:space="preserve">o statistically significant difference between </w:t>
      </w:r>
      <w:r w:rsidR="009A4986">
        <w:t>BNP/NT-</w:t>
      </w:r>
      <w:proofErr w:type="spellStart"/>
      <w:r w:rsidR="009A4986">
        <w:t>proBNP</w:t>
      </w:r>
      <w:proofErr w:type="spellEnd"/>
      <w:r w:rsidR="009A4986">
        <w:t xml:space="preserve"> testing compared to no testing in primary care</w:t>
      </w:r>
      <w:r w:rsidR="00FB0D5B">
        <w:t xml:space="preserve">, although the evidence base </w:t>
      </w:r>
      <w:r w:rsidR="00521E42">
        <w:t>wa</w:t>
      </w:r>
      <w:r w:rsidR="00FB0D5B">
        <w:t xml:space="preserve">s very </w:t>
      </w:r>
      <w:r w:rsidR="00E77583">
        <w:t>small,</w:t>
      </w:r>
      <w:r w:rsidR="00FB0D5B">
        <w:t xml:space="preserve"> and outcomes were rated as very low certainty using GRADE.</w:t>
      </w:r>
    </w:p>
    <w:p w14:paraId="1D74A7A8" w14:textId="66DC0060" w:rsidR="008611A7" w:rsidRDefault="00A225FF" w:rsidP="007277CD">
      <w:r>
        <w:t>T</w:t>
      </w:r>
      <w:r w:rsidR="009326ED">
        <w:t>he commentary considered that t</w:t>
      </w:r>
      <w:r>
        <w:t xml:space="preserve">he search strategy in the ADAR may have failed to detect all relevant studies </w:t>
      </w:r>
      <w:r w:rsidR="00DC0D04">
        <w:t xml:space="preserve">presenting </w:t>
      </w:r>
      <w:r w:rsidR="002A6E21">
        <w:t>evidence on</w:t>
      </w:r>
      <w:r w:rsidR="00DC0D04">
        <w:t xml:space="preserve"> direct health outcomes, safety and change of management</w:t>
      </w:r>
      <w:r w:rsidR="009629E3">
        <w:t xml:space="preserve"> </w:t>
      </w:r>
      <w:r w:rsidR="004A4109">
        <w:t>because</w:t>
      </w:r>
      <w:r w:rsidR="009629E3">
        <w:t xml:space="preserve"> the search terms included </w:t>
      </w:r>
      <w:r w:rsidR="007E092D">
        <w:t>a filter for diagnostic accuracy studies</w:t>
      </w:r>
      <w:r w:rsidR="00DC0D04">
        <w:t>.</w:t>
      </w:r>
    </w:p>
    <w:p w14:paraId="22B29F42" w14:textId="64960DC3" w:rsidR="00825D78" w:rsidRDefault="00E420D1" w:rsidP="00E420D1">
      <w:pPr>
        <w:pStyle w:val="Heading3"/>
      </w:pPr>
      <w:r>
        <w:t>Test accuracy</w:t>
      </w:r>
    </w:p>
    <w:p w14:paraId="30D41636" w14:textId="3E06DF8D" w:rsidR="00E420D1" w:rsidRDefault="00EE2B71" w:rsidP="00E420D1">
      <w:r>
        <w:t xml:space="preserve">The ADAR and the commentary differed regarding the inclusion of diagnostic test accuracy studies. </w:t>
      </w:r>
      <w:r w:rsidR="009D2B9B">
        <w:t>The ADAR’s i</w:t>
      </w:r>
      <w:r w:rsidR="00A225FF">
        <w:t>nclusion and exclusion criteria were not</w:t>
      </w:r>
      <w:r w:rsidR="003964D4" w:rsidRPr="003964D4">
        <w:t xml:space="preserve"> clearly </w:t>
      </w:r>
      <w:r w:rsidR="0089241E" w:rsidRPr="003964D4">
        <w:t>specified,</w:t>
      </w:r>
      <w:r w:rsidR="003964D4" w:rsidRPr="003964D4">
        <w:t xml:space="preserve"> and studies </w:t>
      </w:r>
      <w:r w:rsidR="003964D4">
        <w:t xml:space="preserve">were </w:t>
      </w:r>
      <w:r w:rsidR="003964D4" w:rsidRPr="003964D4">
        <w:t>included</w:t>
      </w:r>
      <w:r w:rsidR="006875BB">
        <w:t xml:space="preserve"> in the ADAR</w:t>
      </w:r>
      <w:r w:rsidR="003964D4" w:rsidRPr="003964D4">
        <w:t xml:space="preserve"> that </w:t>
      </w:r>
      <w:r w:rsidR="00B07E33">
        <w:t>did</w:t>
      </w:r>
      <w:r w:rsidR="00B07E33" w:rsidRPr="003964D4">
        <w:t xml:space="preserve"> </w:t>
      </w:r>
      <w:r w:rsidR="003964D4" w:rsidRPr="003964D4">
        <w:t xml:space="preserve">not match the PICO </w:t>
      </w:r>
      <w:r w:rsidR="006D6A84">
        <w:t>c</w:t>
      </w:r>
      <w:r w:rsidR="003964D4" w:rsidRPr="003964D4">
        <w:t>riteria.</w:t>
      </w:r>
      <w:r w:rsidR="005C1AFF">
        <w:t xml:space="preserve"> </w:t>
      </w:r>
      <w:r w:rsidR="009F47FF">
        <w:t>As per MSAC Guidelines,</w:t>
      </w:r>
      <w:r w:rsidR="009F47FF" w:rsidDel="003061DE">
        <w:t xml:space="preserve"> </w:t>
      </w:r>
      <w:r w:rsidR="009F47FF">
        <w:t>t</w:t>
      </w:r>
      <w:r w:rsidR="00D06583">
        <w:t xml:space="preserve">he </w:t>
      </w:r>
      <w:r w:rsidR="00D06583">
        <w:lastRenderedPageBreak/>
        <w:t>commentary included only those diagnostic studies in which a 2-by-2 table</w:t>
      </w:r>
      <w:r w:rsidR="000919F3">
        <w:t xml:space="preserve"> </w:t>
      </w:r>
      <w:r w:rsidR="00840FED">
        <w:t>(</w:t>
      </w:r>
      <w:r w:rsidR="000919F3">
        <w:t xml:space="preserve">showing the proportion of patients who test positive </w:t>
      </w:r>
      <w:r w:rsidR="00840FED">
        <w:t xml:space="preserve">and negative for </w:t>
      </w:r>
      <w:r w:rsidR="005E5595">
        <w:t>the</w:t>
      </w:r>
      <w:r w:rsidR="00840FED">
        <w:t xml:space="preserve"> test)</w:t>
      </w:r>
      <w:r w:rsidR="00D06583">
        <w:t xml:space="preserve"> c</w:t>
      </w:r>
      <w:r w:rsidR="009F47FF">
        <w:t>ould</w:t>
      </w:r>
      <w:r w:rsidR="00D06583">
        <w:t xml:space="preserve"> be reconstructed.</w:t>
      </w:r>
    </w:p>
    <w:p w14:paraId="7508F43A" w14:textId="7406579F" w:rsidR="00B120FB" w:rsidRDefault="00B120FB" w:rsidP="00E420D1">
      <w:r>
        <w:t xml:space="preserve">The ADAR </w:t>
      </w:r>
      <w:r w:rsidR="00F26FB5">
        <w:t>placed</w:t>
      </w:r>
      <w:r>
        <w:t xml:space="preserve"> greater weight </w:t>
      </w:r>
      <w:r w:rsidR="00F26FB5">
        <w:t>on</w:t>
      </w:r>
      <w:r>
        <w:t xml:space="preserve"> studies at, or close to, the </w:t>
      </w:r>
      <w:r w:rsidR="00374B59">
        <w:t xml:space="preserve">rule-out threshold recommended in Australian </w:t>
      </w:r>
      <w:r w:rsidR="00160D67">
        <w:t>g</w:t>
      </w:r>
      <w:r w:rsidR="00374B59">
        <w:t xml:space="preserve">uidelines </w:t>
      </w:r>
      <w:r w:rsidR="00E0669D">
        <w:t>of 300</w:t>
      </w:r>
      <w:r w:rsidR="00160D67">
        <w:t xml:space="preserve"> </w:t>
      </w:r>
      <w:proofErr w:type="spellStart"/>
      <w:r w:rsidR="00E0669D">
        <w:t>pg</w:t>
      </w:r>
      <w:proofErr w:type="spellEnd"/>
      <w:r w:rsidR="006279E2">
        <w:t>/</w:t>
      </w:r>
      <w:proofErr w:type="spellStart"/>
      <w:r w:rsidR="006279E2">
        <w:t>mL</w:t>
      </w:r>
      <w:r w:rsidR="00374B59">
        <w:t>.</w:t>
      </w:r>
      <w:proofErr w:type="spellEnd"/>
      <w:r w:rsidR="00374B59">
        <w:t xml:space="preserve"> The commentary note</w:t>
      </w:r>
      <w:r w:rsidR="003061DE">
        <w:t>d</w:t>
      </w:r>
      <w:r w:rsidR="00374B59">
        <w:t xml:space="preserve"> that the </w:t>
      </w:r>
      <w:r w:rsidR="009C6123">
        <w:t>g</w:t>
      </w:r>
      <w:r w:rsidR="00374B59">
        <w:t>uidelines also include rule-in thresholds, and that the proposed MBS item descriptor d</w:t>
      </w:r>
      <w:r w:rsidR="003061DE">
        <w:t>id</w:t>
      </w:r>
      <w:r w:rsidR="00374B59">
        <w:t xml:space="preserve"> not specify a threshold. Furthermore, international guidelines use </w:t>
      </w:r>
      <w:r w:rsidR="00C74358">
        <w:t xml:space="preserve">different </w:t>
      </w:r>
      <w:r w:rsidR="000F130D">
        <w:t xml:space="preserve">rule-out </w:t>
      </w:r>
      <w:r w:rsidR="00C74358">
        <w:t>thresholds</w:t>
      </w:r>
      <w:r w:rsidR="006D43DC">
        <w:t>:</w:t>
      </w:r>
      <w:r w:rsidR="006279E2">
        <w:t xml:space="preserve"> 125 </w:t>
      </w:r>
      <w:proofErr w:type="spellStart"/>
      <w:r w:rsidR="006279E2">
        <w:t>pg</w:t>
      </w:r>
      <w:proofErr w:type="spellEnd"/>
      <w:r w:rsidR="006279E2">
        <w:t xml:space="preserve">/mL </w:t>
      </w:r>
      <w:r w:rsidR="00E946EA">
        <w:t xml:space="preserve">recommended by the </w:t>
      </w:r>
      <w:r w:rsidR="006279E2">
        <w:t>E</w:t>
      </w:r>
      <w:r w:rsidR="00E946EA">
        <w:t xml:space="preserve">uropean </w:t>
      </w:r>
      <w:r w:rsidR="006279E2">
        <w:t>S</w:t>
      </w:r>
      <w:r w:rsidR="00E946EA">
        <w:t xml:space="preserve">ociety of </w:t>
      </w:r>
      <w:r w:rsidR="006279E2">
        <w:t>C</w:t>
      </w:r>
      <w:r w:rsidR="00E946EA">
        <w:t>ardiology</w:t>
      </w:r>
      <w:r w:rsidR="006279E2">
        <w:t xml:space="preserve"> (</w:t>
      </w:r>
      <w:r w:rsidR="001E641E">
        <w:t xml:space="preserve">ESC; </w:t>
      </w:r>
      <w:r w:rsidR="006279E2">
        <w:t>McDonagh, 2021</w:t>
      </w:r>
      <w:r w:rsidR="006279E2">
        <w:rPr>
          <w:rStyle w:val="FootnoteReference"/>
        </w:rPr>
        <w:footnoteReference w:id="16"/>
      </w:r>
      <w:r w:rsidR="006279E2">
        <w:t>)</w:t>
      </w:r>
      <w:r w:rsidR="00092FA0">
        <w:t xml:space="preserve"> and the </w:t>
      </w:r>
      <w:r w:rsidR="0076720C">
        <w:t>American College of Cardiology/American Heart Association</w:t>
      </w:r>
      <w:r w:rsidR="006279E2">
        <w:t xml:space="preserve"> </w:t>
      </w:r>
      <w:r w:rsidR="00345F62" w:rsidRPr="00345F62">
        <w:t>(</w:t>
      </w:r>
      <w:r w:rsidR="001E641E">
        <w:t xml:space="preserve">ACC/AHA; </w:t>
      </w:r>
      <w:r w:rsidR="00345F62" w:rsidRPr="00345F62">
        <w:t>Heidenreich, 2022</w:t>
      </w:r>
      <w:r w:rsidR="00345F62">
        <w:rPr>
          <w:rStyle w:val="FootnoteReference"/>
        </w:rPr>
        <w:footnoteReference w:id="17"/>
      </w:r>
      <w:r w:rsidR="00345F62" w:rsidRPr="00345F62">
        <w:t>)</w:t>
      </w:r>
      <w:r w:rsidR="00345F62">
        <w:t xml:space="preserve"> </w:t>
      </w:r>
      <w:r w:rsidR="006279E2">
        <w:t xml:space="preserve">or 400 </w:t>
      </w:r>
      <w:proofErr w:type="spellStart"/>
      <w:r w:rsidR="006279E2">
        <w:t>pg</w:t>
      </w:r>
      <w:proofErr w:type="spellEnd"/>
      <w:r w:rsidR="006279E2">
        <w:t xml:space="preserve">/mL </w:t>
      </w:r>
      <w:r w:rsidR="000F130D">
        <w:t xml:space="preserve">by </w:t>
      </w:r>
      <w:r w:rsidR="00DB66D7">
        <w:t xml:space="preserve">the National Institute for Health and Care Excellence </w:t>
      </w:r>
      <w:r w:rsidR="006279E2">
        <w:t>(NICE, 2018</w:t>
      </w:r>
      <w:r w:rsidR="006279E2">
        <w:rPr>
          <w:rStyle w:val="FootnoteReference"/>
        </w:rPr>
        <w:footnoteReference w:id="18"/>
      </w:r>
      <w:r w:rsidR="006279E2">
        <w:t>)</w:t>
      </w:r>
      <w:r w:rsidR="004C6F2C">
        <w:t>.</w:t>
      </w:r>
      <w:r w:rsidR="00153D21">
        <w:t xml:space="preserve"> </w:t>
      </w:r>
      <w:r w:rsidR="004C6F2C">
        <w:t>Moreover,</w:t>
      </w:r>
      <w:r w:rsidR="00153D21">
        <w:t xml:space="preserve"> reference ranges vary depending on age</w:t>
      </w:r>
      <w:r w:rsidR="007D223C">
        <w:t xml:space="preserve">, gender, </w:t>
      </w:r>
      <w:proofErr w:type="gramStart"/>
      <w:r w:rsidR="007D223C">
        <w:t>comorbidities</w:t>
      </w:r>
      <w:proofErr w:type="gramEnd"/>
      <w:r w:rsidR="007D223C">
        <w:t xml:space="preserve"> and body mass index</w:t>
      </w:r>
      <w:r w:rsidR="00A51D25">
        <w:t xml:space="preserve">. Therefore, the commentary considered that all diagnostic studies in the relevant population should be </w:t>
      </w:r>
      <w:r w:rsidR="003F355A">
        <w:t>appraised</w:t>
      </w:r>
      <w:r w:rsidR="00A51D25">
        <w:t xml:space="preserve"> equally over a range of thresholds</w:t>
      </w:r>
      <w:r w:rsidR="00530D71">
        <w:t xml:space="preserve"> given the lack of evidence </w:t>
      </w:r>
      <w:r w:rsidR="00A70BDC">
        <w:t>for</w:t>
      </w:r>
      <w:r w:rsidR="00530D71">
        <w:t xml:space="preserve"> the threshold specified in the Australian guidelines</w:t>
      </w:r>
      <w:r w:rsidR="00CD3946">
        <w:t xml:space="preserve"> and the likelihood that </w:t>
      </w:r>
      <w:r w:rsidR="007D223C">
        <w:t>additional patient factors may be considered in practice</w:t>
      </w:r>
      <w:r w:rsidR="00A51D25">
        <w:t>.</w:t>
      </w:r>
    </w:p>
    <w:p w14:paraId="09286D78" w14:textId="6E0EFA56" w:rsidR="006C7FAE" w:rsidRDefault="006C7FAE" w:rsidP="00E420D1">
      <w:r>
        <w:t xml:space="preserve">The characteristics of the diagnostic accuracy studies included </w:t>
      </w:r>
      <w:r w:rsidR="00F74AA3">
        <w:t>by</w:t>
      </w:r>
      <w:r>
        <w:t xml:space="preserve"> the commentary </w:t>
      </w:r>
      <w:r w:rsidR="009972E7">
        <w:t>are</w:t>
      </w:r>
      <w:r>
        <w:t xml:space="preserve"> presented in </w:t>
      </w:r>
      <w:r w:rsidR="00AD6E3F">
        <w:fldChar w:fldCharType="begin"/>
      </w:r>
      <w:r w:rsidR="00AD6E3F">
        <w:instrText xml:space="preserve"> REF _Ref141818244 \h </w:instrText>
      </w:r>
      <w:r w:rsidR="00AD6E3F">
        <w:fldChar w:fldCharType="separate"/>
      </w:r>
      <w:r w:rsidR="00472DB9">
        <w:t xml:space="preserve">Table </w:t>
      </w:r>
      <w:r w:rsidR="00472DB9">
        <w:rPr>
          <w:noProof/>
        </w:rPr>
        <w:t>10</w:t>
      </w:r>
      <w:r w:rsidR="00AD6E3F">
        <w:fldChar w:fldCharType="end"/>
      </w:r>
      <w:r w:rsidR="00AD6E3F">
        <w:t>.</w:t>
      </w:r>
      <w:r w:rsidR="00FD2DD4">
        <w:t xml:space="preserve"> Wright </w:t>
      </w:r>
      <w:r w:rsidR="00351B79">
        <w:t xml:space="preserve">et al. </w:t>
      </w:r>
      <w:r w:rsidR="00FD2DD4">
        <w:t>2003</w:t>
      </w:r>
      <w:r w:rsidR="00351B79">
        <w:rPr>
          <w:rStyle w:val="FootnoteReference"/>
        </w:rPr>
        <w:footnoteReference w:id="19"/>
      </w:r>
      <w:r w:rsidR="00334ECC">
        <w:t xml:space="preserve"> was an RCT</w:t>
      </w:r>
      <w:r w:rsidR="0038006B">
        <w:t xml:space="preserve">; all other studies were </w:t>
      </w:r>
      <w:r w:rsidR="000E3283">
        <w:t>non-randomised diagnostic accuracy studies</w:t>
      </w:r>
      <w:r w:rsidR="00FD2DD4">
        <w:t>.</w:t>
      </w:r>
    </w:p>
    <w:p w14:paraId="4DAAA3FB" w14:textId="483B575E" w:rsidR="006C7FAE" w:rsidRDefault="006C7FAE" w:rsidP="006C7FAE">
      <w:pPr>
        <w:pStyle w:val="Caption"/>
      </w:pPr>
      <w:bookmarkStart w:id="27" w:name="_Ref141818244"/>
      <w:r>
        <w:lastRenderedPageBreak/>
        <w:t xml:space="preserve">Table </w:t>
      </w:r>
      <w:r>
        <w:fldChar w:fldCharType="begin"/>
      </w:r>
      <w:r>
        <w:instrText>SEQ Table \* ARABIC</w:instrText>
      </w:r>
      <w:r>
        <w:fldChar w:fldCharType="separate"/>
      </w:r>
      <w:r w:rsidR="00472DB9">
        <w:rPr>
          <w:noProof/>
        </w:rPr>
        <w:t>10</w:t>
      </w:r>
      <w:r>
        <w:fldChar w:fldCharType="end"/>
      </w:r>
      <w:bookmarkEnd w:id="27"/>
      <w:r w:rsidR="00094424">
        <w:tab/>
      </w:r>
      <w:r w:rsidR="0052397C">
        <w:t xml:space="preserve">Study characteristics of diagnostic accuracy studies providing </w:t>
      </w:r>
      <w:r w:rsidR="00855795">
        <w:t>sensitivity and specificity of NT-</w:t>
      </w:r>
      <w:proofErr w:type="spellStart"/>
      <w:r w:rsidR="00855795">
        <w:t>proBNP</w:t>
      </w:r>
      <w:proofErr w:type="spellEnd"/>
      <w:r w:rsidR="00855795">
        <w:t xml:space="preserve"> </w:t>
      </w:r>
      <w:r w:rsidR="001849A9">
        <w:t xml:space="preserve">testing </w:t>
      </w:r>
      <w:r w:rsidR="00855795">
        <w:t xml:space="preserve">compared to </w:t>
      </w:r>
      <w:r w:rsidR="009D0237">
        <w:t xml:space="preserve">the reference </w:t>
      </w:r>
      <w:proofErr w:type="gramStart"/>
      <w:r w:rsidR="009D0237">
        <w:t>standard</w:t>
      </w:r>
      <w:proofErr w:type="gramEnd"/>
    </w:p>
    <w:tbl>
      <w:tblPr>
        <w:tblStyle w:val="TableGrid"/>
        <w:tblW w:w="0" w:type="auto"/>
        <w:tblLook w:val="04A0" w:firstRow="1" w:lastRow="0" w:firstColumn="1" w:lastColumn="0" w:noHBand="0" w:noVBand="1"/>
        <w:tblCaption w:val="Study characteristics of diagnostic accuracy studies providing sensitivity and specificity of NT-proBNP testing compared to the reference standard"/>
        <w:tblDescription w:val="The table summarises the study characteristics of the diagnostic accuracy studies providing sensitivity and specificity data including the study, number of participants, study design, risk of bias, population,  intervention, NT-proBNP threshold reported, reference standard and whether the study was used in the economic model."/>
      </w:tblPr>
      <w:tblGrid>
        <w:gridCol w:w="1192"/>
        <w:gridCol w:w="1204"/>
        <w:gridCol w:w="1868"/>
        <w:gridCol w:w="1960"/>
        <w:gridCol w:w="1631"/>
        <w:gridCol w:w="1161"/>
      </w:tblGrid>
      <w:tr w:rsidR="0081504B" w14:paraId="2CC10295" w14:textId="77777777" w:rsidTr="007A00B7">
        <w:trPr>
          <w:tblHeader/>
        </w:trPr>
        <w:tc>
          <w:tcPr>
            <w:tcW w:w="0" w:type="auto"/>
          </w:tcPr>
          <w:p w14:paraId="6C5B55C5" w14:textId="460C07C8" w:rsidR="00AD2DAD" w:rsidRDefault="00AD2DAD" w:rsidP="007407B7">
            <w:pPr>
              <w:pStyle w:val="TableHeading0"/>
            </w:pPr>
            <w:r w:rsidRPr="00FB5771">
              <w:t>Study</w:t>
            </w:r>
          </w:p>
          <w:p w14:paraId="471F662E" w14:textId="06F64D39" w:rsidR="00AD2DAD" w:rsidRPr="00FB5771" w:rsidRDefault="00AD2DAD" w:rsidP="007407B7">
            <w:pPr>
              <w:pStyle w:val="TableHeading0"/>
            </w:pPr>
            <w:r>
              <w:t>N</w:t>
            </w:r>
          </w:p>
        </w:tc>
        <w:tc>
          <w:tcPr>
            <w:tcW w:w="0" w:type="auto"/>
          </w:tcPr>
          <w:p w14:paraId="01E9B2B5" w14:textId="56935FBE" w:rsidR="00AD2DAD" w:rsidRPr="0020447B" w:rsidRDefault="00AD2DAD" w:rsidP="007407B7">
            <w:pPr>
              <w:pStyle w:val="TableHeading0"/>
              <w:rPr>
                <w:bCs/>
              </w:rPr>
            </w:pPr>
            <w:r w:rsidRPr="0020447B">
              <w:rPr>
                <w:bCs/>
              </w:rPr>
              <w:t xml:space="preserve">Study </w:t>
            </w:r>
            <w:r w:rsidR="000E3283">
              <w:rPr>
                <w:bCs/>
              </w:rPr>
              <w:t>d</w:t>
            </w:r>
            <w:r w:rsidRPr="0020447B">
              <w:rPr>
                <w:bCs/>
              </w:rPr>
              <w:t>esign</w:t>
            </w:r>
          </w:p>
          <w:p w14:paraId="7D796CBE" w14:textId="77777777" w:rsidR="00AD2DAD" w:rsidRPr="008F202C" w:rsidRDefault="00AD2DAD" w:rsidP="007407B7">
            <w:pPr>
              <w:pStyle w:val="TableHeading0"/>
            </w:pPr>
            <w:r w:rsidRPr="008F202C">
              <w:rPr>
                <w:bCs/>
              </w:rPr>
              <w:t>Risk of bias</w:t>
            </w:r>
          </w:p>
        </w:tc>
        <w:tc>
          <w:tcPr>
            <w:tcW w:w="0" w:type="auto"/>
          </w:tcPr>
          <w:p w14:paraId="364DAE8F" w14:textId="77777777" w:rsidR="00AD2DAD" w:rsidRPr="00D854B4" w:rsidRDefault="00AD2DAD" w:rsidP="007407B7">
            <w:pPr>
              <w:pStyle w:val="TableHeading0"/>
            </w:pPr>
            <w:r w:rsidRPr="0020447B">
              <w:rPr>
                <w:bCs/>
              </w:rPr>
              <w:t>Population</w:t>
            </w:r>
          </w:p>
        </w:tc>
        <w:tc>
          <w:tcPr>
            <w:tcW w:w="1960" w:type="dxa"/>
          </w:tcPr>
          <w:p w14:paraId="5D2E8654" w14:textId="77777777" w:rsidR="00AD2DAD" w:rsidRPr="0020447B" w:rsidRDefault="00AD2DAD" w:rsidP="007407B7">
            <w:pPr>
              <w:pStyle w:val="TableHeading0"/>
              <w:rPr>
                <w:bCs/>
              </w:rPr>
            </w:pPr>
            <w:r w:rsidRPr="0020447B">
              <w:rPr>
                <w:bCs/>
              </w:rPr>
              <w:t>Intervention</w:t>
            </w:r>
          </w:p>
          <w:p w14:paraId="5CE4314F" w14:textId="6ECCDEED" w:rsidR="00AD2DAD" w:rsidRPr="00D854B4" w:rsidRDefault="005E5595" w:rsidP="007407B7">
            <w:pPr>
              <w:pStyle w:val="TableHeading0"/>
            </w:pPr>
            <w:r>
              <w:rPr>
                <w:bCs/>
              </w:rPr>
              <w:t>NT-</w:t>
            </w:r>
            <w:proofErr w:type="spellStart"/>
            <w:r>
              <w:rPr>
                <w:bCs/>
              </w:rPr>
              <w:t>proBNP</w:t>
            </w:r>
            <w:proofErr w:type="spellEnd"/>
            <w:r>
              <w:rPr>
                <w:bCs/>
              </w:rPr>
              <w:t xml:space="preserve"> t</w:t>
            </w:r>
            <w:r w:rsidR="00AD2DAD" w:rsidRPr="0020447B">
              <w:rPr>
                <w:bCs/>
              </w:rPr>
              <w:t>hresholds reported</w:t>
            </w:r>
          </w:p>
        </w:tc>
        <w:tc>
          <w:tcPr>
            <w:tcW w:w="1631" w:type="dxa"/>
          </w:tcPr>
          <w:p w14:paraId="17D537AA" w14:textId="77777777" w:rsidR="00AD2DAD" w:rsidRPr="00D854B4" w:rsidRDefault="00AD2DAD" w:rsidP="007407B7">
            <w:pPr>
              <w:pStyle w:val="TableHeading0"/>
            </w:pPr>
            <w:r w:rsidRPr="0020447B">
              <w:rPr>
                <w:bCs/>
              </w:rPr>
              <w:t>Reference standard</w:t>
            </w:r>
          </w:p>
        </w:tc>
        <w:tc>
          <w:tcPr>
            <w:tcW w:w="0" w:type="auto"/>
          </w:tcPr>
          <w:p w14:paraId="4C9C8C59" w14:textId="77777777" w:rsidR="00AD2DAD" w:rsidRPr="00FB5771" w:rsidRDefault="00AD2DAD" w:rsidP="007407B7">
            <w:pPr>
              <w:pStyle w:val="TableHeading0"/>
              <w:rPr>
                <w:bCs/>
              </w:rPr>
            </w:pPr>
            <w:r w:rsidRPr="00FB5771">
              <w:rPr>
                <w:bCs/>
              </w:rPr>
              <w:t>Used in economic model</w:t>
            </w:r>
          </w:p>
        </w:tc>
      </w:tr>
      <w:tr w:rsidR="0081504B" w:rsidRPr="007407B7" w14:paraId="31EA4813" w14:textId="77777777" w:rsidTr="007A00B7">
        <w:tc>
          <w:tcPr>
            <w:tcW w:w="0" w:type="auto"/>
          </w:tcPr>
          <w:p w14:paraId="59606193" w14:textId="7DF60D18" w:rsidR="00AD2DAD" w:rsidRDefault="00AD2DAD" w:rsidP="00152310">
            <w:pPr>
              <w:pStyle w:val="TableText"/>
              <w:keepNext/>
            </w:pPr>
            <w:r w:rsidRPr="007407B7">
              <w:t>Hobbs, 2002</w:t>
            </w:r>
            <w:r w:rsidR="00F83404">
              <w:rPr>
                <w:rStyle w:val="FootnoteReference"/>
              </w:rPr>
              <w:footnoteReference w:id="20"/>
            </w:r>
          </w:p>
          <w:p w14:paraId="17E5A6B5" w14:textId="77777777" w:rsidR="00AD2DAD" w:rsidRDefault="00AD2DAD" w:rsidP="00152310">
            <w:pPr>
              <w:pStyle w:val="TableText"/>
              <w:keepNext/>
            </w:pPr>
            <w:r>
              <w:t>607</w:t>
            </w:r>
            <w:r w:rsidR="005B06C5">
              <w:t xml:space="preserve"> total</w:t>
            </w:r>
          </w:p>
          <w:p w14:paraId="038CD637" w14:textId="4491214F" w:rsidR="005B06C5" w:rsidRPr="007407B7" w:rsidRDefault="005B06C5" w:rsidP="00152310">
            <w:pPr>
              <w:pStyle w:val="TableText"/>
              <w:keepNext/>
            </w:pPr>
            <w:r>
              <w:t xml:space="preserve">103 </w:t>
            </w:r>
            <w:r w:rsidR="003553C6">
              <w:t>with clinical diagnosis</w:t>
            </w:r>
          </w:p>
        </w:tc>
        <w:tc>
          <w:tcPr>
            <w:tcW w:w="0" w:type="auto"/>
          </w:tcPr>
          <w:p w14:paraId="7990BE81" w14:textId="77777777" w:rsidR="00AD2DAD" w:rsidRDefault="00AD2DAD" w:rsidP="00152310">
            <w:pPr>
              <w:pStyle w:val="TableText"/>
              <w:keepNext/>
            </w:pPr>
            <w:r w:rsidRPr="007407B7">
              <w:t>Prospective cohort</w:t>
            </w:r>
          </w:p>
          <w:p w14:paraId="205B202C" w14:textId="77777777" w:rsidR="001D0E84" w:rsidRPr="007407B7" w:rsidRDefault="001D0E84" w:rsidP="00152310">
            <w:pPr>
              <w:pStyle w:val="TableText"/>
              <w:keepNext/>
            </w:pPr>
          </w:p>
          <w:p w14:paraId="40E94363" w14:textId="6F9C1AAF" w:rsidR="00AD2DAD" w:rsidRPr="008F202C" w:rsidRDefault="00291D09" w:rsidP="00152310">
            <w:pPr>
              <w:pStyle w:val="TableText"/>
              <w:keepNext/>
            </w:pPr>
            <w:r w:rsidRPr="008F202C">
              <w:t>High</w:t>
            </w:r>
            <w:r w:rsidR="00AD2DAD" w:rsidRPr="008F202C">
              <w:t xml:space="preserve"> risk</w:t>
            </w:r>
          </w:p>
          <w:p w14:paraId="4FCB15CA" w14:textId="77777777" w:rsidR="00AD2DAD" w:rsidRPr="00715727" w:rsidRDefault="00AD2DAD" w:rsidP="00152310">
            <w:pPr>
              <w:pStyle w:val="TableText"/>
              <w:keepNext/>
              <w:rPr>
                <w:i/>
              </w:rPr>
            </w:pPr>
            <w:r w:rsidRPr="008F202C">
              <w:t>Applicability concerns regarding the population</w:t>
            </w:r>
          </w:p>
        </w:tc>
        <w:tc>
          <w:tcPr>
            <w:tcW w:w="0" w:type="auto"/>
          </w:tcPr>
          <w:p w14:paraId="3D0FC4A5" w14:textId="45E1409D" w:rsidR="00AD2DAD" w:rsidRPr="007407B7" w:rsidRDefault="00AD2DAD" w:rsidP="00152310">
            <w:pPr>
              <w:pStyle w:val="TableText"/>
              <w:keepNext/>
              <w:rPr>
                <w:rStyle w:val="CommentaryemphasisTablesmid-paragraph"/>
                <w:color w:val="auto"/>
              </w:rPr>
            </w:pPr>
            <w:r w:rsidRPr="007407B7">
              <w:t>Patients (aged &gt;45</w:t>
            </w:r>
            <w:r w:rsidR="00E51327">
              <w:t xml:space="preserve"> years</w:t>
            </w:r>
            <w:r w:rsidRPr="007407B7">
              <w:t xml:space="preserve">) randomly selected from a primary care </w:t>
            </w:r>
            <w:proofErr w:type="gramStart"/>
            <w:r w:rsidRPr="007407B7">
              <w:t>population</w:t>
            </w:r>
            <w:proofErr w:type="gramEnd"/>
            <w:r w:rsidRPr="007407B7">
              <w:t xml:space="preserve"> </w:t>
            </w:r>
          </w:p>
          <w:p w14:paraId="20F7B4C0" w14:textId="77777777" w:rsidR="00AD2DAD" w:rsidRPr="007407B7" w:rsidRDefault="00AD2DAD" w:rsidP="008F202C">
            <w:pPr>
              <w:pStyle w:val="TableText"/>
              <w:keepNext/>
              <w:spacing w:after="0"/>
              <w:rPr>
                <w:rStyle w:val="CommentaryemphasisTablesmid-paragraph"/>
                <w:color w:val="auto"/>
              </w:rPr>
            </w:pPr>
            <w:r w:rsidRPr="007407B7">
              <w:rPr>
                <w:rStyle w:val="CommentaryemphasisTablesmid-paragraph"/>
                <w:color w:val="auto"/>
              </w:rPr>
              <w:t>Four population cohorts:</w:t>
            </w:r>
          </w:p>
          <w:p w14:paraId="59DDF62D" w14:textId="77777777" w:rsidR="00AD2DAD" w:rsidRPr="007407B7" w:rsidRDefault="00AD2DAD" w:rsidP="008F202C">
            <w:pPr>
              <w:pStyle w:val="TableText"/>
              <w:keepNext/>
              <w:numPr>
                <w:ilvl w:val="0"/>
                <w:numId w:val="17"/>
              </w:numPr>
              <w:spacing w:before="0" w:after="0"/>
              <w:ind w:left="220" w:hanging="220"/>
              <w:rPr>
                <w:rStyle w:val="CommentaryemphasisTablesmid-paragraph"/>
                <w:color w:val="auto"/>
              </w:rPr>
            </w:pPr>
            <w:r w:rsidRPr="007407B7">
              <w:rPr>
                <w:rStyle w:val="CommentaryemphasisTablesmid-paragraph"/>
                <w:color w:val="auto"/>
              </w:rPr>
              <w:t>&gt;45 years (general population screen)</w:t>
            </w:r>
          </w:p>
          <w:p w14:paraId="333A00AE" w14:textId="77777777" w:rsidR="00AD2DAD" w:rsidRPr="007407B7" w:rsidRDefault="00AD2DAD" w:rsidP="008F202C">
            <w:pPr>
              <w:pStyle w:val="TableText"/>
              <w:keepNext/>
              <w:numPr>
                <w:ilvl w:val="0"/>
                <w:numId w:val="17"/>
              </w:numPr>
              <w:spacing w:before="0" w:after="0"/>
              <w:ind w:left="220" w:hanging="220"/>
              <w:rPr>
                <w:rStyle w:val="CommentaryemphasisTablesmid-paragraph"/>
                <w:color w:val="auto"/>
              </w:rPr>
            </w:pPr>
            <w:r w:rsidRPr="007407B7">
              <w:rPr>
                <w:rStyle w:val="CommentaryemphasisTablesmid-paragraph"/>
                <w:color w:val="auto"/>
              </w:rPr>
              <w:t>clinical diagnostic label of HF</w:t>
            </w:r>
          </w:p>
          <w:p w14:paraId="5338CF01" w14:textId="77777777" w:rsidR="00AD2DAD" w:rsidRPr="007407B7" w:rsidRDefault="00AD2DAD" w:rsidP="008F202C">
            <w:pPr>
              <w:pStyle w:val="TableText"/>
              <w:keepNext/>
              <w:numPr>
                <w:ilvl w:val="0"/>
                <w:numId w:val="17"/>
              </w:numPr>
              <w:spacing w:before="0" w:after="0"/>
              <w:ind w:left="220" w:hanging="220"/>
              <w:rPr>
                <w:rStyle w:val="CommentaryemphasisTablesmid-paragraph"/>
                <w:color w:val="auto"/>
              </w:rPr>
            </w:pPr>
            <w:r w:rsidRPr="007407B7">
              <w:rPr>
                <w:rStyle w:val="CommentaryemphasisTablesmid-paragraph"/>
                <w:color w:val="auto"/>
              </w:rPr>
              <w:t xml:space="preserve">prescribed diuretic </w:t>
            </w:r>
            <w:proofErr w:type="gramStart"/>
            <w:r w:rsidRPr="007407B7">
              <w:rPr>
                <w:rStyle w:val="CommentaryemphasisTablesmid-paragraph"/>
                <w:color w:val="auto"/>
              </w:rPr>
              <w:t>drugs</w:t>
            </w:r>
            <w:proofErr w:type="gramEnd"/>
          </w:p>
          <w:p w14:paraId="456A3141" w14:textId="0EB7AD3E" w:rsidR="00AD2DAD" w:rsidRPr="007407B7" w:rsidRDefault="00AD2DAD" w:rsidP="008F202C">
            <w:pPr>
              <w:pStyle w:val="TableText"/>
              <w:keepNext/>
              <w:numPr>
                <w:ilvl w:val="0"/>
                <w:numId w:val="17"/>
              </w:numPr>
              <w:spacing w:before="0"/>
              <w:ind w:left="220" w:hanging="220"/>
            </w:pPr>
            <w:r w:rsidRPr="007407B7">
              <w:rPr>
                <w:rStyle w:val="CommentaryemphasisTablesmid-paragraph"/>
                <w:color w:val="auto"/>
              </w:rPr>
              <w:t>at high risk of HF (history of MI, angina, hypertension, or diabetes)</w:t>
            </w:r>
          </w:p>
        </w:tc>
        <w:tc>
          <w:tcPr>
            <w:tcW w:w="1960" w:type="dxa"/>
          </w:tcPr>
          <w:p w14:paraId="15F066EE" w14:textId="77777777" w:rsidR="00AD2DAD" w:rsidRPr="007407B7" w:rsidRDefault="00AD2DAD" w:rsidP="00152310">
            <w:pPr>
              <w:pStyle w:val="TableText"/>
              <w:keepNext/>
            </w:pPr>
            <w:r w:rsidRPr="007407B7">
              <w:t>NT-</w:t>
            </w:r>
            <w:proofErr w:type="spellStart"/>
            <w:r w:rsidRPr="007407B7">
              <w:t>proBNP</w:t>
            </w:r>
            <w:proofErr w:type="spellEnd"/>
            <w:r w:rsidRPr="007407B7">
              <w:t xml:space="preserve"> immunoassay</w:t>
            </w:r>
          </w:p>
          <w:p w14:paraId="42A9638B" w14:textId="77777777" w:rsidR="00AD2DAD" w:rsidRPr="007407B7" w:rsidRDefault="00AD2DAD" w:rsidP="00152310">
            <w:pPr>
              <w:pStyle w:val="TableText"/>
              <w:keepNext/>
            </w:pPr>
            <w:r w:rsidRPr="007407B7">
              <w:t xml:space="preserve">305 </w:t>
            </w:r>
            <w:proofErr w:type="spellStart"/>
            <w:r w:rsidRPr="007407B7">
              <w:t>pg</w:t>
            </w:r>
            <w:proofErr w:type="spellEnd"/>
            <w:r w:rsidRPr="007407B7">
              <w:t>/mL (not pre-specified – based on optimising diagnostic outcomes)</w:t>
            </w:r>
          </w:p>
        </w:tc>
        <w:tc>
          <w:tcPr>
            <w:tcW w:w="1631" w:type="dxa"/>
          </w:tcPr>
          <w:p w14:paraId="453CC0A7" w14:textId="77777777" w:rsidR="00AD2DAD" w:rsidRPr="007407B7" w:rsidRDefault="00AD2DAD" w:rsidP="00152310">
            <w:pPr>
              <w:pStyle w:val="TableText"/>
              <w:keepNext/>
            </w:pPr>
            <w:r w:rsidRPr="007407B7">
              <w:t xml:space="preserve">ESC criteria for HF diagnosis </w:t>
            </w:r>
            <w:r w:rsidRPr="007407B7">
              <w:rPr>
                <w:rStyle w:val="CommentaryemphasisTablesmid-paragraph"/>
                <w:color w:val="auto"/>
              </w:rPr>
              <w:t>(including echocardiography)</w:t>
            </w:r>
          </w:p>
        </w:tc>
        <w:tc>
          <w:tcPr>
            <w:tcW w:w="0" w:type="auto"/>
          </w:tcPr>
          <w:p w14:paraId="53F9D196" w14:textId="77777777" w:rsidR="00AD2DAD" w:rsidRPr="007407B7" w:rsidRDefault="00AD2DAD" w:rsidP="00152310">
            <w:pPr>
              <w:pStyle w:val="TableText"/>
              <w:keepNext/>
            </w:pPr>
            <w:r w:rsidRPr="007407B7">
              <w:t>No</w:t>
            </w:r>
          </w:p>
        </w:tc>
      </w:tr>
      <w:tr w:rsidR="0081504B" w14:paraId="2DA03F54" w14:textId="77777777" w:rsidTr="007A00B7">
        <w:tc>
          <w:tcPr>
            <w:tcW w:w="0" w:type="auto"/>
          </w:tcPr>
          <w:p w14:paraId="107A7BF3" w14:textId="77777777" w:rsidR="00A211B3" w:rsidRDefault="00AD2DAD" w:rsidP="007407B7">
            <w:pPr>
              <w:pStyle w:val="TableText"/>
            </w:pPr>
            <w:r w:rsidRPr="00404616">
              <w:t>Wright, 2003</w:t>
            </w:r>
          </w:p>
          <w:p w14:paraId="03DBDFEA" w14:textId="3A45527E" w:rsidR="00AD2DAD" w:rsidRDefault="00AD2DAD" w:rsidP="007407B7">
            <w:pPr>
              <w:pStyle w:val="TableText"/>
            </w:pPr>
            <w:r w:rsidRPr="002352F2">
              <w:t>NT-</w:t>
            </w:r>
            <w:proofErr w:type="spellStart"/>
            <w:r w:rsidRPr="002352F2">
              <w:t>proBNP</w:t>
            </w:r>
            <w:proofErr w:type="spellEnd"/>
            <w:r w:rsidRPr="002352F2">
              <w:t xml:space="preserve"> arm: 153</w:t>
            </w:r>
          </w:p>
        </w:tc>
        <w:tc>
          <w:tcPr>
            <w:tcW w:w="0" w:type="auto"/>
          </w:tcPr>
          <w:p w14:paraId="50AE1C82" w14:textId="77777777" w:rsidR="00AD2DAD" w:rsidRDefault="00AD2DAD" w:rsidP="007407B7">
            <w:pPr>
              <w:pStyle w:val="TableText"/>
            </w:pPr>
            <w:r>
              <w:t xml:space="preserve">Randomised single-blind controlled </w:t>
            </w:r>
            <w:proofErr w:type="gramStart"/>
            <w:r>
              <w:t>trial</w:t>
            </w:r>
            <w:proofErr w:type="gramEnd"/>
          </w:p>
          <w:p w14:paraId="609B71C9" w14:textId="77777777" w:rsidR="001D0E84" w:rsidRDefault="001D0E84" w:rsidP="007407B7">
            <w:pPr>
              <w:pStyle w:val="TableText"/>
            </w:pPr>
          </w:p>
          <w:p w14:paraId="42888F4D" w14:textId="77777777" w:rsidR="00AD2DAD" w:rsidRPr="008F202C" w:rsidRDefault="00AD2DAD" w:rsidP="007407B7">
            <w:pPr>
              <w:pStyle w:val="TableText"/>
            </w:pPr>
            <w:r w:rsidRPr="008F202C">
              <w:t>Low risk</w:t>
            </w:r>
          </w:p>
        </w:tc>
        <w:tc>
          <w:tcPr>
            <w:tcW w:w="0" w:type="auto"/>
          </w:tcPr>
          <w:p w14:paraId="0BEE6247" w14:textId="37C1F60C" w:rsidR="00AD2DAD" w:rsidRDefault="00AD2DAD" w:rsidP="007407B7">
            <w:pPr>
              <w:pStyle w:val="TableText"/>
            </w:pPr>
            <w:r>
              <w:t>Patients presenting to</w:t>
            </w:r>
            <w:r w:rsidR="00E51327">
              <w:t xml:space="preserve"> a</w:t>
            </w:r>
            <w:r>
              <w:t xml:space="preserve"> GP with symptoms of dyspnoea and/or oedema of recent onset</w:t>
            </w:r>
          </w:p>
        </w:tc>
        <w:tc>
          <w:tcPr>
            <w:tcW w:w="1960" w:type="dxa"/>
          </w:tcPr>
          <w:p w14:paraId="533D0772" w14:textId="77777777" w:rsidR="00AD2DAD" w:rsidRDefault="00AD2DAD" w:rsidP="007407B7">
            <w:pPr>
              <w:pStyle w:val="TableText"/>
            </w:pPr>
            <w:r>
              <w:t>Clinical diagnosis plus NT-</w:t>
            </w:r>
            <w:proofErr w:type="spellStart"/>
            <w:r>
              <w:t>proBNP</w:t>
            </w:r>
            <w:proofErr w:type="spellEnd"/>
          </w:p>
          <w:p w14:paraId="67538F75" w14:textId="12E42E7D" w:rsidR="00AD2DAD" w:rsidRDefault="00AD2DAD" w:rsidP="007407B7">
            <w:pPr>
              <w:pStyle w:val="TableText"/>
            </w:pPr>
            <w:r>
              <w:t>No</w:t>
            </w:r>
            <w:r w:rsidR="00DA460D">
              <w:t xml:space="preserve"> explicit threshold</w:t>
            </w:r>
            <w:r>
              <w:t xml:space="preserve"> – GP interpretive aid stated &lt;</w:t>
            </w:r>
            <w:r w:rsidRPr="005F1AF3">
              <w:t xml:space="preserve"> 50 </w:t>
            </w:r>
            <w:proofErr w:type="spellStart"/>
            <w:r w:rsidRPr="005F1AF3">
              <w:t>pmol</w:t>
            </w:r>
            <w:proofErr w:type="spellEnd"/>
            <w:r w:rsidRPr="005F1AF3">
              <w:t>/</w:t>
            </w:r>
            <w:r w:rsidR="000A7FED">
              <w:t>L</w:t>
            </w:r>
            <w:r>
              <w:t xml:space="preserve"> (~434 </w:t>
            </w:r>
            <w:proofErr w:type="spellStart"/>
            <w:r>
              <w:t>pg</w:t>
            </w:r>
            <w:proofErr w:type="spellEnd"/>
            <w:r>
              <w:t>/m</w:t>
            </w:r>
            <w:r w:rsidR="007D76DA">
              <w:t>L</w:t>
            </w:r>
            <w:r>
              <w:t xml:space="preserve">) is normal range and &gt;150 </w:t>
            </w:r>
            <w:proofErr w:type="spellStart"/>
            <w:r>
              <w:t>pmol</w:t>
            </w:r>
            <w:proofErr w:type="spellEnd"/>
            <w:r>
              <w:t>/</w:t>
            </w:r>
            <w:r w:rsidR="000A7FED">
              <w:t xml:space="preserve">L </w:t>
            </w:r>
            <w:r>
              <w:t xml:space="preserve">(~1,271 </w:t>
            </w:r>
            <w:proofErr w:type="spellStart"/>
            <w:r>
              <w:t>pg</w:t>
            </w:r>
            <w:proofErr w:type="spellEnd"/>
            <w:r>
              <w:t>/m</w:t>
            </w:r>
            <w:r w:rsidR="007D76DA">
              <w:t>L</w:t>
            </w:r>
            <w:r>
              <w:t>) strongly suggests HF</w:t>
            </w:r>
          </w:p>
        </w:tc>
        <w:tc>
          <w:tcPr>
            <w:tcW w:w="1631" w:type="dxa"/>
          </w:tcPr>
          <w:p w14:paraId="7AF795F7" w14:textId="70504C08" w:rsidR="00AD2DAD" w:rsidRDefault="00AD2DAD" w:rsidP="007407B7">
            <w:pPr>
              <w:pStyle w:val="TableText"/>
            </w:pPr>
            <w:r>
              <w:t xml:space="preserve">Clinical diagnosis of HF made by a panel of </w:t>
            </w:r>
            <w:r w:rsidR="005624BD">
              <w:t xml:space="preserve">4 </w:t>
            </w:r>
            <w:r>
              <w:t>experts (</w:t>
            </w:r>
            <w:r w:rsidR="005624BD">
              <w:t>3</w:t>
            </w:r>
            <w:r>
              <w:t xml:space="preserve"> cardiologists and </w:t>
            </w:r>
            <w:r w:rsidR="005624BD">
              <w:t xml:space="preserve">1 </w:t>
            </w:r>
            <w:r>
              <w:t>GP) using rigorous application of pre-defined criteria</w:t>
            </w:r>
          </w:p>
        </w:tc>
        <w:tc>
          <w:tcPr>
            <w:tcW w:w="0" w:type="auto"/>
          </w:tcPr>
          <w:p w14:paraId="1DA3BD42" w14:textId="77777777" w:rsidR="00AD2DAD" w:rsidRDefault="00AD2DAD" w:rsidP="007407B7">
            <w:pPr>
              <w:pStyle w:val="TableText"/>
            </w:pPr>
            <w:r>
              <w:t>No</w:t>
            </w:r>
          </w:p>
        </w:tc>
      </w:tr>
      <w:tr w:rsidR="0081504B" w:rsidRPr="007407B7" w14:paraId="703218B1" w14:textId="77777777" w:rsidTr="007A00B7">
        <w:tc>
          <w:tcPr>
            <w:tcW w:w="0" w:type="auto"/>
          </w:tcPr>
          <w:p w14:paraId="6CD47488" w14:textId="1562EB6E" w:rsidR="00AD2DAD" w:rsidRDefault="00AD2DAD" w:rsidP="007407B7">
            <w:pPr>
              <w:pStyle w:val="TableText"/>
            </w:pPr>
            <w:proofErr w:type="spellStart"/>
            <w:r w:rsidRPr="007407B7">
              <w:t>Neilsen</w:t>
            </w:r>
            <w:proofErr w:type="spellEnd"/>
            <w:r w:rsidRPr="007407B7">
              <w:t>, 2004</w:t>
            </w:r>
            <w:r w:rsidR="00113704">
              <w:rPr>
                <w:rStyle w:val="FootnoteReference"/>
              </w:rPr>
              <w:footnoteReference w:id="21"/>
            </w:r>
          </w:p>
          <w:p w14:paraId="2D877187" w14:textId="77777777" w:rsidR="00AD2DAD" w:rsidRPr="007407B7" w:rsidRDefault="00AD2DAD" w:rsidP="00CE5FEF">
            <w:pPr>
              <w:pStyle w:val="TableText"/>
              <w:rPr>
                <w:rStyle w:val="CommentaryemphasisTablesmid-paragraph"/>
                <w:color w:val="auto"/>
              </w:rPr>
            </w:pPr>
            <w:r w:rsidRPr="007407B7">
              <w:t>363</w:t>
            </w:r>
          </w:p>
          <w:p w14:paraId="77AA55C0" w14:textId="401B2614" w:rsidR="00AD2DAD" w:rsidRPr="007407B7" w:rsidRDefault="00AD2DAD" w:rsidP="00CE5FEF">
            <w:pPr>
              <w:pStyle w:val="TableText"/>
            </w:pPr>
            <w:r w:rsidRPr="007407B7">
              <w:rPr>
                <w:rStyle w:val="CommentaryemphasisTablesmid-paragraph"/>
                <w:color w:val="auto"/>
              </w:rPr>
              <w:t>(18 excluded from analysis [&lt;50 years], 345 analysed)</w:t>
            </w:r>
          </w:p>
        </w:tc>
        <w:tc>
          <w:tcPr>
            <w:tcW w:w="0" w:type="auto"/>
          </w:tcPr>
          <w:p w14:paraId="1F30BA9C" w14:textId="77777777" w:rsidR="00AD2DAD" w:rsidRDefault="00AD2DAD" w:rsidP="007407B7">
            <w:pPr>
              <w:pStyle w:val="TableText"/>
              <w:rPr>
                <w:rStyle w:val="CommentaryemphasisTablesmid-paragraph"/>
                <w:color w:val="auto"/>
              </w:rPr>
            </w:pPr>
            <w:r w:rsidRPr="007407B7">
              <w:rPr>
                <w:rStyle w:val="CommentaryemphasisTablesmid-paragraph"/>
                <w:color w:val="auto"/>
              </w:rPr>
              <w:t>Cross-sectional diagnostic accuracy</w:t>
            </w:r>
          </w:p>
          <w:p w14:paraId="32B40901" w14:textId="77777777" w:rsidR="001D0E84" w:rsidRPr="007407B7" w:rsidRDefault="001D0E84" w:rsidP="007407B7">
            <w:pPr>
              <w:pStyle w:val="TableText"/>
              <w:rPr>
                <w:rStyle w:val="CommentaryemphasisTablesmid-paragraph"/>
                <w:color w:val="auto"/>
              </w:rPr>
            </w:pPr>
          </w:p>
          <w:p w14:paraId="2B73B895" w14:textId="77777777" w:rsidR="00AD2DAD" w:rsidRPr="008F202C" w:rsidRDefault="00AD2DAD" w:rsidP="007407B7">
            <w:pPr>
              <w:pStyle w:val="TableText"/>
            </w:pPr>
            <w:r w:rsidRPr="008F202C">
              <w:t>High risk</w:t>
            </w:r>
          </w:p>
        </w:tc>
        <w:tc>
          <w:tcPr>
            <w:tcW w:w="0" w:type="auto"/>
          </w:tcPr>
          <w:p w14:paraId="117CF1AA" w14:textId="5381C105" w:rsidR="00AD2DAD" w:rsidRPr="007407B7" w:rsidRDefault="00AD2DAD" w:rsidP="007407B7">
            <w:pPr>
              <w:pStyle w:val="TableText"/>
            </w:pPr>
            <w:r w:rsidRPr="007407B7">
              <w:rPr>
                <w:rStyle w:val="TableTextChar"/>
              </w:rPr>
              <w:t xml:space="preserve">Patients presenting to </w:t>
            </w:r>
            <w:r w:rsidR="00E51327">
              <w:rPr>
                <w:rStyle w:val="TableTextChar"/>
              </w:rPr>
              <w:t>a</w:t>
            </w:r>
            <w:r w:rsidRPr="007407B7">
              <w:rPr>
                <w:rStyle w:val="TableTextChar"/>
              </w:rPr>
              <w:t xml:space="preserve"> GP complaining of dyspnoea</w:t>
            </w:r>
            <w:r w:rsidRPr="007407B7">
              <w:t xml:space="preserve"> </w:t>
            </w:r>
            <w:r w:rsidRPr="007407B7">
              <w:rPr>
                <w:rStyle w:val="CommentaryemphasisTablesmid-paragraph"/>
                <w:color w:val="auto"/>
              </w:rPr>
              <w:t>of at least 2 weeks duration</w:t>
            </w:r>
          </w:p>
        </w:tc>
        <w:tc>
          <w:tcPr>
            <w:tcW w:w="1960" w:type="dxa"/>
          </w:tcPr>
          <w:p w14:paraId="014FCFD1" w14:textId="77777777" w:rsidR="00AD2DAD" w:rsidRPr="007407B7" w:rsidRDefault="00AD2DAD" w:rsidP="007407B7">
            <w:pPr>
              <w:pStyle w:val="TableText"/>
            </w:pPr>
            <w:r w:rsidRPr="007407B7">
              <w:t>NT-</w:t>
            </w:r>
            <w:proofErr w:type="spellStart"/>
            <w:r w:rsidRPr="007407B7">
              <w:t>proBNP</w:t>
            </w:r>
            <w:proofErr w:type="spellEnd"/>
            <w:r w:rsidRPr="007407B7">
              <w:t xml:space="preserve"> assay</w:t>
            </w:r>
          </w:p>
          <w:p w14:paraId="6DE43C38" w14:textId="77777777" w:rsidR="00AD2DAD" w:rsidRPr="007407B7" w:rsidRDefault="00AD2DAD" w:rsidP="007407B7">
            <w:pPr>
              <w:pStyle w:val="TableText"/>
            </w:pPr>
            <w:r w:rsidRPr="007407B7">
              <w:t xml:space="preserve">Men: </w:t>
            </w:r>
          </w:p>
          <w:p w14:paraId="67E7327E"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76 </w:t>
            </w:r>
            <w:proofErr w:type="spellStart"/>
            <w:r w:rsidRPr="008F202C">
              <w:rPr>
                <w:rStyle w:val="CommentaryemphasisTablesmid-paragraph"/>
                <w:color w:val="auto"/>
              </w:rPr>
              <w:t>pg</w:t>
            </w:r>
            <w:proofErr w:type="spellEnd"/>
            <w:r w:rsidRPr="008F202C">
              <w:rPr>
                <w:rStyle w:val="CommentaryemphasisTablesmid-paragraph"/>
                <w:color w:val="auto"/>
              </w:rPr>
              <w:t xml:space="preserve">/mL </w:t>
            </w:r>
          </w:p>
          <w:p w14:paraId="2B8904C9"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93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428953E8"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153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2964D0A9" w14:textId="33D6CF3C" w:rsidR="00AD2DAD" w:rsidRPr="00B5190D" w:rsidRDefault="00AD2DAD" w:rsidP="00B5190D">
            <w:pPr>
              <w:pStyle w:val="TableText"/>
            </w:pPr>
            <w:r w:rsidRPr="00B5190D">
              <w:t xml:space="preserve">Women: </w:t>
            </w:r>
          </w:p>
          <w:p w14:paraId="1BA5B405"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68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3EF7E860"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144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479A8C6E"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220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0F0A44D6" w14:textId="77777777" w:rsidR="00AD2DAD" w:rsidRPr="007407B7" w:rsidRDefault="00AD2DAD" w:rsidP="007407B7">
            <w:pPr>
              <w:pStyle w:val="TableText"/>
            </w:pPr>
            <w:r w:rsidRPr="007407B7">
              <w:t>(Thresholds not prespecified – picked from ROC curve)</w:t>
            </w:r>
          </w:p>
        </w:tc>
        <w:tc>
          <w:tcPr>
            <w:tcW w:w="1631" w:type="dxa"/>
          </w:tcPr>
          <w:p w14:paraId="3E6A100F" w14:textId="67D3AAEA" w:rsidR="00AD2DAD" w:rsidRPr="007407B7" w:rsidRDefault="00AD2DAD" w:rsidP="007407B7">
            <w:pPr>
              <w:pStyle w:val="TableText"/>
            </w:pPr>
            <w:r w:rsidRPr="007407B7">
              <w:t xml:space="preserve">ESC criteria for </w:t>
            </w:r>
            <w:r w:rsidR="005624BD">
              <w:t>HF</w:t>
            </w:r>
            <w:r w:rsidR="005624BD" w:rsidRPr="007407B7">
              <w:t xml:space="preserve"> </w:t>
            </w:r>
            <w:r w:rsidRPr="007407B7">
              <w:t>diagnosis</w:t>
            </w:r>
          </w:p>
          <w:p w14:paraId="05F6F01C" w14:textId="77777777" w:rsidR="00AD2DAD" w:rsidRPr="007407B7" w:rsidRDefault="00AD2DAD" w:rsidP="007407B7">
            <w:pPr>
              <w:pStyle w:val="TableText"/>
            </w:pPr>
            <w:r w:rsidRPr="007407B7">
              <w:t>Diagnosis made at a hospital dyspnoea clinic</w:t>
            </w:r>
          </w:p>
        </w:tc>
        <w:tc>
          <w:tcPr>
            <w:tcW w:w="0" w:type="auto"/>
          </w:tcPr>
          <w:p w14:paraId="46601C7F" w14:textId="77777777" w:rsidR="00AD2DAD" w:rsidRPr="007407B7" w:rsidRDefault="00AD2DAD" w:rsidP="007407B7">
            <w:pPr>
              <w:pStyle w:val="TableText"/>
            </w:pPr>
            <w:r w:rsidRPr="007407B7">
              <w:t>No</w:t>
            </w:r>
          </w:p>
        </w:tc>
      </w:tr>
      <w:tr w:rsidR="0081504B" w:rsidRPr="007407B7" w14:paraId="34C1375A" w14:textId="77777777" w:rsidTr="007A00B7">
        <w:tc>
          <w:tcPr>
            <w:tcW w:w="0" w:type="auto"/>
          </w:tcPr>
          <w:p w14:paraId="10AD5E03" w14:textId="71F92CD3" w:rsidR="00AD2DAD" w:rsidRDefault="00AD2DAD" w:rsidP="007407B7">
            <w:pPr>
              <w:pStyle w:val="TableText"/>
            </w:pPr>
            <w:proofErr w:type="spellStart"/>
            <w:r w:rsidRPr="007407B7">
              <w:t>Zaphiriou</w:t>
            </w:r>
            <w:proofErr w:type="spellEnd"/>
            <w:r w:rsidRPr="007407B7">
              <w:t>, 2005</w:t>
            </w:r>
          </w:p>
          <w:p w14:paraId="4CEA2600" w14:textId="7368DBCC" w:rsidR="00AD2DAD" w:rsidRPr="007407B7" w:rsidRDefault="00AD2DAD" w:rsidP="007407B7">
            <w:pPr>
              <w:pStyle w:val="TableText"/>
            </w:pPr>
            <w:r w:rsidRPr="007407B7">
              <w:t xml:space="preserve">306 </w:t>
            </w:r>
            <w:r w:rsidRPr="007407B7">
              <w:rPr>
                <w:rStyle w:val="CommentaryemphasisTablesmid-paragraph"/>
                <w:color w:val="auto"/>
              </w:rPr>
              <w:t>(NT-</w:t>
            </w:r>
            <w:proofErr w:type="spellStart"/>
            <w:r w:rsidRPr="007407B7">
              <w:rPr>
                <w:rStyle w:val="CommentaryemphasisTablesmid-paragraph"/>
                <w:color w:val="auto"/>
              </w:rPr>
              <w:t>proBNP</w:t>
            </w:r>
            <w:proofErr w:type="spellEnd"/>
            <w:r w:rsidRPr="007407B7">
              <w:rPr>
                <w:rStyle w:val="CommentaryemphasisTablesmid-paragraph"/>
                <w:color w:val="auto"/>
              </w:rPr>
              <w:t xml:space="preserve"> available in </w:t>
            </w:r>
            <w:r w:rsidRPr="007407B7">
              <w:rPr>
                <w:rStyle w:val="CommentaryemphasisTablesmid-paragraph"/>
                <w:color w:val="auto"/>
              </w:rPr>
              <w:lastRenderedPageBreak/>
              <w:t>302 participants)</w:t>
            </w:r>
          </w:p>
        </w:tc>
        <w:tc>
          <w:tcPr>
            <w:tcW w:w="0" w:type="auto"/>
          </w:tcPr>
          <w:p w14:paraId="75329AE9" w14:textId="77777777" w:rsidR="00AD2DAD" w:rsidRDefault="00AD2DAD" w:rsidP="007407B7">
            <w:pPr>
              <w:pStyle w:val="TableText"/>
            </w:pPr>
            <w:r w:rsidRPr="007407B7">
              <w:lastRenderedPageBreak/>
              <w:t>Cross sectional diagnostic accuracy</w:t>
            </w:r>
          </w:p>
          <w:p w14:paraId="1300A899" w14:textId="77777777" w:rsidR="001D0E84" w:rsidRPr="007407B7" w:rsidRDefault="001D0E84" w:rsidP="007407B7">
            <w:pPr>
              <w:pStyle w:val="TableText"/>
            </w:pPr>
          </w:p>
          <w:p w14:paraId="316DC9D1" w14:textId="77777777" w:rsidR="00AD2DAD" w:rsidRPr="008F202C" w:rsidRDefault="00AD2DAD" w:rsidP="007407B7">
            <w:pPr>
              <w:pStyle w:val="TableText"/>
            </w:pPr>
            <w:r w:rsidRPr="008F202C">
              <w:t>Low risk</w:t>
            </w:r>
          </w:p>
        </w:tc>
        <w:tc>
          <w:tcPr>
            <w:tcW w:w="0" w:type="auto"/>
          </w:tcPr>
          <w:p w14:paraId="5BE4236D" w14:textId="60534EA2" w:rsidR="00AD2DAD" w:rsidRPr="007407B7" w:rsidRDefault="00AD2DAD" w:rsidP="007407B7">
            <w:pPr>
              <w:pStyle w:val="TableText"/>
            </w:pPr>
            <w:r w:rsidRPr="007407B7">
              <w:lastRenderedPageBreak/>
              <w:t xml:space="preserve">Consecutive patients referred by </w:t>
            </w:r>
            <w:r w:rsidR="00E51327">
              <w:t xml:space="preserve">a </w:t>
            </w:r>
            <w:r w:rsidRPr="007407B7">
              <w:t>GP to rapid access HF clinic</w:t>
            </w:r>
          </w:p>
        </w:tc>
        <w:tc>
          <w:tcPr>
            <w:tcW w:w="1960" w:type="dxa"/>
          </w:tcPr>
          <w:p w14:paraId="490CC752" w14:textId="2E6479E9" w:rsidR="0074581F" w:rsidRDefault="00863E53" w:rsidP="008F202C">
            <w:pPr>
              <w:pStyle w:val="TableText"/>
            </w:pPr>
            <w:r>
              <w:t>NT-</w:t>
            </w:r>
            <w:proofErr w:type="spellStart"/>
            <w:r>
              <w:t>proBNP</w:t>
            </w:r>
            <w:proofErr w:type="spellEnd"/>
          </w:p>
          <w:p w14:paraId="5A2FF7E5" w14:textId="6FC73A19"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lastRenderedPageBreak/>
              <w:t xml:space="preserve">125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7D45EA39"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166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7E378B55"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280 </w:t>
            </w:r>
            <w:proofErr w:type="spellStart"/>
            <w:r w:rsidRPr="008F202C">
              <w:rPr>
                <w:rStyle w:val="CommentaryemphasisTablesmid-paragraph"/>
                <w:color w:val="auto"/>
              </w:rPr>
              <w:t>pg</w:t>
            </w:r>
            <w:proofErr w:type="spellEnd"/>
            <w:r w:rsidRPr="008F202C">
              <w:rPr>
                <w:rStyle w:val="CommentaryemphasisTablesmid-paragraph"/>
                <w:color w:val="auto"/>
              </w:rPr>
              <w:t>/mL (NICE)</w:t>
            </w:r>
          </w:p>
          <w:p w14:paraId="33E93B2F" w14:textId="236106AD" w:rsidR="00AD2DAD" w:rsidRPr="007407B7" w:rsidRDefault="00AD2DAD" w:rsidP="008F202C">
            <w:pPr>
              <w:pStyle w:val="TableText"/>
              <w:keepNext/>
              <w:numPr>
                <w:ilvl w:val="0"/>
                <w:numId w:val="17"/>
              </w:numPr>
              <w:spacing w:before="0" w:after="0"/>
              <w:ind w:left="220" w:hanging="220"/>
            </w:pPr>
            <w:r w:rsidRPr="008F202C">
              <w:rPr>
                <w:rStyle w:val="CommentaryemphasisTablesmid-paragraph"/>
                <w:color w:val="auto"/>
              </w:rPr>
              <w:t xml:space="preserve">400 </w:t>
            </w:r>
            <w:proofErr w:type="spellStart"/>
            <w:r w:rsidRPr="008F202C">
              <w:rPr>
                <w:rStyle w:val="CommentaryemphasisTablesmid-paragraph"/>
                <w:color w:val="auto"/>
              </w:rPr>
              <w:t>pg</w:t>
            </w:r>
            <w:proofErr w:type="spellEnd"/>
            <w:r w:rsidRPr="008F202C">
              <w:rPr>
                <w:rStyle w:val="CommentaryemphasisTablesmid-paragraph"/>
                <w:color w:val="auto"/>
              </w:rPr>
              <w:t>/mL (NICE)</w:t>
            </w:r>
          </w:p>
        </w:tc>
        <w:tc>
          <w:tcPr>
            <w:tcW w:w="1631" w:type="dxa"/>
          </w:tcPr>
          <w:p w14:paraId="5AB1238B" w14:textId="07F5B7D1" w:rsidR="00AD2DAD" w:rsidRPr="007407B7" w:rsidRDefault="00AD2DAD" w:rsidP="007407B7">
            <w:pPr>
              <w:pStyle w:val="TableText"/>
            </w:pPr>
            <w:r w:rsidRPr="007407B7">
              <w:lastRenderedPageBreak/>
              <w:t>Cardiologist diagnosis of HF based on ESC criteria</w:t>
            </w:r>
            <w:r w:rsidRPr="007407B7">
              <w:rPr>
                <w:rStyle w:val="CommentaryemphasisTablesmid-paragraph"/>
                <w:color w:val="auto"/>
              </w:rPr>
              <w:t xml:space="preserve"> (blind to </w:t>
            </w:r>
            <w:r w:rsidRPr="007407B7">
              <w:rPr>
                <w:rStyle w:val="CommentaryemphasisTablesmid-paragraph"/>
                <w:color w:val="auto"/>
              </w:rPr>
              <w:lastRenderedPageBreak/>
              <w:t>BNP and NT</w:t>
            </w:r>
            <w:r w:rsidR="00850E48">
              <w:rPr>
                <w:rStyle w:val="CommentaryemphasisTablesmid-paragraph"/>
                <w:color w:val="auto"/>
              </w:rPr>
              <w:t>-</w:t>
            </w:r>
            <w:proofErr w:type="spellStart"/>
            <w:r w:rsidRPr="007407B7">
              <w:rPr>
                <w:rStyle w:val="CommentaryemphasisTablesmid-paragraph"/>
                <w:color w:val="auto"/>
              </w:rPr>
              <w:t>proBNP</w:t>
            </w:r>
            <w:proofErr w:type="spellEnd"/>
            <w:r w:rsidRPr="007407B7">
              <w:rPr>
                <w:rStyle w:val="CommentaryemphasisTablesmid-paragraph"/>
                <w:color w:val="auto"/>
              </w:rPr>
              <w:t xml:space="preserve"> results)</w:t>
            </w:r>
          </w:p>
        </w:tc>
        <w:tc>
          <w:tcPr>
            <w:tcW w:w="0" w:type="auto"/>
          </w:tcPr>
          <w:p w14:paraId="37CD40DF" w14:textId="77777777" w:rsidR="00AD2DAD" w:rsidRDefault="00AD2DAD" w:rsidP="007407B7">
            <w:pPr>
              <w:pStyle w:val="TableText"/>
            </w:pPr>
            <w:r w:rsidRPr="007407B7">
              <w:lastRenderedPageBreak/>
              <w:t xml:space="preserve">Yes </w:t>
            </w:r>
          </w:p>
          <w:p w14:paraId="029AF676" w14:textId="77777777" w:rsidR="00AD2DAD" w:rsidRDefault="00AD2DAD" w:rsidP="007407B7">
            <w:pPr>
              <w:pStyle w:val="TableText"/>
            </w:pPr>
            <w:r>
              <w:t>– for ADAR (pooled analysis)</w:t>
            </w:r>
          </w:p>
          <w:p w14:paraId="3FD615DF" w14:textId="48A4F0B9" w:rsidR="00AD2DAD" w:rsidRDefault="00AD2DAD" w:rsidP="007407B7">
            <w:pPr>
              <w:pStyle w:val="TableText"/>
            </w:pPr>
            <w:r>
              <w:lastRenderedPageBreak/>
              <w:t>Yes</w:t>
            </w:r>
          </w:p>
          <w:p w14:paraId="0183B4F1" w14:textId="6F469A51" w:rsidR="00AD2DAD" w:rsidRPr="007407B7" w:rsidRDefault="00AD2DAD" w:rsidP="007407B7">
            <w:pPr>
              <w:pStyle w:val="TableText"/>
            </w:pPr>
            <w:r w:rsidRPr="007407B7">
              <w:t>– for commentary analysis</w:t>
            </w:r>
          </w:p>
        </w:tc>
      </w:tr>
      <w:tr w:rsidR="0081504B" w14:paraId="613ACCE5" w14:textId="77777777" w:rsidTr="007A00B7">
        <w:tc>
          <w:tcPr>
            <w:tcW w:w="0" w:type="auto"/>
          </w:tcPr>
          <w:p w14:paraId="05E5AEF8" w14:textId="13E9255D" w:rsidR="00AD2DAD" w:rsidRDefault="00AD2DAD" w:rsidP="007407B7">
            <w:pPr>
              <w:pStyle w:val="TableText"/>
            </w:pPr>
            <w:r w:rsidRPr="002E5FBD">
              <w:lastRenderedPageBreak/>
              <w:t>Taylor 2023</w:t>
            </w:r>
            <w:r w:rsidR="00285765">
              <w:rPr>
                <w:rStyle w:val="FootnoteReference"/>
              </w:rPr>
              <w:footnoteReference w:id="22"/>
            </w:r>
          </w:p>
          <w:p w14:paraId="73753B34" w14:textId="30BCC0BA" w:rsidR="00AD2DAD" w:rsidRPr="00404616" w:rsidRDefault="00AD2DAD" w:rsidP="007407B7">
            <w:pPr>
              <w:pStyle w:val="TableText"/>
            </w:pPr>
            <w:r w:rsidRPr="00D854B4">
              <w:t>155,347</w:t>
            </w:r>
            <w:r w:rsidR="00F36D04">
              <w:t xml:space="preserve"> (NT-</w:t>
            </w:r>
            <w:proofErr w:type="spellStart"/>
            <w:r w:rsidR="00F36D04">
              <w:t>proBNP</w:t>
            </w:r>
            <w:proofErr w:type="spellEnd"/>
            <w:r w:rsidR="00F36D04">
              <w:t>)</w:t>
            </w:r>
          </w:p>
        </w:tc>
        <w:tc>
          <w:tcPr>
            <w:tcW w:w="0" w:type="auto"/>
          </w:tcPr>
          <w:p w14:paraId="401CAF35" w14:textId="77777777" w:rsidR="00AD2DAD" w:rsidRDefault="00AD2DAD" w:rsidP="007407B7">
            <w:pPr>
              <w:pStyle w:val="TableText"/>
            </w:pPr>
            <w:r w:rsidRPr="00D854B4">
              <w:t>Diagnostic accuracy</w:t>
            </w:r>
          </w:p>
          <w:p w14:paraId="6B12E129" w14:textId="77777777" w:rsidR="001D0E84" w:rsidRDefault="001D0E84" w:rsidP="007407B7">
            <w:pPr>
              <w:pStyle w:val="TableText"/>
            </w:pPr>
          </w:p>
          <w:p w14:paraId="277A6D15" w14:textId="77777777" w:rsidR="00AD2DAD" w:rsidRPr="008F202C" w:rsidRDefault="00AD2DAD" w:rsidP="007407B7">
            <w:pPr>
              <w:pStyle w:val="TableText"/>
            </w:pPr>
            <w:r w:rsidRPr="008F202C">
              <w:t>Some concerns</w:t>
            </w:r>
          </w:p>
        </w:tc>
        <w:tc>
          <w:tcPr>
            <w:tcW w:w="0" w:type="auto"/>
          </w:tcPr>
          <w:p w14:paraId="1EB77687" w14:textId="419FD1C5" w:rsidR="00AD2DAD" w:rsidRDefault="00AD2DAD" w:rsidP="007407B7">
            <w:pPr>
              <w:pStyle w:val="TableText"/>
            </w:pPr>
            <w:r w:rsidRPr="00CC167E">
              <w:t xml:space="preserve">Patients aged ≥45 years in the two clinical practice research data link databases with a </w:t>
            </w:r>
            <w:r w:rsidR="00F36D04">
              <w:t>B</w:t>
            </w:r>
            <w:r w:rsidRPr="00CC167E">
              <w:t>NP</w:t>
            </w:r>
            <w:r w:rsidR="00F36D04">
              <w:t xml:space="preserve"> or NT-</w:t>
            </w:r>
            <w:proofErr w:type="spellStart"/>
            <w:r w:rsidR="00F36D04">
              <w:t>proBNP</w:t>
            </w:r>
            <w:proofErr w:type="spellEnd"/>
            <w:r w:rsidR="00F36D04">
              <w:t xml:space="preserve"> </w:t>
            </w:r>
            <w:r w:rsidRPr="00CC167E">
              <w:t>test result in their primary care record between 1 Jan 2004 and 31 Dec 2018</w:t>
            </w:r>
          </w:p>
        </w:tc>
        <w:tc>
          <w:tcPr>
            <w:tcW w:w="1960" w:type="dxa"/>
          </w:tcPr>
          <w:p w14:paraId="252FEAE2" w14:textId="7605C9CB" w:rsidR="00C9482A" w:rsidRDefault="00C9482A" w:rsidP="00FE70CA">
            <w:pPr>
              <w:pStyle w:val="TableText"/>
            </w:pPr>
            <w:r>
              <w:t>NT-</w:t>
            </w:r>
            <w:proofErr w:type="spellStart"/>
            <w:r>
              <w:t>proBNP</w:t>
            </w:r>
            <w:proofErr w:type="spellEnd"/>
            <w:r>
              <w:t xml:space="preserve"> </w:t>
            </w:r>
            <w:r w:rsidR="00401022">
              <w:t>assay</w:t>
            </w:r>
            <w:r>
              <w:t>:</w:t>
            </w:r>
          </w:p>
          <w:p w14:paraId="53BF0A17"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125 </w:t>
            </w:r>
            <w:proofErr w:type="spellStart"/>
            <w:r w:rsidRPr="008F202C">
              <w:rPr>
                <w:rStyle w:val="CommentaryemphasisTablesmid-paragraph"/>
                <w:color w:val="auto"/>
              </w:rPr>
              <w:t>pg</w:t>
            </w:r>
            <w:proofErr w:type="spellEnd"/>
            <w:r w:rsidRPr="008F202C">
              <w:rPr>
                <w:rStyle w:val="CommentaryemphasisTablesmid-paragraph"/>
                <w:color w:val="auto"/>
              </w:rPr>
              <w:t xml:space="preserve">/mL </w:t>
            </w:r>
          </w:p>
          <w:p w14:paraId="62F2F696"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400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1DEAB75B" w14:textId="77777777" w:rsidR="00AD2DAD" w:rsidRDefault="00AD2DAD" w:rsidP="008F202C">
            <w:pPr>
              <w:pStyle w:val="TableText"/>
              <w:keepNext/>
              <w:numPr>
                <w:ilvl w:val="0"/>
                <w:numId w:val="17"/>
              </w:numPr>
              <w:spacing w:before="0" w:after="0"/>
              <w:ind w:left="220" w:hanging="220"/>
            </w:pPr>
            <w:r w:rsidRPr="008F202C">
              <w:rPr>
                <w:rStyle w:val="CommentaryemphasisTablesmid-paragraph"/>
                <w:color w:val="auto"/>
              </w:rPr>
              <w:t xml:space="preserve">2000 </w:t>
            </w:r>
            <w:proofErr w:type="spellStart"/>
            <w:r w:rsidRPr="008F202C">
              <w:rPr>
                <w:rStyle w:val="CommentaryemphasisTablesmid-paragraph"/>
                <w:color w:val="auto"/>
              </w:rPr>
              <w:t>pg</w:t>
            </w:r>
            <w:proofErr w:type="spellEnd"/>
            <w:r w:rsidRPr="008F202C">
              <w:rPr>
                <w:rStyle w:val="CommentaryemphasisTablesmid-paragraph"/>
                <w:color w:val="auto"/>
              </w:rPr>
              <w:t>/mL</w:t>
            </w:r>
          </w:p>
        </w:tc>
        <w:tc>
          <w:tcPr>
            <w:tcW w:w="1631" w:type="dxa"/>
          </w:tcPr>
          <w:p w14:paraId="2B9C094A" w14:textId="77777777" w:rsidR="00AD2DAD" w:rsidRDefault="00AD2DAD" w:rsidP="007407B7">
            <w:pPr>
              <w:pStyle w:val="TableText"/>
            </w:pPr>
            <w:r w:rsidRPr="00CC167E">
              <w:t>HF diagnosis within 6 months of most recent NT-</w:t>
            </w:r>
            <w:proofErr w:type="spellStart"/>
            <w:r w:rsidRPr="00CC167E">
              <w:t>proBNP</w:t>
            </w:r>
            <w:proofErr w:type="spellEnd"/>
            <w:r w:rsidRPr="00CC167E">
              <w:t xml:space="preserve"> test</w:t>
            </w:r>
            <w:r>
              <w:t>,</w:t>
            </w:r>
            <w:r w:rsidRPr="00CC167E">
              <w:t xml:space="preserve"> obtained from diagnostic code in CPRD database or HES Admitted Patient Care data based on hospital admission because of HF or echocardiography findings consistent with HF</w:t>
            </w:r>
          </w:p>
        </w:tc>
        <w:tc>
          <w:tcPr>
            <w:tcW w:w="0" w:type="auto"/>
          </w:tcPr>
          <w:p w14:paraId="2822FC6E" w14:textId="77777777" w:rsidR="00AD2DAD" w:rsidRDefault="00AD2DAD" w:rsidP="007407B7">
            <w:pPr>
              <w:pStyle w:val="TableText"/>
            </w:pPr>
            <w:r>
              <w:t>No</w:t>
            </w:r>
          </w:p>
        </w:tc>
      </w:tr>
      <w:tr w:rsidR="0081504B" w14:paraId="1CC3AC16" w14:textId="77777777" w:rsidTr="007A00B7">
        <w:tc>
          <w:tcPr>
            <w:tcW w:w="0" w:type="auto"/>
          </w:tcPr>
          <w:p w14:paraId="3E270B61" w14:textId="08BAF5F9" w:rsidR="00AD2DAD" w:rsidRDefault="00AD2DAD" w:rsidP="007407B7">
            <w:pPr>
              <w:pStyle w:val="TableText"/>
            </w:pPr>
            <w:proofErr w:type="spellStart"/>
            <w:r w:rsidRPr="002E5FBD">
              <w:t>Verdu</w:t>
            </w:r>
            <w:proofErr w:type="spellEnd"/>
            <w:r w:rsidRPr="002E5FBD">
              <w:t xml:space="preserve"> 2012 (</w:t>
            </w:r>
            <w:r w:rsidR="00CD7E52">
              <w:t>p</w:t>
            </w:r>
            <w:r w:rsidRPr="002E5FBD">
              <w:t>oint</w:t>
            </w:r>
            <w:r w:rsidR="00CD7E52">
              <w:t>-</w:t>
            </w:r>
            <w:r w:rsidRPr="002E5FBD">
              <w:t>of</w:t>
            </w:r>
            <w:r w:rsidR="00CD7E52">
              <w:t>-</w:t>
            </w:r>
            <w:r w:rsidRPr="002E5FBD">
              <w:t>care)</w:t>
            </w:r>
          </w:p>
          <w:p w14:paraId="27D34B3A" w14:textId="7AEC594F" w:rsidR="00AD2DAD" w:rsidRPr="00404616" w:rsidRDefault="00AD2DAD" w:rsidP="007407B7">
            <w:pPr>
              <w:pStyle w:val="TableText"/>
            </w:pPr>
            <w:r>
              <w:t>220</w:t>
            </w:r>
          </w:p>
        </w:tc>
        <w:tc>
          <w:tcPr>
            <w:tcW w:w="0" w:type="auto"/>
          </w:tcPr>
          <w:p w14:paraId="5C876408" w14:textId="77777777" w:rsidR="00AD2DAD" w:rsidRDefault="00AD2DAD" w:rsidP="007407B7">
            <w:pPr>
              <w:pStyle w:val="TableText"/>
            </w:pPr>
            <w:r>
              <w:t>Cross sectional diagnostic accuracy</w:t>
            </w:r>
          </w:p>
          <w:p w14:paraId="0A248376" w14:textId="77777777" w:rsidR="001D0E84" w:rsidRDefault="001D0E84" w:rsidP="007407B7">
            <w:pPr>
              <w:pStyle w:val="TableText"/>
            </w:pPr>
          </w:p>
          <w:p w14:paraId="51156A2F" w14:textId="77777777" w:rsidR="00AD2DAD" w:rsidRPr="008F202C" w:rsidRDefault="00AD2DAD" w:rsidP="007407B7">
            <w:pPr>
              <w:pStyle w:val="TableText"/>
            </w:pPr>
            <w:r w:rsidRPr="008F202C">
              <w:t>Low risk</w:t>
            </w:r>
          </w:p>
        </w:tc>
        <w:tc>
          <w:tcPr>
            <w:tcW w:w="0" w:type="auto"/>
          </w:tcPr>
          <w:p w14:paraId="3D9780C4" w14:textId="1DDDC698" w:rsidR="00AD2DAD" w:rsidRDefault="00E51327" w:rsidP="007407B7">
            <w:pPr>
              <w:pStyle w:val="TableText"/>
            </w:pPr>
            <w:r>
              <w:t>C</w:t>
            </w:r>
            <w:r w:rsidR="00AD2DAD" w:rsidRPr="00ED6C60">
              <w:t>onsecutive patients in whom echocardiography was requested by a primary care physician to investigate suspected HF, regardless of comorbidities or current medical treatment</w:t>
            </w:r>
          </w:p>
        </w:tc>
        <w:tc>
          <w:tcPr>
            <w:tcW w:w="1960" w:type="dxa"/>
          </w:tcPr>
          <w:p w14:paraId="7833A40F" w14:textId="77777777" w:rsidR="00AD2DAD" w:rsidRDefault="00AD2DAD" w:rsidP="007407B7">
            <w:pPr>
              <w:pStyle w:val="TableText"/>
            </w:pPr>
            <w:r w:rsidRPr="00D16E12">
              <w:t>NT-</w:t>
            </w:r>
            <w:proofErr w:type="spellStart"/>
            <w:r w:rsidRPr="00D16E12">
              <w:t>proBNP</w:t>
            </w:r>
            <w:proofErr w:type="spellEnd"/>
            <w:r w:rsidRPr="00D16E12">
              <w:t xml:space="preserve"> assay</w:t>
            </w:r>
          </w:p>
          <w:p w14:paraId="7029D0E0"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125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0F3F2447"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280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045F77DC" w14:textId="77777777" w:rsidR="00AD2DAD" w:rsidRDefault="00AD2DAD" w:rsidP="008F202C">
            <w:pPr>
              <w:pStyle w:val="TableText"/>
              <w:keepNext/>
              <w:numPr>
                <w:ilvl w:val="0"/>
                <w:numId w:val="17"/>
              </w:numPr>
              <w:spacing w:before="0" w:after="0"/>
              <w:ind w:left="220" w:hanging="220"/>
            </w:pPr>
            <w:r w:rsidRPr="008F202C">
              <w:rPr>
                <w:rStyle w:val="CommentaryemphasisTablesmid-paragraph"/>
                <w:color w:val="auto"/>
              </w:rPr>
              <w:t xml:space="preserve">400 </w:t>
            </w:r>
            <w:proofErr w:type="spellStart"/>
            <w:r w:rsidRPr="008F202C">
              <w:rPr>
                <w:rStyle w:val="CommentaryemphasisTablesmid-paragraph"/>
                <w:color w:val="auto"/>
              </w:rPr>
              <w:t>pg</w:t>
            </w:r>
            <w:proofErr w:type="spellEnd"/>
            <w:r w:rsidRPr="008F202C">
              <w:rPr>
                <w:rStyle w:val="CommentaryemphasisTablesmid-paragraph"/>
                <w:color w:val="auto"/>
              </w:rPr>
              <w:t>/mL</w:t>
            </w:r>
          </w:p>
        </w:tc>
        <w:tc>
          <w:tcPr>
            <w:tcW w:w="1631" w:type="dxa"/>
          </w:tcPr>
          <w:p w14:paraId="76A234AE" w14:textId="77777777" w:rsidR="00AD2DAD" w:rsidRDefault="00AD2DAD" w:rsidP="007407B7">
            <w:pPr>
              <w:pStyle w:val="TableText"/>
            </w:pPr>
            <w:r>
              <w:t>ESC criteria for HF (single cardiologist)</w:t>
            </w:r>
          </w:p>
        </w:tc>
        <w:tc>
          <w:tcPr>
            <w:tcW w:w="0" w:type="auto"/>
          </w:tcPr>
          <w:p w14:paraId="6D7AD82A" w14:textId="705A02EA" w:rsidR="00AD2DAD" w:rsidRDefault="00AD2DAD" w:rsidP="007407B7">
            <w:pPr>
              <w:pStyle w:val="TableText"/>
            </w:pPr>
            <w:r>
              <w:t>Yes – for ADAR (pooled analysis)</w:t>
            </w:r>
          </w:p>
        </w:tc>
      </w:tr>
      <w:tr w:rsidR="0081504B" w14:paraId="26E88E2B" w14:textId="77777777" w:rsidTr="007A00B7">
        <w:tc>
          <w:tcPr>
            <w:tcW w:w="0" w:type="auto"/>
          </w:tcPr>
          <w:p w14:paraId="6C612DAB" w14:textId="077AFB59" w:rsidR="00AD2DAD" w:rsidRDefault="00AD2DAD" w:rsidP="00B101C1">
            <w:pPr>
              <w:pStyle w:val="TableText"/>
              <w:keepNext/>
            </w:pPr>
            <w:r w:rsidRPr="002E5FBD">
              <w:t>Taylor 2017 (</w:t>
            </w:r>
            <w:r w:rsidR="00CD7E52">
              <w:t>p</w:t>
            </w:r>
            <w:r w:rsidRPr="002E5FBD">
              <w:t>oint</w:t>
            </w:r>
            <w:r w:rsidR="00CD7E52">
              <w:t>-</w:t>
            </w:r>
            <w:r w:rsidRPr="002E5FBD">
              <w:t>of</w:t>
            </w:r>
            <w:r w:rsidR="00CD7E52">
              <w:t>-</w:t>
            </w:r>
            <w:r w:rsidRPr="002E5FBD">
              <w:t>care)</w:t>
            </w:r>
          </w:p>
          <w:p w14:paraId="19AD7FF7" w14:textId="6721E17F" w:rsidR="00AD2DAD" w:rsidRPr="00404616" w:rsidRDefault="00AD2DAD" w:rsidP="00B101C1">
            <w:pPr>
              <w:pStyle w:val="TableText"/>
              <w:keepNext/>
            </w:pPr>
            <w:r>
              <w:t>304</w:t>
            </w:r>
          </w:p>
        </w:tc>
        <w:tc>
          <w:tcPr>
            <w:tcW w:w="0" w:type="auto"/>
          </w:tcPr>
          <w:p w14:paraId="623AE788" w14:textId="77777777" w:rsidR="00AD2DAD" w:rsidRDefault="00AD2DAD" w:rsidP="00B101C1">
            <w:pPr>
              <w:pStyle w:val="TableText"/>
              <w:keepNext/>
            </w:pPr>
            <w:r>
              <w:t>Cross sectional diagnostic accuracy</w:t>
            </w:r>
          </w:p>
          <w:p w14:paraId="4572DD9F" w14:textId="77777777" w:rsidR="001D0E84" w:rsidRDefault="001D0E84" w:rsidP="00B101C1">
            <w:pPr>
              <w:pStyle w:val="TableText"/>
              <w:keepNext/>
            </w:pPr>
          </w:p>
          <w:p w14:paraId="5C55DDCE" w14:textId="670E02A8" w:rsidR="001D0E84" w:rsidRDefault="00AD2DAD" w:rsidP="00B101C1">
            <w:pPr>
              <w:pStyle w:val="TableText"/>
              <w:keepNext/>
            </w:pPr>
            <w:r w:rsidRPr="008F202C">
              <w:t>Low risk</w:t>
            </w:r>
          </w:p>
        </w:tc>
        <w:tc>
          <w:tcPr>
            <w:tcW w:w="0" w:type="auto"/>
          </w:tcPr>
          <w:p w14:paraId="652B117C" w14:textId="76B39ADE" w:rsidR="00AD2DAD" w:rsidRDefault="00AD2DAD" w:rsidP="00B101C1">
            <w:pPr>
              <w:pStyle w:val="TableText"/>
              <w:keepNext/>
            </w:pPr>
            <w:r w:rsidRPr="00B54161">
              <w:t xml:space="preserve">Primary care patients </w:t>
            </w:r>
            <w:r w:rsidR="00E51327">
              <w:t xml:space="preserve">aged </w:t>
            </w:r>
            <w:r w:rsidRPr="00B54161">
              <w:t>&gt;55 years presenting with recent new</w:t>
            </w:r>
            <w:r w:rsidR="00E51327">
              <w:t xml:space="preserve"> </w:t>
            </w:r>
            <w:r w:rsidRPr="00B54161">
              <w:t xml:space="preserve">onset shortness of breath, </w:t>
            </w:r>
            <w:proofErr w:type="gramStart"/>
            <w:r w:rsidRPr="00B54161">
              <w:t>lethargy</w:t>
            </w:r>
            <w:proofErr w:type="gramEnd"/>
            <w:r w:rsidRPr="00B54161">
              <w:t xml:space="preserve"> or peripheral ankle oedema of &gt;48 hours duration for which there was no other obvious cause</w:t>
            </w:r>
          </w:p>
        </w:tc>
        <w:tc>
          <w:tcPr>
            <w:tcW w:w="1960" w:type="dxa"/>
          </w:tcPr>
          <w:p w14:paraId="404AA03B" w14:textId="77777777" w:rsidR="00AD2DAD" w:rsidRDefault="00AD2DAD" w:rsidP="00B101C1">
            <w:pPr>
              <w:pStyle w:val="TableText"/>
              <w:keepNext/>
            </w:pPr>
            <w:r>
              <w:t>NT-</w:t>
            </w:r>
            <w:proofErr w:type="spellStart"/>
            <w:r>
              <w:t>proBNP</w:t>
            </w:r>
            <w:proofErr w:type="spellEnd"/>
            <w:r>
              <w:t xml:space="preserve"> assay</w:t>
            </w:r>
          </w:p>
          <w:p w14:paraId="09F1DDA4"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125 </w:t>
            </w:r>
            <w:proofErr w:type="spellStart"/>
            <w:r w:rsidRPr="008F202C">
              <w:rPr>
                <w:rStyle w:val="CommentaryemphasisTablesmid-paragraph"/>
                <w:color w:val="auto"/>
              </w:rPr>
              <w:t>pg</w:t>
            </w:r>
            <w:proofErr w:type="spellEnd"/>
            <w:r w:rsidRPr="008F202C">
              <w:rPr>
                <w:rStyle w:val="CommentaryemphasisTablesmid-paragraph"/>
                <w:color w:val="auto"/>
              </w:rPr>
              <w:t>/mL</w:t>
            </w:r>
          </w:p>
          <w:p w14:paraId="1ED086C4" w14:textId="77777777" w:rsidR="00AD2DAD" w:rsidRPr="008F202C" w:rsidRDefault="00AD2DAD" w:rsidP="008F202C">
            <w:pPr>
              <w:pStyle w:val="TableText"/>
              <w:keepNext/>
              <w:numPr>
                <w:ilvl w:val="0"/>
                <w:numId w:val="17"/>
              </w:numPr>
              <w:spacing w:before="0" w:after="0"/>
              <w:ind w:left="220" w:hanging="220"/>
              <w:rPr>
                <w:rStyle w:val="CommentaryemphasisTablesmid-paragraph"/>
                <w:color w:val="auto"/>
              </w:rPr>
            </w:pPr>
            <w:r w:rsidRPr="008F202C">
              <w:rPr>
                <w:rStyle w:val="CommentaryemphasisTablesmid-paragraph"/>
                <w:color w:val="auto"/>
              </w:rPr>
              <w:t xml:space="preserve">280 </w:t>
            </w:r>
            <w:proofErr w:type="spellStart"/>
            <w:r w:rsidRPr="008F202C">
              <w:rPr>
                <w:rStyle w:val="CommentaryemphasisTablesmid-paragraph"/>
                <w:color w:val="auto"/>
              </w:rPr>
              <w:t>pg</w:t>
            </w:r>
            <w:proofErr w:type="spellEnd"/>
            <w:r w:rsidRPr="008F202C">
              <w:rPr>
                <w:rStyle w:val="CommentaryemphasisTablesmid-paragraph"/>
                <w:color w:val="auto"/>
              </w:rPr>
              <w:t>/mL (NICE)</w:t>
            </w:r>
          </w:p>
          <w:p w14:paraId="40CECACB" w14:textId="77777777" w:rsidR="00AD2DAD" w:rsidRDefault="00AD2DAD" w:rsidP="008F202C">
            <w:pPr>
              <w:pStyle w:val="TableText"/>
              <w:keepNext/>
              <w:numPr>
                <w:ilvl w:val="0"/>
                <w:numId w:val="17"/>
              </w:numPr>
              <w:spacing w:before="0" w:after="0"/>
              <w:ind w:left="220" w:hanging="220"/>
            </w:pPr>
            <w:r w:rsidRPr="008F202C">
              <w:rPr>
                <w:rStyle w:val="CommentaryemphasisTablesmid-paragraph"/>
                <w:color w:val="auto"/>
              </w:rPr>
              <w:t xml:space="preserve">400 </w:t>
            </w:r>
            <w:proofErr w:type="spellStart"/>
            <w:r w:rsidRPr="008F202C">
              <w:rPr>
                <w:rStyle w:val="CommentaryemphasisTablesmid-paragraph"/>
                <w:color w:val="auto"/>
              </w:rPr>
              <w:t>pg</w:t>
            </w:r>
            <w:proofErr w:type="spellEnd"/>
            <w:r w:rsidRPr="008F202C">
              <w:rPr>
                <w:rStyle w:val="CommentaryemphasisTablesmid-paragraph"/>
                <w:color w:val="auto"/>
              </w:rPr>
              <w:t>/mL</w:t>
            </w:r>
          </w:p>
        </w:tc>
        <w:tc>
          <w:tcPr>
            <w:tcW w:w="1631" w:type="dxa"/>
          </w:tcPr>
          <w:p w14:paraId="2B5E22BB" w14:textId="63491DAC" w:rsidR="00AD2DAD" w:rsidRDefault="00AD2DAD" w:rsidP="00B101C1">
            <w:pPr>
              <w:pStyle w:val="TableText"/>
              <w:keepNext/>
            </w:pPr>
            <w:r>
              <w:t xml:space="preserve">ESC criteria for HF by an expert consensus panel of </w:t>
            </w:r>
            <w:r w:rsidR="00D148B0">
              <w:t xml:space="preserve">3 </w:t>
            </w:r>
            <w:r>
              <w:t>cardiology specialists (blinded to assessments by other panel members)</w:t>
            </w:r>
          </w:p>
        </w:tc>
        <w:tc>
          <w:tcPr>
            <w:tcW w:w="0" w:type="auto"/>
          </w:tcPr>
          <w:p w14:paraId="04756677" w14:textId="188B1E65" w:rsidR="00AD2DAD" w:rsidRDefault="00AD2DAD" w:rsidP="00B101C1">
            <w:pPr>
              <w:pStyle w:val="TableText"/>
              <w:keepNext/>
            </w:pPr>
            <w:r>
              <w:t>Yes – for ADAR (pooled analysis)</w:t>
            </w:r>
          </w:p>
        </w:tc>
      </w:tr>
    </w:tbl>
    <w:p w14:paraId="6CE8D48E" w14:textId="4EF69E0B" w:rsidR="00F74AA3" w:rsidRDefault="00F74AA3" w:rsidP="00F74AA3">
      <w:pPr>
        <w:pStyle w:val="Tablenotes0"/>
      </w:pPr>
      <w:r w:rsidRPr="00FF725D">
        <w:rPr>
          <w:b/>
          <w:bCs/>
        </w:rPr>
        <w:t>Abbreviations:</w:t>
      </w:r>
      <w:r>
        <w:t xml:space="preserve"> ADAR, </w:t>
      </w:r>
      <w:r w:rsidR="006F7584">
        <w:t>A</w:t>
      </w:r>
      <w:r>
        <w:t xml:space="preserve">pplicant </w:t>
      </w:r>
      <w:r w:rsidR="006F7584">
        <w:t>D</w:t>
      </w:r>
      <w:r>
        <w:t xml:space="preserve">eveloped </w:t>
      </w:r>
      <w:r w:rsidR="006F7584">
        <w:t>A</w:t>
      </w:r>
      <w:r>
        <w:t xml:space="preserve">ssessment </w:t>
      </w:r>
      <w:r w:rsidR="006F7584">
        <w:t>R</w:t>
      </w:r>
      <w:r>
        <w:t xml:space="preserve">eport; </w:t>
      </w:r>
      <w:r w:rsidR="006B03A4">
        <w:t xml:space="preserve">BNP, B-type natriuretic peptide; </w:t>
      </w:r>
      <w:r>
        <w:t>CPRD, Clinical Practice Research Datalink; ESC, European Society of Cardiology; GP, general practitioner; HES, Hospital Episodes Statistics; HF, heart failure; MI, myocardial infarction; N, number of patients; NICE, National Institute for Health and Care Excellence</w:t>
      </w:r>
      <w:r w:rsidR="00AC12FA">
        <w:t>;</w:t>
      </w:r>
      <w:r>
        <w:t xml:space="preserve"> NR, not reported; </w:t>
      </w:r>
      <w:r w:rsidR="00D804CF">
        <w:t>NT-</w:t>
      </w:r>
      <w:proofErr w:type="spellStart"/>
      <w:r w:rsidR="00D804CF">
        <w:t>proBNP</w:t>
      </w:r>
      <w:proofErr w:type="spellEnd"/>
      <w:r w:rsidR="00D804CF">
        <w:t xml:space="preserve">, </w:t>
      </w:r>
      <w:r w:rsidR="00D804CF" w:rsidRPr="004A1258">
        <w:rPr>
          <w:szCs w:val="20"/>
        </w:rPr>
        <w:t>N-terminal-pro brain natriuretic peptide</w:t>
      </w:r>
      <w:r w:rsidR="00D804CF">
        <w:t xml:space="preserve">; </w:t>
      </w:r>
      <w:r>
        <w:t>ROC, receiver operating curve.</w:t>
      </w:r>
    </w:p>
    <w:p w14:paraId="353A8C49" w14:textId="23A43381" w:rsidR="00F74AA3" w:rsidRDefault="00F74AA3" w:rsidP="00F74AA3">
      <w:pPr>
        <w:pStyle w:val="Tablenotes0"/>
      </w:pPr>
      <w:r>
        <w:t xml:space="preserve">Note: </w:t>
      </w:r>
      <w:r w:rsidR="00EB4299">
        <w:t>T</w:t>
      </w:r>
      <w:r>
        <w:t>hresholds obtained from the NICE Guidelines rather than the primary study are noted.</w:t>
      </w:r>
    </w:p>
    <w:p w14:paraId="0093770C" w14:textId="7D2BC3FC" w:rsidR="00620255" w:rsidRDefault="00CC0B72" w:rsidP="00CC0B72">
      <w:pPr>
        <w:pStyle w:val="Tablenotes0"/>
      </w:pPr>
      <w:r w:rsidRPr="00FF725D">
        <w:rPr>
          <w:b/>
          <w:bCs/>
        </w:rPr>
        <w:t>Source:</w:t>
      </w:r>
      <w:r>
        <w:t xml:space="preserve"> </w:t>
      </w:r>
      <w:r w:rsidR="00EB4299">
        <w:t>A</w:t>
      </w:r>
      <w:r>
        <w:t xml:space="preserve">dapted from Commentary Table </w:t>
      </w:r>
      <w:r w:rsidR="000A14F1">
        <w:t xml:space="preserve">9 </w:t>
      </w:r>
      <w:r>
        <w:t>from MSAC 1740 ADAR+ in-line commentary</w:t>
      </w:r>
    </w:p>
    <w:p w14:paraId="0432D650" w14:textId="6A30A849" w:rsidR="00A40C7F" w:rsidRDefault="008A36A4" w:rsidP="00655626">
      <w:pPr>
        <w:keepNext/>
        <w:keepLines/>
      </w:pPr>
      <w:r>
        <w:lastRenderedPageBreak/>
        <w:t xml:space="preserve">A summary of the diagnostic accuracy data is presented in </w:t>
      </w:r>
      <w:r>
        <w:fldChar w:fldCharType="begin"/>
      </w:r>
      <w:r>
        <w:instrText xml:space="preserve"> REF _Ref141819003 \h </w:instrText>
      </w:r>
      <w:r>
        <w:fldChar w:fldCharType="separate"/>
      </w:r>
      <w:r w:rsidR="00472DB9">
        <w:t xml:space="preserve">Figure </w:t>
      </w:r>
      <w:r w:rsidR="00472DB9">
        <w:rPr>
          <w:noProof/>
        </w:rPr>
        <w:t>1</w:t>
      </w:r>
      <w:r>
        <w:fldChar w:fldCharType="end"/>
      </w:r>
      <w:r w:rsidR="00070960">
        <w:t>. Across a range of thresholds, NT-</w:t>
      </w:r>
      <w:proofErr w:type="spellStart"/>
      <w:r w:rsidR="00070960">
        <w:t>proBNP</w:t>
      </w:r>
      <w:proofErr w:type="spellEnd"/>
      <w:r w:rsidR="00070960">
        <w:t xml:space="preserve"> (laboratory and point-of-care) </w:t>
      </w:r>
      <w:r w:rsidR="00E831BC">
        <w:t>demonstrate</w:t>
      </w:r>
      <w:r w:rsidR="00D97C2D">
        <w:t>d</w:t>
      </w:r>
      <w:r w:rsidR="00E831BC">
        <w:t xml:space="preserve"> a high sensitivity (range </w:t>
      </w:r>
      <w:r w:rsidR="00BD25AF">
        <w:t>0.</w:t>
      </w:r>
      <w:r w:rsidR="000F180C">
        <w:t>58</w:t>
      </w:r>
      <w:r w:rsidR="00BD25AF">
        <w:t xml:space="preserve"> to 1.0)</w:t>
      </w:r>
      <w:r w:rsidR="00964CB3">
        <w:t>.</w:t>
      </w:r>
      <w:r w:rsidR="00BD25AF">
        <w:t xml:space="preserve"> </w:t>
      </w:r>
      <w:r w:rsidR="00964CB3">
        <w:t>T</w:t>
      </w:r>
      <w:r w:rsidR="00BD25AF">
        <w:t xml:space="preserve">his evidence </w:t>
      </w:r>
      <w:r w:rsidR="00FE0B8F">
        <w:t>wa</w:t>
      </w:r>
      <w:r w:rsidR="00BD25AF">
        <w:t xml:space="preserve">s </w:t>
      </w:r>
      <w:r w:rsidR="00A072F9">
        <w:t xml:space="preserve">rated </w:t>
      </w:r>
      <w:r w:rsidR="00BD25AF">
        <w:t xml:space="preserve">of moderate </w:t>
      </w:r>
      <w:r w:rsidR="008A10A4">
        <w:t>certainty using GRADE by both the ADAR and the commentary despite including different studies</w:t>
      </w:r>
      <w:r w:rsidR="00CC6227">
        <w:t xml:space="preserve">. </w:t>
      </w:r>
      <w:r w:rsidR="008A10A4">
        <w:t>For specificity</w:t>
      </w:r>
      <w:r w:rsidR="00774F43">
        <w:t>,</w:t>
      </w:r>
      <w:r w:rsidR="008A10A4">
        <w:t xml:space="preserve"> the ADAR and commentary rated the outcome</w:t>
      </w:r>
      <w:r w:rsidR="00CC6227">
        <w:t xml:space="preserve"> </w:t>
      </w:r>
      <w:r w:rsidR="00FE0B8F">
        <w:t>a</w:t>
      </w:r>
      <w:r w:rsidR="00CC6227">
        <w:t xml:space="preserve">s low certainty </w:t>
      </w:r>
      <w:r w:rsidR="00665602">
        <w:t xml:space="preserve">due to the heterogeneity in point estimates (range 0.18 to </w:t>
      </w:r>
      <w:r w:rsidR="000D25E8">
        <w:t xml:space="preserve">0.90) </w:t>
      </w:r>
      <w:r w:rsidR="00665602">
        <w:t>and associated confidence intervals</w:t>
      </w:r>
      <w:r w:rsidR="000D25E8">
        <w:t>. However, a high sensitivity is appropriate for a triage test, ensuring a low rate of false negatives</w:t>
      </w:r>
      <w:r w:rsidR="00790A92">
        <w:t xml:space="preserve"> (missed HF diagnoses).</w:t>
      </w:r>
    </w:p>
    <w:p w14:paraId="0E5E2E71" w14:textId="330B90D6" w:rsidR="00EA4C0B" w:rsidRDefault="00EA4C0B" w:rsidP="00EA4C0B">
      <w:pPr>
        <w:pStyle w:val="Caption"/>
        <w:jc w:val="both"/>
      </w:pPr>
      <w:bookmarkStart w:id="28" w:name="_Ref141819003"/>
      <w:r>
        <w:t xml:space="preserve">Figure </w:t>
      </w:r>
      <w:r>
        <w:fldChar w:fldCharType="begin"/>
      </w:r>
      <w:r>
        <w:instrText>SEQ Figure \* ARABIC</w:instrText>
      </w:r>
      <w:r>
        <w:fldChar w:fldCharType="separate"/>
      </w:r>
      <w:r w:rsidR="00472DB9">
        <w:rPr>
          <w:noProof/>
        </w:rPr>
        <w:t>1</w:t>
      </w:r>
      <w:r>
        <w:fldChar w:fldCharType="end"/>
      </w:r>
      <w:bookmarkEnd w:id="28"/>
      <w:r>
        <w:tab/>
      </w:r>
      <w:r w:rsidR="00743929" w:rsidRPr="00743929">
        <w:t xml:space="preserve">Results of </w:t>
      </w:r>
      <w:r w:rsidR="00EB2D4D">
        <w:t>NT-</w:t>
      </w:r>
      <w:proofErr w:type="spellStart"/>
      <w:r w:rsidR="00EB2D4D">
        <w:t>proBNP</w:t>
      </w:r>
      <w:proofErr w:type="spellEnd"/>
      <w:r w:rsidR="00EB2D4D">
        <w:t xml:space="preserve"> </w:t>
      </w:r>
      <w:r w:rsidR="00743929" w:rsidRPr="00743929">
        <w:t xml:space="preserve">diagnostic accuracy studies at thresholds from 125 to 400 </w:t>
      </w:r>
      <w:proofErr w:type="spellStart"/>
      <w:r w:rsidR="00743929" w:rsidRPr="00743929">
        <w:t>pg</w:t>
      </w:r>
      <w:proofErr w:type="spellEnd"/>
      <w:r w:rsidR="00743929" w:rsidRPr="00743929">
        <w:t>/mL</w:t>
      </w:r>
    </w:p>
    <w:p w14:paraId="1AFEF75C" w14:textId="6D5F3CFC" w:rsidR="00A40C7F" w:rsidRPr="00F77A7C" w:rsidRDefault="004F5CCB" w:rsidP="00B101C1">
      <w:pPr>
        <w:pStyle w:val="Tablenotes0"/>
        <w:pBdr>
          <w:top w:val="single" w:sz="4" w:space="1" w:color="auto"/>
          <w:left w:val="single" w:sz="4" w:space="4" w:color="auto"/>
          <w:bottom w:val="single" w:sz="4" w:space="1" w:color="auto"/>
          <w:right w:val="single" w:sz="4" w:space="4" w:color="auto"/>
        </w:pBdr>
        <w:spacing w:after="120"/>
        <w:contextualSpacing w:val="0"/>
      </w:pPr>
      <w:r>
        <w:rPr>
          <w:noProof/>
        </w:rPr>
        <w:drawing>
          <wp:inline distT="0" distB="0" distL="0" distR="0" wp14:anchorId="79B38EC6" wp14:editId="451BFB47">
            <wp:extent cx="5731510" cy="1596101"/>
            <wp:effectExtent l="0" t="0" r="2540" b="4445"/>
            <wp:docPr id="9" name="Picture 9" descr="The figure shows the sensitivity and specificity results from diagnostic accuracy studies at NT-proBNP thresholds from 125 to 400 pg/mL. Results are presented as text and in a forest plot. The number of true positive, false positive, false negative and true negative test result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figure shows the sensitivity and specificity results from diagnostic accuracy studies at NT-proBNP thresholds from 125 to 400 pg/mL. Results are presented as text and in a forest plot. The number of true positive, false positive, false negative and true negative test results are also show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596101"/>
                    </a:xfrm>
                    <a:prstGeom prst="rect">
                      <a:avLst/>
                    </a:prstGeom>
                    <a:noFill/>
                    <a:ln>
                      <a:noFill/>
                    </a:ln>
                  </pic:spPr>
                </pic:pic>
              </a:graphicData>
            </a:graphic>
          </wp:inline>
        </w:drawing>
      </w:r>
    </w:p>
    <w:p w14:paraId="2A18C3C0" w14:textId="19D39A7F" w:rsidR="00F74AA3" w:rsidRDefault="00F74AA3" w:rsidP="00F74AA3">
      <w:pPr>
        <w:pStyle w:val="Tablenotes0"/>
      </w:pPr>
      <w:r w:rsidRPr="00FF725D">
        <w:rPr>
          <w:b/>
          <w:bCs/>
        </w:rPr>
        <w:t>Abbreviations:</w:t>
      </w:r>
      <w:r>
        <w:t xml:space="preserve"> CI, confidence interval; FN, false negative; FP, false positive; </w:t>
      </w:r>
      <w:r w:rsidR="00FF3292">
        <w:t>NT-</w:t>
      </w:r>
      <w:proofErr w:type="spellStart"/>
      <w:r w:rsidR="00FF3292">
        <w:t>proBNP</w:t>
      </w:r>
      <w:proofErr w:type="spellEnd"/>
      <w:r w:rsidR="00FF3292">
        <w:t xml:space="preserve">, </w:t>
      </w:r>
      <w:r w:rsidR="00FF3292" w:rsidRPr="004A1258">
        <w:rPr>
          <w:szCs w:val="20"/>
        </w:rPr>
        <w:t>N-terminal-pro brain natriuretic peptide</w:t>
      </w:r>
      <w:r w:rsidR="00FF3292">
        <w:t xml:space="preserve">; </w:t>
      </w:r>
      <w:r>
        <w:t>P</w:t>
      </w:r>
      <w:r w:rsidR="00CD5BE4">
        <w:t>o</w:t>
      </w:r>
      <w:r>
        <w:t>C, point</w:t>
      </w:r>
      <w:r w:rsidR="00CD5BE4">
        <w:t>-</w:t>
      </w:r>
      <w:r>
        <w:t>of</w:t>
      </w:r>
      <w:r w:rsidR="00CD5BE4">
        <w:t>-</w:t>
      </w:r>
      <w:r>
        <w:t>care; TN, true negative; TP, true positive</w:t>
      </w:r>
      <w:r w:rsidR="00C8133A">
        <w:t>.</w:t>
      </w:r>
    </w:p>
    <w:p w14:paraId="6B3D88AA" w14:textId="584523AB" w:rsidR="00F74AA3" w:rsidRDefault="00215494" w:rsidP="00F74AA3">
      <w:pPr>
        <w:pStyle w:val="Tablenotes0"/>
        <w:spacing w:before="0"/>
      </w:pPr>
      <w:r>
        <w:t xml:space="preserve">* </w:t>
      </w:r>
      <w:r w:rsidR="00963CFD">
        <w:t xml:space="preserve">Data </w:t>
      </w:r>
      <w:r w:rsidR="00CE036D">
        <w:t xml:space="preserve">were </w:t>
      </w:r>
      <w:r w:rsidR="00963CFD">
        <w:t>presented from the group of patients with an existing clinical diagnosis of HF in Hobbs (2002)</w:t>
      </w:r>
    </w:p>
    <w:p w14:paraId="39AA4C74" w14:textId="6957B485" w:rsidR="00215494" w:rsidRDefault="00F74AA3" w:rsidP="008F202C">
      <w:pPr>
        <w:pStyle w:val="Tablenotes0"/>
        <w:spacing w:before="0"/>
      </w:pPr>
      <w:r w:rsidRPr="00FF725D">
        <w:rPr>
          <w:b/>
          <w:bCs/>
        </w:rPr>
        <w:t>Source:</w:t>
      </w:r>
      <w:r>
        <w:t xml:space="preserve"> Commentary </w:t>
      </w:r>
      <w:r w:rsidRPr="00C510A6">
        <w:t>Figure 7</w:t>
      </w:r>
      <w:r>
        <w:t xml:space="preserve"> from MSAC 1740 ADAR+ in-line commentary</w:t>
      </w:r>
    </w:p>
    <w:p w14:paraId="37AB4648" w14:textId="46C53FFD" w:rsidR="00AD5C2B" w:rsidRDefault="00AD5C2B" w:rsidP="00AD5C2B">
      <w:r>
        <w:t xml:space="preserve">Wright </w:t>
      </w:r>
      <w:r w:rsidR="00E76462">
        <w:t xml:space="preserve">et al </w:t>
      </w:r>
      <w:r>
        <w:t xml:space="preserve">(2003) is an RCT that provided key </w:t>
      </w:r>
      <w:r w:rsidR="00D90C5B">
        <w:t xml:space="preserve">diagnostic accuracy and </w:t>
      </w:r>
      <w:r>
        <w:t xml:space="preserve">change in management evidence in MSAC </w:t>
      </w:r>
      <w:r w:rsidR="00790C49">
        <w:t>a</w:t>
      </w:r>
      <w:r>
        <w:t xml:space="preserve">ssessment 1087 (May 2007). The study presented diagnostic outcomes for the intervention arm, </w:t>
      </w:r>
      <w:proofErr w:type="gramStart"/>
      <w:r>
        <w:t>and also</w:t>
      </w:r>
      <w:proofErr w:type="gramEnd"/>
      <w:r>
        <w:t xml:space="preserve"> included diagnostic concordance between the intervention and comparator. </w:t>
      </w:r>
      <w:r w:rsidR="00722714">
        <w:t xml:space="preserve">Correct diagnosis by the </w:t>
      </w:r>
      <w:r w:rsidRPr="00A070EF">
        <w:t>GP with and without NT-</w:t>
      </w:r>
      <w:proofErr w:type="spellStart"/>
      <w:r w:rsidRPr="00A070EF">
        <w:t>proBNP</w:t>
      </w:r>
      <w:proofErr w:type="spellEnd"/>
      <w:r w:rsidRPr="00A070EF">
        <w:t xml:space="preserve"> results</w:t>
      </w:r>
      <w:r>
        <w:t xml:space="preserve"> </w:t>
      </w:r>
      <w:r w:rsidR="005569A8">
        <w:t>was the primary outcome</w:t>
      </w:r>
      <w:r w:rsidR="00484CB0">
        <w:t xml:space="preserve">. Correct diagnoses </w:t>
      </w:r>
      <w:r w:rsidR="00CD6244">
        <w:t xml:space="preserve">increased </w:t>
      </w:r>
      <w:r w:rsidR="00105E37">
        <w:t xml:space="preserve">by 21% at the follow-up visit with </w:t>
      </w:r>
      <w:r w:rsidR="007209AD">
        <w:t>NT-</w:t>
      </w:r>
      <w:proofErr w:type="spellStart"/>
      <w:r w:rsidR="007209AD">
        <w:t>proBNP</w:t>
      </w:r>
      <w:proofErr w:type="spellEnd"/>
      <w:r w:rsidR="007209AD">
        <w:t xml:space="preserve"> </w:t>
      </w:r>
      <w:r w:rsidR="00105E37">
        <w:t>testing and by 8% without</w:t>
      </w:r>
      <w:r w:rsidRPr="00A070EF">
        <w:t>. The between group difference of 13% was statistically significant (95% CI 5.5 to 21.0%, p=0.002)</w:t>
      </w:r>
      <w:r>
        <w:t>.</w:t>
      </w:r>
      <w:r w:rsidR="009527A1">
        <w:t xml:space="preserve"> </w:t>
      </w:r>
      <w:r w:rsidR="00520CD1" w:rsidRPr="00520CD1">
        <w:t>The authors noted the main impact of the intervention was allowing GPs to accurately rule out a diagnosis of HF.</w:t>
      </w:r>
    </w:p>
    <w:p w14:paraId="40B40063" w14:textId="36765906" w:rsidR="00AD5C2B" w:rsidRPr="00E420D1" w:rsidRDefault="00AD5C2B" w:rsidP="00AD5C2B">
      <w:r>
        <w:t xml:space="preserve">Diagnostic accuracy from the intervention arm of Wright </w:t>
      </w:r>
      <w:r w:rsidR="00F34F1F">
        <w:t xml:space="preserve">et al </w:t>
      </w:r>
      <w:r>
        <w:t xml:space="preserve">(2003) was reported in MSAC </w:t>
      </w:r>
      <w:r w:rsidR="00790C49">
        <w:t>a</w:t>
      </w:r>
      <w:r>
        <w:t>pplication 1087 (May 2007).</w:t>
      </w:r>
      <w:r w:rsidRPr="00D37B53">
        <w:t xml:space="preserve"> NT-</w:t>
      </w:r>
      <w:proofErr w:type="spellStart"/>
      <w:r w:rsidRPr="00D37B53">
        <w:t>proBNP</w:t>
      </w:r>
      <w:proofErr w:type="spellEnd"/>
      <w:r w:rsidRPr="00D37B53">
        <w:t xml:space="preserve"> plus customary clinical assessment correctly ruled out 44.1% of patients and incorrectly ruled out 2.6% (false</w:t>
      </w:r>
      <w:r w:rsidR="00263713">
        <w:t xml:space="preserve"> </w:t>
      </w:r>
      <w:r w:rsidRPr="00D37B53">
        <w:t xml:space="preserve">negatives). The sensitivity was 90.7% and the specificity 61.5%. Note that these outcomes </w:t>
      </w:r>
      <w:r>
        <w:t>we</w:t>
      </w:r>
      <w:r w:rsidRPr="00D37B53">
        <w:t xml:space="preserve">re not reported at a specific </w:t>
      </w:r>
      <w:r>
        <w:t>NT-</w:t>
      </w:r>
      <w:proofErr w:type="spellStart"/>
      <w:r>
        <w:t>proBNP</w:t>
      </w:r>
      <w:proofErr w:type="spellEnd"/>
      <w:r>
        <w:t xml:space="preserve"> </w:t>
      </w:r>
      <w:r w:rsidRPr="00D37B53">
        <w:t>threshold but based on the GP</w:t>
      </w:r>
      <w:r>
        <w:t>’</w:t>
      </w:r>
      <w:r w:rsidRPr="00D37B53">
        <w:t>s diagnosis compared to that of the reference standard</w:t>
      </w:r>
      <w:r w:rsidR="00E933C6">
        <w:t xml:space="preserve"> (</w:t>
      </w:r>
      <w:r w:rsidR="006A1590">
        <w:t xml:space="preserve">clinical diagnosis of HF made by a panel of 4 </w:t>
      </w:r>
      <w:r w:rsidR="00235C8E">
        <w:t xml:space="preserve">clinical </w:t>
      </w:r>
      <w:r w:rsidR="006A1590">
        <w:t>experts</w:t>
      </w:r>
      <w:r w:rsidR="003662B6">
        <w:t xml:space="preserve"> according to pre-defined criteria)</w:t>
      </w:r>
      <w:r w:rsidRPr="00D37B53">
        <w:t>.</w:t>
      </w:r>
    </w:p>
    <w:p w14:paraId="547FB3B3" w14:textId="1FB21E90" w:rsidR="00AD5C2B" w:rsidRDefault="00AD5C2B" w:rsidP="00AD5C2B">
      <w:r>
        <w:t xml:space="preserve">It is notable that </w:t>
      </w:r>
      <w:r w:rsidR="008F5B16">
        <w:t xml:space="preserve">the sources of </w:t>
      </w:r>
      <w:r>
        <w:t>key evidence on diagnostic accuracy</w:t>
      </w:r>
      <w:r w:rsidR="008F28A8">
        <w:t xml:space="preserve"> (Wright</w:t>
      </w:r>
      <w:r w:rsidR="00C56A19">
        <w:t xml:space="preserve"> et al</w:t>
      </w:r>
      <w:r w:rsidR="008F28A8">
        <w:t>, 2003; Hobbs</w:t>
      </w:r>
      <w:r w:rsidR="00C56A19">
        <w:t xml:space="preserve"> et al</w:t>
      </w:r>
      <w:r w:rsidR="008F28A8">
        <w:t xml:space="preserve">, 2002; </w:t>
      </w:r>
      <w:proofErr w:type="spellStart"/>
      <w:r w:rsidR="008F28A8">
        <w:t>Zaph</w:t>
      </w:r>
      <w:r w:rsidR="00A76407">
        <w:t>iriou</w:t>
      </w:r>
      <w:proofErr w:type="spellEnd"/>
      <w:r w:rsidR="00C56A19">
        <w:t xml:space="preserve"> et al</w:t>
      </w:r>
      <w:r w:rsidR="00A76407">
        <w:t>, 2005)</w:t>
      </w:r>
      <w:r w:rsidR="00D86D03">
        <w:t xml:space="preserve">, particularly at </w:t>
      </w:r>
      <w:r w:rsidR="009D0D9E">
        <w:t>the proposed threshold,</w:t>
      </w:r>
      <w:r>
        <w:t xml:space="preserve"> </w:t>
      </w:r>
      <w:r w:rsidR="008F5B16">
        <w:t>has</w:t>
      </w:r>
      <w:r>
        <w:t xml:space="preserve"> not change</w:t>
      </w:r>
      <w:r w:rsidR="008F5B16">
        <w:t>d</w:t>
      </w:r>
      <w:r>
        <w:t xml:space="preserve"> since MSAC </w:t>
      </w:r>
      <w:r w:rsidR="008F5B16">
        <w:t>a</w:t>
      </w:r>
      <w:r>
        <w:t>pplication 1087 (May 2007). Based on the evidence presented for diagnostic accuracy under application 1087, MSAC was satisfied that BNP/NT-</w:t>
      </w:r>
      <w:proofErr w:type="spellStart"/>
      <w:r>
        <w:t>proBNP</w:t>
      </w:r>
      <w:proofErr w:type="spellEnd"/>
      <w:r>
        <w:t xml:space="preserve"> testing was comparatively effective (diagnostically accurate). </w:t>
      </w:r>
    </w:p>
    <w:p w14:paraId="421DBCC8" w14:textId="6CEB4251" w:rsidR="00AD5C2B" w:rsidRDefault="001C5EBB" w:rsidP="00AD5C2B">
      <w:r>
        <w:t>A</w:t>
      </w:r>
      <w:r w:rsidR="00AD5C2B">
        <w:t>s international guidelines use alternate NT-</w:t>
      </w:r>
      <w:proofErr w:type="spellStart"/>
      <w:r w:rsidR="00AD5C2B">
        <w:t>proBNP</w:t>
      </w:r>
      <w:proofErr w:type="spellEnd"/>
      <w:r w:rsidR="00AD5C2B">
        <w:t xml:space="preserve"> thresholds to the Australian </w:t>
      </w:r>
      <w:r w:rsidR="00F82528">
        <w:t>g</w:t>
      </w:r>
      <w:r w:rsidR="00AD5C2B">
        <w:t xml:space="preserve">uidelines, </w:t>
      </w:r>
      <w:r w:rsidR="0068471B">
        <w:t xml:space="preserve">diagnostic accuracy </w:t>
      </w:r>
      <w:r w:rsidR="00AD5C2B">
        <w:t>outcomes in more recent studies are more commonly reported with the NT-</w:t>
      </w:r>
      <w:proofErr w:type="spellStart"/>
      <w:r w:rsidR="00AD5C2B">
        <w:t>proBNP</w:t>
      </w:r>
      <w:proofErr w:type="spellEnd"/>
      <w:r w:rsidR="00AD5C2B">
        <w:t xml:space="preserve"> threshold designated as 125 </w:t>
      </w:r>
      <w:proofErr w:type="spellStart"/>
      <w:r w:rsidR="00AD5C2B">
        <w:t>pg</w:t>
      </w:r>
      <w:proofErr w:type="spellEnd"/>
      <w:r w:rsidR="00AD5C2B">
        <w:t xml:space="preserve">/mL (ESC threshold) or 400 </w:t>
      </w:r>
      <w:proofErr w:type="spellStart"/>
      <w:r w:rsidR="00AD5C2B">
        <w:t>pg</w:t>
      </w:r>
      <w:proofErr w:type="spellEnd"/>
      <w:r w:rsidR="00AD5C2B">
        <w:t xml:space="preserve">/mL (NICE threshold). No studies used the </w:t>
      </w:r>
      <w:r w:rsidR="002409D7">
        <w:t>NHFA/</w:t>
      </w:r>
      <w:r w:rsidR="00AD5C2B">
        <w:t xml:space="preserve">CSANZ threshold of 300 </w:t>
      </w:r>
      <w:proofErr w:type="spellStart"/>
      <w:r w:rsidR="00185F88">
        <w:t>p</w:t>
      </w:r>
      <w:r w:rsidR="00AD5C2B">
        <w:t>g</w:t>
      </w:r>
      <w:proofErr w:type="spellEnd"/>
      <w:r w:rsidR="00AD5C2B">
        <w:t>/</w:t>
      </w:r>
      <w:proofErr w:type="spellStart"/>
      <w:r w:rsidR="00185F88">
        <w:t>m</w:t>
      </w:r>
      <w:r w:rsidR="00AD5C2B">
        <w:t>L</w:t>
      </w:r>
      <w:r w:rsidR="00006AE7">
        <w:t>.</w:t>
      </w:r>
      <w:proofErr w:type="spellEnd"/>
    </w:p>
    <w:p w14:paraId="534AE536" w14:textId="4CD39447" w:rsidR="00330B7D" w:rsidRDefault="00330B7D" w:rsidP="00330B7D">
      <w:pPr>
        <w:pStyle w:val="Heading3"/>
      </w:pPr>
      <w:r>
        <w:lastRenderedPageBreak/>
        <w:t xml:space="preserve">Change in </w:t>
      </w:r>
      <w:proofErr w:type="gramStart"/>
      <w:r>
        <w:t>management</w:t>
      </w:r>
      <w:proofErr w:type="gramEnd"/>
    </w:p>
    <w:p w14:paraId="3160DC8D" w14:textId="6839807B" w:rsidR="003E23D3" w:rsidRPr="00214C2F" w:rsidRDefault="00AB34B0" w:rsidP="00214C2F">
      <w:r>
        <w:t xml:space="preserve">The </w:t>
      </w:r>
      <w:r w:rsidR="007400D7">
        <w:t xml:space="preserve">two </w:t>
      </w:r>
      <w:r>
        <w:t xml:space="preserve">RCTs </w:t>
      </w:r>
      <w:r w:rsidR="00B309D4">
        <w:t xml:space="preserve">that </w:t>
      </w:r>
      <w:r>
        <w:t xml:space="preserve">reported health outcomes </w:t>
      </w:r>
      <w:r w:rsidR="0099243A">
        <w:t>(</w:t>
      </w:r>
      <w:r w:rsidR="0099243A">
        <w:fldChar w:fldCharType="begin"/>
      </w:r>
      <w:r w:rsidR="0099243A">
        <w:instrText xml:space="preserve"> REF _Ref141814814 \h </w:instrText>
      </w:r>
      <w:r w:rsidR="0099243A">
        <w:fldChar w:fldCharType="separate"/>
      </w:r>
      <w:r w:rsidR="00472DB9">
        <w:t xml:space="preserve">Table </w:t>
      </w:r>
      <w:r w:rsidR="00472DB9">
        <w:rPr>
          <w:noProof/>
        </w:rPr>
        <w:t>6</w:t>
      </w:r>
      <w:r w:rsidR="0099243A">
        <w:fldChar w:fldCharType="end"/>
      </w:r>
      <w:r w:rsidR="0099243A">
        <w:t xml:space="preserve">) </w:t>
      </w:r>
      <w:r>
        <w:t xml:space="preserve">also reported change of management outcomes. </w:t>
      </w:r>
      <w:r w:rsidR="007400D7">
        <w:t>Both studies reported e</w:t>
      </w:r>
      <w:r>
        <w:t>chocardiograms received</w:t>
      </w:r>
      <w:r w:rsidR="0099243A">
        <w:t>;</w:t>
      </w:r>
      <w:r>
        <w:t xml:space="preserve"> however</w:t>
      </w:r>
      <w:r w:rsidR="0099243A">
        <w:t>,</w:t>
      </w:r>
      <w:r>
        <w:t xml:space="preserve"> due to differences in the study designs, the outcome</w:t>
      </w:r>
      <w:r w:rsidR="004857EE">
        <w:t>s</w:t>
      </w:r>
      <w:r>
        <w:t xml:space="preserve"> </w:t>
      </w:r>
      <w:r w:rsidR="00032112">
        <w:t>cannot</w:t>
      </w:r>
      <w:r>
        <w:t xml:space="preserve"> be combined</w:t>
      </w:r>
      <w:r w:rsidR="00032112">
        <w:t xml:space="preserve"> (</w:t>
      </w:r>
      <w:r w:rsidR="00032112">
        <w:fldChar w:fldCharType="begin"/>
      </w:r>
      <w:r w:rsidR="00032112">
        <w:instrText xml:space="preserve"> REF _Ref141820966 \h </w:instrText>
      </w:r>
      <w:r w:rsidR="00032112">
        <w:fldChar w:fldCharType="separate"/>
      </w:r>
      <w:r w:rsidR="00472DB9">
        <w:t xml:space="preserve">Table </w:t>
      </w:r>
      <w:r w:rsidR="00472DB9">
        <w:rPr>
          <w:noProof/>
        </w:rPr>
        <w:t>11</w:t>
      </w:r>
      <w:r w:rsidR="00032112">
        <w:fldChar w:fldCharType="end"/>
      </w:r>
      <w:r w:rsidR="00032112">
        <w:t>)</w:t>
      </w:r>
      <w:r>
        <w:t>.</w:t>
      </w:r>
      <w:r w:rsidR="00032112">
        <w:t xml:space="preserve"> </w:t>
      </w:r>
      <w:r w:rsidR="00F27F73">
        <w:t xml:space="preserve">No statistical difference </w:t>
      </w:r>
      <w:r w:rsidR="0097319F">
        <w:t xml:space="preserve">in echocardiograms received </w:t>
      </w:r>
      <w:r w:rsidR="00F27F73">
        <w:t>was found</w:t>
      </w:r>
      <w:r w:rsidR="00BB2161">
        <w:t xml:space="preserve"> between patients who did and did not receive BNP</w:t>
      </w:r>
      <w:r w:rsidR="00F27F73">
        <w:t xml:space="preserve"> </w:t>
      </w:r>
      <w:r w:rsidR="00EB2D4D">
        <w:t xml:space="preserve">testing </w:t>
      </w:r>
      <w:r w:rsidR="00F27F73">
        <w:t xml:space="preserve">in </w:t>
      </w:r>
      <w:proofErr w:type="spellStart"/>
      <w:r w:rsidR="00F27F73">
        <w:t>Burri</w:t>
      </w:r>
      <w:proofErr w:type="spellEnd"/>
      <w:r w:rsidR="00F27F73">
        <w:t xml:space="preserve"> </w:t>
      </w:r>
      <w:r w:rsidR="00F34F1F">
        <w:t xml:space="preserve">et al </w:t>
      </w:r>
      <w:r w:rsidR="00F27F73">
        <w:t>(2012)</w:t>
      </w:r>
      <w:r w:rsidR="001B3C02">
        <w:t>.</w:t>
      </w:r>
      <w:r w:rsidR="00F27F73">
        <w:t xml:space="preserve"> </w:t>
      </w:r>
      <w:r w:rsidR="001B3C02">
        <w:t>I</w:t>
      </w:r>
      <w:r w:rsidR="00D17DCB" w:rsidRPr="00D17DCB">
        <w:t xml:space="preserve">n </w:t>
      </w:r>
      <w:proofErr w:type="spellStart"/>
      <w:r w:rsidR="00D17DCB" w:rsidRPr="00D17DCB">
        <w:t>Najbjerg</w:t>
      </w:r>
      <w:proofErr w:type="spellEnd"/>
      <w:r w:rsidR="00D17DCB" w:rsidRPr="00D17DCB">
        <w:t xml:space="preserve"> </w:t>
      </w:r>
      <w:r w:rsidR="00F34F1F">
        <w:t>et al</w:t>
      </w:r>
      <w:r w:rsidR="004E208F">
        <w:t xml:space="preserve"> </w:t>
      </w:r>
      <w:r w:rsidR="00D17DCB" w:rsidRPr="00D17DCB">
        <w:t>(2019)</w:t>
      </w:r>
      <w:r w:rsidR="00A12AD5">
        <w:t>,</w:t>
      </w:r>
      <w:r w:rsidR="00D17DCB" w:rsidRPr="00D17DCB">
        <w:t xml:space="preserve"> significantly more patients in the intervention group</w:t>
      </w:r>
      <w:r w:rsidR="004E408E">
        <w:t>,</w:t>
      </w:r>
      <w:r w:rsidR="00D17DCB" w:rsidRPr="00D17DCB">
        <w:t xml:space="preserve"> </w:t>
      </w:r>
      <w:r w:rsidR="004E408E">
        <w:t>where NT-</w:t>
      </w:r>
      <w:proofErr w:type="spellStart"/>
      <w:r w:rsidR="004E408E">
        <w:t>proBNP</w:t>
      </w:r>
      <w:proofErr w:type="spellEnd"/>
      <w:r w:rsidR="004E408E">
        <w:t xml:space="preserve"> testing was available, </w:t>
      </w:r>
      <w:r w:rsidR="00D17DCB" w:rsidRPr="00D17DCB">
        <w:t>were referred to echocardiography</w:t>
      </w:r>
      <w:r w:rsidR="00D17DCB">
        <w:t xml:space="preserve">, although the difference </w:t>
      </w:r>
      <w:r w:rsidR="00EB2D4D">
        <w:t>wa</w:t>
      </w:r>
      <w:r w:rsidR="00D17DCB">
        <w:t xml:space="preserve">s unlikely to be clinically significant. </w:t>
      </w:r>
      <w:r w:rsidR="00EB2D4D">
        <w:t>The commentary concluded that o</w:t>
      </w:r>
      <w:r w:rsidR="00320DF0">
        <w:t xml:space="preserve">verall, these studies </w:t>
      </w:r>
      <w:r w:rsidR="00EB2D4D">
        <w:t xml:space="preserve">did </w:t>
      </w:r>
      <w:r w:rsidR="00F740E8">
        <w:t>not show a reduction in echocardiography when BNP or NT-</w:t>
      </w:r>
      <w:proofErr w:type="spellStart"/>
      <w:r w:rsidR="00F740E8">
        <w:t>proBNP</w:t>
      </w:r>
      <w:proofErr w:type="spellEnd"/>
      <w:r w:rsidR="00F740E8">
        <w:t xml:space="preserve"> testing </w:t>
      </w:r>
      <w:r w:rsidR="00EB2D4D">
        <w:t>wa</w:t>
      </w:r>
      <w:r w:rsidR="00F740E8">
        <w:t xml:space="preserve">s used in primary care </w:t>
      </w:r>
      <w:r w:rsidR="0035361D">
        <w:t>to diagnose HF</w:t>
      </w:r>
      <w:r w:rsidR="00EB2D4D">
        <w:t xml:space="preserve"> in patients with </w:t>
      </w:r>
      <w:r w:rsidR="00EF2428">
        <w:t>suspected but uncertain HF</w:t>
      </w:r>
      <w:r w:rsidR="0035361D">
        <w:t>.</w:t>
      </w:r>
    </w:p>
    <w:p w14:paraId="2081A4E0" w14:textId="644EFD47" w:rsidR="00737A68" w:rsidRDefault="00737A68" w:rsidP="00737A68">
      <w:pPr>
        <w:pStyle w:val="Caption"/>
      </w:pPr>
      <w:bookmarkStart w:id="29" w:name="_Ref141820966"/>
      <w:r>
        <w:t xml:space="preserve">Table </w:t>
      </w:r>
      <w:r>
        <w:fldChar w:fldCharType="begin"/>
      </w:r>
      <w:r>
        <w:instrText>SEQ Table \* ARABIC</w:instrText>
      </w:r>
      <w:r>
        <w:fldChar w:fldCharType="separate"/>
      </w:r>
      <w:r w:rsidR="00472DB9">
        <w:rPr>
          <w:noProof/>
        </w:rPr>
        <w:t>11</w:t>
      </w:r>
      <w:r>
        <w:fldChar w:fldCharType="end"/>
      </w:r>
      <w:bookmarkEnd w:id="29"/>
      <w:r>
        <w:tab/>
      </w:r>
      <w:r w:rsidR="00B57A69">
        <w:t>Number of echocardiograms with and without BNP/NT-</w:t>
      </w:r>
      <w:proofErr w:type="spellStart"/>
      <w:r w:rsidR="00B57A69">
        <w:t>proBNP</w:t>
      </w:r>
      <w:proofErr w:type="spellEnd"/>
      <w:r w:rsidR="00B57A69">
        <w:t xml:space="preserve"> testing in primary care (</w:t>
      </w:r>
      <w:proofErr w:type="spellStart"/>
      <w:r w:rsidR="00B57A69">
        <w:t>Burri</w:t>
      </w:r>
      <w:proofErr w:type="spellEnd"/>
      <w:r w:rsidR="00F34F1F">
        <w:t xml:space="preserve"> et al</w:t>
      </w:r>
      <w:r w:rsidR="00B57A69">
        <w:t xml:space="preserve">, 2012; </w:t>
      </w:r>
      <w:proofErr w:type="spellStart"/>
      <w:r w:rsidR="00B57A69" w:rsidRPr="00737A68">
        <w:t>Najbjerg</w:t>
      </w:r>
      <w:proofErr w:type="spellEnd"/>
      <w:r w:rsidR="00F34F1F">
        <w:t xml:space="preserve"> et al</w:t>
      </w:r>
      <w:r w:rsidR="00B57A69" w:rsidRPr="00737A68">
        <w:t>, 2019</w:t>
      </w:r>
      <w:r w:rsidR="00B57A69">
        <w:t>)</w:t>
      </w:r>
    </w:p>
    <w:tbl>
      <w:tblPr>
        <w:tblStyle w:val="TableGrid"/>
        <w:tblW w:w="0" w:type="auto"/>
        <w:tblLook w:val="04A0" w:firstRow="1" w:lastRow="0" w:firstColumn="1" w:lastColumn="0" w:noHBand="0" w:noVBand="1"/>
        <w:tblCaption w:val="Number of echocardiograms with and without BNP/NT-proBNP testing in primary care (Burri, 2012; Najbjerg, 2019)"/>
        <w:tblDescription w:val="The table shows results from two studies on echocardiograms received/referrals for echocardiograms with and without BNP/NT-proBNP. "/>
      </w:tblPr>
      <w:tblGrid>
        <w:gridCol w:w="2245"/>
        <w:gridCol w:w="1155"/>
        <w:gridCol w:w="1146"/>
        <w:gridCol w:w="2267"/>
        <w:gridCol w:w="1262"/>
        <w:gridCol w:w="941"/>
      </w:tblGrid>
      <w:tr w:rsidR="00571538" w:rsidRPr="00737A68" w14:paraId="12ABB82A" w14:textId="2548F886" w:rsidTr="008F202C">
        <w:trPr>
          <w:tblHeader/>
        </w:trPr>
        <w:tc>
          <w:tcPr>
            <w:tcW w:w="2254" w:type="dxa"/>
          </w:tcPr>
          <w:p w14:paraId="0F100BDB" w14:textId="2A1716C7" w:rsidR="00737A68" w:rsidRPr="00737A68" w:rsidRDefault="00214C2F" w:rsidP="008F202C">
            <w:pPr>
              <w:pStyle w:val="TableHeading0"/>
            </w:pPr>
            <w:r>
              <w:t>Outcome</w:t>
            </w:r>
          </w:p>
        </w:tc>
        <w:tc>
          <w:tcPr>
            <w:tcW w:w="1155" w:type="dxa"/>
          </w:tcPr>
          <w:p w14:paraId="1CF61FFA" w14:textId="626EB533" w:rsidR="00737A68" w:rsidRPr="00737A68" w:rsidRDefault="00737A68" w:rsidP="008F202C">
            <w:pPr>
              <w:pStyle w:val="TableHeading0"/>
            </w:pPr>
            <w:r w:rsidRPr="00737A68">
              <w:t>Intervention</w:t>
            </w:r>
            <w:r w:rsidR="00A12AD5">
              <w:br/>
            </w:r>
            <w:r w:rsidRPr="00737A68">
              <w:t>n/N (%)</w:t>
            </w:r>
          </w:p>
        </w:tc>
        <w:tc>
          <w:tcPr>
            <w:tcW w:w="1122" w:type="dxa"/>
          </w:tcPr>
          <w:p w14:paraId="069415E6" w14:textId="46AAD54E" w:rsidR="00737A68" w:rsidRPr="00737A68" w:rsidRDefault="00737A68" w:rsidP="008F202C">
            <w:pPr>
              <w:pStyle w:val="TableHeading0"/>
            </w:pPr>
            <w:r w:rsidRPr="00737A68">
              <w:t>Comparator</w:t>
            </w:r>
            <w:r w:rsidR="00A12AD5">
              <w:br/>
            </w:r>
            <w:r w:rsidRPr="00737A68">
              <w:t>n/N (%)</w:t>
            </w:r>
          </w:p>
        </w:tc>
        <w:tc>
          <w:tcPr>
            <w:tcW w:w="2277" w:type="dxa"/>
          </w:tcPr>
          <w:p w14:paraId="2538567E" w14:textId="0F19226A" w:rsidR="00737A68" w:rsidRPr="00737A68" w:rsidRDefault="00737A68" w:rsidP="008F202C">
            <w:pPr>
              <w:pStyle w:val="TableHeading0"/>
            </w:pPr>
            <w:r w:rsidRPr="00737A68">
              <w:t>Risk difference</w:t>
            </w:r>
            <w:r w:rsidR="00A12AD5">
              <w:br/>
            </w:r>
            <w:r w:rsidRPr="00737A68">
              <w:t>(95% CI)</w:t>
            </w:r>
          </w:p>
        </w:tc>
        <w:tc>
          <w:tcPr>
            <w:tcW w:w="1267" w:type="dxa"/>
          </w:tcPr>
          <w:p w14:paraId="23E7E793" w14:textId="5F010C68" w:rsidR="00737A68" w:rsidRPr="00737A68" w:rsidRDefault="00737A68" w:rsidP="008F202C">
            <w:pPr>
              <w:pStyle w:val="TableHeading0"/>
            </w:pPr>
            <w:r w:rsidRPr="00737A68">
              <w:t>Relative risk</w:t>
            </w:r>
            <w:r w:rsidR="00A12AD5">
              <w:br/>
            </w:r>
            <w:r w:rsidRPr="00737A68">
              <w:t>(95% CI)</w:t>
            </w:r>
          </w:p>
        </w:tc>
        <w:tc>
          <w:tcPr>
            <w:tcW w:w="941" w:type="dxa"/>
          </w:tcPr>
          <w:p w14:paraId="7B730158" w14:textId="38614F2B" w:rsidR="00737A68" w:rsidRPr="00737A68" w:rsidRDefault="00737A68" w:rsidP="008F202C">
            <w:pPr>
              <w:pStyle w:val="TableHeading0"/>
            </w:pPr>
            <w:r>
              <w:t>Certainty</w:t>
            </w:r>
          </w:p>
        </w:tc>
      </w:tr>
      <w:tr w:rsidR="00571538" w:rsidRPr="00737A68" w14:paraId="3F0930E8" w14:textId="54948614" w:rsidTr="008F202C">
        <w:tc>
          <w:tcPr>
            <w:tcW w:w="2254" w:type="dxa"/>
          </w:tcPr>
          <w:p w14:paraId="051E6575" w14:textId="0313E155" w:rsidR="00D177D6" w:rsidRDefault="00C157DF" w:rsidP="00D177D6">
            <w:pPr>
              <w:pStyle w:val="TableText"/>
            </w:pPr>
            <w:r>
              <w:t>Echocardiograms received</w:t>
            </w:r>
            <w:r w:rsidR="00A12AD5">
              <w:br/>
            </w:r>
            <w:r>
              <w:t>(3 months follow-up</w:t>
            </w:r>
            <w:r w:rsidR="00D177D6">
              <w:t>)</w:t>
            </w:r>
          </w:p>
          <w:p w14:paraId="60C4DADA" w14:textId="0C2BBDD6" w:rsidR="00737A68" w:rsidRPr="00737A68" w:rsidRDefault="00737A68" w:rsidP="00D177D6">
            <w:pPr>
              <w:pStyle w:val="TableText"/>
            </w:pPr>
            <w:proofErr w:type="spellStart"/>
            <w:r w:rsidRPr="00737A68">
              <w:t>Burri</w:t>
            </w:r>
            <w:proofErr w:type="spellEnd"/>
            <w:r w:rsidRPr="00737A68">
              <w:t>, 2012</w:t>
            </w:r>
          </w:p>
        </w:tc>
        <w:tc>
          <w:tcPr>
            <w:tcW w:w="1155" w:type="dxa"/>
          </w:tcPr>
          <w:p w14:paraId="7B0CD4DA" w14:textId="2CB81E5F" w:rsidR="00737A68" w:rsidRPr="00737A68" w:rsidRDefault="00737A68" w:rsidP="00D177D6">
            <w:pPr>
              <w:pStyle w:val="TableText"/>
            </w:pPr>
            <w:r w:rsidRPr="00737A68">
              <w:t>18/163 (11)</w:t>
            </w:r>
          </w:p>
        </w:tc>
        <w:tc>
          <w:tcPr>
            <w:tcW w:w="1122" w:type="dxa"/>
          </w:tcPr>
          <w:p w14:paraId="364EB278" w14:textId="2E71E799" w:rsidR="00737A68" w:rsidRPr="00737A68" w:rsidRDefault="00737A68" w:rsidP="00D177D6">
            <w:pPr>
              <w:pStyle w:val="TableText"/>
            </w:pPr>
            <w:r w:rsidRPr="00737A68">
              <w:t>12/160 (</w:t>
            </w:r>
            <w:r w:rsidR="00FE4CF1">
              <w:t>7.5</w:t>
            </w:r>
            <w:r w:rsidRPr="00737A68">
              <w:t>)</w:t>
            </w:r>
          </w:p>
        </w:tc>
        <w:tc>
          <w:tcPr>
            <w:tcW w:w="2277" w:type="dxa"/>
          </w:tcPr>
          <w:p w14:paraId="0421886E" w14:textId="47CBA3A9" w:rsidR="00737A68" w:rsidRPr="00737A68" w:rsidRDefault="00737A68" w:rsidP="00D177D6">
            <w:pPr>
              <w:pStyle w:val="TableText"/>
              <w:rPr>
                <w:rStyle w:val="CommentaryemphasisTablesmid-paragraph"/>
                <w:color w:val="auto"/>
              </w:rPr>
            </w:pPr>
            <w:r w:rsidRPr="00737A68">
              <w:rPr>
                <w:rStyle w:val="CommentaryemphasisTablesmid-paragraph"/>
                <w:color w:val="auto"/>
              </w:rPr>
              <w:t xml:space="preserve">35 more </w:t>
            </w:r>
            <w:r w:rsidR="00526300" w:rsidRPr="008F202C">
              <w:t>echocardiograms</w:t>
            </w:r>
            <w:r w:rsidR="00526300">
              <w:rPr>
                <w:rStyle w:val="CommentaryemphasisTablesmid-paragraph"/>
              </w:rPr>
              <w:t xml:space="preserve"> </w:t>
            </w:r>
            <w:r w:rsidRPr="00737A68">
              <w:rPr>
                <w:rStyle w:val="CommentaryemphasisTablesmid-paragraph"/>
                <w:color w:val="auto"/>
              </w:rPr>
              <w:t>per 1,000</w:t>
            </w:r>
            <w:r w:rsidRPr="00737A68">
              <w:rPr>
                <w:rStyle w:val="CommentaryemphasisTablesmid-paragraph"/>
                <w:color w:val="auto"/>
              </w:rPr>
              <w:br/>
              <w:t>(from 20 fewer to 147 more)</w:t>
            </w:r>
          </w:p>
        </w:tc>
        <w:tc>
          <w:tcPr>
            <w:tcW w:w="1267" w:type="dxa"/>
          </w:tcPr>
          <w:p w14:paraId="157B877B" w14:textId="62CEB531" w:rsidR="00737A68" w:rsidRPr="00737A68" w:rsidRDefault="00737A68" w:rsidP="00D177D6">
            <w:pPr>
              <w:pStyle w:val="TableText"/>
            </w:pPr>
            <w:r w:rsidRPr="00737A68">
              <w:t>1.47</w:t>
            </w:r>
            <w:r w:rsidR="00A12AD5">
              <w:br/>
            </w:r>
            <w:r w:rsidRPr="00737A68">
              <w:t>(0.73 to 2.96)</w:t>
            </w:r>
          </w:p>
        </w:tc>
        <w:tc>
          <w:tcPr>
            <w:tcW w:w="941" w:type="dxa"/>
          </w:tcPr>
          <w:p w14:paraId="60E881B5" w14:textId="667B9FAC" w:rsidR="00737A68" w:rsidRPr="00737A68" w:rsidRDefault="00C157DF" w:rsidP="00D177D6">
            <w:pPr>
              <w:pStyle w:val="TableText"/>
            </w:pPr>
            <w:r>
              <w:t>Very low</w:t>
            </w:r>
          </w:p>
        </w:tc>
      </w:tr>
      <w:tr w:rsidR="00571538" w:rsidRPr="00737A68" w14:paraId="74C448F8" w14:textId="160F6888" w:rsidTr="008F202C">
        <w:tc>
          <w:tcPr>
            <w:tcW w:w="2254" w:type="dxa"/>
          </w:tcPr>
          <w:p w14:paraId="4F0D26D1" w14:textId="3D691B96" w:rsidR="00D177D6" w:rsidRDefault="00D177D6" w:rsidP="00D177D6">
            <w:pPr>
              <w:pStyle w:val="TableText"/>
            </w:pPr>
            <w:r>
              <w:t>Echocardiogram re</w:t>
            </w:r>
            <w:r w:rsidR="009F1C2F">
              <w:t>ferrals</w:t>
            </w:r>
            <w:r w:rsidR="00A12AD5">
              <w:br/>
            </w:r>
            <w:r>
              <w:t>(follow up not specified)</w:t>
            </w:r>
          </w:p>
          <w:p w14:paraId="5EA60919" w14:textId="33B20240" w:rsidR="00737A68" w:rsidRPr="00737A68" w:rsidRDefault="00737A68" w:rsidP="00D177D6">
            <w:pPr>
              <w:pStyle w:val="TableText"/>
            </w:pPr>
            <w:proofErr w:type="spellStart"/>
            <w:r w:rsidRPr="00737A68">
              <w:t>Najbjerg</w:t>
            </w:r>
            <w:proofErr w:type="spellEnd"/>
            <w:r w:rsidRPr="00737A68">
              <w:t>, 2019</w:t>
            </w:r>
          </w:p>
        </w:tc>
        <w:tc>
          <w:tcPr>
            <w:tcW w:w="1155" w:type="dxa"/>
          </w:tcPr>
          <w:p w14:paraId="22B7F59A" w14:textId="04542DAD" w:rsidR="00737A68" w:rsidRPr="00737A68" w:rsidRDefault="00737A68" w:rsidP="00D177D6">
            <w:pPr>
              <w:pStyle w:val="TableText"/>
            </w:pPr>
            <w:r w:rsidRPr="00737A68">
              <w:t>131/113,027 (0.12)</w:t>
            </w:r>
          </w:p>
        </w:tc>
        <w:tc>
          <w:tcPr>
            <w:tcW w:w="1122" w:type="dxa"/>
          </w:tcPr>
          <w:p w14:paraId="0655CF8B" w14:textId="099E903F" w:rsidR="00737A68" w:rsidRPr="00737A68" w:rsidRDefault="00737A68" w:rsidP="00D177D6">
            <w:pPr>
              <w:pStyle w:val="TableText"/>
            </w:pPr>
            <w:r w:rsidRPr="00737A68">
              <w:t>53/75,025 (0.07</w:t>
            </w:r>
          </w:p>
        </w:tc>
        <w:tc>
          <w:tcPr>
            <w:tcW w:w="2277" w:type="dxa"/>
          </w:tcPr>
          <w:p w14:paraId="2507BC9F" w14:textId="34E6B44E" w:rsidR="00737A68" w:rsidRPr="00737A68" w:rsidRDefault="00737A68" w:rsidP="00D177D6">
            <w:pPr>
              <w:pStyle w:val="TableText"/>
            </w:pPr>
            <w:r w:rsidRPr="00737A68">
              <w:rPr>
                <w:rStyle w:val="CommentaryemphasisTablesmid-paragraph"/>
                <w:color w:val="auto"/>
              </w:rPr>
              <w:t>2 more</w:t>
            </w:r>
            <w:r w:rsidR="00526300">
              <w:rPr>
                <w:rStyle w:val="CommentaryemphasisTablesmid-paragraph"/>
                <w:color w:val="auto"/>
              </w:rPr>
              <w:t xml:space="preserve"> </w:t>
            </w:r>
            <w:r w:rsidR="00526300" w:rsidRPr="008F202C">
              <w:t>echocardiograms</w:t>
            </w:r>
            <w:r w:rsidRPr="008F202C">
              <w:t xml:space="preserve"> per</w:t>
            </w:r>
            <w:r w:rsidRPr="00737A68">
              <w:rPr>
                <w:rStyle w:val="CommentaryemphasisTablesmid-paragraph"/>
                <w:color w:val="auto"/>
              </w:rPr>
              <w:t xml:space="preserve"> 10,000</w:t>
            </w:r>
            <w:r w:rsidRPr="00737A68">
              <w:rPr>
                <w:rStyle w:val="CommentaryemphasisTablesmid-paragraph"/>
                <w:color w:val="auto"/>
              </w:rPr>
              <w:br/>
              <w:t>(from 1 more to 9 more)</w:t>
            </w:r>
          </w:p>
        </w:tc>
        <w:tc>
          <w:tcPr>
            <w:tcW w:w="1267" w:type="dxa"/>
          </w:tcPr>
          <w:p w14:paraId="34DBF149" w14:textId="23107304" w:rsidR="00737A68" w:rsidRPr="00737A68" w:rsidRDefault="00737A68" w:rsidP="00D177D6">
            <w:pPr>
              <w:pStyle w:val="TableText"/>
            </w:pPr>
            <w:r w:rsidRPr="00737A68">
              <w:t>1.34</w:t>
            </w:r>
            <w:r w:rsidR="00A12AD5">
              <w:br/>
            </w:r>
            <w:r w:rsidRPr="00737A68">
              <w:t>(1.19 to 2.26)</w:t>
            </w:r>
          </w:p>
        </w:tc>
        <w:tc>
          <w:tcPr>
            <w:tcW w:w="941" w:type="dxa"/>
          </w:tcPr>
          <w:p w14:paraId="6829E62C" w14:textId="5DC04208" w:rsidR="00737A68" w:rsidRPr="00737A68" w:rsidRDefault="00D177D6" w:rsidP="00D177D6">
            <w:pPr>
              <w:pStyle w:val="TableText"/>
            </w:pPr>
            <w:r>
              <w:t>Moderate</w:t>
            </w:r>
          </w:p>
        </w:tc>
      </w:tr>
    </w:tbl>
    <w:p w14:paraId="039AD2DF" w14:textId="6F98C6AE" w:rsidR="0063573E" w:rsidRDefault="0063573E" w:rsidP="0063573E">
      <w:pPr>
        <w:pStyle w:val="Tablenotes0"/>
      </w:pPr>
      <w:r w:rsidRPr="00FF725D">
        <w:rPr>
          <w:b/>
          <w:bCs/>
        </w:rPr>
        <w:t>Abbreviations</w:t>
      </w:r>
      <w:r>
        <w:t>: CI, confidence interval</w:t>
      </w:r>
      <w:r w:rsidR="000F0689">
        <w:t>; n = number</w:t>
      </w:r>
      <w:r w:rsidR="00675D70">
        <w:t xml:space="preserve"> </w:t>
      </w:r>
      <w:r w:rsidR="00A03573">
        <w:t xml:space="preserve">of participants </w:t>
      </w:r>
      <w:r w:rsidR="00675D70">
        <w:t xml:space="preserve">who received </w:t>
      </w:r>
      <w:r w:rsidR="00A03573">
        <w:t xml:space="preserve">an </w:t>
      </w:r>
      <w:r w:rsidR="00675D70">
        <w:t xml:space="preserve">echocardiogram; N = total number of participants </w:t>
      </w:r>
      <w:r w:rsidR="00A03573">
        <w:t>in the</w:t>
      </w:r>
      <w:r w:rsidR="00675D70">
        <w:t xml:space="preserve"> intervention or comparator</w:t>
      </w:r>
      <w:r w:rsidR="00A03573">
        <w:t xml:space="preserve"> arm</w:t>
      </w:r>
    </w:p>
    <w:p w14:paraId="29304EED" w14:textId="645C9E0E" w:rsidR="00737A68" w:rsidRPr="00263462" w:rsidRDefault="00737A68" w:rsidP="00B57A69">
      <w:pPr>
        <w:pStyle w:val="Tablenotes0"/>
      </w:pPr>
      <w:r w:rsidRPr="00FF725D">
        <w:rPr>
          <w:b/>
          <w:bCs/>
        </w:rPr>
        <w:t>Source:</w:t>
      </w:r>
      <w:r>
        <w:t xml:space="preserve"> </w:t>
      </w:r>
      <w:r w:rsidR="00B57A69">
        <w:t>Commentary Table 1</w:t>
      </w:r>
      <w:r w:rsidR="00612C3A">
        <w:t>4</w:t>
      </w:r>
      <w:r w:rsidR="008C3CF9">
        <w:t xml:space="preserve"> and Commentary Table 2</w:t>
      </w:r>
      <w:r w:rsidR="00D40FAD">
        <w:t>3</w:t>
      </w:r>
      <w:r w:rsidR="00B57A69">
        <w:t xml:space="preserve"> from MSAC 1740 ADAR+ in-line commentary</w:t>
      </w:r>
    </w:p>
    <w:p w14:paraId="47B04C3F" w14:textId="7B7A4800" w:rsidR="0063573E" w:rsidRPr="0063573E" w:rsidRDefault="00F52320" w:rsidP="0063573E">
      <w:r>
        <w:t xml:space="preserve">A significant decrease in time to initiate appropriate treatment and the need for further diagnostic work up was reported in </w:t>
      </w:r>
      <w:proofErr w:type="spellStart"/>
      <w:r>
        <w:t>Burri</w:t>
      </w:r>
      <w:proofErr w:type="spellEnd"/>
      <w:r>
        <w:t xml:space="preserve"> </w:t>
      </w:r>
      <w:r w:rsidR="00912121">
        <w:t>et al</w:t>
      </w:r>
      <w:r w:rsidR="004C235C">
        <w:t xml:space="preserve"> </w:t>
      </w:r>
      <w:r>
        <w:t>(2012)</w:t>
      </w:r>
      <w:r w:rsidR="007655C5">
        <w:t xml:space="preserve"> (</w:t>
      </w:r>
      <w:r w:rsidR="007655C5">
        <w:fldChar w:fldCharType="begin"/>
      </w:r>
      <w:r w:rsidR="007655C5">
        <w:instrText xml:space="preserve"> REF _Ref141821427 \h </w:instrText>
      </w:r>
      <w:r w:rsidR="0063573E">
        <w:instrText xml:space="preserve"> \* MERGEFORMAT </w:instrText>
      </w:r>
      <w:r w:rsidR="007655C5">
        <w:fldChar w:fldCharType="separate"/>
      </w:r>
      <w:r w:rsidR="00472DB9">
        <w:t xml:space="preserve">Table </w:t>
      </w:r>
      <w:r w:rsidR="00472DB9">
        <w:rPr>
          <w:noProof/>
        </w:rPr>
        <w:t>12</w:t>
      </w:r>
      <w:r w:rsidR="007655C5">
        <w:fldChar w:fldCharType="end"/>
      </w:r>
      <w:r w:rsidR="007655C5">
        <w:t>)</w:t>
      </w:r>
      <w:r>
        <w:t xml:space="preserve">. </w:t>
      </w:r>
      <w:r w:rsidR="007118AC" w:rsidRPr="00D854B4">
        <w:t>Appropriate treatment was initiated on the day of initial presentation in 98 patients (66%) in the BNP group</w:t>
      </w:r>
      <w:r w:rsidR="00192227">
        <w:t>.</w:t>
      </w:r>
      <w:r w:rsidR="007118AC">
        <w:t xml:space="preserve"> </w:t>
      </w:r>
      <w:r w:rsidR="00192227">
        <w:t>A</w:t>
      </w:r>
      <w:r w:rsidR="007118AC">
        <w:t>s a point-of-care test was used</w:t>
      </w:r>
      <w:r w:rsidR="00BB5207">
        <w:t xml:space="preserve">, </w:t>
      </w:r>
      <w:r w:rsidR="00192227">
        <w:t>however,</w:t>
      </w:r>
      <w:r w:rsidR="00BB5207">
        <w:t xml:space="preserve"> </w:t>
      </w:r>
      <w:r w:rsidR="004D414D">
        <w:t xml:space="preserve">this </w:t>
      </w:r>
      <w:r w:rsidR="006C4049">
        <w:t>is not likely to reflect the anticipated time to appropriate therapy for a laboratory-based test as assessed in the ADAR.</w:t>
      </w:r>
      <w:r w:rsidR="007655C5" w:rsidRPr="007655C5">
        <w:t xml:space="preserve"> </w:t>
      </w:r>
      <w:r w:rsidR="007655C5">
        <w:t>The</w:t>
      </w:r>
      <w:r w:rsidR="00B83217">
        <w:t xml:space="preserve"> authors note th</w:t>
      </w:r>
      <w:r w:rsidR="000D2038">
        <w:t>e</w:t>
      </w:r>
      <w:r w:rsidR="007655C5">
        <w:t xml:space="preserve"> benefit in reduced diagnostic workup and time to appropriate treatment seem</w:t>
      </w:r>
      <w:r w:rsidR="00584249">
        <w:t>ed</w:t>
      </w:r>
      <w:r w:rsidR="007655C5">
        <w:t xml:space="preserve"> to be mainly in avoiding long treatment delays as both </w:t>
      </w:r>
      <w:r w:rsidR="00452067">
        <w:t xml:space="preserve">the intervention and control </w:t>
      </w:r>
      <w:r w:rsidR="007655C5">
        <w:t>groups had similar median values, but large differences in</w:t>
      </w:r>
      <w:r w:rsidR="0074351B">
        <w:t xml:space="preserve"> the</w:t>
      </w:r>
      <w:r w:rsidR="007655C5">
        <w:t xml:space="preserve"> 75</w:t>
      </w:r>
      <w:r w:rsidR="007655C5" w:rsidRPr="00FD151E">
        <w:rPr>
          <w:vertAlign w:val="superscript"/>
        </w:rPr>
        <w:t>th</w:t>
      </w:r>
      <w:r w:rsidR="007655C5">
        <w:t xml:space="preserve"> percentile</w:t>
      </w:r>
      <w:r w:rsidR="0074351B">
        <w:t xml:space="preserve"> values</w:t>
      </w:r>
      <w:r w:rsidR="007655C5">
        <w:t>.</w:t>
      </w:r>
    </w:p>
    <w:p w14:paraId="49BD00C1" w14:textId="4D3D788E" w:rsidR="00214C2F" w:rsidRDefault="00214C2F" w:rsidP="00214C2F">
      <w:pPr>
        <w:pStyle w:val="Caption"/>
      </w:pPr>
      <w:bookmarkStart w:id="30" w:name="_Ref141821427"/>
      <w:r>
        <w:t xml:space="preserve">Table </w:t>
      </w:r>
      <w:r>
        <w:fldChar w:fldCharType="begin"/>
      </w:r>
      <w:r>
        <w:instrText>SEQ Table \* ARABIC</w:instrText>
      </w:r>
      <w:r>
        <w:fldChar w:fldCharType="separate"/>
      </w:r>
      <w:r w:rsidR="00472DB9">
        <w:rPr>
          <w:noProof/>
        </w:rPr>
        <w:t>12</w:t>
      </w:r>
      <w:r>
        <w:fldChar w:fldCharType="end"/>
      </w:r>
      <w:bookmarkEnd w:id="30"/>
      <w:r>
        <w:tab/>
        <w:t>Change in management outcomes with and without BNP testing in primary care (</w:t>
      </w:r>
      <w:proofErr w:type="spellStart"/>
      <w:r>
        <w:t>Burri</w:t>
      </w:r>
      <w:proofErr w:type="spellEnd"/>
      <w:r>
        <w:t>, 2012)</w:t>
      </w:r>
    </w:p>
    <w:tbl>
      <w:tblPr>
        <w:tblStyle w:val="TableGrid"/>
        <w:tblW w:w="0" w:type="auto"/>
        <w:tblLook w:val="04A0" w:firstRow="1" w:lastRow="0" w:firstColumn="1" w:lastColumn="0" w:noHBand="0" w:noVBand="1"/>
        <w:tblCaption w:val="Change in management outcomes with and without BNP testing in primary care (Burri, 2012)"/>
        <w:tblDescription w:val="The table shows results from the Burri (2012) study for time to appropriate therapy and the need for further diagnostic workup. The certainty of the evidence is also reported."/>
      </w:tblPr>
      <w:tblGrid>
        <w:gridCol w:w="1696"/>
        <w:gridCol w:w="2622"/>
        <w:gridCol w:w="2623"/>
        <w:gridCol w:w="905"/>
        <w:gridCol w:w="1170"/>
      </w:tblGrid>
      <w:tr w:rsidR="00214C2F" w14:paraId="5B8418A7" w14:textId="77777777" w:rsidTr="008F202C">
        <w:trPr>
          <w:tblHeader/>
        </w:trPr>
        <w:tc>
          <w:tcPr>
            <w:tcW w:w="1696" w:type="dxa"/>
          </w:tcPr>
          <w:p w14:paraId="72D2B64A" w14:textId="77777777" w:rsidR="00214C2F" w:rsidRPr="00613272" w:rsidRDefault="00214C2F" w:rsidP="008F202C">
            <w:pPr>
              <w:pStyle w:val="TableHeading0"/>
            </w:pPr>
            <w:r w:rsidRPr="00613272">
              <w:t>Outcomes</w:t>
            </w:r>
          </w:p>
        </w:tc>
        <w:tc>
          <w:tcPr>
            <w:tcW w:w="2622" w:type="dxa"/>
          </w:tcPr>
          <w:p w14:paraId="18A82E58" w14:textId="77777777" w:rsidR="00214C2F" w:rsidRPr="00613272" w:rsidRDefault="00214C2F" w:rsidP="008F202C">
            <w:pPr>
              <w:pStyle w:val="TableHeading0"/>
            </w:pPr>
            <w:r w:rsidRPr="00613272">
              <w:t>Intervention (n=163)</w:t>
            </w:r>
          </w:p>
        </w:tc>
        <w:tc>
          <w:tcPr>
            <w:tcW w:w="2623" w:type="dxa"/>
          </w:tcPr>
          <w:p w14:paraId="0706AA62" w14:textId="77777777" w:rsidR="00214C2F" w:rsidRPr="00613272" w:rsidRDefault="00214C2F" w:rsidP="008F202C">
            <w:pPr>
              <w:pStyle w:val="TableHeading0"/>
            </w:pPr>
            <w:r w:rsidRPr="00613272">
              <w:t>Comparator (n=160)</w:t>
            </w:r>
          </w:p>
        </w:tc>
        <w:tc>
          <w:tcPr>
            <w:tcW w:w="905" w:type="dxa"/>
          </w:tcPr>
          <w:p w14:paraId="25C31EDC" w14:textId="77777777" w:rsidR="00214C2F" w:rsidRPr="00613272" w:rsidRDefault="00214C2F" w:rsidP="008F202C">
            <w:pPr>
              <w:pStyle w:val="TableHeading0"/>
            </w:pPr>
            <w:r>
              <w:t>p-value</w:t>
            </w:r>
          </w:p>
        </w:tc>
        <w:tc>
          <w:tcPr>
            <w:tcW w:w="0" w:type="auto"/>
          </w:tcPr>
          <w:p w14:paraId="4983ACAC" w14:textId="77777777" w:rsidR="00214C2F" w:rsidRPr="00613272" w:rsidRDefault="00214C2F" w:rsidP="008F202C">
            <w:pPr>
              <w:pStyle w:val="TableHeading0"/>
            </w:pPr>
            <w:r>
              <w:t>Certainty</w:t>
            </w:r>
          </w:p>
        </w:tc>
      </w:tr>
      <w:tr w:rsidR="00214C2F" w14:paraId="36B240F0" w14:textId="77777777" w:rsidTr="008F202C">
        <w:tc>
          <w:tcPr>
            <w:tcW w:w="1696" w:type="dxa"/>
          </w:tcPr>
          <w:p w14:paraId="75B29428" w14:textId="77777777" w:rsidR="00214C2F" w:rsidRDefault="00214C2F">
            <w:pPr>
              <w:pStyle w:val="TableText"/>
            </w:pPr>
            <w:r>
              <w:t>Time to appropriate therapy (days)</w:t>
            </w:r>
          </w:p>
        </w:tc>
        <w:tc>
          <w:tcPr>
            <w:tcW w:w="2622" w:type="dxa"/>
          </w:tcPr>
          <w:p w14:paraId="555AD9B7" w14:textId="77B964C4" w:rsidR="00902FB4" w:rsidRDefault="00902FB4">
            <w:pPr>
              <w:pStyle w:val="TableText"/>
            </w:pPr>
            <w:r>
              <w:t>Mean 12.8 (95% CI 8.0, 17.6)</w:t>
            </w:r>
          </w:p>
          <w:p w14:paraId="70B04748" w14:textId="5ABE1F70" w:rsidR="00214C2F" w:rsidRDefault="00214C2F">
            <w:pPr>
              <w:pStyle w:val="TableText"/>
            </w:pPr>
            <w:r>
              <w:t>Median 0.04 (IQR 0.04</w:t>
            </w:r>
            <w:r w:rsidR="00902FB4">
              <w:t xml:space="preserve">, </w:t>
            </w:r>
            <w:r>
              <w:t>8)</w:t>
            </w:r>
          </w:p>
        </w:tc>
        <w:tc>
          <w:tcPr>
            <w:tcW w:w="2623" w:type="dxa"/>
          </w:tcPr>
          <w:p w14:paraId="41F070D9" w14:textId="57A1534F" w:rsidR="00902FB4" w:rsidRDefault="00902FB4">
            <w:pPr>
              <w:pStyle w:val="TableText"/>
            </w:pPr>
            <w:r>
              <w:t xml:space="preserve">Mean </w:t>
            </w:r>
            <w:r w:rsidRPr="006A2DE8">
              <w:t>24.7 (</w:t>
            </w:r>
            <w:r>
              <w:t xml:space="preserve">95% CI </w:t>
            </w:r>
            <w:r w:rsidRPr="006A2DE8">
              <w:t>18.3</w:t>
            </w:r>
            <w:r>
              <w:t xml:space="preserve">, </w:t>
            </w:r>
            <w:r w:rsidRPr="006A2DE8">
              <w:t>31.1)</w:t>
            </w:r>
          </w:p>
          <w:p w14:paraId="134E5395" w14:textId="76C6F0BE" w:rsidR="00214C2F" w:rsidRDefault="00214C2F">
            <w:pPr>
              <w:pStyle w:val="TableText"/>
            </w:pPr>
            <w:r>
              <w:t xml:space="preserve">Median </w:t>
            </w:r>
            <w:r w:rsidRPr="00D854B4">
              <w:t>0.04 (</w:t>
            </w:r>
            <w:r>
              <w:t xml:space="preserve">IQR </w:t>
            </w:r>
            <w:r w:rsidRPr="00D854B4">
              <w:t>0.04</w:t>
            </w:r>
            <w:r w:rsidR="00902FB4">
              <w:t xml:space="preserve">, </w:t>
            </w:r>
            <w:r w:rsidRPr="00D854B4">
              <w:t>34)</w:t>
            </w:r>
          </w:p>
        </w:tc>
        <w:tc>
          <w:tcPr>
            <w:tcW w:w="905" w:type="dxa"/>
          </w:tcPr>
          <w:p w14:paraId="3EE93486" w14:textId="68671A63" w:rsidR="00214C2F" w:rsidRDefault="00214C2F">
            <w:pPr>
              <w:pStyle w:val="TableText"/>
            </w:pPr>
            <w:r w:rsidRPr="00FA3FF2">
              <w:t>0.01</w:t>
            </w:r>
            <w:r w:rsidRPr="00FA3FF2">
              <w:rPr>
                <w:vertAlign w:val="superscript"/>
              </w:rPr>
              <w:t>a</w:t>
            </w:r>
          </w:p>
        </w:tc>
        <w:tc>
          <w:tcPr>
            <w:tcW w:w="0" w:type="auto"/>
          </w:tcPr>
          <w:p w14:paraId="1390D7C4" w14:textId="77777777" w:rsidR="00214C2F" w:rsidRDefault="00214C2F">
            <w:pPr>
              <w:pStyle w:val="TableText"/>
            </w:pPr>
            <w:r>
              <w:t>Very low</w:t>
            </w:r>
          </w:p>
        </w:tc>
      </w:tr>
      <w:tr w:rsidR="00214C2F" w14:paraId="459CDEA3" w14:textId="77777777" w:rsidTr="008F202C">
        <w:tc>
          <w:tcPr>
            <w:tcW w:w="1696" w:type="dxa"/>
          </w:tcPr>
          <w:p w14:paraId="6F71FCA5" w14:textId="77777777" w:rsidR="00214C2F" w:rsidRDefault="00214C2F">
            <w:pPr>
              <w:pStyle w:val="TableText"/>
            </w:pPr>
            <w:r>
              <w:t>Need for further diagnostic work up</w:t>
            </w:r>
          </w:p>
        </w:tc>
        <w:tc>
          <w:tcPr>
            <w:tcW w:w="2622" w:type="dxa"/>
          </w:tcPr>
          <w:p w14:paraId="02F62E65" w14:textId="77777777" w:rsidR="00214C2F" w:rsidRDefault="00214C2F">
            <w:pPr>
              <w:pStyle w:val="TableText"/>
            </w:pPr>
            <w:r w:rsidRPr="00FD1FAF">
              <w:t>33%</w:t>
            </w:r>
          </w:p>
        </w:tc>
        <w:tc>
          <w:tcPr>
            <w:tcW w:w="2623" w:type="dxa"/>
          </w:tcPr>
          <w:p w14:paraId="395E9443" w14:textId="77777777" w:rsidR="00214C2F" w:rsidRDefault="00214C2F">
            <w:pPr>
              <w:pStyle w:val="TableText"/>
            </w:pPr>
            <w:r w:rsidRPr="00FD1FAF">
              <w:t>45%</w:t>
            </w:r>
          </w:p>
        </w:tc>
        <w:tc>
          <w:tcPr>
            <w:tcW w:w="905" w:type="dxa"/>
          </w:tcPr>
          <w:p w14:paraId="7C6A9153" w14:textId="77777777" w:rsidR="00214C2F" w:rsidRDefault="00214C2F">
            <w:pPr>
              <w:pStyle w:val="TableText"/>
            </w:pPr>
            <w:r w:rsidRPr="00FD1FAF">
              <w:t>0.02</w:t>
            </w:r>
          </w:p>
        </w:tc>
        <w:tc>
          <w:tcPr>
            <w:tcW w:w="0" w:type="auto"/>
          </w:tcPr>
          <w:p w14:paraId="1F561CD5" w14:textId="77777777" w:rsidR="00214C2F" w:rsidRDefault="00214C2F">
            <w:pPr>
              <w:pStyle w:val="TableText"/>
            </w:pPr>
            <w:r>
              <w:t>Not assessed</w:t>
            </w:r>
          </w:p>
        </w:tc>
      </w:tr>
    </w:tbl>
    <w:p w14:paraId="27391A57" w14:textId="429177CA" w:rsidR="00584249" w:rsidRDefault="00584249" w:rsidP="00584249">
      <w:pPr>
        <w:pStyle w:val="Tablenotes0"/>
      </w:pPr>
      <w:r w:rsidRPr="00FF725D">
        <w:rPr>
          <w:b/>
          <w:bCs/>
        </w:rPr>
        <w:t>Abbreviations:</w:t>
      </w:r>
      <w:r>
        <w:t xml:space="preserve"> CI</w:t>
      </w:r>
      <w:r w:rsidR="00DB5DFD">
        <w:t>,</w:t>
      </w:r>
      <w:r>
        <w:t xml:space="preserve"> confidence interval; IQR</w:t>
      </w:r>
      <w:r w:rsidR="00DB5DFD">
        <w:t>,</w:t>
      </w:r>
      <w:r>
        <w:t xml:space="preserve"> interquartile range; n</w:t>
      </w:r>
      <w:r w:rsidR="00DB5DFD">
        <w:t>,</w:t>
      </w:r>
      <w:r>
        <w:t xml:space="preserve"> number.</w:t>
      </w:r>
    </w:p>
    <w:p w14:paraId="1F2ABA96" w14:textId="53A18069" w:rsidR="00584249" w:rsidRDefault="00584249" w:rsidP="00584249">
      <w:pPr>
        <w:pStyle w:val="Tablenotes0"/>
      </w:pPr>
      <w:proofErr w:type="spellStart"/>
      <w:r>
        <w:t>a</w:t>
      </w:r>
      <w:proofErr w:type="spellEnd"/>
      <w:r>
        <w:t xml:space="preserve"> It is suspected that reporting of the p-value with the median and IQR is an error in the table in the </w:t>
      </w:r>
      <w:proofErr w:type="spellStart"/>
      <w:r>
        <w:t>Burri</w:t>
      </w:r>
      <w:proofErr w:type="spellEnd"/>
      <w:r>
        <w:t xml:space="preserve"> 2012 publication, and the p-value should be reported with the mean. Text in the publication indicates that this is the case.</w:t>
      </w:r>
    </w:p>
    <w:p w14:paraId="2E15E317" w14:textId="1A395C9D" w:rsidR="00214C2F" w:rsidRDefault="00214C2F" w:rsidP="00214C2F">
      <w:pPr>
        <w:pStyle w:val="Tablenotes0"/>
      </w:pPr>
      <w:r w:rsidRPr="00FF725D">
        <w:rPr>
          <w:b/>
          <w:bCs/>
        </w:rPr>
        <w:t>Source:</w:t>
      </w:r>
      <w:r>
        <w:t xml:space="preserve"> Table 23 </w:t>
      </w:r>
      <w:r w:rsidR="00F54730">
        <w:t>(</w:t>
      </w:r>
      <w:r>
        <w:t>including commentary additions</w:t>
      </w:r>
      <w:r w:rsidR="00F54730">
        <w:t>) and Commentary Table 2</w:t>
      </w:r>
      <w:r w:rsidR="0026690E">
        <w:t>3</w:t>
      </w:r>
      <w:r>
        <w:t xml:space="preserve"> from MSAC 1740 ADAR+ in-line commentary</w:t>
      </w:r>
    </w:p>
    <w:p w14:paraId="53522072" w14:textId="31ACD443" w:rsidR="001B1F5A" w:rsidRDefault="001B1F5A" w:rsidP="008F202C">
      <w:r>
        <w:t xml:space="preserve">Based on Wright </w:t>
      </w:r>
      <w:r w:rsidR="00912121">
        <w:t xml:space="preserve">et al. </w:t>
      </w:r>
      <w:r>
        <w:t xml:space="preserve">(2003), MSAC </w:t>
      </w:r>
      <w:r w:rsidR="00656E82">
        <w:t>a</w:t>
      </w:r>
      <w:r>
        <w:t>pplication 1087 concluded that there was a clinically important improvement in the proportion of correct diagnoses of HF with the addition of NT-</w:t>
      </w:r>
      <w:proofErr w:type="spellStart"/>
      <w:r>
        <w:t>proBNP</w:t>
      </w:r>
      <w:proofErr w:type="spellEnd"/>
      <w:r>
        <w:t xml:space="preserve"> testing. </w:t>
      </w:r>
      <w:r w:rsidRPr="00923806">
        <w:t>The main impact occurred by enabling GPs to correctly ‘rule out’ HF</w:t>
      </w:r>
      <w:r>
        <w:t xml:space="preserve">, with use of the test unlikely to lead to earlier identification of HF but more likely to lead to earlier </w:t>
      </w:r>
      <w:r>
        <w:lastRenderedPageBreak/>
        <w:t>identification of alternative diagnoses. The commentary considered the additional evidence presented align</w:t>
      </w:r>
      <w:r w:rsidR="00584249">
        <w:t>ed</w:t>
      </w:r>
      <w:r>
        <w:t xml:space="preserve"> with this conclusion but did not support a reduced rate of echocardiography referral as claimed in the ADAR. </w:t>
      </w:r>
    </w:p>
    <w:p w14:paraId="213924C6" w14:textId="11D5654C" w:rsidR="00772829" w:rsidRPr="008F202C" w:rsidRDefault="00772829" w:rsidP="008F202C">
      <w:pPr>
        <w:pStyle w:val="Heading3"/>
      </w:pPr>
      <w:r w:rsidRPr="008F202C">
        <w:t>Clinical claim</w:t>
      </w:r>
    </w:p>
    <w:p w14:paraId="692B7AD9" w14:textId="57E8998E" w:rsidR="002C7551" w:rsidRDefault="002C7551" w:rsidP="008F202C">
      <w:pPr>
        <w:pStyle w:val="Heading4"/>
      </w:pPr>
      <w:r>
        <w:t>PICO Set 1</w:t>
      </w:r>
    </w:p>
    <w:p w14:paraId="70961BE2" w14:textId="0D71C441" w:rsidR="002C7551" w:rsidRDefault="003405FB" w:rsidP="002C7551">
      <w:r>
        <w:t>The ADAR stated that t</w:t>
      </w:r>
      <w:r w:rsidRPr="003405FB">
        <w:t>he use of NT-</w:t>
      </w:r>
      <w:proofErr w:type="spellStart"/>
      <w:r w:rsidRPr="003405FB">
        <w:t>proBNP</w:t>
      </w:r>
      <w:proofErr w:type="spellEnd"/>
      <w:r w:rsidRPr="003405FB">
        <w:t xml:space="preserve"> testing ± echocardiography in primary care </w:t>
      </w:r>
      <w:r w:rsidR="00D86AB6">
        <w:t xml:space="preserve">(GPs) </w:t>
      </w:r>
      <w:r w:rsidRPr="003405FB">
        <w:t>for the diagnosis of HF result</w:t>
      </w:r>
      <w:r w:rsidR="003C4A78">
        <w:t>ed</w:t>
      </w:r>
      <w:r w:rsidRPr="003405FB">
        <w:t xml:space="preserve"> in at least </w:t>
      </w:r>
      <w:r w:rsidRPr="008F202C">
        <w:rPr>
          <w:b/>
          <w:bCs/>
        </w:rPr>
        <w:t>non-inferior</w:t>
      </w:r>
      <w:r w:rsidRPr="003405FB">
        <w:t xml:space="preserve"> effectiveness and </w:t>
      </w:r>
      <w:r w:rsidR="0063181D" w:rsidRPr="00CB510C">
        <w:rPr>
          <w:b/>
          <w:bCs/>
        </w:rPr>
        <w:t>non-inferior</w:t>
      </w:r>
      <w:r w:rsidR="0063181D" w:rsidRPr="003405FB">
        <w:t xml:space="preserve"> </w:t>
      </w:r>
      <w:r w:rsidRPr="003405FB">
        <w:t>safety compared with echocardiography alone.</w:t>
      </w:r>
    </w:p>
    <w:p w14:paraId="49B0D190" w14:textId="11A7B6A4" w:rsidR="00934A6C" w:rsidRDefault="00934A6C" w:rsidP="00934A6C">
      <w:r>
        <w:t>The commentary consider</w:t>
      </w:r>
      <w:r w:rsidR="00936C16">
        <w:t>ed</w:t>
      </w:r>
      <w:r>
        <w:t xml:space="preserve"> that the use of NT-</w:t>
      </w:r>
      <w:proofErr w:type="spellStart"/>
      <w:r>
        <w:t>proBNP</w:t>
      </w:r>
      <w:proofErr w:type="spellEnd"/>
      <w:r>
        <w:t xml:space="preserve"> testing </w:t>
      </w:r>
      <w:r w:rsidR="001375BC">
        <w:t>as part of the initial clinical assessment</w:t>
      </w:r>
      <w:r w:rsidR="00D9017C">
        <w:t xml:space="preserve"> </w:t>
      </w:r>
      <w:r>
        <w:t>compared to clinical assessment without NT-</w:t>
      </w:r>
      <w:proofErr w:type="spellStart"/>
      <w:r>
        <w:t>proBNP</w:t>
      </w:r>
      <w:proofErr w:type="spellEnd"/>
      <w:r>
        <w:t xml:space="preserve"> testing for the diagnosis of HF result</w:t>
      </w:r>
      <w:r w:rsidR="00FD705E">
        <w:t>ed</w:t>
      </w:r>
      <w:r>
        <w:t xml:space="preserve"> in </w:t>
      </w:r>
      <w:r w:rsidRPr="008F202C">
        <w:rPr>
          <w:b/>
          <w:bCs/>
        </w:rPr>
        <w:t xml:space="preserve">superior </w:t>
      </w:r>
      <w:r>
        <w:t xml:space="preserve">test accuracy and </w:t>
      </w:r>
      <w:r w:rsidRPr="008F202C">
        <w:rPr>
          <w:b/>
          <w:bCs/>
        </w:rPr>
        <w:t>non-inferior</w:t>
      </w:r>
      <w:r>
        <w:t xml:space="preserve"> safety.</w:t>
      </w:r>
    </w:p>
    <w:p w14:paraId="75AD0D95" w14:textId="6A165B3C" w:rsidR="00934A6C" w:rsidRDefault="00934A6C" w:rsidP="00934A6C">
      <w:r>
        <w:t>The</w:t>
      </w:r>
      <w:r w:rsidR="00455B03">
        <w:t xml:space="preserve"> commentary considered that the</w:t>
      </w:r>
      <w:r>
        <w:t xml:space="preserve"> use of NT-</w:t>
      </w:r>
      <w:proofErr w:type="spellStart"/>
      <w:r>
        <w:t>proBNP</w:t>
      </w:r>
      <w:proofErr w:type="spellEnd"/>
      <w:r>
        <w:t xml:space="preserve"> testing </w:t>
      </w:r>
      <w:r w:rsidR="00CB4A5F">
        <w:t xml:space="preserve">as part of the initial </w:t>
      </w:r>
      <w:r>
        <w:t xml:space="preserve">clinical assessment compared to clinical assessment alone to triage patients to echocardiography may not result in superior health outcomes, </w:t>
      </w:r>
      <w:r w:rsidR="00455B03">
        <w:t xml:space="preserve">but </w:t>
      </w:r>
      <w:r>
        <w:t xml:space="preserve">there </w:t>
      </w:r>
      <w:r w:rsidR="00455B03">
        <w:t>wa</w:t>
      </w:r>
      <w:r>
        <w:t>s significant uncertainty regarding the use and value of the test when implemented in primary care.</w:t>
      </w:r>
    </w:p>
    <w:p w14:paraId="122FD402" w14:textId="27CCD143" w:rsidR="00CC2264" w:rsidRDefault="00CC2264" w:rsidP="008F202C">
      <w:pPr>
        <w:pStyle w:val="Heading4"/>
      </w:pPr>
      <w:r>
        <w:t>PICO Set 2</w:t>
      </w:r>
    </w:p>
    <w:p w14:paraId="647F74CC" w14:textId="76B70CB2" w:rsidR="00C533F5" w:rsidRDefault="00CC2264" w:rsidP="00C533F5">
      <w:r>
        <w:t xml:space="preserve">The ADAR stated that </w:t>
      </w:r>
      <w:r w:rsidR="00C533F5">
        <w:t>the use of NT-</w:t>
      </w:r>
      <w:proofErr w:type="spellStart"/>
      <w:r w:rsidR="00C533F5">
        <w:t>proBNP</w:t>
      </w:r>
      <w:proofErr w:type="spellEnd"/>
      <w:r w:rsidR="00C533F5">
        <w:t xml:space="preserve"> testing ± echocardiography by specialist physicians (cardiologists) for the diagnosis of HF results in at least </w:t>
      </w:r>
      <w:r w:rsidR="00C533F5" w:rsidRPr="008F202C">
        <w:rPr>
          <w:b/>
          <w:bCs/>
        </w:rPr>
        <w:t>non-inferior</w:t>
      </w:r>
      <w:r w:rsidR="00C533F5">
        <w:t xml:space="preserve"> effectiveness and </w:t>
      </w:r>
      <w:r w:rsidR="00DC2609" w:rsidRPr="00CB510C">
        <w:rPr>
          <w:b/>
          <w:bCs/>
        </w:rPr>
        <w:t>non-inferior</w:t>
      </w:r>
      <w:r w:rsidR="00DC2609">
        <w:t xml:space="preserve"> </w:t>
      </w:r>
      <w:r w:rsidR="00C533F5">
        <w:t>safety compared with echocardiography alone.</w:t>
      </w:r>
    </w:p>
    <w:p w14:paraId="3CCFA997" w14:textId="3A37E399" w:rsidR="00CC2264" w:rsidRPr="00CC2264" w:rsidRDefault="00C533F5" w:rsidP="00C533F5">
      <w:r>
        <w:t xml:space="preserve">The clinical claim requested by PASC </w:t>
      </w:r>
      <w:r w:rsidR="007872F2">
        <w:t>wa</w:t>
      </w:r>
      <w:r>
        <w:t>s for NT-</w:t>
      </w:r>
      <w:proofErr w:type="spellStart"/>
      <w:r>
        <w:t>proBNP</w:t>
      </w:r>
      <w:proofErr w:type="spellEnd"/>
      <w:r>
        <w:t xml:space="preserve"> + echocardiogram compared to echocardiogram alone.</w:t>
      </w:r>
      <w:r w:rsidR="00AA4C60">
        <w:t xml:space="preserve"> </w:t>
      </w:r>
      <w:r>
        <w:t xml:space="preserve">No evidence </w:t>
      </w:r>
      <w:r w:rsidR="00804DA1">
        <w:t>was</w:t>
      </w:r>
      <w:r>
        <w:t xml:space="preserve"> presented to assess this clinical claim in the specialist setting. </w:t>
      </w:r>
      <w:r w:rsidR="00565408">
        <w:t>Instead</w:t>
      </w:r>
      <w:r w:rsidR="00762E64">
        <w:t>,</w:t>
      </w:r>
      <w:r w:rsidR="00565408">
        <w:t xml:space="preserve"> t</w:t>
      </w:r>
      <w:r>
        <w:t xml:space="preserve">he ADAR relied on the transferability of the primary care findings, </w:t>
      </w:r>
      <w:r w:rsidR="00AA4C60">
        <w:t xml:space="preserve">but the commentary considered </w:t>
      </w:r>
      <w:r>
        <w:t xml:space="preserve">insufficient evidence </w:t>
      </w:r>
      <w:r w:rsidR="00AA4C60">
        <w:t>was</w:t>
      </w:r>
      <w:r>
        <w:t xml:space="preserve"> provided to support this.</w:t>
      </w:r>
    </w:p>
    <w:p w14:paraId="0D09C9E4" w14:textId="1FF74A6F" w:rsidR="00772829" w:rsidRDefault="00C36633" w:rsidP="002A18BE">
      <w:pPr>
        <w:pStyle w:val="Heading2"/>
        <w:numPr>
          <w:ilvl w:val="0"/>
          <w:numId w:val="0"/>
        </w:numPr>
      </w:pPr>
      <w:bookmarkStart w:id="31" w:name="_Toc69491425"/>
      <w:r>
        <w:t>1</w:t>
      </w:r>
      <w:r w:rsidR="00AB25C3">
        <w:t>3</w:t>
      </w:r>
      <w:r>
        <w:t>.</w:t>
      </w:r>
      <w:r>
        <w:tab/>
      </w:r>
      <w:r w:rsidR="00772829" w:rsidRPr="00CE28E3">
        <w:t>Economic evaluation</w:t>
      </w:r>
      <w:bookmarkEnd w:id="31"/>
    </w:p>
    <w:p w14:paraId="4AD8AC5F" w14:textId="6B94E6D3" w:rsidR="00423499" w:rsidRDefault="00DD5C17" w:rsidP="00423499">
      <w:r w:rsidRPr="005C7834">
        <w:t>A cost-effectiveness analysis was conducted to assess the economic implications of NT-</w:t>
      </w:r>
      <w:proofErr w:type="spellStart"/>
      <w:r w:rsidRPr="005C7834">
        <w:t>proBNP</w:t>
      </w:r>
      <w:proofErr w:type="spellEnd"/>
      <w:r w:rsidRPr="005C7834">
        <w:t xml:space="preserve"> ± echocardiography compared to echocardiography alone, for people with a suspected but uncertain diagnosis of HF in the non-hospital setting.</w:t>
      </w:r>
    </w:p>
    <w:p w14:paraId="16E45E09" w14:textId="2FAC8901" w:rsidR="006E5883" w:rsidRDefault="006E5883" w:rsidP="00423499">
      <w:r>
        <w:t xml:space="preserve">The structure of the model is summarised in </w:t>
      </w:r>
      <w:r>
        <w:fldChar w:fldCharType="begin"/>
      </w:r>
      <w:r>
        <w:instrText xml:space="preserve"> REF _Ref69725820 \h </w:instrText>
      </w:r>
      <w:r>
        <w:fldChar w:fldCharType="separate"/>
      </w:r>
      <w:r w:rsidR="00472DB9" w:rsidRPr="00CE28E3">
        <w:t>Table</w:t>
      </w:r>
      <w:r w:rsidR="00472DB9">
        <w:t> </w:t>
      </w:r>
      <w:r w:rsidR="00472DB9">
        <w:rPr>
          <w:noProof/>
        </w:rPr>
        <w:t>13</w:t>
      </w:r>
      <w:r>
        <w:fldChar w:fldCharType="end"/>
      </w:r>
      <w:r w:rsidR="00665B94">
        <w:t xml:space="preserve">. A decision tree was </w:t>
      </w:r>
      <w:r w:rsidR="00D86AB6">
        <w:t>developed,</w:t>
      </w:r>
      <w:r w:rsidR="00665B94">
        <w:t xml:space="preserve"> and the model compared the costs and outcomes </w:t>
      </w:r>
      <w:r w:rsidR="001A40D0">
        <w:t>of two pathways.</w:t>
      </w:r>
    </w:p>
    <w:p w14:paraId="73171F4E" w14:textId="6E931F7D" w:rsidR="00E96781" w:rsidRDefault="006557EF" w:rsidP="00423499">
      <w:r>
        <w:t>PASC requested a cost-utility analysis or a cost-</w:t>
      </w:r>
      <w:r w:rsidR="00C834F9">
        <w:t>effectiveness analysis</w:t>
      </w:r>
      <w:r w:rsidR="00E4671D">
        <w:t xml:space="preserve"> for both PICO sets, based on the clinical claims of superior </w:t>
      </w:r>
      <w:r w:rsidR="00A35FCC">
        <w:t>effectiveness and non-inferior safety</w:t>
      </w:r>
      <w:r w:rsidR="00C834F9">
        <w:t xml:space="preserve">. The </w:t>
      </w:r>
      <w:r w:rsidR="00B80D24">
        <w:t xml:space="preserve">ADAR </w:t>
      </w:r>
      <w:r w:rsidR="00C834F9">
        <w:t>considered there was insufficient evidence to present a cost-utility analysis</w:t>
      </w:r>
      <w:r w:rsidR="001B3A9E">
        <w:t xml:space="preserve"> and described the cost-utility analysis undertaken by NICE (2018) as </w:t>
      </w:r>
      <w:r w:rsidR="006C0A57">
        <w:t xml:space="preserve">‘overly </w:t>
      </w:r>
      <w:r w:rsidR="008941C8">
        <w:t xml:space="preserve">complex.’ </w:t>
      </w:r>
      <w:r w:rsidR="00D756FC">
        <w:t>T</w:t>
      </w:r>
      <w:r w:rsidR="008D27D4">
        <w:t>he NICE model</w:t>
      </w:r>
      <w:r w:rsidR="005D5810">
        <w:t xml:space="preserve"> had a slightly different focus</w:t>
      </w:r>
      <w:r w:rsidR="00D756FC">
        <w:t>,</w:t>
      </w:r>
      <w:r w:rsidR="00FF6433">
        <w:t xml:space="preserve"> </w:t>
      </w:r>
      <w:r w:rsidR="004C414D">
        <w:t>in trying to find the threshold cut-off with the highest net monetary benefit</w:t>
      </w:r>
      <w:r w:rsidR="00AA5774">
        <w:t xml:space="preserve">, while ensuring cost-utility (in terms of incremental cost per </w:t>
      </w:r>
      <w:r w:rsidR="00AA3C76">
        <w:t>quality-adjusted life year [</w:t>
      </w:r>
      <w:r w:rsidR="00AA5774">
        <w:t>QALY</w:t>
      </w:r>
      <w:r w:rsidR="00AA3C76">
        <w:t>]</w:t>
      </w:r>
      <w:r w:rsidR="00AA5774">
        <w:t xml:space="preserve"> gained)</w:t>
      </w:r>
      <w:r w:rsidR="00FF6433">
        <w:t xml:space="preserve"> compared to a strategy in which everyone suspected of HF </w:t>
      </w:r>
      <w:r w:rsidR="008941C8">
        <w:t>received</w:t>
      </w:r>
      <w:r w:rsidR="00FF6433">
        <w:t xml:space="preserve"> an echocardiogram</w:t>
      </w:r>
      <w:r w:rsidR="00D756FC">
        <w:t>.</w:t>
      </w:r>
      <w:r w:rsidR="008941C8">
        <w:t xml:space="preserve"> </w:t>
      </w:r>
      <w:r w:rsidR="00D756FC">
        <w:t xml:space="preserve">However, </w:t>
      </w:r>
      <w:r w:rsidR="008941C8">
        <w:t xml:space="preserve">the commentary considered it </w:t>
      </w:r>
      <w:r w:rsidR="0069479B">
        <w:t>informative</w:t>
      </w:r>
      <w:r w:rsidR="00FF6433">
        <w:t xml:space="preserve">. </w:t>
      </w:r>
      <w:r w:rsidR="00D205C3">
        <w:t>T</w:t>
      </w:r>
      <w:r w:rsidR="008C1621">
        <w:t xml:space="preserve">he </w:t>
      </w:r>
      <w:r w:rsidR="00817989">
        <w:t xml:space="preserve">model presented in the ADAR </w:t>
      </w:r>
      <w:r w:rsidR="00A35FCC">
        <w:t>wa</w:t>
      </w:r>
      <w:r w:rsidR="00817989">
        <w:t>s very simple</w:t>
      </w:r>
      <w:r w:rsidR="009B5537">
        <w:t xml:space="preserve"> and</w:t>
      </w:r>
      <w:r w:rsidR="006620E7">
        <w:t xml:space="preserve"> </w:t>
      </w:r>
      <w:r w:rsidR="0069479B">
        <w:t xml:space="preserve">the commentary did not consider it </w:t>
      </w:r>
      <w:r w:rsidR="00F22F88">
        <w:t xml:space="preserve">sufficient for the </w:t>
      </w:r>
      <w:r w:rsidR="00CD7B74">
        <w:t>assessment</w:t>
      </w:r>
      <w:r w:rsidR="00D205C3">
        <w:t>,</w:t>
      </w:r>
      <w:r w:rsidR="00CD7B74">
        <w:t xml:space="preserve"> nor</w:t>
      </w:r>
      <w:r w:rsidR="005076FC">
        <w:t xml:space="preserve"> </w:t>
      </w:r>
      <w:r w:rsidR="00A35FCC">
        <w:t xml:space="preserve">did </w:t>
      </w:r>
      <w:r w:rsidR="00CD7B74">
        <w:t>it</w:t>
      </w:r>
      <w:r w:rsidR="006620E7">
        <w:t xml:space="preserve"> align with the advice of PASC</w:t>
      </w:r>
      <w:r w:rsidR="00817989">
        <w:t>.</w:t>
      </w:r>
      <w:r w:rsidR="00CD7B74">
        <w:t xml:space="preserve"> In particular, the model </w:t>
      </w:r>
      <w:r w:rsidR="002D0BA0">
        <w:t>did</w:t>
      </w:r>
      <w:r w:rsidR="003364D1">
        <w:t xml:space="preserve"> not</w:t>
      </w:r>
      <w:r w:rsidR="002D0BA0">
        <w:t xml:space="preserve"> incorporate different referral propensities for NT-</w:t>
      </w:r>
      <w:proofErr w:type="spellStart"/>
      <w:r w:rsidR="002D0BA0">
        <w:t>proBNP</w:t>
      </w:r>
      <w:proofErr w:type="spellEnd"/>
      <w:r w:rsidR="002D0BA0">
        <w:t xml:space="preserve"> testing compared to echocardiography (</w:t>
      </w:r>
      <w:proofErr w:type="gramStart"/>
      <w:r w:rsidR="007D5F8A">
        <w:t>i.e.</w:t>
      </w:r>
      <w:proofErr w:type="gramEnd"/>
      <w:r w:rsidR="007D5F8A">
        <w:t xml:space="preserve"> a weighted comparator) </w:t>
      </w:r>
      <w:r w:rsidR="00104EE4">
        <w:t>and instead</w:t>
      </w:r>
      <w:r w:rsidR="007D5F8A">
        <w:t xml:space="preserve"> assumed perfect </w:t>
      </w:r>
      <w:r w:rsidR="007D5F8A">
        <w:lastRenderedPageBreak/>
        <w:t xml:space="preserve">alignment with </w:t>
      </w:r>
      <w:r w:rsidR="00350100">
        <w:t xml:space="preserve">their interpretation of </w:t>
      </w:r>
      <w:r w:rsidR="007D5F8A">
        <w:t>clinical practice guidelines</w:t>
      </w:r>
      <w:r w:rsidR="00350100">
        <w:t xml:space="preserve"> (i.e.</w:t>
      </w:r>
      <w:r w:rsidR="0082084F">
        <w:t>,</w:t>
      </w:r>
      <w:r w:rsidR="00350100">
        <w:t xml:space="preserve"> to triage patients for echocardiography)</w:t>
      </w:r>
      <w:r w:rsidR="007D5F8A">
        <w:t>.</w:t>
      </w:r>
    </w:p>
    <w:p w14:paraId="44C27A22" w14:textId="3EE1CFAC" w:rsidR="006557EF" w:rsidRPr="00423499" w:rsidRDefault="00BA2FB4" w:rsidP="00423499">
      <w:r>
        <w:t xml:space="preserve">A separate </w:t>
      </w:r>
      <w:r w:rsidR="00C61391">
        <w:t xml:space="preserve">economic </w:t>
      </w:r>
      <w:r>
        <w:t>analysis of PICO set 2 was not undertaken.</w:t>
      </w:r>
    </w:p>
    <w:p w14:paraId="7832FEBA" w14:textId="63646DD2" w:rsidR="00C107C3" w:rsidRPr="00CE28E3" w:rsidRDefault="00C107C3" w:rsidP="00670650">
      <w:pPr>
        <w:pStyle w:val="Caption"/>
        <w:tabs>
          <w:tab w:val="left" w:pos="1134"/>
        </w:tabs>
        <w:ind w:left="1134" w:hanging="1134"/>
      </w:pPr>
      <w:bookmarkStart w:id="32" w:name="_Ref6972582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72DB9">
        <w:rPr>
          <w:noProof/>
        </w:rPr>
        <w:t>13</w:t>
      </w:r>
      <w:r w:rsidRPr="00CE28E3">
        <w:rPr>
          <w:noProof/>
        </w:rPr>
        <w:fldChar w:fldCharType="end"/>
      </w:r>
      <w:bookmarkEnd w:id="32"/>
      <w:r w:rsidRPr="00CE28E3">
        <w:tab/>
        <w:t xml:space="preserve">Summary of the economic evaluation </w:t>
      </w:r>
    </w:p>
    <w:tbl>
      <w:tblPr>
        <w:tblStyle w:val="TableGrid1"/>
        <w:tblW w:w="0" w:type="auto"/>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405"/>
        <w:gridCol w:w="6611"/>
      </w:tblGrid>
      <w:tr w:rsidR="00C30DAB" w:rsidRPr="00CE28E3" w14:paraId="3C0DF1BD" w14:textId="2726922C" w:rsidTr="008F202C">
        <w:trPr>
          <w:cnfStyle w:val="100000000000" w:firstRow="1" w:lastRow="0" w:firstColumn="0" w:lastColumn="0" w:oddVBand="0" w:evenVBand="0" w:oddHBand="0" w:evenHBand="0" w:firstRowFirstColumn="0" w:firstRowLastColumn="0" w:lastRowFirstColumn="0" w:lastRowLastColumn="0"/>
          <w:tblHeader/>
        </w:trPr>
        <w:tc>
          <w:tcPr>
            <w:tcW w:w="2405" w:type="dxa"/>
          </w:tcPr>
          <w:p w14:paraId="57632985" w14:textId="77777777" w:rsidR="00FC6147" w:rsidRPr="000449D1" w:rsidRDefault="00FC6147" w:rsidP="008F202C">
            <w:pPr>
              <w:pStyle w:val="TableHeading0"/>
            </w:pPr>
            <w:bookmarkStart w:id="33" w:name="Title_Table5"/>
            <w:bookmarkStart w:id="34" w:name="_Hlk68276446"/>
            <w:bookmarkEnd w:id="33"/>
            <w:r w:rsidRPr="000449D1">
              <w:t>Component</w:t>
            </w:r>
          </w:p>
        </w:tc>
        <w:tc>
          <w:tcPr>
            <w:tcW w:w="6611" w:type="dxa"/>
          </w:tcPr>
          <w:p w14:paraId="123CA837" w14:textId="77777777" w:rsidR="00FC6147" w:rsidRPr="000449D1" w:rsidRDefault="00FC6147" w:rsidP="008F202C">
            <w:pPr>
              <w:pStyle w:val="TableHeading0"/>
            </w:pPr>
            <w:r w:rsidRPr="000449D1">
              <w:t>Description</w:t>
            </w:r>
          </w:p>
        </w:tc>
      </w:tr>
      <w:tr w:rsidR="00C30DAB" w:rsidRPr="000449D1" w14:paraId="31113E27" w14:textId="755DAA21" w:rsidTr="008F202C">
        <w:tc>
          <w:tcPr>
            <w:tcW w:w="2405" w:type="dxa"/>
          </w:tcPr>
          <w:p w14:paraId="7DFFBC7E" w14:textId="77777777" w:rsidR="00FC6147" w:rsidRPr="000449D1" w:rsidRDefault="00FC6147" w:rsidP="008F202C">
            <w:pPr>
              <w:pStyle w:val="TableText"/>
            </w:pPr>
            <w:r w:rsidRPr="000449D1">
              <w:t>Perspective</w:t>
            </w:r>
          </w:p>
        </w:tc>
        <w:tc>
          <w:tcPr>
            <w:tcW w:w="6611" w:type="dxa"/>
          </w:tcPr>
          <w:p w14:paraId="56EF2FFF" w14:textId="6C23158D" w:rsidR="00FC6147" w:rsidRPr="000449D1" w:rsidRDefault="00045BC8" w:rsidP="008F202C">
            <w:pPr>
              <w:pStyle w:val="TableText"/>
            </w:pPr>
            <w:r w:rsidRPr="00D854B4">
              <w:rPr>
                <w:rFonts w:cs="Courier New"/>
              </w:rPr>
              <w:t>Australian healthcare system perspective</w:t>
            </w:r>
          </w:p>
        </w:tc>
      </w:tr>
      <w:tr w:rsidR="00C30DAB" w:rsidRPr="000449D1" w14:paraId="3AE7C53E" w14:textId="3AF3CBC2" w:rsidTr="008F202C">
        <w:trPr>
          <w:tblHeader/>
        </w:trPr>
        <w:tc>
          <w:tcPr>
            <w:tcW w:w="2405" w:type="dxa"/>
          </w:tcPr>
          <w:p w14:paraId="7D8A22F3" w14:textId="77777777" w:rsidR="00FC6147" w:rsidRPr="000449D1" w:rsidRDefault="00FC6147" w:rsidP="008F202C">
            <w:pPr>
              <w:pStyle w:val="TableText"/>
            </w:pPr>
            <w:r w:rsidRPr="000449D1">
              <w:t>Population</w:t>
            </w:r>
          </w:p>
        </w:tc>
        <w:tc>
          <w:tcPr>
            <w:tcW w:w="6611" w:type="dxa"/>
          </w:tcPr>
          <w:p w14:paraId="45D2DCE7" w14:textId="1EDCD749" w:rsidR="007929F3" w:rsidRPr="007929F3" w:rsidRDefault="007929F3" w:rsidP="00762E64">
            <w:pPr>
              <w:pStyle w:val="TableText"/>
            </w:pPr>
            <w:r w:rsidRPr="007929F3">
              <w:t xml:space="preserve">Patients who have a suspected but uncertain diagnosis of </w:t>
            </w:r>
            <w:r w:rsidR="00DC32E0">
              <w:t>HF</w:t>
            </w:r>
            <w:r w:rsidRPr="007929F3">
              <w:t xml:space="preserve"> in the non-hospital setting (primary care or cardiologists)</w:t>
            </w:r>
          </w:p>
          <w:p w14:paraId="376BBABD" w14:textId="28709C64" w:rsidR="00FC6147" w:rsidRPr="000449D1" w:rsidRDefault="00190183" w:rsidP="00762E64">
            <w:pPr>
              <w:pStyle w:val="TableText"/>
            </w:pPr>
            <w:r>
              <w:t xml:space="preserve">Nb. </w:t>
            </w:r>
            <w:r w:rsidR="007929F3" w:rsidRPr="007929F3">
              <w:t xml:space="preserve">No separate analysis </w:t>
            </w:r>
            <w:r w:rsidR="00A124C2">
              <w:t>was</w:t>
            </w:r>
            <w:r w:rsidR="007929F3" w:rsidRPr="007929F3">
              <w:t xml:space="preserve"> undertaken for PICO set 2 (specialist </w:t>
            </w:r>
            <w:r w:rsidR="00DE60FF">
              <w:t>requestor</w:t>
            </w:r>
            <w:r w:rsidR="007929F3" w:rsidRPr="007929F3">
              <w:t xml:space="preserve"> setting) in which PASC requested NT-</w:t>
            </w:r>
            <w:proofErr w:type="spellStart"/>
            <w:r w:rsidR="007929F3" w:rsidRPr="007929F3">
              <w:t>proBNP</w:t>
            </w:r>
            <w:proofErr w:type="spellEnd"/>
            <w:r w:rsidR="007929F3" w:rsidRPr="007929F3">
              <w:t xml:space="preserve"> be considered an additional test to echocardiography</w:t>
            </w:r>
          </w:p>
        </w:tc>
      </w:tr>
      <w:tr w:rsidR="00C30DAB" w:rsidRPr="000449D1" w14:paraId="35DC265A" w14:textId="6A15DD17" w:rsidTr="008F202C">
        <w:tc>
          <w:tcPr>
            <w:tcW w:w="2405" w:type="dxa"/>
          </w:tcPr>
          <w:p w14:paraId="6886BA88" w14:textId="77777777" w:rsidR="00FC6147" w:rsidRPr="000449D1" w:rsidRDefault="00FC6147" w:rsidP="008F202C">
            <w:pPr>
              <w:pStyle w:val="TableText"/>
            </w:pPr>
            <w:r w:rsidRPr="000449D1">
              <w:t>Prior testing</w:t>
            </w:r>
          </w:p>
        </w:tc>
        <w:tc>
          <w:tcPr>
            <w:tcW w:w="6611" w:type="dxa"/>
          </w:tcPr>
          <w:p w14:paraId="376D8182" w14:textId="67484775" w:rsidR="00D203BC" w:rsidRPr="00D203BC" w:rsidRDefault="00D203BC" w:rsidP="008F202C">
            <w:pPr>
              <w:pStyle w:val="TableText"/>
            </w:pPr>
            <w:r w:rsidRPr="00D203BC">
              <w:t>Cardiorespiratory physical examination and assessment (MBS item 110)</w:t>
            </w:r>
          </w:p>
          <w:p w14:paraId="7F0E2D6B" w14:textId="46957E14" w:rsidR="00D203BC" w:rsidRPr="00D203BC" w:rsidRDefault="00D203BC" w:rsidP="008F202C">
            <w:pPr>
              <w:pStyle w:val="TableText"/>
            </w:pPr>
            <w:r w:rsidRPr="00D203BC">
              <w:t>Blood chemistry (electrolytes, urea/creatinine, glucose) assessment (MBS item 66509)</w:t>
            </w:r>
          </w:p>
          <w:p w14:paraId="5DF14FDD" w14:textId="7012A52C" w:rsidR="00D203BC" w:rsidRPr="00D203BC" w:rsidRDefault="00D203BC" w:rsidP="008F202C">
            <w:pPr>
              <w:pStyle w:val="TableText"/>
            </w:pPr>
            <w:r w:rsidRPr="00D203BC">
              <w:t>Thyroid function tests (MBS item 66719)</w:t>
            </w:r>
          </w:p>
          <w:p w14:paraId="0D91C401" w14:textId="08E56FBF" w:rsidR="00D203BC" w:rsidRPr="00D203BC" w:rsidRDefault="00D203BC" w:rsidP="008F202C">
            <w:pPr>
              <w:pStyle w:val="TableText"/>
            </w:pPr>
            <w:r w:rsidRPr="00D203BC">
              <w:t>Full blood count (MBS item 65070)</w:t>
            </w:r>
          </w:p>
          <w:p w14:paraId="13AED989" w14:textId="2C19115D" w:rsidR="00FC6147" w:rsidRPr="000449D1" w:rsidRDefault="00D203BC" w:rsidP="008F202C">
            <w:pPr>
              <w:pStyle w:val="TableText"/>
            </w:pPr>
            <w:r w:rsidRPr="00D203BC">
              <w:t>Electrocardiogram (ECG) (MBS item 11704) and chest X-ray (MBS item 58500)</w:t>
            </w:r>
          </w:p>
        </w:tc>
      </w:tr>
      <w:tr w:rsidR="00C30DAB" w:rsidRPr="000449D1" w14:paraId="6AFD9B2E" w14:textId="77777777" w:rsidTr="008F202C">
        <w:tc>
          <w:tcPr>
            <w:tcW w:w="2405" w:type="dxa"/>
          </w:tcPr>
          <w:p w14:paraId="5B9E6E47" w14:textId="5D92E8D4" w:rsidR="00EE472A" w:rsidRPr="000449D1" w:rsidRDefault="00EE472A" w:rsidP="008F202C">
            <w:pPr>
              <w:pStyle w:val="TableText"/>
            </w:pPr>
            <w:r>
              <w:t>Intervention</w:t>
            </w:r>
          </w:p>
        </w:tc>
        <w:tc>
          <w:tcPr>
            <w:tcW w:w="6611" w:type="dxa"/>
          </w:tcPr>
          <w:p w14:paraId="67F988AF" w14:textId="1E372C59" w:rsidR="00EE472A" w:rsidRPr="00D203BC" w:rsidRDefault="00EE472A" w:rsidP="008F202C">
            <w:pPr>
              <w:pStyle w:val="TableText"/>
            </w:pPr>
            <w:r w:rsidRPr="00D854B4">
              <w:rPr>
                <w:rFonts w:cs="Courier New"/>
              </w:rPr>
              <w:t>NT-</w:t>
            </w:r>
            <w:proofErr w:type="spellStart"/>
            <w:r w:rsidRPr="00D854B4">
              <w:rPr>
                <w:rFonts w:cs="Courier New"/>
              </w:rPr>
              <w:t>proBNP</w:t>
            </w:r>
            <w:proofErr w:type="spellEnd"/>
            <w:r w:rsidRPr="00D854B4">
              <w:rPr>
                <w:rFonts w:cs="Courier New"/>
              </w:rPr>
              <w:t xml:space="preserve"> ± echocardiography</w:t>
            </w:r>
          </w:p>
        </w:tc>
      </w:tr>
      <w:tr w:rsidR="00C30DAB" w:rsidRPr="000449D1" w14:paraId="750830A5" w14:textId="33978BE8" w:rsidTr="008F202C">
        <w:tc>
          <w:tcPr>
            <w:tcW w:w="2405" w:type="dxa"/>
          </w:tcPr>
          <w:p w14:paraId="59B80C68" w14:textId="77777777" w:rsidR="00FC6147" w:rsidRPr="000449D1" w:rsidRDefault="00FC6147" w:rsidP="008F202C">
            <w:pPr>
              <w:pStyle w:val="TableText"/>
            </w:pPr>
            <w:r w:rsidRPr="000449D1">
              <w:t>Comparator</w:t>
            </w:r>
          </w:p>
        </w:tc>
        <w:tc>
          <w:tcPr>
            <w:tcW w:w="6611" w:type="dxa"/>
          </w:tcPr>
          <w:p w14:paraId="178379F4" w14:textId="77777777" w:rsidR="00D526F2" w:rsidRPr="00D526F2" w:rsidRDefault="00D526F2" w:rsidP="008F202C">
            <w:pPr>
              <w:pStyle w:val="TableText"/>
            </w:pPr>
            <w:r w:rsidRPr="00D526F2">
              <w:t>Echocardiography (MBS item 55126)</w:t>
            </w:r>
          </w:p>
          <w:p w14:paraId="04C0D717" w14:textId="1C062EEA" w:rsidR="00FC6147" w:rsidRPr="000449D1" w:rsidRDefault="00190183" w:rsidP="008F202C">
            <w:pPr>
              <w:pStyle w:val="TableText"/>
            </w:pPr>
            <w:r>
              <w:t>N</w:t>
            </w:r>
            <w:r w:rsidR="00A276D6">
              <w:t>B:</w:t>
            </w:r>
            <w:r>
              <w:t xml:space="preserve"> </w:t>
            </w:r>
            <w:r w:rsidR="00D526F2" w:rsidRPr="00D526F2">
              <w:t xml:space="preserve">PASC requested that if echocardiography was </w:t>
            </w:r>
            <w:r w:rsidR="00D665E0">
              <w:t xml:space="preserve">regarded as part of </w:t>
            </w:r>
            <w:r w:rsidR="00D526F2" w:rsidRPr="00D526F2">
              <w:t xml:space="preserve">the </w:t>
            </w:r>
            <w:r w:rsidR="00D665E0">
              <w:t xml:space="preserve">intervention and </w:t>
            </w:r>
            <w:r w:rsidR="00D526F2" w:rsidRPr="00D526F2">
              <w:t>comparator</w:t>
            </w:r>
            <w:r w:rsidR="00D665E0">
              <w:t xml:space="preserve"> rather than subsequent</w:t>
            </w:r>
            <w:r w:rsidR="00D526F2" w:rsidRPr="00D526F2">
              <w:t>, that this be weighted such that a portion of patients received echocardiography and a portion receive clinical assessment only</w:t>
            </w:r>
          </w:p>
        </w:tc>
      </w:tr>
      <w:tr w:rsidR="00C30DAB" w:rsidRPr="000449D1" w14:paraId="352DFBB5" w14:textId="23E331A7" w:rsidTr="008F202C">
        <w:tc>
          <w:tcPr>
            <w:tcW w:w="2405" w:type="dxa"/>
          </w:tcPr>
          <w:p w14:paraId="563F18FC" w14:textId="5ACD1CD9" w:rsidR="00FC6147" w:rsidRPr="000449D1" w:rsidRDefault="00FC6147" w:rsidP="008F202C">
            <w:pPr>
              <w:pStyle w:val="TableText"/>
            </w:pPr>
            <w:r w:rsidRPr="000449D1">
              <w:t>Type of analysis</w:t>
            </w:r>
          </w:p>
        </w:tc>
        <w:tc>
          <w:tcPr>
            <w:tcW w:w="6611" w:type="dxa"/>
          </w:tcPr>
          <w:p w14:paraId="4DAE5CE1" w14:textId="209C47D8" w:rsidR="00FC6147" w:rsidRPr="000449D1" w:rsidRDefault="00445EB8" w:rsidP="008F202C">
            <w:pPr>
              <w:pStyle w:val="TableText"/>
            </w:pPr>
            <w:r w:rsidRPr="00D854B4">
              <w:rPr>
                <w:rFonts w:cs="Courier New"/>
              </w:rPr>
              <w:t>Cost-effectiveness analysis</w:t>
            </w:r>
          </w:p>
        </w:tc>
      </w:tr>
      <w:tr w:rsidR="00C30DAB" w:rsidRPr="000449D1" w14:paraId="6CB6FA6B" w14:textId="0CFF196E" w:rsidTr="008F202C">
        <w:tc>
          <w:tcPr>
            <w:tcW w:w="2405" w:type="dxa"/>
          </w:tcPr>
          <w:p w14:paraId="401E0BAC" w14:textId="77777777" w:rsidR="00FC6147" w:rsidRPr="000449D1" w:rsidRDefault="00FC6147" w:rsidP="008F202C">
            <w:pPr>
              <w:pStyle w:val="TableText"/>
            </w:pPr>
            <w:r w:rsidRPr="000449D1">
              <w:t>Outcomes</w:t>
            </w:r>
          </w:p>
        </w:tc>
        <w:tc>
          <w:tcPr>
            <w:tcW w:w="6611" w:type="dxa"/>
          </w:tcPr>
          <w:p w14:paraId="47FDC7CC" w14:textId="77777777" w:rsidR="007C5BF2" w:rsidRPr="007C5BF2" w:rsidRDefault="007C5BF2" w:rsidP="008F202C">
            <w:pPr>
              <w:pStyle w:val="TableText"/>
            </w:pPr>
            <w:r w:rsidRPr="007C5BF2">
              <w:t>Total cost</w:t>
            </w:r>
          </w:p>
          <w:p w14:paraId="6DE6C123" w14:textId="77777777" w:rsidR="007C5BF2" w:rsidRPr="007C5BF2" w:rsidRDefault="007C5BF2" w:rsidP="008F202C">
            <w:pPr>
              <w:pStyle w:val="TableText"/>
            </w:pPr>
            <w:r w:rsidRPr="007C5BF2">
              <w:t xml:space="preserve">Echocardiograms </w:t>
            </w:r>
            <w:proofErr w:type="gramStart"/>
            <w:r w:rsidRPr="007C5BF2">
              <w:t>delivered</w:t>
            </w:r>
            <w:proofErr w:type="gramEnd"/>
          </w:p>
          <w:p w14:paraId="488C485C" w14:textId="44DF7572" w:rsidR="007C5BF2" w:rsidRPr="007C5BF2" w:rsidRDefault="007C5BF2" w:rsidP="008F202C">
            <w:pPr>
              <w:pStyle w:val="TableText"/>
            </w:pPr>
            <w:r w:rsidRPr="007C5BF2">
              <w:t>Correct initial diagnosis (</w:t>
            </w:r>
            <w:r w:rsidR="00A6203C">
              <w:t xml:space="preserve">of </w:t>
            </w:r>
            <w:r w:rsidRPr="007C5BF2">
              <w:t>HF only)</w:t>
            </w:r>
          </w:p>
          <w:p w14:paraId="48C0D9F2" w14:textId="2BF4B530" w:rsidR="007C5BF2" w:rsidRPr="007C5BF2" w:rsidRDefault="007C5BF2" w:rsidP="008F202C">
            <w:pPr>
              <w:pStyle w:val="TableText"/>
            </w:pPr>
            <w:r w:rsidRPr="007C5BF2">
              <w:t>Correct final diagnosis (</w:t>
            </w:r>
            <w:r w:rsidR="00A6203C">
              <w:t xml:space="preserve">of </w:t>
            </w:r>
            <w:r w:rsidRPr="007C5BF2">
              <w:t>HF only)</w:t>
            </w:r>
          </w:p>
          <w:p w14:paraId="297601AA" w14:textId="76683563" w:rsidR="007C5BF2" w:rsidRPr="007C5BF2" w:rsidRDefault="007C5BF2" w:rsidP="008F202C">
            <w:pPr>
              <w:pStyle w:val="TableText"/>
            </w:pPr>
            <w:r w:rsidRPr="007C5BF2">
              <w:t>Time to correct final diagnosis (</w:t>
            </w:r>
            <w:r w:rsidR="00A6203C">
              <w:t xml:space="preserve">of </w:t>
            </w:r>
            <w:r w:rsidRPr="007C5BF2">
              <w:t>HF only)</w:t>
            </w:r>
          </w:p>
          <w:p w14:paraId="2F2AAE0D" w14:textId="77777777" w:rsidR="007C5BF2" w:rsidRPr="007C5BF2" w:rsidRDefault="007C5BF2" w:rsidP="008F202C">
            <w:pPr>
              <w:pStyle w:val="TableText"/>
            </w:pPr>
            <w:r w:rsidRPr="007C5BF2">
              <w:t xml:space="preserve">Incremental cost per echocardiogram </w:t>
            </w:r>
            <w:proofErr w:type="gramStart"/>
            <w:r w:rsidRPr="007C5BF2">
              <w:t>delivered</w:t>
            </w:r>
            <w:proofErr w:type="gramEnd"/>
          </w:p>
          <w:p w14:paraId="5BB292CF" w14:textId="1ACA47F2" w:rsidR="00FC6147" w:rsidRPr="000449D1" w:rsidRDefault="007C5BF2" w:rsidP="008F202C">
            <w:pPr>
              <w:pStyle w:val="TableText"/>
            </w:pPr>
            <w:r w:rsidRPr="007C5BF2">
              <w:t>Incremental cost per time to correct final diagnosis (</w:t>
            </w:r>
            <w:r w:rsidR="00A6203C">
              <w:t xml:space="preserve">of </w:t>
            </w:r>
            <w:r w:rsidRPr="007C5BF2">
              <w:t>HF only)</w:t>
            </w:r>
          </w:p>
        </w:tc>
      </w:tr>
      <w:tr w:rsidR="00C30DAB" w:rsidRPr="000449D1" w14:paraId="643C0794" w14:textId="7BA4E085" w:rsidTr="008F202C">
        <w:tc>
          <w:tcPr>
            <w:tcW w:w="2405" w:type="dxa"/>
          </w:tcPr>
          <w:p w14:paraId="42B1D84D" w14:textId="77777777" w:rsidR="00FC6147" w:rsidRPr="000449D1" w:rsidRDefault="00FC6147" w:rsidP="008F202C">
            <w:pPr>
              <w:pStyle w:val="TableText"/>
            </w:pPr>
            <w:r w:rsidRPr="000449D1">
              <w:t>Time horizon</w:t>
            </w:r>
          </w:p>
        </w:tc>
        <w:tc>
          <w:tcPr>
            <w:tcW w:w="6611" w:type="dxa"/>
          </w:tcPr>
          <w:p w14:paraId="3BC3DE82" w14:textId="547203F8" w:rsidR="00FC6147" w:rsidRPr="000449D1" w:rsidRDefault="00A6203C" w:rsidP="008F202C">
            <w:pPr>
              <w:pStyle w:val="TableText"/>
            </w:pPr>
            <w:r>
              <w:t>Only i</w:t>
            </w:r>
            <w:r w:rsidR="00972541" w:rsidRPr="00972541">
              <w:t>mmediate implications of testing were considered</w:t>
            </w:r>
          </w:p>
        </w:tc>
      </w:tr>
      <w:tr w:rsidR="00C30DAB" w:rsidRPr="000449D1" w14:paraId="0949BCCC" w14:textId="4456977C" w:rsidTr="008F202C">
        <w:tc>
          <w:tcPr>
            <w:tcW w:w="2405" w:type="dxa"/>
          </w:tcPr>
          <w:p w14:paraId="6DFB973F" w14:textId="77777777" w:rsidR="00FC6147" w:rsidRPr="000449D1" w:rsidRDefault="00FC6147" w:rsidP="008F202C">
            <w:pPr>
              <w:pStyle w:val="TableText"/>
            </w:pPr>
            <w:r w:rsidRPr="000449D1">
              <w:t>Computational method</w:t>
            </w:r>
          </w:p>
        </w:tc>
        <w:tc>
          <w:tcPr>
            <w:tcW w:w="6611" w:type="dxa"/>
          </w:tcPr>
          <w:p w14:paraId="67E64DF6" w14:textId="14CD5C30" w:rsidR="00FC6147" w:rsidRPr="000449D1" w:rsidRDefault="00DB672E" w:rsidP="008F202C">
            <w:pPr>
              <w:pStyle w:val="TableText"/>
            </w:pPr>
            <w:r w:rsidRPr="00D854B4">
              <w:rPr>
                <w:rFonts w:cs="Courier New"/>
              </w:rPr>
              <w:t>Expected value decision tree analysis</w:t>
            </w:r>
          </w:p>
        </w:tc>
      </w:tr>
      <w:tr w:rsidR="00C30DAB" w:rsidRPr="000449D1" w14:paraId="780AB6C6" w14:textId="5D51678D" w:rsidTr="008F202C">
        <w:tc>
          <w:tcPr>
            <w:tcW w:w="2405" w:type="dxa"/>
          </w:tcPr>
          <w:p w14:paraId="6CDC9D32" w14:textId="77777777" w:rsidR="00FC6147" w:rsidRPr="000449D1" w:rsidRDefault="00FC6147" w:rsidP="008F202C">
            <w:pPr>
              <w:pStyle w:val="TableText"/>
            </w:pPr>
            <w:r w:rsidRPr="000449D1">
              <w:t>Generation of the base case</w:t>
            </w:r>
          </w:p>
        </w:tc>
        <w:tc>
          <w:tcPr>
            <w:tcW w:w="6611" w:type="dxa"/>
          </w:tcPr>
          <w:p w14:paraId="6687851E" w14:textId="5611B32C" w:rsidR="00FC6147" w:rsidRPr="000449D1" w:rsidRDefault="00953653" w:rsidP="008F202C">
            <w:pPr>
              <w:pStyle w:val="TableText"/>
            </w:pPr>
            <w:r w:rsidRPr="00D854B4">
              <w:rPr>
                <w:rFonts w:cs="Courier New"/>
              </w:rPr>
              <w:t>Trial</w:t>
            </w:r>
            <w:r>
              <w:rPr>
                <w:rFonts w:cs="Courier New"/>
              </w:rPr>
              <w:t>-</w:t>
            </w:r>
            <w:r w:rsidRPr="00D854B4">
              <w:rPr>
                <w:rFonts w:cs="Courier New"/>
              </w:rPr>
              <w:t>based</w:t>
            </w:r>
          </w:p>
        </w:tc>
      </w:tr>
      <w:tr w:rsidR="00C30DAB" w:rsidRPr="000449D1" w14:paraId="03A3B794" w14:textId="3A58F192" w:rsidTr="008F202C">
        <w:tc>
          <w:tcPr>
            <w:tcW w:w="2405" w:type="dxa"/>
          </w:tcPr>
          <w:p w14:paraId="4E12B2D4" w14:textId="77777777" w:rsidR="00FC6147" w:rsidRPr="000449D1" w:rsidRDefault="00FC6147" w:rsidP="008F202C">
            <w:pPr>
              <w:pStyle w:val="TableText"/>
            </w:pPr>
            <w:r w:rsidRPr="000449D1">
              <w:t>Health states</w:t>
            </w:r>
          </w:p>
        </w:tc>
        <w:tc>
          <w:tcPr>
            <w:tcW w:w="6611" w:type="dxa"/>
          </w:tcPr>
          <w:p w14:paraId="3E63543F" w14:textId="659B5FB6" w:rsidR="00FC6147" w:rsidRPr="00953653" w:rsidRDefault="00953653" w:rsidP="00762E64">
            <w:pPr>
              <w:pStyle w:val="TableText"/>
            </w:pPr>
            <w:r w:rsidRPr="00953653">
              <w:t>N/A</w:t>
            </w:r>
          </w:p>
        </w:tc>
      </w:tr>
      <w:tr w:rsidR="00C30DAB" w:rsidRPr="000449D1" w14:paraId="0212C695" w14:textId="63F9F923" w:rsidTr="008F202C">
        <w:tc>
          <w:tcPr>
            <w:tcW w:w="2405" w:type="dxa"/>
          </w:tcPr>
          <w:p w14:paraId="3AC64F34" w14:textId="77777777" w:rsidR="00FC6147" w:rsidRPr="000449D1" w:rsidRDefault="00FC6147" w:rsidP="008F202C">
            <w:pPr>
              <w:pStyle w:val="TableText"/>
            </w:pPr>
            <w:r w:rsidRPr="000449D1">
              <w:t>Cycle length</w:t>
            </w:r>
          </w:p>
        </w:tc>
        <w:tc>
          <w:tcPr>
            <w:tcW w:w="6611" w:type="dxa"/>
          </w:tcPr>
          <w:p w14:paraId="64D95EB2" w14:textId="2ECC41EE" w:rsidR="00FC6147" w:rsidRPr="000449D1" w:rsidRDefault="00953653" w:rsidP="008F202C">
            <w:pPr>
              <w:pStyle w:val="TableText"/>
            </w:pPr>
            <w:r w:rsidRPr="00953653">
              <w:t>N/A</w:t>
            </w:r>
          </w:p>
        </w:tc>
      </w:tr>
      <w:tr w:rsidR="00C30DAB" w:rsidRPr="000449D1" w14:paraId="2976544F" w14:textId="76387CDF" w:rsidTr="008F202C">
        <w:tc>
          <w:tcPr>
            <w:tcW w:w="2405" w:type="dxa"/>
          </w:tcPr>
          <w:p w14:paraId="2558F588" w14:textId="77777777" w:rsidR="00FC6147" w:rsidRPr="00953653" w:rsidRDefault="00FC6147" w:rsidP="00762E64">
            <w:pPr>
              <w:pStyle w:val="TableText"/>
            </w:pPr>
            <w:r w:rsidRPr="00953653">
              <w:t>Transition probabilities</w:t>
            </w:r>
          </w:p>
        </w:tc>
        <w:tc>
          <w:tcPr>
            <w:tcW w:w="6611" w:type="dxa"/>
          </w:tcPr>
          <w:p w14:paraId="43B247B9" w14:textId="3C85C795" w:rsidR="00FC6147" w:rsidRPr="00953653" w:rsidRDefault="00953653" w:rsidP="00762E64">
            <w:pPr>
              <w:pStyle w:val="TableText"/>
            </w:pPr>
            <w:r w:rsidRPr="00953653">
              <w:t>Test accuracy</w:t>
            </w:r>
          </w:p>
        </w:tc>
      </w:tr>
      <w:tr w:rsidR="00C30DAB" w:rsidRPr="000449D1" w14:paraId="0619B77B" w14:textId="65D0CC25" w:rsidTr="008F202C">
        <w:tc>
          <w:tcPr>
            <w:tcW w:w="2405" w:type="dxa"/>
          </w:tcPr>
          <w:p w14:paraId="3B8D14D8" w14:textId="77777777" w:rsidR="00FC6147" w:rsidRPr="000449D1" w:rsidRDefault="00FC6147" w:rsidP="008F202C">
            <w:pPr>
              <w:pStyle w:val="TableText"/>
            </w:pPr>
            <w:r w:rsidRPr="000449D1">
              <w:t>Discount rate</w:t>
            </w:r>
          </w:p>
        </w:tc>
        <w:tc>
          <w:tcPr>
            <w:tcW w:w="6611" w:type="dxa"/>
          </w:tcPr>
          <w:p w14:paraId="2E657A83" w14:textId="69162BC9" w:rsidR="00FC6147" w:rsidRPr="000449D1" w:rsidRDefault="00953653" w:rsidP="008F202C">
            <w:pPr>
              <w:pStyle w:val="TableText"/>
            </w:pPr>
            <w:r w:rsidRPr="00953653">
              <w:t>N/A</w:t>
            </w:r>
          </w:p>
        </w:tc>
      </w:tr>
      <w:tr w:rsidR="00C30DAB" w:rsidRPr="000449D1" w14:paraId="507E6356" w14:textId="7BFC4306" w:rsidTr="008F202C">
        <w:tc>
          <w:tcPr>
            <w:tcW w:w="2405" w:type="dxa"/>
          </w:tcPr>
          <w:p w14:paraId="23A08C87" w14:textId="77777777" w:rsidR="00FC6147" w:rsidRPr="000449D1" w:rsidRDefault="00FC6147" w:rsidP="008F202C">
            <w:pPr>
              <w:pStyle w:val="TableText"/>
            </w:pPr>
            <w:r w:rsidRPr="000449D1">
              <w:t>Software</w:t>
            </w:r>
          </w:p>
        </w:tc>
        <w:tc>
          <w:tcPr>
            <w:tcW w:w="6611" w:type="dxa"/>
          </w:tcPr>
          <w:p w14:paraId="613BDC46" w14:textId="7251A345" w:rsidR="00FC6147" w:rsidRPr="000449D1" w:rsidRDefault="00FC6147" w:rsidP="008F202C">
            <w:pPr>
              <w:pStyle w:val="TableText"/>
            </w:pPr>
            <w:r w:rsidRPr="000449D1">
              <w:t>Excel</w:t>
            </w:r>
          </w:p>
        </w:tc>
      </w:tr>
    </w:tbl>
    <w:bookmarkEnd w:id="34"/>
    <w:p w14:paraId="126F481B" w14:textId="55A3362F" w:rsidR="00350100" w:rsidRDefault="00350100" w:rsidP="00350100">
      <w:pPr>
        <w:pStyle w:val="Tablenotes0"/>
      </w:pPr>
      <w:r w:rsidRPr="00FF725D">
        <w:rPr>
          <w:b/>
          <w:bCs/>
        </w:rPr>
        <w:t>Abbreviations:</w:t>
      </w:r>
      <w:r w:rsidRPr="00D854B4">
        <w:t xml:space="preserve"> </w:t>
      </w:r>
      <w:r>
        <w:t xml:space="preserve">HF, heart failure; MBS, Medicare </w:t>
      </w:r>
      <w:r w:rsidR="009C55F5">
        <w:t>B</w:t>
      </w:r>
      <w:r>
        <w:t xml:space="preserve">enefits </w:t>
      </w:r>
      <w:r w:rsidR="009C55F5">
        <w:t>S</w:t>
      </w:r>
      <w:r>
        <w:t xml:space="preserve">chedule; </w:t>
      </w:r>
      <w:r w:rsidRPr="00D854B4">
        <w:t>N</w:t>
      </w:r>
      <w:r>
        <w:t>/</w:t>
      </w:r>
      <w:r w:rsidRPr="00D854B4">
        <w:t>A, not applicable</w:t>
      </w:r>
      <w:r>
        <w:t xml:space="preserve">; </w:t>
      </w:r>
      <w:r w:rsidR="00FD5C42">
        <w:t xml:space="preserve">Nb, note; </w:t>
      </w:r>
      <w:r w:rsidR="001C385E">
        <w:t>NT-</w:t>
      </w:r>
      <w:proofErr w:type="spellStart"/>
      <w:r w:rsidR="001C385E">
        <w:t>proBNP</w:t>
      </w:r>
      <w:proofErr w:type="spellEnd"/>
      <w:r w:rsidR="001C385E">
        <w:t xml:space="preserve">, </w:t>
      </w:r>
      <w:r w:rsidR="001C385E" w:rsidRPr="004A1258">
        <w:rPr>
          <w:szCs w:val="20"/>
        </w:rPr>
        <w:t>N-terminal-pro brain natriuretic peptide</w:t>
      </w:r>
      <w:r w:rsidR="001C385E">
        <w:t xml:space="preserve">; </w:t>
      </w:r>
      <w:r>
        <w:t>PASC, PICO Advisory Sub-Committee; PICO, population, intervention, comparator, outcome.</w:t>
      </w:r>
    </w:p>
    <w:p w14:paraId="584E9A79" w14:textId="51CCC025" w:rsidR="00521894" w:rsidRDefault="00521894" w:rsidP="00521894">
      <w:pPr>
        <w:pStyle w:val="Tablenotes0"/>
      </w:pPr>
      <w:r w:rsidRPr="00FF725D">
        <w:rPr>
          <w:b/>
          <w:bCs/>
        </w:rPr>
        <w:t>Source:</w:t>
      </w:r>
      <w:r>
        <w:t xml:space="preserve"> Table 26 from MSAC 1740 ADAR+ in-line commentary</w:t>
      </w:r>
    </w:p>
    <w:p w14:paraId="32A61CDC" w14:textId="53DCFCA7" w:rsidR="00F54946" w:rsidRDefault="00F54946" w:rsidP="00F54946">
      <w:r w:rsidRPr="00D854B4">
        <w:t>The key inputs were the prevalence of HF, test accuracy, time to diagnosis</w:t>
      </w:r>
      <w:r w:rsidR="007554B9">
        <w:t>,</w:t>
      </w:r>
      <w:r w:rsidRPr="00D854B4">
        <w:t xml:space="preserve"> and healthcare resource costs</w:t>
      </w:r>
      <w:r>
        <w:t>.</w:t>
      </w:r>
    </w:p>
    <w:p w14:paraId="3AEC47C5" w14:textId="207605F7" w:rsidR="005E43B5" w:rsidRDefault="005E43B5" w:rsidP="00F54946">
      <w:r>
        <w:t xml:space="preserve">The test accuracy used in the </w:t>
      </w:r>
      <w:r w:rsidR="00213C92">
        <w:t xml:space="preserve">ADAR’s </w:t>
      </w:r>
      <w:r>
        <w:t>base</w:t>
      </w:r>
      <w:r w:rsidR="007554B9">
        <w:t xml:space="preserve"> </w:t>
      </w:r>
      <w:r>
        <w:t xml:space="preserve">case </w:t>
      </w:r>
      <w:r w:rsidR="000D13B1">
        <w:t>wa</w:t>
      </w:r>
      <w:r>
        <w:t>s derived from a meta-analysis (NICE, 2018)</w:t>
      </w:r>
      <w:r w:rsidR="002B0D6E" w:rsidRPr="002B0D6E">
        <w:t xml:space="preserve"> </w:t>
      </w:r>
      <w:r w:rsidR="002B0D6E">
        <w:t xml:space="preserve">that NICE did not use for </w:t>
      </w:r>
      <w:r w:rsidR="000D13B1">
        <w:t>its</w:t>
      </w:r>
      <w:r w:rsidR="00213C92">
        <w:t xml:space="preserve"> own</w:t>
      </w:r>
      <w:r w:rsidR="000D13B1">
        <w:t xml:space="preserve"> </w:t>
      </w:r>
      <w:r w:rsidR="002B0D6E">
        <w:t xml:space="preserve">economic evaluation due to heterogeneity. Two of the three </w:t>
      </w:r>
      <w:r w:rsidR="002B0D6E">
        <w:lastRenderedPageBreak/>
        <w:t xml:space="preserve">studies in the meta-analysis </w:t>
      </w:r>
      <w:r w:rsidR="00213C92">
        <w:t>we</w:t>
      </w:r>
      <w:r w:rsidR="002B0D6E">
        <w:t>re</w:t>
      </w:r>
      <w:r>
        <w:t xml:space="preserve"> point-of-care studies </w:t>
      </w:r>
      <w:r w:rsidR="0099418B">
        <w:t xml:space="preserve">that </w:t>
      </w:r>
      <w:r>
        <w:t xml:space="preserve">the </w:t>
      </w:r>
      <w:r w:rsidR="00213C92">
        <w:t xml:space="preserve">ADAR </w:t>
      </w:r>
      <w:r>
        <w:t>excluded from the clinical evaluation</w:t>
      </w:r>
      <w:r w:rsidR="00C136CE">
        <w:t>.</w:t>
      </w:r>
    </w:p>
    <w:p w14:paraId="0EFFCED7" w14:textId="3F1102AF" w:rsidR="00271D97" w:rsidRDefault="00271D97" w:rsidP="00271D97">
      <w:r>
        <w:t xml:space="preserve">The model </w:t>
      </w:r>
      <w:r w:rsidRPr="00D854B4">
        <w:t xml:space="preserve">assumed that all patients with suspected but uncertain HF </w:t>
      </w:r>
      <w:r>
        <w:t xml:space="preserve">currently </w:t>
      </w:r>
      <w:r w:rsidRPr="00D854B4">
        <w:t>undergo echocardiography</w:t>
      </w:r>
      <w:r>
        <w:t xml:space="preserve">. </w:t>
      </w:r>
      <w:r w:rsidR="00A67777">
        <w:t xml:space="preserve">However, </w:t>
      </w:r>
      <w:r w:rsidRPr="00A55FF4">
        <w:t xml:space="preserve">PASC </w:t>
      </w:r>
      <w:r w:rsidR="00F90BBE">
        <w:t>advised</w:t>
      </w:r>
      <w:r w:rsidR="00F90BBE" w:rsidRPr="00A55FF4">
        <w:t xml:space="preserve"> </w:t>
      </w:r>
      <w:r w:rsidRPr="00A55FF4">
        <w:t xml:space="preserve">in the PICO Confirmation that the </w:t>
      </w:r>
      <w:r w:rsidR="00EB66FE">
        <w:t>ADAR</w:t>
      </w:r>
      <w:r w:rsidR="007218B0">
        <w:t xml:space="preserve"> </w:t>
      </w:r>
      <w:r w:rsidR="008A4FFF">
        <w:t>would need to</w:t>
      </w:r>
      <w:r w:rsidR="007218B0" w:rsidRPr="00A55FF4">
        <w:t xml:space="preserve"> </w:t>
      </w:r>
      <w:r w:rsidRPr="00A55FF4">
        <w:t xml:space="preserve">assess the uptake of echocardiography in both the intervention and comparator arms, informed by real world evidence if possible. This </w:t>
      </w:r>
      <w:r w:rsidR="005614FC">
        <w:t xml:space="preserve">assessment </w:t>
      </w:r>
      <w:r w:rsidR="00DC7DDC">
        <w:t>w</w:t>
      </w:r>
      <w:r w:rsidRPr="00A55FF4">
        <w:t>as not undertaken and the assumption that</w:t>
      </w:r>
      <w:r w:rsidR="00BA10FC">
        <w:t>, in the absence of NT-</w:t>
      </w:r>
      <w:proofErr w:type="spellStart"/>
      <w:r w:rsidR="00BA10FC">
        <w:t>proBNP</w:t>
      </w:r>
      <w:proofErr w:type="spellEnd"/>
      <w:r w:rsidR="00BA10FC">
        <w:t xml:space="preserve"> testing,</w:t>
      </w:r>
      <w:r w:rsidRPr="00A55FF4">
        <w:t xml:space="preserve"> all patients suspected of HF are referred to echocardiography </w:t>
      </w:r>
      <w:r w:rsidR="00DC7DDC">
        <w:t>wa</w:t>
      </w:r>
      <w:r w:rsidRPr="00A55FF4">
        <w:t>s considered unlikely</w:t>
      </w:r>
      <w:r w:rsidR="009F3FC9">
        <w:t xml:space="preserve"> to occur in practice</w:t>
      </w:r>
      <w:r w:rsidR="00F462B7">
        <w:t xml:space="preserve"> by the commentary</w:t>
      </w:r>
      <w:r w:rsidRPr="00A55FF4">
        <w:t>.</w:t>
      </w:r>
    </w:p>
    <w:p w14:paraId="0E391BBB" w14:textId="130BFBAC" w:rsidR="004153C0" w:rsidRDefault="004153C0" w:rsidP="00F54946">
      <w:r w:rsidRPr="00D854B4">
        <w:t>The model assumed all patients w</w:t>
      </w:r>
      <w:r>
        <w:t>ith</w:t>
      </w:r>
      <w:r w:rsidRPr="00D854B4">
        <w:t xml:space="preserve"> an NT-</w:t>
      </w:r>
      <w:proofErr w:type="spellStart"/>
      <w:r w:rsidRPr="00D854B4">
        <w:t>proBNP</w:t>
      </w:r>
      <w:proofErr w:type="spellEnd"/>
      <w:r w:rsidRPr="00D854B4">
        <w:t xml:space="preserve"> </w:t>
      </w:r>
      <w:r w:rsidR="00271D97">
        <w:t xml:space="preserve">result </w:t>
      </w:r>
      <w:r w:rsidRPr="00D854B4">
        <w:t>above the rule-out threshold would receive an echocardiogram</w:t>
      </w:r>
      <w:r w:rsidR="00C0239A">
        <w:t xml:space="preserve"> and all those below the rule-out threshold would avoid one</w:t>
      </w:r>
      <w:r w:rsidR="00E60DD6">
        <w:t xml:space="preserve">, </w:t>
      </w:r>
      <w:proofErr w:type="gramStart"/>
      <w:r w:rsidR="00E60DD6">
        <w:t>with the exception of</w:t>
      </w:r>
      <w:proofErr w:type="gramEnd"/>
      <w:r w:rsidR="00E60DD6">
        <w:t xml:space="preserve"> </w:t>
      </w:r>
      <w:r w:rsidR="00400D93">
        <w:t xml:space="preserve">patients with suspect </w:t>
      </w:r>
      <w:r w:rsidR="00E60DD6">
        <w:t>false negative</w:t>
      </w:r>
      <w:r w:rsidR="00400D93">
        <w:t xml:space="preserve"> test result</w:t>
      </w:r>
      <w:r w:rsidR="00E60DD6">
        <w:t>s</w:t>
      </w:r>
      <w:r>
        <w:t>.</w:t>
      </w:r>
      <w:r w:rsidR="009D3DD3" w:rsidRPr="009D3DD3">
        <w:t xml:space="preserve"> No evidence was provided in the ADAR to support th</w:t>
      </w:r>
      <w:r w:rsidR="00485AC0">
        <w:t>is</w:t>
      </w:r>
      <w:r w:rsidR="009D3DD3" w:rsidRPr="009D3DD3">
        <w:t xml:space="preserve"> assumption and </w:t>
      </w:r>
      <w:r w:rsidR="00DF2184">
        <w:t>therefore</w:t>
      </w:r>
      <w:r w:rsidR="009D3DD3" w:rsidRPr="009D3DD3">
        <w:t xml:space="preserve"> </w:t>
      </w:r>
      <w:r w:rsidR="008A4FFF">
        <w:t xml:space="preserve">the commentary </w:t>
      </w:r>
      <w:r w:rsidR="009D3DD3" w:rsidRPr="009D3DD3">
        <w:t xml:space="preserve">considered </w:t>
      </w:r>
      <w:r w:rsidR="008A4FFF">
        <w:t xml:space="preserve">this was </w:t>
      </w:r>
      <w:r w:rsidR="009D3DD3" w:rsidRPr="009D3DD3">
        <w:t>uncertain.</w:t>
      </w:r>
    </w:p>
    <w:p w14:paraId="29E618E7" w14:textId="395C77C2" w:rsidR="003C1E81" w:rsidRDefault="00DF2184" w:rsidP="003C1E81">
      <w:r>
        <w:t>I</w:t>
      </w:r>
      <w:r w:rsidR="003C1E81">
        <w:t xml:space="preserve">t was assumed that </w:t>
      </w:r>
      <w:r w:rsidR="00400D93">
        <w:t xml:space="preserve">patients with a </w:t>
      </w:r>
      <w:r w:rsidR="003C1E81">
        <w:t xml:space="preserve">false negative </w:t>
      </w:r>
      <w:r w:rsidR="00400D93">
        <w:t xml:space="preserve">test result </w:t>
      </w:r>
      <w:r w:rsidR="003C1E81">
        <w:t xml:space="preserve">would require an additional GP visit after </w:t>
      </w:r>
      <w:r w:rsidR="00823114">
        <w:t>one</w:t>
      </w:r>
      <w:r w:rsidR="003C1E81">
        <w:t xml:space="preserve"> month and then an additional </w:t>
      </w:r>
      <w:r w:rsidR="001A6340">
        <w:t>two</w:t>
      </w:r>
      <w:r w:rsidR="005614FC">
        <w:t>-</w:t>
      </w:r>
      <w:r w:rsidR="003C1E81">
        <w:t>month wait for an echocardiogra</w:t>
      </w:r>
      <w:r w:rsidR="008A4FFF">
        <w:t>m</w:t>
      </w:r>
      <w:r w:rsidR="003C1E81">
        <w:t>. The commentary consider</w:t>
      </w:r>
      <w:r w:rsidR="008A4FFF">
        <w:t>ed</w:t>
      </w:r>
      <w:r w:rsidR="003C1E81">
        <w:t xml:space="preserve"> this </w:t>
      </w:r>
      <w:r w:rsidR="008A4FFF">
        <w:t xml:space="preserve">was </w:t>
      </w:r>
      <w:r w:rsidR="003C1E81">
        <w:t>uncertain</w:t>
      </w:r>
      <w:r w:rsidR="008A4FFF">
        <w:t>,</w:t>
      </w:r>
      <w:r w:rsidR="003C1E81">
        <w:t xml:space="preserve"> </w:t>
      </w:r>
      <w:r w:rsidR="00271D97">
        <w:t>and</w:t>
      </w:r>
      <w:r w:rsidR="003C1E81">
        <w:t xml:space="preserve"> that </w:t>
      </w:r>
      <w:r w:rsidR="008A4FFF">
        <w:t>the</w:t>
      </w:r>
      <w:r w:rsidR="003C1E81">
        <w:t xml:space="preserve"> </w:t>
      </w:r>
      <w:r w:rsidR="00C0239A">
        <w:t>six</w:t>
      </w:r>
      <w:r w:rsidR="003C1E81">
        <w:t xml:space="preserve">-month delay used by NICE (2018) </w:t>
      </w:r>
      <w:r w:rsidR="00823114">
        <w:t>was</w:t>
      </w:r>
      <w:r w:rsidR="008A4FFF">
        <w:t xml:space="preserve"> </w:t>
      </w:r>
      <w:r w:rsidR="003C1E81">
        <w:t>more appropriate.</w:t>
      </w:r>
    </w:p>
    <w:p w14:paraId="01250F84" w14:textId="2F10E105" w:rsidR="00507008" w:rsidRPr="00D854B4" w:rsidRDefault="00507008" w:rsidP="003C1E81">
      <w:r>
        <w:t xml:space="preserve">The </w:t>
      </w:r>
      <w:r w:rsidR="008A4FFF">
        <w:t xml:space="preserve">ADAR’s </w:t>
      </w:r>
      <w:r>
        <w:t xml:space="preserve">base case results are presented in </w:t>
      </w:r>
      <w:r>
        <w:fldChar w:fldCharType="begin"/>
      </w:r>
      <w:r>
        <w:instrText xml:space="preserve"> REF _Ref69726284 \h </w:instrText>
      </w:r>
      <w:r>
        <w:fldChar w:fldCharType="separate"/>
      </w:r>
      <w:r w:rsidR="00472DB9" w:rsidRPr="00CE28E3">
        <w:t>Table</w:t>
      </w:r>
      <w:r w:rsidR="00472DB9">
        <w:t> </w:t>
      </w:r>
      <w:r w:rsidR="00472DB9">
        <w:rPr>
          <w:noProof/>
        </w:rPr>
        <w:t>14</w:t>
      </w:r>
      <w:r>
        <w:fldChar w:fldCharType="end"/>
      </w:r>
      <w:r w:rsidR="00A47737">
        <w:t>.</w:t>
      </w:r>
      <w:r>
        <w:t xml:space="preserve"> NT-</w:t>
      </w:r>
      <w:proofErr w:type="spellStart"/>
      <w:r>
        <w:t>proBNP</w:t>
      </w:r>
      <w:proofErr w:type="spellEnd"/>
      <w:r>
        <w:t xml:space="preserve"> </w:t>
      </w:r>
      <w:r w:rsidR="00ED4D7B">
        <w:t>save</w:t>
      </w:r>
      <w:r w:rsidR="008A4FFF">
        <w:t>d</w:t>
      </w:r>
      <w:r w:rsidR="00ED4D7B">
        <w:t xml:space="preserve"> $68 per patient, led to faster HF diagnosis</w:t>
      </w:r>
      <w:r w:rsidR="00882137">
        <w:t xml:space="preserve"> or exclusion</w:t>
      </w:r>
      <w:r w:rsidR="00ED4D7B">
        <w:t xml:space="preserve"> by 0.93 months</w:t>
      </w:r>
      <w:r w:rsidR="007F4274">
        <w:t>,</w:t>
      </w:r>
      <w:r w:rsidR="00ED4D7B">
        <w:t xml:space="preserve"> and result</w:t>
      </w:r>
      <w:r w:rsidR="008A4FFF">
        <w:t>ed</w:t>
      </w:r>
      <w:r w:rsidR="00ED4D7B">
        <w:t xml:space="preserve"> in 0.53 fewer echocardiograms per patient. This </w:t>
      </w:r>
      <w:r w:rsidR="008A4FFF">
        <w:t>wa</w:t>
      </w:r>
      <w:r w:rsidR="00ED4D7B">
        <w:t xml:space="preserve">s based on the assumptions noted above, most notably that all patients </w:t>
      </w:r>
      <w:r w:rsidR="008A4FFF">
        <w:t xml:space="preserve">in whom HF is suspected but uncertain </w:t>
      </w:r>
      <w:r w:rsidR="00FA391E">
        <w:t>we</w:t>
      </w:r>
      <w:r w:rsidR="00ED4D7B">
        <w:t>re</w:t>
      </w:r>
      <w:r w:rsidR="00271E40">
        <w:t>, in the absence of NT-</w:t>
      </w:r>
      <w:proofErr w:type="spellStart"/>
      <w:r w:rsidR="00271E40">
        <w:t>proBNP</w:t>
      </w:r>
      <w:proofErr w:type="spellEnd"/>
      <w:r w:rsidR="00271E40">
        <w:t xml:space="preserve"> testing</w:t>
      </w:r>
      <w:r w:rsidR="00FA391E">
        <w:t>,</w:t>
      </w:r>
      <w:r w:rsidR="008D7518">
        <w:t xml:space="preserve"> </w:t>
      </w:r>
      <w:r w:rsidR="00ED4D7B">
        <w:t>referred to echocardiogram and</w:t>
      </w:r>
      <w:r w:rsidR="00FA391E">
        <w:t>, with the addition of NT-</w:t>
      </w:r>
      <w:proofErr w:type="spellStart"/>
      <w:r w:rsidR="00FA391E">
        <w:t>proBNP</w:t>
      </w:r>
      <w:proofErr w:type="spellEnd"/>
      <w:r w:rsidR="00FA391E">
        <w:t xml:space="preserve"> testing,</w:t>
      </w:r>
      <w:r w:rsidR="00ED4D7B">
        <w:t xml:space="preserve"> there w</w:t>
      </w:r>
      <w:r w:rsidR="005245F0">
        <w:t>as</w:t>
      </w:r>
      <w:r w:rsidR="002833CC">
        <w:t xml:space="preserve"> </w:t>
      </w:r>
      <w:r w:rsidR="00ED4D7B">
        <w:t xml:space="preserve">complete alignment </w:t>
      </w:r>
      <w:r w:rsidR="00AC76A2">
        <w:t xml:space="preserve">with the </w:t>
      </w:r>
      <w:r w:rsidR="006032C9">
        <w:t xml:space="preserve">proposed </w:t>
      </w:r>
      <w:r w:rsidR="00AC76A2">
        <w:t xml:space="preserve">triage </w:t>
      </w:r>
      <w:r w:rsidR="00276612">
        <w:t xml:space="preserve">pathway </w:t>
      </w:r>
      <w:r w:rsidR="00AC76A2">
        <w:t>based on the NT-</w:t>
      </w:r>
      <w:proofErr w:type="spellStart"/>
      <w:r w:rsidR="00AC76A2">
        <w:t>proBNP</w:t>
      </w:r>
      <w:proofErr w:type="spellEnd"/>
      <w:r w:rsidR="00AC76A2">
        <w:t xml:space="preserve"> result. </w:t>
      </w:r>
      <w:r w:rsidR="006032C9">
        <w:t>T</w:t>
      </w:r>
      <w:r>
        <w:t xml:space="preserve">he diagnoses in the model </w:t>
      </w:r>
      <w:r w:rsidR="001B3A22">
        <w:t>related to</w:t>
      </w:r>
      <w:r>
        <w:t xml:space="preserve"> HF only (HF or exclusion of HF)</w:t>
      </w:r>
      <w:r w:rsidR="00727C89">
        <w:t>,</w:t>
      </w:r>
      <w:r>
        <w:t xml:space="preserve"> and </w:t>
      </w:r>
      <w:r w:rsidR="00727C89">
        <w:t xml:space="preserve">so </w:t>
      </w:r>
      <w:r>
        <w:t xml:space="preserve">whether there </w:t>
      </w:r>
      <w:r w:rsidR="009138D6">
        <w:t>wa</w:t>
      </w:r>
      <w:r>
        <w:t xml:space="preserve">s a </w:t>
      </w:r>
      <w:r w:rsidR="009D26C2">
        <w:t xml:space="preserve">more rapid </w:t>
      </w:r>
      <w:r>
        <w:t xml:space="preserve">diagnosis </w:t>
      </w:r>
      <w:r w:rsidR="009B2BA3">
        <w:t xml:space="preserve">for </w:t>
      </w:r>
      <w:r>
        <w:t xml:space="preserve">those in whom HF is excluded </w:t>
      </w:r>
      <w:r w:rsidR="00727C89">
        <w:t>wa</w:t>
      </w:r>
      <w:r>
        <w:t>s not modelled</w:t>
      </w:r>
      <w:r w:rsidR="00B415AF">
        <w:t>.</w:t>
      </w:r>
      <w:r w:rsidR="00727C89">
        <w:t xml:space="preserve"> </w:t>
      </w:r>
      <w:r w:rsidR="00B415AF">
        <w:t>U</w:t>
      </w:r>
      <w:r w:rsidR="00C735AC">
        <w:t>nder</w:t>
      </w:r>
      <w:r w:rsidR="007A0FD4">
        <w:t xml:space="preserve"> application 1087</w:t>
      </w:r>
      <w:r w:rsidR="001B3A22">
        <w:t>,</w:t>
      </w:r>
      <w:r w:rsidR="007A0FD4">
        <w:t xml:space="preserve"> MSAC considered that</w:t>
      </w:r>
      <w:r w:rsidR="00727C89">
        <w:t xml:space="preserve"> </w:t>
      </w:r>
      <w:r w:rsidR="007A0FD4">
        <w:t xml:space="preserve">effectiveness arose </w:t>
      </w:r>
      <w:r w:rsidR="00C735AC">
        <w:t xml:space="preserve">primarily </w:t>
      </w:r>
      <w:r w:rsidR="007A0FD4">
        <w:t xml:space="preserve">from </w:t>
      </w:r>
      <w:r w:rsidR="0031451A">
        <w:t>ruling out HF</w:t>
      </w:r>
      <w:r w:rsidR="00A13F78">
        <w:t xml:space="preserve"> and assisting in earlier identification of an alternative diagnosis in these patients</w:t>
      </w:r>
      <w:r>
        <w:t>.</w:t>
      </w:r>
      <w:r w:rsidR="00494775">
        <w:t xml:space="preserve"> Cost reductions and QALY benefits in the NICE model were driven by </w:t>
      </w:r>
      <w:r w:rsidR="00882AD7">
        <w:t>diagnosing conditions other than HF earlier.</w:t>
      </w:r>
    </w:p>
    <w:p w14:paraId="1B770181" w14:textId="39CBE380" w:rsidR="002F32FB" w:rsidRPr="00CE28E3" w:rsidRDefault="002F32FB" w:rsidP="00135FC9">
      <w:pPr>
        <w:pStyle w:val="Caption"/>
      </w:pPr>
      <w:bookmarkStart w:id="35" w:name="_Ref69726284"/>
      <w:r w:rsidRPr="00CE28E3">
        <w:t>Table</w:t>
      </w:r>
      <w:r w:rsidR="003571C2">
        <w:t> </w:t>
      </w:r>
      <w:r>
        <w:fldChar w:fldCharType="begin"/>
      </w:r>
      <w:r>
        <w:instrText>SEQ Table \* ARABIC</w:instrText>
      </w:r>
      <w:r>
        <w:fldChar w:fldCharType="separate"/>
      </w:r>
      <w:r w:rsidR="00472DB9">
        <w:rPr>
          <w:noProof/>
        </w:rPr>
        <w:t>14</w:t>
      </w:r>
      <w:r>
        <w:fldChar w:fldCharType="end"/>
      </w:r>
      <w:bookmarkEnd w:id="35"/>
      <w:r w:rsidRPr="00CE28E3">
        <w:tab/>
        <w:t xml:space="preserve">Results of the </w:t>
      </w:r>
      <w:r w:rsidR="0069048B">
        <w:t xml:space="preserve">ADAR </w:t>
      </w:r>
      <w:r w:rsidR="00A418CE">
        <w:t xml:space="preserve">base case </w:t>
      </w:r>
      <w:r w:rsidRPr="00CE28E3">
        <w:t>economic evaluation</w:t>
      </w:r>
      <w:r w:rsidR="00941890">
        <w:t xml:space="preserve"> (per patient)</w:t>
      </w:r>
    </w:p>
    <w:tbl>
      <w:tblPr>
        <w:tblStyle w:val="TableGrid1"/>
        <w:tblW w:w="5000" w:type="pct"/>
        <w:shd w:val="clear" w:color="auto" w:fill="FFFFFF"/>
        <w:tblLayout w:type="fixed"/>
        <w:tblLook w:val="04A0" w:firstRow="1" w:lastRow="0" w:firstColumn="1" w:lastColumn="0" w:noHBand="0" w:noVBand="1"/>
        <w:tblCaption w:val="Results of the ADAR base case economic evaluation (per patient)"/>
        <w:tblDescription w:val="The table shows the results of the ADAR base case economic evaluation (per patient) including costs, time to diagnosis or exclusion of heart failure, and echocardiography delivered."/>
      </w:tblPr>
      <w:tblGrid>
        <w:gridCol w:w="2973"/>
        <w:gridCol w:w="2015"/>
        <w:gridCol w:w="2014"/>
        <w:gridCol w:w="2014"/>
      </w:tblGrid>
      <w:tr w:rsidR="001B6AAB" w:rsidRPr="00CE28E3" w14:paraId="6C9AAE3F" w14:textId="77777777" w:rsidTr="00E50914">
        <w:trPr>
          <w:cnfStyle w:val="100000000000" w:firstRow="1" w:lastRow="0" w:firstColumn="0" w:lastColumn="0" w:oddVBand="0" w:evenVBand="0" w:oddHBand="0" w:evenHBand="0" w:firstRowFirstColumn="0" w:firstRowLastColumn="0" w:lastRowFirstColumn="0" w:lastRowLastColumn="0"/>
          <w:cantSplit/>
          <w:tblHeader/>
        </w:trPr>
        <w:tc>
          <w:tcPr>
            <w:tcW w:w="1648" w:type="pct"/>
            <w:shd w:val="clear" w:color="auto" w:fill="FFFFFF"/>
            <w:vAlign w:val="center"/>
          </w:tcPr>
          <w:p w14:paraId="3F81650A" w14:textId="20321E65" w:rsidR="002F32FB" w:rsidRPr="00CE28E3" w:rsidRDefault="00037302" w:rsidP="008F202C">
            <w:pPr>
              <w:pStyle w:val="TableHeading0"/>
            </w:pPr>
            <w:bookmarkStart w:id="36" w:name="Title_Table9" w:colFirst="0" w:colLast="0"/>
            <w:bookmarkStart w:id="37" w:name="_Hlk68276590"/>
            <w:r>
              <w:t>Parameter</w:t>
            </w:r>
          </w:p>
        </w:tc>
        <w:tc>
          <w:tcPr>
            <w:tcW w:w="1117" w:type="pct"/>
            <w:shd w:val="clear" w:color="auto" w:fill="FFFFFF"/>
            <w:vAlign w:val="center"/>
          </w:tcPr>
          <w:p w14:paraId="620E0CCB" w14:textId="3B197DA1" w:rsidR="002F32FB" w:rsidRPr="00CE28E3" w:rsidRDefault="000674EC" w:rsidP="008F202C">
            <w:pPr>
              <w:pStyle w:val="TableHeading0"/>
              <w:jc w:val="center"/>
            </w:pPr>
            <w:r>
              <w:t>NT-</w:t>
            </w:r>
            <w:proofErr w:type="spellStart"/>
            <w:r>
              <w:t>proBNP</w:t>
            </w:r>
            <w:proofErr w:type="spellEnd"/>
            <w:r>
              <w:t xml:space="preserve"> ± echocardiography</w:t>
            </w:r>
          </w:p>
        </w:tc>
        <w:tc>
          <w:tcPr>
            <w:tcW w:w="1117" w:type="pct"/>
            <w:shd w:val="clear" w:color="auto" w:fill="FFFFFF"/>
            <w:vAlign w:val="center"/>
          </w:tcPr>
          <w:p w14:paraId="500DB19E" w14:textId="5E6063DC" w:rsidR="002F32FB" w:rsidRPr="00CE28E3" w:rsidRDefault="0069048B" w:rsidP="008F202C">
            <w:pPr>
              <w:pStyle w:val="TableHeading0"/>
              <w:jc w:val="center"/>
            </w:pPr>
            <w:r>
              <w:t>E</w:t>
            </w:r>
            <w:r w:rsidR="000674EC">
              <w:t>chocardiography</w:t>
            </w:r>
            <w:r w:rsidR="00A73827">
              <w:t xml:space="preserve"> alone</w:t>
            </w:r>
          </w:p>
        </w:tc>
        <w:tc>
          <w:tcPr>
            <w:tcW w:w="1117" w:type="pct"/>
            <w:shd w:val="clear" w:color="auto" w:fill="FFFFFF"/>
            <w:vAlign w:val="center"/>
          </w:tcPr>
          <w:p w14:paraId="3863ED7D" w14:textId="77777777" w:rsidR="002F32FB" w:rsidRPr="00CE28E3" w:rsidRDefault="002F32FB" w:rsidP="008F202C">
            <w:pPr>
              <w:pStyle w:val="TableHeading0"/>
              <w:jc w:val="center"/>
            </w:pPr>
            <w:r w:rsidRPr="00CE28E3">
              <w:t>Increment</w:t>
            </w:r>
          </w:p>
        </w:tc>
      </w:tr>
      <w:bookmarkEnd w:id="36"/>
      <w:tr w:rsidR="002F32FB" w:rsidRPr="00CE28E3" w14:paraId="369EE6BC" w14:textId="77777777" w:rsidTr="008F202C">
        <w:trPr>
          <w:cantSplit/>
        </w:trPr>
        <w:tc>
          <w:tcPr>
            <w:tcW w:w="1648" w:type="pct"/>
            <w:shd w:val="clear" w:color="auto" w:fill="auto"/>
          </w:tcPr>
          <w:p w14:paraId="051B9EED" w14:textId="77777777" w:rsidR="002F32FB" w:rsidRPr="00CE28E3" w:rsidRDefault="002F32FB" w:rsidP="00B8535F">
            <w:pPr>
              <w:pStyle w:val="TableText"/>
              <w:keepNext/>
            </w:pPr>
            <w:r w:rsidRPr="00CE28E3">
              <w:t>Costs</w:t>
            </w:r>
          </w:p>
        </w:tc>
        <w:tc>
          <w:tcPr>
            <w:tcW w:w="1117" w:type="pct"/>
            <w:shd w:val="clear" w:color="auto" w:fill="auto"/>
          </w:tcPr>
          <w:p w14:paraId="0FAC9D47" w14:textId="4458B1A2" w:rsidR="002F32FB" w:rsidRPr="00CE28E3" w:rsidRDefault="001377FB" w:rsidP="00B8535F">
            <w:pPr>
              <w:pStyle w:val="TableText"/>
              <w:keepNext/>
              <w:jc w:val="center"/>
            </w:pPr>
            <w:r w:rsidRPr="001377FB">
              <w:t>$172.05</w:t>
            </w:r>
          </w:p>
        </w:tc>
        <w:tc>
          <w:tcPr>
            <w:tcW w:w="1117" w:type="pct"/>
            <w:shd w:val="clear" w:color="auto" w:fill="auto"/>
          </w:tcPr>
          <w:p w14:paraId="6C1A6297" w14:textId="5696E3A5" w:rsidR="002F32FB" w:rsidRPr="00CE28E3" w:rsidRDefault="00384476" w:rsidP="00B8535F">
            <w:pPr>
              <w:pStyle w:val="TableText"/>
              <w:keepNext/>
              <w:jc w:val="center"/>
            </w:pPr>
            <w:r w:rsidRPr="00384476">
              <w:t>$240.05</w:t>
            </w:r>
          </w:p>
        </w:tc>
        <w:tc>
          <w:tcPr>
            <w:tcW w:w="1117" w:type="pct"/>
            <w:shd w:val="clear" w:color="auto" w:fill="auto"/>
          </w:tcPr>
          <w:p w14:paraId="4B4524BB" w14:textId="1FCA4A57" w:rsidR="002F32FB" w:rsidRPr="00CE28E3" w:rsidRDefault="00824E95" w:rsidP="00B8535F">
            <w:pPr>
              <w:pStyle w:val="TableText"/>
              <w:keepNext/>
              <w:jc w:val="center"/>
            </w:pPr>
            <w:r w:rsidRPr="00D854B4">
              <w:t>-$68.00</w:t>
            </w:r>
          </w:p>
        </w:tc>
      </w:tr>
      <w:tr w:rsidR="00C71E35" w:rsidRPr="00CE28E3" w14:paraId="6A9B9196" w14:textId="77777777" w:rsidTr="008F202C">
        <w:trPr>
          <w:cantSplit/>
        </w:trPr>
        <w:tc>
          <w:tcPr>
            <w:tcW w:w="1648" w:type="pct"/>
            <w:shd w:val="clear" w:color="auto" w:fill="auto"/>
          </w:tcPr>
          <w:p w14:paraId="09069B1C" w14:textId="7E57252A" w:rsidR="00C71E35" w:rsidRPr="00CE28E3" w:rsidRDefault="00C71E35" w:rsidP="00C71E35">
            <w:pPr>
              <w:pStyle w:val="TableText"/>
              <w:keepNext/>
            </w:pPr>
            <w:r>
              <w:t>Time to diagnosis</w:t>
            </w:r>
            <w:r w:rsidR="00A34E9E">
              <w:t xml:space="preserve"> or exclusion</w:t>
            </w:r>
            <w:r w:rsidR="007E09E6">
              <w:t xml:space="preserve"> of HF</w:t>
            </w:r>
            <w:r w:rsidR="00FE35AF">
              <w:t xml:space="preserve"> (months)</w:t>
            </w:r>
          </w:p>
        </w:tc>
        <w:tc>
          <w:tcPr>
            <w:tcW w:w="1117" w:type="pct"/>
            <w:shd w:val="clear" w:color="auto" w:fill="auto"/>
          </w:tcPr>
          <w:p w14:paraId="5D79285C" w14:textId="684E93DA" w:rsidR="00C71E35" w:rsidRPr="00CE28E3" w:rsidRDefault="00C71E35" w:rsidP="00C71E35">
            <w:pPr>
              <w:pStyle w:val="TableText"/>
              <w:keepNext/>
              <w:jc w:val="center"/>
            </w:pPr>
            <w:r w:rsidRPr="00D854B4">
              <w:t>1.07</w:t>
            </w:r>
            <w:r>
              <w:t xml:space="preserve"> </w:t>
            </w:r>
          </w:p>
        </w:tc>
        <w:tc>
          <w:tcPr>
            <w:tcW w:w="1117" w:type="pct"/>
            <w:shd w:val="clear" w:color="auto" w:fill="auto"/>
          </w:tcPr>
          <w:p w14:paraId="0C0E2B31" w14:textId="298AF0FB" w:rsidR="00C71E35" w:rsidRPr="00CE28E3" w:rsidRDefault="00C71E35" w:rsidP="00C71E35">
            <w:pPr>
              <w:pStyle w:val="TableText"/>
              <w:keepNext/>
              <w:jc w:val="center"/>
            </w:pPr>
            <w:r w:rsidRPr="00D854B4">
              <w:t>2.00</w:t>
            </w:r>
            <w:r>
              <w:t xml:space="preserve"> </w:t>
            </w:r>
          </w:p>
        </w:tc>
        <w:tc>
          <w:tcPr>
            <w:tcW w:w="1117" w:type="pct"/>
            <w:shd w:val="clear" w:color="auto" w:fill="auto"/>
          </w:tcPr>
          <w:p w14:paraId="169B9B25" w14:textId="524B9E68" w:rsidR="00C71E35" w:rsidRPr="00CE28E3" w:rsidRDefault="00334ED2" w:rsidP="00C71E35">
            <w:pPr>
              <w:pStyle w:val="TableText"/>
              <w:keepNext/>
              <w:jc w:val="center"/>
            </w:pPr>
            <w:r>
              <w:t>-</w:t>
            </w:r>
            <w:r w:rsidRPr="00D854B4">
              <w:t>0.93</w:t>
            </w:r>
            <w:r>
              <w:t xml:space="preserve"> </w:t>
            </w:r>
          </w:p>
        </w:tc>
      </w:tr>
      <w:tr w:rsidR="00C71E35" w:rsidRPr="00CE28E3" w14:paraId="24736DA2" w14:textId="77777777" w:rsidTr="008F202C">
        <w:trPr>
          <w:cantSplit/>
        </w:trPr>
        <w:tc>
          <w:tcPr>
            <w:tcW w:w="1648" w:type="pct"/>
            <w:shd w:val="clear" w:color="auto" w:fill="auto"/>
          </w:tcPr>
          <w:p w14:paraId="6D2D1BB4" w14:textId="32E3D487" w:rsidR="00C71E35" w:rsidRPr="00CE28E3" w:rsidRDefault="000D1818" w:rsidP="00C71E35">
            <w:pPr>
              <w:pStyle w:val="TableText"/>
              <w:keepNext/>
            </w:pPr>
            <w:r>
              <w:t>Echocardiograph</w:t>
            </w:r>
            <w:r w:rsidR="00280B21">
              <w:t>y</w:t>
            </w:r>
            <w:r>
              <w:t xml:space="preserve"> </w:t>
            </w:r>
            <w:r w:rsidR="00334ED2">
              <w:t>delivered</w:t>
            </w:r>
          </w:p>
        </w:tc>
        <w:tc>
          <w:tcPr>
            <w:tcW w:w="1117" w:type="pct"/>
            <w:shd w:val="clear" w:color="auto" w:fill="auto"/>
          </w:tcPr>
          <w:p w14:paraId="768CBE06" w14:textId="6302725B" w:rsidR="00C71E35" w:rsidRPr="00CE28E3" w:rsidRDefault="008B6124" w:rsidP="00C71E35">
            <w:pPr>
              <w:pStyle w:val="TableText"/>
              <w:keepNext/>
              <w:jc w:val="center"/>
            </w:pPr>
            <w:r w:rsidRPr="008B6124">
              <w:t>0.47</w:t>
            </w:r>
          </w:p>
        </w:tc>
        <w:tc>
          <w:tcPr>
            <w:tcW w:w="1117" w:type="pct"/>
            <w:shd w:val="clear" w:color="auto" w:fill="auto"/>
          </w:tcPr>
          <w:p w14:paraId="1062F347" w14:textId="3F43B083" w:rsidR="00C71E35" w:rsidRPr="00CE28E3" w:rsidRDefault="00074E60" w:rsidP="00C71E35">
            <w:pPr>
              <w:pStyle w:val="TableText"/>
              <w:keepNext/>
              <w:jc w:val="center"/>
            </w:pPr>
            <w:r w:rsidRPr="00D854B4">
              <w:t>1.00</w:t>
            </w:r>
          </w:p>
        </w:tc>
        <w:tc>
          <w:tcPr>
            <w:tcW w:w="1117" w:type="pct"/>
            <w:shd w:val="clear" w:color="auto" w:fill="auto"/>
          </w:tcPr>
          <w:p w14:paraId="3F1BB173" w14:textId="432183DD" w:rsidR="00C71E35" w:rsidRPr="00CE28E3" w:rsidRDefault="007D081C" w:rsidP="00C71E35">
            <w:pPr>
              <w:pStyle w:val="TableText"/>
              <w:keepNext/>
              <w:jc w:val="center"/>
            </w:pPr>
            <w:r>
              <w:t>-</w:t>
            </w:r>
            <w:r w:rsidRPr="00D854B4">
              <w:t>0.53</w:t>
            </w:r>
          </w:p>
        </w:tc>
      </w:tr>
    </w:tbl>
    <w:p w14:paraId="0E768CEE" w14:textId="70615800" w:rsidR="00E50914" w:rsidRDefault="00E50914" w:rsidP="00E50914">
      <w:pPr>
        <w:pStyle w:val="Tablenotes0"/>
      </w:pPr>
      <w:bookmarkStart w:id="38" w:name="_Hlk68276600"/>
      <w:bookmarkEnd w:id="37"/>
      <w:r w:rsidRPr="00FF725D">
        <w:rPr>
          <w:b/>
          <w:bCs/>
        </w:rPr>
        <w:t>Abbreviations:</w:t>
      </w:r>
      <w:r>
        <w:t xml:space="preserve"> HF, heart failure; NT-</w:t>
      </w:r>
      <w:proofErr w:type="spellStart"/>
      <w:r>
        <w:t>proBNP</w:t>
      </w:r>
      <w:proofErr w:type="spellEnd"/>
      <w:r>
        <w:t xml:space="preserve">, </w:t>
      </w:r>
      <w:r w:rsidRPr="004A1258">
        <w:rPr>
          <w:szCs w:val="20"/>
        </w:rPr>
        <w:t>N-terminal-pro brain natriuretic peptide</w:t>
      </w:r>
      <w:r>
        <w:t>.</w:t>
      </w:r>
    </w:p>
    <w:p w14:paraId="29D65211" w14:textId="710EB4E1" w:rsidR="002F32FB" w:rsidRDefault="00A418CE" w:rsidP="008F202C">
      <w:pPr>
        <w:pStyle w:val="Tablenotes0"/>
      </w:pPr>
      <w:r w:rsidRPr="00FF725D">
        <w:rPr>
          <w:b/>
          <w:bCs/>
        </w:rPr>
        <w:t>Source:</w:t>
      </w:r>
      <w:r w:rsidRPr="008F202C">
        <w:t xml:space="preserve"> Table 32 and Table 33 </w:t>
      </w:r>
      <w:r>
        <w:t>from MSAC 1740 ADAR+ in-line commentary</w:t>
      </w:r>
    </w:p>
    <w:p w14:paraId="2ED62214" w14:textId="7A747D51" w:rsidR="003E54C2" w:rsidRDefault="003E54C2" w:rsidP="003E54C2">
      <w:r>
        <w:t>The commentary consider</w:t>
      </w:r>
      <w:r w:rsidR="00F25747">
        <w:t>ed</w:t>
      </w:r>
      <w:r>
        <w:t xml:space="preserve"> several of the inputs in the model to be inappropriate and </w:t>
      </w:r>
      <w:r w:rsidR="007A3782">
        <w:t>provided a revised</w:t>
      </w:r>
      <w:r>
        <w:t xml:space="preserve"> model</w:t>
      </w:r>
      <w:r w:rsidR="005F417B">
        <w:t xml:space="preserve"> using:</w:t>
      </w:r>
    </w:p>
    <w:p w14:paraId="3E823FC5" w14:textId="0C80D82C" w:rsidR="00713F0B" w:rsidRPr="00713F0B" w:rsidRDefault="00713F0B" w:rsidP="001A44E9">
      <w:pPr>
        <w:pStyle w:val="ListParagraph"/>
        <w:numPr>
          <w:ilvl w:val="0"/>
          <w:numId w:val="13"/>
        </w:numPr>
        <w:rPr>
          <w:rFonts w:eastAsia="Calibri"/>
          <w:szCs w:val="20"/>
        </w:rPr>
      </w:pPr>
      <w:r>
        <w:t xml:space="preserve">sensitivity and specificity from </w:t>
      </w:r>
      <w:proofErr w:type="spellStart"/>
      <w:r>
        <w:t>Zaphiriou</w:t>
      </w:r>
      <w:proofErr w:type="spellEnd"/>
      <w:r w:rsidR="00C56A19">
        <w:t xml:space="preserve"> et al</w:t>
      </w:r>
      <w:r>
        <w:t xml:space="preserve"> (2005) </w:t>
      </w:r>
      <w:r w:rsidR="00807CCF">
        <w:t xml:space="preserve">rather than </w:t>
      </w:r>
      <w:r w:rsidR="00C30C83">
        <w:t xml:space="preserve">from </w:t>
      </w:r>
      <w:r w:rsidR="00DC56F4">
        <w:t xml:space="preserve">the </w:t>
      </w:r>
      <w:r w:rsidR="00807CCF">
        <w:t xml:space="preserve">NICE </w:t>
      </w:r>
      <w:r w:rsidR="006D043E">
        <w:t>2018</w:t>
      </w:r>
      <w:r w:rsidR="00633496">
        <w:t xml:space="preserve"> meta-analysis</w:t>
      </w:r>
      <w:r w:rsidR="00DE7215">
        <w:t xml:space="preserve"> </w:t>
      </w:r>
      <w:r>
        <w:t xml:space="preserve">– this study </w:t>
      </w:r>
      <w:r w:rsidR="00EC6B46">
        <w:t>was dated and may not have</w:t>
      </w:r>
      <w:r>
        <w:t xml:space="preserve"> reflect</w:t>
      </w:r>
      <w:r w:rsidR="00EC6B46">
        <w:t>ed</w:t>
      </w:r>
      <w:r>
        <w:t xml:space="preserve"> current practice</w:t>
      </w:r>
      <w:r w:rsidR="0031312C">
        <w:t xml:space="preserve"> but was deemed a more suitable base </w:t>
      </w:r>
      <w:proofErr w:type="gramStart"/>
      <w:r w:rsidR="0031312C">
        <w:t>case</w:t>
      </w:r>
      <w:proofErr w:type="gramEnd"/>
    </w:p>
    <w:p w14:paraId="6BB3F4EB" w14:textId="00305F1B" w:rsidR="00713F0B" w:rsidRPr="00713F0B" w:rsidRDefault="00713F0B" w:rsidP="001A44E9">
      <w:pPr>
        <w:pStyle w:val="ListParagraph"/>
        <w:numPr>
          <w:ilvl w:val="0"/>
          <w:numId w:val="13"/>
        </w:numPr>
        <w:rPr>
          <w:rFonts w:eastAsia="Calibri"/>
          <w:szCs w:val="20"/>
        </w:rPr>
      </w:pPr>
      <w:r>
        <w:t xml:space="preserve">current MBS </w:t>
      </w:r>
      <w:r w:rsidR="00A92BB4">
        <w:t xml:space="preserve">fees </w:t>
      </w:r>
      <w:r>
        <w:t>(</w:t>
      </w:r>
      <w:proofErr w:type="gramStart"/>
      <w:r w:rsidR="009B2826">
        <w:t>at</w:t>
      </w:r>
      <w:proofErr w:type="gramEnd"/>
      <w:r w:rsidR="009B2826">
        <w:t xml:space="preserve"> 01 </w:t>
      </w:r>
      <w:r>
        <w:t>July 2023)</w:t>
      </w:r>
    </w:p>
    <w:p w14:paraId="3A050BC6" w14:textId="10E69F29" w:rsidR="005F417B" w:rsidRPr="00713F0B" w:rsidRDefault="00713F0B" w:rsidP="001A44E9">
      <w:pPr>
        <w:pStyle w:val="ListParagraph"/>
        <w:numPr>
          <w:ilvl w:val="0"/>
          <w:numId w:val="13"/>
        </w:numPr>
        <w:rPr>
          <w:rFonts w:eastAsia="Calibri"/>
          <w:szCs w:val="20"/>
        </w:rPr>
      </w:pPr>
      <w:r>
        <w:t xml:space="preserve">an additional follow-up appointment </w:t>
      </w:r>
      <w:r w:rsidR="009B2826">
        <w:t>after</w:t>
      </w:r>
      <w:r w:rsidR="001137E1">
        <w:t xml:space="preserve"> both</w:t>
      </w:r>
      <w:r>
        <w:t xml:space="preserve"> a NT-</w:t>
      </w:r>
      <w:proofErr w:type="spellStart"/>
      <w:r>
        <w:t>proBNP</w:t>
      </w:r>
      <w:proofErr w:type="spellEnd"/>
      <w:r>
        <w:t xml:space="preserve"> test and echocardiogram</w:t>
      </w:r>
      <w:r w:rsidR="00A301A2">
        <w:t xml:space="preserve"> (follow up appointments and screening for those ruled out of HF </w:t>
      </w:r>
      <w:r w:rsidR="0069048B">
        <w:t>we</w:t>
      </w:r>
      <w:r w:rsidR="00A301A2">
        <w:t>re not considered</w:t>
      </w:r>
      <w:r w:rsidR="00A22821">
        <w:t xml:space="preserve"> in the model</w:t>
      </w:r>
      <w:r w:rsidR="00A301A2">
        <w:t>)</w:t>
      </w:r>
    </w:p>
    <w:p w14:paraId="18CFA44A" w14:textId="11D36037" w:rsidR="00713F0B" w:rsidRPr="001F16B2" w:rsidRDefault="0051710B" w:rsidP="001A44E9">
      <w:pPr>
        <w:pStyle w:val="ListParagraph"/>
        <w:numPr>
          <w:ilvl w:val="0"/>
          <w:numId w:val="13"/>
        </w:numPr>
        <w:rPr>
          <w:rFonts w:eastAsia="Calibri"/>
          <w:szCs w:val="20"/>
        </w:rPr>
      </w:pPr>
      <w:r>
        <w:lastRenderedPageBreak/>
        <w:t xml:space="preserve">extended </w:t>
      </w:r>
      <w:r w:rsidR="00164C9E">
        <w:t xml:space="preserve">time to diagnosis to </w:t>
      </w:r>
      <w:r w:rsidR="000A1BE6">
        <w:t>0.5 month</w:t>
      </w:r>
      <w:r w:rsidR="00164C9E">
        <w:t xml:space="preserve"> (</w:t>
      </w:r>
      <w:r w:rsidR="000A1BE6">
        <w:t>from 0.1</w:t>
      </w:r>
      <w:r w:rsidR="00164C9E">
        <w:t>) for NT-</w:t>
      </w:r>
      <w:proofErr w:type="spellStart"/>
      <w:r w:rsidR="00164C9E">
        <w:t>proBNP</w:t>
      </w:r>
      <w:proofErr w:type="spellEnd"/>
      <w:r w:rsidR="00164C9E">
        <w:t xml:space="preserve"> testing and six months for a false negative NT-</w:t>
      </w:r>
      <w:proofErr w:type="spellStart"/>
      <w:r w:rsidR="00164C9E">
        <w:t>proBNP</w:t>
      </w:r>
      <w:proofErr w:type="spellEnd"/>
      <w:r w:rsidR="00164C9E">
        <w:t xml:space="preserve"> result</w:t>
      </w:r>
      <w:r w:rsidR="000A1BE6">
        <w:t xml:space="preserve"> (from </w:t>
      </w:r>
      <w:r w:rsidR="00A33AB8">
        <w:t>one</w:t>
      </w:r>
      <w:r w:rsidR="000A1BE6">
        <w:t xml:space="preserve"> month).</w:t>
      </w:r>
    </w:p>
    <w:p w14:paraId="0F3D67DA" w14:textId="1D1EB460" w:rsidR="001F16B2" w:rsidRPr="001F16B2" w:rsidRDefault="001F16B2" w:rsidP="001F16B2">
      <w:pPr>
        <w:rPr>
          <w:rFonts w:eastAsia="Calibri"/>
          <w:szCs w:val="20"/>
        </w:rPr>
      </w:pPr>
      <w:r>
        <w:rPr>
          <w:rFonts w:eastAsia="Calibri"/>
          <w:szCs w:val="20"/>
        </w:rPr>
        <w:t xml:space="preserve">The </w:t>
      </w:r>
      <w:r w:rsidR="000C52F9">
        <w:rPr>
          <w:rFonts w:eastAsia="Calibri"/>
          <w:szCs w:val="20"/>
        </w:rPr>
        <w:t>commentary</w:t>
      </w:r>
      <w:r w:rsidR="0069048B">
        <w:rPr>
          <w:rFonts w:eastAsia="Calibri"/>
          <w:szCs w:val="20"/>
        </w:rPr>
        <w:t xml:space="preserve">’s </w:t>
      </w:r>
      <w:r w:rsidR="00987870">
        <w:rPr>
          <w:rFonts w:eastAsia="Calibri"/>
          <w:szCs w:val="20"/>
        </w:rPr>
        <w:t>revis</w:t>
      </w:r>
      <w:r w:rsidR="0069048B">
        <w:rPr>
          <w:rFonts w:eastAsia="Calibri"/>
          <w:szCs w:val="20"/>
        </w:rPr>
        <w:t xml:space="preserve">ed economic </w:t>
      </w:r>
      <w:r w:rsidR="00987870">
        <w:rPr>
          <w:rFonts w:eastAsia="Calibri"/>
          <w:szCs w:val="20"/>
        </w:rPr>
        <w:t>analysis</w:t>
      </w:r>
      <w:r w:rsidR="000C52F9">
        <w:rPr>
          <w:rFonts w:eastAsia="Calibri"/>
          <w:szCs w:val="20"/>
        </w:rPr>
        <w:t xml:space="preserve"> </w:t>
      </w:r>
      <w:r w:rsidR="00DC26DA">
        <w:rPr>
          <w:rFonts w:eastAsia="Calibri"/>
          <w:szCs w:val="20"/>
        </w:rPr>
        <w:t>show</w:t>
      </w:r>
      <w:r w:rsidR="0069048B">
        <w:rPr>
          <w:rFonts w:eastAsia="Calibri"/>
          <w:szCs w:val="20"/>
        </w:rPr>
        <w:t>ed</w:t>
      </w:r>
      <w:r w:rsidR="00BB1089">
        <w:rPr>
          <w:rFonts w:eastAsia="Calibri"/>
          <w:szCs w:val="20"/>
        </w:rPr>
        <w:t xml:space="preserve"> </w:t>
      </w:r>
      <w:r w:rsidR="00DC26DA">
        <w:rPr>
          <w:rFonts w:eastAsia="Calibri"/>
          <w:szCs w:val="20"/>
        </w:rPr>
        <w:t>smaller</w:t>
      </w:r>
      <w:r w:rsidR="00BB1089">
        <w:rPr>
          <w:rFonts w:eastAsia="Calibri"/>
          <w:szCs w:val="20"/>
        </w:rPr>
        <w:t xml:space="preserve"> differences between </w:t>
      </w:r>
      <w:r w:rsidR="006672E6">
        <w:rPr>
          <w:rFonts w:eastAsia="Calibri"/>
          <w:szCs w:val="20"/>
        </w:rPr>
        <w:t xml:space="preserve">the </w:t>
      </w:r>
      <w:r w:rsidR="00BB1089">
        <w:rPr>
          <w:rFonts w:eastAsia="Calibri"/>
          <w:szCs w:val="20"/>
        </w:rPr>
        <w:t>intervention and comparator, particularly for time to diagnosis</w:t>
      </w:r>
      <w:r w:rsidR="0069048B">
        <w:rPr>
          <w:rFonts w:eastAsia="Calibri"/>
          <w:szCs w:val="20"/>
        </w:rPr>
        <w:t xml:space="preserve"> (</w:t>
      </w:r>
      <w:r w:rsidR="0069048B">
        <w:rPr>
          <w:rFonts w:eastAsia="Calibri"/>
          <w:szCs w:val="20"/>
        </w:rPr>
        <w:fldChar w:fldCharType="begin"/>
      </w:r>
      <w:r w:rsidR="0069048B">
        <w:rPr>
          <w:rFonts w:eastAsia="Calibri"/>
          <w:szCs w:val="20"/>
        </w:rPr>
        <w:instrText xml:space="preserve"> REF _Ref141824457 \h </w:instrText>
      </w:r>
      <w:r w:rsidR="0069048B">
        <w:rPr>
          <w:rFonts w:eastAsia="Calibri"/>
          <w:szCs w:val="20"/>
        </w:rPr>
      </w:r>
      <w:r w:rsidR="0069048B">
        <w:rPr>
          <w:rFonts w:eastAsia="Calibri"/>
          <w:szCs w:val="20"/>
        </w:rPr>
        <w:fldChar w:fldCharType="separate"/>
      </w:r>
      <w:r w:rsidR="00472DB9">
        <w:t xml:space="preserve">Table </w:t>
      </w:r>
      <w:r w:rsidR="00472DB9">
        <w:rPr>
          <w:noProof/>
        </w:rPr>
        <w:t>15</w:t>
      </w:r>
      <w:r w:rsidR="0069048B">
        <w:rPr>
          <w:rFonts w:eastAsia="Calibri"/>
          <w:szCs w:val="20"/>
        </w:rPr>
        <w:fldChar w:fldCharType="end"/>
      </w:r>
      <w:r w:rsidR="0069048B">
        <w:rPr>
          <w:rFonts w:eastAsia="Calibri"/>
          <w:szCs w:val="20"/>
        </w:rPr>
        <w:t>)</w:t>
      </w:r>
      <w:r w:rsidR="00B76035">
        <w:rPr>
          <w:rFonts w:eastAsia="Calibri"/>
          <w:szCs w:val="20"/>
        </w:rPr>
        <w:t>.</w:t>
      </w:r>
      <w:r w:rsidR="00BB1089">
        <w:rPr>
          <w:rFonts w:eastAsia="Calibri"/>
          <w:szCs w:val="20"/>
        </w:rPr>
        <w:t xml:space="preserve"> </w:t>
      </w:r>
      <w:r w:rsidR="00B76035">
        <w:rPr>
          <w:rFonts w:eastAsia="Calibri"/>
          <w:szCs w:val="20"/>
        </w:rPr>
        <w:t>It</w:t>
      </w:r>
      <w:r w:rsidR="00BB1089">
        <w:rPr>
          <w:rFonts w:eastAsia="Calibri"/>
          <w:szCs w:val="20"/>
        </w:rPr>
        <w:t xml:space="preserve"> </w:t>
      </w:r>
      <w:r w:rsidR="0069048B">
        <w:rPr>
          <w:rFonts w:eastAsia="Calibri"/>
          <w:szCs w:val="20"/>
        </w:rPr>
        <w:t xml:space="preserve">did </w:t>
      </w:r>
      <w:r w:rsidR="00BB1089">
        <w:rPr>
          <w:rFonts w:eastAsia="Calibri"/>
          <w:szCs w:val="20"/>
        </w:rPr>
        <w:t>not</w:t>
      </w:r>
      <w:r w:rsidR="00B76035">
        <w:rPr>
          <w:rFonts w:eastAsia="Calibri"/>
          <w:szCs w:val="20"/>
        </w:rPr>
        <w:t>, however,</w:t>
      </w:r>
      <w:r w:rsidR="00BB1089">
        <w:rPr>
          <w:rFonts w:eastAsia="Calibri"/>
          <w:szCs w:val="20"/>
        </w:rPr>
        <w:t xml:space="preserve"> overcome the structural </w:t>
      </w:r>
      <w:r w:rsidR="007C512E">
        <w:rPr>
          <w:rFonts w:eastAsia="Calibri"/>
          <w:szCs w:val="20"/>
        </w:rPr>
        <w:t xml:space="preserve">weaknesses of the </w:t>
      </w:r>
      <w:r w:rsidR="0069048B">
        <w:rPr>
          <w:rFonts w:eastAsia="Calibri"/>
          <w:szCs w:val="20"/>
        </w:rPr>
        <w:t xml:space="preserve">ADAR’s </w:t>
      </w:r>
      <w:r w:rsidR="007C512E">
        <w:rPr>
          <w:rFonts w:eastAsia="Calibri"/>
          <w:szCs w:val="20"/>
        </w:rPr>
        <w:t xml:space="preserve">model or </w:t>
      </w:r>
      <w:r w:rsidR="003373AD">
        <w:rPr>
          <w:rFonts w:eastAsia="Calibri"/>
          <w:szCs w:val="20"/>
        </w:rPr>
        <w:t>alter</w:t>
      </w:r>
      <w:r w:rsidR="007C512E">
        <w:rPr>
          <w:rFonts w:eastAsia="Calibri"/>
          <w:szCs w:val="20"/>
        </w:rPr>
        <w:t xml:space="preserve"> </w:t>
      </w:r>
      <w:r w:rsidR="0069048B">
        <w:rPr>
          <w:rFonts w:eastAsia="Calibri"/>
          <w:szCs w:val="20"/>
        </w:rPr>
        <w:t xml:space="preserve">its </w:t>
      </w:r>
      <w:r w:rsidR="007C512E">
        <w:rPr>
          <w:rFonts w:eastAsia="Calibri"/>
          <w:szCs w:val="20"/>
        </w:rPr>
        <w:t>underlying assumptions.</w:t>
      </w:r>
    </w:p>
    <w:p w14:paraId="666A9402" w14:textId="51DD8AB2" w:rsidR="00EF359B" w:rsidRDefault="00EF359B" w:rsidP="00EF359B">
      <w:pPr>
        <w:pStyle w:val="Caption"/>
      </w:pPr>
      <w:bookmarkStart w:id="39" w:name="_Ref141824457"/>
      <w:r>
        <w:t xml:space="preserve">Table </w:t>
      </w:r>
      <w:r>
        <w:fldChar w:fldCharType="begin"/>
      </w:r>
      <w:r>
        <w:instrText>SEQ Table \* ARABIC</w:instrText>
      </w:r>
      <w:r>
        <w:fldChar w:fldCharType="separate"/>
      </w:r>
      <w:r w:rsidR="00472DB9">
        <w:rPr>
          <w:noProof/>
        </w:rPr>
        <w:t>15</w:t>
      </w:r>
      <w:r>
        <w:fldChar w:fldCharType="end"/>
      </w:r>
      <w:bookmarkEnd w:id="39"/>
      <w:r>
        <w:tab/>
      </w:r>
      <w:r w:rsidR="001F16B2" w:rsidRPr="001F16B2">
        <w:t xml:space="preserve">Results of the </w:t>
      </w:r>
      <w:r w:rsidR="00B567E8">
        <w:t>c</w:t>
      </w:r>
      <w:r w:rsidR="00932857">
        <w:t>ommentary</w:t>
      </w:r>
      <w:r w:rsidR="0069048B">
        <w:t xml:space="preserve"> </w:t>
      </w:r>
      <w:r w:rsidR="005E182F">
        <w:t>revised</w:t>
      </w:r>
      <w:r w:rsidR="00932857">
        <w:t xml:space="preserve"> </w:t>
      </w:r>
      <w:r w:rsidR="001F16B2" w:rsidRPr="001F16B2">
        <w:t>base case economic evaluation</w:t>
      </w:r>
      <w:r w:rsidR="00932857">
        <w:t xml:space="preserve"> (per patient)</w:t>
      </w:r>
    </w:p>
    <w:tbl>
      <w:tblPr>
        <w:tblStyle w:val="TableGrid1"/>
        <w:tblW w:w="5000" w:type="pct"/>
        <w:shd w:val="clear" w:color="auto" w:fill="FFFFFF"/>
        <w:tblLayout w:type="fixed"/>
        <w:tblLook w:val="04A0" w:firstRow="1" w:lastRow="0" w:firstColumn="1" w:lastColumn="0" w:noHBand="0" w:noVBand="1"/>
        <w:tblCaption w:val="Results of the commentary revised base case economic evaluation (per patient)"/>
        <w:tblDescription w:val="The table shows the results of the commentary revised base case economic evaluation (per patient) including cost, time to diagnosis or exclusion of heart failure, and echocardiography delivered."/>
      </w:tblPr>
      <w:tblGrid>
        <w:gridCol w:w="2972"/>
        <w:gridCol w:w="1985"/>
        <w:gridCol w:w="1985"/>
        <w:gridCol w:w="2074"/>
      </w:tblGrid>
      <w:tr w:rsidR="001B6AAB" w:rsidRPr="00CE28E3" w14:paraId="0E28A527" w14:textId="77777777" w:rsidTr="00B21D0C">
        <w:trPr>
          <w:cnfStyle w:val="100000000000" w:firstRow="1" w:lastRow="0" w:firstColumn="0" w:lastColumn="0" w:oddVBand="0" w:evenVBand="0" w:oddHBand="0" w:evenHBand="0" w:firstRowFirstColumn="0" w:firstRowLastColumn="0" w:lastRowFirstColumn="0" w:lastRowLastColumn="0"/>
          <w:cantSplit/>
          <w:tblHeader/>
        </w:trPr>
        <w:tc>
          <w:tcPr>
            <w:tcW w:w="1648" w:type="pct"/>
            <w:shd w:val="clear" w:color="auto" w:fill="FFFFFF"/>
            <w:vAlign w:val="center"/>
          </w:tcPr>
          <w:p w14:paraId="3F259065" w14:textId="04E2286C" w:rsidR="000A1BE6" w:rsidRPr="00CE28E3" w:rsidRDefault="000A1BE6" w:rsidP="008F202C">
            <w:pPr>
              <w:pStyle w:val="TableHeading0"/>
            </w:pPr>
            <w:r>
              <w:t>Parameter</w:t>
            </w:r>
          </w:p>
        </w:tc>
        <w:tc>
          <w:tcPr>
            <w:tcW w:w="1101" w:type="pct"/>
            <w:shd w:val="clear" w:color="auto" w:fill="FFFFFF"/>
            <w:vAlign w:val="center"/>
          </w:tcPr>
          <w:p w14:paraId="1F213ED2" w14:textId="77777777" w:rsidR="000A1BE6" w:rsidRPr="00CE28E3" w:rsidRDefault="000A1BE6" w:rsidP="008F202C">
            <w:pPr>
              <w:pStyle w:val="TableHeading0"/>
              <w:jc w:val="center"/>
            </w:pPr>
            <w:r>
              <w:t>NT-</w:t>
            </w:r>
            <w:proofErr w:type="spellStart"/>
            <w:r>
              <w:t>proBNP</w:t>
            </w:r>
            <w:proofErr w:type="spellEnd"/>
            <w:r>
              <w:t xml:space="preserve"> ± echocardiography</w:t>
            </w:r>
          </w:p>
        </w:tc>
        <w:tc>
          <w:tcPr>
            <w:tcW w:w="1101" w:type="pct"/>
            <w:shd w:val="clear" w:color="auto" w:fill="FFFFFF"/>
            <w:vAlign w:val="center"/>
          </w:tcPr>
          <w:p w14:paraId="5973C6BE" w14:textId="0D7C0BEF" w:rsidR="000A1BE6" w:rsidRPr="00CE28E3" w:rsidRDefault="0069048B" w:rsidP="008F202C">
            <w:pPr>
              <w:pStyle w:val="TableHeading0"/>
              <w:jc w:val="center"/>
            </w:pPr>
            <w:r>
              <w:t>E</w:t>
            </w:r>
            <w:r w:rsidR="000A1BE6">
              <w:t>chocardiography</w:t>
            </w:r>
            <w:r w:rsidR="00A73827">
              <w:t xml:space="preserve"> alone</w:t>
            </w:r>
          </w:p>
        </w:tc>
        <w:tc>
          <w:tcPr>
            <w:tcW w:w="1150" w:type="pct"/>
            <w:shd w:val="clear" w:color="auto" w:fill="FFFFFF"/>
            <w:vAlign w:val="center"/>
          </w:tcPr>
          <w:p w14:paraId="499C59AA" w14:textId="77777777" w:rsidR="000A1BE6" w:rsidRPr="00CE28E3" w:rsidRDefault="000A1BE6" w:rsidP="008F202C">
            <w:pPr>
              <w:pStyle w:val="TableHeading0"/>
              <w:jc w:val="center"/>
            </w:pPr>
            <w:r w:rsidRPr="00CE28E3">
              <w:t>Increment</w:t>
            </w:r>
          </w:p>
        </w:tc>
      </w:tr>
      <w:tr w:rsidR="000A1BE6" w:rsidRPr="00CE28E3" w14:paraId="437420C5" w14:textId="77777777" w:rsidTr="008F202C">
        <w:trPr>
          <w:cantSplit/>
        </w:trPr>
        <w:tc>
          <w:tcPr>
            <w:tcW w:w="1648" w:type="pct"/>
            <w:shd w:val="clear" w:color="auto" w:fill="auto"/>
          </w:tcPr>
          <w:p w14:paraId="48548D34" w14:textId="77777777" w:rsidR="000A1BE6" w:rsidRPr="00CE28E3" w:rsidRDefault="000A1BE6">
            <w:pPr>
              <w:pStyle w:val="TableText"/>
              <w:keepNext/>
            </w:pPr>
            <w:r w:rsidRPr="00CE28E3">
              <w:t>Costs</w:t>
            </w:r>
          </w:p>
        </w:tc>
        <w:tc>
          <w:tcPr>
            <w:tcW w:w="1101" w:type="pct"/>
            <w:shd w:val="clear" w:color="auto" w:fill="auto"/>
          </w:tcPr>
          <w:p w14:paraId="6EB9DB08" w14:textId="579907F5" w:rsidR="000A1BE6" w:rsidRPr="00CE28E3" w:rsidRDefault="009B7DD8">
            <w:pPr>
              <w:pStyle w:val="TableText"/>
              <w:keepNext/>
              <w:jc w:val="center"/>
            </w:pPr>
            <w:r w:rsidRPr="009B7DD8">
              <w:t>$264.58</w:t>
            </w:r>
          </w:p>
        </w:tc>
        <w:tc>
          <w:tcPr>
            <w:tcW w:w="1101" w:type="pct"/>
            <w:shd w:val="clear" w:color="auto" w:fill="auto"/>
          </w:tcPr>
          <w:p w14:paraId="6B14A542" w14:textId="0366A28F" w:rsidR="000A1BE6" w:rsidRPr="00CE28E3" w:rsidRDefault="008E609E">
            <w:pPr>
              <w:pStyle w:val="TableText"/>
              <w:keepNext/>
              <w:jc w:val="center"/>
            </w:pPr>
            <w:r w:rsidRPr="008708CE">
              <w:t>$289.90</w:t>
            </w:r>
          </w:p>
        </w:tc>
        <w:tc>
          <w:tcPr>
            <w:tcW w:w="1150" w:type="pct"/>
            <w:shd w:val="clear" w:color="auto" w:fill="auto"/>
          </w:tcPr>
          <w:p w14:paraId="1214CFCA" w14:textId="76F8CA36" w:rsidR="000A1BE6" w:rsidRPr="00CE28E3" w:rsidRDefault="005053F6">
            <w:pPr>
              <w:pStyle w:val="TableText"/>
              <w:keepNext/>
              <w:jc w:val="center"/>
            </w:pPr>
            <w:r w:rsidRPr="008708CE">
              <w:t>-$25.32</w:t>
            </w:r>
          </w:p>
        </w:tc>
      </w:tr>
      <w:tr w:rsidR="000A1BE6" w:rsidRPr="00CE28E3" w14:paraId="70877198" w14:textId="77777777" w:rsidTr="008F202C">
        <w:trPr>
          <w:cantSplit/>
        </w:trPr>
        <w:tc>
          <w:tcPr>
            <w:tcW w:w="1648" w:type="pct"/>
            <w:shd w:val="clear" w:color="auto" w:fill="auto"/>
          </w:tcPr>
          <w:p w14:paraId="5919FBBC" w14:textId="2F5C89AA" w:rsidR="000A1BE6" w:rsidRPr="00CE28E3" w:rsidRDefault="000A1BE6">
            <w:pPr>
              <w:pStyle w:val="TableText"/>
              <w:keepNext/>
            </w:pPr>
            <w:r>
              <w:t>Time to diagnosis</w:t>
            </w:r>
            <w:r w:rsidR="00B15BD5">
              <w:t xml:space="preserve"> or exclusion</w:t>
            </w:r>
            <w:r w:rsidR="0032687B">
              <w:t xml:space="preserve"> </w:t>
            </w:r>
            <w:r w:rsidR="007E09E6">
              <w:t xml:space="preserve">of HF </w:t>
            </w:r>
            <w:r w:rsidR="0032687B">
              <w:t>(months)</w:t>
            </w:r>
          </w:p>
        </w:tc>
        <w:tc>
          <w:tcPr>
            <w:tcW w:w="1101" w:type="pct"/>
            <w:shd w:val="clear" w:color="auto" w:fill="auto"/>
          </w:tcPr>
          <w:p w14:paraId="54DB30CA" w14:textId="32396C4C" w:rsidR="000A1BE6" w:rsidRPr="00CE28E3" w:rsidRDefault="00AF71CB">
            <w:pPr>
              <w:pStyle w:val="TableText"/>
              <w:keepNext/>
              <w:jc w:val="center"/>
            </w:pPr>
            <w:r w:rsidRPr="000D235C">
              <w:t>1.81</w:t>
            </w:r>
            <w:r>
              <w:t xml:space="preserve"> </w:t>
            </w:r>
          </w:p>
        </w:tc>
        <w:tc>
          <w:tcPr>
            <w:tcW w:w="1101" w:type="pct"/>
            <w:shd w:val="clear" w:color="auto" w:fill="auto"/>
          </w:tcPr>
          <w:p w14:paraId="77EB98E2" w14:textId="5FFC7613" w:rsidR="000A1BE6" w:rsidRPr="00CE28E3" w:rsidRDefault="000A1BE6">
            <w:pPr>
              <w:pStyle w:val="TableText"/>
              <w:keepNext/>
              <w:jc w:val="center"/>
            </w:pPr>
            <w:r w:rsidRPr="00D854B4">
              <w:t>2.00</w:t>
            </w:r>
            <w:r>
              <w:t xml:space="preserve"> </w:t>
            </w:r>
          </w:p>
        </w:tc>
        <w:tc>
          <w:tcPr>
            <w:tcW w:w="1150" w:type="pct"/>
            <w:shd w:val="clear" w:color="auto" w:fill="auto"/>
          </w:tcPr>
          <w:p w14:paraId="24551EB3" w14:textId="48D4366F" w:rsidR="000A1BE6" w:rsidRPr="00CE28E3" w:rsidRDefault="000A1BE6">
            <w:pPr>
              <w:pStyle w:val="TableText"/>
              <w:keepNext/>
              <w:jc w:val="center"/>
            </w:pPr>
            <w:r>
              <w:t>-</w:t>
            </w:r>
            <w:r w:rsidRPr="00D854B4">
              <w:t>0.</w:t>
            </w:r>
            <w:r w:rsidR="007112AD">
              <w:t xml:space="preserve">19 </w:t>
            </w:r>
          </w:p>
        </w:tc>
      </w:tr>
      <w:tr w:rsidR="000A1BE6" w:rsidRPr="00CE28E3" w14:paraId="40E04A37" w14:textId="77777777" w:rsidTr="008F202C">
        <w:trPr>
          <w:cantSplit/>
        </w:trPr>
        <w:tc>
          <w:tcPr>
            <w:tcW w:w="1648" w:type="pct"/>
            <w:shd w:val="clear" w:color="auto" w:fill="auto"/>
          </w:tcPr>
          <w:p w14:paraId="171DD9BE" w14:textId="6AE291AF" w:rsidR="000A1BE6" w:rsidRPr="00CE28E3" w:rsidRDefault="003C1A78">
            <w:pPr>
              <w:pStyle w:val="TableText"/>
              <w:keepNext/>
            </w:pPr>
            <w:r>
              <w:t>Echocardiogra</w:t>
            </w:r>
            <w:r w:rsidR="00280B21">
              <w:t>phy</w:t>
            </w:r>
            <w:r>
              <w:t xml:space="preserve"> </w:t>
            </w:r>
            <w:r w:rsidR="000A1BE6">
              <w:t>delivered</w:t>
            </w:r>
          </w:p>
        </w:tc>
        <w:tc>
          <w:tcPr>
            <w:tcW w:w="1101" w:type="pct"/>
            <w:shd w:val="clear" w:color="auto" w:fill="auto"/>
          </w:tcPr>
          <w:p w14:paraId="6F371BDF" w14:textId="73CC1FA3" w:rsidR="000A1BE6" w:rsidRPr="00CE28E3" w:rsidRDefault="00EF359B">
            <w:pPr>
              <w:pStyle w:val="TableText"/>
              <w:keepNext/>
              <w:jc w:val="center"/>
            </w:pPr>
            <w:r w:rsidRPr="00EF359B">
              <w:t>0.56</w:t>
            </w:r>
          </w:p>
        </w:tc>
        <w:tc>
          <w:tcPr>
            <w:tcW w:w="1101" w:type="pct"/>
            <w:shd w:val="clear" w:color="auto" w:fill="auto"/>
          </w:tcPr>
          <w:p w14:paraId="30352FA7" w14:textId="77777777" w:rsidR="000A1BE6" w:rsidRPr="00CE28E3" w:rsidRDefault="000A1BE6">
            <w:pPr>
              <w:pStyle w:val="TableText"/>
              <w:keepNext/>
              <w:jc w:val="center"/>
            </w:pPr>
            <w:r w:rsidRPr="00D854B4">
              <w:t>1.00</w:t>
            </w:r>
          </w:p>
        </w:tc>
        <w:tc>
          <w:tcPr>
            <w:tcW w:w="1150" w:type="pct"/>
            <w:shd w:val="clear" w:color="auto" w:fill="auto"/>
          </w:tcPr>
          <w:p w14:paraId="0371D40B" w14:textId="10FBD9D1" w:rsidR="000A1BE6" w:rsidRPr="00CE28E3" w:rsidRDefault="000A1BE6">
            <w:pPr>
              <w:pStyle w:val="TableText"/>
              <w:keepNext/>
              <w:jc w:val="center"/>
            </w:pPr>
            <w:r>
              <w:t>-</w:t>
            </w:r>
            <w:r w:rsidRPr="00D854B4">
              <w:t>0.</w:t>
            </w:r>
            <w:r w:rsidR="00D45A2B">
              <w:t>44</w:t>
            </w:r>
          </w:p>
        </w:tc>
      </w:tr>
    </w:tbl>
    <w:p w14:paraId="6123D681" w14:textId="77777777" w:rsidR="00B21D0C" w:rsidRDefault="00B21D0C" w:rsidP="00B21D0C">
      <w:pPr>
        <w:pStyle w:val="Tablenotes0"/>
      </w:pPr>
      <w:r w:rsidRPr="00FF725D">
        <w:rPr>
          <w:b/>
          <w:bCs/>
        </w:rPr>
        <w:t>Abbreviations:</w:t>
      </w:r>
      <w:r>
        <w:t xml:space="preserve"> HF, heart failure; NT-</w:t>
      </w:r>
      <w:proofErr w:type="spellStart"/>
      <w:r>
        <w:t>proBNP</w:t>
      </w:r>
      <w:proofErr w:type="spellEnd"/>
      <w:r>
        <w:t xml:space="preserve">, </w:t>
      </w:r>
      <w:r w:rsidRPr="004A1258">
        <w:rPr>
          <w:szCs w:val="20"/>
        </w:rPr>
        <w:t>N-terminal-pro brain natriuretic peptide</w:t>
      </w:r>
      <w:r>
        <w:t>.</w:t>
      </w:r>
    </w:p>
    <w:p w14:paraId="778BFDDD" w14:textId="30E6DAC7" w:rsidR="000A1BE6" w:rsidRDefault="000A1BE6">
      <w:pPr>
        <w:pStyle w:val="Tablenotes0"/>
      </w:pPr>
      <w:r w:rsidRPr="00FF725D">
        <w:rPr>
          <w:b/>
          <w:bCs/>
        </w:rPr>
        <w:t>Source:</w:t>
      </w:r>
      <w:r w:rsidRPr="008F202C">
        <w:t xml:space="preserve"> </w:t>
      </w:r>
      <w:r w:rsidR="009641C3">
        <w:t>Adapted from c</w:t>
      </w:r>
      <w:r w:rsidR="001F16B2" w:rsidRPr="008F202C">
        <w:t>ommentary Table 1</w:t>
      </w:r>
      <w:r w:rsidR="009641C3">
        <w:t>8</w:t>
      </w:r>
      <w:r w:rsidRPr="008F202C">
        <w:t xml:space="preserve"> </w:t>
      </w:r>
      <w:r>
        <w:t>from MSAC 1740 ADAR+ in-line commentary</w:t>
      </w:r>
    </w:p>
    <w:p w14:paraId="703144D0" w14:textId="00A74FE1" w:rsidR="00611ADE" w:rsidRDefault="00611ADE" w:rsidP="008F202C">
      <w:r>
        <w:t xml:space="preserve">Key drivers of the results are </w:t>
      </w:r>
      <w:r w:rsidR="008013C3">
        <w:t>summarised</w:t>
      </w:r>
      <w:r>
        <w:t xml:space="preserve"> in </w:t>
      </w:r>
      <w:r w:rsidR="00174FCE">
        <w:fldChar w:fldCharType="begin"/>
      </w:r>
      <w:r w:rsidR="00174FCE">
        <w:instrText xml:space="preserve"> REF _Ref69726321 \h </w:instrText>
      </w:r>
      <w:r w:rsidR="00174FCE">
        <w:fldChar w:fldCharType="separate"/>
      </w:r>
      <w:r w:rsidR="00472DB9" w:rsidRPr="00CE28E3">
        <w:t>Table</w:t>
      </w:r>
      <w:r w:rsidR="00472DB9">
        <w:t> </w:t>
      </w:r>
      <w:r w:rsidR="00472DB9">
        <w:rPr>
          <w:noProof/>
        </w:rPr>
        <w:t>16</w:t>
      </w:r>
      <w:r w:rsidR="00174FCE">
        <w:fldChar w:fldCharType="end"/>
      </w:r>
      <w:r w:rsidR="00174FCE">
        <w:t>.</w:t>
      </w:r>
    </w:p>
    <w:p w14:paraId="19C797DE" w14:textId="5ABFFBEB" w:rsidR="001A6F45" w:rsidRPr="00CE28E3" w:rsidRDefault="001A6F45" w:rsidP="001A6F45">
      <w:pPr>
        <w:pStyle w:val="Caption"/>
      </w:pPr>
      <w:bookmarkStart w:id="40" w:name="_Ref69726321"/>
      <w:r w:rsidRPr="00CE28E3">
        <w:t>Table</w:t>
      </w:r>
      <w:r>
        <w:t> </w:t>
      </w:r>
      <w:r>
        <w:fldChar w:fldCharType="begin"/>
      </w:r>
      <w:r>
        <w:instrText>SEQ Table \* ARABIC</w:instrText>
      </w:r>
      <w:r>
        <w:fldChar w:fldCharType="separate"/>
      </w:r>
      <w:r w:rsidR="00472DB9">
        <w:rPr>
          <w:noProof/>
        </w:rPr>
        <w:t>16</w:t>
      </w:r>
      <w:r>
        <w:fldChar w:fldCharType="end"/>
      </w:r>
      <w:bookmarkEnd w:id="40"/>
      <w:r w:rsidRPr="00CE28E3">
        <w:tab/>
        <w:t>Key drivers of the model</w:t>
      </w:r>
    </w:p>
    <w:tbl>
      <w:tblPr>
        <w:tblStyle w:val="TableGrid1"/>
        <w:tblW w:w="0" w:type="auto"/>
        <w:tblCellMar>
          <w:left w:w="28" w:type="dxa"/>
          <w:right w:w="28" w:type="dxa"/>
        </w:tblCellMar>
        <w:tblLook w:val="04A0" w:firstRow="1" w:lastRow="0" w:firstColumn="1" w:lastColumn="0" w:noHBand="0" w:noVBand="1"/>
        <w:tblCaption w:val="Key drivers of the model"/>
        <w:tblDescription w:val="The table shows the key drivers of the model, including the impact of each diver."/>
      </w:tblPr>
      <w:tblGrid>
        <w:gridCol w:w="2464"/>
        <w:gridCol w:w="4052"/>
        <w:gridCol w:w="2500"/>
      </w:tblGrid>
      <w:tr w:rsidR="00515980" w:rsidRPr="00CE28E3" w14:paraId="76DB80C1" w14:textId="77777777" w:rsidTr="008F202C">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Mar>
              <w:left w:w="108" w:type="dxa"/>
              <w:right w:w="108" w:type="dxa"/>
            </w:tcMar>
            <w:vAlign w:val="center"/>
          </w:tcPr>
          <w:p w14:paraId="1919EF13" w14:textId="77777777" w:rsidR="001A6F45" w:rsidRPr="00515980" w:rsidRDefault="001A6F45" w:rsidP="008F202C">
            <w:pPr>
              <w:pStyle w:val="TableHeading0"/>
            </w:pPr>
            <w:bookmarkStart w:id="41" w:name="Title_Table10" w:colFirst="0" w:colLast="0"/>
            <w:bookmarkStart w:id="42" w:name="_Hlk68276626"/>
            <w:r w:rsidRPr="00515980">
              <w:t>Description</w:t>
            </w:r>
          </w:p>
        </w:tc>
        <w:tc>
          <w:tcPr>
            <w:tcW w:w="4052" w:type="dxa"/>
            <w:shd w:val="clear" w:color="auto" w:fill="auto"/>
            <w:tcMar>
              <w:left w:w="108" w:type="dxa"/>
              <w:right w:w="108" w:type="dxa"/>
            </w:tcMar>
            <w:vAlign w:val="center"/>
          </w:tcPr>
          <w:p w14:paraId="12F57410" w14:textId="77777777" w:rsidR="001A6F45" w:rsidRPr="00515980" w:rsidRDefault="001A6F45" w:rsidP="008F202C">
            <w:pPr>
              <w:pStyle w:val="TableHeading0"/>
            </w:pPr>
            <w:r w:rsidRPr="00515980">
              <w:t>Method/Value</w:t>
            </w:r>
          </w:p>
        </w:tc>
        <w:tc>
          <w:tcPr>
            <w:tcW w:w="2500" w:type="dxa"/>
            <w:shd w:val="clear" w:color="auto" w:fill="auto"/>
            <w:tcMar>
              <w:left w:w="108" w:type="dxa"/>
              <w:right w:w="108" w:type="dxa"/>
            </w:tcMar>
            <w:vAlign w:val="center"/>
          </w:tcPr>
          <w:p w14:paraId="523036DB" w14:textId="32C23E5C" w:rsidR="001A6F45" w:rsidRPr="00515980" w:rsidRDefault="001A6F45" w:rsidP="008F202C">
            <w:pPr>
              <w:pStyle w:val="TableHeading0"/>
            </w:pPr>
            <w:r w:rsidRPr="00515980">
              <w:t>Impact</w:t>
            </w:r>
          </w:p>
        </w:tc>
      </w:tr>
      <w:bookmarkEnd w:id="41"/>
      <w:tr w:rsidR="00515980" w:rsidRPr="00CE28E3" w14:paraId="72C26AAA" w14:textId="77777777" w:rsidTr="008F202C">
        <w:tc>
          <w:tcPr>
            <w:tcW w:w="0" w:type="auto"/>
            <w:shd w:val="clear" w:color="auto" w:fill="auto"/>
            <w:tcMar>
              <w:left w:w="108" w:type="dxa"/>
              <w:right w:w="108" w:type="dxa"/>
            </w:tcMar>
          </w:tcPr>
          <w:p w14:paraId="2E12459B" w14:textId="0499E7CD" w:rsidR="001A6F45" w:rsidRPr="008F202C" w:rsidRDefault="001A1271" w:rsidP="008F202C">
            <w:pPr>
              <w:pStyle w:val="TableText"/>
            </w:pPr>
            <w:r w:rsidRPr="008F202C">
              <w:t>Uptake rate of echocardiography</w:t>
            </w:r>
          </w:p>
        </w:tc>
        <w:tc>
          <w:tcPr>
            <w:tcW w:w="4052" w:type="dxa"/>
            <w:shd w:val="clear" w:color="auto" w:fill="auto"/>
            <w:tcMar>
              <w:left w:w="108" w:type="dxa"/>
              <w:right w:w="108" w:type="dxa"/>
            </w:tcMar>
          </w:tcPr>
          <w:p w14:paraId="4D873582" w14:textId="6968E8A0" w:rsidR="001A6F45" w:rsidRPr="008F202C" w:rsidRDefault="00232FC5" w:rsidP="00280B21">
            <w:pPr>
              <w:pStyle w:val="TableText"/>
            </w:pPr>
            <w:r w:rsidRPr="008F202C">
              <w:t xml:space="preserve">Model assumes 100% in </w:t>
            </w:r>
            <w:r w:rsidR="00241E8F" w:rsidRPr="008F202C">
              <w:t xml:space="preserve">comparator (patients with suspected but uncertain HF) and 100% in intervention test positive population and 0% in intervention test </w:t>
            </w:r>
            <w:r w:rsidR="00A2283F">
              <w:t xml:space="preserve">true </w:t>
            </w:r>
            <w:r w:rsidR="00241E8F" w:rsidRPr="008F202C">
              <w:t>negative population</w:t>
            </w:r>
            <w:r w:rsidR="00450D57" w:rsidRPr="008F202C">
              <w:t xml:space="preserve"> (</w:t>
            </w:r>
            <w:proofErr w:type="gramStart"/>
            <w:r w:rsidR="00450D57" w:rsidRPr="008F202C">
              <w:t>i.e.</w:t>
            </w:r>
            <w:proofErr w:type="gramEnd"/>
            <w:r w:rsidR="00450D57" w:rsidRPr="008F202C">
              <w:t xml:space="preserve"> perfect adherence to test results/clinical practice guidelines)</w:t>
            </w:r>
            <w:r w:rsidR="0004641E">
              <w:t>.</w:t>
            </w:r>
          </w:p>
        </w:tc>
        <w:tc>
          <w:tcPr>
            <w:tcW w:w="2500" w:type="dxa"/>
            <w:shd w:val="clear" w:color="auto" w:fill="auto"/>
            <w:tcMar>
              <w:left w:w="108" w:type="dxa"/>
              <w:right w:w="108" w:type="dxa"/>
            </w:tcMar>
          </w:tcPr>
          <w:p w14:paraId="7F8A9246" w14:textId="481CDDBB" w:rsidR="001A6F45" w:rsidRPr="008F202C" w:rsidRDefault="001A6F45" w:rsidP="008F202C">
            <w:pPr>
              <w:pStyle w:val="TableText"/>
            </w:pPr>
            <w:r w:rsidRPr="008F202C">
              <w:t>High</w:t>
            </w:r>
            <w:r w:rsidR="008013C3">
              <w:br/>
              <w:t>F</w:t>
            </w:r>
            <w:r w:rsidRPr="008F202C">
              <w:t xml:space="preserve">avours </w:t>
            </w:r>
            <w:r w:rsidR="00241E8F" w:rsidRPr="008F202C">
              <w:t>NT-</w:t>
            </w:r>
            <w:proofErr w:type="spellStart"/>
            <w:r w:rsidR="00241E8F" w:rsidRPr="008F202C">
              <w:t>proBNP</w:t>
            </w:r>
            <w:proofErr w:type="spellEnd"/>
          </w:p>
        </w:tc>
      </w:tr>
      <w:tr w:rsidR="00515980" w:rsidRPr="00CE28E3" w14:paraId="5B664457" w14:textId="77777777" w:rsidTr="008F202C">
        <w:tc>
          <w:tcPr>
            <w:tcW w:w="0" w:type="auto"/>
            <w:shd w:val="clear" w:color="auto" w:fill="auto"/>
            <w:tcMar>
              <w:left w:w="108" w:type="dxa"/>
              <w:right w:w="108" w:type="dxa"/>
            </w:tcMar>
          </w:tcPr>
          <w:p w14:paraId="4F0BA103" w14:textId="056ADDFB" w:rsidR="001A6F45" w:rsidRPr="008F202C" w:rsidRDefault="0039794A" w:rsidP="008F202C">
            <w:pPr>
              <w:pStyle w:val="TableText"/>
            </w:pPr>
            <w:r w:rsidRPr="008F202C">
              <w:t xml:space="preserve">Wait times for </w:t>
            </w:r>
            <w:r w:rsidR="003E747B" w:rsidRPr="008F202C">
              <w:t>echocardiogram and for test results (NT-</w:t>
            </w:r>
            <w:proofErr w:type="spellStart"/>
            <w:r w:rsidR="003E747B" w:rsidRPr="008F202C">
              <w:t>proBNP</w:t>
            </w:r>
            <w:proofErr w:type="spellEnd"/>
            <w:r w:rsidR="003E747B" w:rsidRPr="008F202C">
              <w:t xml:space="preserve"> and echocardiogram) </w:t>
            </w:r>
          </w:p>
        </w:tc>
        <w:tc>
          <w:tcPr>
            <w:tcW w:w="4052" w:type="dxa"/>
            <w:shd w:val="clear" w:color="auto" w:fill="auto"/>
            <w:tcMar>
              <w:left w:w="108" w:type="dxa"/>
              <w:right w:w="108" w:type="dxa"/>
            </w:tcMar>
          </w:tcPr>
          <w:p w14:paraId="1859D66F" w14:textId="77777777" w:rsidR="001A6F45" w:rsidRPr="008F202C" w:rsidRDefault="009B214F" w:rsidP="00280B21">
            <w:pPr>
              <w:pStyle w:val="TableText"/>
            </w:pPr>
            <w:r w:rsidRPr="008F202C">
              <w:t xml:space="preserve">Values in model are </w:t>
            </w:r>
            <w:proofErr w:type="gramStart"/>
            <w:r w:rsidRPr="008F202C">
              <w:t>assumptions</w:t>
            </w:r>
            <w:proofErr w:type="gramEnd"/>
          </w:p>
          <w:p w14:paraId="0C2CCAC2" w14:textId="17955187" w:rsidR="00434778" w:rsidRPr="008F202C" w:rsidRDefault="00434778" w:rsidP="00280B21">
            <w:pPr>
              <w:pStyle w:val="TableText"/>
            </w:pPr>
            <w:r w:rsidRPr="008F202C">
              <w:t>Model did not include wait times for echocardiography results</w:t>
            </w:r>
          </w:p>
        </w:tc>
        <w:tc>
          <w:tcPr>
            <w:tcW w:w="2500" w:type="dxa"/>
            <w:shd w:val="clear" w:color="auto" w:fill="auto"/>
            <w:tcMar>
              <w:left w:w="108" w:type="dxa"/>
              <w:right w:w="108" w:type="dxa"/>
            </w:tcMar>
          </w:tcPr>
          <w:p w14:paraId="051ED3D7" w14:textId="79E32957" w:rsidR="00B73EF4" w:rsidRPr="008F202C" w:rsidRDefault="00AF25D4" w:rsidP="008F202C">
            <w:pPr>
              <w:pStyle w:val="TableText"/>
            </w:pPr>
            <w:r w:rsidRPr="008F202C">
              <w:t>Moderate</w:t>
            </w:r>
            <w:r w:rsidR="008013C3">
              <w:br/>
              <w:t>S</w:t>
            </w:r>
            <w:r w:rsidR="00C7213D" w:rsidRPr="008F202C">
              <w:t>horter</w:t>
            </w:r>
            <w:r w:rsidRPr="008F202C">
              <w:t xml:space="preserve"> wait times for NT-</w:t>
            </w:r>
            <w:proofErr w:type="spellStart"/>
            <w:r w:rsidRPr="008F202C">
              <w:t>proBNP</w:t>
            </w:r>
            <w:proofErr w:type="spellEnd"/>
            <w:r w:rsidRPr="008F202C">
              <w:t xml:space="preserve"> test results</w:t>
            </w:r>
            <w:r w:rsidR="00C7213D" w:rsidRPr="008F202C">
              <w:t xml:space="preserve"> favour NT-</w:t>
            </w:r>
            <w:proofErr w:type="spellStart"/>
            <w:r w:rsidR="00C7213D" w:rsidRPr="008F202C">
              <w:t>proBNP</w:t>
            </w:r>
            <w:proofErr w:type="spellEnd"/>
          </w:p>
        </w:tc>
      </w:tr>
      <w:tr w:rsidR="00515980" w:rsidRPr="00CE28E3" w14:paraId="2396A06C" w14:textId="77777777" w:rsidTr="008F202C">
        <w:tc>
          <w:tcPr>
            <w:tcW w:w="0" w:type="auto"/>
            <w:shd w:val="clear" w:color="auto" w:fill="auto"/>
            <w:tcMar>
              <w:left w:w="108" w:type="dxa"/>
              <w:right w:w="108" w:type="dxa"/>
            </w:tcMar>
          </w:tcPr>
          <w:p w14:paraId="58515B4F" w14:textId="736F681D" w:rsidR="001A6F45" w:rsidRPr="008F202C" w:rsidRDefault="00EC26D4" w:rsidP="008F202C">
            <w:pPr>
              <w:pStyle w:val="TableText"/>
            </w:pPr>
            <w:r w:rsidRPr="008F202C">
              <w:t>Wait time for re-presentation following false negative NT-</w:t>
            </w:r>
            <w:proofErr w:type="spellStart"/>
            <w:r w:rsidRPr="008F202C">
              <w:t>proBNP</w:t>
            </w:r>
            <w:proofErr w:type="spellEnd"/>
            <w:r w:rsidRPr="008F202C">
              <w:t xml:space="preserve"> test</w:t>
            </w:r>
          </w:p>
        </w:tc>
        <w:tc>
          <w:tcPr>
            <w:tcW w:w="4052" w:type="dxa"/>
            <w:shd w:val="clear" w:color="auto" w:fill="auto"/>
            <w:tcMar>
              <w:left w:w="108" w:type="dxa"/>
              <w:right w:w="108" w:type="dxa"/>
            </w:tcMar>
          </w:tcPr>
          <w:p w14:paraId="4428D498" w14:textId="55193F76" w:rsidR="001A6F45" w:rsidRPr="008F202C" w:rsidRDefault="006A4F19" w:rsidP="00280B21">
            <w:pPr>
              <w:pStyle w:val="TableText"/>
            </w:pPr>
            <w:r w:rsidRPr="008F202C">
              <w:t>Value in mode</w:t>
            </w:r>
            <w:r w:rsidR="008013C3">
              <w:t>l</w:t>
            </w:r>
            <w:r w:rsidRPr="008F202C">
              <w:t xml:space="preserve"> based on assumption</w:t>
            </w:r>
          </w:p>
        </w:tc>
        <w:tc>
          <w:tcPr>
            <w:tcW w:w="2500" w:type="dxa"/>
            <w:shd w:val="clear" w:color="auto" w:fill="auto"/>
            <w:tcMar>
              <w:left w:w="108" w:type="dxa"/>
              <w:right w:w="108" w:type="dxa"/>
            </w:tcMar>
          </w:tcPr>
          <w:p w14:paraId="6D709E76" w14:textId="1AB5DE67" w:rsidR="001A6F45" w:rsidRPr="008F202C" w:rsidRDefault="00CC14A6" w:rsidP="008F202C">
            <w:pPr>
              <w:pStyle w:val="TableText"/>
            </w:pPr>
            <w:r w:rsidRPr="008F202C">
              <w:t>Moderate</w:t>
            </w:r>
            <w:r w:rsidR="008013C3">
              <w:br/>
              <w:t>S</w:t>
            </w:r>
            <w:r w:rsidRPr="008F202C">
              <w:t>horter wait times for re-presentation favour NT-</w:t>
            </w:r>
            <w:proofErr w:type="spellStart"/>
            <w:r w:rsidRPr="008F202C">
              <w:t>proBNP</w:t>
            </w:r>
            <w:proofErr w:type="spellEnd"/>
          </w:p>
        </w:tc>
      </w:tr>
      <w:tr w:rsidR="00515980" w:rsidRPr="00CE28E3" w14:paraId="467267AC" w14:textId="77777777" w:rsidTr="008F202C">
        <w:tc>
          <w:tcPr>
            <w:tcW w:w="0" w:type="auto"/>
            <w:shd w:val="clear" w:color="auto" w:fill="auto"/>
            <w:tcMar>
              <w:left w:w="108" w:type="dxa"/>
              <w:right w:w="108" w:type="dxa"/>
            </w:tcMar>
          </w:tcPr>
          <w:p w14:paraId="17EF0580" w14:textId="4762D16E" w:rsidR="00EC26D4" w:rsidRPr="008F202C" w:rsidRDefault="00EC26D4" w:rsidP="008F202C">
            <w:pPr>
              <w:pStyle w:val="TableText"/>
            </w:pPr>
            <w:r w:rsidRPr="008F202C">
              <w:t>Test specificity</w:t>
            </w:r>
          </w:p>
        </w:tc>
        <w:tc>
          <w:tcPr>
            <w:tcW w:w="4052" w:type="dxa"/>
            <w:shd w:val="clear" w:color="auto" w:fill="auto"/>
            <w:tcMar>
              <w:left w:w="108" w:type="dxa"/>
              <w:right w:w="108" w:type="dxa"/>
            </w:tcMar>
          </w:tcPr>
          <w:p w14:paraId="165C4323" w14:textId="77777777" w:rsidR="00007434" w:rsidRPr="00E45992" w:rsidRDefault="002B2A0C" w:rsidP="00280B21">
            <w:pPr>
              <w:pStyle w:val="TableText"/>
            </w:pPr>
            <w:r w:rsidRPr="008F202C">
              <w:t xml:space="preserve">Varies across primary </w:t>
            </w:r>
            <w:proofErr w:type="gramStart"/>
            <w:r w:rsidRPr="008F202C">
              <w:t>studies</w:t>
            </w:r>
            <w:proofErr w:type="gramEnd"/>
            <w:r w:rsidR="00A32227" w:rsidRPr="008F202C">
              <w:t xml:space="preserve"> </w:t>
            </w:r>
          </w:p>
          <w:p w14:paraId="47B2C615" w14:textId="1D9FCBDB" w:rsidR="00EC26D4" w:rsidRPr="008F202C" w:rsidRDefault="00A32227" w:rsidP="00280B21">
            <w:pPr>
              <w:pStyle w:val="TableText"/>
            </w:pPr>
            <w:r w:rsidRPr="008F202C">
              <w:t>Pooled data from NICE (2018) used</w:t>
            </w:r>
          </w:p>
        </w:tc>
        <w:tc>
          <w:tcPr>
            <w:tcW w:w="2500" w:type="dxa"/>
            <w:shd w:val="clear" w:color="auto" w:fill="auto"/>
            <w:tcMar>
              <w:left w:w="108" w:type="dxa"/>
              <w:right w:w="108" w:type="dxa"/>
            </w:tcMar>
          </w:tcPr>
          <w:p w14:paraId="3065F184" w14:textId="01304A5A" w:rsidR="00EC26D4" w:rsidRPr="008F202C" w:rsidRDefault="00A32227" w:rsidP="008F202C">
            <w:pPr>
              <w:pStyle w:val="TableText"/>
            </w:pPr>
            <w:r w:rsidRPr="008F202C">
              <w:t>High</w:t>
            </w:r>
            <w:r w:rsidR="008013C3">
              <w:br/>
              <w:t>H</w:t>
            </w:r>
            <w:r w:rsidR="00BF3883" w:rsidRPr="008F202C">
              <w:t>igher specificity favours NT-</w:t>
            </w:r>
            <w:proofErr w:type="spellStart"/>
            <w:r w:rsidR="00BF3883" w:rsidRPr="008F202C">
              <w:t>proBNP</w:t>
            </w:r>
            <w:proofErr w:type="spellEnd"/>
          </w:p>
        </w:tc>
      </w:tr>
    </w:tbl>
    <w:p w14:paraId="44879FE4" w14:textId="1FB950E3" w:rsidR="001A6F45" w:rsidRDefault="00515980" w:rsidP="008F202C">
      <w:pPr>
        <w:pStyle w:val="Tablenotes0"/>
      </w:pPr>
      <w:bookmarkStart w:id="43" w:name="_Hlk68276635"/>
      <w:bookmarkEnd w:id="42"/>
      <w:r w:rsidRPr="00FF725D">
        <w:rPr>
          <w:b/>
          <w:bCs/>
        </w:rPr>
        <w:t>Abbreviations:</w:t>
      </w:r>
      <w:r>
        <w:t xml:space="preserve"> </w:t>
      </w:r>
      <w:r w:rsidR="00056C0C">
        <w:t>HF</w:t>
      </w:r>
      <w:r>
        <w:t>, h</w:t>
      </w:r>
      <w:r w:rsidR="00056C0C">
        <w:t>eart failure</w:t>
      </w:r>
      <w:bookmarkEnd w:id="43"/>
      <w:r>
        <w:t xml:space="preserve">; NICE, National Institute for </w:t>
      </w:r>
      <w:r w:rsidR="00E45992">
        <w:t>Health and Care Excellence;</w:t>
      </w:r>
      <w:r>
        <w:t xml:space="preserve"> NT-</w:t>
      </w:r>
      <w:proofErr w:type="spellStart"/>
      <w:r>
        <w:t>proBNP</w:t>
      </w:r>
      <w:proofErr w:type="spellEnd"/>
      <w:r>
        <w:t xml:space="preserve">, </w:t>
      </w:r>
      <w:r w:rsidRPr="004A1258">
        <w:rPr>
          <w:szCs w:val="20"/>
        </w:rPr>
        <w:t>N-terminal-pro brain natriuretic peptide</w:t>
      </w:r>
      <w:r>
        <w:t>.</w:t>
      </w:r>
    </w:p>
    <w:p w14:paraId="5BAB4539" w14:textId="65CBCE16" w:rsidR="00B328FF" w:rsidRDefault="00B328FF" w:rsidP="008F202C">
      <w:pPr>
        <w:pStyle w:val="Tablenotes0"/>
      </w:pPr>
      <w:r w:rsidRPr="00FF725D">
        <w:rPr>
          <w:b/>
          <w:bCs/>
        </w:rPr>
        <w:t>Source:</w:t>
      </w:r>
      <w:r>
        <w:t xml:space="preserve"> Derived from </w:t>
      </w:r>
      <w:r w:rsidR="00F15E46">
        <w:t xml:space="preserve">Section </w:t>
      </w:r>
      <w:r w:rsidR="00795E5D">
        <w:t>3.2</w:t>
      </w:r>
      <w:r w:rsidR="001D5D05">
        <w:t xml:space="preserve"> of MSAC 1740 ADAR+ in-line commentary</w:t>
      </w:r>
    </w:p>
    <w:p w14:paraId="07FDF983" w14:textId="35B51E0C" w:rsidR="003C6CEC" w:rsidRDefault="003C6CEC" w:rsidP="002A54D2">
      <w:r>
        <w:t xml:space="preserve">The </w:t>
      </w:r>
      <w:r w:rsidR="000927D1">
        <w:t>ADAR’s sensitivity analys</w:t>
      </w:r>
      <w:r w:rsidR="00283B6C">
        <w:t>e</w:t>
      </w:r>
      <w:r w:rsidR="000927D1">
        <w:t xml:space="preserve">s reported that </w:t>
      </w:r>
      <w:r w:rsidR="00435C1D">
        <w:t>NT-</w:t>
      </w:r>
      <w:proofErr w:type="spellStart"/>
      <w:r w:rsidR="00435C1D">
        <w:t>proBNP</w:t>
      </w:r>
      <w:proofErr w:type="spellEnd"/>
      <w:r w:rsidR="00435C1D">
        <w:t xml:space="preserve"> ± echocardiography was </w:t>
      </w:r>
      <w:r w:rsidR="00F01815">
        <w:t>highly cost</w:t>
      </w:r>
      <w:r w:rsidR="00435C1D">
        <w:t xml:space="preserve"> effective</w:t>
      </w:r>
      <w:r w:rsidR="00221AC6">
        <w:t>, and dominant, in all plausible scenarios. The sensitivity analys</w:t>
      </w:r>
      <w:r w:rsidR="00283B6C">
        <w:t>e</w:t>
      </w:r>
      <w:r w:rsidR="00221AC6">
        <w:t>s undertaken by the commentary</w:t>
      </w:r>
      <w:r w:rsidR="00F01815">
        <w:t>, using the r</w:t>
      </w:r>
      <w:r w:rsidR="00283B6C">
        <w:t>evised</w:t>
      </w:r>
      <w:r w:rsidR="00F01815">
        <w:t xml:space="preserve"> base case, did not </w:t>
      </w:r>
      <w:r w:rsidR="00B2651B">
        <w:t>replicate</w:t>
      </w:r>
      <w:r w:rsidR="00F01815">
        <w:t xml:space="preserve"> this finding and is </w:t>
      </w:r>
      <w:r w:rsidR="00216FDC">
        <w:t>reported</w:t>
      </w:r>
      <w:r w:rsidR="00C90E85">
        <w:t xml:space="preserve"> here</w:t>
      </w:r>
      <w:r w:rsidR="00F01815">
        <w:t>.</w:t>
      </w:r>
    </w:p>
    <w:p w14:paraId="070467A5" w14:textId="4A97367C" w:rsidR="002A54D2" w:rsidRDefault="002A54D2" w:rsidP="002A54D2">
      <w:r w:rsidRPr="002A54D2">
        <w:t xml:space="preserve">As there was no diagnostic accuracy study </w:t>
      </w:r>
      <w:r w:rsidR="001030F3" w:rsidRPr="002A54D2">
        <w:t>at low risk of bias</w:t>
      </w:r>
      <w:r w:rsidRPr="002A54D2">
        <w:t xml:space="preserve"> </w:t>
      </w:r>
      <w:r w:rsidR="00A92BB4">
        <w:t>that</w:t>
      </w:r>
      <w:r w:rsidR="00A92BB4" w:rsidRPr="002A54D2">
        <w:t xml:space="preserve"> </w:t>
      </w:r>
      <w:r w:rsidRPr="002A54D2">
        <w:t xml:space="preserve">aligned with the PICO criteria, a sensitivity analysis </w:t>
      </w:r>
      <w:r w:rsidR="009421E1">
        <w:t>was</w:t>
      </w:r>
      <w:r w:rsidRPr="002A54D2">
        <w:t xml:space="preserve"> undertaken using data from the most applicable studies. This include</w:t>
      </w:r>
      <w:r w:rsidR="00F9171B">
        <w:t>d</w:t>
      </w:r>
      <w:r w:rsidRPr="002A54D2">
        <w:t xml:space="preserve"> the three studies </w:t>
      </w:r>
      <w:r w:rsidR="00F9171B">
        <w:t>that</w:t>
      </w:r>
      <w:r w:rsidR="00F9171B" w:rsidRPr="002A54D2">
        <w:t xml:space="preserve"> </w:t>
      </w:r>
      <w:r w:rsidR="00AA6B39">
        <w:t xml:space="preserve">were </w:t>
      </w:r>
      <w:r w:rsidRPr="002A54D2">
        <w:t>pooled</w:t>
      </w:r>
      <w:r w:rsidR="00AA6B39">
        <w:t xml:space="preserve"> in </w:t>
      </w:r>
      <w:r w:rsidR="00CB10BD">
        <w:t xml:space="preserve">the </w:t>
      </w:r>
      <w:r w:rsidR="00AA6B39">
        <w:t>NICE analysis</w:t>
      </w:r>
      <w:r w:rsidRPr="002A54D2">
        <w:t xml:space="preserve"> (</w:t>
      </w:r>
      <w:proofErr w:type="spellStart"/>
      <w:r w:rsidRPr="002A54D2">
        <w:t>Zaphiriou</w:t>
      </w:r>
      <w:proofErr w:type="spellEnd"/>
      <w:r w:rsidR="008E2B71">
        <w:t xml:space="preserve"> et al</w:t>
      </w:r>
      <w:r w:rsidR="00815160">
        <w:t>,</w:t>
      </w:r>
      <w:r w:rsidRPr="002A54D2">
        <w:t xml:space="preserve"> 2005; </w:t>
      </w:r>
      <w:proofErr w:type="spellStart"/>
      <w:r w:rsidRPr="002A54D2">
        <w:t>Verdu</w:t>
      </w:r>
      <w:proofErr w:type="spellEnd"/>
      <w:r w:rsidR="008E2B71">
        <w:t xml:space="preserve"> et al</w:t>
      </w:r>
      <w:r w:rsidR="00815160">
        <w:t>,</w:t>
      </w:r>
      <w:r w:rsidRPr="002A54D2">
        <w:t xml:space="preserve"> 2012; Taylor</w:t>
      </w:r>
      <w:r w:rsidR="008E2B71">
        <w:t xml:space="preserve"> et al</w:t>
      </w:r>
      <w:r w:rsidR="00815160">
        <w:t>,</w:t>
      </w:r>
      <w:r w:rsidRPr="002A54D2">
        <w:t xml:space="preserve"> 2017) and the patients with diagnosed but not confirmed HF from Hobbs </w:t>
      </w:r>
      <w:r w:rsidR="008E2B71">
        <w:t xml:space="preserve">et al </w:t>
      </w:r>
      <w:r w:rsidRPr="002A54D2">
        <w:t xml:space="preserve">(2002). Additionally, Taylor </w:t>
      </w:r>
      <w:r w:rsidR="008E2B71">
        <w:t xml:space="preserve">et al </w:t>
      </w:r>
      <w:r w:rsidRPr="002A54D2">
        <w:t xml:space="preserve">(2023) </w:t>
      </w:r>
      <w:r w:rsidR="00CB10BD">
        <w:t xml:space="preserve">was included </w:t>
      </w:r>
      <w:r w:rsidR="00F018A8">
        <w:t>at</w:t>
      </w:r>
      <w:r w:rsidRPr="002A54D2">
        <w:t xml:space="preserve"> a </w:t>
      </w:r>
      <w:r w:rsidR="00C64D48">
        <w:t>NT-</w:t>
      </w:r>
      <w:proofErr w:type="spellStart"/>
      <w:r w:rsidR="00C64D48">
        <w:t>proBNP</w:t>
      </w:r>
      <w:proofErr w:type="spellEnd"/>
      <w:r w:rsidRPr="002A54D2">
        <w:t xml:space="preserve"> threshold of 125</w:t>
      </w:r>
      <w:r w:rsidR="00CB10BD">
        <w:t xml:space="preserve"> </w:t>
      </w:r>
      <w:proofErr w:type="spellStart"/>
      <w:r w:rsidRPr="002A54D2">
        <w:t>pg</w:t>
      </w:r>
      <w:proofErr w:type="spellEnd"/>
      <w:r w:rsidRPr="002A54D2">
        <w:t>/m</w:t>
      </w:r>
      <w:r w:rsidR="009B2705">
        <w:t>L</w:t>
      </w:r>
      <w:r w:rsidRPr="002A54D2">
        <w:t xml:space="preserve"> </w:t>
      </w:r>
      <w:r w:rsidRPr="002A54D2">
        <w:lastRenderedPageBreak/>
        <w:t>due to having a mid-range specificity. The analysis align</w:t>
      </w:r>
      <w:r w:rsidR="00184A83">
        <w:t>ed</w:t>
      </w:r>
      <w:r w:rsidRPr="002A54D2">
        <w:t xml:space="preserve"> with the findings of NICE (2018) that outcomes </w:t>
      </w:r>
      <w:r w:rsidR="00E71522">
        <w:t>we</w:t>
      </w:r>
      <w:r w:rsidRPr="002A54D2">
        <w:t>re most sensitiv</w:t>
      </w:r>
      <w:r w:rsidR="00765337">
        <w:t>e</w:t>
      </w:r>
      <w:r w:rsidRPr="002A54D2">
        <w:t xml:space="preserve"> to test specificity. Although there was generally a high sensitivity of the test across the diagnostic studies, specificity varied and at low specificities the test </w:t>
      </w:r>
      <w:r w:rsidR="00FE0B63">
        <w:t>wa</w:t>
      </w:r>
      <w:r w:rsidRPr="002A54D2">
        <w:t>s no longer cost saving</w:t>
      </w:r>
      <w:r w:rsidR="00F95FE7">
        <w:t>,</w:t>
      </w:r>
      <w:r w:rsidRPr="002A54D2">
        <w:t xml:space="preserve"> even in a model in which perfect guideline adherence </w:t>
      </w:r>
      <w:r w:rsidR="00FE0B63">
        <w:t>wa</w:t>
      </w:r>
      <w:r w:rsidRPr="002A54D2">
        <w:t>s assumed</w:t>
      </w:r>
      <w:r w:rsidR="000569C8">
        <w:t xml:space="preserve"> (</w:t>
      </w:r>
      <w:r w:rsidR="000569C8">
        <w:fldChar w:fldCharType="begin"/>
      </w:r>
      <w:r w:rsidR="000569C8">
        <w:instrText xml:space="preserve"> REF _Ref141824707 \h </w:instrText>
      </w:r>
      <w:r w:rsidR="000569C8">
        <w:fldChar w:fldCharType="separate"/>
      </w:r>
      <w:r w:rsidR="00472DB9">
        <w:t xml:space="preserve">Table </w:t>
      </w:r>
      <w:r w:rsidR="00472DB9">
        <w:rPr>
          <w:noProof/>
        </w:rPr>
        <w:t>17</w:t>
      </w:r>
      <w:r w:rsidR="000569C8">
        <w:fldChar w:fldCharType="end"/>
      </w:r>
      <w:r w:rsidR="000569C8">
        <w:t>)</w:t>
      </w:r>
      <w:r w:rsidR="00F23DB3">
        <w:t>.</w:t>
      </w:r>
    </w:p>
    <w:p w14:paraId="7939EDC3" w14:textId="1C65BF12" w:rsidR="000569C8" w:rsidRDefault="000569C8" w:rsidP="000569C8">
      <w:pPr>
        <w:pStyle w:val="Caption"/>
      </w:pPr>
      <w:bookmarkStart w:id="44" w:name="_Ref141824707"/>
      <w:r>
        <w:t xml:space="preserve">Table </w:t>
      </w:r>
      <w:r>
        <w:fldChar w:fldCharType="begin"/>
      </w:r>
      <w:r>
        <w:instrText>SEQ Table \* ARABIC</w:instrText>
      </w:r>
      <w:r>
        <w:fldChar w:fldCharType="separate"/>
      </w:r>
      <w:r w:rsidR="00472DB9">
        <w:rPr>
          <w:noProof/>
        </w:rPr>
        <w:t>17</w:t>
      </w:r>
      <w:r>
        <w:fldChar w:fldCharType="end"/>
      </w:r>
      <w:bookmarkEnd w:id="44"/>
      <w:r>
        <w:tab/>
      </w:r>
      <w:r w:rsidR="00951A7A">
        <w:t>Commentary s</w:t>
      </w:r>
      <w:r w:rsidRPr="000569C8">
        <w:t>ensitivity analysis</w:t>
      </w:r>
    </w:p>
    <w:tbl>
      <w:tblPr>
        <w:tblStyle w:val="TableGrid"/>
        <w:tblW w:w="0" w:type="auto"/>
        <w:tblLayout w:type="fixed"/>
        <w:tblLook w:val="04A0" w:firstRow="1" w:lastRow="0" w:firstColumn="1" w:lastColumn="0" w:noHBand="0" w:noVBand="1"/>
        <w:tblCaption w:val="Commentary sensitivity analysis"/>
        <w:tblDescription w:val="The table shows the results of the Commentary sensitivity analysis including incremental cost, incremental number of correct HF diagnoses, incremental echocardiography, and incremental time to correct diagnosis of heart failure. "/>
      </w:tblPr>
      <w:tblGrid>
        <w:gridCol w:w="2830"/>
        <w:gridCol w:w="1546"/>
        <w:gridCol w:w="1547"/>
        <w:gridCol w:w="1546"/>
        <w:gridCol w:w="1547"/>
      </w:tblGrid>
      <w:tr w:rsidR="00AC1460" w:rsidRPr="00310C7C" w14:paraId="66517184" w14:textId="77777777" w:rsidTr="008F202C">
        <w:trPr>
          <w:tblHeader/>
        </w:trPr>
        <w:tc>
          <w:tcPr>
            <w:tcW w:w="2830" w:type="dxa"/>
          </w:tcPr>
          <w:p w14:paraId="622CF18D" w14:textId="0B637D86" w:rsidR="006471AA" w:rsidRPr="00310C7C" w:rsidRDefault="006471AA" w:rsidP="000569C8">
            <w:pPr>
              <w:pStyle w:val="TableHeading0"/>
            </w:pPr>
            <w:r w:rsidRPr="00310C7C">
              <w:t>Scenario</w:t>
            </w:r>
          </w:p>
        </w:tc>
        <w:tc>
          <w:tcPr>
            <w:tcW w:w="1546" w:type="dxa"/>
          </w:tcPr>
          <w:p w14:paraId="713BA4D5" w14:textId="77777777" w:rsidR="006471AA" w:rsidRPr="00310C7C" w:rsidRDefault="006471AA" w:rsidP="000569C8">
            <w:pPr>
              <w:pStyle w:val="TableHeading0"/>
            </w:pPr>
            <w:r w:rsidRPr="00310C7C">
              <w:t>Incremental cost</w:t>
            </w:r>
          </w:p>
        </w:tc>
        <w:tc>
          <w:tcPr>
            <w:tcW w:w="1547" w:type="dxa"/>
          </w:tcPr>
          <w:p w14:paraId="1424576C" w14:textId="226EE3D6" w:rsidR="006471AA" w:rsidRPr="00310C7C" w:rsidRDefault="006471AA" w:rsidP="000569C8">
            <w:pPr>
              <w:pStyle w:val="TableHeading0"/>
            </w:pPr>
            <w:r>
              <w:t>Incremental number of correct HF diagnoses</w:t>
            </w:r>
          </w:p>
        </w:tc>
        <w:tc>
          <w:tcPr>
            <w:tcW w:w="1546" w:type="dxa"/>
          </w:tcPr>
          <w:p w14:paraId="182F6DD3" w14:textId="00944FFB" w:rsidR="006471AA" w:rsidRPr="00310C7C" w:rsidRDefault="006471AA" w:rsidP="000569C8">
            <w:pPr>
              <w:pStyle w:val="TableHeading0"/>
            </w:pPr>
            <w:r w:rsidRPr="00310C7C">
              <w:t>Incremental echo</w:t>
            </w:r>
            <w:r w:rsidR="004E0B2E">
              <w:t>cardiograms</w:t>
            </w:r>
            <w:r w:rsidRPr="00310C7C">
              <w:t xml:space="preserve"> </w:t>
            </w:r>
          </w:p>
        </w:tc>
        <w:tc>
          <w:tcPr>
            <w:tcW w:w="1547" w:type="dxa"/>
          </w:tcPr>
          <w:p w14:paraId="6E950799" w14:textId="540AA50B" w:rsidR="006471AA" w:rsidRPr="00310C7C" w:rsidRDefault="006471AA" w:rsidP="000569C8">
            <w:pPr>
              <w:pStyle w:val="TableHeading0"/>
            </w:pPr>
            <w:r>
              <w:t>Incremental time to correct diagnosis of HF (months)</w:t>
            </w:r>
          </w:p>
        </w:tc>
      </w:tr>
      <w:tr w:rsidR="009264B6" w:rsidRPr="00310C7C" w14:paraId="6618A62D" w14:textId="77777777" w:rsidTr="004C235C">
        <w:tc>
          <w:tcPr>
            <w:tcW w:w="2830" w:type="dxa"/>
          </w:tcPr>
          <w:p w14:paraId="300BECFC" w14:textId="77777777" w:rsidR="006471AA" w:rsidRDefault="006471AA" w:rsidP="000569C8">
            <w:pPr>
              <w:pStyle w:val="TableHeading0"/>
            </w:pPr>
            <w:r>
              <w:t>ADAR base case</w:t>
            </w:r>
          </w:p>
          <w:p w14:paraId="4897D875" w14:textId="7A512CE4" w:rsidR="006471AA" w:rsidRPr="00310C7C" w:rsidRDefault="006471AA" w:rsidP="000569C8">
            <w:pPr>
              <w:pStyle w:val="TableHeading0"/>
            </w:pPr>
            <w:r>
              <w:t>Commentary revised base case</w:t>
            </w:r>
          </w:p>
        </w:tc>
        <w:tc>
          <w:tcPr>
            <w:tcW w:w="1546" w:type="dxa"/>
          </w:tcPr>
          <w:p w14:paraId="7E9F5E13" w14:textId="77777777" w:rsidR="006471AA" w:rsidRDefault="00CF3338" w:rsidP="004C235C">
            <w:pPr>
              <w:pStyle w:val="TableHeading0"/>
              <w:jc w:val="right"/>
            </w:pPr>
            <w:r>
              <w:t>-$68.00</w:t>
            </w:r>
          </w:p>
          <w:p w14:paraId="0457CDC2" w14:textId="1BA98686" w:rsidR="00780455" w:rsidRPr="00310C7C" w:rsidRDefault="00780455" w:rsidP="004C235C">
            <w:pPr>
              <w:pStyle w:val="TableHeading0"/>
              <w:jc w:val="right"/>
            </w:pPr>
            <w:r>
              <w:t>-</w:t>
            </w:r>
            <w:r w:rsidR="008A22CD">
              <w:t>$</w:t>
            </w:r>
            <w:r w:rsidR="009264B6">
              <w:t>25.32</w:t>
            </w:r>
          </w:p>
        </w:tc>
        <w:tc>
          <w:tcPr>
            <w:tcW w:w="1547" w:type="dxa"/>
          </w:tcPr>
          <w:p w14:paraId="54F2B089" w14:textId="77777777" w:rsidR="006471AA" w:rsidRDefault="00267C3B" w:rsidP="004C235C">
            <w:pPr>
              <w:pStyle w:val="TableHeading0"/>
              <w:jc w:val="right"/>
            </w:pPr>
            <w:r>
              <w:t>Equal</w:t>
            </w:r>
          </w:p>
          <w:p w14:paraId="12B16506" w14:textId="62C96AFE" w:rsidR="00267C3B" w:rsidRPr="00310C7C" w:rsidRDefault="00267C3B" w:rsidP="004C235C">
            <w:pPr>
              <w:pStyle w:val="TableHeading0"/>
              <w:jc w:val="right"/>
            </w:pPr>
            <w:r>
              <w:t>Equal</w:t>
            </w:r>
          </w:p>
        </w:tc>
        <w:tc>
          <w:tcPr>
            <w:tcW w:w="1546" w:type="dxa"/>
          </w:tcPr>
          <w:p w14:paraId="4B7AF933" w14:textId="7127304E" w:rsidR="006471AA" w:rsidRDefault="00B13424" w:rsidP="004C235C">
            <w:pPr>
              <w:pStyle w:val="TableHeading0"/>
              <w:jc w:val="right"/>
            </w:pPr>
            <w:r>
              <w:t>-0.</w:t>
            </w:r>
            <w:r w:rsidR="009C5146">
              <w:t>53</w:t>
            </w:r>
          </w:p>
          <w:p w14:paraId="377D495E" w14:textId="6D01831B" w:rsidR="00780455" w:rsidRPr="00310C7C" w:rsidRDefault="00780455" w:rsidP="004C235C">
            <w:pPr>
              <w:pStyle w:val="TableHeading0"/>
              <w:jc w:val="right"/>
            </w:pPr>
            <w:r>
              <w:t>-0.44</w:t>
            </w:r>
          </w:p>
        </w:tc>
        <w:tc>
          <w:tcPr>
            <w:tcW w:w="1547" w:type="dxa"/>
          </w:tcPr>
          <w:p w14:paraId="658FD8F3" w14:textId="077519B9" w:rsidR="006471AA" w:rsidRDefault="00B13424" w:rsidP="004C235C">
            <w:pPr>
              <w:pStyle w:val="TableHeading0"/>
              <w:jc w:val="right"/>
            </w:pPr>
            <w:r>
              <w:t>-0.</w:t>
            </w:r>
            <w:r w:rsidR="009C5146">
              <w:t>93</w:t>
            </w:r>
          </w:p>
          <w:p w14:paraId="5C747656" w14:textId="4EB83210" w:rsidR="00780455" w:rsidRDefault="00780455" w:rsidP="004C235C">
            <w:pPr>
              <w:pStyle w:val="TableHeading0"/>
              <w:jc w:val="right"/>
            </w:pPr>
            <w:r>
              <w:t>-0.19</w:t>
            </w:r>
          </w:p>
        </w:tc>
      </w:tr>
      <w:tr w:rsidR="00AC1460" w:rsidRPr="00D854B4" w14:paraId="7D9E17A9" w14:textId="77777777" w:rsidTr="004C235C">
        <w:tc>
          <w:tcPr>
            <w:tcW w:w="2830" w:type="dxa"/>
          </w:tcPr>
          <w:p w14:paraId="5D7CB562" w14:textId="43DB5DA8" w:rsidR="006471AA" w:rsidRPr="00AA7758" w:rsidRDefault="006471AA" w:rsidP="000569C8">
            <w:pPr>
              <w:pStyle w:val="TableText"/>
            </w:pPr>
            <w:r>
              <w:t>Diagnostic accuracy</w:t>
            </w:r>
            <w:r w:rsidR="00D14D29">
              <w:t xml:space="preserve"> (ADAR base case, </w:t>
            </w:r>
            <w:r w:rsidR="004B0D9C">
              <w:t>NICE (2018) pooled analysis</w:t>
            </w:r>
            <w:r w:rsidR="00955C18">
              <w:t xml:space="preserve"> 280 ng/mL</w:t>
            </w:r>
            <w:r w:rsidR="004B0D9C">
              <w:t>, Sens 89/</w:t>
            </w:r>
            <w:r w:rsidR="00AC56A4">
              <w:t xml:space="preserve"> </w:t>
            </w:r>
            <w:r w:rsidR="004B0D9C">
              <w:t xml:space="preserve">Spec </w:t>
            </w:r>
            <w:r w:rsidR="00955C18">
              <w:t>75)</w:t>
            </w:r>
          </w:p>
          <w:p w14:paraId="1447680A" w14:textId="04E33D3D" w:rsidR="006471AA" w:rsidRPr="00AA7758" w:rsidRDefault="006471AA" w:rsidP="008F202C">
            <w:pPr>
              <w:pStyle w:val="TableText"/>
              <w:ind w:left="306"/>
            </w:pPr>
            <w:proofErr w:type="spellStart"/>
            <w:r w:rsidRPr="00AA7758">
              <w:t>Zaphiriou</w:t>
            </w:r>
            <w:proofErr w:type="spellEnd"/>
            <w:r w:rsidRPr="00AA7758">
              <w:t xml:space="preserve"> (2005)</w:t>
            </w:r>
            <w:r w:rsidR="003279A4">
              <w:t xml:space="preserve"> (280 </w:t>
            </w:r>
            <w:proofErr w:type="spellStart"/>
            <w:r w:rsidR="003279A4">
              <w:t>pg</w:t>
            </w:r>
            <w:proofErr w:type="spellEnd"/>
            <w:r w:rsidR="003279A4">
              <w:t>/mL)</w:t>
            </w:r>
            <w:r w:rsidR="001B0E41">
              <w:t xml:space="preserve"> (Commentary base case)</w:t>
            </w:r>
          </w:p>
          <w:p w14:paraId="126F0FA4" w14:textId="17EA0F9C" w:rsidR="006471AA" w:rsidRPr="00AA7758" w:rsidRDefault="006471AA" w:rsidP="008F202C">
            <w:pPr>
              <w:pStyle w:val="TableText"/>
              <w:ind w:left="306"/>
            </w:pPr>
            <w:r w:rsidRPr="00AA7758">
              <w:t>Sens 89/</w:t>
            </w:r>
            <w:r w:rsidR="00AC56A4">
              <w:t xml:space="preserve"> </w:t>
            </w:r>
            <w:r w:rsidRPr="00AA7758">
              <w:t>Spec 62</w:t>
            </w:r>
            <w:r w:rsidR="00955C18">
              <w:t xml:space="preserve"> </w:t>
            </w:r>
          </w:p>
        </w:tc>
        <w:tc>
          <w:tcPr>
            <w:tcW w:w="1546" w:type="dxa"/>
          </w:tcPr>
          <w:p w14:paraId="3465F905" w14:textId="77777777" w:rsidR="007B7B72" w:rsidRDefault="00987A73" w:rsidP="004C235C">
            <w:pPr>
              <w:pStyle w:val="TableText"/>
              <w:jc w:val="right"/>
            </w:pPr>
            <w:r>
              <w:br/>
            </w:r>
            <w:r>
              <w:br/>
            </w:r>
          </w:p>
          <w:p w14:paraId="49B7CF68" w14:textId="3FEE4F53" w:rsidR="006471AA" w:rsidRPr="00AA7758" w:rsidRDefault="006471AA" w:rsidP="004C235C">
            <w:pPr>
              <w:pStyle w:val="TableText"/>
              <w:jc w:val="right"/>
            </w:pPr>
            <w:r w:rsidRPr="00AA7758">
              <w:t>-$25.32</w:t>
            </w:r>
          </w:p>
        </w:tc>
        <w:tc>
          <w:tcPr>
            <w:tcW w:w="1547" w:type="dxa"/>
          </w:tcPr>
          <w:p w14:paraId="3EBDDD39" w14:textId="42246330" w:rsidR="009E79D5" w:rsidRDefault="007B7B72" w:rsidP="004C235C">
            <w:pPr>
              <w:pStyle w:val="TableText"/>
              <w:jc w:val="right"/>
            </w:pPr>
            <w:r>
              <w:br/>
            </w:r>
            <w:r>
              <w:br/>
            </w:r>
          </w:p>
          <w:p w14:paraId="1AFFDD91" w14:textId="1FB00509" w:rsidR="006471AA" w:rsidRPr="00AA7758" w:rsidRDefault="0050235B" w:rsidP="004C235C">
            <w:pPr>
              <w:pStyle w:val="TableText"/>
              <w:jc w:val="right"/>
            </w:pPr>
            <w:r>
              <w:t>Equal</w:t>
            </w:r>
          </w:p>
        </w:tc>
        <w:tc>
          <w:tcPr>
            <w:tcW w:w="1546" w:type="dxa"/>
          </w:tcPr>
          <w:p w14:paraId="57534D43" w14:textId="0A3DDA52" w:rsidR="009E79D5" w:rsidRDefault="007B7B72" w:rsidP="004C235C">
            <w:pPr>
              <w:pStyle w:val="TableText"/>
              <w:jc w:val="right"/>
            </w:pPr>
            <w:r>
              <w:br/>
            </w:r>
            <w:r>
              <w:br/>
            </w:r>
          </w:p>
          <w:p w14:paraId="2B9CB7E7" w14:textId="3990FDA7" w:rsidR="006471AA" w:rsidRPr="00AA7758" w:rsidRDefault="009264B6" w:rsidP="004C235C">
            <w:pPr>
              <w:pStyle w:val="TableText"/>
              <w:jc w:val="right"/>
            </w:pPr>
            <w:r>
              <w:t>-</w:t>
            </w:r>
            <w:r w:rsidR="006471AA" w:rsidRPr="00AA7758">
              <w:t>0.44</w:t>
            </w:r>
            <w:r w:rsidR="006471AA">
              <w:t xml:space="preserve"> </w:t>
            </w:r>
          </w:p>
        </w:tc>
        <w:tc>
          <w:tcPr>
            <w:tcW w:w="1547" w:type="dxa"/>
          </w:tcPr>
          <w:p w14:paraId="0774DF7D" w14:textId="1CA91D49" w:rsidR="009E79D5" w:rsidRDefault="007B7B72" w:rsidP="004C235C">
            <w:pPr>
              <w:pStyle w:val="TableText"/>
              <w:jc w:val="right"/>
            </w:pPr>
            <w:r>
              <w:br/>
            </w:r>
            <w:r>
              <w:br/>
            </w:r>
          </w:p>
          <w:p w14:paraId="3647DAB5" w14:textId="0A5FB9C7" w:rsidR="006471AA" w:rsidRPr="00AA7758" w:rsidRDefault="009264B6" w:rsidP="004C235C">
            <w:pPr>
              <w:pStyle w:val="TableText"/>
              <w:jc w:val="right"/>
            </w:pPr>
            <w:r>
              <w:t>-</w:t>
            </w:r>
            <w:r w:rsidR="006471AA" w:rsidRPr="00AA7758">
              <w:t>0.</w:t>
            </w:r>
            <w:r w:rsidR="006471AA">
              <w:t>19</w:t>
            </w:r>
          </w:p>
        </w:tc>
      </w:tr>
      <w:tr w:rsidR="00AC1460" w:rsidRPr="00D854B4" w14:paraId="561C00F3" w14:textId="77777777" w:rsidTr="004C235C">
        <w:tc>
          <w:tcPr>
            <w:tcW w:w="2830" w:type="dxa"/>
          </w:tcPr>
          <w:p w14:paraId="34FE9A4B" w14:textId="6222A0A6" w:rsidR="006471AA" w:rsidRDefault="006471AA" w:rsidP="008F202C">
            <w:pPr>
              <w:pStyle w:val="TableText"/>
              <w:ind w:left="306"/>
            </w:pPr>
            <w:proofErr w:type="spellStart"/>
            <w:r>
              <w:t>Verdu</w:t>
            </w:r>
            <w:proofErr w:type="spellEnd"/>
            <w:r>
              <w:t xml:space="preserve"> (2012)</w:t>
            </w:r>
            <w:r w:rsidR="003279A4">
              <w:t xml:space="preserve"> (280 </w:t>
            </w:r>
            <w:proofErr w:type="spellStart"/>
            <w:r w:rsidR="003279A4">
              <w:t>pg</w:t>
            </w:r>
            <w:proofErr w:type="spellEnd"/>
            <w:r w:rsidR="003279A4">
              <w:t>/mL)</w:t>
            </w:r>
          </w:p>
          <w:p w14:paraId="2671F84E" w14:textId="77777777" w:rsidR="006471AA" w:rsidRPr="00AA7758" w:rsidRDefault="006471AA" w:rsidP="008F202C">
            <w:pPr>
              <w:pStyle w:val="TableText"/>
              <w:ind w:left="306"/>
            </w:pPr>
            <w:r>
              <w:t>Sens 100/ Spec 88</w:t>
            </w:r>
          </w:p>
        </w:tc>
        <w:tc>
          <w:tcPr>
            <w:tcW w:w="1546" w:type="dxa"/>
          </w:tcPr>
          <w:p w14:paraId="7D4F7FA1" w14:textId="1566AD0F" w:rsidR="006471AA" w:rsidRPr="00AA7758" w:rsidRDefault="006471AA" w:rsidP="004C235C">
            <w:pPr>
              <w:pStyle w:val="TableText"/>
              <w:jc w:val="right"/>
            </w:pPr>
            <w:r w:rsidRPr="00151EED">
              <w:t>-$81.35</w:t>
            </w:r>
          </w:p>
        </w:tc>
        <w:tc>
          <w:tcPr>
            <w:tcW w:w="1547" w:type="dxa"/>
          </w:tcPr>
          <w:p w14:paraId="52CB9412" w14:textId="670469FA" w:rsidR="006471AA" w:rsidRPr="00DE579B" w:rsidRDefault="0050235B" w:rsidP="004C235C">
            <w:pPr>
              <w:pStyle w:val="TableText"/>
              <w:jc w:val="right"/>
            </w:pPr>
            <w:r>
              <w:t>Equal</w:t>
            </w:r>
          </w:p>
        </w:tc>
        <w:tc>
          <w:tcPr>
            <w:tcW w:w="1546" w:type="dxa"/>
          </w:tcPr>
          <w:p w14:paraId="6DE045A3" w14:textId="1F09E0E8" w:rsidR="006471AA" w:rsidRPr="00AA7758" w:rsidRDefault="009264B6" w:rsidP="004C235C">
            <w:pPr>
              <w:pStyle w:val="TableText"/>
              <w:jc w:val="right"/>
            </w:pPr>
            <w:r>
              <w:t>-</w:t>
            </w:r>
            <w:r w:rsidR="006471AA" w:rsidRPr="00DE579B">
              <w:t>0.62</w:t>
            </w:r>
            <w:r w:rsidR="006471AA">
              <w:t xml:space="preserve"> </w:t>
            </w:r>
          </w:p>
        </w:tc>
        <w:tc>
          <w:tcPr>
            <w:tcW w:w="1547" w:type="dxa"/>
          </w:tcPr>
          <w:p w14:paraId="4FDC6BAF" w14:textId="5905F08F" w:rsidR="006471AA" w:rsidRPr="00AA7758" w:rsidRDefault="009264B6" w:rsidP="004C235C">
            <w:pPr>
              <w:pStyle w:val="TableText"/>
              <w:jc w:val="right"/>
            </w:pPr>
            <w:r>
              <w:t>-</w:t>
            </w:r>
            <w:r w:rsidR="006471AA" w:rsidRPr="00DE579B">
              <w:t>0.75</w:t>
            </w:r>
          </w:p>
        </w:tc>
      </w:tr>
      <w:tr w:rsidR="00AC1460" w:rsidRPr="00D854B4" w14:paraId="784F728F" w14:textId="77777777" w:rsidTr="004C235C">
        <w:tc>
          <w:tcPr>
            <w:tcW w:w="2830" w:type="dxa"/>
          </w:tcPr>
          <w:p w14:paraId="0B5D4518" w14:textId="19EBAC81" w:rsidR="006471AA" w:rsidRDefault="006471AA" w:rsidP="008F202C">
            <w:pPr>
              <w:pStyle w:val="TableText"/>
              <w:ind w:left="306"/>
            </w:pPr>
            <w:r>
              <w:t>Taylor (2017)</w:t>
            </w:r>
            <w:r w:rsidR="00534D46">
              <w:t xml:space="preserve"> (280pg/mL)</w:t>
            </w:r>
          </w:p>
          <w:p w14:paraId="143062E4" w14:textId="5933A58B" w:rsidR="006471AA" w:rsidRPr="00AA7758" w:rsidRDefault="006471AA" w:rsidP="008F202C">
            <w:pPr>
              <w:pStyle w:val="TableText"/>
              <w:ind w:left="306"/>
            </w:pPr>
            <w:r>
              <w:t>Sens 66/ Spec 69</w:t>
            </w:r>
          </w:p>
        </w:tc>
        <w:tc>
          <w:tcPr>
            <w:tcW w:w="1546" w:type="dxa"/>
          </w:tcPr>
          <w:p w14:paraId="1F4E8F02" w14:textId="53EA7457" w:rsidR="006471AA" w:rsidRPr="00AA7758" w:rsidRDefault="006471AA" w:rsidP="004C235C">
            <w:pPr>
              <w:pStyle w:val="TableText"/>
              <w:jc w:val="right"/>
            </w:pPr>
            <w:r w:rsidRPr="00792546">
              <w:t>-$</w:t>
            </w:r>
            <w:r w:rsidRPr="00EE4822">
              <w:t>34.40</w:t>
            </w:r>
          </w:p>
        </w:tc>
        <w:tc>
          <w:tcPr>
            <w:tcW w:w="1547" w:type="dxa"/>
          </w:tcPr>
          <w:p w14:paraId="44EECCB9" w14:textId="23553AB1" w:rsidR="006471AA" w:rsidRPr="00E73E71" w:rsidRDefault="0050235B" w:rsidP="004C235C">
            <w:pPr>
              <w:pStyle w:val="TableText"/>
              <w:jc w:val="right"/>
            </w:pPr>
            <w:r>
              <w:t>Equal</w:t>
            </w:r>
          </w:p>
        </w:tc>
        <w:tc>
          <w:tcPr>
            <w:tcW w:w="1546" w:type="dxa"/>
          </w:tcPr>
          <w:p w14:paraId="23D112D3" w14:textId="647E1800" w:rsidR="006471AA" w:rsidRPr="00AA7758" w:rsidRDefault="009264B6" w:rsidP="004C235C">
            <w:pPr>
              <w:pStyle w:val="TableText"/>
              <w:jc w:val="right"/>
            </w:pPr>
            <w:r>
              <w:t>-</w:t>
            </w:r>
            <w:r w:rsidR="006471AA" w:rsidRPr="00E73E71">
              <w:t>0.49</w:t>
            </w:r>
            <w:r w:rsidR="006471AA">
              <w:t xml:space="preserve"> </w:t>
            </w:r>
          </w:p>
        </w:tc>
        <w:tc>
          <w:tcPr>
            <w:tcW w:w="1547" w:type="dxa"/>
          </w:tcPr>
          <w:p w14:paraId="26CBECFD" w14:textId="546BB581" w:rsidR="006471AA" w:rsidRPr="00AA7758" w:rsidRDefault="006471AA" w:rsidP="004C235C">
            <w:pPr>
              <w:pStyle w:val="TableText"/>
              <w:jc w:val="right"/>
            </w:pPr>
            <w:r w:rsidRPr="00E73E71">
              <w:t>0.1</w:t>
            </w:r>
            <w:r>
              <w:t>1</w:t>
            </w:r>
          </w:p>
        </w:tc>
      </w:tr>
      <w:tr w:rsidR="00AC1460" w:rsidRPr="00D854B4" w14:paraId="5120158C" w14:textId="77777777" w:rsidTr="004C235C">
        <w:tc>
          <w:tcPr>
            <w:tcW w:w="2830" w:type="dxa"/>
          </w:tcPr>
          <w:p w14:paraId="1AEAD130" w14:textId="6602758B" w:rsidR="006471AA" w:rsidRDefault="006471AA" w:rsidP="008F202C">
            <w:pPr>
              <w:pStyle w:val="TableText"/>
              <w:ind w:left="306"/>
            </w:pPr>
            <w:r>
              <w:t xml:space="preserve">Taylor (2023) (125 </w:t>
            </w:r>
            <w:proofErr w:type="spellStart"/>
            <w:r>
              <w:t>pg</w:t>
            </w:r>
            <w:proofErr w:type="spellEnd"/>
            <w:r>
              <w:t>/mL)</w:t>
            </w:r>
          </w:p>
          <w:p w14:paraId="3D67CE04" w14:textId="77777777" w:rsidR="006471AA" w:rsidRDefault="006471AA" w:rsidP="008F202C">
            <w:pPr>
              <w:pStyle w:val="TableText"/>
              <w:ind w:left="306"/>
            </w:pPr>
            <w:r>
              <w:t>Sens 81/ Spec 50</w:t>
            </w:r>
          </w:p>
        </w:tc>
        <w:tc>
          <w:tcPr>
            <w:tcW w:w="1546" w:type="dxa"/>
          </w:tcPr>
          <w:p w14:paraId="52575667" w14:textId="431EF938" w:rsidR="006471AA" w:rsidRPr="00792546" w:rsidRDefault="006471AA" w:rsidP="004C235C">
            <w:pPr>
              <w:pStyle w:val="TableText"/>
              <w:jc w:val="right"/>
            </w:pPr>
            <w:r w:rsidRPr="0052444B">
              <w:t>$1.22</w:t>
            </w:r>
          </w:p>
        </w:tc>
        <w:tc>
          <w:tcPr>
            <w:tcW w:w="1547" w:type="dxa"/>
          </w:tcPr>
          <w:p w14:paraId="124E9017" w14:textId="33AA73D9" w:rsidR="006471AA" w:rsidRPr="00D00DBD" w:rsidRDefault="0050235B" w:rsidP="004C235C">
            <w:pPr>
              <w:pStyle w:val="TableText"/>
              <w:jc w:val="right"/>
            </w:pPr>
            <w:r>
              <w:t>Equal</w:t>
            </w:r>
          </w:p>
        </w:tc>
        <w:tc>
          <w:tcPr>
            <w:tcW w:w="1546" w:type="dxa"/>
          </w:tcPr>
          <w:p w14:paraId="7B9A9D48" w14:textId="164BADA4" w:rsidR="006471AA" w:rsidRPr="00E73E71" w:rsidRDefault="009264B6" w:rsidP="004C235C">
            <w:pPr>
              <w:pStyle w:val="TableText"/>
              <w:jc w:val="right"/>
            </w:pPr>
            <w:r>
              <w:t>-</w:t>
            </w:r>
            <w:r w:rsidR="006471AA" w:rsidRPr="00D00DBD">
              <w:t>0.35</w:t>
            </w:r>
            <w:r w:rsidR="006471AA">
              <w:t xml:space="preserve"> </w:t>
            </w:r>
          </w:p>
        </w:tc>
        <w:tc>
          <w:tcPr>
            <w:tcW w:w="1547" w:type="dxa"/>
          </w:tcPr>
          <w:p w14:paraId="7590DAA0" w14:textId="70512D50" w:rsidR="006471AA" w:rsidRPr="00E73E71" w:rsidRDefault="006471AA" w:rsidP="004C235C">
            <w:pPr>
              <w:pStyle w:val="TableText"/>
              <w:jc w:val="right"/>
            </w:pPr>
            <w:r w:rsidRPr="00D00DBD">
              <w:t>0.12</w:t>
            </w:r>
          </w:p>
        </w:tc>
      </w:tr>
      <w:tr w:rsidR="00AC1460" w:rsidRPr="00D854B4" w14:paraId="65B923D3" w14:textId="77777777" w:rsidTr="004C235C">
        <w:tc>
          <w:tcPr>
            <w:tcW w:w="2830" w:type="dxa"/>
          </w:tcPr>
          <w:p w14:paraId="56E78B94" w14:textId="5E890F3B" w:rsidR="006471AA" w:rsidRPr="00AA7758" w:rsidRDefault="006471AA" w:rsidP="008F202C">
            <w:pPr>
              <w:pStyle w:val="TableText"/>
              <w:keepNext/>
              <w:ind w:left="306"/>
            </w:pPr>
            <w:r w:rsidRPr="00AA7758">
              <w:t>Hobbs (2002)</w:t>
            </w:r>
            <w:r w:rsidR="00F36F9D">
              <w:t xml:space="preserve"> (305 </w:t>
            </w:r>
            <w:proofErr w:type="spellStart"/>
            <w:r w:rsidR="00F36F9D">
              <w:t>pg</w:t>
            </w:r>
            <w:proofErr w:type="spellEnd"/>
            <w:r w:rsidR="00F36F9D">
              <w:t>/mL)</w:t>
            </w:r>
          </w:p>
          <w:p w14:paraId="0BE27FF1" w14:textId="77777777" w:rsidR="006471AA" w:rsidRPr="00AA7758" w:rsidRDefault="006471AA" w:rsidP="008F202C">
            <w:pPr>
              <w:pStyle w:val="TableText"/>
              <w:keepNext/>
              <w:ind w:left="306"/>
            </w:pPr>
            <w:r w:rsidRPr="00AA7758">
              <w:t xml:space="preserve">Diagnosed but not confirmed </w:t>
            </w:r>
            <w:proofErr w:type="gramStart"/>
            <w:r w:rsidRPr="00AA7758">
              <w:t>HF</w:t>
            </w:r>
            <w:proofErr w:type="gramEnd"/>
          </w:p>
          <w:p w14:paraId="0B52E57E" w14:textId="77777777" w:rsidR="006471AA" w:rsidRPr="00AA7758" w:rsidRDefault="006471AA" w:rsidP="008F202C">
            <w:pPr>
              <w:pStyle w:val="TableText"/>
              <w:keepNext/>
              <w:ind w:left="306"/>
            </w:pPr>
            <w:r w:rsidRPr="00AA7758">
              <w:t>Sens 100/ Spec 18</w:t>
            </w:r>
          </w:p>
        </w:tc>
        <w:tc>
          <w:tcPr>
            <w:tcW w:w="1546" w:type="dxa"/>
          </w:tcPr>
          <w:p w14:paraId="063ADB4F" w14:textId="59524496" w:rsidR="006471AA" w:rsidRPr="00AA7758" w:rsidRDefault="006471AA" w:rsidP="004C235C">
            <w:pPr>
              <w:pStyle w:val="TableText"/>
              <w:keepNext/>
              <w:jc w:val="right"/>
            </w:pPr>
            <w:r w:rsidRPr="00AA7758">
              <w:t>$62.67</w:t>
            </w:r>
          </w:p>
        </w:tc>
        <w:tc>
          <w:tcPr>
            <w:tcW w:w="1547" w:type="dxa"/>
          </w:tcPr>
          <w:p w14:paraId="3383B819" w14:textId="1672A1B6" w:rsidR="006471AA" w:rsidRPr="00AA7758" w:rsidRDefault="0050235B" w:rsidP="004C235C">
            <w:pPr>
              <w:pStyle w:val="TableText"/>
              <w:keepNext/>
              <w:jc w:val="right"/>
            </w:pPr>
            <w:r>
              <w:t>Equal</w:t>
            </w:r>
          </w:p>
        </w:tc>
        <w:tc>
          <w:tcPr>
            <w:tcW w:w="1546" w:type="dxa"/>
          </w:tcPr>
          <w:p w14:paraId="1AFC1295" w14:textId="441E1FB5" w:rsidR="006471AA" w:rsidRPr="00AA7758" w:rsidRDefault="009264B6" w:rsidP="004C235C">
            <w:pPr>
              <w:pStyle w:val="TableText"/>
              <w:keepNext/>
              <w:jc w:val="right"/>
            </w:pPr>
            <w:r>
              <w:t>-</w:t>
            </w:r>
            <w:r w:rsidR="006471AA" w:rsidRPr="00AA7758">
              <w:t>0.13</w:t>
            </w:r>
            <w:r w:rsidR="006471AA">
              <w:t xml:space="preserve"> </w:t>
            </w:r>
          </w:p>
        </w:tc>
        <w:tc>
          <w:tcPr>
            <w:tcW w:w="1547" w:type="dxa"/>
          </w:tcPr>
          <w:p w14:paraId="5361B066" w14:textId="52B34E33" w:rsidR="006471AA" w:rsidRPr="00AA7758" w:rsidRDefault="006471AA" w:rsidP="004C235C">
            <w:pPr>
              <w:pStyle w:val="TableText"/>
              <w:keepNext/>
              <w:jc w:val="right"/>
            </w:pPr>
            <w:r w:rsidRPr="00AA7758">
              <w:t>0.24</w:t>
            </w:r>
          </w:p>
        </w:tc>
      </w:tr>
      <w:tr w:rsidR="009264B6" w:rsidRPr="00D854B4" w14:paraId="51D606FA" w14:textId="77777777" w:rsidTr="004C235C">
        <w:tc>
          <w:tcPr>
            <w:tcW w:w="2830" w:type="dxa"/>
          </w:tcPr>
          <w:p w14:paraId="2CE121EC" w14:textId="578492C3" w:rsidR="006471AA" w:rsidRDefault="006471AA" w:rsidP="008F202C">
            <w:pPr>
              <w:pStyle w:val="TableText"/>
              <w:keepNext/>
            </w:pPr>
            <w:r>
              <w:t>Rate of echo referral</w:t>
            </w:r>
            <w:r w:rsidR="009E79D5">
              <w:t xml:space="preserve"> (base case)</w:t>
            </w:r>
          </w:p>
          <w:p w14:paraId="6BF856F9" w14:textId="16D569ED" w:rsidR="006471AA" w:rsidRPr="00AA7758" w:rsidRDefault="006471AA" w:rsidP="008F202C">
            <w:pPr>
              <w:pStyle w:val="TableText"/>
              <w:keepNext/>
              <w:ind w:left="306"/>
            </w:pPr>
            <w:r>
              <w:t>100</w:t>
            </w:r>
            <w:r w:rsidR="009E79D5">
              <w:t>%</w:t>
            </w:r>
          </w:p>
        </w:tc>
        <w:tc>
          <w:tcPr>
            <w:tcW w:w="1546" w:type="dxa"/>
          </w:tcPr>
          <w:p w14:paraId="7ADBEC83" w14:textId="77777777" w:rsidR="009E79D5" w:rsidRDefault="009E79D5" w:rsidP="004C235C">
            <w:pPr>
              <w:pStyle w:val="TableText"/>
              <w:keepNext/>
              <w:jc w:val="right"/>
            </w:pPr>
          </w:p>
          <w:p w14:paraId="312D88D1" w14:textId="308F0C69" w:rsidR="006471AA" w:rsidRPr="00AA7758" w:rsidRDefault="009264B6" w:rsidP="004C235C">
            <w:pPr>
              <w:pStyle w:val="TableText"/>
              <w:keepNext/>
              <w:jc w:val="right"/>
            </w:pPr>
            <w:r>
              <w:t>-</w:t>
            </w:r>
            <w:r w:rsidR="006471AA" w:rsidRPr="00F21335">
              <w:t>$25.32</w:t>
            </w:r>
          </w:p>
        </w:tc>
        <w:tc>
          <w:tcPr>
            <w:tcW w:w="1547" w:type="dxa"/>
          </w:tcPr>
          <w:p w14:paraId="4266B3DC" w14:textId="77777777" w:rsidR="009E79D5" w:rsidRDefault="009E79D5" w:rsidP="004C235C">
            <w:pPr>
              <w:pStyle w:val="TableText"/>
              <w:keepNext/>
              <w:jc w:val="right"/>
            </w:pPr>
          </w:p>
          <w:p w14:paraId="54399DF6" w14:textId="69677E57" w:rsidR="006471AA" w:rsidRPr="00AA7758" w:rsidRDefault="006471AA" w:rsidP="004C235C">
            <w:pPr>
              <w:pStyle w:val="TableText"/>
              <w:keepNext/>
              <w:jc w:val="right"/>
            </w:pPr>
            <w:r w:rsidRPr="00F21335">
              <w:t>Equal (100%)</w:t>
            </w:r>
          </w:p>
        </w:tc>
        <w:tc>
          <w:tcPr>
            <w:tcW w:w="1546" w:type="dxa"/>
          </w:tcPr>
          <w:p w14:paraId="42EBEB77" w14:textId="77777777" w:rsidR="009E79D5" w:rsidRDefault="009E79D5" w:rsidP="004C235C">
            <w:pPr>
              <w:pStyle w:val="TableText"/>
              <w:keepNext/>
              <w:jc w:val="right"/>
            </w:pPr>
          </w:p>
          <w:p w14:paraId="3AE6853B" w14:textId="6A511051" w:rsidR="006471AA" w:rsidRPr="00AA7758" w:rsidRDefault="009264B6" w:rsidP="004C235C">
            <w:pPr>
              <w:pStyle w:val="TableText"/>
              <w:keepNext/>
              <w:jc w:val="right"/>
            </w:pPr>
            <w:r>
              <w:t>-</w:t>
            </w:r>
            <w:r w:rsidR="006471AA" w:rsidRPr="00F21335">
              <w:t>0.44</w:t>
            </w:r>
          </w:p>
        </w:tc>
        <w:tc>
          <w:tcPr>
            <w:tcW w:w="1547" w:type="dxa"/>
          </w:tcPr>
          <w:p w14:paraId="74EC56E2" w14:textId="77777777" w:rsidR="009E79D5" w:rsidRDefault="009E79D5" w:rsidP="004C235C">
            <w:pPr>
              <w:pStyle w:val="TableText"/>
              <w:keepNext/>
              <w:jc w:val="right"/>
            </w:pPr>
          </w:p>
          <w:p w14:paraId="3891F0F7" w14:textId="5527DA3E" w:rsidR="006471AA" w:rsidRPr="00AA7758" w:rsidRDefault="009264B6" w:rsidP="004C235C">
            <w:pPr>
              <w:pStyle w:val="TableText"/>
              <w:keepNext/>
              <w:jc w:val="right"/>
            </w:pPr>
            <w:r>
              <w:t>-</w:t>
            </w:r>
            <w:r w:rsidR="006471AA" w:rsidRPr="00F21335">
              <w:t>0.19</w:t>
            </w:r>
          </w:p>
        </w:tc>
      </w:tr>
      <w:tr w:rsidR="009264B6" w:rsidRPr="00D854B4" w14:paraId="786AC7CB" w14:textId="77777777" w:rsidTr="004C235C">
        <w:tc>
          <w:tcPr>
            <w:tcW w:w="2830" w:type="dxa"/>
          </w:tcPr>
          <w:p w14:paraId="2E35EF45" w14:textId="320D4062" w:rsidR="006471AA" w:rsidRPr="00AA7758" w:rsidRDefault="006471AA" w:rsidP="008F202C">
            <w:pPr>
              <w:pStyle w:val="TableText"/>
              <w:ind w:left="306"/>
            </w:pPr>
            <w:r>
              <w:t>90</w:t>
            </w:r>
            <w:r w:rsidR="009E79D5">
              <w:t>%</w:t>
            </w:r>
          </w:p>
        </w:tc>
        <w:tc>
          <w:tcPr>
            <w:tcW w:w="1546" w:type="dxa"/>
          </w:tcPr>
          <w:p w14:paraId="6628F55E" w14:textId="4CEFF6C3" w:rsidR="006471AA" w:rsidRPr="00AA7758" w:rsidRDefault="009264B6" w:rsidP="004C235C">
            <w:pPr>
              <w:pStyle w:val="TableText"/>
              <w:jc w:val="right"/>
            </w:pPr>
            <w:r>
              <w:t>-</w:t>
            </w:r>
            <w:r w:rsidR="006471AA" w:rsidRPr="00F21335">
              <w:t>$12.56</w:t>
            </w:r>
          </w:p>
        </w:tc>
        <w:tc>
          <w:tcPr>
            <w:tcW w:w="1547" w:type="dxa"/>
          </w:tcPr>
          <w:p w14:paraId="111179B0" w14:textId="057E7F20" w:rsidR="006471AA" w:rsidRPr="00AA7758" w:rsidRDefault="006471AA" w:rsidP="004C235C">
            <w:pPr>
              <w:pStyle w:val="TableText"/>
              <w:jc w:val="right"/>
            </w:pPr>
            <w:r w:rsidRPr="00F21335">
              <w:t>0.07</w:t>
            </w:r>
          </w:p>
        </w:tc>
        <w:tc>
          <w:tcPr>
            <w:tcW w:w="1546" w:type="dxa"/>
          </w:tcPr>
          <w:p w14:paraId="4C5A060B" w14:textId="5FFF37B3" w:rsidR="006471AA" w:rsidRPr="00AA7758" w:rsidRDefault="009264B6" w:rsidP="004C235C">
            <w:pPr>
              <w:pStyle w:val="TableText"/>
              <w:jc w:val="right"/>
            </w:pPr>
            <w:r>
              <w:t>-</w:t>
            </w:r>
            <w:r w:rsidR="006471AA" w:rsidRPr="00F21335">
              <w:t>0.40</w:t>
            </w:r>
          </w:p>
        </w:tc>
        <w:tc>
          <w:tcPr>
            <w:tcW w:w="1547" w:type="dxa"/>
          </w:tcPr>
          <w:p w14:paraId="34A6A73E" w14:textId="0AEF882E" w:rsidR="006471AA" w:rsidRPr="00AA7758" w:rsidRDefault="009264B6" w:rsidP="004C235C">
            <w:pPr>
              <w:pStyle w:val="TableText"/>
              <w:jc w:val="right"/>
            </w:pPr>
            <w:r>
              <w:t>-</w:t>
            </w:r>
            <w:r w:rsidR="006471AA" w:rsidRPr="00F21335">
              <w:t>0.10</w:t>
            </w:r>
          </w:p>
        </w:tc>
      </w:tr>
      <w:tr w:rsidR="009264B6" w:rsidRPr="00D854B4" w14:paraId="1F6F809D" w14:textId="77777777" w:rsidTr="004C235C">
        <w:tc>
          <w:tcPr>
            <w:tcW w:w="2830" w:type="dxa"/>
          </w:tcPr>
          <w:p w14:paraId="04F73140" w14:textId="72978BF0" w:rsidR="006471AA" w:rsidRPr="00AA7758" w:rsidRDefault="006471AA" w:rsidP="008F202C">
            <w:pPr>
              <w:pStyle w:val="TableText"/>
              <w:ind w:left="306"/>
            </w:pPr>
            <w:r>
              <w:t>80</w:t>
            </w:r>
            <w:r w:rsidR="009E79D5">
              <w:t>%</w:t>
            </w:r>
          </w:p>
        </w:tc>
        <w:tc>
          <w:tcPr>
            <w:tcW w:w="1546" w:type="dxa"/>
          </w:tcPr>
          <w:p w14:paraId="1A291721" w14:textId="13E8368A" w:rsidR="006471AA" w:rsidRPr="00AA7758" w:rsidRDefault="006471AA" w:rsidP="004C235C">
            <w:pPr>
              <w:pStyle w:val="TableText"/>
              <w:jc w:val="right"/>
            </w:pPr>
            <w:r w:rsidRPr="00F21335">
              <w:t>$0.20</w:t>
            </w:r>
          </w:p>
        </w:tc>
        <w:tc>
          <w:tcPr>
            <w:tcW w:w="1547" w:type="dxa"/>
          </w:tcPr>
          <w:p w14:paraId="5872D2E8" w14:textId="0B0A9A9A" w:rsidR="006471AA" w:rsidRPr="00AA7758" w:rsidRDefault="006471AA" w:rsidP="004C235C">
            <w:pPr>
              <w:pStyle w:val="TableText"/>
              <w:jc w:val="right"/>
            </w:pPr>
            <w:r w:rsidRPr="00F21335">
              <w:t>0.14</w:t>
            </w:r>
          </w:p>
        </w:tc>
        <w:tc>
          <w:tcPr>
            <w:tcW w:w="1546" w:type="dxa"/>
          </w:tcPr>
          <w:p w14:paraId="35690D47" w14:textId="7263489E" w:rsidR="006471AA" w:rsidRPr="00AA7758" w:rsidRDefault="009264B6" w:rsidP="004C235C">
            <w:pPr>
              <w:pStyle w:val="TableText"/>
              <w:jc w:val="right"/>
            </w:pPr>
            <w:r>
              <w:t>-</w:t>
            </w:r>
            <w:r w:rsidR="006471AA" w:rsidRPr="00F21335">
              <w:t>0.35</w:t>
            </w:r>
          </w:p>
        </w:tc>
        <w:tc>
          <w:tcPr>
            <w:tcW w:w="1547" w:type="dxa"/>
          </w:tcPr>
          <w:p w14:paraId="1A2F30CA" w14:textId="568B351F" w:rsidR="006471AA" w:rsidRPr="00AA7758" w:rsidRDefault="009264B6" w:rsidP="004C235C">
            <w:pPr>
              <w:pStyle w:val="TableText"/>
              <w:jc w:val="right"/>
            </w:pPr>
            <w:r>
              <w:t>-</w:t>
            </w:r>
            <w:r w:rsidR="006471AA" w:rsidRPr="00F21335">
              <w:t>0.01</w:t>
            </w:r>
          </w:p>
        </w:tc>
      </w:tr>
      <w:tr w:rsidR="009264B6" w:rsidRPr="00D854B4" w14:paraId="3FF2E496" w14:textId="77777777" w:rsidTr="004C235C">
        <w:tc>
          <w:tcPr>
            <w:tcW w:w="2830" w:type="dxa"/>
          </w:tcPr>
          <w:p w14:paraId="3583E618" w14:textId="50013FAC" w:rsidR="006471AA" w:rsidRPr="00AA7758" w:rsidRDefault="006471AA" w:rsidP="008F202C">
            <w:pPr>
              <w:pStyle w:val="TableText"/>
              <w:ind w:left="306"/>
            </w:pPr>
            <w:r>
              <w:t>70</w:t>
            </w:r>
            <w:r w:rsidR="009E79D5">
              <w:t>%</w:t>
            </w:r>
          </w:p>
        </w:tc>
        <w:tc>
          <w:tcPr>
            <w:tcW w:w="1546" w:type="dxa"/>
          </w:tcPr>
          <w:p w14:paraId="201F05CE" w14:textId="0775C62D" w:rsidR="006471AA" w:rsidRPr="00AA7758" w:rsidRDefault="006471AA" w:rsidP="004C235C">
            <w:pPr>
              <w:pStyle w:val="TableText"/>
              <w:jc w:val="right"/>
            </w:pPr>
            <w:r w:rsidRPr="00F21335">
              <w:t>$12.95</w:t>
            </w:r>
          </w:p>
        </w:tc>
        <w:tc>
          <w:tcPr>
            <w:tcW w:w="1547" w:type="dxa"/>
          </w:tcPr>
          <w:p w14:paraId="69B592F3" w14:textId="72890FDA" w:rsidR="006471AA" w:rsidRPr="00AA7758" w:rsidRDefault="006471AA" w:rsidP="004C235C">
            <w:pPr>
              <w:pStyle w:val="TableText"/>
              <w:jc w:val="right"/>
            </w:pPr>
            <w:r w:rsidRPr="00F21335">
              <w:t>0.21</w:t>
            </w:r>
          </w:p>
        </w:tc>
        <w:tc>
          <w:tcPr>
            <w:tcW w:w="1546" w:type="dxa"/>
          </w:tcPr>
          <w:p w14:paraId="612E7691" w14:textId="28E7DDCE" w:rsidR="006471AA" w:rsidRPr="00AA7758" w:rsidRDefault="00891745" w:rsidP="004C235C">
            <w:pPr>
              <w:pStyle w:val="TableText"/>
              <w:jc w:val="right"/>
            </w:pPr>
            <w:r>
              <w:t>-</w:t>
            </w:r>
            <w:r w:rsidR="006471AA" w:rsidRPr="00F21335">
              <w:t>0.31</w:t>
            </w:r>
          </w:p>
        </w:tc>
        <w:tc>
          <w:tcPr>
            <w:tcW w:w="1547" w:type="dxa"/>
          </w:tcPr>
          <w:p w14:paraId="4E87847F" w14:textId="67296226" w:rsidR="006471AA" w:rsidRPr="00AA7758" w:rsidRDefault="006471AA" w:rsidP="004C235C">
            <w:pPr>
              <w:pStyle w:val="TableText"/>
              <w:jc w:val="right"/>
            </w:pPr>
            <w:r w:rsidRPr="00F21335">
              <w:t>0.08</w:t>
            </w:r>
          </w:p>
        </w:tc>
      </w:tr>
      <w:tr w:rsidR="009264B6" w:rsidRPr="00D854B4" w14:paraId="06553980" w14:textId="77777777" w:rsidTr="004C235C">
        <w:tc>
          <w:tcPr>
            <w:tcW w:w="2830" w:type="dxa"/>
          </w:tcPr>
          <w:p w14:paraId="52269622" w14:textId="5C130F55" w:rsidR="006471AA" w:rsidRPr="00AA7758" w:rsidRDefault="006471AA" w:rsidP="008F202C">
            <w:pPr>
              <w:pStyle w:val="TableText"/>
              <w:ind w:left="306"/>
            </w:pPr>
            <w:r>
              <w:t>60</w:t>
            </w:r>
            <w:r w:rsidR="009E79D5">
              <w:t>%</w:t>
            </w:r>
          </w:p>
        </w:tc>
        <w:tc>
          <w:tcPr>
            <w:tcW w:w="1546" w:type="dxa"/>
          </w:tcPr>
          <w:p w14:paraId="2D5A89AB" w14:textId="781C4881" w:rsidR="006471AA" w:rsidRPr="00AA7758" w:rsidRDefault="006471AA" w:rsidP="004C235C">
            <w:pPr>
              <w:pStyle w:val="TableText"/>
              <w:jc w:val="right"/>
            </w:pPr>
            <w:r w:rsidRPr="00F21335">
              <w:t>$25.71</w:t>
            </w:r>
          </w:p>
        </w:tc>
        <w:tc>
          <w:tcPr>
            <w:tcW w:w="1547" w:type="dxa"/>
          </w:tcPr>
          <w:p w14:paraId="5A5C6DB9" w14:textId="6DEE5C43" w:rsidR="006471AA" w:rsidRPr="00AA7758" w:rsidRDefault="006471AA" w:rsidP="004C235C">
            <w:pPr>
              <w:pStyle w:val="TableText"/>
              <w:jc w:val="right"/>
            </w:pPr>
            <w:r w:rsidRPr="00F21335">
              <w:t>0.28</w:t>
            </w:r>
          </w:p>
        </w:tc>
        <w:tc>
          <w:tcPr>
            <w:tcW w:w="1546" w:type="dxa"/>
          </w:tcPr>
          <w:p w14:paraId="05602D81" w14:textId="7B5C8902" w:rsidR="006471AA" w:rsidRPr="00AA7758" w:rsidRDefault="00891745" w:rsidP="004C235C">
            <w:pPr>
              <w:pStyle w:val="TableText"/>
              <w:jc w:val="right"/>
            </w:pPr>
            <w:r>
              <w:t>-</w:t>
            </w:r>
            <w:r w:rsidR="006471AA" w:rsidRPr="00F21335">
              <w:t>0.26</w:t>
            </w:r>
          </w:p>
        </w:tc>
        <w:tc>
          <w:tcPr>
            <w:tcW w:w="1547" w:type="dxa"/>
          </w:tcPr>
          <w:p w14:paraId="55BE732C" w14:textId="4AA108F8" w:rsidR="006471AA" w:rsidRPr="00AA7758" w:rsidRDefault="006471AA" w:rsidP="004C235C">
            <w:pPr>
              <w:pStyle w:val="TableText"/>
              <w:jc w:val="right"/>
            </w:pPr>
            <w:r w:rsidRPr="00F21335">
              <w:t>0.16</w:t>
            </w:r>
          </w:p>
        </w:tc>
      </w:tr>
      <w:tr w:rsidR="009264B6" w:rsidRPr="00D854B4" w14:paraId="42119CFA" w14:textId="77777777" w:rsidTr="004C235C">
        <w:tc>
          <w:tcPr>
            <w:tcW w:w="2830" w:type="dxa"/>
          </w:tcPr>
          <w:p w14:paraId="22DB867E" w14:textId="0CDFC806" w:rsidR="006471AA" w:rsidRPr="00AA7758" w:rsidRDefault="006471AA" w:rsidP="008F202C">
            <w:pPr>
              <w:pStyle w:val="TableText"/>
              <w:ind w:left="306"/>
            </w:pPr>
            <w:r>
              <w:t>50</w:t>
            </w:r>
            <w:r w:rsidR="009E79D5">
              <w:t>%</w:t>
            </w:r>
          </w:p>
        </w:tc>
        <w:tc>
          <w:tcPr>
            <w:tcW w:w="1546" w:type="dxa"/>
          </w:tcPr>
          <w:p w14:paraId="5AC36723" w14:textId="0701B2BD" w:rsidR="006471AA" w:rsidRPr="00AA7758" w:rsidRDefault="006471AA" w:rsidP="004C235C">
            <w:pPr>
              <w:pStyle w:val="TableText"/>
              <w:jc w:val="right"/>
            </w:pPr>
            <w:r w:rsidRPr="00F21335">
              <w:t>$38.46</w:t>
            </w:r>
          </w:p>
        </w:tc>
        <w:tc>
          <w:tcPr>
            <w:tcW w:w="1547" w:type="dxa"/>
          </w:tcPr>
          <w:p w14:paraId="104AC8F2" w14:textId="463DF458" w:rsidR="006471AA" w:rsidRPr="00AA7758" w:rsidRDefault="006471AA" w:rsidP="004C235C">
            <w:pPr>
              <w:pStyle w:val="TableText"/>
              <w:jc w:val="right"/>
            </w:pPr>
            <w:r w:rsidRPr="00F21335">
              <w:t>0.35</w:t>
            </w:r>
          </w:p>
        </w:tc>
        <w:tc>
          <w:tcPr>
            <w:tcW w:w="1546" w:type="dxa"/>
          </w:tcPr>
          <w:p w14:paraId="1558A1FA" w14:textId="1875A344" w:rsidR="006471AA" w:rsidRPr="00AA7758" w:rsidRDefault="009264B6" w:rsidP="004C235C">
            <w:pPr>
              <w:pStyle w:val="TableText"/>
              <w:jc w:val="right"/>
            </w:pPr>
            <w:r>
              <w:t>-</w:t>
            </w:r>
            <w:r w:rsidR="006471AA" w:rsidRPr="00F21335">
              <w:t>0.22</w:t>
            </w:r>
          </w:p>
        </w:tc>
        <w:tc>
          <w:tcPr>
            <w:tcW w:w="1547" w:type="dxa"/>
          </w:tcPr>
          <w:p w14:paraId="044ABBC1" w14:textId="0A4E6DF6" w:rsidR="006471AA" w:rsidRPr="00AA7758" w:rsidRDefault="006471AA" w:rsidP="004C235C">
            <w:pPr>
              <w:pStyle w:val="TableText"/>
              <w:jc w:val="right"/>
            </w:pPr>
            <w:r w:rsidRPr="00F21335">
              <w:t>0.25</w:t>
            </w:r>
          </w:p>
        </w:tc>
      </w:tr>
    </w:tbl>
    <w:p w14:paraId="369C43B5" w14:textId="34E3EDFD" w:rsidR="00E71522" w:rsidRDefault="00E71522" w:rsidP="00E71522">
      <w:pPr>
        <w:pStyle w:val="Tablenotes0"/>
      </w:pPr>
      <w:r w:rsidRPr="00FF725D">
        <w:rPr>
          <w:b/>
          <w:bCs/>
        </w:rPr>
        <w:t>Abbreviations:</w:t>
      </w:r>
      <w:r>
        <w:t xml:space="preserve"> </w:t>
      </w:r>
      <w:r w:rsidR="004231CD">
        <w:t xml:space="preserve">ADAR, Applicant Developed Assessment Report; </w:t>
      </w:r>
      <w:r>
        <w:t xml:space="preserve">echo, echocardiography; HF, heart failure; </w:t>
      </w:r>
      <w:r w:rsidR="004231CD">
        <w:t xml:space="preserve">NICE, National Institute for Health and Care Excellence; </w:t>
      </w:r>
      <w:proofErr w:type="spellStart"/>
      <w:r>
        <w:t>sens</w:t>
      </w:r>
      <w:proofErr w:type="spellEnd"/>
      <w:r>
        <w:t>, sensitivity; spec, specificity.</w:t>
      </w:r>
    </w:p>
    <w:p w14:paraId="0AA04FA4" w14:textId="43CBE680" w:rsidR="000569C8" w:rsidRDefault="000569C8" w:rsidP="000569C8">
      <w:pPr>
        <w:pStyle w:val="Tablenotes0"/>
      </w:pPr>
      <w:r w:rsidRPr="00FF725D">
        <w:rPr>
          <w:b/>
          <w:bCs/>
        </w:rPr>
        <w:t>Source:</w:t>
      </w:r>
      <w:r>
        <w:t xml:space="preserve"> Commentary Table 1</w:t>
      </w:r>
      <w:r w:rsidR="009641C3">
        <w:t>9</w:t>
      </w:r>
      <w:r>
        <w:t xml:space="preserve"> </w:t>
      </w:r>
      <w:r w:rsidR="009E79D5">
        <w:t xml:space="preserve">and Commentary Table </w:t>
      </w:r>
      <w:r w:rsidR="009641C3">
        <w:t>20</w:t>
      </w:r>
      <w:r w:rsidR="009E79D5">
        <w:t xml:space="preserve"> </w:t>
      </w:r>
      <w:r>
        <w:t>from MSAC 1740 ADAR+ in-line commentary</w:t>
      </w:r>
    </w:p>
    <w:p w14:paraId="2378F8D0" w14:textId="35CFE1BC" w:rsidR="00E71522" w:rsidRDefault="00301486" w:rsidP="00301486">
      <w:r w:rsidRPr="00301486">
        <w:t xml:space="preserve">A significant uncertainty in the model, and the clinical evidence, </w:t>
      </w:r>
      <w:r w:rsidR="00956C0D">
        <w:t>wa</w:t>
      </w:r>
      <w:r w:rsidRPr="00301486">
        <w:t xml:space="preserve">s the extent to which guideline recommendations are </w:t>
      </w:r>
      <w:r w:rsidR="00D35578">
        <w:t xml:space="preserve">currently </w:t>
      </w:r>
      <w:r w:rsidRPr="00301486">
        <w:t xml:space="preserve">followed in clinical practice. </w:t>
      </w:r>
      <w:r w:rsidR="00145C64">
        <w:t>The PICO included PASC’s consideration that “in clinical practice, guidelines are a reference tool and are deviated from for a plethora of reasons”</w:t>
      </w:r>
      <w:r w:rsidR="002C35AF">
        <w:t xml:space="preserve"> and stated that </w:t>
      </w:r>
      <w:r w:rsidR="00BC3E97">
        <w:t>“</w:t>
      </w:r>
      <w:r w:rsidR="00BC3E97" w:rsidRPr="00BC3E97">
        <w:t>it would not be appropriate for the assessment to assume strict alignment with guideline practices in place of evidence-based estimates</w:t>
      </w:r>
      <w:r w:rsidR="005879D5">
        <w:t>”</w:t>
      </w:r>
      <w:r w:rsidR="00145C64">
        <w:t>.</w:t>
      </w:r>
    </w:p>
    <w:p w14:paraId="4ED2591F" w14:textId="4BA8AC5D" w:rsidR="00301486" w:rsidRDefault="00301486" w:rsidP="00301486">
      <w:r w:rsidRPr="00301486">
        <w:t>The ADAR undertook a sensitivity analysis in which 50% of patients were referred to echocardiography</w:t>
      </w:r>
      <w:r w:rsidR="00E71522">
        <w:t>.</w:t>
      </w:r>
      <w:r w:rsidRPr="00301486">
        <w:t xml:space="preserve"> This </w:t>
      </w:r>
      <w:r w:rsidR="00D35578">
        <w:t>was</w:t>
      </w:r>
      <w:r w:rsidRPr="00301486">
        <w:t xml:space="preserve"> extended based on the commentar</w:t>
      </w:r>
      <w:r w:rsidR="006A372B">
        <w:t>y’s</w:t>
      </w:r>
      <w:r w:rsidRPr="00301486">
        <w:t xml:space="preserve"> preferred inputs</w:t>
      </w:r>
      <w:r w:rsidR="00F21335">
        <w:t xml:space="preserve"> (</w:t>
      </w:r>
      <w:r w:rsidR="008D459C">
        <w:fldChar w:fldCharType="begin"/>
      </w:r>
      <w:r w:rsidR="008D459C">
        <w:instrText xml:space="preserve"> REF _Ref141824707 \h </w:instrText>
      </w:r>
      <w:r w:rsidR="008D459C">
        <w:fldChar w:fldCharType="separate"/>
      </w:r>
      <w:r w:rsidR="00472DB9">
        <w:t xml:space="preserve">Table </w:t>
      </w:r>
      <w:r w:rsidR="00472DB9">
        <w:rPr>
          <w:noProof/>
        </w:rPr>
        <w:t>17</w:t>
      </w:r>
      <w:r w:rsidR="008D459C">
        <w:fldChar w:fldCharType="end"/>
      </w:r>
      <w:r w:rsidR="00F21335">
        <w:t>)</w:t>
      </w:r>
      <w:r w:rsidRPr="00301486">
        <w:t>. This analysis assume</w:t>
      </w:r>
      <w:r w:rsidR="00E96AB6">
        <w:t>d</w:t>
      </w:r>
      <w:r w:rsidRPr="00301486">
        <w:t xml:space="preserve"> that the same rate of referral to echocardiography applie</w:t>
      </w:r>
      <w:r w:rsidR="00E96AB6">
        <w:t>d</w:t>
      </w:r>
      <w:r w:rsidRPr="00301486">
        <w:t xml:space="preserve"> at all points in </w:t>
      </w:r>
      <w:r w:rsidRPr="00301486">
        <w:lastRenderedPageBreak/>
        <w:t>the model (i.e.</w:t>
      </w:r>
      <w:r w:rsidR="00465BB6">
        <w:t>,</w:t>
      </w:r>
      <w:r w:rsidRPr="00301486">
        <w:t xml:space="preserve"> all patients in the echocardiography arm, and all positive and false negative NT-</w:t>
      </w:r>
      <w:proofErr w:type="spellStart"/>
      <w:r w:rsidRPr="00301486">
        <w:t>proBNP</w:t>
      </w:r>
      <w:proofErr w:type="spellEnd"/>
      <w:r w:rsidRPr="00301486">
        <w:t xml:space="preserve"> tests in the NT-</w:t>
      </w:r>
      <w:proofErr w:type="spellStart"/>
      <w:r w:rsidRPr="00301486">
        <w:t>proBNP</w:t>
      </w:r>
      <w:proofErr w:type="spellEnd"/>
      <w:r w:rsidRPr="00301486">
        <w:t xml:space="preserve"> arm). Although this </w:t>
      </w:r>
      <w:r w:rsidR="00E96AB6">
        <w:t>wa</w:t>
      </w:r>
      <w:r w:rsidRPr="00301486">
        <w:t>s a simplified analysis, it demonstrate</w:t>
      </w:r>
      <w:r w:rsidR="00E96AB6">
        <w:t>d</w:t>
      </w:r>
      <w:r w:rsidRPr="00301486">
        <w:t xml:space="preserve"> that at lower rates of referral</w:t>
      </w:r>
      <w:r w:rsidR="00A96B75">
        <w:t xml:space="preserve"> to echocar</w:t>
      </w:r>
      <w:r w:rsidR="000C13AD">
        <w:t>diography</w:t>
      </w:r>
      <w:r w:rsidR="00BB37E1">
        <w:t xml:space="preserve"> in both the intervention and comparator arm</w:t>
      </w:r>
      <w:r w:rsidRPr="00301486">
        <w:t xml:space="preserve">, there </w:t>
      </w:r>
      <w:r w:rsidR="00E96AB6">
        <w:t>we</w:t>
      </w:r>
      <w:r w:rsidRPr="00301486">
        <w:t>re more correct diagnoses of HF with NT-</w:t>
      </w:r>
      <w:proofErr w:type="spellStart"/>
      <w:r w:rsidRPr="00301486">
        <w:t>proBNP</w:t>
      </w:r>
      <w:proofErr w:type="spellEnd"/>
      <w:r w:rsidRPr="00301486">
        <w:t xml:space="preserve"> </w:t>
      </w:r>
      <w:r w:rsidR="00555866">
        <w:t xml:space="preserve">± echocardiography than echocardiography alone </w:t>
      </w:r>
      <w:r w:rsidRPr="00301486">
        <w:t xml:space="preserve">but there </w:t>
      </w:r>
      <w:r w:rsidR="00E96AB6">
        <w:t>we</w:t>
      </w:r>
      <w:r w:rsidRPr="00301486">
        <w:t xml:space="preserve">re also higher </w:t>
      </w:r>
      <w:r w:rsidR="0038355D">
        <w:t>costs</w:t>
      </w:r>
      <w:r w:rsidRPr="00301486">
        <w:t>.</w:t>
      </w:r>
    </w:p>
    <w:p w14:paraId="78A08EA2" w14:textId="3B4B9888" w:rsidR="00D213C6" w:rsidRDefault="00D213C6" w:rsidP="00D213C6">
      <w:r>
        <w:t>The model presented in the ADAR assume</w:t>
      </w:r>
      <w:r w:rsidR="009C0A61">
        <w:t>d</w:t>
      </w:r>
      <w:r>
        <w:t xml:space="preserve"> that GPs currently refer all patients with suspected but uncertain HF </w:t>
      </w:r>
      <w:r w:rsidR="009C0A61">
        <w:t xml:space="preserve">for </w:t>
      </w:r>
      <w:r>
        <w:t xml:space="preserve">echocardiography. MSAC </w:t>
      </w:r>
      <w:r w:rsidR="008F57D2">
        <w:t>a</w:t>
      </w:r>
      <w:r>
        <w:t>pplication 1087 cited studies demonstrating this rate could range from 3.8 per cent (BEACH data, AIHW 2001</w:t>
      </w:r>
      <w:r w:rsidR="004B1B89">
        <w:rPr>
          <w:rStyle w:val="FootnoteReference"/>
        </w:rPr>
        <w:footnoteReference w:id="23"/>
      </w:r>
      <w:r>
        <w:t>) to 17.7 per cent (CASE study, Krum 2001)</w:t>
      </w:r>
      <w:r w:rsidR="00966BC3">
        <w:t xml:space="preserve"> </w:t>
      </w:r>
      <w:r w:rsidR="005B5B6E">
        <w:t xml:space="preserve">for patients with new symptoms </w:t>
      </w:r>
      <w:r w:rsidR="00727F8C">
        <w:t>suggestive of HF</w:t>
      </w:r>
      <w:r>
        <w:t>. Furthermore, two included clinical studies demonstrated no reductions in echocardiography referral with the use of NT-</w:t>
      </w:r>
      <w:proofErr w:type="spellStart"/>
      <w:r>
        <w:t>proBNP</w:t>
      </w:r>
      <w:proofErr w:type="spellEnd"/>
      <w:r>
        <w:t>/BNP testing</w:t>
      </w:r>
      <w:r w:rsidR="0033574C">
        <w:t xml:space="preserve"> (</w:t>
      </w:r>
      <w:r w:rsidR="0033574C">
        <w:fldChar w:fldCharType="begin"/>
      </w:r>
      <w:r w:rsidR="0033574C">
        <w:instrText xml:space="preserve"> REF _Ref141820966 \h </w:instrText>
      </w:r>
      <w:r w:rsidR="0033574C">
        <w:fldChar w:fldCharType="separate"/>
      </w:r>
      <w:r w:rsidR="00472DB9">
        <w:t xml:space="preserve">Table </w:t>
      </w:r>
      <w:r w:rsidR="00472DB9">
        <w:rPr>
          <w:noProof/>
        </w:rPr>
        <w:t>11</w:t>
      </w:r>
      <w:r w:rsidR="0033574C">
        <w:fldChar w:fldCharType="end"/>
      </w:r>
      <w:r w:rsidR="0033574C">
        <w:t>).</w:t>
      </w:r>
      <w:r w:rsidR="008F1494">
        <w:t xml:space="preserve"> </w:t>
      </w:r>
      <w:r w:rsidR="00000FB3">
        <w:t xml:space="preserve">The </w:t>
      </w:r>
      <w:r w:rsidR="00F94E5B">
        <w:t xml:space="preserve">MSAC </w:t>
      </w:r>
      <w:r w:rsidR="008A7CB6">
        <w:t>a</w:t>
      </w:r>
      <w:r w:rsidR="00F94E5B">
        <w:t xml:space="preserve">pplication 1087 </w:t>
      </w:r>
      <w:r w:rsidR="00BE6651">
        <w:t>public summary document</w:t>
      </w:r>
      <w:r w:rsidR="00000FB3">
        <w:t xml:space="preserve"> </w:t>
      </w:r>
      <w:r w:rsidR="00F94E5B">
        <w:t xml:space="preserve">stated that </w:t>
      </w:r>
      <w:r w:rsidR="00B83BAE">
        <w:t>NT-</w:t>
      </w:r>
      <w:proofErr w:type="spellStart"/>
      <w:r w:rsidR="00B83BAE">
        <w:t>proBNP</w:t>
      </w:r>
      <w:proofErr w:type="spellEnd"/>
      <w:r w:rsidR="00B83BAE">
        <w:t xml:space="preserve"> testing may not be cost saving if GPs refer to echocardiography at a rate of 60% or lower</w:t>
      </w:r>
      <w:r w:rsidR="0081504B">
        <w:t>;</w:t>
      </w:r>
      <w:r w:rsidR="00B83BAE">
        <w:t xml:space="preserve"> the sensitivity analysis </w:t>
      </w:r>
      <w:r w:rsidR="000C7EB7">
        <w:t>using the commentar</w:t>
      </w:r>
      <w:r w:rsidR="002517DB">
        <w:t>y revised</w:t>
      </w:r>
      <w:r w:rsidR="000C7EB7">
        <w:t xml:space="preserve"> base case </w:t>
      </w:r>
      <w:r w:rsidR="004410A9">
        <w:t>found this threshold to be 80% or lower.</w:t>
      </w:r>
    </w:p>
    <w:p w14:paraId="73B71FD4" w14:textId="4730AA76" w:rsidR="00CD5D0D" w:rsidRPr="00CD5D0D" w:rsidRDefault="00D41316" w:rsidP="00CD5D0D">
      <w:pPr>
        <w:rPr>
          <w:iCs/>
        </w:rPr>
      </w:pPr>
      <w:r>
        <w:t xml:space="preserve">PASC </w:t>
      </w:r>
      <w:r w:rsidR="00A13024">
        <w:t xml:space="preserve">also commented </w:t>
      </w:r>
      <w:r w:rsidR="0091223A">
        <w:t xml:space="preserve">that </w:t>
      </w:r>
      <w:r w:rsidR="00A13024">
        <w:t xml:space="preserve">it would </w:t>
      </w:r>
      <w:r w:rsidR="0019651A">
        <w:t>appear reasonable for</w:t>
      </w:r>
      <w:r w:rsidR="00A13024">
        <w:t xml:space="preserve"> </w:t>
      </w:r>
      <w:r>
        <w:t xml:space="preserve">the </w:t>
      </w:r>
      <w:r w:rsidR="0019651A">
        <w:t xml:space="preserve">ADAR to use </w:t>
      </w:r>
      <w:r>
        <w:t xml:space="preserve">a weighted analysis </w:t>
      </w:r>
      <w:r w:rsidRPr="00D94EEB">
        <w:t>such that</w:t>
      </w:r>
      <w:r>
        <w:t>, of the initial eligible population,</w:t>
      </w:r>
      <w:r w:rsidRPr="00D94EEB">
        <w:t xml:space="preserve"> </w:t>
      </w:r>
      <w:r w:rsidRPr="00D94EEB">
        <w:rPr>
          <w:iCs/>
        </w:rPr>
        <w:t>a portion of patients receive echocardiography and a portion receive clinical assessment only.</w:t>
      </w:r>
      <w:r w:rsidR="00CD5D0D" w:rsidRPr="00CD5D0D">
        <w:t xml:space="preserve"> </w:t>
      </w:r>
      <w:r w:rsidR="006648C2">
        <w:t xml:space="preserve">PASC </w:t>
      </w:r>
      <w:r w:rsidR="00C022A5">
        <w:t>advised</w:t>
      </w:r>
      <w:r w:rsidR="006648C2">
        <w:t xml:space="preserve"> </w:t>
      </w:r>
      <w:r w:rsidR="00B65278">
        <w:t xml:space="preserve">the echocardiography uptake rates in intervention and comparator arms should be informed by real world evidence if possible. </w:t>
      </w:r>
      <w:r w:rsidR="00CD5D0D" w:rsidRPr="00CD5D0D">
        <w:rPr>
          <w:iCs/>
        </w:rPr>
        <w:t xml:space="preserve">The model presented </w:t>
      </w:r>
      <w:r w:rsidR="006648C2">
        <w:rPr>
          <w:iCs/>
        </w:rPr>
        <w:t>wa</w:t>
      </w:r>
      <w:r w:rsidR="00CD5D0D" w:rsidRPr="00CD5D0D">
        <w:rPr>
          <w:iCs/>
        </w:rPr>
        <w:t>s overly simple and not aligned with PASC</w:t>
      </w:r>
      <w:r w:rsidR="001107A7">
        <w:rPr>
          <w:iCs/>
        </w:rPr>
        <w:t>’</w:t>
      </w:r>
      <w:r w:rsidR="00CD5D0D" w:rsidRPr="00CD5D0D">
        <w:rPr>
          <w:iCs/>
        </w:rPr>
        <w:t>s request.</w:t>
      </w:r>
    </w:p>
    <w:p w14:paraId="55EB4C70" w14:textId="2377D256" w:rsidR="00D41316" w:rsidRPr="00B6432F" w:rsidRDefault="00CD5D0D" w:rsidP="00CD5D0D">
      <w:r w:rsidRPr="00CD5D0D">
        <w:rPr>
          <w:iCs/>
        </w:rPr>
        <w:t>The</w:t>
      </w:r>
      <w:r w:rsidR="00B65278">
        <w:rPr>
          <w:iCs/>
        </w:rPr>
        <w:t xml:space="preserve"> commentary considered the</w:t>
      </w:r>
      <w:r w:rsidRPr="00CD5D0D">
        <w:rPr>
          <w:iCs/>
        </w:rPr>
        <w:t xml:space="preserve"> ADAR </w:t>
      </w:r>
      <w:r w:rsidR="00B65278">
        <w:rPr>
          <w:iCs/>
        </w:rPr>
        <w:t>did</w:t>
      </w:r>
      <w:r w:rsidR="00B65278" w:rsidRPr="00CD5D0D">
        <w:rPr>
          <w:iCs/>
        </w:rPr>
        <w:t xml:space="preserve"> </w:t>
      </w:r>
      <w:r w:rsidRPr="00CD5D0D">
        <w:rPr>
          <w:iCs/>
        </w:rPr>
        <w:t xml:space="preserve">not present an appropriate </w:t>
      </w:r>
      <w:r w:rsidR="00B65278">
        <w:rPr>
          <w:iCs/>
        </w:rPr>
        <w:t xml:space="preserve">economic </w:t>
      </w:r>
      <w:r w:rsidRPr="00CD5D0D">
        <w:rPr>
          <w:iCs/>
        </w:rPr>
        <w:t>analysis of PICO set 2, the use of NT-</w:t>
      </w:r>
      <w:proofErr w:type="spellStart"/>
      <w:r w:rsidRPr="00CD5D0D">
        <w:rPr>
          <w:iCs/>
        </w:rPr>
        <w:t>proBNP</w:t>
      </w:r>
      <w:proofErr w:type="spellEnd"/>
      <w:r w:rsidRPr="00CD5D0D">
        <w:rPr>
          <w:iCs/>
        </w:rPr>
        <w:t xml:space="preserve"> </w:t>
      </w:r>
      <w:r w:rsidR="00B65278">
        <w:rPr>
          <w:iCs/>
        </w:rPr>
        <w:t xml:space="preserve">testing </w:t>
      </w:r>
      <w:r w:rsidRPr="00CD5D0D">
        <w:rPr>
          <w:iCs/>
        </w:rPr>
        <w:t>in specialist</w:t>
      </w:r>
      <w:r w:rsidR="00B65278">
        <w:rPr>
          <w:iCs/>
        </w:rPr>
        <w:t xml:space="preserve"> requestor</w:t>
      </w:r>
      <w:r w:rsidRPr="00CD5D0D">
        <w:rPr>
          <w:iCs/>
        </w:rPr>
        <w:t xml:space="preserve"> settings.</w:t>
      </w:r>
    </w:p>
    <w:p w14:paraId="25AE2BAC" w14:textId="2FBE0AD6" w:rsidR="00772829" w:rsidRPr="00CE28E3" w:rsidRDefault="00C36633" w:rsidP="002A18BE">
      <w:pPr>
        <w:pStyle w:val="Heading2"/>
        <w:numPr>
          <w:ilvl w:val="0"/>
          <w:numId w:val="0"/>
        </w:numPr>
      </w:pPr>
      <w:bookmarkStart w:id="45" w:name="_Toc69491426"/>
      <w:bookmarkEnd w:id="38"/>
      <w:r>
        <w:t>1</w:t>
      </w:r>
      <w:r w:rsidR="00AB25C3">
        <w:t>4</w:t>
      </w:r>
      <w:r>
        <w:t>.</w:t>
      </w:r>
      <w:r>
        <w:tab/>
      </w:r>
      <w:r w:rsidR="00772829" w:rsidRPr="00CE28E3">
        <w:t>Financial/budgetary impacts</w:t>
      </w:r>
      <w:bookmarkEnd w:id="45"/>
    </w:p>
    <w:p w14:paraId="79392977" w14:textId="4605B713" w:rsidR="009E3718" w:rsidRDefault="009E3718" w:rsidP="009E3718">
      <w:r w:rsidRPr="009E3718">
        <w:t>An epidemiological approach was adopted to inform the utilisation and financial estimates</w:t>
      </w:r>
      <w:r>
        <w:t>.</w:t>
      </w:r>
    </w:p>
    <w:p w14:paraId="4FE2390F" w14:textId="5E59367D" w:rsidR="0072578A" w:rsidRDefault="00D428B9" w:rsidP="00330A0A">
      <w:r w:rsidRPr="00CE28E3">
        <w:t>The financial implications to the</w:t>
      </w:r>
      <w:r w:rsidR="00220BAE">
        <w:t xml:space="preserve"> MBS</w:t>
      </w:r>
      <w:r w:rsidRPr="00CE28E3">
        <w:t xml:space="preserve"> resulting from the proposed listing of </w:t>
      </w:r>
      <w:r w:rsidR="00220BAE">
        <w:t>NT-</w:t>
      </w:r>
      <w:proofErr w:type="spellStart"/>
      <w:r w:rsidR="00220BAE">
        <w:t>proBNP</w:t>
      </w:r>
      <w:proofErr w:type="spellEnd"/>
      <w:r w:rsidR="00220BAE">
        <w:t xml:space="preserve"> in primary care</w:t>
      </w:r>
      <w:r w:rsidR="00011E9B">
        <w:t>,</w:t>
      </w:r>
      <w:r w:rsidRPr="00CE28E3">
        <w:t xml:space="preserve"> </w:t>
      </w:r>
      <w:r w:rsidR="00CE5D1A">
        <w:t>as presented in the ADAR</w:t>
      </w:r>
      <w:r w:rsidR="00011E9B">
        <w:t>,</w:t>
      </w:r>
      <w:r w:rsidR="00CE5D1A">
        <w:t xml:space="preserve"> are</w:t>
      </w:r>
      <w:r w:rsidRPr="00CE28E3">
        <w:t xml:space="preserve"> summarised in </w:t>
      </w:r>
      <w:r w:rsidR="003571C2">
        <w:fldChar w:fldCharType="begin"/>
      </w:r>
      <w:r w:rsidR="003571C2">
        <w:instrText xml:space="preserve"> REF _Ref69726382 \h </w:instrText>
      </w:r>
      <w:r w:rsidR="003571C2">
        <w:fldChar w:fldCharType="separate"/>
      </w:r>
      <w:r w:rsidR="00472DB9" w:rsidRPr="00CE28E3">
        <w:t>Table</w:t>
      </w:r>
      <w:r w:rsidR="00472DB9">
        <w:t> </w:t>
      </w:r>
      <w:r w:rsidR="00472DB9">
        <w:rPr>
          <w:noProof/>
        </w:rPr>
        <w:t>18</w:t>
      </w:r>
      <w:r w:rsidR="003571C2">
        <w:fldChar w:fldCharType="end"/>
      </w:r>
      <w:r w:rsidRPr="00CE28E3">
        <w:t>.</w:t>
      </w:r>
      <w:r w:rsidR="00CE07D7" w:rsidRPr="00CE07D7">
        <w:t xml:space="preserve"> </w:t>
      </w:r>
      <w:r w:rsidR="00CE07D7">
        <w:t>T</w:t>
      </w:r>
      <w:r w:rsidR="00CE07D7" w:rsidRPr="00CE07D7">
        <w:t xml:space="preserve">he </w:t>
      </w:r>
      <w:r w:rsidR="007123BA">
        <w:t xml:space="preserve">commentary considered that the </w:t>
      </w:r>
      <w:r w:rsidR="00CE07D7" w:rsidRPr="00CE07D7">
        <w:t>use of NT-</w:t>
      </w:r>
      <w:proofErr w:type="spellStart"/>
      <w:r w:rsidR="00CE07D7" w:rsidRPr="00CE07D7">
        <w:t>proBNP</w:t>
      </w:r>
      <w:proofErr w:type="spellEnd"/>
      <w:r w:rsidR="00CE07D7" w:rsidRPr="00CE07D7">
        <w:t xml:space="preserve"> in practice </w:t>
      </w:r>
      <w:r w:rsidR="007123BA">
        <w:t>would be</w:t>
      </w:r>
      <w:r w:rsidR="007123BA" w:rsidRPr="00CE07D7">
        <w:t xml:space="preserve"> </w:t>
      </w:r>
      <w:r w:rsidR="00CE07D7" w:rsidRPr="00CE07D7">
        <w:t xml:space="preserve">unlikely to reflect the idealised scenario </w:t>
      </w:r>
      <w:r w:rsidR="00507EB0">
        <w:t>that</w:t>
      </w:r>
      <w:r w:rsidR="00507EB0" w:rsidRPr="00CE07D7">
        <w:t xml:space="preserve"> </w:t>
      </w:r>
      <w:r w:rsidR="00507EB0">
        <w:t>was</w:t>
      </w:r>
      <w:r w:rsidR="00CE07D7" w:rsidRPr="00CE07D7">
        <w:t xml:space="preserve"> modelled</w:t>
      </w:r>
      <w:r w:rsidR="00507EB0">
        <w:t xml:space="preserve"> </w:t>
      </w:r>
      <w:r w:rsidR="008D237B">
        <w:t>in</w:t>
      </w:r>
      <w:r w:rsidR="00507EB0">
        <w:t xml:space="preserve"> the ADAR</w:t>
      </w:r>
      <w:r w:rsidR="00CE07D7" w:rsidRPr="00CE07D7">
        <w:t>. Furthermore, the modelling of NT-</w:t>
      </w:r>
      <w:proofErr w:type="spellStart"/>
      <w:r w:rsidR="00CE07D7" w:rsidRPr="00CE07D7">
        <w:t>proBNP</w:t>
      </w:r>
      <w:proofErr w:type="spellEnd"/>
      <w:r w:rsidR="00CE07D7" w:rsidRPr="00CE07D7">
        <w:t xml:space="preserve"> as a triage test in specialist setting</w:t>
      </w:r>
      <w:r w:rsidR="003A10E5">
        <w:t xml:space="preserve"> (not shown)</w:t>
      </w:r>
      <w:r w:rsidR="00CE07D7" w:rsidRPr="00CE07D7">
        <w:t xml:space="preserve"> </w:t>
      </w:r>
      <w:r w:rsidR="00507EB0">
        <w:t>did</w:t>
      </w:r>
      <w:r w:rsidR="00507EB0" w:rsidRPr="00CE07D7">
        <w:t xml:space="preserve"> </w:t>
      </w:r>
      <w:r w:rsidR="00CE07D7" w:rsidRPr="00CE07D7">
        <w:t xml:space="preserve">not </w:t>
      </w:r>
      <w:r w:rsidR="00507EB0">
        <w:t>align with</w:t>
      </w:r>
      <w:r w:rsidR="00507EB0" w:rsidRPr="00CE07D7">
        <w:t xml:space="preserve"> </w:t>
      </w:r>
      <w:r w:rsidR="00CE07D7" w:rsidRPr="00CE07D7">
        <w:t xml:space="preserve">the PICO </w:t>
      </w:r>
      <w:r w:rsidR="00507EB0">
        <w:t>as advised</w:t>
      </w:r>
      <w:r w:rsidR="00507EB0" w:rsidRPr="00CE07D7">
        <w:t xml:space="preserve"> </w:t>
      </w:r>
      <w:r w:rsidR="00CE07D7" w:rsidRPr="00CE07D7">
        <w:t>by PASC.</w:t>
      </w:r>
    </w:p>
    <w:p w14:paraId="33FCA9D4" w14:textId="60C20DFB" w:rsidR="00D428B9" w:rsidRPr="00CE28E3" w:rsidRDefault="00D428B9" w:rsidP="00215AFB">
      <w:pPr>
        <w:pStyle w:val="Caption"/>
      </w:pPr>
      <w:bookmarkStart w:id="46" w:name="_Ref69726382"/>
      <w:r w:rsidRPr="00CE28E3">
        <w:lastRenderedPageBreak/>
        <w:t>Table</w:t>
      </w:r>
      <w:r w:rsidR="003571C2">
        <w:t> </w:t>
      </w:r>
      <w:r>
        <w:fldChar w:fldCharType="begin"/>
      </w:r>
      <w:r>
        <w:instrText>SEQ Table \* ARABIC</w:instrText>
      </w:r>
      <w:r>
        <w:fldChar w:fldCharType="separate"/>
      </w:r>
      <w:r w:rsidR="00472DB9">
        <w:rPr>
          <w:noProof/>
        </w:rPr>
        <w:t>18</w:t>
      </w:r>
      <w:r>
        <w:fldChar w:fldCharType="end"/>
      </w:r>
      <w:bookmarkEnd w:id="46"/>
      <w:r w:rsidRPr="00CE28E3">
        <w:tab/>
      </w:r>
      <w:r w:rsidR="00EF54A3">
        <w:t>ADAR n</w:t>
      </w:r>
      <w:r w:rsidRPr="00CE28E3">
        <w:t xml:space="preserve">et financial implications </w:t>
      </w:r>
      <w:r w:rsidR="00AC2143">
        <w:t xml:space="preserve">to the MBS </w:t>
      </w:r>
      <w:r w:rsidRPr="00CE28E3">
        <w:t xml:space="preserve">of </w:t>
      </w:r>
      <w:r w:rsidR="00483A5F">
        <w:t>NT-</w:t>
      </w:r>
      <w:proofErr w:type="spellStart"/>
      <w:r w:rsidR="00483A5F">
        <w:t>proBNP</w:t>
      </w:r>
      <w:proofErr w:type="spellEnd"/>
      <w:r w:rsidR="00EF54A3">
        <w:t xml:space="preserve"> testing</w:t>
      </w:r>
      <w:r w:rsidR="00220BAE">
        <w:t xml:space="preserve"> in primary care</w:t>
      </w:r>
      <w:r w:rsidR="00CA4D1D">
        <w:t>#</w:t>
      </w:r>
    </w:p>
    <w:tbl>
      <w:tblPr>
        <w:tblStyle w:val="TableGrid1"/>
        <w:tblW w:w="0" w:type="auto"/>
        <w:tblCellMar>
          <w:left w:w="0" w:type="dxa"/>
          <w:right w:w="0" w:type="dxa"/>
        </w:tblCellMar>
        <w:tblLook w:val="04A0" w:firstRow="1" w:lastRow="0" w:firstColumn="1" w:lastColumn="0" w:noHBand="0" w:noVBand="1"/>
        <w:tblCaption w:val="ADAR net financial implications to the MBS of NT-proBNP testing in primary care"/>
        <w:tblDescription w:val="The table shows the ADAR net financial implications to the MBS of NT-proBNP testing in primary care for the years 2024 to 2029."/>
      </w:tblPr>
      <w:tblGrid>
        <w:gridCol w:w="1833"/>
        <w:gridCol w:w="1195"/>
        <w:gridCol w:w="1196"/>
        <w:gridCol w:w="1195"/>
        <w:gridCol w:w="1196"/>
        <w:gridCol w:w="1195"/>
        <w:gridCol w:w="1196"/>
      </w:tblGrid>
      <w:tr w:rsidR="00D428B9" w:rsidRPr="00CE28E3" w14:paraId="10C955A8" w14:textId="77777777" w:rsidTr="00EA1D7C">
        <w:trPr>
          <w:cnfStyle w:val="100000000000" w:firstRow="1" w:lastRow="0" w:firstColumn="0" w:lastColumn="0" w:oddVBand="0" w:evenVBand="0" w:oddHBand="0" w:evenHBand="0" w:firstRowFirstColumn="0" w:firstRowLastColumn="0" w:lastRowFirstColumn="0" w:lastRowLastColumn="0"/>
          <w:tblHead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8F202C">
            <w:pPr>
              <w:pStyle w:val="TableHeading0"/>
            </w:pPr>
            <w:bookmarkStart w:id="47" w:name="Title_Table12" w:colFirst="0" w:colLast="0"/>
            <w:bookmarkStart w:id="48" w:name="_Hlk68276802"/>
            <w:r>
              <w:t>Parameter</w:t>
            </w:r>
            <w:r w:rsidR="001531D6">
              <w:t xml:space="preserve"> </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61FDAD82" w:rsidR="00D428B9" w:rsidRPr="00CE28E3" w:rsidRDefault="00D428B9" w:rsidP="008F202C">
            <w:pPr>
              <w:pStyle w:val="TableHeading0"/>
              <w:jc w:val="right"/>
            </w:pPr>
            <w:r w:rsidRPr="00CE28E3">
              <w:t xml:space="preserve">Year </w:t>
            </w:r>
            <w:r w:rsidR="00D77B20">
              <w:t>20</w:t>
            </w:r>
            <w:r w:rsidR="007C7BF3">
              <w:t>24</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6E6AFBD9" w:rsidR="00D428B9" w:rsidRPr="00CE28E3" w:rsidRDefault="00D428B9" w:rsidP="008F202C">
            <w:pPr>
              <w:pStyle w:val="TableHeading0"/>
              <w:jc w:val="right"/>
            </w:pPr>
            <w:r w:rsidRPr="00CE28E3">
              <w:t xml:space="preserve">Year </w:t>
            </w:r>
            <w:r w:rsidR="00D77B20">
              <w:t>20</w:t>
            </w:r>
            <w:r w:rsidR="007C7BF3">
              <w:t>25</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01DC82A1" w:rsidR="00D428B9" w:rsidRPr="00CE28E3" w:rsidRDefault="00D428B9" w:rsidP="008F202C">
            <w:pPr>
              <w:pStyle w:val="TableHeading0"/>
              <w:jc w:val="right"/>
            </w:pPr>
            <w:r w:rsidRPr="00CE28E3">
              <w:t xml:space="preserve">Year </w:t>
            </w:r>
            <w:r w:rsidR="00D77B20">
              <w:t>20</w:t>
            </w:r>
            <w:r w:rsidR="007C7BF3">
              <w:t>26</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069BDF77" w:rsidR="00D428B9" w:rsidRPr="00CE28E3" w:rsidRDefault="00D428B9" w:rsidP="008F202C">
            <w:pPr>
              <w:pStyle w:val="TableHeading0"/>
              <w:jc w:val="right"/>
            </w:pPr>
            <w:r w:rsidRPr="00CE28E3">
              <w:t xml:space="preserve">Year </w:t>
            </w:r>
            <w:r w:rsidR="00D77B20">
              <w:t>20</w:t>
            </w:r>
            <w:r w:rsidR="007C7BF3">
              <w:t>27</w:t>
            </w:r>
          </w:p>
        </w:tc>
        <w:tc>
          <w:tcPr>
            <w:tcW w:w="1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1C6651FE" w:rsidR="00D428B9" w:rsidRPr="00CE28E3" w:rsidRDefault="00D428B9" w:rsidP="008F202C">
            <w:pPr>
              <w:pStyle w:val="TableHeading0"/>
              <w:jc w:val="right"/>
            </w:pPr>
            <w:r w:rsidRPr="00CE28E3">
              <w:t xml:space="preserve">Year </w:t>
            </w:r>
            <w:r w:rsidR="00D77B20">
              <w:t>20</w:t>
            </w:r>
            <w:r w:rsidR="007C7BF3">
              <w:t>28</w:t>
            </w:r>
          </w:p>
        </w:tc>
        <w:tc>
          <w:tcPr>
            <w:tcW w:w="11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E4711" w14:textId="1C7A53CC" w:rsidR="00D428B9" w:rsidRPr="00CE28E3" w:rsidRDefault="00D428B9" w:rsidP="008F202C">
            <w:pPr>
              <w:pStyle w:val="TableHeading0"/>
              <w:jc w:val="right"/>
            </w:pPr>
            <w:r w:rsidRPr="00CE28E3">
              <w:t xml:space="preserve">Year </w:t>
            </w:r>
            <w:r w:rsidR="00D77B20">
              <w:t>20</w:t>
            </w:r>
            <w:r w:rsidR="007C7BF3">
              <w:t>29</w:t>
            </w:r>
          </w:p>
        </w:tc>
      </w:tr>
      <w:bookmarkEnd w:id="47"/>
      <w:tr w:rsidR="00D428B9" w:rsidRPr="00CE28E3" w14:paraId="5778418C" w14:textId="77777777" w:rsidTr="00483A5F">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890226" w:rsidRPr="00CE28E3" w14:paraId="16C50CDA" w14:textId="77777777" w:rsidTr="00EA1D7C">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107250AA" w:rsidR="00890226" w:rsidRPr="00CE28E3" w:rsidRDefault="00890226" w:rsidP="00890226">
            <w:pPr>
              <w:pStyle w:val="TableText"/>
              <w:keepNext/>
            </w:pPr>
            <w:r w:rsidRPr="0011027C">
              <w:t>Number of people eligible for NT-</w:t>
            </w:r>
            <w:proofErr w:type="spellStart"/>
            <w:r w:rsidRPr="0011027C">
              <w:t>proBNP</w:t>
            </w:r>
            <w:proofErr w:type="spellEnd"/>
            <w:r w:rsidRPr="0011027C">
              <w:t xml:space="preserve"> in primary care</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73095266" w14:textId="0C8D330C" w:rsidR="00890226" w:rsidRPr="00CE28E3" w:rsidRDefault="00890226" w:rsidP="008F202C">
            <w:pPr>
              <w:pStyle w:val="TableText"/>
              <w:keepNext/>
              <w:jc w:val="right"/>
            </w:pPr>
            <w:r w:rsidRPr="0011027C">
              <w:t>103,411</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47AB12F5" w14:textId="1FEC0A0F" w:rsidR="00890226" w:rsidRPr="00CE28E3" w:rsidRDefault="00890226" w:rsidP="008F202C">
            <w:pPr>
              <w:pStyle w:val="TableText"/>
              <w:keepNext/>
              <w:jc w:val="right"/>
            </w:pPr>
            <w:r w:rsidRPr="0011027C">
              <w:t>105,018</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09031D3F" w14:textId="3D4AABDA" w:rsidR="00890226" w:rsidRPr="00CE28E3" w:rsidRDefault="00890226" w:rsidP="008F202C">
            <w:pPr>
              <w:pStyle w:val="TableText"/>
              <w:keepNext/>
              <w:jc w:val="right"/>
            </w:pPr>
            <w:r w:rsidRPr="0011027C">
              <w:t>106,605</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57859E00" w14:textId="74AFB231" w:rsidR="00890226" w:rsidRPr="00CE28E3" w:rsidRDefault="00890226" w:rsidP="008F202C">
            <w:pPr>
              <w:pStyle w:val="TableText"/>
              <w:keepNext/>
              <w:jc w:val="right"/>
            </w:pPr>
            <w:r w:rsidRPr="0011027C">
              <w:t>108,150</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3C0B54F8" w14:textId="13540680" w:rsidR="00890226" w:rsidRPr="00CE28E3" w:rsidRDefault="00890226" w:rsidP="008F202C">
            <w:pPr>
              <w:pStyle w:val="TableText"/>
              <w:keepNext/>
              <w:jc w:val="right"/>
            </w:pPr>
            <w:r w:rsidRPr="0011027C">
              <w:t>109,701</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19C7884F" w14:textId="198A2A5A" w:rsidR="00890226" w:rsidRPr="00CE28E3" w:rsidRDefault="00890226" w:rsidP="008F202C">
            <w:pPr>
              <w:pStyle w:val="TableText"/>
              <w:keepNext/>
              <w:jc w:val="right"/>
            </w:pPr>
            <w:r w:rsidRPr="0011027C">
              <w:t>111,228</w:t>
            </w:r>
          </w:p>
        </w:tc>
      </w:tr>
      <w:tr w:rsidR="00B528CD" w:rsidRPr="00CE28E3" w14:paraId="755DEAF4" w14:textId="77777777" w:rsidTr="00EA1D7C">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7345E4E5" w:rsidR="00B528CD" w:rsidRPr="00CE28E3" w:rsidRDefault="00B528CD" w:rsidP="00B528CD">
            <w:pPr>
              <w:pStyle w:val="TableText"/>
              <w:keepNext/>
            </w:pPr>
            <w:r w:rsidRPr="00F87000">
              <w:t>Number of people who receive NT-</w:t>
            </w:r>
            <w:proofErr w:type="spellStart"/>
            <w:r w:rsidRPr="00F87000">
              <w:t>proBNP</w:t>
            </w:r>
            <w:proofErr w:type="spellEnd"/>
            <w:r w:rsidRPr="00F87000">
              <w:t xml:space="preserve"> in primary care</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07C02C49" w14:textId="5B6B217F" w:rsidR="00B528CD" w:rsidRPr="00CE28E3" w:rsidRDefault="00B528CD" w:rsidP="008F202C">
            <w:pPr>
              <w:pStyle w:val="TableText"/>
              <w:keepNext/>
              <w:jc w:val="right"/>
            </w:pPr>
            <w:r w:rsidRPr="00F87000">
              <w:t>51,706</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726FA6A9" w14:textId="37F0EC2A" w:rsidR="00B528CD" w:rsidRPr="00CE28E3" w:rsidRDefault="00B528CD" w:rsidP="008F202C">
            <w:pPr>
              <w:pStyle w:val="TableText"/>
              <w:keepNext/>
              <w:jc w:val="right"/>
            </w:pPr>
            <w:r w:rsidRPr="00F87000">
              <w:t>78,763</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40599FCD" w14:textId="30A0D7BB" w:rsidR="00B528CD" w:rsidRPr="00CE28E3" w:rsidRDefault="00B528CD" w:rsidP="008F202C">
            <w:pPr>
              <w:pStyle w:val="TableText"/>
              <w:keepNext/>
              <w:jc w:val="right"/>
            </w:pPr>
            <w:r w:rsidRPr="00F87000">
              <w:t>90,614</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49543F6F" w14:textId="2580FDEC" w:rsidR="00B528CD" w:rsidRPr="00CE28E3" w:rsidRDefault="00B528CD" w:rsidP="008F202C">
            <w:pPr>
              <w:pStyle w:val="TableText"/>
              <w:keepNext/>
              <w:jc w:val="right"/>
            </w:pPr>
            <w:r w:rsidRPr="00F87000">
              <w:t>91,928</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4012557F" w14:textId="609A0A2B" w:rsidR="00B528CD" w:rsidRPr="00CE28E3" w:rsidRDefault="00B528CD" w:rsidP="008F202C">
            <w:pPr>
              <w:pStyle w:val="TableText"/>
              <w:keepNext/>
              <w:jc w:val="right"/>
            </w:pPr>
            <w:r w:rsidRPr="00F87000">
              <w:t>93,246</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1A66D09E" w14:textId="1084FFBF" w:rsidR="00B528CD" w:rsidRPr="00CE28E3" w:rsidRDefault="00B528CD" w:rsidP="008F202C">
            <w:pPr>
              <w:pStyle w:val="TableText"/>
              <w:keepNext/>
              <w:jc w:val="right"/>
            </w:pPr>
            <w:r w:rsidRPr="00F87000">
              <w:t>94,544</w:t>
            </w:r>
          </w:p>
        </w:tc>
      </w:tr>
      <w:tr w:rsidR="0021777C" w:rsidRPr="00CE28E3" w14:paraId="55A6176D" w14:textId="77777777" w:rsidTr="00EA1D7C">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B7D44" w14:textId="7FC1C465" w:rsidR="0021777C" w:rsidRPr="00CE28E3" w:rsidRDefault="0021777C" w:rsidP="0021777C">
            <w:pPr>
              <w:pStyle w:val="TableText"/>
              <w:keepNext/>
            </w:pPr>
            <w:r w:rsidRPr="00D854B4">
              <w:t>Cost to the MBS</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66D15F76" w14:textId="479845CF" w:rsidR="0021777C" w:rsidRPr="00CE28E3" w:rsidRDefault="0021777C" w:rsidP="008F202C">
            <w:pPr>
              <w:pStyle w:val="TableText"/>
              <w:keepNext/>
              <w:jc w:val="right"/>
            </w:pPr>
            <w:r w:rsidRPr="00D854B4">
              <w:t>$2,571,057</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09480FD5" w14:textId="37BAFE6D" w:rsidR="0021777C" w:rsidRPr="00CE28E3" w:rsidRDefault="0021777C" w:rsidP="008F202C">
            <w:pPr>
              <w:pStyle w:val="TableText"/>
              <w:keepNext/>
              <w:jc w:val="right"/>
            </w:pPr>
            <w:r w:rsidRPr="00D854B4">
              <w:t>$3,916,500</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2C940950" w14:textId="1BBF687A" w:rsidR="0021777C" w:rsidRPr="00CE28E3" w:rsidRDefault="0021777C" w:rsidP="008F202C">
            <w:pPr>
              <w:pStyle w:val="TableText"/>
              <w:keepNext/>
              <w:jc w:val="right"/>
            </w:pPr>
            <w:r w:rsidRPr="00D854B4">
              <w:t>$4,505,801</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46361EF9" w14:textId="1917D1BC" w:rsidR="0021777C" w:rsidRPr="00CE28E3" w:rsidRDefault="0021777C" w:rsidP="008F202C">
            <w:pPr>
              <w:pStyle w:val="TableText"/>
              <w:keepNext/>
              <w:jc w:val="right"/>
            </w:pPr>
            <w:r w:rsidRPr="00D854B4">
              <w:t>$4,571,098</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254F194A" w14:textId="41D5E2BA" w:rsidR="0021777C" w:rsidRPr="00CE28E3" w:rsidRDefault="0021777C" w:rsidP="008F202C">
            <w:pPr>
              <w:pStyle w:val="TableText"/>
              <w:keepNext/>
              <w:jc w:val="right"/>
            </w:pPr>
            <w:r w:rsidRPr="00D854B4">
              <w:t>$4,636,640</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6689F5C3" w14:textId="4567D3B6" w:rsidR="0021777C" w:rsidRPr="00CE28E3" w:rsidRDefault="0021777C" w:rsidP="008F202C">
            <w:pPr>
              <w:pStyle w:val="TableText"/>
              <w:keepNext/>
              <w:jc w:val="right"/>
            </w:pPr>
            <w:r w:rsidRPr="00D854B4">
              <w:t>$4,701,210</w:t>
            </w:r>
          </w:p>
        </w:tc>
      </w:tr>
      <w:tr w:rsidR="00D428B9" w:rsidRPr="00CE28E3" w14:paraId="5BC9C961" w14:textId="77777777" w:rsidTr="00483A5F">
        <w:tc>
          <w:tcPr>
            <w:tcW w:w="0" w:type="auto"/>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D428B9" w:rsidRPr="00CE28E3" w:rsidRDefault="00D428B9" w:rsidP="00215AFB">
            <w:pPr>
              <w:pStyle w:val="TableText"/>
              <w:keepNext/>
              <w:rPr>
                <w:b/>
                <w:bCs/>
              </w:rPr>
            </w:pPr>
            <w:r w:rsidRPr="00CE28E3">
              <w:rPr>
                <w:b/>
                <w:bCs/>
              </w:rPr>
              <w:t>Change in use and cost of other health technologies</w:t>
            </w:r>
          </w:p>
        </w:tc>
      </w:tr>
      <w:tr w:rsidR="006A5658" w:rsidRPr="00CE28E3" w14:paraId="141B431A" w14:textId="77777777" w:rsidTr="00EA1D7C">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20363560" w:rsidR="006A5658" w:rsidRPr="00CE28E3" w:rsidRDefault="006A5658" w:rsidP="006A5658">
            <w:pPr>
              <w:pStyle w:val="TableText"/>
              <w:keepNext/>
            </w:pPr>
            <w:r w:rsidRPr="00F76AB9">
              <w:t>Change in use of echocardiography</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0A4E6D7D" w14:textId="5AAA6AFB" w:rsidR="006A5658" w:rsidRPr="00CE28E3" w:rsidRDefault="006A5658" w:rsidP="008F202C">
            <w:pPr>
              <w:pStyle w:val="TableText"/>
              <w:keepNext/>
              <w:jc w:val="right"/>
            </w:pPr>
            <w:r w:rsidRPr="00F76AB9">
              <w:t>-27,522</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7DCB03D6" w14:textId="56D7077C" w:rsidR="006A5658" w:rsidRPr="00CE28E3" w:rsidRDefault="006A5658" w:rsidP="008F202C">
            <w:pPr>
              <w:pStyle w:val="TableText"/>
              <w:keepNext/>
              <w:jc w:val="right"/>
            </w:pPr>
            <w:r w:rsidRPr="00F76AB9">
              <w:t>-41,924</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705F281E" w14:textId="1246F3E5" w:rsidR="006A5658" w:rsidRPr="00CE28E3" w:rsidRDefault="006A5658" w:rsidP="008F202C">
            <w:pPr>
              <w:pStyle w:val="TableText"/>
              <w:keepNext/>
              <w:jc w:val="right"/>
            </w:pPr>
            <w:r w:rsidRPr="00F76AB9">
              <w:t>-48,232</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0D92FF03" w14:textId="4707557C" w:rsidR="006A5658" w:rsidRPr="00CE28E3" w:rsidRDefault="006A5658" w:rsidP="008F202C">
            <w:pPr>
              <w:pStyle w:val="TableText"/>
              <w:keepNext/>
              <w:jc w:val="right"/>
            </w:pPr>
            <w:r w:rsidRPr="00F76AB9">
              <w:t>-48,931</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5B4DD028" w14:textId="7F673FD9" w:rsidR="006A5658" w:rsidRPr="00CE28E3" w:rsidRDefault="006A5658" w:rsidP="008F202C">
            <w:pPr>
              <w:pStyle w:val="TableText"/>
              <w:keepNext/>
              <w:jc w:val="right"/>
            </w:pPr>
            <w:r w:rsidRPr="00F76AB9">
              <w:t>-49,633</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533785F7" w14:textId="370964D0" w:rsidR="006A5658" w:rsidRPr="00CE28E3" w:rsidRDefault="006A5658" w:rsidP="008F202C">
            <w:pPr>
              <w:pStyle w:val="TableText"/>
              <w:keepNext/>
              <w:jc w:val="right"/>
            </w:pPr>
            <w:r w:rsidRPr="00F76AB9">
              <w:t>-50,324</w:t>
            </w:r>
          </w:p>
        </w:tc>
      </w:tr>
      <w:tr w:rsidR="006A5658" w:rsidRPr="00CE28E3" w14:paraId="3D0475C2" w14:textId="77777777" w:rsidTr="00EA1D7C">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0546" w14:textId="43E917A4" w:rsidR="006A5658" w:rsidRPr="00CE28E3" w:rsidRDefault="006A5658" w:rsidP="006A5658">
            <w:pPr>
              <w:pStyle w:val="TableText"/>
              <w:keepNext/>
            </w:pPr>
            <w:r w:rsidRPr="00F76AB9">
              <w:t>Change in use of GP visits</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50D93D8C" w14:textId="603CD335" w:rsidR="006A5658" w:rsidRPr="00CE28E3" w:rsidRDefault="006A5658" w:rsidP="008F202C">
            <w:pPr>
              <w:pStyle w:val="TableText"/>
              <w:keepNext/>
              <w:jc w:val="right"/>
            </w:pPr>
            <w:r w:rsidRPr="00F76AB9">
              <w:t>1,651</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391B0C16" w14:textId="187F6FEC" w:rsidR="006A5658" w:rsidRPr="00CE28E3" w:rsidRDefault="006A5658" w:rsidP="008F202C">
            <w:pPr>
              <w:pStyle w:val="TableText"/>
              <w:keepNext/>
              <w:jc w:val="right"/>
            </w:pPr>
            <w:r w:rsidRPr="00F76AB9">
              <w:t>2,515</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5DAB74DE" w14:textId="6BF57824" w:rsidR="006A5658" w:rsidRPr="00CE28E3" w:rsidRDefault="006A5658" w:rsidP="008F202C">
            <w:pPr>
              <w:pStyle w:val="TableText"/>
              <w:keepNext/>
              <w:jc w:val="right"/>
            </w:pPr>
            <w:r w:rsidRPr="00F76AB9">
              <w:t>2,894</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15AF506D" w14:textId="430EDAE3" w:rsidR="006A5658" w:rsidRPr="00CE28E3" w:rsidRDefault="006A5658" w:rsidP="008F202C">
            <w:pPr>
              <w:pStyle w:val="TableText"/>
              <w:keepNext/>
              <w:jc w:val="right"/>
            </w:pPr>
            <w:r w:rsidRPr="00F76AB9">
              <w:t>2,935</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01AD2F08" w14:textId="2BF02031" w:rsidR="006A5658" w:rsidRPr="00CE28E3" w:rsidRDefault="006A5658" w:rsidP="008F202C">
            <w:pPr>
              <w:pStyle w:val="TableText"/>
              <w:keepNext/>
              <w:jc w:val="right"/>
            </w:pPr>
            <w:r w:rsidRPr="00F76AB9">
              <w:t>2,978</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6BF1F9AE" w14:textId="360FB697" w:rsidR="006A5658" w:rsidRPr="00CE28E3" w:rsidRDefault="006A5658" w:rsidP="008F202C">
            <w:pPr>
              <w:pStyle w:val="TableText"/>
              <w:keepNext/>
              <w:jc w:val="right"/>
            </w:pPr>
            <w:r w:rsidRPr="00F76AB9">
              <w:t>3,019</w:t>
            </w:r>
          </w:p>
        </w:tc>
      </w:tr>
      <w:tr w:rsidR="006A5658" w:rsidRPr="00CE28E3" w14:paraId="7537920A" w14:textId="77777777" w:rsidTr="00EA1D7C">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7375" w14:textId="1216E81D" w:rsidR="006A5658" w:rsidRPr="00CE28E3" w:rsidRDefault="006A5658" w:rsidP="006A5658">
            <w:pPr>
              <w:pStyle w:val="TableText"/>
              <w:keepNext/>
            </w:pPr>
            <w:r w:rsidRPr="00F76AB9">
              <w:t>Net change in costs to the MBS</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3128437E" w14:textId="13D35A9C" w:rsidR="006A5658" w:rsidRPr="00CE28E3" w:rsidRDefault="006A5658" w:rsidP="008F202C">
            <w:pPr>
              <w:pStyle w:val="TableText"/>
              <w:keepNext/>
              <w:jc w:val="right"/>
            </w:pPr>
            <w:r w:rsidRPr="00F76AB9">
              <w:t>-$5,549,976</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70B21981" w14:textId="2E47BD62" w:rsidR="006A5658" w:rsidRPr="00CE28E3" w:rsidRDefault="006A5658" w:rsidP="008F202C">
            <w:pPr>
              <w:pStyle w:val="TableText"/>
              <w:keepNext/>
              <w:jc w:val="right"/>
            </w:pPr>
            <w:r w:rsidRPr="00F76AB9">
              <w:t>-$8,454,299</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7B8956CE" w14:textId="1139209C" w:rsidR="006A5658" w:rsidRPr="00CE28E3" w:rsidRDefault="006A5658" w:rsidP="008F202C">
            <w:pPr>
              <w:pStyle w:val="TableText"/>
              <w:keepNext/>
              <w:jc w:val="right"/>
            </w:pPr>
            <w:r w:rsidRPr="00F76AB9">
              <w:t>-$9,726,385</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5ED4213C" w14:textId="57A4C980" w:rsidR="006A5658" w:rsidRPr="00CE28E3" w:rsidRDefault="006A5658" w:rsidP="008F202C">
            <w:pPr>
              <w:pStyle w:val="TableText"/>
              <w:keepNext/>
              <w:jc w:val="right"/>
            </w:pPr>
            <w:r w:rsidRPr="00F76AB9">
              <w:t>-$9,867,338</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0B0BD324" w14:textId="67D3229E" w:rsidR="006A5658" w:rsidRPr="00CE28E3" w:rsidRDefault="006A5658" w:rsidP="008F202C">
            <w:pPr>
              <w:pStyle w:val="TableText"/>
              <w:keepNext/>
              <w:jc w:val="right"/>
            </w:pPr>
            <w:r w:rsidRPr="00F76AB9">
              <w:t>-$10,008,818</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5FAFC579" w14:textId="29E3EF8D" w:rsidR="006A5658" w:rsidRPr="00CE28E3" w:rsidRDefault="006A5658" w:rsidP="008F202C">
            <w:pPr>
              <w:pStyle w:val="TableText"/>
              <w:keepNext/>
              <w:jc w:val="right"/>
            </w:pPr>
            <w:r w:rsidRPr="00F76AB9">
              <w:t>-$10,148,203</w:t>
            </w:r>
          </w:p>
        </w:tc>
      </w:tr>
      <w:tr w:rsidR="00483A5F" w:rsidRPr="00CE28E3" w14:paraId="1D7F897A" w14:textId="77777777" w:rsidTr="00EA1D7C">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76BA" w14:textId="605CEC04" w:rsidR="00483A5F" w:rsidRPr="00CE28E3" w:rsidRDefault="00483A5F" w:rsidP="00483A5F">
            <w:pPr>
              <w:pStyle w:val="TableText"/>
              <w:keepNext/>
              <w:rPr>
                <w:b/>
                <w:bCs/>
              </w:rPr>
            </w:pPr>
            <w:r w:rsidRPr="00CE28E3">
              <w:rPr>
                <w:b/>
                <w:bCs/>
              </w:rPr>
              <w:t xml:space="preserve">Net financial impact to the </w:t>
            </w:r>
            <w:r>
              <w:rPr>
                <w:b/>
                <w:bCs/>
              </w:rPr>
              <w:t>MBS</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10D9A965" w14:textId="6B12D6A2" w:rsidR="00483A5F" w:rsidRPr="00CE28E3" w:rsidRDefault="00483A5F" w:rsidP="008F202C">
            <w:pPr>
              <w:pStyle w:val="TableText"/>
              <w:keepNext/>
              <w:jc w:val="right"/>
              <w:rPr>
                <w:b/>
                <w:bCs/>
              </w:rPr>
            </w:pPr>
            <w:r w:rsidRPr="00D854B4">
              <w:t>-$2,978,919</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094449DB" w14:textId="4CC0E462" w:rsidR="00483A5F" w:rsidRPr="00CE28E3" w:rsidRDefault="00483A5F" w:rsidP="008F202C">
            <w:pPr>
              <w:pStyle w:val="TableText"/>
              <w:keepNext/>
              <w:jc w:val="right"/>
              <w:rPr>
                <w:b/>
                <w:bCs/>
              </w:rPr>
            </w:pPr>
            <w:r w:rsidRPr="00D854B4">
              <w:t>-$4,537,799</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1BD218F3" w14:textId="1F067439" w:rsidR="00483A5F" w:rsidRPr="00CE28E3" w:rsidRDefault="00483A5F" w:rsidP="008F202C">
            <w:pPr>
              <w:pStyle w:val="TableText"/>
              <w:keepNext/>
              <w:jc w:val="right"/>
              <w:rPr>
                <w:b/>
                <w:bCs/>
              </w:rPr>
            </w:pPr>
            <w:r w:rsidRPr="00D854B4">
              <w:t>-$5,220,584</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6613D334" w14:textId="55A56268" w:rsidR="00483A5F" w:rsidRPr="00CE28E3" w:rsidRDefault="00483A5F" w:rsidP="008F202C">
            <w:pPr>
              <w:pStyle w:val="TableText"/>
              <w:keepNext/>
              <w:jc w:val="right"/>
              <w:rPr>
                <w:b/>
                <w:bCs/>
              </w:rPr>
            </w:pPr>
            <w:r w:rsidRPr="00D854B4">
              <w:t>-$5,296,240</w:t>
            </w:r>
          </w:p>
        </w:tc>
        <w:tc>
          <w:tcPr>
            <w:tcW w:w="1195" w:type="dxa"/>
            <w:tcBorders>
              <w:top w:val="nil"/>
              <w:left w:val="nil"/>
              <w:bottom w:val="single" w:sz="8" w:space="0" w:color="auto"/>
              <w:right w:val="single" w:sz="8" w:space="0" w:color="auto"/>
            </w:tcBorders>
            <w:tcMar>
              <w:top w:w="0" w:type="dxa"/>
              <w:left w:w="108" w:type="dxa"/>
              <w:bottom w:w="0" w:type="dxa"/>
              <w:right w:w="108" w:type="dxa"/>
            </w:tcMar>
          </w:tcPr>
          <w:p w14:paraId="219A632F" w14:textId="44BD165C" w:rsidR="00483A5F" w:rsidRPr="00CE28E3" w:rsidRDefault="00483A5F" w:rsidP="008F202C">
            <w:pPr>
              <w:pStyle w:val="TableText"/>
              <w:keepNext/>
              <w:jc w:val="right"/>
              <w:rPr>
                <w:b/>
                <w:bCs/>
              </w:rPr>
            </w:pPr>
            <w:r w:rsidRPr="00D854B4">
              <w:t>-$5,372,179</w:t>
            </w:r>
          </w:p>
        </w:tc>
        <w:tc>
          <w:tcPr>
            <w:tcW w:w="1196" w:type="dxa"/>
            <w:tcBorders>
              <w:top w:val="nil"/>
              <w:left w:val="nil"/>
              <w:bottom w:val="single" w:sz="8" w:space="0" w:color="auto"/>
              <w:right w:val="single" w:sz="8" w:space="0" w:color="auto"/>
            </w:tcBorders>
            <w:tcMar>
              <w:top w:w="0" w:type="dxa"/>
              <w:left w:w="108" w:type="dxa"/>
              <w:bottom w:w="0" w:type="dxa"/>
              <w:right w:w="108" w:type="dxa"/>
            </w:tcMar>
          </w:tcPr>
          <w:p w14:paraId="3ADBCE21" w14:textId="250F9473" w:rsidR="00483A5F" w:rsidRPr="00CE28E3" w:rsidRDefault="00483A5F" w:rsidP="008F202C">
            <w:pPr>
              <w:pStyle w:val="TableText"/>
              <w:keepNext/>
              <w:jc w:val="right"/>
              <w:rPr>
                <w:b/>
                <w:bCs/>
              </w:rPr>
            </w:pPr>
            <w:r w:rsidRPr="00D854B4">
              <w:t>-$5,446,992</w:t>
            </w:r>
          </w:p>
        </w:tc>
      </w:tr>
    </w:tbl>
    <w:p w14:paraId="146D1BF2" w14:textId="7854395F" w:rsidR="00AC2143" w:rsidRDefault="00AC2143" w:rsidP="00AC2143">
      <w:pPr>
        <w:pStyle w:val="Tablenotes0"/>
      </w:pPr>
      <w:bookmarkStart w:id="49" w:name="_Hlk68276814"/>
      <w:bookmarkEnd w:id="48"/>
      <w:r w:rsidRPr="00FF725D">
        <w:rPr>
          <w:b/>
        </w:rPr>
        <w:t>Abbreviations:</w:t>
      </w:r>
      <w:r>
        <w:t xml:space="preserve"> </w:t>
      </w:r>
      <w:r w:rsidR="003C3D3E">
        <w:t xml:space="preserve">ADAR, Applicant Developed Assessment Report; </w:t>
      </w:r>
      <w:r>
        <w:t>GP, general practi</w:t>
      </w:r>
      <w:r w:rsidR="003C3D3E">
        <w:t>tioner</w:t>
      </w:r>
      <w:r>
        <w:t>; MBS, Medicare Benefits Schedule</w:t>
      </w:r>
      <w:r w:rsidR="003C3D3E">
        <w:t>; NT-</w:t>
      </w:r>
      <w:proofErr w:type="spellStart"/>
      <w:r w:rsidR="003C3D3E">
        <w:t>proBNP</w:t>
      </w:r>
      <w:proofErr w:type="spellEnd"/>
      <w:r w:rsidR="003C3D3E">
        <w:t xml:space="preserve">, </w:t>
      </w:r>
      <w:r w:rsidR="003C3D3E" w:rsidRPr="004A1258">
        <w:rPr>
          <w:szCs w:val="20"/>
        </w:rPr>
        <w:t>N-terminal-pro brain natriuretic peptide</w:t>
      </w:r>
      <w:r>
        <w:t>.</w:t>
      </w:r>
    </w:p>
    <w:p w14:paraId="314B5062" w14:textId="6A50BD44" w:rsidR="00215AFB" w:rsidRDefault="00227AC5" w:rsidP="00227AC5">
      <w:pPr>
        <w:pStyle w:val="Tablenotes0"/>
      </w:pPr>
      <w:r w:rsidRPr="00FF725D">
        <w:rPr>
          <w:b/>
        </w:rPr>
        <w:t>Source:</w:t>
      </w:r>
      <w:r>
        <w:t xml:space="preserve"> Table 50</w:t>
      </w:r>
      <w:r w:rsidRPr="00227AC5">
        <w:t xml:space="preserve"> </w:t>
      </w:r>
      <w:r>
        <w:t>from MSAC 1740 ADAR+ in-line commentary</w:t>
      </w:r>
    </w:p>
    <w:p w14:paraId="0E0CA561" w14:textId="20F82776" w:rsidR="00CA4D1D" w:rsidRDefault="00CA4D1D" w:rsidP="00227AC5">
      <w:pPr>
        <w:pStyle w:val="Tablenotes0"/>
      </w:pPr>
      <w:r>
        <w:t>#</w:t>
      </w:r>
      <w:r w:rsidR="00A61FF5">
        <w:t xml:space="preserve"> </w:t>
      </w:r>
      <w:r>
        <w:t>Note that</w:t>
      </w:r>
      <w:r w:rsidR="00A61FF5">
        <w:t xml:space="preserve"> these costings are only for the </w:t>
      </w:r>
      <w:r w:rsidR="006242D5">
        <w:t xml:space="preserve">patient population </w:t>
      </w:r>
      <w:r w:rsidR="000503B6">
        <w:t xml:space="preserve">initially </w:t>
      </w:r>
      <w:r w:rsidR="0018185E">
        <w:t>presenting to</w:t>
      </w:r>
      <w:r w:rsidR="000503B6">
        <w:t xml:space="preserve"> the </w:t>
      </w:r>
      <w:r w:rsidR="00503ED3">
        <w:t xml:space="preserve">primary care setting, which </w:t>
      </w:r>
      <w:r w:rsidR="006C3797">
        <w:t xml:space="preserve">applies only to proposed MBS item AAAA. </w:t>
      </w:r>
      <w:r w:rsidR="00F4480C">
        <w:t xml:space="preserve">The ADAR </w:t>
      </w:r>
      <w:r w:rsidR="00705C6E">
        <w:t>did not provide</w:t>
      </w:r>
      <w:r w:rsidR="00B0665B">
        <w:t xml:space="preserve"> </w:t>
      </w:r>
      <w:r w:rsidR="00C02D6E">
        <w:t xml:space="preserve">a clinical evaluation or economic analysis of the </w:t>
      </w:r>
      <w:r w:rsidR="000F466B">
        <w:t xml:space="preserve">population seen by the </w:t>
      </w:r>
      <w:r w:rsidR="00C02D6E">
        <w:t>specialist care setting</w:t>
      </w:r>
      <w:r w:rsidR="003D6CEA">
        <w:t>, which relates to proposed MBS item BBBB</w:t>
      </w:r>
      <w:r w:rsidR="005317CD">
        <w:t>. T</w:t>
      </w:r>
      <w:r w:rsidR="00651AEB">
        <w:t>herefore</w:t>
      </w:r>
      <w:r w:rsidR="009F7C33">
        <w:t>,</w:t>
      </w:r>
      <w:r w:rsidR="00651AEB">
        <w:t xml:space="preserve"> the </w:t>
      </w:r>
      <w:r w:rsidR="009F7C33">
        <w:t xml:space="preserve">commentary has not included the </w:t>
      </w:r>
      <w:r w:rsidR="00651AEB">
        <w:t xml:space="preserve">financial analysis for item BBBB </w:t>
      </w:r>
      <w:r w:rsidR="00DB451F">
        <w:t xml:space="preserve">in this section. </w:t>
      </w:r>
      <w:r>
        <w:t xml:space="preserve"> </w:t>
      </w:r>
    </w:p>
    <w:p w14:paraId="1D4D6943" w14:textId="78E3F918" w:rsidR="00A317E0" w:rsidRDefault="00EF54A3" w:rsidP="00A317E0">
      <w:r>
        <w:t>The commentary provided a</w:t>
      </w:r>
      <w:r w:rsidR="00A317E0" w:rsidRPr="00A317E0">
        <w:t xml:space="preserve">n </w:t>
      </w:r>
      <w:r>
        <w:t>updated</w:t>
      </w:r>
      <w:r w:rsidRPr="00A317E0">
        <w:t xml:space="preserve"> </w:t>
      </w:r>
      <w:r w:rsidR="00A317E0" w:rsidRPr="00A317E0">
        <w:t xml:space="preserve">analysis using sensitivity and specificity from </w:t>
      </w:r>
      <w:proofErr w:type="spellStart"/>
      <w:r w:rsidR="00A317E0" w:rsidRPr="00A317E0">
        <w:t>Zaphiriou</w:t>
      </w:r>
      <w:proofErr w:type="spellEnd"/>
      <w:r w:rsidR="00D964D9">
        <w:t xml:space="preserve"> et al</w:t>
      </w:r>
      <w:r w:rsidR="00A317E0" w:rsidRPr="00A317E0">
        <w:t xml:space="preserve"> (2005), updat</w:t>
      </w:r>
      <w:r>
        <w:t>ed</w:t>
      </w:r>
      <w:r w:rsidR="00A317E0" w:rsidRPr="00A317E0">
        <w:t xml:space="preserve"> MBS </w:t>
      </w:r>
      <w:r>
        <w:t>fees</w:t>
      </w:r>
      <w:r w:rsidR="00A317E0" w:rsidRPr="00A317E0">
        <w:t>, including an additional GP visit to receive NT-</w:t>
      </w:r>
      <w:proofErr w:type="spellStart"/>
      <w:r w:rsidR="00A317E0" w:rsidRPr="00A317E0">
        <w:t>proBNP</w:t>
      </w:r>
      <w:proofErr w:type="spellEnd"/>
      <w:r w:rsidR="00A317E0" w:rsidRPr="00A317E0">
        <w:t xml:space="preserve"> test results</w:t>
      </w:r>
      <w:r w:rsidR="00B43F93">
        <w:t>, an additional GP visit to receive echocardiography results</w:t>
      </w:r>
      <w:r w:rsidR="00A317E0" w:rsidRPr="00A317E0">
        <w:t xml:space="preserve"> and assuming all patients </w:t>
      </w:r>
      <w:r>
        <w:t>we</w:t>
      </w:r>
      <w:r w:rsidR="00A317E0" w:rsidRPr="00A317E0">
        <w:t xml:space="preserve">re treated in primary care. In this </w:t>
      </w:r>
      <w:r w:rsidR="001B3B50">
        <w:t xml:space="preserve">revised </w:t>
      </w:r>
      <w:r>
        <w:t>analysis</w:t>
      </w:r>
      <w:r w:rsidR="001B3B50">
        <w:t>,</w:t>
      </w:r>
      <w:r>
        <w:t xml:space="preserve"> net</w:t>
      </w:r>
      <w:r w:rsidRPr="00A317E0">
        <w:t xml:space="preserve"> </w:t>
      </w:r>
      <w:r w:rsidR="00A317E0" w:rsidRPr="00A317E0">
        <w:t xml:space="preserve">cost savings </w:t>
      </w:r>
      <w:r>
        <w:t>to the MBS we</w:t>
      </w:r>
      <w:r w:rsidR="00A317E0" w:rsidRPr="00A317E0">
        <w:t xml:space="preserve">re smaller, increasing from </w:t>
      </w:r>
      <w:r w:rsidR="00BC5E49" w:rsidRPr="00E525F5">
        <w:t>$2,050,786</w:t>
      </w:r>
      <w:r w:rsidR="00BC5E49">
        <w:t xml:space="preserve"> in 2024 to </w:t>
      </w:r>
      <w:r w:rsidR="00BC5E49" w:rsidRPr="00E525F5">
        <w:t>$3,749,889</w:t>
      </w:r>
      <w:r w:rsidR="00BC5E49">
        <w:t xml:space="preserve"> in 2029</w:t>
      </w:r>
      <w:r w:rsidR="00A317E0" w:rsidRPr="00A317E0">
        <w:t xml:space="preserve">. The reduced </w:t>
      </w:r>
      <w:r>
        <w:t xml:space="preserve">net </w:t>
      </w:r>
      <w:r w:rsidR="00A317E0" w:rsidRPr="00A317E0">
        <w:t xml:space="preserve">cost savings </w:t>
      </w:r>
      <w:r>
        <w:t>we</w:t>
      </w:r>
      <w:r w:rsidR="00A317E0" w:rsidRPr="00A317E0">
        <w:t>re driven by the assumption of a second GP visit to receive NT-</w:t>
      </w:r>
      <w:proofErr w:type="spellStart"/>
      <w:r w:rsidR="00A317E0" w:rsidRPr="00A317E0">
        <w:t>proBNP</w:t>
      </w:r>
      <w:proofErr w:type="spellEnd"/>
      <w:r w:rsidR="00A317E0" w:rsidRPr="00A317E0">
        <w:t xml:space="preserve"> test results and plan follow-up (echocardiography or alternative tests or referrals).</w:t>
      </w:r>
      <w:r w:rsidR="00485608" w:rsidRPr="00485608">
        <w:t xml:space="preserve"> </w:t>
      </w:r>
      <w:r w:rsidR="00485608">
        <w:t xml:space="preserve">Follow-up tests for HF negative patients </w:t>
      </w:r>
      <w:r>
        <w:t>we</w:t>
      </w:r>
      <w:r w:rsidR="00485608">
        <w:t>re not included in the analysis and may negate some savings.</w:t>
      </w:r>
    </w:p>
    <w:p w14:paraId="6A4CCFC8" w14:textId="4C43993E" w:rsidR="006C6B99" w:rsidRDefault="0056740D" w:rsidP="00A317E0">
      <w:r>
        <w:t>A</w:t>
      </w:r>
      <w:r w:rsidR="00785C61">
        <w:t>lthough the</w:t>
      </w:r>
      <w:r w:rsidR="00FB0BEC">
        <w:t xml:space="preserve"> financial analysis demonstrate</w:t>
      </w:r>
      <w:r w:rsidR="00EF54A3">
        <w:t>d</w:t>
      </w:r>
      <w:r w:rsidR="00FB0BEC">
        <w:t xml:space="preserve"> </w:t>
      </w:r>
      <w:r w:rsidR="00785C61">
        <w:t xml:space="preserve">a theoretical </w:t>
      </w:r>
      <w:r w:rsidR="00EF54A3">
        <w:t xml:space="preserve">net </w:t>
      </w:r>
      <w:r w:rsidR="00785C61">
        <w:t xml:space="preserve">cost-saving </w:t>
      </w:r>
      <w:r w:rsidR="00EF54A3">
        <w:t xml:space="preserve">to the MBS </w:t>
      </w:r>
      <w:r w:rsidR="00785C61">
        <w:t xml:space="preserve">due to reduced use of echocardiography, </w:t>
      </w:r>
      <w:r w:rsidR="00EF54A3">
        <w:t xml:space="preserve">the commentary considered that </w:t>
      </w:r>
      <w:r w:rsidR="00785C61">
        <w:t xml:space="preserve">actual savings </w:t>
      </w:r>
      <w:r w:rsidR="00EF54A3">
        <w:t>we</w:t>
      </w:r>
      <w:r w:rsidR="00785C61">
        <w:t>re highly uncertain</w:t>
      </w:r>
      <w:r>
        <w:t xml:space="preserve"> due to uncertain referral patterns, low adherence to guidelines (</w:t>
      </w:r>
      <w:proofErr w:type="spellStart"/>
      <w:r>
        <w:t>Sindone</w:t>
      </w:r>
      <w:proofErr w:type="spellEnd"/>
      <w:r w:rsidR="00D964D9">
        <w:t xml:space="preserve"> et al</w:t>
      </w:r>
      <w:r>
        <w:t xml:space="preserve">, 2021; </w:t>
      </w:r>
      <w:proofErr w:type="spellStart"/>
      <w:r>
        <w:t>Hayhoe</w:t>
      </w:r>
      <w:proofErr w:type="spellEnd"/>
      <w:r w:rsidR="00D964D9">
        <w:t xml:space="preserve"> et al</w:t>
      </w:r>
      <w:r>
        <w:t>, 2018, and clinical evidence that showed no change in service use (</w:t>
      </w:r>
      <w:r>
        <w:fldChar w:fldCharType="begin"/>
      </w:r>
      <w:r>
        <w:instrText xml:space="preserve"> REF _Ref141820966 \h </w:instrText>
      </w:r>
      <w:r>
        <w:fldChar w:fldCharType="separate"/>
      </w:r>
      <w:r w:rsidR="00472DB9">
        <w:t xml:space="preserve">Table </w:t>
      </w:r>
      <w:r w:rsidR="00472DB9">
        <w:rPr>
          <w:noProof/>
        </w:rPr>
        <w:t>11</w:t>
      </w:r>
      <w:r>
        <w:fldChar w:fldCharType="end"/>
      </w:r>
      <w:r>
        <w:t>)</w:t>
      </w:r>
      <w:r w:rsidR="00785C61">
        <w:t>.</w:t>
      </w:r>
      <w:r w:rsidR="00FB0BEC">
        <w:t xml:space="preserve"> This </w:t>
      </w:r>
      <w:r w:rsidR="00EF54A3">
        <w:t>wa</w:t>
      </w:r>
      <w:r w:rsidR="00FB0BEC">
        <w:t xml:space="preserve">s the same conclusion as </w:t>
      </w:r>
      <w:r w:rsidR="007A5B99">
        <w:t>for the economic analysis.</w:t>
      </w:r>
    </w:p>
    <w:p w14:paraId="061F9943" w14:textId="1CD62093" w:rsidR="001D337A" w:rsidRDefault="00F2515C" w:rsidP="00A317E0">
      <w:r>
        <w:t xml:space="preserve">GP consultations and echocardiography can </w:t>
      </w:r>
      <w:r w:rsidR="00704944">
        <w:t xml:space="preserve">both </w:t>
      </w:r>
      <w:r w:rsidR="00133A7F">
        <w:t>incur</w:t>
      </w:r>
      <w:r>
        <w:t xml:space="preserve"> out</w:t>
      </w:r>
      <w:r w:rsidR="00C7719D">
        <w:t>-</w:t>
      </w:r>
      <w:r>
        <w:t>of</w:t>
      </w:r>
      <w:r w:rsidR="00C7719D">
        <w:t>-</w:t>
      </w:r>
      <w:r>
        <w:t>pocket costs</w:t>
      </w:r>
      <w:r w:rsidR="00C7719D">
        <w:t xml:space="preserve"> to patients</w:t>
      </w:r>
      <w:r>
        <w:t>. The average out</w:t>
      </w:r>
      <w:r w:rsidR="00C7719D">
        <w:t>-</w:t>
      </w:r>
      <w:r>
        <w:t>of</w:t>
      </w:r>
      <w:r w:rsidR="00C7719D">
        <w:t>-</w:t>
      </w:r>
      <w:r>
        <w:t>pocket cost for echocardiography was $102 in 2014</w:t>
      </w:r>
      <w:r w:rsidR="0089056B">
        <w:t xml:space="preserve"> (ACSQH, 2018)</w:t>
      </w:r>
      <w:r>
        <w:t>. If out</w:t>
      </w:r>
      <w:r w:rsidR="00C7719D">
        <w:t>-</w:t>
      </w:r>
      <w:r>
        <w:t>of</w:t>
      </w:r>
      <w:r w:rsidR="00C7719D">
        <w:t>-</w:t>
      </w:r>
      <w:r>
        <w:t xml:space="preserve">pocket costs </w:t>
      </w:r>
      <w:r w:rsidR="00133A7F">
        <w:t>we</w:t>
      </w:r>
      <w:r>
        <w:t xml:space="preserve">re driven by echocardiography </w:t>
      </w:r>
      <w:r w:rsidR="00EA1D7C">
        <w:t>referral,</w:t>
      </w:r>
      <w:r>
        <w:t xml:space="preserve"> then the overall impact on out</w:t>
      </w:r>
      <w:r w:rsidR="00C7719D">
        <w:t>-</w:t>
      </w:r>
      <w:r>
        <w:t>of</w:t>
      </w:r>
      <w:r w:rsidR="00C7719D">
        <w:t>-</w:t>
      </w:r>
      <w:r>
        <w:t xml:space="preserve">pocket costs will depend </w:t>
      </w:r>
      <w:r w:rsidR="00655626">
        <w:t xml:space="preserve">on </w:t>
      </w:r>
      <w:r w:rsidR="00727C3E">
        <w:t>the frequency of echocardiography referral</w:t>
      </w:r>
      <w:r w:rsidR="00B36FBC">
        <w:t>.</w:t>
      </w:r>
    </w:p>
    <w:p w14:paraId="4AFC0B69" w14:textId="4D6218D8" w:rsidR="008767A3" w:rsidRDefault="00405ACA" w:rsidP="00A317E0">
      <w:r>
        <w:t xml:space="preserve">The impact on other health budgets was uncertain. </w:t>
      </w:r>
      <w:r w:rsidR="008767A3" w:rsidRPr="008767A3">
        <w:t xml:space="preserve">The SHAPE study of </w:t>
      </w:r>
      <w:r w:rsidR="00603E8E">
        <w:t xml:space="preserve">the management </w:t>
      </w:r>
      <w:r w:rsidR="00F71DB5">
        <w:t xml:space="preserve">of </w:t>
      </w:r>
      <w:r w:rsidR="008767A3" w:rsidRPr="008767A3">
        <w:t xml:space="preserve">HF in Australian primary care reported </w:t>
      </w:r>
      <w:r w:rsidR="00584C52">
        <w:t xml:space="preserve">limited </w:t>
      </w:r>
      <w:r w:rsidR="008767A3" w:rsidRPr="008767A3">
        <w:t xml:space="preserve">use of guideline recommended therapies </w:t>
      </w:r>
      <w:r w:rsidR="00DE52E6">
        <w:t xml:space="preserve">for HF </w:t>
      </w:r>
      <w:r w:rsidR="008767A3" w:rsidRPr="008767A3">
        <w:t>and frequent use of medications that may worsen HF (</w:t>
      </w:r>
      <w:proofErr w:type="spellStart"/>
      <w:r w:rsidR="008767A3" w:rsidRPr="008767A3">
        <w:t>Sindone</w:t>
      </w:r>
      <w:proofErr w:type="spellEnd"/>
      <w:r w:rsidR="007D5CFF">
        <w:t xml:space="preserve"> et al</w:t>
      </w:r>
      <w:r w:rsidR="008767A3" w:rsidRPr="008767A3">
        <w:t xml:space="preserve">, 2021). It </w:t>
      </w:r>
      <w:r w:rsidR="00973409">
        <w:t>wa</w:t>
      </w:r>
      <w:r w:rsidR="008767A3" w:rsidRPr="008767A3">
        <w:t xml:space="preserve">s therefore </w:t>
      </w:r>
      <w:r>
        <w:t>unclear</w:t>
      </w:r>
      <w:r w:rsidR="008767A3" w:rsidRPr="008767A3">
        <w:t xml:space="preserve">, </w:t>
      </w:r>
      <w:r w:rsidR="008767A3" w:rsidRPr="008767A3">
        <w:lastRenderedPageBreak/>
        <w:t xml:space="preserve">on </w:t>
      </w:r>
      <w:r w:rsidR="00EA1D7C" w:rsidRPr="008767A3">
        <w:t>its</w:t>
      </w:r>
      <w:r w:rsidR="008767A3" w:rsidRPr="008767A3">
        <w:t xml:space="preserve"> own, </w:t>
      </w:r>
      <w:r>
        <w:t>whether</w:t>
      </w:r>
      <w:r w:rsidRPr="008767A3">
        <w:t xml:space="preserve"> </w:t>
      </w:r>
      <w:r w:rsidR="008767A3" w:rsidRPr="008767A3">
        <w:t>the implementation of NT-</w:t>
      </w:r>
      <w:proofErr w:type="spellStart"/>
      <w:r w:rsidR="008767A3" w:rsidRPr="008767A3">
        <w:t>proBNP</w:t>
      </w:r>
      <w:proofErr w:type="spellEnd"/>
      <w:r w:rsidR="008767A3" w:rsidRPr="008767A3">
        <w:t xml:space="preserve"> would have a significant impact on the </w:t>
      </w:r>
      <w:r w:rsidR="00DD5D88">
        <w:t>Pharmaceutical Benefits Scheme (</w:t>
      </w:r>
      <w:r w:rsidR="008767A3" w:rsidRPr="008767A3">
        <w:t>PBS</w:t>
      </w:r>
      <w:r w:rsidR="00DD5D88">
        <w:t>)</w:t>
      </w:r>
      <w:r w:rsidR="008767A3" w:rsidRPr="008767A3">
        <w:t xml:space="preserve"> budget.</w:t>
      </w:r>
    </w:p>
    <w:p w14:paraId="34012915" w14:textId="2064FD5A" w:rsidR="008F108A" w:rsidRDefault="008F108A" w:rsidP="00A317E0">
      <w:r w:rsidRPr="008F108A">
        <w:t xml:space="preserve">Two studies </w:t>
      </w:r>
      <w:r w:rsidR="00AA6F68">
        <w:t>were</w:t>
      </w:r>
      <w:r w:rsidRPr="008F108A">
        <w:t xml:space="preserve"> identified </w:t>
      </w:r>
      <w:r w:rsidR="00FE6720">
        <w:t xml:space="preserve">by the commentary </w:t>
      </w:r>
      <w:r w:rsidR="00B24FA3">
        <w:t>that</w:t>
      </w:r>
      <w:r w:rsidR="00B24FA3" w:rsidRPr="008F108A">
        <w:t xml:space="preserve"> </w:t>
      </w:r>
      <w:r w:rsidRPr="008F108A">
        <w:t xml:space="preserve">report </w:t>
      </w:r>
      <w:r w:rsidR="00B24FA3">
        <w:t>NT-</w:t>
      </w:r>
      <w:proofErr w:type="spellStart"/>
      <w:r w:rsidR="00B24FA3">
        <w:t>proBNP</w:t>
      </w:r>
      <w:proofErr w:type="spellEnd"/>
      <w:r w:rsidR="00B24FA3">
        <w:t xml:space="preserve"> </w:t>
      </w:r>
      <w:r w:rsidRPr="008F108A">
        <w:t>uptake rates in</w:t>
      </w:r>
      <w:r w:rsidR="00020CA1">
        <w:t xml:space="preserve"> primary care in</w:t>
      </w:r>
      <w:r w:rsidRPr="008F108A">
        <w:t xml:space="preserve"> the Netherlands (</w:t>
      </w:r>
      <w:proofErr w:type="spellStart"/>
      <w:r w:rsidRPr="008F108A">
        <w:t>Valk</w:t>
      </w:r>
      <w:proofErr w:type="spellEnd"/>
      <w:r w:rsidR="00D964D9">
        <w:t xml:space="preserve"> et al</w:t>
      </w:r>
      <w:r w:rsidRPr="008F108A">
        <w:t>, 2020</w:t>
      </w:r>
      <w:r>
        <w:rPr>
          <w:rStyle w:val="FootnoteReference"/>
        </w:rPr>
        <w:footnoteReference w:id="24"/>
      </w:r>
      <w:r w:rsidRPr="008F108A">
        <w:t>) and the UK (</w:t>
      </w:r>
      <w:proofErr w:type="spellStart"/>
      <w:r w:rsidRPr="008F108A">
        <w:t>Roalfe</w:t>
      </w:r>
      <w:proofErr w:type="spellEnd"/>
      <w:r w:rsidR="00D964D9">
        <w:t xml:space="preserve"> et al</w:t>
      </w:r>
      <w:r w:rsidRPr="008F108A">
        <w:t>, 2022</w:t>
      </w:r>
      <w:r w:rsidR="00242022">
        <w:rPr>
          <w:rStyle w:val="FootnoteReference"/>
        </w:rPr>
        <w:footnoteReference w:id="25"/>
      </w:r>
      <w:r w:rsidRPr="008F108A">
        <w:t xml:space="preserve">). </w:t>
      </w:r>
      <w:r w:rsidR="004006A4">
        <w:t>In the Netherlands,</w:t>
      </w:r>
      <w:r w:rsidRPr="008F108A">
        <w:t xml:space="preserve"> there were 2.5 </w:t>
      </w:r>
      <w:r w:rsidR="00B41230">
        <w:t>requests</w:t>
      </w:r>
      <w:r w:rsidR="00B41230" w:rsidRPr="008F108A">
        <w:t xml:space="preserve"> </w:t>
      </w:r>
      <w:r w:rsidRPr="008F108A">
        <w:t xml:space="preserve">per 1000 person years (PY) in 2005, increasing to 15.6 </w:t>
      </w:r>
      <w:r w:rsidR="00B41230">
        <w:t>requests</w:t>
      </w:r>
      <w:r w:rsidR="00B41230" w:rsidRPr="008F108A">
        <w:t xml:space="preserve"> </w:t>
      </w:r>
      <w:r w:rsidRPr="008F108A">
        <w:t xml:space="preserve">per 1000 PY in 2009 after which the rate stabilised. The study period ended in 2013 with 14.0 </w:t>
      </w:r>
      <w:r w:rsidR="00B41230">
        <w:t>requests</w:t>
      </w:r>
      <w:r w:rsidR="00B41230" w:rsidRPr="008F108A">
        <w:t xml:space="preserve"> </w:t>
      </w:r>
      <w:r w:rsidRPr="008F108A">
        <w:t xml:space="preserve">per 1000 PY. </w:t>
      </w:r>
      <w:r w:rsidR="004006A4">
        <w:t>In the UK,</w:t>
      </w:r>
      <w:r w:rsidRPr="008F108A">
        <w:t xml:space="preserve"> there were 0.24 </w:t>
      </w:r>
      <w:r w:rsidR="00B41230">
        <w:t>requests</w:t>
      </w:r>
      <w:r w:rsidR="00B41230" w:rsidRPr="008F108A">
        <w:t xml:space="preserve"> </w:t>
      </w:r>
      <w:r w:rsidRPr="008F108A">
        <w:t>per 1000 PY in 2004</w:t>
      </w:r>
      <w:r w:rsidR="00B41230">
        <w:t>,</w:t>
      </w:r>
      <w:r w:rsidRPr="008F108A">
        <w:t xml:space="preserve"> which increased each year to 16.88 </w:t>
      </w:r>
      <w:r w:rsidR="00B41230">
        <w:t>requests</w:t>
      </w:r>
      <w:r w:rsidR="00B41230" w:rsidRPr="008F108A">
        <w:t xml:space="preserve"> </w:t>
      </w:r>
      <w:r w:rsidRPr="008F108A">
        <w:t>per 1000 PY in 2018. Both studies concluded that NT-</w:t>
      </w:r>
      <w:proofErr w:type="spellStart"/>
      <w:r w:rsidRPr="008F108A">
        <w:t>proBNP</w:t>
      </w:r>
      <w:proofErr w:type="spellEnd"/>
      <w:r w:rsidRPr="008F108A">
        <w:t xml:space="preserve"> testing was underutilised in primary care. These studies may provide an alternative estimate of potential utilisation, and uptake,</w:t>
      </w:r>
      <w:r w:rsidR="00E22328">
        <w:t xml:space="preserve"> of NT-</w:t>
      </w:r>
      <w:proofErr w:type="spellStart"/>
      <w:r w:rsidR="00E22328">
        <w:t>proBNP</w:t>
      </w:r>
      <w:proofErr w:type="spellEnd"/>
      <w:r w:rsidR="00E22328">
        <w:t xml:space="preserve"> testing</w:t>
      </w:r>
      <w:r w:rsidRPr="008F108A">
        <w:t xml:space="preserve"> in primary care in Australia. The underutilisation of NT-</w:t>
      </w:r>
      <w:proofErr w:type="spellStart"/>
      <w:r w:rsidRPr="008F108A">
        <w:t>proBNP</w:t>
      </w:r>
      <w:proofErr w:type="spellEnd"/>
      <w:r w:rsidRPr="008F108A">
        <w:t xml:space="preserve"> testing in primary care </w:t>
      </w:r>
      <w:r w:rsidR="004C5C5F">
        <w:t xml:space="preserve">overseas </w:t>
      </w:r>
      <w:r w:rsidR="00E03701">
        <w:t xml:space="preserve">may </w:t>
      </w:r>
      <w:r w:rsidR="00497F3D">
        <w:t>also take place in Australia,</w:t>
      </w:r>
      <w:r w:rsidRPr="008F108A">
        <w:t xml:space="preserve"> given </w:t>
      </w:r>
      <w:r w:rsidR="00A71926">
        <w:t xml:space="preserve">actual </w:t>
      </w:r>
      <w:r w:rsidR="00482C48">
        <w:t>NT-</w:t>
      </w:r>
      <w:proofErr w:type="spellStart"/>
      <w:r w:rsidR="00482C48">
        <w:t>proBNP</w:t>
      </w:r>
      <w:proofErr w:type="spellEnd"/>
      <w:r w:rsidR="00482C48">
        <w:t xml:space="preserve"> testing in the </w:t>
      </w:r>
      <w:r w:rsidR="00F16F1D">
        <w:t>emergency department</w:t>
      </w:r>
      <w:r w:rsidR="00482C48">
        <w:t xml:space="preserve"> was found in 2017 to be used less than had been estimated in the assessment</w:t>
      </w:r>
      <w:r w:rsidRPr="008F108A">
        <w:t>.</w:t>
      </w:r>
    </w:p>
    <w:p w14:paraId="391F0BA5" w14:textId="597573FD" w:rsidR="007A5B99" w:rsidRDefault="00942058" w:rsidP="00A317E0">
      <w:r>
        <w:t xml:space="preserve">The </w:t>
      </w:r>
      <w:r w:rsidR="00EF53E9">
        <w:t xml:space="preserve">commentary considered that the </w:t>
      </w:r>
      <w:r>
        <w:t xml:space="preserve">financial/budgetary </w:t>
      </w:r>
      <w:r w:rsidR="002918AA">
        <w:t xml:space="preserve">impact of </w:t>
      </w:r>
      <w:r w:rsidR="007A5B99">
        <w:t>PI</w:t>
      </w:r>
      <w:r w:rsidR="00B24FA3">
        <w:t>C</w:t>
      </w:r>
      <w:r w:rsidR="007A5B99">
        <w:t>O set 2 was not appropriately addressed.</w:t>
      </w:r>
    </w:p>
    <w:p w14:paraId="7838A9FF" w14:textId="6350716C" w:rsidR="00772829" w:rsidRPr="00CE28E3" w:rsidRDefault="00C36633" w:rsidP="002A18BE">
      <w:pPr>
        <w:pStyle w:val="Heading2"/>
        <w:numPr>
          <w:ilvl w:val="0"/>
          <w:numId w:val="0"/>
        </w:numPr>
      </w:pPr>
      <w:bookmarkStart w:id="50" w:name="_Toc69491427"/>
      <w:bookmarkEnd w:id="49"/>
      <w:r>
        <w:t>1</w:t>
      </w:r>
      <w:r w:rsidR="00AB25C3">
        <w:t>5</w:t>
      </w:r>
      <w:r>
        <w:t>.</w:t>
      </w:r>
      <w:r>
        <w:tab/>
      </w:r>
      <w:r w:rsidR="00772829" w:rsidRPr="00CE28E3">
        <w:t xml:space="preserve">Other relevant </w:t>
      </w:r>
      <w:bookmarkEnd w:id="50"/>
      <w:r w:rsidR="00FA5766">
        <w:t>information</w:t>
      </w:r>
    </w:p>
    <w:p w14:paraId="0CCC8FC5" w14:textId="6DC00441" w:rsidR="002F7C49" w:rsidRDefault="002F7C49" w:rsidP="002F7C49">
      <w:bookmarkStart w:id="51" w:name="_Toc69491428"/>
      <w:r>
        <w:t xml:space="preserve">Considerations raised in the </w:t>
      </w:r>
      <w:r w:rsidR="002918AA">
        <w:t>R</w:t>
      </w:r>
      <w:r>
        <w:t xml:space="preserve">atified PICO Confirmation and the ADAR, but that </w:t>
      </w:r>
      <w:r w:rsidR="00482C48">
        <w:t xml:space="preserve">were </w:t>
      </w:r>
      <w:r>
        <w:t xml:space="preserve">not explored in the </w:t>
      </w:r>
      <w:r w:rsidR="00482C48">
        <w:t xml:space="preserve">ADAR </w:t>
      </w:r>
      <w:r>
        <w:t>include</w:t>
      </w:r>
      <w:r w:rsidR="003F1A4F">
        <w:t>d</w:t>
      </w:r>
      <w:r>
        <w:t>:</w:t>
      </w:r>
    </w:p>
    <w:p w14:paraId="1EB41F28" w14:textId="299FEF1D" w:rsidR="002F7C49" w:rsidRDefault="002A471F" w:rsidP="001A44E9">
      <w:pPr>
        <w:pStyle w:val="ListParagraph"/>
        <w:numPr>
          <w:ilvl w:val="0"/>
          <w:numId w:val="14"/>
        </w:numPr>
      </w:pPr>
      <w:r>
        <w:t>e</w:t>
      </w:r>
      <w:r w:rsidR="002F7C49">
        <w:t xml:space="preserve">quity of access to existing diagnostic services for </w:t>
      </w:r>
      <w:r>
        <w:t>HF</w:t>
      </w:r>
      <w:r w:rsidR="002F7C49">
        <w:t xml:space="preserve"> and the proposed NT-</w:t>
      </w:r>
      <w:proofErr w:type="spellStart"/>
      <w:r w:rsidR="002F7C49">
        <w:t>proBNP</w:t>
      </w:r>
      <w:proofErr w:type="spellEnd"/>
      <w:r w:rsidR="002F7C49">
        <w:t xml:space="preserve"> test (e.g.</w:t>
      </w:r>
      <w:r w:rsidR="00392DC2">
        <w:t>,</w:t>
      </w:r>
      <w:r w:rsidR="002F7C49">
        <w:t xml:space="preserve"> </w:t>
      </w:r>
      <w:proofErr w:type="gramStart"/>
      <w:r w:rsidR="002F7C49">
        <w:t>rural</w:t>
      </w:r>
      <w:proofErr w:type="gramEnd"/>
      <w:r w:rsidR="002F7C49">
        <w:t xml:space="preserve"> and remote populations)</w:t>
      </w:r>
    </w:p>
    <w:p w14:paraId="7F1C09E9" w14:textId="528ED57C" w:rsidR="002F7C49" w:rsidRDefault="002F7C49" w:rsidP="001A44E9">
      <w:pPr>
        <w:pStyle w:val="ListParagraph"/>
        <w:numPr>
          <w:ilvl w:val="0"/>
          <w:numId w:val="14"/>
        </w:numPr>
      </w:pPr>
      <w:r>
        <w:t>H</w:t>
      </w:r>
      <w:r w:rsidR="00D17CD7">
        <w:t>F</w:t>
      </w:r>
      <w:r>
        <w:t xml:space="preserve"> in Aboriginal and/or Torres Strait Islander people</w:t>
      </w:r>
    </w:p>
    <w:p w14:paraId="71B51B50" w14:textId="62B2BCF8" w:rsidR="002F7C49" w:rsidRDefault="00D17CD7" w:rsidP="001A44E9">
      <w:pPr>
        <w:pStyle w:val="ListParagraph"/>
        <w:numPr>
          <w:ilvl w:val="0"/>
          <w:numId w:val="14"/>
        </w:numPr>
      </w:pPr>
      <w:r>
        <w:t>g</w:t>
      </w:r>
      <w:r w:rsidR="002F7C49">
        <w:t xml:space="preserve">eographic and socioeconomic considerations. </w:t>
      </w:r>
      <w:bookmarkEnd w:id="51"/>
    </w:p>
    <w:p w14:paraId="73284A4F" w14:textId="77777777" w:rsidR="00AB25C3" w:rsidRDefault="00AB25C3" w:rsidP="00AB25C3">
      <w:pPr>
        <w:pStyle w:val="Heading2"/>
        <w:numPr>
          <w:ilvl w:val="0"/>
          <w:numId w:val="0"/>
        </w:numPr>
        <w:spacing w:after="0"/>
      </w:pPr>
      <w:r>
        <w:t>16.</w:t>
      </w:r>
      <w:r>
        <w:tab/>
        <w:t>Key issues from ESC to MSAC</w:t>
      </w:r>
    </w:p>
    <w:p w14:paraId="25D41C6C" w14:textId="77777777" w:rsidR="00AB25C3" w:rsidRDefault="00AB25C3" w:rsidP="00AB25C3">
      <w:pPr>
        <w:pStyle w:val="BoxName0"/>
      </w:pPr>
      <w:r w:rsidRPr="00C749CB">
        <w:t>Main issues for MSAC consideration</w:t>
      </w:r>
    </w:p>
    <w:p w14:paraId="55531527" w14:textId="77777777" w:rsidR="00AB25C3" w:rsidRDefault="00AB25C3" w:rsidP="00AB25C3">
      <w:pPr>
        <w:pStyle w:val="BoxHeading"/>
      </w:pPr>
      <w:r>
        <w:t>Clinical issues:</w:t>
      </w:r>
    </w:p>
    <w:p w14:paraId="6F5F62AA" w14:textId="77777777" w:rsidR="00AB25C3" w:rsidRPr="00383E9A" w:rsidRDefault="00AB25C3" w:rsidP="00AB25C3">
      <w:pPr>
        <w:pStyle w:val="BoxBullet"/>
        <w:rPr>
          <w:b/>
          <w:bCs/>
        </w:rPr>
      </w:pPr>
      <w:r>
        <w:t>The commentary identified point-of-care (POC) measurement of BNP studies that were not presented in the ADAR. However, it would be more appropriate to not add these studies to the evidence base, as this application proposed laboratory-based testing only.</w:t>
      </w:r>
    </w:p>
    <w:p w14:paraId="39590A5F" w14:textId="1C1C2B1A" w:rsidR="00AB25C3" w:rsidRPr="006B2AD2" w:rsidRDefault="00AB25C3" w:rsidP="00AB25C3">
      <w:pPr>
        <w:pStyle w:val="BoxBullet"/>
        <w:rPr>
          <w:b/>
          <w:bCs/>
        </w:rPr>
      </w:pPr>
      <w:r>
        <w:t>Specificity results from early studies may be unreliable, as they likely under-appreciated the potential for heart failure with preserved left ventricular ejection fraction. In addition, up to 30% of heart failure</w:t>
      </w:r>
      <w:r w:rsidR="001F29F9">
        <w:t xml:space="preserve"> with preserved ejection fraction</w:t>
      </w:r>
      <w:r>
        <w:t xml:space="preserve"> patients have BNP levels below the diagnostic threshold due to a lack of BNP release.</w:t>
      </w:r>
    </w:p>
    <w:p w14:paraId="27EFA6AB" w14:textId="77777777" w:rsidR="00AB25C3" w:rsidRDefault="00AB25C3" w:rsidP="00AB25C3">
      <w:pPr>
        <w:pStyle w:val="BoxBullet"/>
      </w:pPr>
      <w:r>
        <w:t xml:space="preserve">The ADAR mainly considered BNP testing as a triage test for referral for echocardiography, which ESC considered was more appropriate than the separation into triage testing in primary care versus additional testing in specialist care as recommended in the PICO. </w:t>
      </w:r>
    </w:p>
    <w:p w14:paraId="2FD9C4E4" w14:textId="77777777" w:rsidR="00AB25C3" w:rsidRDefault="00AB25C3" w:rsidP="00AB25C3">
      <w:pPr>
        <w:pStyle w:val="BoxBullet"/>
      </w:pPr>
      <w:r>
        <w:lastRenderedPageBreak/>
        <w:t>The clinical claim that the use of NT-</w:t>
      </w:r>
      <w:proofErr w:type="spellStart"/>
      <w:r>
        <w:t>proBNP</w:t>
      </w:r>
      <w:proofErr w:type="spellEnd"/>
      <w:r>
        <w:t xml:space="preserve"> testing ± echocardiography by specialist physicians for the diagnosis of heart failure resulted in at least non-inferior effectiveness and safety compared with echocardiography alone was reasonably justified.</w:t>
      </w:r>
    </w:p>
    <w:p w14:paraId="50631F57" w14:textId="77777777" w:rsidR="00AB25C3" w:rsidRDefault="00AB25C3" w:rsidP="00AB25C3">
      <w:pPr>
        <w:pStyle w:val="BoxBullet"/>
      </w:pPr>
      <w:r>
        <w:t>It is not practical to restrict the test to the primary care setting (GPs/nurse practitioners) or non-GP medical specialists only. The test would likely be mainly used in primary care as a filter for referral to echocardiography and/or cardiology review.</w:t>
      </w:r>
    </w:p>
    <w:p w14:paraId="05B63582" w14:textId="77777777" w:rsidR="00AB25C3" w:rsidRPr="00194327" w:rsidRDefault="00AB25C3" w:rsidP="00AB25C3">
      <w:pPr>
        <w:pStyle w:val="BoxBullet"/>
      </w:pPr>
      <w:r>
        <w:t>The service should include BNP testing in addition to NT-</w:t>
      </w:r>
      <w:proofErr w:type="spellStart"/>
      <w:r>
        <w:t>proBNP</w:t>
      </w:r>
      <w:proofErr w:type="spellEnd"/>
      <w:r>
        <w:t xml:space="preserve"> testing, to be consistent with MSAC’s advice on biomarkers under application 1689.1.</w:t>
      </w:r>
    </w:p>
    <w:p w14:paraId="3A2F7B18" w14:textId="77777777" w:rsidR="00AB25C3" w:rsidRDefault="00AB25C3" w:rsidP="00AB25C3">
      <w:pPr>
        <w:pStyle w:val="BoxHeading"/>
      </w:pPr>
      <w:r>
        <w:t>Economic issues:</w:t>
      </w:r>
    </w:p>
    <w:p w14:paraId="4A920A68" w14:textId="77777777" w:rsidR="00AB25C3" w:rsidRDefault="00AB25C3" w:rsidP="00AB25C3">
      <w:pPr>
        <w:pStyle w:val="BoxBullet"/>
      </w:pPr>
      <w:r>
        <w:t>The economic model used a decision tree and a simple structure with minimal assumptions. MSAC should consider whether this is sufficient for decision-making, or whether it is necessary to include a more complex model that requires assumptions that link testing outcomes to downstream consequences (albeit introducing uncertainty and weak or absent data on patient outcomes).</w:t>
      </w:r>
    </w:p>
    <w:p w14:paraId="5FA60495" w14:textId="77777777" w:rsidR="00AB25C3" w:rsidRDefault="00AB25C3" w:rsidP="00AB25C3">
      <w:pPr>
        <w:pStyle w:val="BoxBullet"/>
      </w:pPr>
      <w:r>
        <w:t>No evidence was provided to support the assumption in the economic model that 100% of patients in the comparator arm would receive echocardiography. Previously, MSAC did not support similar application 1087 primarily due to uncertain cost-effectiveness from the assumption of 100% echocardiography uptake in the comparator arm. MSAC considered the assumption of 100% uptake, while in line with clinical practice guideline recommendations, was unrealistic given real-world evidence suggested uptake was only 3.8-17.7%.</w:t>
      </w:r>
    </w:p>
    <w:p w14:paraId="7F0AA8EF" w14:textId="77777777" w:rsidR="00AB25C3" w:rsidRDefault="00AB25C3" w:rsidP="00AB25C3">
      <w:pPr>
        <w:pStyle w:val="BoxBullet"/>
      </w:pPr>
      <w:r>
        <w:t>The applicant departed from the PICO by performing a CEA rather than a CUA, arguing that the need for assumptions and a lack of data to support a full CUA precluded such an analysis. The CUA performed by NICE found that NT-</w:t>
      </w:r>
      <w:proofErr w:type="spellStart"/>
      <w:r>
        <w:t>proBNP</w:t>
      </w:r>
      <w:proofErr w:type="spellEnd"/>
      <w:r>
        <w:t xml:space="preserve"> testing for the diagnosis of heart failure was cost-effective, supporting the simpler model used in the application.</w:t>
      </w:r>
    </w:p>
    <w:p w14:paraId="56FFCCBD" w14:textId="77777777" w:rsidR="00AB25C3" w:rsidRDefault="00AB25C3" w:rsidP="00AB25C3">
      <w:pPr>
        <w:pStyle w:val="BoxHeading"/>
      </w:pPr>
      <w:r>
        <w:t>Financial issues:</w:t>
      </w:r>
    </w:p>
    <w:p w14:paraId="2E5E4880" w14:textId="77777777" w:rsidR="00AB25C3" w:rsidRDefault="00AB25C3" w:rsidP="00AB25C3">
      <w:pPr>
        <w:pStyle w:val="BoxBullet"/>
      </w:pPr>
      <w:r>
        <w:t>There were uncertain estimates in the financials, including the prevalence of heart failure, the use of echocardiography regardless of NT-</w:t>
      </w:r>
      <w:proofErr w:type="spellStart"/>
      <w:r>
        <w:t>proBNP</w:t>
      </w:r>
      <w:proofErr w:type="spellEnd"/>
      <w:r>
        <w:t xml:space="preserve"> test outcomes, and the use of NT-</w:t>
      </w:r>
      <w:proofErr w:type="spellStart"/>
      <w:r>
        <w:t>proBNP</w:t>
      </w:r>
      <w:proofErr w:type="spellEnd"/>
      <w:r>
        <w:t xml:space="preserve"> where echocardiography is not normally used. In the commentary’s revised estimates, most </w:t>
      </w:r>
      <w:r w:rsidDel="000F1D9E">
        <w:t>scenarios</w:t>
      </w:r>
      <w:r>
        <w:t xml:space="preserve"> remained cost saving.</w:t>
      </w:r>
    </w:p>
    <w:p w14:paraId="7210282B" w14:textId="77777777" w:rsidR="00AB25C3" w:rsidRDefault="00AB25C3" w:rsidP="00AB25C3">
      <w:pPr>
        <w:rPr>
          <w:rStyle w:val="Strong"/>
        </w:rPr>
      </w:pPr>
      <w:r w:rsidRPr="00194327">
        <w:rPr>
          <w:rStyle w:val="Strong"/>
        </w:rPr>
        <w:t>ESC discussion</w:t>
      </w:r>
    </w:p>
    <w:p w14:paraId="70E1F95F" w14:textId="77777777" w:rsidR="00AB25C3" w:rsidRDefault="00AB25C3" w:rsidP="00AB25C3">
      <w:r>
        <w:t>ESC noted that this application from Roche Diagnostics Australia Pty Ltd. requested Medicare Benefits Schedule (MBS) funding of N-terminal (NT)-pro hormone brain natriuretic peptide (NT-</w:t>
      </w:r>
      <w:proofErr w:type="spellStart"/>
      <w:r>
        <w:t>proBNP</w:t>
      </w:r>
      <w:proofErr w:type="spellEnd"/>
      <w:r>
        <w:t>) assays for the diagnosis of heart failure in patients where the diagnosis is suspected but uncertain.</w:t>
      </w:r>
    </w:p>
    <w:p w14:paraId="2828A62D" w14:textId="77777777" w:rsidR="00AB25C3" w:rsidRDefault="00AB25C3" w:rsidP="00AB25C3">
      <w:r>
        <w:t>ESC noted heart failure is a syndrome with non-specific symptoms, including dyspnoea.</w:t>
      </w:r>
    </w:p>
    <w:p w14:paraId="3A7BDF25" w14:textId="6CF861B5" w:rsidR="00AB25C3" w:rsidRDefault="00AB25C3" w:rsidP="00AB25C3">
      <w:r>
        <w:t>ESC noted that there have been two previous MSAC applications for B-type natriuretic peptide (BNP) and NT-</w:t>
      </w:r>
      <w:proofErr w:type="spellStart"/>
      <w:r>
        <w:t>proBNP</w:t>
      </w:r>
      <w:proofErr w:type="spellEnd"/>
      <w:r>
        <w:t xml:space="preserve"> testing for the diagnosis of heart failure. At its November 2006 meeting, MSAC considered </w:t>
      </w:r>
      <w:hyperlink r:id="rId10" w:history="1">
        <w:r w:rsidRPr="00176156">
          <w:rPr>
            <w:rStyle w:val="Hyperlink"/>
          </w:rPr>
          <w:t>application 1087</w:t>
        </w:r>
      </w:hyperlink>
      <w:r>
        <w:t xml:space="preserve"> for funding of BNP assays (i.e. including both BNP and NT-</w:t>
      </w:r>
      <w:proofErr w:type="spellStart"/>
      <w:r>
        <w:t>proBNP</w:t>
      </w:r>
      <w:proofErr w:type="spellEnd"/>
      <w:r>
        <w:t>) in the diagnosis of heart failure and supported its use in the hospital emergency setting only (Part A of MSAC application 1087 implemented as MBS item 66830). At its May 2007 meeting, MSAC considered an application for the use of the assay in the non-hospital setting (Part B of MSAC application 1087</w:t>
      </w:r>
      <w:proofErr w:type="gramStart"/>
      <w:r>
        <w:t>), but</w:t>
      </w:r>
      <w:proofErr w:type="gramEnd"/>
      <w:r>
        <w:t xml:space="preserve"> did not support it primarily due to uncertainty over the cost-effectiveness, arising mainly from the overestimation of the echocardiography referral rate in the comparator.</w:t>
      </w:r>
    </w:p>
    <w:p w14:paraId="3D2C5D44" w14:textId="1A5167DF" w:rsidR="00AB25C3" w:rsidRDefault="00AB25C3" w:rsidP="00AB25C3">
      <w:r>
        <w:t xml:space="preserve">ESC noted that the application form had proposed one MBS item only and this should be restricted to </w:t>
      </w:r>
      <w:proofErr w:type="gramStart"/>
      <w:r>
        <w:t>cardiologists, yet</w:t>
      </w:r>
      <w:proofErr w:type="gramEnd"/>
      <w:r>
        <w:t xml:space="preserve"> had also described the setting as primary care. PASC had noted that cardiologists are not considered primary care physicians in </w:t>
      </w:r>
      <w:proofErr w:type="gramStart"/>
      <w:r>
        <w:t>Australia, and</w:t>
      </w:r>
      <w:proofErr w:type="gramEnd"/>
      <w:r>
        <w:t xml:space="preserve"> had considered </w:t>
      </w:r>
      <w:r>
        <w:lastRenderedPageBreak/>
        <w:t xml:space="preserve">the main value of the test would likely be in the primary care setting, because in the cardiology setting the test would more likely be requested in addition to (rather than triaging access to) echocardiography. PASC had therefore recommended the requesting populations to be split to allow MSAC to consider the value in each setting separately. </w:t>
      </w:r>
      <w:proofErr w:type="gramStart"/>
      <w:r>
        <w:t>Therefore</w:t>
      </w:r>
      <w:proofErr w:type="gramEnd"/>
      <w:r>
        <w:t xml:space="preserve"> the PICO contained two separate PICO sets and item descriptors: one for the primary care setting in which NT-</w:t>
      </w:r>
      <w:proofErr w:type="spellStart"/>
      <w:r>
        <w:t>proBNP</w:t>
      </w:r>
      <w:proofErr w:type="spellEnd"/>
      <w:r>
        <w:t xml:space="preserve"> testing was proposed to triage access to echocardiography (MBS item AAAA) and another for the specialist and consultant physician setting in which NT-</w:t>
      </w:r>
      <w:proofErr w:type="spellStart"/>
      <w:r>
        <w:t>proBNP</w:t>
      </w:r>
      <w:proofErr w:type="spellEnd"/>
      <w:r>
        <w:t xml:space="preserve"> testing was proposed to be used in addition to echocardiography (MBS item BBBB). ESC agreed that the main use for the test would likely be allowing GPs to discriminate between a diagnosis of heart failure versus other conditions with similar presentations. However, ESC considered that it was impractical to restrict the test to primary care requestors only. ESC noted that GPs are considered specialists by the Australian Health Practitioner Regulation Agency (AHPRA), however there is currently no provision in the Pathology Services Table of the MBS for tests to be restricted to requestors in the primary care setting only. ESC considered it would be more appropriate to have one MBS item descriptor not referring to specific requestors. ESC noted the policy proposal to replace the requestor with the intent that NT-</w:t>
      </w:r>
      <w:proofErr w:type="spellStart"/>
      <w:r>
        <w:t>proBNP</w:t>
      </w:r>
      <w:proofErr w:type="spellEnd"/>
      <w:r>
        <w:t xml:space="preserve"> testing be done in situations where it may triage to referral for echocardiography, and considered this was reasonable (new item CCCC, </w:t>
      </w:r>
      <w:r>
        <w:fldChar w:fldCharType="begin"/>
      </w:r>
      <w:r>
        <w:instrText xml:space="preserve"> REF _Ref148362233 \h </w:instrText>
      </w:r>
      <w:r>
        <w:fldChar w:fldCharType="separate"/>
      </w:r>
      <w:r w:rsidR="00472DB9">
        <w:t xml:space="preserve">Table </w:t>
      </w:r>
      <w:r w:rsidR="00472DB9">
        <w:rPr>
          <w:noProof/>
        </w:rPr>
        <w:t>19</w:t>
      </w:r>
      <w:r>
        <w:fldChar w:fldCharType="end"/>
      </w:r>
      <w:r>
        <w:t xml:space="preserve">, to replace PICO items AAAA and BBBB). </w:t>
      </w:r>
    </w:p>
    <w:p w14:paraId="6A02D6D6" w14:textId="77777777" w:rsidR="00AB25C3" w:rsidRDefault="00AB25C3" w:rsidP="00AB25C3">
      <w:r>
        <w:t>ESC considered the frequency restriction of maximum once in a 12-month period was reasonable.</w:t>
      </w:r>
    </w:p>
    <w:p w14:paraId="09F8C77B" w14:textId="35A21669" w:rsidR="00AB25C3" w:rsidRDefault="00AB25C3" w:rsidP="00AB25C3">
      <w:r>
        <w:t xml:space="preserve">ESC noted that for </w:t>
      </w:r>
      <w:hyperlink r:id="rId11" w:history="1">
        <w:r w:rsidRPr="004F4BE3">
          <w:rPr>
            <w:rStyle w:val="Hyperlink"/>
          </w:rPr>
          <w:t>MSAC application 1689.1</w:t>
        </w:r>
      </w:hyperlink>
      <w:r w:rsidRPr="007F0792">
        <w:t xml:space="preserve">, MSAC </w:t>
      </w:r>
      <w:r>
        <w:t xml:space="preserve">had in July 2023 </w:t>
      </w:r>
      <w:r w:rsidRPr="007F0792">
        <w:t xml:space="preserve">supported </w:t>
      </w:r>
      <w:r>
        <w:t xml:space="preserve">including both </w:t>
      </w:r>
      <w:r w:rsidRPr="007F0792">
        <w:t>BNP and NT-</w:t>
      </w:r>
      <w:proofErr w:type="spellStart"/>
      <w:r w:rsidRPr="007F0792">
        <w:t>proBNP</w:t>
      </w:r>
      <w:proofErr w:type="spellEnd"/>
      <w:r w:rsidRPr="007F0792">
        <w:t xml:space="preserve"> </w:t>
      </w:r>
      <w:r>
        <w:t>biomarkers in testing for patients with previously diagnosed pulmonary arterial hypertension</w:t>
      </w:r>
      <w:r w:rsidRPr="007F0792">
        <w:t xml:space="preserve">. ESC considered that </w:t>
      </w:r>
      <w:r>
        <w:t>it would be similarly appropriate to include BNP as well as NT-</w:t>
      </w:r>
      <w:proofErr w:type="spellStart"/>
      <w:r>
        <w:t>proBNP</w:t>
      </w:r>
      <w:proofErr w:type="spellEnd"/>
      <w:r>
        <w:t xml:space="preserve"> in the MSAC application 1740 intervention.</w:t>
      </w:r>
    </w:p>
    <w:p w14:paraId="28097734" w14:textId="77777777" w:rsidR="00AB25C3" w:rsidRDefault="00AB25C3" w:rsidP="00AB25C3">
      <w:r>
        <w:t>ESC considered the proposed schedule fee of $58.50 to be appropriate as it aligned with MBS items 66830 and 66585 for quantitation of BNP or NT-</w:t>
      </w:r>
      <w:proofErr w:type="spellStart"/>
      <w:r>
        <w:t>proBNP</w:t>
      </w:r>
      <w:proofErr w:type="spellEnd"/>
      <w:r>
        <w:t xml:space="preserve">. </w:t>
      </w:r>
    </w:p>
    <w:p w14:paraId="0E2EBE3D" w14:textId="6E6EDBE9" w:rsidR="00AB25C3" w:rsidRDefault="00AB25C3" w:rsidP="00AB25C3">
      <w:pPr>
        <w:pStyle w:val="Caption"/>
      </w:pPr>
      <w:bookmarkStart w:id="52" w:name="_Ref148362233"/>
      <w:r>
        <w:t xml:space="preserve">Table </w:t>
      </w:r>
      <w:r>
        <w:fldChar w:fldCharType="begin"/>
      </w:r>
      <w:r>
        <w:instrText>SEQ Table \* ARABIC</w:instrText>
      </w:r>
      <w:r>
        <w:fldChar w:fldCharType="separate"/>
      </w:r>
      <w:r w:rsidR="00472DB9">
        <w:rPr>
          <w:noProof/>
        </w:rPr>
        <w:t>19</w:t>
      </w:r>
      <w:r>
        <w:fldChar w:fldCharType="end"/>
      </w:r>
      <w:bookmarkEnd w:id="52"/>
      <w:r>
        <w:tab/>
        <w:t>ESC’s revised and combined item descriptor</w:t>
      </w:r>
    </w:p>
    <w:tbl>
      <w:tblPr>
        <w:tblStyle w:val="HealthConsult1"/>
        <w:tblW w:w="0" w:type="auto"/>
        <w:tblInd w:w="0" w:type="dxa"/>
        <w:tblLook w:val="04A0" w:firstRow="1" w:lastRow="0" w:firstColumn="1" w:lastColumn="0" w:noHBand="0" w:noVBand="1"/>
        <w:tblCaption w:val="MBS item descriptor for patients with uncertain but suspected HF diagnosis in a non-hospital setting"/>
        <w:tblDescription w:val="MBS item suggested for the quantitation of laboratory-based NT-proBNP testing for diagnosis in patients with suspected heart failure"/>
      </w:tblPr>
      <w:tblGrid>
        <w:gridCol w:w="9016"/>
      </w:tblGrid>
      <w:tr w:rsidR="00AB25C3" w:rsidRPr="009B6117" w14:paraId="24C2A79E" w14:textId="77777777">
        <w:trPr>
          <w:cantSplit/>
          <w:tblHeader/>
        </w:trPr>
        <w:tc>
          <w:tcPr>
            <w:tcW w:w="9016" w:type="dxa"/>
            <w:tcBorders>
              <w:top w:val="single" w:sz="4" w:space="0" w:color="auto"/>
              <w:left w:val="single" w:sz="4" w:space="0" w:color="auto"/>
              <w:bottom w:val="single" w:sz="4" w:space="0" w:color="auto"/>
              <w:right w:val="single" w:sz="4" w:space="0" w:color="auto"/>
            </w:tcBorders>
            <w:hideMark/>
          </w:tcPr>
          <w:p w14:paraId="3244F46A" w14:textId="77777777" w:rsidR="00AB25C3" w:rsidRDefault="00AB25C3">
            <w:pPr>
              <w:keepNext/>
              <w:spacing w:before="40" w:after="40"/>
              <w:jc w:val="right"/>
              <w:rPr>
                <w:rFonts w:ascii="Arial Narrow" w:hAnsi="Arial Narrow" w:cs="Tahoma"/>
                <w:sz w:val="20"/>
                <w:lang w:eastAsia="en-AU"/>
              </w:rPr>
            </w:pPr>
            <w:r w:rsidRPr="009B6117">
              <w:rPr>
                <w:rFonts w:ascii="Arial Narrow" w:hAnsi="Arial Narrow" w:cs="Tahoma"/>
                <w:sz w:val="20"/>
                <w:lang w:eastAsia="en-AU"/>
              </w:rPr>
              <w:t>Category 6 – Pathology services</w:t>
            </w:r>
          </w:p>
          <w:p w14:paraId="1A616093" w14:textId="77777777" w:rsidR="00AB25C3" w:rsidRPr="009B6117" w:rsidRDefault="00AB25C3">
            <w:pPr>
              <w:keepNext/>
              <w:spacing w:before="40" w:after="40"/>
              <w:jc w:val="right"/>
              <w:rPr>
                <w:rFonts w:ascii="Arial Narrow" w:hAnsi="Arial Narrow" w:cs="Tahoma"/>
                <w:sz w:val="20"/>
                <w:lang w:eastAsia="en-AU"/>
              </w:rPr>
            </w:pPr>
            <w:r>
              <w:rPr>
                <w:rFonts w:ascii="Arial Narrow" w:hAnsi="Arial Narrow" w:cs="Tahoma"/>
                <w:sz w:val="20"/>
                <w:lang w:eastAsia="en-AU"/>
              </w:rPr>
              <w:t xml:space="preserve"> </w:t>
            </w:r>
            <w:r w:rsidRPr="009B6117">
              <w:rPr>
                <w:rFonts w:ascii="Arial Narrow" w:hAnsi="Arial Narrow" w:cs="Tahoma"/>
                <w:sz w:val="20"/>
                <w:lang w:eastAsia="en-AU"/>
              </w:rPr>
              <w:t>Group P2 Chemical</w:t>
            </w:r>
          </w:p>
        </w:tc>
      </w:tr>
      <w:tr w:rsidR="00AB25C3" w:rsidRPr="009B6117" w14:paraId="4919017A" w14:textId="77777777">
        <w:trPr>
          <w:cantSplit/>
          <w:tblHeader/>
        </w:trPr>
        <w:tc>
          <w:tcPr>
            <w:tcW w:w="9016" w:type="dxa"/>
            <w:tcBorders>
              <w:top w:val="single" w:sz="4" w:space="0" w:color="auto"/>
              <w:left w:val="single" w:sz="4" w:space="0" w:color="auto"/>
              <w:bottom w:val="single" w:sz="4" w:space="0" w:color="auto"/>
              <w:right w:val="single" w:sz="4" w:space="0" w:color="auto"/>
            </w:tcBorders>
          </w:tcPr>
          <w:p w14:paraId="5AA5256C" w14:textId="77777777" w:rsidR="00AB25C3" w:rsidRPr="009B6117" w:rsidRDefault="00AB25C3">
            <w:pPr>
              <w:spacing w:before="40" w:after="40"/>
              <w:rPr>
                <w:rFonts w:ascii="Arial Narrow" w:hAnsi="Arial Narrow" w:cs="Tahoma"/>
                <w:sz w:val="20"/>
                <w:lang w:eastAsia="en-AU"/>
              </w:rPr>
            </w:pPr>
            <w:r w:rsidRPr="009B6117">
              <w:rPr>
                <w:rFonts w:ascii="Arial Narrow" w:hAnsi="Arial Narrow" w:cs="Tahoma"/>
                <w:sz w:val="20"/>
                <w:lang w:eastAsia="en-AU"/>
              </w:rPr>
              <w:t xml:space="preserve">MBS item </w:t>
            </w:r>
            <w:r>
              <w:rPr>
                <w:rFonts w:ascii="Arial Narrow" w:hAnsi="Arial Narrow" w:cs="Tahoma"/>
                <w:sz w:val="20"/>
                <w:lang w:eastAsia="en-AU"/>
              </w:rPr>
              <w:t>CCCC</w:t>
            </w:r>
          </w:p>
          <w:p w14:paraId="0C9995F3" w14:textId="77777777" w:rsidR="00AB25C3" w:rsidRPr="009B6117" w:rsidRDefault="00AB25C3">
            <w:pPr>
              <w:spacing w:before="40" w:after="40"/>
              <w:rPr>
                <w:rFonts w:ascii="Arial Narrow" w:hAnsi="Arial Narrow" w:cs="Tahoma"/>
                <w:sz w:val="20"/>
                <w:lang w:eastAsia="en-AU"/>
              </w:rPr>
            </w:pPr>
            <w:r w:rsidRPr="009B6117">
              <w:rPr>
                <w:rFonts w:ascii="Arial Narrow" w:hAnsi="Arial Narrow" w:cs="Tahoma"/>
                <w:sz w:val="20"/>
                <w:lang w:eastAsia="en-AU"/>
              </w:rPr>
              <w:t xml:space="preserve">Quantitation of </w:t>
            </w:r>
            <w:r>
              <w:rPr>
                <w:rFonts w:ascii="Arial Narrow" w:hAnsi="Arial Narrow" w:cs="Tahoma"/>
                <w:sz w:val="20"/>
                <w:lang w:eastAsia="en-AU"/>
              </w:rPr>
              <w:t xml:space="preserve">BNP or </w:t>
            </w:r>
            <w:r w:rsidRPr="009B6117">
              <w:rPr>
                <w:rFonts w:ascii="Arial Narrow" w:hAnsi="Arial Narrow" w:cs="Tahoma"/>
                <w:sz w:val="20"/>
                <w:lang w:eastAsia="en-AU"/>
              </w:rPr>
              <w:t>NT-</w:t>
            </w:r>
            <w:proofErr w:type="spellStart"/>
            <w:r w:rsidRPr="009B6117">
              <w:rPr>
                <w:rFonts w:ascii="Arial Narrow" w:hAnsi="Arial Narrow" w:cs="Tahoma"/>
                <w:sz w:val="20"/>
                <w:lang w:eastAsia="en-AU"/>
              </w:rPr>
              <w:t>proBNP</w:t>
            </w:r>
            <w:proofErr w:type="spellEnd"/>
            <w:r w:rsidRPr="009B6117">
              <w:rPr>
                <w:rFonts w:ascii="Arial Narrow" w:hAnsi="Arial Narrow" w:cs="Tahoma"/>
                <w:sz w:val="20"/>
                <w:lang w:eastAsia="en-AU"/>
              </w:rPr>
              <w:t xml:space="preserve"> for the exclusion of a diagnosis </w:t>
            </w:r>
            <w:r w:rsidRPr="005304EC">
              <w:rPr>
                <w:rFonts w:ascii="Arial Narrow" w:hAnsi="Arial Narrow" w:cs="Tahoma"/>
                <w:sz w:val="20"/>
                <w:lang w:eastAsia="en-AU"/>
              </w:rPr>
              <w:t xml:space="preserve">of heart failure in patients presenting to a non-hospital setting </w:t>
            </w:r>
            <w:r w:rsidRPr="00FF725D">
              <w:rPr>
                <w:rFonts w:ascii="Arial Narrow" w:hAnsi="Arial Narrow" w:cs="Tahoma"/>
                <w:sz w:val="20"/>
                <w:lang w:eastAsia="en-AU"/>
              </w:rPr>
              <w:t>to assist in decision</w:t>
            </w:r>
            <w:r>
              <w:rPr>
                <w:rFonts w:ascii="Arial Narrow" w:hAnsi="Arial Narrow" w:cs="Tahoma"/>
                <w:sz w:val="20"/>
                <w:lang w:eastAsia="en-AU"/>
              </w:rPr>
              <w:t>-making</w:t>
            </w:r>
            <w:r w:rsidRPr="00FF725D">
              <w:rPr>
                <w:rFonts w:ascii="Arial Narrow" w:hAnsi="Arial Narrow" w:cs="Tahoma"/>
                <w:sz w:val="20"/>
                <w:lang w:eastAsia="en-AU"/>
              </w:rPr>
              <w:t xml:space="preserve"> regarding the clinical necessity of an echocardiogram, where h</w:t>
            </w:r>
            <w:r w:rsidRPr="005304EC">
              <w:rPr>
                <w:rFonts w:ascii="Arial Narrow" w:hAnsi="Arial Narrow" w:cs="Tahoma"/>
                <w:sz w:val="20"/>
                <w:lang w:eastAsia="en-AU"/>
              </w:rPr>
              <w:t xml:space="preserve">eart failure </w:t>
            </w:r>
            <w:r>
              <w:rPr>
                <w:rFonts w:ascii="Arial Narrow" w:hAnsi="Arial Narrow" w:cs="Tahoma"/>
                <w:sz w:val="20"/>
                <w:lang w:eastAsia="en-AU"/>
              </w:rPr>
              <w:t>is</w:t>
            </w:r>
            <w:r w:rsidRPr="005304EC">
              <w:rPr>
                <w:rFonts w:ascii="Arial Narrow" w:hAnsi="Arial Narrow" w:cs="Tahoma"/>
                <w:sz w:val="20"/>
                <w:lang w:eastAsia="en-AU"/>
              </w:rPr>
              <w:t xml:space="preserve"> suspected based on signs and </w:t>
            </w:r>
            <w:proofErr w:type="gramStart"/>
            <w:r w:rsidRPr="005304EC">
              <w:rPr>
                <w:rFonts w:ascii="Arial Narrow" w:hAnsi="Arial Narrow" w:cs="Tahoma"/>
                <w:sz w:val="20"/>
                <w:lang w:eastAsia="en-AU"/>
              </w:rPr>
              <w:t>symptoms</w:t>
            </w:r>
            <w:proofErr w:type="gramEnd"/>
            <w:r w:rsidRPr="005304EC">
              <w:rPr>
                <w:rFonts w:ascii="Arial Narrow" w:hAnsi="Arial Narrow" w:cs="Tahoma"/>
                <w:sz w:val="20"/>
                <w:lang w:eastAsia="en-AU"/>
              </w:rPr>
              <w:t xml:space="preserve"> but diagnosis is uncertain</w:t>
            </w:r>
            <w:r>
              <w:rPr>
                <w:rFonts w:ascii="Arial Narrow" w:hAnsi="Arial Narrow" w:cs="Tahoma"/>
                <w:sz w:val="20"/>
                <w:lang w:eastAsia="en-AU"/>
              </w:rPr>
              <w:t>.</w:t>
            </w:r>
          </w:p>
          <w:p w14:paraId="7B1A4C76" w14:textId="77777777" w:rsidR="00AB25C3" w:rsidRPr="009B6117" w:rsidRDefault="00AB25C3">
            <w:pPr>
              <w:spacing w:before="40" w:after="40"/>
              <w:rPr>
                <w:rFonts w:ascii="Arial Narrow" w:hAnsi="Arial Narrow" w:cs="Tahoma"/>
                <w:sz w:val="20"/>
                <w:lang w:eastAsia="en-AU"/>
              </w:rPr>
            </w:pPr>
          </w:p>
          <w:p w14:paraId="3AF44C1E" w14:textId="77777777" w:rsidR="00AB25C3" w:rsidRPr="009B6117" w:rsidRDefault="00AB25C3">
            <w:pPr>
              <w:spacing w:before="40" w:after="40"/>
              <w:rPr>
                <w:rFonts w:ascii="Arial Narrow" w:hAnsi="Arial Narrow" w:cs="Tahoma"/>
                <w:sz w:val="20"/>
                <w:lang w:eastAsia="en-AU"/>
              </w:rPr>
            </w:pPr>
            <w:r w:rsidRPr="009B6117">
              <w:rPr>
                <w:rFonts w:ascii="Arial Narrow" w:hAnsi="Arial Narrow" w:cs="Tahoma"/>
                <w:sz w:val="20"/>
                <w:lang w:eastAsia="en-AU"/>
              </w:rPr>
              <w:t>Applicable not more than once in a 12-month period</w:t>
            </w:r>
          </w:p>
        </w:tc>
      </w:tr>
      <w:tr w:rsidR="00AB25C3" w:rsidRPr="009B6117" w14:paraId="2BE18FAF" w14:textId="77777777">
        <w:trPr>
          <w:cantSplit/>
          <w:tblHeader/>
        </w:trPr>
        <w:tc>
          <w:tcPr>
            <w:tcW w:w="9016" w:type="dxa"/>
            <w:tcBorders>
              <w:top w:val="single" w:sz="4" w:space="0" w:color="auto"/>
              <w:left w:val="single" w:sz="4" w:space="0" w:color="auto"/>
              <w:bottom w:val="single" w:sz="4" w:space="0" w:color="auto"/>
              <w:right w:val="single" w:sz="4" w:space="0" w:color="auto"/>
            </w:tcBorders>
            <w:vAlign w:val="center"/>
          </w:tcPr>
          <w:p w14:paraId="5F5A7258" w14:textId="77777777" w:rsidR="00AB25C3" w:rsidRPr="009B6117" w:rsidRDefault="00AB25C3">
            <w:pPr>
              <w:spacing w:before="40" w:after="40"/>
              <w:rPr>
                <w:rFonts w:ascii="Arial Narrow" w:hAnsi="Arial Narrow" w:cs="Tahoma"/>
                <w:sz w:val="20"/>
                <w:lang w:eastAsia="en-AU"/>
              </w:rPr>
            </w:pPr>
            <w:r w:rsidRPr="009B6117">
              <w:rPr>
                <w:rFonts w:ascii="Arial Narrow" w:hAnsi="Arial Narrow" w:cs="Tahoma"/>
                <w:b/>
                <w:sz w:val="20"/>
                <w:lang w:eastAsia="en-AU"/>
              </w:rPr>
              <w:t>Fee</w:t>
            </w:r>
            <w:r w:rsidRPr="009B6117">
              <w:rPr>
                <w:rFonts w:ascii="Arial Narrow" w:hAnsi="Arial Narrow" w:cs="Tahoma"/>
                <w:sz w:val="20"/>
                <w:lang w:eastAsia="en-AU"/>
              </w:rPr>
              <w:t xml:space="preserve">: $58.50 </w:t>
            </w:r>
            <w:r w:rsidRPr="009B6117">
              <w:rPr>
                <w:rFonts w:ascii="Arial Narrow" w:hAnsi="Arial Narrow" w:cs="Tahoma"/>
                <w:b/>
                <w:sz w:val="20"/>
                <w:lang w:eastAsia="en-AU"/>
              </w:rPr>
              <w:t>Benefit</w:t>
            </w:r>
            <w:r w:rsidRPr="009B6117">
              <w:rPr>
                <w:rFonts w:ascii="Arial Narrow" w:hAnsi="Arial Narrow" w:cs="Tahoma"/>
                <w:sz w:val="20"/>
                <w:lang w:eastAsia="en-AU"/>
              </w:rPr>
              <w:t>: 75% = $43.90 85% = $49.75</w:t>
            </w:r>
          </w:p>
        </w:tc>
      </w:tr>
      <w:tr w:rsidR="00AB25C3" w:rsidRPr="009B6117" w14:paraId="6D1B2CBA" w14:textId="77777777">
        <w:trPr>
          <w:cantSplit/>
          <w:tblHeader/>
        </w:trPr>
        <w:tc>
          <w:tcPr>
            <w:tcW w:w="9016" w:type="dxa"/>
            <w:tcBorders>
              <w:top w:val="single" w:sz="4" w:space="0" w:color="auto"/>
              <w:left w:val="single" w:sz="4" w:space="0" w:color="auto"/>
              <w:bottom w:val="single" w:sz="4" w:space="0" w:color="auto"/>
              <w:right w:val="single" w:sz="4" w:space="0" w:color="auto"/>
            </w:tcBorders>
            <w:vAlign w:val="center"/>
          </w:tcPr>
          <w:p w14:paraId="0751EDC4" w14:textId="77777777" w:rsidR="00AB25C3" w:rsidRPr="00FF725D" w:rsidRDefault="00AB25C3">
            <w:pPr>
              <w:spacing w:before="40" w:after="40"/>
              <w:rPr>
                <w:rFonts w:ascii="Arial Narrow" w:hAnsi="Arial Narrow" w:cs="Tahoma"/>
                <w:b/>
                <w:iCs/>
                <w:sz w:val="20"/>
                <w:lang w:val="en-US" w:eastAsia="en-AU"/>
              </w:rPr>
            </w:pPr>
            <w:r w:rsidRPr="00A32D3D">
              <w:rPr>
                <w:rFonts w:ascii="Arial Narrow" w:hAnsi="Arial Narrow" w:cs="Tahoma"/>
                <w:b/>
                <w:iCs/>
                <w:sz w:val="20"/>
                <w:lang w:val="en-US" w:eastAsia="en-AU"/>
              </w:rPr>
              <w:t xml:space="preserve">New </w:t>
            </w:r>
            <w:r w:rsidRPr="00FF725D">
              <w:rPr>
                <w:rFonts w:ascii="Arial Narrow" w:hAnsi="Arial Narrow" w:cs="Tahoma"/>
                <w:b/>
                <w:iCs/>
                <w:sz w:val="20"/>
                <w:lang w:val="en-US" w:eastAsia="en-AU"/>
              </w:rPr>
              <w:t>practice</w:t>
            </w:r>
            <w:r w:rsidRPr="00A32D3D">
              <w:rPr>
                <w:rFonts w:ascii="Arial Narrow" w:hAnsi="Arial Narrow" w:cs="Tahoma"/>
                <w:b/>
                <w:iCs/>
                <w:sz w:val="20"/>
                <w:lang w:val="en-US" w:eastAsia="en-AU"/>
              </w:rPr>
              <w:t xml:space="preserve"> note </w:t>
            </w:r>
            <w:proofErr w:type="gramStart"/>
            <w:r w:rsidRPr="00A32D3D">
              <w:rPr>
                <w:rFonts w:ascii="Arial Narrow" w:hAnsi="Arial Narrow" w:cs="Tahoma"/>
                <w:b/>
                <w:iCs/>
                <w:sz w:val="20"/>
                <w:lang w:val="en-US" w:eastAsia="en-AU"/>
              </w:rPr>
              <w:t>PN.XX</w:t>
            </w:r>
            <w:proofErr w:type="gramEnd"/>
            <w:r w:rsidRPr="00FF725D">
              <w:rPr>
                <w:rFonts w:ascii="Arial Narrow" w:hAnsi="Arial Narrow" w:cs="Tahoma"/>
                <w:bCs/>
                <w:iCs/>
                <w:sz w:val="20"/>
                <w:lang w:val="en-US" w:eastAsia="en-AU"/>
              </w:rPr>
              <w:t xml:space="preserve">: </w:t>
            </w:r>
            <w:r>
              <w:rPr>
                <w:rFonts w:ascii="Arial Narrow" w:hAnsi="Arial Narrow" w:cs="Tahoma"/>
                <w:bCs/>
                <w:iCs/>
                <w:sz w:val="20"/>
                <w:lang w:val="en-US" w:eastAsia="en-AU"/>
              </w:rPr>
              <w:t xml:space="preserve">BNP or </w:t>
            </w:r>
            <w:r w:rsidRPr="00FF725D">
              <w:rPr>
                <w:rFonts w:ascii="Arial Narrow" w:hAnsi="Arial Narrow" w:cs="Tahoma"/>
                <w:bCs/>
                <w:sz w:val="20"/>
                <w:lang w:val="en-US" w:eastAsia="en-AU"/>
              </w:rPr>
              <w:t>NT-</w:t>
            </w:r>
            <w:proofErr w:type="spellStart"/>
            <w:r w:rsidRPr="00FF725D">
              <w:rPr>
                <w:rFonts w:ascii="Arial Narrow" w:hAnsi="Arial Narrow" w:cs="Tahoma"/>
                <w:bCs/>
                <w:sz w:val="20"/>
                <w:lang w:val="en-US" w:eastAsia="en-AU"/>
              </w:rPr>
              <w:t>proBNP</w:t>
            </w:r>
            <w:proofErr w:type="spellEnd"/>
            <w:r w:rsidRPr="00FF725D">
              <w:rPr>
                <w:rFonts w:ascii="Arial Narrow" w:hAnsi="Arial Narrow" w:cs="Tahoma"/>
                <w:bCs/>
                <w:sz w:val="20"/>
                <w:lang w:val="en-US" w:eastAsia="en-AU"/>
              </w:rPr>
              <w:t xml:space="preserve"> testing under MBS item </w:t>
            </w:r>
            <w:r>
              <w:rPr>
                <w:rFonts w:ascii="Arial Narrow" w:hAnsi="Arial Narrow" w:cs="Tahoma"/>
                <w:bCs/>
                <w:sz w:val="20"/>
                <w:lang w:val="en-US" w:eastAsia="en-AU"/>
              </w:rPr>
              <w:t>CCCC</w:t>
            </w:r>
            <w:r w:rsidRPr="00FF725D">
              <w:rPr>
                <w:rFonts w:ascii="Arial Narrow" w:hAnsi="Arial Narrow" w:cs="Tahoma"/>
                <w:bCs/>
                <w:sz w:val="20"/>
                <w:lang w:val="en-US" w:eastAsia="en-AU"/>
              </w:rPr>
              <w:t xml:space="preserve"> is intended to assist treating medical practitioners in making a decision regarding the clinical necessity of an echocardiogram. Where a patient presents with symptoms of suspected heart failure, a </w:t>
            </w:r>
            <w:r>
              <w:rPr>
                <w:rFonts w:ascii="Arial Narrow" w:hAnsi="Arial Narrow" w:cs="Tahoma"/>
                <w:bCs/>
                <w:sz w:val="20"/>
                <w:lang w:val="en-US" w:eastAsia="en-AU"/>
              </w:rPr>
              <w:t xml:space="preserve">BNP or </w:t>
            </w:r>
            <w:r w:rsidRPr="00FF725D">
              <w:rPr>
                <w:rFonts w:ascii="Arial Narrow" w:hAnsi="Arial Narrow" w:cs="Tahoma"/>
                <w:bCs/>
                <w:sz w:val="20"/>
                <w:lang w:val="en-US" w:eastAsia="en-AU"/>
              </w:rPr>
              <w:t>NT-</w:t>
            </w:r>
            <w:proofErr w:type="spellStart"/>
            <w:r w:rsidRPr="00FF725D">
              <w:rPr>
                <w:rFonts w:ascii="Arial Narrow" w:hAnsi="Arial Narrow" w:cs="Tahoma"/>
                <w:bCs/>
                <w:sz w:val="20"/>
                <w:lang w:val="en-US" w:eastAsia="en-AU"/>
              </w:rPr>
              <w:t>proBNP</w:t>
            </w:r>
            <w:proofErr w:type="spellEnd"/>
            <w:r w:rsidRPr="00FF725D">
              <w:rPr>
                <w:rFonts w:ascii="Arial Narrow" w:hAnsi="Arial Narrow" w:cs="Tahoma"/>
                <w:bCs/>
                <w:sz w:val="20"/>
                <w:lang w:val="en-US" w:eastAsia="en-AU"/>
              </w:rPr>
              <w:t xml:space="preserve"> test under MBS item </w:t>
            </w:r>
            <w:r>
              <w:rPr>
                <w:rFonts w:ascii="Arial Narrow" w:hAnsi="Arial Narrow" w:cs="Tahoma"/>
                <w:bCs/>
                <w:sz w:val="20"/>
                <w:lang w:val="en-US" w:eastAsia="en-AU"/>
              </w:rPr>
              <w:t>CCCC</w:t>
            </w:r>
            <w:r w:rsidRPr="00FF725D">
              <w:rPr>
                <w:rFonts w:ascii="Arial Narrow" w:hAnsi="Arial Narrow" w:cs="Tahoma"/>
                <w:bCs/>
                <w:sz w:val="20"/>
                <w:lang w:val="en-US" w:eastAsia="en-AU"/>
              </w:rPr>
              <w:t xml:space="preserve"> can be requested by the treating medical practitioner where clinically appropriate.</w:t>
            </w:r>
          </w:p>
        </w:tc>
      </w:tr>
    </w:tbl>
    <w:p w14:paraId="468FC212" w14:textId="77777777" w:rsidR="00AB25C3" w:rsidRDefault="00AB25C3" w:rsidP="00AB25C3">
      <w:pPr>
        <w:pStyle w:val="Tablenotes0"/>
      </w:pPr>
      <w:r>
        <w:t xml:space="preserve"> </w:t>
      </w:r>
      <w:r w:rsidRPr="00FF725D">
        <w:rPr>
          <w:b/>
          <w:bCs/>
        </w:rPr>
        <w:t>Source:</w:t>
      </w:r>
      <w:r>
        <w:t xml:space="preserve"> ESC</w:t>
      </w:r>
    </w:p>
    <w:p w14:paraId="141518F7" w14:textId="77777777" w:rsidR="00AB25C3" w:rsidRDefault="00AB25C3" w:rsidP="00AB25C3">
      <w:r>
        <w:t>ESC also noted that in response to the applicant’s comments on the PICO, PASC had advised some changes to the PICO after the applicant-developed assessment report (ADAR) had been lodged.</w:t>
      </w:r>
    </w:p>
    <w:p w14:paraId="086B68D7" w14:textId="1511E10E" w:rsidR="00AB25C3" w:rsidRDefault="00AB25C3" w:rsidP="00AB25C3">
      <w:r>
        <w:t xml:space="preserve">ESC noted that the National Heart Foundation of Australia (NHFA) and Cardiac Society of Australia and New Zealand (CSANZ) guidelines for the prevention, </w:t>
      </w:r>
      <w:proofErr w:type="gramStart"/>
      <w:r>
        <w:t>detection</w:t>
      </w:r>
      <w:proofErr w:type="gramEnd"/>
      <w:r>
        <w:t xml:space="preserve"> and management of </w:t>
      </w:r>
      <w:r>
        <w:lastRenderedPageBreak/>
        <w:t>heart failure in Australia 2018</w:t>
      </w:r>
      <w:r w:rsidR="000255E8">
        <w:t xml:space="preserve"> (Atherton et al. </w:t>
      </w:r>
      <w:r w:rsidR="00074153">
        <w:t>2018)</w:t>
      </w:r>
      <w:r>
        <w:t xml:space="preserve"> strongly recommend BNP or NT-</w:t>
      </w:r>
      <w:proofErr w:type="spellStart"/>
      <w:r>
        <w:t>proBNP</w:t>
      </w:r>
      <w:proofErr w:type="spellEnd"/>
      <w:r>
        <w:t xml:space="preserve"> testing in primary care for patients with suspected heart failure when the diagnosis is uncertain. ESC noted that the clinical management algorithm for PICO set 1 (primary care setting) reflected the NHFA/CSANZ guidelines that BNP and NT-</w:t>
      </w:r>
      <w:proofErr w:type="spellStart"/>
      <w:r>
        <w:t>proBNP</w:t>
      </w:r>
      <w:proofErr w:type="spellEnd"/>
      <w:r>
        <w:t xml:space="preserve"> are best used as an additional test to echocardiography, to improve diagnostic accuracy, rather than as a triage test prior to echocardiography. ESC noted that the NHFA/CSANZ guidelines include a rule-out threshold of 300 </w:t>
      </w:r>
      <w:proofErr w:type="spellStart"/>
      <w:r>
        <w:t>pg</w:t>
      </w:r>
      <w:proofErr w:type="spellEnd"/>
      <w:r>
        <w:t>/mL (when the test is used before echocardiography) and additional age-based rule-in thresholds are provided. ESC noted variable rule-out thresholds for NT-</w:t>
      </w:r>
      <w:proofErr w:type="spellStart"/>
      <w:r>
        <w:t>proBNP</w:t>
      </w:r>
      <w:proofErr w:type="spellEnd"/>
      <w:r>
        <w:t xml:space="preserve"> tests are used in different international guidelines (ranging from 125 </w:t>
      </w:r>
      <w:proofErr w:type="spellStart"/>
      <w:r>
        <w:t>pg</w:t>
      </w:r>
      <w:proofErr w:type="spellEnd"/>
      <w:r>
        <w:t xml:space="preserve">/mL to 400 </w:t>
      </w:r>
      <w:proofErr w:type="spellStart"/>
      <w:r>
        <w:t>pg</w:t>
      </w:r>
      <w:proofErr w:type="spellEnd"/>
      <w:r>
        <w:t>/mL</w:t>
      </w:r>
      <w:proofErr w:type="gramStart"/>
      <w:r>
        <w:t>), and</w:t>
      </w:r>
      <w:proofErr w:type="gramEnd"/>
      <w:r>
        <w:t xml:space="preserve"> considered this somewhat reduced the applicability of the evidence. ESC noted that at the proposed lower NT-</w:t>
      </w:r>
      <w:proofErr w:type="spellStart"/>
      <w:r>
        <w:t>proBNP</w:t>
      </w:r>
      <w:proofErr w:type="spellEnd"/>
      <w:r>
        <w:t xml:space="preserve"> threshold of 300 </w:t>
      </w:r>
      <w:proofErr w:type="spellStart"/>
      <w:r>
        <w:t>pg</w:t>
      </w:r>
      <w:proofErr w:type="spellEnd"/>
      <w:r>
        <w:t>/mL, the advantages of the test - as a triage to echocardiography - were to reduce overdiagnosis with reasonable specificity, and to reduce underdiagnosis with a reasonably high sensitivity.</w:t>
      </w:r>
    </w:p>
    <w:p w14:paraId="1BA1C0EC" w14:textId="77777777" w:rsidR="00AB25C3" w:rsidRDefault="00AB25C3" w:rsidP="00AB25C3">
      <w:r>
        <w:t>ESC noted that in the NHFA/CSANZ guidelines the BNP or NT-</w:t>
      </w:r>
      <w:proofErr w:type="spellStart"/>
      <w:r>
        <w:t>proBNP</w:t>
      </w:r>
      <w:proofErr w:type="spellEnd"/>
      <w:r>
        <w:t xml:space="preserve"> test was not positioned purely as a triage test, but as an option alongside direct referral to echocardiography or used in addition to echocardiography. ESC noted that BNP and NT-</w:t>
      </w:r>
      <w:proofErr w:type="spellStart"/>
      <w:r>
        <w:t>proBNP</w:t>
      </w:r>
      <w:proofErr w:type="spellEnd"/>
      <w:r>
        <w:t xml:space="preserve"> testing are widely recommended to assist with the diagnosis of heart failure in ambulatory settings in clinical practice guidelines, both in Australia and internationally, with many countries now requiring BNP or NT-</w:t>
      </w:r>
      <w:proofErr w:type="spellStart"/>
      <w:r>
        <w:t>proBNP</w:t>
      </w:r>
      <w:proofErr w:type="spellEnd"/>
      <w:r>
        <w:t xml:space="preserve"> to be a part of the investigational work-up for a heart failure diagnosis. </w:t>
      </w:r>
    </w:p>
    <w:p w14:paraId="2772D5C8" w14:textId="77777777" w:rsidR="00AB25C3" w:rsidRPr="00CE0CB3" w:rsidRDefault="00AB25C3" w:rsidP="00AB25C3">
      <w:r>
        <w:t>ESC noted that the comparator for the PICO set 1 (triage testing in the primary care setting) was no NT-</w:t>
      </w:r>
      <w:proofErr w:type="spellStart"/>
      <w:r>
        <w:t>proBNP</w:t>
      </w:r>
      <w:proofErr w:type="spellEnd"/>
      <w:r>
        <w:t xml:space="preserve"> testing, while the comparator for the PICO set 2 (additional testing in the specialist setting) was echocardiography. </w:t>
      </w:r>
    </w:p>
    <w:p w14:paraId="7B802E66" w14:textId="77777777" w:rsidR="00AB25C3" w:rsidRDefault="00AB25C3" w:rsidP="00AB25C3">
      <w:r>
        <w:t>ESC noted that no evidence was presented in the ADAR for PICO set 2, regarding NT-</w:t>
      </w:r>
      <w:proofErr w:type="spellStart"/>
      <w:r>
        <w:t>proBNP</w:t>
      </w:r>
      <w:proofErr w:type="spellEnd"/>
      <w:r>
        <w:t xml:space="preserve"> as an additional test to echocardiography in the specialist setting. ESC considered that clinical evidence that could have supported the use of the test in this setting and pathway included prognostic studies and diagnostic studies that specifically address the role of NT-</w:t>
      </w:r>
      <w:proofErr w:type="spellStart"/>
      <w:r>
        <w:t>proBNP</w:t>
      </w:r>
      <w:proofErr w:type="spellEnd"/>
      <w:r>
        <w:t xml:space="preserve"> in heart failure with preserved ejection fraction (the most common presentation), but these were not presented in the ADAR. ESC noted the pre-ESC response stated the ADAR had focused on the use of NT-</w:t>
      </w:r>
      <w:proofErr w:type="spellStart"/>
      <w:r>
        <w:t>proBNP</w:t>
      </w:r>
      <w:proofErr w:type="spellEnd"/>
      <w:r>
        <w:t xml:space="preserve"> as a triage test, based on the availability of clinical evidence and circumstances of use proposed by the applicant prior to PASC consideration. ESC agreed with the applicant's comment in the pre-ESC response that the use of the test by cardiologists is expected to be in accordance with the CSANZ diagnostic algorithm (where NT-</w:t>
      </w:r>
      <w:proofErr w:type="spellStart"/>
      <w:r>
        <w:t>proBNP</w:t>
      </w:r>
      <w:proofErr w:type="spellEnd"/>
      <w:r>
        <w:t xml:space="preserve"> testing is positioned for use as an option in addition to echocardiography) and expert clinical judgement.</w:t>
      </w:r>
    </w:p>
    <w:p w14:paraId="7F80E999" w14:textId="77777777" w:rsidR="00AB25C3" w:rsidRDefault="00AB25C3" w:rsidP="00AB25C3">
      <w:r>
        <w:t>The clinical data presented consisted of 11 studies for accuracy and test performance (including one cohort study and a cross-sectional exploratory study using an NT-</w:t>
      </w:r>
      <w:proofErr w:type="spellStart"/>
      <w:r>
        <w:t>proBNP</w:t>
      </w:r>
      <w:proofErr w:type="spellEnd"/>
      <w:r>
        <w:t xml:space="preserve"> threshold of 300 </w:t>
      </w:r>
      <w:proofErr w:type="spellStart"/>
      <w:r>
        <w:t>pg</w:t>
      </w:r>
      <w:proofErr w:type="spellEnd"/>
      <w:r>
        <w:t>/mL or within ± 25 </w:t>
      </w:r>
      <w:proofErr w:type="spellStart"/>
      <w:r>
        <w:t>pg</w:t>
      </w:r>
      <w:proofErr w:type="spellEnd"/>
      <w:r>
        <w:t xml:space="preserve">/mL), which were considered to have a low risk of bias, and one randomised controlled trial (RCT) for change in patient management, which had a higher risk of bias. ESC considered the studies included a range of settings and </w:t>
      </w:r>
      <w:proofErr w:type="gramStart"/>
      <w:r>
        <w:t>indications, and</w:t>
      </w:r>
      <w:proofErr w:type="gramEnd"/>
      <w:r>
        <w:t xml:space="preserve"> had not been sufficiently focussed. ESC noted that the commentary added several more studies for POC testing, however considered that in its experience POC results did not correlate well with the laboratory-based results, </w:t>
      </w:r>
      <w:proofErr w:type="gramStart"/>
      <w:r>
        <w:t>and also</w:t>
      </w:r>
      <w:proofErr w:type="gramEnd"/>
      <w:r>
        <w:t xml:space="preserve"> that testing must be laboratory-based to be MBS-funded, therefore ESC did not consider the POC studies to be relevant. The commentary also provided </w:t>
      </w:r>
      <w:proofErr w:type="gramStart"/>
      <w:r>
        <w:t>a brief summary</w:t>
      </w:r>
      <w:proofErr w:type="gramEnd"/>
      <w:r>
        <w:t xml:space="preserve"> of a recent systematic review and meta-analysis for prognostic evidence, one RCT for change in patient management and two RCTs for health outcomes, but these were either not very informative or had some risk of bias. ESC noted that there was no evidence provided for predictive effect.</w:t>
      </w:r>
    </w:p>
    <w:p w14:paraId="0F8E9E2D" w14:textId="77777777" w:rsidR="00AB25C3" w:rsidRPr="00CE0CB3" w:rsidRDefault="00AB25C3" w:rsidP="00AB25C3">
      <w:r>
        <w:t xml:space="preserve">ESC noted that the ADAR did not address the comparative safety of the test. ESC considered that although the test is a standard venepuncture blood test that is unlikely to cause direct harm to </w:t>
      </w:r>
      <w:r>
        <w:lastRenderedPageBreak/>
        <w:t>the patient, false positive or false negative test results could consequently cause harm, which was not addressed in the ADAR. However, ESC noted that in MSAC’s consideration of application 1087 in 2007 it had considered that “</w:t>
      </w:r>
      <w:r w:rsidRPr="00FF725D">
        <w:rPr>
          <w:i/>
        </w:rPr>
        <w:t>as the population of interest in the non-hospital setting is not acutely ill, delayed treatment associated with (the very low likelihood of) a false negative test result is unlikely to be harmful</w:t>
      </w:r>
      <w:r>
        <w:t>” and had advised that BNP and NT-</w:t>
      </w:r>
      <w:proofErr w:type="spellStart"/>
      <w:r>
        <w:t>proBNP</w:t>
      </w:r>
      <w:proofErr w:type="spellEnd"/>
      <w:r>
        <w:t xml:space="preserve"> testing for the diagnosis of heart failure in patients presenting with dyspnoea in a non-hospital setting was safe. On balance, ESC considered that the comparative safety of BNP/NT-</w:t>
      </w:r>
      <w:proofErr w:type="spellStart"/>
      <w:r>
        <w:t>proBNP</w:t>
      </w:r>
      <w:proofErr w:type="spellEnd"/>
      <w:r>
        <w:t xml:space="preserve"> testing was likely non-inferior.</w:t>
      </w:r>
    </w:p>
    <w:p w14:paraId="6D56E71B" w14:textId="65B8C065" w:rsidR="00AB25C3" w:rsidRDefault="00AB25C3" w:rsidP="00AB25C3">
      <w:r>
        <w:t>Regarding comparative effectiveness, ESC noted that, for PICO set 1, the evidence supported a clinical claim of superior effectiveness in terms of test accuracy but did not show that testing would improve health outcomes. ESC noted there was a paucity of evidence to inform the effect of BNP/NT-</w:t>
      </w:r>
      <w:proofErr w:type="spellStart"/>
      <w:r>
        <w:t>proBNP</w:t>
      </w:r>
      <w:proofErr w:type="spellEnd"/>
      <w:r>
        <w:t xml:space="preserve"> testing on the health outcomes of patients in both a primary care and specialist setting. ESC noted that the evidence showed BNP testing made no significant difference to the proportion of patients diagnosed with heart failure (</w:t>
      </w:r>
      <w:proofErr w:type="spellStart"/>
      <w:r>
        <w:t>Najb</w:t>
      </w:r>
      <w:r w:rsidR="00263B6B">
        <w:t>j</w:t>
      </w:r>
      <w:r>
        <w:t>erg</w:t>
      </w:r>
      <w:proofErr w:type="spellEnd"/>
      <w:r>
        <w:t xml:space="preserve"> et al 2019), rates of echocardiograms referred (</w:t>
      </w:r>
      <w:proofErr w:type="spellStart"/>
      <w:r>
        <w:t>Najbjerg</w:t>
      </w:r>
      <w:proofErr w:type="spellEnd"/>
      <w:r>
        <w:t xml:space="preserve"> et al 2019) or received (</w:t>
      </w:r>
      <w:proofErr w:type="spellStart"/>
      <w:r>
        <w:t>Burri</w:t>
      </w:r>
      <w:proofErr w:type="spellEnd"/>
      <w:r>
        <w:t xml:space="preserve"> et al 2012), or mortality or hospitalisations (at 3 months or 12 months; </w:t>
      </w:r>
      <w:proofErr w:type="spellStart"/>
      <w:r>
        <w:t>Burri</w:t>
      </w:r>
      <w:proofErr w:type="spellEnd"/>
      <w:r>
        <w:t xml:space="preserve"> et al 2012). ESC noted that, while BNP appeared to reduce the time to appropriate therapy (from 24.7 to 12.8 days, p=0.01, </w:t>
      </w:r>
      <w:proofErr w:type="spellStart"/>
      <w:r>
        <w:t>Burri</w:t>
      </w:r>
      <w:proofErr w:type="spellEnd"/>
      <w:r>
        <w:t xml:space="preserve"> et al 2012), ESC considered this was based on a study that used a POC test so was not likely to reflect the anticipated time to appropriate therapy for a laboratory-based test. </w:t>
      </w:r>
    </w:p>
    <w:p w14:paraId="39ECF0F1" w14:textId="77777777" w:rsidR="00AB25C3" w:rsidRDefault="00AB25C3" w:rsidP="00AB25C3">
      <w:r>
        <w:t>ESC considered the change of management outcomes suggested improved health outcomes were more likely in patients correctly excluded from heart failure than those identified as having heart failure, which aligned with MSAC’s previous advice on application 1087, however was not modelled in the economic analyses. ESC noted that the pre-ESC response stated that BNP/NT-</w:t>
      </w:r>
      <w:proofErr w:type="spellStart"/>
      <w:r>
        <w:t>proBNP</w:t>
      </w:r>
      <w:proofErr w:type="spellEnd"/>
      <w:r>
        <w:t xml:space="preserve"> testing was likely to facilitate more appropriate management of patients with chronic heart failure in primary care, and considered it is likely that an earlier diagnosis of heart failure would lead to health benefits, particularly because GPs could prescribe medications to manage heart failure – however considered that the ADAR had not presented evidence for this. Overall, ESC considered that although the evidence presented did not clearly illustrate a change in management with improved health outcomes resulting from BNP/NT-</w:t>
      </w:r>
      <w:proofErr w:type="spellStart"/>
      <w:r>
        <w:t>proBNP</w:t>
      </w:r>
      <w:proofErr w:type="spellEnd"/>
      <w:r>
        <w:t xml:space="preserve"> testing, the claim of non-inferior effectiveness may be reasonable.</w:t>
      </w:r>
    </w:p>
    <w:p w14:paraId="51E42A63" w14:textId="77777777" w:rsidR="00AB25C3" w:rsidRDefault="00AB25C3" w:rsidP="00AB25C3">
      <w:r>
        <w:t>ESC noted that the pre-ESC response stated that NT-</w:t>
      </w:r>
      <w:proofErr w:type="spellStart"/>
      <w:r>
        <w:t>proBNP</w:t>
      </w:r>
      <w:proofErr w:type="spellEnd"/>
      <w:r>
        <w:t xml:space="preserve"> carried a strong recommendation for use in the diagnosis of heart failure in both national and international guidelines due to the reduction in both time to diagnosis and unnecessary echocardiography. However, ESC considered no evidence had been presented to support these outcomes in the ADAR.</w:t>
      </w:r>
    </w:p>
    <w:p w14:paraId="393AF3D4" w14:textId="77777777" w:rsidR="00AB25C3" w:rsidRDefault="00AB25C3" w:rsidP="00AB25C3">
      <w:r>
        <w:t>ESC noted that the included diagnostic accuracy studies showed that the assay had relatively high sensitivity when using lower thresholds, but that this sensitivity decreased for thresholds greater than 400 </w:t>
      </w:r>
      <w:proofErr w:type="spellStart"/>
      <w:r>
        <w:t>pg</w:t>
      </w:r>
      <w:proofErr w:type="spellEnd"/>
      <w:r>
        <w:t>/</w:t>
      </w:r>
      <w:proofErr w:type="spellStart"/>
      <w:r>
        <w:t>mL.</w:t>
      </w:r>
      <w:proofErr w:type="spellEnd"/>
      <w:r>
        <w:t xml:space="preserve"> ESC considered that countries using thresholds of 400 </w:t>
      </w:r>
      <w:proofErr w:type="spellStart"/>
      <w:r>
        <w:t>pg</w:t>
      </w:r>
      <w:proofErr w:type="spellEnd"/>
      <w:r>
        <w:t xml:space="preserve">/mL were focused on avoiding overdiagnosis, so were more concerned with test specificity; on the other </w:t>
      </w:r>
      <w:proofErr w:type="gramStart"/>
      <w:r>
        <w:t>hand</w:t>
      </w:r>
      <w:proofErr w:type="gramEnd"/>
      <w:r>
        <w:t xml:space="preserve"> countries focused on avoiding underdiagnosis use lower thresholds. ESC considered this somewhat reduced the applicability of the international evidence to the Australian context. </w:t>
      </w:r>
    </w:p>
    <w:p w14:paraId="25A8DA05" w14:textId="148C3DD6" w:rsidR="00AB25C3" w:rsidRDefault="00AB25C3" w:rsidP="00AB25C3">
      <w:r>
        <w:t>ESC noted that early studies for specificity of BNP/NT-</w:t>
      </w:r>
      <w:proofErr w:type="spellStart"/>
      <w:r>
        <w:t>proBNP</w:t>
      </w:r>
      <w:proofErr w:type="spellEnd"/>
      <w:r>
        <w:t xml:space="preserve"> tests may have </w:t>
      </w:r>
      <w:r w:rsidRPr="00CC7ACC">
        <w:t xml:space="preserve">under-appreciated the potential for heart failure </w:t>
      </w:r>
      <w:r>
        <w:t xml:space="preserve">in patients </w:t>
      </w:r>
      <w:r w:rsidRPr="00CC7ACC">
        <w:t>with preserved left ventricular ejection fraction</w:t>
      </w:r>
      <w:r>
        <w:t>. ESC also noted that up to 30% of heart failure</w:t>
      </w:r>
      <w:r w:rsidR="00750383">
        <w:t xml:space="preserve"> with preserved ejection fraction</w:t>
      </w:r>
      <w:r>
        <w:t xml:space="preserve"> patients have BNP/NT-</w:t>
      </w:r>
      <w:proofErr w:type="spellStart"/>
      <w:r>
        <w:t>proBNP</w:t>
      </w:r>
      <w:proofErr w:type="spellEnd"/>
      <w:r>
        <w:t xml:space="preserve"> levels below the diagnostic threshold due to a lack of BNP release</w:t>
      </w:r>
      <w:r w:rsidR="00B91818">
        <w:t xml:space="preserve"> (</w:t>
      </w:r>
      <w:r w:rsidR="001D1C0B">
        <w:t>clinical expert advice</w:t>
      </w:r>
      <w:r w:rsidR="00B91818">
        <w:t>)</w:t>
      </w:r>
      <w:r>
        <w:t xml:space="preserve">. </w:t>
      </w:r>
    </w:p>
    <w:p w14:paraId="59C0A8AA" w14:textId="77777777" w:rsidR="00AB25C3" w:rsidRDefault="00AB25C3" w:rsidP="00AB25C3">
      <w:r>
        <w:t>ESC considered that the ADAR’s clinical claim – that the use of NT-</w:t>
      </w:r>
      <w:proofErr w:type="spellStart"/>
      <w:r>
        <w:t>proBNP</w:t>
      </w:r>
      <w:proofErr w:type="spellEnd"/>
      <w:r>
        <w:t xml:space="preserve"> testing ± echocardiography by specialist physicians for the diagnosis of heart failure results in at least non-</w:t>
      </w:r>
      <w:r>
        <w:lastRenderedPageBreak/>
        <w:t>inferior effectiveness and non-inferior safety compared with echocardiography alone – was reasonably justified.</w:t>
      </w:r>
    </w:p>
    <w:p w14:paraId="4F135A19" w14:textId="77777777" w:rsidR="00AB25C3" w:rsidRPr="00CE0CB3" w:rsidRDefault="00AB25C3" w:rsidP="00AB25C3">
      <w:r>
        <w:t xml:space="preserve">ESC noted that feedback from Lung Foundation Australia (LFA) was supportive of the application, with LFA noting that symptoms of heart failure can be </w:t>
      </w:r>
      <w:proofErr w:type="gramStart"/>
      <w:r>
        <w:t>similar to</w:t>
      </w:r>
      <w:proofErr w:type="gramEnd"/>
      <w:r>
        <w:t xml:space="preserve"> certain lung conditions and the test would allow heart failure to be ruled out and other diagnoses to be explored. The National Heart Foundation of Australia and the CSANZ were supportive of the test. The Heart Foundation stated that making the test available to all specialists may assist with access issues in areas that have variable access to cardiologists, and that pathologists would need to be appropriately qualified to analyse the test. Additionally, funding the use of the test in primary care would reduce out-of-pocket costs, lead to appropriate referral to rehabilitation services for patients and avoid hospitalisations. Feedback also noted the value of the test for First Nations people who have a higher rate of hospitalisations due to heart failure. The Royal Australian College of General Practitioners (RACGP) noted that cardiovascular disease is a complex condition and patients are often managed entirely by GPs. </w:t>
      </w:r>
    </w:p>
    <w:p w14:paraId="347450D7" w14:textId="77777777" w:rsidR="00AB25C3" w:rsidRDefault="00AB25C3" w:rsidP="00AB25C3">
      <w:r>
        <w:t>For the economic evaluation, ESC noted that the PICO stated that based on the clinical claim a cost-effectiveness analysis (CEA) or a cost-utility analysis (CUA) should be used. The ADAR stated that the CUA performed by the National Institute for Health and Care Excellence (NICE) to inform its guidelines for chronic heart failure in adults was overly complex, made too many assumptions, and used heterogenous and low-quality evidence. Therefore, the ADAR presented a CEA. ESC noted that the commentary stated this may have been inappropriate as it would not allow exploration of uncertainty in the evidence base, however ESC considered that a CEA was reasonable as there was evidence for test accuracy but no evidence for health outcomes, so a CUA would have been based on many assumptions. ESC also considered that a CUA may have underestimated the full value of NT-</w:t>
      </w:r>
      <w:proofErr w:type="spellStart"/>
      <w:r>
        <w:t>proBNP</w:t>
      </w:r>
      <w:proofErr w:type="spellEnd"/>
      <w:r>
        <w:t xml:space="preserve"> relating to the diagnosis of other (for example, respiratory) illnesses. Therefore, ESC considered that the decision tree used by the applicant was appropriate and better aligned with the evidence base. ESC also noted that the NICE CUA found the intervention to be cost-effective in the UK setting, which it considered supported the economic results. ESC noted the NICE model was driven by specificity and gains in quality-adjusted life years (QALYs) from the early diagnosis of other diseases.</w:t>
      </w:r>
    </w:p>
    <w:p w14:paraId="6D4E2730" w14:textId="77777777" w:rsidR="00AB25C3" w:rsidRDefault="00AB25C3" w:rsidP="00AB25C3">
      <w:r>
        <w:t>Based on the discussion around the choice of economic model, ESC raised the broader issue of when it was appropriate to do CUA modelling of a medical test technology given an absence of health outcomes and the inevitable high degree of uncertainty in model structure and modelled outcomes.</w:t>
      </w:r>
    </w:p>
    <w:p w14:paraId="6A424988" w14:textId="77777777" w:rsidR="00AB25C3" w:rsidRDefault="00AB25C3" w:rsidP="00AB25C3">
      <w:r>
        <w:t xml:space="preserve">ESC noted that the comparator in the model assumed that 100% of patients would receive echocardiography, which was assumed to have a higher cost, perfect </w:t>
      </w:r>
      <w:proofErr w:type="gramStart"/>
      <w:r>
        <w:t>accuracy</w:t>
      </w:r>
      <w:proofErr w:type="gramEnd"/>
      <w:r>
        <w:t xml:space="preserve"> and slower access than the intervention. However, ESC considered that this was not reasonable and there were reasons why not everyone in the comparator arm would have echocardiography. ESC recalled that MSAC had not supported application 1087 primarily due to uncertain cost-effectiveness, which had been mainly due to the assumption of 100% echocardiography uptake in the comparator arm whereas real world evidence suggested only 3.8-17.7% echocardiography uptake, resulting in the cost-offset from echocardiography averted having been overestimated. ESC noted that while echocardiography uptake may be higher now than in 2007 due to improved clinician education regarding heart failure investigations, no updated real-world evidence on this had been provided. This was despite PASC advising that “</w:t>
      </w:r>
      <w:r w:rsidRPr="00FF725D">
        <w:rPr>
          <w:i/>
          <w:iCs/>
        </w:rPr>
        <w:t>the assessment will need to include the uptake rate of echocardiogram in both intervention and comparator arms, informed by real world evidence if possible</w:t>
      </w:r>
      <w:r>
        <w:t xml:space="preserve">” (PICO </w:t>
      </w:r>
      <w:proofErr w:type="spellStart"/>
      <w:r>
        <w:t>pg</w:t>
      </w:r>
      <w:proofErr w:type="spellEnd"/>
      <w:r>
        <w:t xml:space="preserve"> 13), which was not done in the ADAR’s economic model.</w:t>
      </w:r>
    </w:p>
    <w:p w14:paraId="0C0BD23B" w14:textId="77777777" w:rsidR="00AB25C3" w:rsidRDefault="00AB25C3" w:rsidP="00AB25C3">
      <w:r>
        <w:t xml:space="preserve">ESC considered that there were applicability issues with the economic model. ESC noted the NICE model used a pooled estimate from three studies that was not well aligned with the </w:t>
      </w:r>
      <w:r>
        <w:lastRenderedPageBreak/>
        <w:t>Australian population. Additionally, two studies used POC testing, although these reported similar accuracy to the laboratory-based tests. ESC also noted that a rule-out threshold of 280 </w:t>
      </w:r>
      <w:proofErr w:type="spellStart"/>
      <w:r>
        <w:t>pg</w:t>
      </w:r>
      <w:proofErr w:type="spellEnd"/>
      <w:r>
        <w:t>/mL was used, which was lower than the threshold recommended in the Australian guidelines. However, ESC noted that no single study aligned with the PICO, so considered that testing multiple parameters was appropriate. ESC did not identify any extrapolation or transformation issues with the model.</w:t>
      </w:r>
    </w:p>
    <w:p w14:paraId="3C8CE385" w14:textId="77777777" w:rsidR="00AB25C3" w:rsidRDefault="00AB25C3" w:rsidP="00AB25C3">
      <w:r>
        <w:t>Regarding the model structure, ESC noted that</w:t>
      </w:r>
      <w:r w:rsidRPr="00D84E0D">
        <w:t xml:space="preserve"> </w:t>
      </w:r>
      <w:r>
        <w:t>the ADAR estimated 29% of patients indicated for echocardiography in the absence of BNP/NT-</w:t>
      </w:r>
      <w:proofErr w:type="spellStart"/>
      <w:r>
        <w:t>proBNP</w:t>
      </w:r>
      <w:proofErr w:type="spellEnd"/>
      <w:r>
        <w:t xml:space="preserve"> testing would have heart failure, which the commentary agreed with. For the comparator, it was assumed that all patients would receive echocardiography regardless of their heart failure diagnosis following initial clinical assessment. For the intervention, only those patients who were above the rule-out threshold for NT pro-BNP would receive echocardiography, so the model proposed there would be cost offsets associated with echocardiography avoided in patients who have a BNP/NT-</w:t>
      </w:r>
      <w:proofErr w:type="spellStart"/>
      <w:r>
        <w:t>proBNP</w:t>
      </w:r>
      <w:proofErr w:type="spellEnd"/>
      <w:r>
        <w:t xml:space="preserve"> result below the diagnostic threshold  ESC noted that the model assumed a 2-month delay for receiving an echocardiogram, but ESC considered that this may not be reasonable as patients may find it difficult to access echocardiograms due to long wait times. Regarding the time for patients to re-present to their GP for results, ESC considered that a 1-month delay was reasonable because it was likely that many of the eligible patients would typically see their GP regularly. ESC considered that patients with false negative results returning to their GP after 1-6 months with ongoing symptoms could potentially be associated with a small risk of survival decrement, but that this was not addressed by the model as it was not a CUA. ESC considered that given the long wait for cardiology appointments, integrated care may be an appropriate model of care to mitigate delays: in integrated care the GP and cardiologist work together to manage the patient’s therapy, including via telehealth.</w:t>
      </w:r>
    </w:p>
    <w:p w14:paraId="0401471A" w14:textId="53D5028B" w:rsidR="00AB25C3" w:rsidRDefault="00AB25C3" w:rsidP="00AB25C3">
      <w:r>
        <w:t>ESC noted that ADAR’s economic model results showed NT-</w:t>
      </w:r>
      <w:proofErr w:type="spellStart"/>
      <w:r>
        <w:t>proBNP</w:t>
      </w:r>
      <w:proofErr w:type="spellEnd"/>
      <w:r>
        <w:t xml:space="preserve"> testing ±echocardiography was cost saving over echocardiography alone (incremental cost of -$68, i.e.</w:t>
      </w:r>
      <w:r w:rsidR="00557E4B">
        <w:t>,</w:t>
      </w:r>
      <w:r>
        <w:t xml:space="preserve"> $68 saved per patient), and the commentary’s respecified base case found the intervention was still dominant over echocardiography (incremental cost of -$25).</w:t>
      </w:r>
    </w:p>
    <w:p w14:paraId="4011657F" w14:textId="77777777" w:rsidR="00AB25C3" w:rsidRDefault="00AB25C3" w:rsidP="00AB25C3">
      <w:r>
        <w:t>ESC noted that the model was sensitive to the percentage of echocardiography referrals, which affected both costs and the number of correct diagnoses of heart failure. Based on a CASE study (Krum et al 2001</w:t>
      </w:r>
      <w:r>
        <w:rPr>
          <w:rStyle w:val="FootnoteReference"/>
        </w:rPr>
        <w:footnoteReference w:id="26"/>
      </w:r>
      <w:r>
        <w:t xml:space="preserve">) cited by the commentary, the pre-ESC response claimed that no less than 64% of people with suspected heart failure would be referred for echocardiography, and that at 64% the intervention would still be </w:t>
      </w:r>
      <w:proofErr w:type="gramStart"/>
      <w:r>
        <w:t>cost-saving</w:t>
      </w:r>
      <w:proofErr w:type="gramEnd"/>
      <w:r>
        <w:t>. ESC considered this to be uncertain because there was insufficient evidence available on the use of echocardiography nationally. ESC noted that the commentary considered several different uptake scenarios (ranging from 50–100% of patients receiving echocardiography appropriately), which changed the intervention from being cost saving to cost positive. The sensitivity analysis using the commentary revised base case found that NT-</w:t>
      </w:r>
      <w:proofErr w:type="spellStart"/>
      <w:r>
        <w:t>proBNP</w:t>
      </w:r>
      <w:proofErr w:type="spellEnd"/>
      <w:r>
        <w:t xml:space="preserve"> testing may not be cost saving if GPs refer patients above the threshold to echocardiography at a rate of 80% or lower.</w:t>
      </w:r>
    </w:p>
    <w:p w14:paraId="766F83B0" w14:textId="77777777" w:rsidR="00AB25C3" w:rsidRDefault="00AB25C3" w:rsidP="00AB25C3">
      <w:r>
        <w:t>ESC also considered that the use of BNP/NT-</w:t>
      </w:r>
      <w:proofErr w:type="spellStart"/>
      <w:r>
        <w:t>proBNP</w:t>
      </w:r>
      <w:proofErr w:type="spellEnd"/>
      <w:r>
        <w:t xml:space="preserve"> testing could reduce the number of echocardiography referrals because it would allow a diagnosis of heart failure to be ruled out earlier. However, it was difficult to establish an accurate offset of echocardiography referrals, as there were reasons other than suspected heart failure for requesting echocardiography. ESC considered that the number of echocardiography referrals may not be affected by BNP/NT-</w:t>
      </w:r>
      <w:proofErr w:type="spellStart"/>
      <w:r>
        <w:t>proBNP</w:t>
      </w:r>
      <w:proofErr w:type="spellEnd"/>
      <w:r>
        <w:t xml:space="preserve"> testing where referrals are appropriately made for investigating other diseases.</w:t>
      </w:r>
    </w:p>
    <w:p w14:paraId="2F1BECE0" w14:textId="202B7864" w:rsidR="00AB25C3" w:rsidRDefault="00AB25C3" w:rsidP="00AB25C3">
      <w:r>
        <w:lastRenderedPageBreak/>
        <w:t xml:space="preserve">ESC noted that the uncertainty in the economic model affected the financial impacts. The ADAR estimated net cost savings to the MBS of $6,473,083 in year 1 to $9,675,089 in year 6. The commentary revised the financial impacts by updating the MBS fees (from July 2023), using the test accuracy results from </w:t>
      </w:r>
      <w:proofErr w:type="spellStart"/>
      <w:r>
        <w:t>Zaphiriou</w:t>
      </w:r>
      <w:proofErr w:type="spellEnd"/>
      <w:r>
        <w:t xml:space="preserve"> et al. 2005, including additional GP visits to receive results, assuming that all patients were treated in primary care,</w:t>
      </w:r>
      <w:r w:rsidRPr="00C56A19">
        <w:t xml:space="preserve"> </w:t>
      </w:r>
      <w:r>
        <w:t>and correcting errors. This resulted in reduced net cost savings of $2,050,786 in year 1 to $3,749,889 in year 6. However, ESC considered that these figures could be underestimated as there were cost offsets not captured, including through reduced emergency department visits, and opportunity costs resulting from long wait times for echocardiograms. ESC considered that increased costs from more GP visits may be preferable to greatly increased costs from emergency department and cardiologist visits.</w:t>
      </w:r>
    </w:p>
    <w:p w14:paraId="5D5B239E" w14:textId="77777777" w:rsidR="00AB25C3" w:rsidRDefault="00AB25C3" w:rsidP="00AB25C3">
      <w:r>
        <w:t>ESC noted the commentary included sensitivity analyses of BNP/NT-</w:t>
      </w:r>
      <w:proofErr w:type="spellStart"/>
      <w:r>
        <w:t>proBNP</w:t>
      </w:r>
      <w:proofErr w:type="spellEnd"/>
      <w:r>
        <w:t xml:space="preserve"> uptake rates of 50%, 75% and 85% in the primary care setting and higher uptake rates in the specialist setting. ESC noted that the commentary’s sensitivity analyses of the financial cost accounted for the add-on use of NT-</w:t>
      </w:r>
      <w:proofErr w:type="spellStart"/>
      <w:r>
        <w:t>proBNP</w:t>
      </w:r>
      <w:proofErr w:type="spellEnd"/>
      <w:r>
        <w:t xml:space="preserve"> when echocardiography was not replaced (for example, in rural and regional areas). The results showed that add-on use of NT-</w:t>
      </w:r>
      <w:proofErr w:type="spellStart"/>
      <w:r>
        <w:t>proBNP</w:t>
      </w:r>
      <w:proofErr w:type="spellEnd"/>
      <w:r>
        <w:t xml:space="preserve"> above 50% would result in a net cost to the MBS – although ESC considered that increased cost to the MBS does not necessarily indicate poor value-for-money. However, i</w:t>
      </w:r>
      <w:r w:rsidRPr="006A55FE">
        <w:t>n the</w:t>
      </w:r>
      <w:r>
        <w:t xml:space="preserve"> commentary’s</w:t>
      </w:r>
      <w:r w:rsidRPr="006A55FE">
        <w:t xml:space="preserve"> revised estimates, </w:t>
      </w:r>
      <w:r>
        <w:t xml:space="preserve">most sensitivity analyses remained </w:t>
      </w:r>
      <w:r w:rsidRPr="006A55FE">
        <w:t>cost-saving.</w:t>
      </w:r>
      <w:r w:rsidRPr="00E07D4F">
        <w:t xml:space="preserve"> </w:t>
      </w:r>
      <w:r>
        <w:t xml:space="preserve">Overall, ESC considered the extent of cost-savings remained uncertain for the financials due to uncertainty in assumptions </w:t>
      </w:r>
      <w:r w:rsidRPr="0089358A">
        <w:t>in prevalence of heart failure, use of echocardiograph</w:t>
      </w:r>
      <w:r>
        <w:t>y</w:t>
      </w:r>
      <w:r w:rsidRPr="0089358A">
        <w:t xml:space="preserve"> regardless of </w:t>
      </w:r>
      <w:r>
        <w:t>BNP/</w:t>
      </w:r>
      <w:r w:rsidRPr="0089358A">
        <w:t>NT-</w:t>
      </w:r>
      <w:proofErr w:type="spellStart"/>
      <w:r w:rsidRPr="0089358A">
        <w:t>proBNP</w:t>
      </w:r>
      <w:proofErr w:type="spellEnd"/>
      <w:r w:rsidRPr="0089358A">
        <w:t xml:space="preserve"> testing outcome and use of </w:t>
      </w:r>
      <w:r>
        <w:t>BNP/</w:t>
      </w:r>
      <w:r w:rsidRPr="0089358A">
        <w:t>NT-</w:t>
      </w:r>
      <w:proofErr w:type="spellStart"/>
      <w:r w:rsidRPr="0089358A">
        <w:t>proBNP</w:t>
      </w:r>
      <w:proofErr w:type="spellEnd"/>
      <w:r w:rsidRPr="0089358A">
        <w:t xml:space="preserve"> </w:t>
      </w:r>
      <w:r>
        <w:t xml:space="preserve">in clinical situations </w:t>
      </w:r>
      <w:r w:rsidRPr="0089358A">
        <w:t>when echocardiograph</w:t>
      </w:r>
      <w:r>
        <w:t>y would</w:t>
      </w:r>
      <w:r w:rsidRPr="0089358A">
        <w:t xml:space="preserve"> not </w:t>
      </w:r>
      <w:r>
        <w:t>usually</w:t>
      </w:r>
      <w:r w:rsidRPr="0089358A">
        <w:t xml:space="preserve"> </w:t>
      </w:r>
      <w:r>
        <w:t>be considered</w:t>
      </w:r>
      <w:r w:rsidRPr="0089358A">
        <w:t>.</w:t>
      </w:r>
    </w:p>
    <w:p w14:paraId="0C7240DD" w14:textId="77777777" w:rsidR="00AB25C3" w:rsidRPr="000C21C8" w:rsidRDefault="00AB25C3" w:rsidP="00AB25C3">
      <w:r>
        <w:t>ESC considered there were also other significant factors that may influence MSAC’s consideration of this application. ESC considered that the use of BNP/NT-</w:t>
      </w:r>
      <w:proofErr w:type="spellStart"/>
      <w:r>
        <w:t>proBNP</w:t>
      </w:r>
      <w:proofErr w:type="spellEnd"/>
      <w:r>
        <w:t xml:space="preserve"> testing when echocardiography was not available may mitigate equity of access for rural/remote and low-socioeconomic populations, and for First Nations people. ESC considered that the overall impact on the out-of-pocket costs for patients </w:t>
      </w:r>
      <w:proofErr w:type="gramStart"/>
      <w:r>
        <w:t>as a result of</w:t>
      </w:r>
      <w:proofErr w:type="gramEnd"/>
      <w:r>
        <w:t xml:space="preserve"> BNP/NT-</w:t>
      </w:r>
      <w:proofErr w:type="spellStart"/>
      <w:r>
        <w:t>proBNP</w:t>
      </w:r>
      <w:proofErr w:type="spellEnd"/>
      <w:r>
        <w:t xml:space="preserve"> testing remained unclear. However, ESC noted the commentary considered that out-of-pocket costs may increase for patients due to the costs of echocardiography and additional GP consultations that may be required. </w:t>
      </w:r>
    </w:p>
    <w:p w14:paraId="7BE31B05" w14:textId="77777777" w:rsidR="00AB25C3" w:rsidRDefault="00AB25C3" w:rsidP="00AB25C3">
      <w:pPr>
        <w:pStyle w:val="Heading2"/>
        <w:numPr>
          <w:ilvl w:val="0"/>
          <w:numId w:val="0"/>
        </w:numPr>
      </w:pPr>
      <w:r>
        <w:t>17.</w:t>
      </w:r>
      <w:r>
        <w:tab/>
        <w:t>Applicant comments on MSAC’s Public Summary Document</w:t>
      </w:r>
    </w:p>
    <w:p w14:paraId="52908461" w14:textId="7589E763" w:rsidR="00AB25C3" w:rsidRPr="00784D2E" w:rsidRDefault="00784D2E" w:rsidP="00784D2E">
      <w:r w:rsidRPr="00784D2E">
        <w:t>The applicant had no comment.</w:t>
      </w:r>
    </w:p>
    <w:p w14:paraId="0D3356EE" w14:textId="77777777" w:rsidR="00AB25C3" w:rsidRDefault="00AB25C3" w:rsidP="00AB25C3">
      <w:pPr>
        <w:pStyle w:val="Heading2"/>
        <w:numPr>
          <w:ilvl w:val="0"/>
          <w:numId w:val="0"/>
        </w:numPr>
      </w:pPr>
      <w:r>
        <w:t>18.</w:t>
      </w:r>
      <w:r>
        <w:tab/>
        <w:t>Further information on MSAC</w:t>
      </w:r>
    </w:p>
    <w:p w14:paraId="7B0910BD" w14:textId="31DEAFA2" w:rsidR="00AB25C3" w:rsidRPr="00AB25C3" w:rsidRDefault="00AB25C3" w:rsidP="00AB25C3">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2" w:tooltip="Link to the MSAC website" w:history="1">
        <w:r w:rsidRPr="00F309FA">
          <w:rPr>
            <w:rStyle w:val="Hyperlink"/>
            <w:rFonts w:ascii="Franklin Gothic Book" w:hAnsi="Franklin Gothic Book"/>
            <w:bCs/>
            <w:iCs/>
            <w:sz w:val="22"/>
          </w:rPr>
          <w:t>visit the MSAC website</w:t>
        </w:r>
      </w:hyperlink>
    </w:p>
    <w:sectPr w:rsidR="00AB25C3" w:rsidRPr="00AB25C3" w:rsidSect="00CD277E">
      <w:headerReference w:type="even" r:id="rId13"/>
      <w:headerReference w:type="default" r:id="rId14"/>
      <w:footerReference w:type="even" r:id="rId15"/>
      <w:footerReference w:type="default" r:id="rId16"/>
      <w:headerReference w:type="first" r:id="rId17"/>
      <w:footerReference w:type="first" r:id="rId18"/>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B8E5" w14:textId="77777777" w:rsidR="00D048F2" w:rsidRDefault="00D048F2" w:rsidP="00B62DF2">
      <w:pPr>
        <w:spacing w:after="0" w:line="240" w:lineRule="auto"/>
      </w:pPr>
      <w:r>
        <w:separator/>
      </w:r>
    </w:p>
  </w:endnote>
  <w:endnote w:type="continuationSeparator" w:id="0">
    <w:p w14:paraId="288B9B34" w14:textId="77777777" w:rsidR="00D048F2" w:rsidRDefault="00D048F2" w:rsidP="00B62DF2">
      <w:pPr>
        <w:spacing w:after="0" w:line="240" w:lineRule="auto"/>
      </w:pPr>
      <w:r>
        <w:continuationSeparator/>
      </w:r>
    </w:p>
  </w:endnote>
  <w:endnote w:type="continuationNotice" w:id="1">
    <w:p w14:paraId="0B8B1B73" w14:textId="77777777" w:rsidR="00D048F2" w:rsidRDefault="00D048F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9B26" w14:textId="77777777" w:rsidR="00A01895" w:rsidRDefault="00A01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424156"/>
      <w:docPartObj>
        <w:docPartGallery w:val="Page Numbers (Bottom of Page)"/>
        <w:docPartUnique/>
      </w:docPartObj>
    </w:sdtPr>
    <w:sdtEndPr>
      <w:rPr>
        <w:noProof/>
      </w:rPr>
    </w:sdtEndPr>
    <w:sdtContent>
      <w:p w14:paraId="29A935D3" w14:textId="1E93D302" w:rsidR="00784D2E" w:rsidRDefault="00784D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05F59" w14:textId="77777777" w:rsidR="00A01895" w:rsidRDefault="00A01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1DC1" w14:textId="77777777" w:rsidR="00A01895" w:rsidRDefault="00A0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AEA81" w14:textId="77777777" w:rsidR="00D048F2" w:rsidRDefault="00D048F2" w:rsidP="00B62DF2">
      <w:pPr>
        <w:spacing w:after="0" w:line="240" w:lineRule="auto"/>
      </w:pPr>
      <w:r>
        <w:separator/>
      </w:r>
    </w:p>
  </w:footnote>
  <w:footnote w:type="continuationSeparator" w:id="0">
    <w:p w14:paraId="6272AD48" w14:textId="77777777" w:rsidR="00D048F2" w:rsidRDefault="00D048F2" w:rsidP="00B62DF2">
      <w:pPr>
        <w:spacing w:after="0" w:line="240" w:lineRule="auto"/>
      </w:pPr>
      <w:r>
        <w:continuationSeparator/>
      </w:r>
    </w:p>
  </w:footnote>
  <w:footnote w:type="continuationNotice" w:id="1">
    <w:p w14:paraId="00A3B2F2" w14:textId="77777777" w:rsidR="00D048F2" w:rsidRDefault="00D048F2">
      <w:pPr>
        <w:spacing w:before="0" w:after="0" w:line="240" w:lineRule="auto"/>
      </w:pPr>
    </w:p>
  </w:footnote>
  <w:footnote w:id="2">
    <w:p w14:paraId="6339F2E8" w14:textId="77777777" w:rsidR="00B56FA1" w:rsidRDefault="00B56FA1" w:rsidP="00B56FA1">
      <w:pPr>
        <w:pStyle w:val="FootnoteText"/>
      </w:pPr>
      <w:r>
        <w:rPr>
          <w:rStyle w:val="FootnoteReference"/>
        </w:rPr>
        <w:footnoteRef/>
      </w:r>
      <w:r>
        <w:t xml:space="preserve"> </w:t>
      </w:r>
      <w:r w:rsidRPr="00B8111B">
        <w:t xml:space="preserve">Atherton JJ, </w:t>
      </w:r>
      <w:proofErr w:type="spellStart"/>
      <w:r w:rsidRPr="00B8111B">
        <w:t>Sindone</w:t>
      </w:r>
      <w:proofErr w:type="spellEnd"/>
      <w:r>
        <w:t xml:space="preserve"> A, et al.</w:t>
      </w:r>
      <w:r w:rsidRPr="00B8111B">
        <w:t xml:space="preserve"> (2018). "National Heart Foundation of Australia and Cardiac Society of Australia and New Zealand: Guidelines for the Prevention, Detection, and Management of Heart Failure in Australia 2018." </w:t>
      </w:r>
      <w:r w:rsidRPr="00BC76FA">
        <w:rPr>
          <w:i/>
          <w:iCs/>
        </w:rPr>
        <w:t>Heart Lung Circ</w:t>
      </w:r>
      <w:r w:rsidRPr="00B8111B">
        <w:t xml:space="preserve"> 27(10): 1123-1208.</w:t>
      </w:r>
    </w:p>
  </w:footnote>
  <w:footnote w:id="3">
    <w:p w14:paraId="0AD5F2FE" w14:textId="77777777" w:rsidR="00627470" w:rsidRDefault="00627470" w:rsidP="00627470">
      <w:pPr>
        <w:pStyle w:val="FootnoteText"/>
      </w:pPr>
      <w:r>
        <w:rPr>
          <w:rStyle w:val="FootnoteReference"/>
        </w:rPr>
        <w:footnoteRef/>
      </w:r>
      <w:r>
        <w:t xml:space="preserve"> MSAC application 1087 – </w:t>
      </w:r>
      <w:r w:rsidRPr="00980E19">
        <w:t>Brain natriuretic peptide assays in the diagnosis and monitoring of heart failure</w:t>
      </w:r>
      <w:r>
        <w:t>.</w:t>
      </w:r>
      <w:r w:rsidRPr="00980E19">
        <w:t xml:space="preserve"> </w:t>
      </w:r>
      <w:r>
        <w:t xml:space="preserve">Available at: </w:t>
      </w:r>
      <w:hyperlink r:id="rId1" w:tooltip="This link goes to the MSAC webpage with the details of MSAC application 1087" w:history="1">
        <w:r w:rsidRPr="003F32D8">
          <w:rPr>
            <w:rStyle w:val="Hyperlink"/>
          </w:rPr>
          <w:t>http://www.msac.gov.au/internet/msac/publishing.nsf/Content/1087-public</w:t>
        </w:r>
      </w:hyperlink>
    </w:p>
  </w:footnote>
  <w:footnote w:id="4">
    <w:p w14:paraId="2A315F61" w14:textId="77777777" w:rsidR="007B6AB0" w:rsidRDefault="007B6AB0" w:rsidP="007B6AB0">
      <w:pPr>
        <w:pStyle w:val="FootnoteText"/>
      </w:pPr>
      <w:r>
        <w:rPr>
          <w:rStyle w:val="FootnoteReference"/>
        </w:rPr>
        <w:footnoteRef/>
      </w:r>
      <w:r>
        <w:t xml:space="preserve"> MSAC application 1689.1 – </w:t>
      </w:r>
      <w:r w:rsidRPr="00F60873">
        <w:t>Quantification of NT-</w:t>
      </w:r>
      <w:proofErr w:type="spellStart"/>
      <w:r w:rsidRPr="00F60873">
        <w:t>proBNP</w:t>
      </w:r>
      <w:proofErr w:type="spellEnd"/>
      <w:r w:rsidRPr="00F60873">
        <w:t xml:space="preserve"> in patients with diagnosed pulmonary arterial hypertension for ongoing risk assessment</w:t>
      </w:r>
      <w:r>
        <w:t>.</w:t>
      </w:r>
      <w:r w:rsidRPr="00980E19">
        <w:t xml:space="preserve"> </w:t>
      </w:r>
      <w:r>
        <w:t xml:space="preserve">Available at: </w:t>
      </w:r>
      <w:hyperlink r:id="rId2" w:history="1">
        <w:r w:rsidRPr="00965ADC">
          <w:rPr>
            <w:rStyle w:val="Hyperlink"/>
          </w:rPr>
          <w:t>http://www.msac.gov.au/internet/msac/publishing.nsf/Content/1689.1-public</w:t>
        </w:r>
      </w:hyperlink>
      <w:r>
        <w:t xml:space="preserve"> </w:t>
      </w:r>
    </w:p>
  </w:footnote>
  <w:footnote w:id="5">
    <w:p w14:paraId="63111FE3" w14:textId="77777777" w:rsidR="00437771" w:rsidRDefault="00437771" w:rsidP="00437771">
      <w:pPr>
        <w:pStyle w:val="FootnoteText"/>
      </w:pPr>
      <w:r>
        <w:rPr>
          <w:rStyle w:val="FootnoteReference"/>
        </w:rPr>
        <w:footnoteRef/>
      </w:r>
      <w:r>
        <w:t xml:space="preserve"> </w:t>
      </w:r>
      <w:proofErr w:type="spellStart"/>
      <w:r w:rsidRPr="00AD7873">
        <w:t>Burri</w:t>
      </w:r>
      <w:proofErr w:type="spellEnd"/>
      <w:r w:rsidRPr="00AD7873">
        <w:t xml:space="preserve"> EK</w:t>
      </w:r>
      <w:r>
        <w:t>,</w:t>
      </w:r>
      <w:r w:rsidRPr="00AD7873">
        <w:t xml:space="preserve"> </w:t>
      </w:r>
      <w:r>
        <w:t>et al.</w:t>
      </w:r>
      <w:r w:rsidRPr="00AD7873">
        <w:t xml:space="preserve"> (2012). "B-type natriuretic peptide in the evaluation and management of dyspnoea in primary care." </w:t>
      </w:r>
      <w:r w:rsidRPr="00475FAA">
        <w:rPr>
          <w:i/>
        </w:rPr>
        <w:t>J Intern Med</w:t>
      </w:r>
      <w:r w:rsidRPr="00AD7873">
        <w:t xml:space="preserve"> 272(5): 504-513.</w:t>
      </w:r>
    </w:p>
  </w:footnote>
  <w:footnote w:id="6">
    <w:p w14:paraId="2301268D" w14:textId="77777777" w:rsidR="00437771" w:rsidRDefault="00437771" w:rsidP="00437771">
      <w:pPr>
        <w:pStyle w:val="FootnoteText"/>
      </w:pPr>
      <w:r>
        <w:rPr>
          <w:rStyle w:val="FootnoteReference"/>
        </w:rPr>
        <w:footnoteRef/>
      </w:r>
      <w:r>
        <w:t xml:space="preserve"> </w:t>
      </w:r>
      <w:proofErr w:type="spellStart"/>
      <w:r w:rsidRPr="001D79BA">
        <w:t>Verdu</w:t>
      </w:r>
      <w:proofErr w:type="spellEnd"/>
      <w:r w:rsidRPr="001D79BA">
        <w:t xml:space="preserve"> </w:t>
      </w:r>
      <w:proofErr w:type="spellStart"/>
      <w:proofErr w:type="gramStart"/>
      <w:r w:rsidRPr="001D79BA">
        <w:t>JM,</w:t>
      </w:r>
      <w:r>
        <w:t>et</w:t>
      </w:r>
      <w:proofErr w:type="spellEnd"/>
      <w:r>
        <w:t xml:space="preserve"> al.</w:t>
      </w:r>
      <w:proofErr w:type="gramEnd"/>
      <w:r w:rsidRPr="001D79BA">
        <w:t xml:space="preserve"> (2012). "Rapid point-of-care NT-</w:t>
      </w:r>
      <w:proofErr w:type="spellStart"/>
      <w:r w:rsidRPr="001D79BA">
        <w:t>proBNP</w:t>
      </w:r>
      <w:proofErr w:type="spellEnd"/>
      <w:r w:rsidRPr="001D79BA">
        <w:t xml:space="preserve"> optimal cut-off point for heart failure diagnosis in primary care. [Spanish]." </w:t>
      </w:r>
      <w:r w:rsidRPr="00FF725D">
        <w:rPr>
          <w:i/>
          <w:iCs/>
        </w:rPr>
        <w:t xml:space="preserve">Rev Esp </w:t>
      </w:r>
      <w:proofErr w:type="spellStart"/>
      <w:r w:rsidRPr="00FF725D">
        <w:rPr>
          <w:i/>
          <w:iCs/>
        </w:rPr>
        <w:t>Cardiol</w:t>
      </w:r>
      <w:proofErr w:type="spellEnd"/>
      <w:r w:rsidRPr="00FF725D">
        <w:rPr>
          <w:i/>
          <w:iCs/>
        </w:rPr>
        <w:t xml:space="preserve"> (Engl Ed)</w:t>
      </w:r>
      <w:r w:rsidRPr="001D79BA">
        <w:t xml:space="preserve"> 65(7): 613-619.</w:t>
      </w:r>
    </w:p>
  </w:footnote>
  <w:footnote w:id="7">
    <w:p w14:paraId="7E30B5F4" w14:textId="77777777" w:rsidR="00437771" w:rsidRDefault="00437771" w:rsidP="00437771">
      <w:pPr>
        <w:pStyle w:val="FootnoteText"/>
      </w:pPr>
      <w:r>
        <w:rPr>
          <w:rStyle w:val="FootnoteReference"/>
        </w:rPr>
        <w:footnoteRef/>
      </w:r>
      <w:r>
        <w:t xml:space="preserve"> </w:t>
      </w:r>
      <w:r w:rsidRPr="00C51A10">
        <w:t xml:space="preserve">Taylor CJ, </w:t>
      </w:r>
      <w:r>
        <w:t>et al.</w:t>
      </w:r>
      <w:r w:rsidRPr="00C51A10">
        <w:t xml:space="preserve"> (2017). "Primary care </w:t>
      </w:r>
      <w:proofErr w:type="spellStart"/>
      <w:r w:rsidRPr="00C51A10">
        <w:t>REFerral</w:t>
      </w:r>
      <w:proofErr w:type="spellEnd"/>
      <w:r w:rsidRPr="00C51A10">
        <w:t xml:space="preserve"> for </w:t>
      </w:r>
      <w:proofErr w:type="spellStart"/>
      <w:r w:rsidRPr="00C51A10">
        <w:t>EchocaRdiogram</w:t>
      </w:r>
      <w:proofErr w:type="spellEnd"/>
      <w:r w:rsidRPr="00C51A10">
        <w:t xml:space="preserve"> (REFER) in heart failure: A diagnostic accuracy study." </w:t>
      </w:r>
      <w:r w:rsidRPr="00475FAA">
        <w:rPr>
          <w:i/>
          <w:iCs/>
        </w:rPr>
        <w:t xml:space="preserve">Br J Gen </w:t>
      </w:r>
      <w:proofErr w:type="spellStart"/>
      <w:r w:rsidRPr="00475FAA">
        <w:rPr>
          <w:i/>
          <w:iCs/>
        </w:rPr>
        <w:t>Pract</w:t>
      </w:r>
      <w:proofErr w:type="spellEnd"/>
      <w:r w:rsidRPr="00C51A10">
        <w:t xml:space="preserve"> 67(655): e94-e102</w:t>
      </w:r>
    </w:p>
  </w:footnote>
  <w:footnote w:id="8">
    <w:p w14:paraId="7842FD56" w14:textId="77777777" w:rsidR="005376B8" w:rsidRDefault="005376B8" w:rsidP="005376B8">
      <w:pPr>
        <w:pStyle w:val="FootnoteText"/>
      </w:pPr>
      <w:r>
        <w:rPr>
          <w:rStyle w:val="FootnoteReference"/>
        </w:rPr>
        <w:footnoteRef/>
      </w:r>
      <w:r>
        <w:t xml:space="preserve"> </w:t>
      </w:r>
      <w:proofErr w:type="spellStart"/>
      <w:r w:rsidRPr="006855E9">
        <w:t>Najbjerg</w:t>
      </w:r>
      <w:proofErr w:type="spellEnd"/>
      <w:r w:rsidRPr="006855E9">
        <w:t xml:space="preserve"> AG, </w:t>
      </w:r>
      <w:r>
        <w:t>et al</w:t>
      </w:r>
      <w:r w:rsidRPr="006855E9">
        <w:t>. (2019). NT-</w:t>
      </w:r>
      <w:proofErr w:type="spellStart"/>
      <w:r w:rsidRPr="006855E9">
        <w:t>proBNP</w:t>
      </w:r>
      <w:proofErr w:type="spellEnd"/>
      <w:r w:rsidRPr="006855E9">
        <w:t xml:space="preserve"> to exclude heart failure in primary care - a pragmatic, cluster-randomized study. </w:t>
      </w:r>
      <w:proofErr w:type="spellStart"/>
      <w:r w:rsidRPr="00475FAA">
        <w:rPr>
          <w:i/>
          <w:iCs/>
        </w:rPr>
        <w:t>Scand</w:t>
      </w:r>
      <w:proofErr w:type="spellEnd"/>
      <w:r w:rsidRPr="00475FAA">
        <w:rPr>
          <w:i/>
          <w:iCs/>
        </w:rPr>
        <w:t xml:space="preserve"> J Clin Lab Invest</w:t>
      </w:r>
      <w:r w:rsidRPr="006855E9">
        <w:t>, 79(5), 334–340.</w:t>
      </w:r>
    </w:p>
  </w:footnote>
  <w:footnote w:id="9">
    <w:p w14:paraId="4EAAAA6B" w14:textId="77777777" w:rsidR="00D67814" w:rsidRDefault="00D67814" w:rsidP="00D67814">
      <w:pPr>
        <w:pStyle w:val="FootnoteText"/>
      </w:pPr>
      <w:r>
        <w:rPr>
          <w:rStyle w:val="FootnoteReference"/>
        </w:rPr>
        <w:footnoteRef/>
      </w:r>
      <w:r>
        <w:t xml:space="preserve"> </w:t>
      </w:r>
      <w:proofErr w:type="spellStart"/>
      <w:r w:rsidRPr="00B47BC3">
        <w:t>Zaphiriou</w:t>
      </w:r>
      <w:proofErr w:type="spellEnd"/>
      <w:r w:rsidRPr="00B47BC3">
        <w:t xml:space="preserve"> A</w:t>
      </w:r>
      <w:r>
        <w:t>,</w:t>
      </w:r>
      <w:r w:rsidRPr="00B47BC3">
        <w:t xml:space="preserve"> </w:t>
      </w:r>
      <w:r>
        <w:t>et al.</w:t>
      </w:r>
      <w:r w:rsidRPr="00B47BC3">
        <w:t xml:space="preserve"> (2005). "The diagnostic accuracy of plasma BNP and </w:t>
      </w:r>
      <w:proofErr w:type="spellStart"/>
      <w:r w:rsidRPr="00B47BC3">
        <w:t>NTproBNP</w:t>
      </w:r>
      <w:proofErr w:type="spellEnd"/>
      <w:r w:rsidRPr="00B47BC3">
        <w:t xml:space="preserve"> in patients referred from primary care with suspected heart failure: Results of the UK natriuretic peptide study." </w:t>
      </w:r>
      <w:proofErr w:type="spellStart"/>
      <w:r w:rsidRPr="00475FAA">
        <w:rPr>
          <w:i/>
          <w:iCs/>
        </w:rPr>
        <w:t>Eur</w:t>
      </w:r>
      <w:proofErr w:type="spellEnd"/>
      <w:r w:rsidRPr="00475FAA">
        <w:rPr>
          <w:i/>
          <w:iCs/>
        </w:rPr>
        <w:t xml:space="preserve"> J Heart Fail</w:t>
      </w:r>
      <w:r w:rsidRPr="000236EC" w:rsidDel="000236EC">
        <w:t xml:space="preserve"> </w:t>
      </w:r>
      <w:r w:rsidRPr="00B47BC3">
        <w:t>7(4): 537-541</w:t>
      </w:r>
    </w:p>
  </w:footnote>
  <w:footnote w:id="10">
    <w:p w14:paraId="083AD84D" w14:textId="77777777" w:rsidR="00425F7B" w:rsidRDefault="00425F7B" w:rsidP="00425F7B">
      <w:pPr>
        <w:pStyle w:val="FootnoteText"/>
      </w:pPr>
      <w:r>
        <w:rPr>
          <w:rStyle w:val="FootnoteReference"/>
        </w:rPr>
        <w:footnoteRef/>
      </w:r>
      <w:r>
        <w:t xml:space="preserve"> </w:t>
      </w:r>
      <w:r w:rsidRPr="00084F4E">
        <w:t xml:space="preserve">Sanjiv J Shah, BNP: Biomarker Not Perfect in heart failure with preserved ejection fraction, </w:t>
      </w:r>
      <w:proofErr w:type="spellStart"/>
      <w:r w:rsidRPr="009E76FB">
        <w:rPr>
          <w:i/>
          <w:iCs/>
        </w:rPr>
        <w:t>Eur</w:t>
      </w:r>
      <w:proofErr w:type="spellEnd"/>
      <w:r w:rsidRPr="009E76FB">
        <w:rPr>
          <w:i/>
          <w:iCs/>
        </w:rPr>
        <w:t xml:space="preserve"> Heart J.</w:t>
      </w:r>
      <w:r w:rsidRPr="00084F4E">
        <w:t>, Volume 43, Issue 20, 21 May 2022, Pages 1952–1954, https://doi.org/10.1093/eurheartj/ehac121</w:t>
      </w:r>
    </w:p>
  </w:footnote>
  <w:footnote w:id="11">
    <w:p w14:paraId="11BB4C93" w14:textId="77777777" w:rsidR="00631E1C" w:rsidRDefault="00631E1C" w:rsidP="00631E1C">
      <w:pPr>
        <w:pStyle w:val="FootnoteText"/>
      </w:pPr>
      <w:r>
        <w:rPr>
          <w:rStyle w:val="FootnoteReference"/>
        </w:rPr>
        <w:footnoteRef/>
      </w:r>
      <w:r>
        <w:t xml:space="preserve"> Krum H. et al (2001). Guidelines for management of patients with chronic heart failure in Australia, </w:t>
      </w:r>
      <w:r w:rsidRPr="007A6B57">
        <w:rPr>
          <w:i/>
          <w:szCs w:val="18"/>
        </w:rPr>
        <w:t>Med J Aust</w:t>
      </w:r>
      <w:r w:rsidRPr="007A6B57">
        <w:rPr>
          <w:sz w:val="20"/>
          <w:szCs w:val="22"/>
        </w:rPr>
        <w:t>,</w:t>
      </w:r>
      <w:r>
        <w:t xml:space="preserve"> 174, 459-466.</w:t>
      </w:r>
    </w:p>
  </w:footnote>
  <w:footnote w:id="12">
    <w:p w14:paraId="0F7EA884" w14:textId="0297D41C" w:rsidR="00F1557C" w:rsidRDefault="00F1557C">
      <w:pPr>
        <w:pStyle w:val="FootnoteText"/>
      </w:pPr>
      <w:r>
        <w:rPr>
          <w:rStyle w:val="FootnoteReference"/>
        </w:rPr>
        <w:footnoteRef/>
      </w:r>
      <w:r>
        <w:t xml:space="preserve"> Choosing Wisely Australia</w:t>
      </w:r>
      <w:r w:rsidR="00A32826">
        <w:t>, an initiative of NPS MedicineWise</w:t>
      </w:r>
      <w:r>
        <w:t xml:space="preserve">. Available at: </w:t>
      </w:r>
      <w:hyperlink r:id="rId3" w:history="1">
        <w:r w:rsidR="00A32826" w:rsidRPr="00965ADC">
          <w:rPr>
            <w:rStyle w:val="Hyperlink"/>
          </w:rPr>
          <w:t>https://www.choosingwisely.org.au/</w:t>
        </w:r>
      </w:hyperlink>
      <w:r w:rsidR="00A32826">
        <w:t xml:space="preserve"> </w:t>
      </w:r>
    </w:p>
  </w:footnote>
  <w:footnote w:id="13">
    <w:p w14:paraId="47638DF2" w14:textId="26836D96" w:rsidR="00C85C1B" w:rsidRDefault="00C85C1B">
      <w:pPr>
        <w:pStyle w:val="FootnoteText"/>
      </w:pPr>
      <w:r>
        <w:rPr>
          <w:rStyle w:val="FootnoteReference"/>
        </w:rPr>
        <w:footnoteRef/>
      </w:r>
      <w:r>
        <w:t xml:space="preserve"> </w:t>
      </w:r>
      <w:proofErr w:type="spellStart"/>
      <w:r w:rsidR="00C077F1" w:rsidRPr="00C077F1">
        <w:t>Sindone</w:t>
      </w:r>
      <w:proofErr w:type="spellEnd"/>
      <w:r w:rsidR="00C077F1" w:rsidRPr="00C077F1">
        <w:t xml:space="preserve"> AP</w:t>
      </w:r>
      <w:r w:rsidR="00AC394A">
        <w:t>,</w:t>
      </w:r>
      <w:r w:rsidR="00C077F1" w:rsidRPr="00C077F1">
        <w:t xml:space="preserve"> </w:t>
      </w:r>
      <w:r w:rsidR="00AC394A">
        <w:t xml:space="preserve">et al. </w:t>
      </w:r>
      <w:r w:rsidR="00C077F1" w:rsidRPr="00C077F1">
        <w:t xml:space="preserve">(2021). "Clinical characteristics of people with heart failure in Australian general practice: results from a retrospective cohort study." </w:t>
      </w:r>
      <w:r w:rsidR="00C077F1" w:rsidRPr="00FF725D">
        <w:rPr>
          <w:i/>
        </w:rPr>
        <w:t>ESC Heart Fail</w:t>
      </w:r>
      <w:r w:rsidR="00C077F1" w:rsidRPr="00C077F1">
        <w:t xml:space="preserve"> 8(6): 4497-4505.</w:t>
      </w:r>
    </w:p>
  </w:footnote>
  <w:footnote w:id="14">
    <w:p w14:paraId="52E83AC1" w14:textId="48733CB4" w:rsidR="00C077F1" w:rsidRDefault="00C077F1">
      <w:pPr>
        <w:pStyle w:val="FootnoteText"/>
      </w:pPr>
      <w:r>
        <w:rPr>
          <w:rStyle w:val="FootnoteReference"/>
        </w:rPr>
        <w:footnoteRef/>
      </w:r>
      <w:r>
        <w:t xml:space="preserve"> </w:t>
      </w:r>
      <w:proofErr w:type="spellStart"/>
      <w:r w:rsidR="008753F7" w:rsidRPr="008753F7">
        <w:t>Hayhoe</w:t>
      </w:r>
      <w:proofErr w:type="spellEnd"/>
      <w:r w:rsidR="008753F7" w:rsidRPr="008753F7">
        <w:t xml:space="preserve"> B, </w:t>
      </w:r>
      <w:r w:rsidR="00BC17E2">
        <w:t>et al</w:t>
      </w:r>
      <w:r w:rsidR="008753F7" w:rsidRPr="008753F7">
        <w:t xml:space="preserve">. (2019). Adherence to guidelines in management of symptoms suggestive of heart failure in primary care. </w:t>
      </w:r>
      <w:r w:rsidR="008753F7" w:rsidRPr="00FF725D">
        <w:rPr>
          <w:i/>
        </w:rPr>
        <w:t>Heart</w:t>
      </w:r>
      <w:r w:rsidR="008753F7" w:rsidRPr="008753F7">
        <w:t>, 105(9), 678–685.</w:t>
      </w:r>
    </w:p>
  </w:footnote>
  <w:footnote w:id="15">
    <w:p w14:paraId="7608AF67" w14:textId="59D6BC10" w:rsidR="00414812" w:rsidRDefault="00414812">
      <w:pPr>
        <w:pStyle w:val="FootnoteText"/>
      </w:pPr>
      <w:r>
        <w:rPr>
          <w:rStyle w:val="FootnoteReference"/>
        </w:rPr>
        <w:footnoteRef/>
      </w:r>
      <w:r>
        <w:t xml:space="preserve"> </w:t>
      </w:r>
      <w:r w:rsidR="00C85C1B" w:rsidRPr="00C85C1B">
        <w:t>Australian Commission o</w:t>
      </w:r>
      <w:r w:rsidR="00763529">
        <w:t>n</w:t>
      </w:r>
      <w:r w:rsidR="00C85C1B" w:rsidRPr="00C85C1B">
        <w:t xml:space="preserve"> Safety and Quality in Healthcare</w:t>
      </w:r>
      <w:r w:rsidR="00156D6E">
        <w:t xml:space="preserve"> (ACSQH)</w:t>
      </w:r>
      <w:r w:rsidR="00C85C1B" w:rsidRPr="00C85C1B">
        <w:t>,</w:t>
      </w:r>
      <w:r w:rsidR="00156D6E">
        <w:t xml:space="preserve"> 2018</w:t>
      </w:r>
      <w:r w:rsidR="00C85C1B" w:rsidRPr="00C85C1B">
        <w:t xml:space="preserve"> Third atlas of variation. Available at: </w:t>
      </w:r>
      <w:hyperlink r:id="rId4" w:tooltip="This link goes to an Australian Comission on Safety and Quality in Healthcare document section on echocardiography" w:history="1">
        <w:r w:rsidR="00C85C1B" w:rsidRPr="006E7A19">
          <w:rPr>
            <w:rStyle w:val="Hyperlink"/>
          </w:rPr>
          <w:t>https://www.safetyandquality.gov.au/sites/default/files/migrated/4.4-Text-Standard-echocardiography-18-years-and-over.pdf</w:t>
        </w:r>
      </w:hyperlink>
      <w:r w:rsidR="00C85C1B">
        <w:t xml:space="preserve"> </w:t>
      </w:r>
    </w:p>
  </w:footnote>
  <w:footnote w:id="16">
    <w:p w14:paraId="599E8C52" w14:textId="13B6CFFA" w:rsidR="006279E2" w:rsidRDefault="006279E2" w:rsidP="006279E2">
      <w:pPr>
        <w:pStyle w:val="FootnoteText"/>
      </w:pPr>
      <w:r>
        <w:rPr>
          <w:rStyle w:val="FootnoteReference"/>
        </w:rPr>
        <w:footnoteRef/>
      </w:r>
      <w:r>
        <w:t xml:space="preserve"> </w:t>
      </w:r>
      <w:r w:rsidRPr="00B43E21">
        <w:t xml:space="preserve">McDonagh </w:t>
      </w:r>
      <w:proofErr w:type="spellStart"/>
      <w:r w:rsidRPr="00B43E21">
        <w:t>TA</w:t>
      </w:r>
      <w:r>
        <w:t>et</w:t>
      </w:r>
      <w:proofErr w:type="spellEnd"/>
      <w:r>
        <w:t xml:space="preserve"> al.</w:t>
      </w:r>
      <w:r w:rsidRPr="00B43E21">
        <w:t xml:space="preserve"> (2021). "2021 ESC Guidelines for the diagnosis and treatment of acute and chronic heart failure: Developed by the Task Force for the diagnosis and treatment of acute and chronic heart failure of the European Society of Cardiology (ESC) With the special contribution of the Heart Failure Association (HFA) of the ESC</w:t>
      </w:r>
      <w:r w:rsidRPr="00FF725D">
        <w:rPr>
          <w:i/>
        </w:rPr>
        <w:t xml:space="preserve">." </w:t>
      </w:r>
      <w:proofErr w:type="spellStart"/>
      <w:r w:rsidRPr="00FF725D">
        <w:rPr>
          <w:i/>
        </w:rPr>
        <w:t>Eur</w:t>
      </w:r>
      <w:proofErr w:type="spellEnd"/>
      <w:r w:rsidRPr="00FF725D">
        <w:rPr>
          <w:i/>
        </w:rPr>
        <w:t xml:space="preserve"> Heart J</w:t>
      </w:r>
      <w:r w:rsidRPr="00B43E21">
        <w:t>42(36): 3599-3726.</w:t>
      </w:r>
    </w:p>
  </w:footnote>
  <w:footnote w:id="17">
    <w:p w14:paraId="763ED2E6" w14:textId="63F1D23D" w:rsidR="00345F62" w:rsidRDefault="00345F62">
      <w:pPr>
        <w:pStyle w:val="FootnoteText"/>
      </w:pPr>
      <w:r>
        <w:rPr>
          <w:rStyle w:val="FootnoteReference"/>
        </w:rPr>
        <w:footnoteRef/>
      </w:r>
      <w:r>
        <w:t xml:space="preserve"> </w:t>
      </w:r>
      <w:r w:rsidR="00DE0F89" w:rsidRPr="00DE0F89">
        <w:t xml:space="preserve">Heidenreich PA, </w:t>
      </w:r>
      <w:r w:rsidR="00884F1C">
        <w:t>et al.</w:t>
      </w:r>
      <w:r w:rsidR="00DE0F89" w:rsidRPr="00DE0F89">
        <w:t xml:space="preserve"> (2022). "2022 AHA/ACC/HFSA Guideline for the Management of Heart Failure: A Report of the American College of Cardiology/American Heart Association Joint Committee on Clinical Practice Guidelines." </w:t>
      </w:r>
      <w:r w:rsidR="00DE0F89" w:rsidRPr="00FF725D">
        <w:rPr>
          <w:i/>
        </w:rPr>
        <w:t>Circulation</w:t>
      </w:r>
      <w:r w:rsidR="00DE0F89" w:rsidRPr="00DE0F89">
        <w:t xml:space="preserve"> 145(18): e895-e1032.</w:t>
      </w:r>
    </w:p>
  </w:footnote>
  <w:footnote w:id="18">
    <w:p w14:paraId="327A15A8" w14:textId="77777777" w:rsidR="006279E2" w:rsidRDefault="006279E2" w:rsidP="006279E2">
      <w:pPr>
        <w:pStyle w:val="FootnoteText"/>
      </w:pPr>
      <w:r>
        <w:rPr>
          <w:rStyle w:val="FootnoteReference"/>
        </w:rPr>
        <w:footnoteRef/>
      </w:r>
      <w:r>
        <w:t xml:space="preserve"> </w:t>
      </w:r>
      <w:r w:rsidRPr="001B1E16">
        <w:t>National Institute for Health and Care Excellence (2018). Chronic heart failure in adults: diagnosis and management.</w:t>
      </w:r>
    </w:p>
  </w:footnote>
  <w:footnote w:id="19">
    <w:p w14:paraId="17CB82C0" w14:textId="67AC3CEA" w:rsidR="00351B79" w:rsidRDefault="00351B79">
      <w:pPr>
        <w:pStyle w:val="FootnoteText"/>
      </w:pPr>
      <w:r>
        <w:rPr>
          <w:rStyle w:val="FootnoteReference"/>
        </w:rPr>
        <w:footnoteRef/>
      </w:r>
      <w:r>
        <w:t xml:space="preserve"> </w:t>
      </w:r>
      <w:r w:rsidRPr="00BF6005">
        <w:t xml:space="preserve">Wright SP, </w:t>
      </w:r>
      <w:r>
        <w:t>et al.</w:t>
      </w:r>
      <w:r w:rsidRPr="00BF6005">
        <w:t xml:space="preserve"> (2003). "Plasma amino-terminal pro-brain natriuretic peptide and accuracy of heart-failure diagnosis in primary care: A randomized, controlled trial." </w:t>
      </w:r>
      <w:r w:rsidR="00822182" w:rsidRPr="00FF725D">
        <w:rPr>
          <w:i/>
          <w:iCs/>
        </w:rPr>
        <w:t xml:space="preserve">J Am Coll </w:t>
      </w:r>
      <w:proofErr w:type="spellStart"/>
      <w:proofErr w:type="gramStart"/>
      <w:r w:rsidR="00822182" w:rsidRPr="00FF725D">
        <w:rPr>
          <w:i/>
          <w:iCs/>
        </w:rPr>
        <w:t>Cardiol</w:t>
      </w:r>
      <w:proofErr w:type="spellEnd"/>
      <w:r w:rsidR="00822182">
        <w:rPr>
          <w:i/>
          <w:iCs/>
        </w:rPr>
        <w:t xml:space="preserve"> </w:t>
      </w:r>
      <w:r w:rsidRPr="00BF6005">
        <w:t xml:space="preserve"> 42</w:t>
      </w:r>
      <w:proofErr w:type="gramEnd"/>
      <w:r w:rsidRPr="00BF6005">
        <w:t>(10): 1793-1800.</w:t>
      </w:r>
    </w:p>
  </w:footnote>
  <w:footnote w:id="20">
    <w:p w14:paraId="63615750" w14:textId="3885D85D" w:rsidR="00F83404" w:rsidRDefault="00F83404">
      <w:pPr>
        <w:pStyle w:val="FootnoteText"/>
      </w:pPr>
      <w:r>
        <w:rPr>
          <w:rStyle w:val="FootnoteReference"/>
        </w:rPr>
        <w:footnoteRef/>
      </w:r>
      <w:r>
        <w:t xml:space="preserve"> </w:t>
      </w:r>
      <w:r w:rsidRPr="00F83404">
        <w:t xml:space="preserve">Hobbs FDR, </w:t>
      </w:r>
      <w:r w:rsidR="006B0704">
        <w:t>et al.</w:t>
      </w:r>
      <w:r w:rsidR="006B0704" w:rsidRPr="00F83404">
        <w:t xml:space="preserve"> (</w:t>
      </w:r>
      <w:r w:rsidRPr="00F83404">
        <w:t xml:space="preserve">2002). "Reliability of N-terminal pro-brain natriuretic peptide assay in diagnosis of heart failure: Cohort study in representative and </w:t>
      </w:r>
      <w:proofErr w:type="gramStart"/>
      <w:r w:rsidRPr="00F83404">
        <w:t>high risk</w:t>
      </w:r>
      <w:proofErr w:type="gramEnd"/>
      <w:r w:rsidRPr="00F83404">
        <w:t xml:space="preserve"> community populations." </w:t>
      </w:r>
      <w:r w:rsidR="00906CFD" w:rsidRPr="00FF725D">
        <w:rPr>
          <w:i/>
          <w:iCs/>
        </w:rPr>
        <w:t>BMJ</w:t>
      </w:r>
      <w:r w:rsidRPr="00F83404">
        <w:t xml:space="preserve"> 324(7352): 1498-1500.</w:t>
      </w:r>
    </w:p>
  </w:footnote>
  <w:footnote w:id="21">
    <w:p w14:paraId="0EEEA093" w14:textId="17A2AAEA" w:rsidR="00113704" w:rsidRDefault="00113704">
      <w:pPr>
        <w:pStyle w:val="FootnoteText"/>
      </w:pPr>
      <w:r>
        <w:rPr>
          <w:rStyle w:val="FootnoteReference"/>
        </w:rPr>
        <w:footnoteRef/>
      </w:r>
      <w:r>
        <w:t xml:space="preserve"> </w:t>
      </w:r>
      <w:r w:rsidRPr="00113704">
        <w:t xml:space="preserve">Nielsen LS, </w:t>
      </w:r>
      <w:r w:rsidR="00DF15E8">
        <w:t>et al.</w:t>
      </w:r>
      <w:r w:rsidRPr="00113704">
        <w:t xml:space="preserve"> (2004). "N-terminal pro-brain natriuretic peptide for discriminating between cardiac and non-cardiac dyspnoea." </w:t>
      </w:r>
      <w:proofErr w:type="spellStart"/>
      <w:r w:rsidR="000236EC" w:rsidRPr="00FF725D">
        <w:rPr>
          <w:i/>
          <w:iCs/>
        </w:rPr>
        <w:t>Eur</w:t>
      </w:r>
      <w:proofErr w:type="spellEnd"/>
      <w:r w:rsidR="000236EC" w:rsidRPr="00FF725D">
        <w:rPr>
          <w:i/>
          <w:iCs/>
        </w:rPr>
        <w:t xml:space="preserve"> J Heart Fail</w:t>
      </w:r>
      <w:r w:rsidR="000236EC" w:rsidRPr="000236EC" w:rsidDel="000236EC">
        <w:t xml:space="preserve"> </w:t>
      </w:r>
      <w:r w:rsidRPr="00113704">
        <w:t>6(1): 63-70.</w:t>
      </w:r>
    </w:p>
  </w:footnote>
  <w:footnote w:id="22">
    <w:p w14:paraId="724B2CC2" w14:textId="2DB3DE35" w:rsidR="00285765" w:rsidRDefault="00285765">
      <w:pPr>
        <w:pStyle w:val="FootnoteText"/>
      </w:pPr>
      <w:r>
        <w:rPr>
          <w:rStyle w:val="FootnoteReference"/>
        </w:rPr>
        <w:footnoteRef/>
      </w:r>
      <w:r>
        <w:t xml:space="preserve"> </w:t>
      </w:r>
      <w:r w:rsidRPr="00285765">
        <w:t xml:space="preserve">Taylor CJ, </w:t>
      </w:r>
      <w:r w:rsidR="00FA0554">
        <w:t>et al.</w:t>
      </w:r>
      <w:r w:rsidRPr="00285765">
        <w:t xml:space="preserve"> (2023). "Natriuretic peptide testing and heart failure diagnosis in primary care: diagnostic accuracy study." </w:t>
      </w:r>
      <w:r w:rsidRPr="00FF725D">
        <w:rPr>
          <w:i/>
          <w:iCs/>
        </w:rPr>
        <w:t xml:space="preserve">Br J Gen </w:t>
      </w:r>
      <w:proofErr w:type="spellStart"/>
      <w:r w:rsidRPr="00FF725D">
        <w:rPr>
          <w:i/>
          <w:iCs/>
        </w:rPr>
        <w:t>Pract</w:t>
      </w:r>
      <w:proofErr w:type="spellEnd"/>
      <w:r w:rsidRPr="00285765">
        <w:t xml:space="preserve"> 73(726): E1-E8.</w:t>
      </w:r>
    </w:p>
  </w:footnote>
  <w:footnote w:id="23">
    <w:p w14:paraId="2D6FA12B" w14:textId="5D375681" w:rsidR="0081299D" w:rsidRDefault="004B1B89">
      <w:pPr>
        <w:pStyle w:val="FootnoteText"/>
      </w:pPr>
      <w:r>
        <w:rPr>
          <w:rStyle w:val="FootnoteReference"/>
        </w:rPr>
        <w:footnoteRef/>
      </w:r>
      <w:r>
        <w:t xml:space="preserve"> </w:t>
      </w:r>
      <w:r w:rsidR="0081299D">
        <w:t>AIHW (2001). A general practice view of cardiovascular disease and diabetes in Australia. AIHW cat. No. CVD 17 (Cardiovascular Disease Series No. 18), Canberra, AIHW.</w:t>
      </w:r>
    </w:p>
  </w:footnote>
  <w:footnote w:id="24">
    <w:p w14:paraId="00C8A149" w14:textId="2FC7C7F8" w:rsidR="008F108A" w:rsidRDefault="008F108A">
      <w:pPr>
        <w:pStyle w:val="FootnoteText"/>
      </w:pPr>
      <w:r>
        <w:rPr>
          <w:rStyle w:val="FootnoteReference"/>
        </w:rPr>
        <w:footnoteRef/>
      </w:r>
      <w:r>
        <w:t xml:space="preserve"> </w:t>
      </w:r>
      <w:proofErr w:type="spellStart"/>
      <w:r w:rsidR="00242022" w:rsidRPr="00242022">
        <w:t>Valk</w:t>
      </w:r>
      <w:proofErr w:type="spellEnd"/>
      <w:r w:rsidR="00242022" w:rsidRPr="00242022">
        <w:t xml:space="preserve"> M, </w:t>
      </w:r>
      <w:r w:rsidR="00951C63">
        <w:t>et al.</w:t>
      </w:r>
      <w:r w:rsidR="00242022" w:rsidRPr="00242022">
        <w:t xml:space="preserve"> (2020). Time trends in the use and appropriateness of natriuretic peptide testing in primary care: an observational study. </w:t>
      </w:r>
      <w:r w:rsidR="00242022" w:rsidRPr="00FF725D">
        <w:rPr>
          <w:i/>
          <w:iCs/>
        </w:rPr>
        <w:t>B</w:t>
      </w:r>
      <w:r w:rsidR="00D964D9">
        <w:rPr>
          <w:i/>
          <w:iCs/>
        </w:rPr>
        <w:t xml:space="preserve"> </w:t>
      </w:r>
      <w:r w:rsidR="00242022" w:rsidRPr="00FF725D">
        <w:rPr>
          <w:i/>
          <w:iCs/>
        </w:rPr>
        <w:t>J</w:t>
      </w:r>
      <w:r w:rsidR="00D964D9">
        <w:rPr>
          <w:i/>
          <w:iCs/>
        </w:rPr>
        <w:t xml:space="preserve"> </w:t>
      </w:r>
      <w:r w:rsidR="00242022" w:rsidRPr="00FF725D">
        <w:rPr>
          <w:i/>
          <w:iCs/>
        </w:rPr>
        <w:t>GP</w:t>
      </w:r>
      <w:r w:rsidR="00242022" w:rsidRPr="00242022">
        <w:t xml:space="preserve"> open, 4(4).</w:t>
      </w:r>
    </w:p>
  </w:footnote>
  <w:footnote w:id="25">
    <w:p w14:paraId="2422B36D" w14:textId="32AA390A" w:rsidR="00242022" w:rsidRDefault="00242022">
      <w:pPr>
        <w:pStyle w:val="FootnoteText"/>
      </w:pPr>
      <w:r>
        <w:rPr>
          <w:rStyle w:val="FootnoteReference"/>
        </w:rPr>
        <w:footnoteRef/>
      </w:r>
      <w:r>
        <w:t xml:space="preserve"> </w:t>
      </w:r>
      <w:proofErr w:type="spellStart"/>
      <w:r w:rsidR="004006A4" w:rsidRPr="004006A4">
        <w:t>Roalfe</w:t>
      </w:r>
      <w:proofErr w:type="spellEnd"/>
      <w:r w:rsidR="004006A4" w:rsidRPr="004006A4">
        <w:t xml:space="preserve"> AK,</w:t>
      </w:r>
      <w:r w:rsidR="00AC2FE4">
        <w:t xml:space="preserve"> et al.</w:t>
      </w:r>
      <w:r w:rsidR="004006A4" w:rsidRPr="004006A4">
        <w:t xml:space="preserve"> (2021). Long term trends in natriuretic peptide testing for heart failure in UK primary care: a cohort study. </w:t>
      </w:r>
      <w:proofErr w:type="spellStart"/>
      <w:r w:rsidR="004006A4" w:rsidRPr="00FF725D">
        <w:rPr>
          <w:i/>
          <w:iCs/>
        </w:rPr>
        <w:t>Eur</w:t>
      </w:r>
      <w:proofErr w:type="spellEnd"/>
      <w:r w:rsidR="004006A4" w:rsidRPr="00FF725D">
        <w:rPr>
          <w:i/>
          <w:iCs/>
        </w:rPr>
        <w:t xml:space="preserve"> </w:t>
      </w:r>
      <w:r w:rsidR="00F01590" w:rsidRPr="00FF725D">
        <w:rPr>
          <w:i/>
          <w:iCs/>
        </w:rPr>
        <w:t>Heart J</w:t>
      </w:r>
      <w:r w:rsidR="004006A4" w:rsidRPr="00FF725D">
        <w:rPr>
          <w:i/>
          <w:iCs/>
        </w:rPr>
        <w:t>,</w:t>
      </w:r>
      <w:r w:rsidR="004006A4" w:rsidRPr="004006A4">
        <w:t xml:space="preserve"> 43(9), 881–891.</w:t>
      </w:r>
    </w:p>
  </w:footnote>
  <w:footnote w:id="26">
    <w:p w14:paraId="79458559" w14:textId="77777777" w:rsidR="00AB25C3" w:rsidRDefault="00AB25C3" w:rsidP="00AB25C3">
      <w:pPr>
        <w:pStyle w:val="EndNoteBibliography"/>
        <w:spacing w:after="0"/>
      </w:pPr>
      <w:r w:rsidRPr="00FF725D">
        <w:rPr>
          <w:rStyle w:val="FootnoteReference"/>
          <w:sz w:val="18"/>
          <w:szCs w:val="18"/>
        </w:rPr>
        <w:footnoteRef/>
      </w:r>
      <w:r w:rsidRPr="00FF725D">
        <w:rPr>
          <w:sz w:val="18"/>
          <w:szCs w:val="18"/>
        </w:rPr>
        <w:t xml:space="preserve"> H. Krum, et al. (2001) Chronic heart failure in Australian general practice: The Cardiac Awareness Survey and Evaluation (CASE) Study. </w:t>
      </w:r>
      <w:r w:rsidRPr="00FF725D">
        <w:rPr>
          <w:i/>
          <w:sz w:val="18"/>
          <w:szCs w:val="18"/>
        </w:rPr>
        <w:t>Med J Aust</w:t>
      </w:r>
      <w:r w:rsidRPr="00FF725D">
        <w:rPr>
          <w:sz w:val="18"/>
          <w:szCs w:val="18"/>
        </w:rPr>
        <w:t xml:space="preserve"> </w:t>
      </w:r>
      <w:r w:rsidRPr="00FF725D">
        <w:rPr>
          <w:b/>
          <w:sz w:val="18"/>
          <w:szCs w:val="18"/>
        </w:rPr>
        <w:t>174</w:t>
      </w:r>
      <w:r w:rsidRPr="00FF725D">
        <w:rPr>
          <w:sz w:val="18"/>
          <w:szCs w:val="18"/>
        </w:rPr>
        <w:t>, 439-444 (2001).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C95C" w14:textId="77777777" w:rsidR="00A01895" w:rsidRDefault="00A0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CAE4A" w14:textId="77777777" w:rsidR="00A01895" w:rsidRDefault="00A0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B858" w14:textId="77777777" w:rsidR="00A01895" w:rsidRDefault="00A0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979"/>
    <w:multiLevelType w:val="hybridMultilevel"/>
    <w:tmpl w:val="A8042B92"/>
    <w:lvl w:ilvl="0" w:tplc="04B60BA8">
      <w:numFmt w:val="bullet"/>
      <w:lvlText w:val="•"/>
      <w:lvlJc w:val="left"/>
      <w:pPr>
        <w:ind w:left="1080" w:hanging="72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6396B"/>
    <w:multiLevelType w:val="hybridMultilevel"/>
    <w:tmpl w:val="F44EDAA2"/>
    <w:lvl w:ilvl="0" w:tplc="1020E1E0">
      <w:start w:val="1"/>
      <w:numFmt w:val="bullet"/>
      <w:lvlText w:val=""/>
      <w:lvlJc w:val="left"/>
      <w:pPr>
        <w:ind w:left="720" w:hanging="360"/>
      </w:pPr>
      <w:rPr>
        <w:rFonts w:ascii="Symbol" w:hAnsi="Symbol"/>
      </w:rPr>
    </w:lvl>
    <w:lvl w:ilvl="1" w:tplc="E9BEB05E">
      <w:start w:val="1"/>
      <w:numFmt w:val="bullet"/>
      <w:lvlText w:val=""/>
      <w:lvlJc w:val="left"/>
      <w:pPr>
        <w:ind w:left="720" w:hanging="360"/>
      </w:pPr>
      <w:rPr>
        <w:rFonts w:ascii="Symbol" w:hAnsi="Symbol"/>
      </w:rPr>
    </w:lvl>
    <w:lvl w:ilvl="2" w:tplc="A0E64270">
      <w:start w:val="1"/>
      <w:numFmt w:val="bullet"/>
      <w:lvlText w:val=""/>
      <w:lvlJc w:val="left"/>
      <w:pPr>
        <w:ind w:left="720" w:hanging="360"/>
      </w:pPr>
      <w:rPr>
        <w:rFonts w:ascii="Symbol" w:hAnsi="Symbol"/>
      </w:rPr>
    </w:lvl>
    <w:lvl w:ilvl="3" w:tplc="1E3C50F0">
      <w:start w:val="1"/>
      <w:numFmt w:val="bullet"/>
      <w:lvlText w:val=""/>
      <w:lvlJc w:val="left"/>
      <w:pPr>
        <w:ind w:left="720" w:hanging="360"/>
      </w:pPr>
      <w:rPr>
        <w:rFonts w:ascii="Symbol" w:hAnsi="Symbol"/>
      </w:rPr>
    </w:lvl>
    <w:lvl w:ilvl="4" w:tplc="84901E1E">
      <w:start w:val="1"/>
      <w:numFmt w:val="bullet"/>
      <w:lvlText w:val=""/>
      <w:lvlJc w:val="left"/>
      <w:pPr>
        <w:ind w:left="720" w:hanging="360"/>
      </w:pPr>
      <w:rPr>
        <w:rFonts w:ascii="Symbol" w:hAnsi="Symbol"/>
      </w:rPr>
    </w:lvl>
    <w:lvl w:ilvl="5" w:tplc="AAB21366">
      <w:start w:val="1"/>
      <w:numFmt w:val="bullet"/>
      <w:lvlText w:val=""/>
      <w:lvlJc w:val="left"/>
      <w:pPr>
        <w:ind w:left="720" w:hanging="360"/>
      </w:pPr>
      <w:rPr>
        <w:rFonts w:ascii="Symbol" w:hAnsi="Symbol"/>
      </w:rPr>
    </w:lvl>
    <w:lvl w:ilvl="6" w:tplc="80F80B8A">
      <w:start w:val="1"/>
      <w:numFmt w:val="bullet"/>
      <w:lvlText w:val=""/>
      <w:lvlJc w:val="left"/>
      <w:pPr>
        <w:ind w:left="720" w:hanging="360"/>
      </w:pPr>
      <w:rPr>
        <w:rFonts w:ascii="Symbol" w:hAnsi="Symbol"/>
      </w:rPr>
    </w:lvl>
    <w:lvl w:ilvl="7" w:tplc="0B44B3B0">
      <w:start w:val="1"/>
      <w:numFmt w:val="bullet"/>
      <w:lvlText w:val=""/>
      <w:lvlJc w:val="left"/>
      <w:pPr>
        <w:ind w:left="720" w:hanging="360"/>
      </w:pPr>
      <w:rPr>
        <w:rFonts w:ascii="Symbol" w:hAnsi="Symbol"/>
      </w:rPr>
    </w:lvl>
    <w:lvl w:ilvl="8" w:tplc="F2400D8E">
      <w:start w:val="1"/>
      <w:numFmt w:val="bullet"/>
      <w:lvlText w:val=""/>
      <w:lvlJc w:val="left"/>
      <w:pPr>
        <w:ind w:left="720" w:hanging="360"/>
      </w:pPr>
      <w:rPr>
        <w:rFonts w:ascii="Symbol" w:hAnsi="Symbol"/>
      </w:rPr>
    </w:lvl>
  </w:abstractNum>
  <w:abstractNum w:abstractNumId="2" w15:restartNumberingAfterBreak="0">
    <w:nsid w:val="0E783270"/>
    <w:multiLevelType w:val="hybridMultilevel"/>
    <w:tmpl w:val="40267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82374"/>
    <w:multiLevelType w:val="hybridMultilevel"/>
    <w:tmpl w:val="9006BA72"/>
    <w:lvl w:ilvl="0" w:tplc="31447D52">
      <w:start w:val="1"/>
      <w:numFmt w:val="bullet"/>
      <w:lvlText w:val=""/>
      <w:lvlJc w:val="left"/>
      <w:pPr>
        <w:ind w:left="720" w:hanging="360"/>
      </w:pPr>
      <w:rPr>
        <w:rFonts w:ascii="Symbol" w:hAnsi="Symbol"/>
      </w:rPr>
    </w:lvl>
    <w:lvl w:ilvl="1" w:tplc="2F0688FA">
      <w:start w:val="1"/>
      <w:numFmt w:val="bullet"/>
      <w:lvlText w:val=""/>
      <w:lvlJc w:val="left"/>
      <w:pPr>
        <w:ind w:left="720" w:hanging="360"/>
      </w:pPr>
      <w:rPr>
        <w:rFonts w:ascii="Symbol" w:hAnsi="Symbol"/>
      </w:rPr>
    </w:lvl>
    <w:lvl w:ilvl="2" w:tplc="4B66F68C">
      <w:start w:val="1"/>
      <w:numFmt w:val="bullet"/>
      <w:lvlText w:val=""/>
      <w:lvlJc w:val="left"/>
      <w:pPr>
        <w:ind w:left="720" w:hanging="360"/>
      </w:pPr>
      <w:rPr>
        <w:rFonts w:ascii="Symbol" w:hAnsi="Symbol"/>
      </w:rPr>
    </w:lvl>
    <w:lvl w:ilvl="3" w:tplc="E3A4C4E8">
      <w:start w:val="1"/>
      <w:numFmt w:val="bullet"/>
      <w:lvlText w:val=""/>
      <w:lvlJc w:val="left"/>
      <w:pPr>
        <w:ind w:left="720" w:hanging="360"/>
      </w:pPr>
      <w:rPr>
        <w:rFonts w:ascii="Symbol" w:hAnsi="Symbol"/>
      </w:rPr>
    </w:lvl>
    <w:lvl w:ilvl="4" w:tplc="9DA06A52">
      <w:start w:val="1"/>
      <w:numFmt w:val="bullet"/>
      <w:lvlText w:val=""/>
      <w:lvlJc w:val="left"/>
      <w:pPr>
        <w:ind w:left="720" w:hanging="360"/>
      </w:pPr>
      <w:rPr>
        <w:rFonts w:ascii="Symbol" w:hAnsi="Symbol"/>
      </w:rPr>
    </w:lvl>
    <w:lvl w:ilvl="5" w:tplc="2CF05876">
      <w:start w:val="1"/>
      <w:numFmt w:val="bullet"/>
      <w:lvlText w:val=""/>
      <w:lvlJc w:val="left"/>
      <w:pPr>
        <w:ind w:left="720" w:hanging="360"/>
      </w:pPr>
      <w:rPr>
        <w:rFonts w:ascii="Symbol" w:hAnsi="Symbol"/>
      </w:rPr>
    </w:lvl>
    <w:lvl w:ilvl="6" w:tplc="08809564">
      <w:start w:val="1"/>
      <w:numFmt w:val="bullet"/>
      <w:lvlText w:val=""/>
      <w:lvlJc w:val="left"/>
      <w:pPr>
        <w:ind w:left="720" w:hanging="360"/>
      </w:pPr>
      <w:rPr>
        <w:rFonts w:ascii="Symbol" w:hAnsi="Symbol"/>
      </w:rPr>
    </w:lvl>
    <w:lvl w:ilvl="7" w:tplc="8B64F4FA">
      <w:start w:val="1"/>
      <w:numFmt w:val="bullet"/>
      <w:lvlText w:val=""/>
      <w:lvlJc w:val="left"/>
      <w:pPr>
        <w:ind w:left="720" w:hanging="360"/>
      </w:pPr>
      <w:rPr>
        <w:rFonts w:ascii="Symbol" w:hAnsi="Symbol"/>
      </w:rPr>
    </w:lvl>
    <w:lvl w:ilvl="8" w:tplc="C6F8B7D0">
      <w:start w:val="1"/>
      <w:numFmt w:val="bullet"/>
      <w:lvlText w:val=""/>
      <w:lvlJc w:val="left"/>
      <w:pPr>
        <w:ind w:left="720" w:hanging="360"/>
      </w:pPr>
      <w:rPr>
        <w:rFonts w:ascii="Symbol" w:hAnsi="Symbol"/>
      </w:rPr>
    </w:lvl>
  </w:abstractNum>
  <w:abstractNum w:abstractNumId="5" w15:restartNumberingAfterBreak="0">
    <w:nsid w:val="15A76CD9"/>
    <w:multiLevelType w:val="hybridMultilevel"/>
    <w:tmpl w:val="AF3E875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8" w15:restartNumberingAfterBreak="0">
    <w:nsid w:val="246C78C7"/>
    <w:multiLevelType w:val="multilevel"/>
    <w:tmpl w:val="3D509450"/>
    <w:lvl w:ilvl="0">
      <w:start w:val="1"/>
      <w:numFmt w:val="decimal"/>
      <w:lvlText w:val="Section %1"/>
      <w:lvlJc w:val="left"/>
      <w:pPr>
        <w:ind w:left="786" w:hanging="786"/>
      </w:pPr>
      <w:rPr>
        <w:rFonts w:hint="default"/>
      </w:rPr>
    </w:lvl>
    <w:lvl w:ilvl="1">
      <w:start w:val="1"/>
      <w:numFmt w:val="decimal"/>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91" w:hanging="1191"/>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D01911"/>
    <w:multiLevelType w:val="hybridMultilevel"/>
    <w:tmpl w:val="CF7E95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737BEE"/>
    <w:multiLevelType w:val="hybridMultilevel"/>
    <w:tmpl w:val="44CC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B75700D"/>
    <w:multiLevelType w:val="hybridMultilevel"/>
    <w:tmpl w:val="CA14FB6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4" w15:restartNumberingAfterBreak="0">
    <w:nsid w:val="2BC564DB"/>
    <w:multiLevelType w:val="hybridMultilevel"/>
    <w:tmpl w:val="FABCA4DA"/>
    <w:lvl w:ilvl="0" w:tplc="C7EAE0F8">
      <w:start w:val="1"/>
      <w:numFmt w:val="bullet"/>
      <w:lvlText w:val=""/>
      <w:lvlJc w:val="left"/>
      <w:pPr>
        <w:ind w:left="720" w:hanging="360"/>
      </w:pPr>
      <w:rPr>
        <w:rFonts w:ascii="Symbol" w:hAnsi="Symbol"/>
      </w:rPr>
    </w:lvl>
    <w:lvl w:ilvl="1" w:tplc="1B5C0752">
      <w:start w:val="1"/>
      <w:numFmt w:val="bullet"/>
      <w:lvlText w:val=""/>
      <w:lvlJc w:val="left"/>
      <w:pPr>
        <w:ind w:left="720" w:hanging="360"/>
      </w:pPr>
      <w:rPr>
        <w:rFonts w:ascii="Symbol" w:hAnsi="Symbol"/>
      </w:rPr>
    </w:lvl>
    <w:lvl w:ilvl="2" w:tplc="19F0586A">
      <w:start w:val="1"/>
      <w:numFmt w:val="bullet"/>
      <w:lvlText w:val=""/>
      <w:lvlJc w:val="left"/>
      <w:pPr>
        <w:ind w:left="720" w:hanging="360"/>
      </w:pPr>
      <w:rPr>
        <w:rFonts w:ascii="Symbol" w:hAnsi="Symbol"/>
      </w:rPr>
    </w:lvl>
    <w:lvl w:ilvl="3" w:tplc="34E806DC">
      <w:start w:val="1"/>
      <w:numFmt w:val="bullet"/>
      <w:lvlText w:val=""/>
      <w:lvlJc w:val="left"/>
      <w:pPr>
        <w:ind w:left="720" w:hanging="360"/>
      </w:pPr>
      <w:rPr>
        <w:rFonts w:ascii="Symbol" w:hAnsi="Symbol"/>
      </w:rPr>
    </w:lvl>
    <w:lvl w:ilvl="4" w:tplc="63EE0202">
      <w:start w:val="1"/>
      <w:numFmt w:val="bullet"/>
      <w:lvlText w:val=""/>
      <w:lvlJc w:val="left"/>
      <w:pPr>
        <w:ind w:left="720" w:hanging="360"/>
      </w:pPr>
      <w:rPr>
        <w:rFonts w:ascii="Symbol" w:hAnsi="Symbol"/>
      </w:rPr>
    </w:lvl>
    <w:lvl w:ilvl="5" w:tplc="42A4E252">
      <w:start w:val="1"/>
      <w:numFmt w:val="bullet"/>
      <w:lvlText w:val=""/>
      <w:lvlJc w:val="left"/>
      <w:pPr>
        <w:ind w:left="720" w:hanging="360"/>
      </w:pPr>
      <w:rPr>
        <w:rFonts w:ascii="Symbol" w:hAnsi="Symbol"/>
      </w:rPr>
    </w:lvl>
    <w:lvl w:ilvl="6" w:tplc="1916B910">
      <w:start w:val="1"/>
      <w:numFmt w:val="bullet"/>
      <w:lvlText w:val=""/>
      <w:lvlJc w:val="left"/>
      <w:pPr>
        <w:ind w:left="720" w:hanging="360"/>
      </w:pPr>
      <w:rPr>
        <w:rFonts w:ascii="Symbol" w:hAnsi="Symbol"/>
      </w:rPr>
    </w:lvl>
    <w:lvl w:ilvl="7" w:tplc="12A0F44A">
      <w:start w:val="1"/>
      <w:numFmt w:val="bullet"/>
      <w:lvlText w:val=""/>
      <w:lvlJc w:val="left"/>
      <w:pPr>
        <w:ind w:left="720" w:hanging="360"/>
      </w:pPr>
      <w:rPr>
        <w:rFonts w:ascii="Symbol" w:hAnsi="Symbol"/>
      </w:rPr>
    </w:lvl>
    <w:lvl w:ilvl="8" w:tplc="7DC2F2B2">
      <w:start w:val="1"/>
      <w:numFmt w:val="bullet"/>
      <w:lvlText w:val=""/>
      <w:lvlJc w:val="left"/>
      <w:pPr>
        <w:ind w:left="720" w:hanging="360"/>
      </w:pPr>
      <w:rPr>
        <w:rFonts w:ascii="Symbol" w:hAnsi="Symbol"/>
      </w:rPr>
    </w:lvl>
  </w:abstractNum>
  <w:abstractNum w:abstractNumId="15" w15:restartNumberingAfterBreak="0">
    <w:nsid w:val="2EE302C1"/>
    <w:multiLevelType w:val="hybridMultilevel"/>
    <w:tmpl w:val="649E9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D5206"/>
    <w:multiLevelType w:val="hybridMultilevel"/>
    <w:tmpl w:val="038A3050"/>
    <w:lvl w:ilvl="0" w:tplc="B24A4C2A">
      <w:start w:val="1"/>
      <w:numFmt w:val="bullet"/>
      <w:lvlText w:val=""/>
      <w:lvlJc w:val="left"/>
      <w:pPr>
        <w:ind w:left="720" w:hanging="360"/>
      </w:pPr>
      <w:rPr>
        <w:rFonts w:ascii="Symbol" w:hAnsi="Symbol"/>
      </w:rPr>
    </w:lvl>
    <w:lvl w:ilvl="1" w:tplc="7466DCE8">
      <w:start w:val="1"/>
      <w:numFmt w:val="bullet"/>
      <w:lvlText w:val=""/>
      <w:lvlJc w:val="left"/>
      <w:pPr>
        <w:ind w:left="720" w:hanging="360"/>
      </w:pPr>
      <w:rPr>
        <w:rFonts w:ascii="Symbol" w:hAnsi="Symbol"/>
      </w:rPr>
    </w:lvl>
    <w:lvl w:ilvl="2" w:tplc="6C9E8BBA">
      <w:start w:val="1"/>
      <w:numFmt w:val="bullet"/>
      <w:lvlText w:val=""/>
      <w:lvlJc w:val="left"/>
      <w:pPr>
        <w:ind w:left="720" w:hanging="360"/>
      </w:pPr>
      <w:rPr>
        <w:rFonts w:ascii="Symbol" w:hAnsi="Symbol"/>
      </w:rPr>
    </w:lvl>
    <w:lvl w:ilvl="3" w:tplc="C4C42E66">
      <w:start w:val="1"/>
      <w:numFmt w:val="bullet"/>
      <w:lvlText w:val=""/>
      <w:lvlJc w:val="left"/>
      <w:pPr>
        <w:ind w:left="720" w:hanging="360"/>
      </w:pPr>
      <w:rPr>
        <w:rFonts w:ascii="Symbol" w:hAnsi="Symbol"/>
      </w:rPr>
    </w:lvl>
    <w:lvl w:ilvl="4" w:tplc="6DA832CA">
      <w:start w:val="1"/>
      <w:numFmt w:val="bullet"/>
      <w:lvlText w:val=""/>
      <w:lvlJc w:val="left"/>
      <w:pPr>
        <w:ind w:left="720" w:hanging="360"/>
      </w:pPr>
      <w:rPr>
        <w:rFonts w:ascii="Symbol" w:hAnsi="Symbol"/>
      </w:rPr>
    </w:lvl>
    <w:lvl w:ilvl="5" w:tplc="C11CF2D4">
      <w:start w:val="1"/>
      <w:numFmt w:val="bullet"/>
      <w:lvlText w:val=""/>
      <w:lvlJc w:val="left"/>
      <w:pPr>
        <w:ind w:left="720" w:hanging="360"/>
      </w:pPr>
      <w:rPr>
        <w:rFonts w:ascii="Symbol" w:hAnsi="Symbol"/>
      </w:rPr>
    </w:lvl>
    <w:lvl w:ilvl="6" w:tplc="3DA20506">
      <w:start w:val="1"/>
      <w:numFmt w:val="bullet"/>
      <w:lvlText w:val=""/>
      <w:lvlJc w:val="left"/>
      <w:pPr>
        <w:ind w:left="720" w:hanging="360"/>
      </w:pPr>
      <w:rPr>
        <w:rFonts w:ascii="Symbol" w:hAnsi="Symbol"/>
      </w:rPr>
    </w:lvl>
    <w:lvl w:ilvl="7" w:tplc="2C5C263E">
      <w:start w:val="1"/>
      <w:numFmt w:val="bullet"/>
      <w:lvlText w:val=""/>
      <w:lvlJc w:val="left"/>
      <w:pPr>
        <w:ind w:left="720" w:hanging="360"/>
      </w:pPr>
      <w:rPr>
        <w:rFonts w:ascii="Symbol" w:hAnsi="Symbol"/>
      </w:rPr>
    </w:lvl>
    <w:lvl w:ilvl="8" w:tplc="7BF0114C">
      <w:start w:val="1"/>
      <w:numFmt w:val="bullet"/>
      <w:lvlText w:val=""/>
      <w:lvlJc w:val="left"/>
      <w:pPr>
        <w:ind w:left="720" w:hanging="360"/>
      </w:pPr>
      <w:rPr>
        <w:rFonts w:ascii="Symbol" w:hAnsi="Symbol"/>
      </w:rPr>
    </w:lvl>
  </w:abstractNum>
  <w:abstractNum w:abstractNumId="17"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CE1BC1"/>
    <w:multiLevelType w:val="hybridMultilevel"/>
    <w:tmpl w:val="D51C3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2F32EF"/>
    <w:multiLevelType w:val="hybridMultilevel"/>
    <w:tmpl w:val="766806BC"/>
    <w:lvl w:ilvl="0" w:tplc="A67A258C">
      <w:start w:val="1"/>
      <w:numFmt w:val="bullet"/>
      <w:lvlText w:val=""/>
      <w:lvlJc w:val="left"/>
      <w:pPr>
        <w:ind w:left="720" w:hanging="360"/>
      </w:pPr>
      <w:rPr>
        <w:rFonts w:ascii="Symbol" w:hAnsi="Symbol"/>
      </w:rPr>
    </w:lvl>
    <w:lvl w:ilvl="1" w:tplc="F40C3548">
      <w:start w:val="1"/>
      <w:numFmt w:val="bullet"/>
      <w:lvlText w:val=""/>
      <w:lvlJc w:val="left"/>
      <w:pPr>
        <w:ind w:left="720" w:hanging="360"/>
      </w:pPr>
      <w:rPr>
        <w:rFonts w:ascii="Symbol" w:hAnsi="Symbol"/>
      </w:rPr>
    </w:lvl>
    <w:lvl w:ilvl="2" w:tplc="53D6D0A2">
      <w:start w:val="1"/>
      <w:numFmt w:val="bullet"/>
      <w:lvlText w:val=""/>
      <w:lvlJc w:val="left"/>
      <w:pPr>
        <w:ind w:left="720" w:hanging="360"/>
      </w:pPr>
      <w:rPr>
        <w:rFonts w:ascii="Symbol" w:hAnsi="Symbol"/>
      </w:rPr>
    </w:lvl>
    <w:lvl w:ilvl="3" w:tplc="7FBA7B9C">
      <w:start w:val="1"/>
      <w:numFmt w:val="bullet"/>
      <w:lvlText w:val=""/>
      <w:lvlJc w:val="left"/>
      <w:pPr>
        <w:ind w:left="720" w:hanging="360"/>
      </w:pPr>
      <w:rPr>
        <w:rFonts w:ascii="Symbol" w:hAnsi="Symbol"/>
      </w:rPr>
    </w:lvl>
    <w:lvl w:ilvl="4" w:tplc="80105D06">
      <w:start w:val="1"/>
      <w:numFmt w:val="bullet"/>
      <w:lvlText w:val=""/>
      <w:lvlJc w:val="left"/>
      <w:pPr>
        <w:ind w:left="720" w:hanging="360"/>
      </w:pPr>
      <w:rPr>
        <w:rFonts w:ascii="Symbol" w:hAnsi="Symbol"/>
      </w:rPr>
    </w:lvl>
    <w:lvl w:ilvl="5" w:tplc="0B6A5F56">
      <w:start w:val="1"/>
      <w:numFmt w:val="bullet"/>
      <w:lvlText w:val=""/>
      <w:lvlJc w:val="left"/>
      <w:pPr>
        <w:ind w:left="720" w:hanging="360"/>
      </w:pPr>
      <w:rPr>
        <w:rFonts w:ascii="Symbol" w:hAnsi="Symbol"/>
      </w:rPr>
    </w:lvl>
    <w:lvl w:ilvl="6" w:tplc="F5CC44EA">
      <w:start w:val="1"/>
      <w:numFmt w:val="bullet"/>
      <w:lvlText w:val=""/>
      <w:lvlJc w:val="left"/>
      <w:pPr>
        <w:ind w:left="720" w:hanging="360"/>
      </w:pPr>
      <w:rPr>
        <w:rFonts w:ascii="Symbol" w:hAnsi="Symbol"/>
      </w:rPr>
    </w:lvl>
    <w:lvl w:ilvl="7" w:tplc="2F8EE8D0">
      <w:start w:val="1"/>
      <w:numFmt w:val="bullet"/>
      <w:lvlText w:val=""/>
      <w:lvlJc w:val="left"/>
      <w:pPr>
        <w:ind w:left="720" w:hanging="360"/>
      </w:pPr>
      <w:rPr>
        <w:rFonts w:ascii="Symbol" w:hAnsi="Symbol"/>
      </w:rPr>
    </w:lvl>
    <w:lvl w:ilvl="8" w:tplc="F834786A">
      <w:start w:val="1"/>
      <w:numFmt w:val="bullet"/>
      <w:lvlText w:val=""/>
      <w:lvlJc w:val="left"/>
      <w:pPr>
        <w:ind w:left="720" w:hanging="360"/>
      </w:pPr>
      <w:rPr>
        <w:rFonts w:ascii="Symbol" w:hAnsi="Symbol"/>
      </w:rPr>
    </w:lvl>
  </w:abstractNum>
  <w:abstractNum w:abstractNumId="21" w15:restartNumberingAfterBreak="0">
    <w:nsid w:val="44DA2996"/>
    <w:multiLevelType w:val="hybridMultilevel"/>
    <w:tmpl w:val="2A60F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D30686D"/>
    <w:multiLevelType w:val="hybridMultilevel"/>
    <w:tmpl w:val="AF3E875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94B44"/>
    <w:multiLevelType w:val="hybridMultilevel"/>
    <w:tmpl w:val="70A4E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466BB"/>
    <w:multiLevelType w:val="hybridMultilevel"/>
    <w:tmpl w:val="E3D04596"/>
    <w:lvl w:ilvl="0" w:tplc="04B60BA8">
      <w:numFmt w:val="bullet"/>
      <w:lvlText w:val="•"/>
      <w:lvlJc w:val="left"/>
      <w:pPr>
        <w:ind w:left="1440" w:hanging="720"/>
      </w:pPr>
      <w:rPr>
        <w:rFonts w:ascii="Franklin Gothic Book" w:eastAsiaTheme="minorHAnsi" w:hAnsi="Franklin Gothic Book"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B317EA2"/>
    <w:multiLevelType w:val="hybridMultilevel"/>
    <w:tmpl w:val="BE823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DD4BA1"/>
    <w:multiLevelType w:val="hybridMultilevel"/>
    <w:tmpl w:val="491E77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C73EF4"/>
    <w:multiLevelType w:val="hybridMultilevel"/>
    <w:tmpl w:val="CB647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DE78E0"/>
    <w:multiLevelType w:val="hybridMultilevel"/>
    <w:tmpl w:val="0046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2B065C"/>
    <w:multiLevelType w:val="hybridMultilevel"/>
    <w:tmpl w:val="62DC071A"/>
    <w:lvl w:ilvl="0" w:tplc="B46E4EC8">
      <w:start w:val="1"/>
      <w:numFmt w:val="bullet"/>
      <w:lvlText w:val=""/>
      <w:lvlJc w:val="left"/>
      <w:pPr>
        <w:ind w:left="720" w:hanging="360"/>
      </w:pPr>
      <w:rPr>
        <w:rFonts w:ascii="Symbol" w:hAnsi="Symbol"/>
      </w:rPr>
    </w:lvl>
    <w:lvl w:ilvl="1" w:tplc="AA980530">
      <w:start w:val="1"/>
      <w:numFmt w:val="bullet"/>
      <w:lvlText w:val=""/>
      <w:lvlJc w:val="left"/>
      <w:pPr>
        <w:ind w:left="720" w:hanging="360"/>
      </w:pPr>
      <w:rPr>
        <w:rFonts w:ascii="Symbol" w:hAnsi="Symbol"/>
      </w:rPr>
    </w:lvl>
    <w:lvl w:ilvl="2" w:tplc="3C0E47E2">
      <w:start w:val="1"/>
      <w:numFmt w:val="bullet"/>
      <w:lvlText w:val=""/>
      <w:lvlJc w:val="left"/>
      <w:pPr>
        <w:ind w:left="720" w:hanging="360"/>
      </w:pPr>
      <w:rPr>
        <w:rFonts w:ascii="Symbol" w:hAnsi="Symbol"/>
      </w:rPr>
    </w:lvl>
    <w:lvl w:ilvl="3" w:tplc="11CC1D22">
      <w:start w:val="1"/>
      <w:numFmt w:val="bullet"/>
      <w:lvlText w:val=""/>
      <w:lvlJc w:val="left"/>
      <w:pPr>
        <w:ind w:left="720" w:hanging="360"/>
      </w:pPr>
      <w:rPr>
        <w:rFonts w:ascii="Symbol" w:hAnsi="Symbol"/>
      </w:rPr>
    </w:lvl>
    <w:lvl w:ilvl="4" w:tplc="EE026D62">
      <w:start w:val="1"/>
      <w:numFmt w:val="bullet"/>
      <w:lvlText w:val=""/>
      <w:lvlJc w:val="left"/>
      <w:pPr>
        <w:ind w:left="720" w:hanging="360"/>
      </w:pPr>
      <w:rPr>
        <w:rFonts w:ascii="Symbol" w:hAnsi="Symbol"/>
      </w:rPr>
    </w:lvl>
    <w:lvl w:ilvl="5" w:tplc="C5140BDC">
      <w:start w:val="1"/>
      <w:numFmt w:val="bullet"/>
      <w:lvlText w:val=""/>
      <w:lvlJc w:val="left"/>
      <w:pPr>
        <w:ind w:left="720" w:hanging="360"/>
      </w:pPr>
      <w:rPr>
        <w:rFonts w:ascii="Symbol" w:hAnsi="Symbol"/>
      </w:rPr>
    </w:lvl>
    <w:lvl w:ilvl="6" w:tplc="69263F4E">
      <w:start w:val="1"/>
      <w:numFmt w:val="bullet"/>
      <w:lvlText w:val=""/>
      <w:lvlJc w:val="left"/>
      <w:pPr>
        <w:ind w:left="720" w:hanging="360"/>
      </w:pPr>
      <w:rPr>
        <w:rFonts w:ascii="Symbol" w:hAnsi="Symbol"/>
      </w:rPr>
    </w:lvl>
    <w:lvl w:ilvl="7" w:tplc="ED6CE0B8">
      <w:start w:val="1"/>
      <w:numFmt w:val="bullet"/>
      <w:lvlText w:val=""/>
      <w:lvlJc w:val="left"/>
      <w:pPr>
        <w:ind w:left="720" w:hanging="360"/>
      </w:pPr>
      <w:rPr>
        <w:rFonts w:ascii="Symbol" w:hAnsi="Symbol"/>
      </w:rPr>
    </w:lvl>
    <w:lvl w:ilvl="8" w:tplc="99585B08">
      <w:start w:val="1"/>
      <w:numFmt w:val="bullet"/>
      <w:lvlText w:val=""/>
      <w:lvlJc w:val="left"/>
      <w:pPr>
        <w:ind w:left="720" w:hanging="360"/>
      </w:pPr>
      <w:rPr>
        <w:rFonts w:ascii="Symbol" w:hAnsi="Symbol"/>
      </w:rPr>
    </w:lvl>
  </w:abstractNum>
  <w:abstractNum w:abstractNumId="32" w15:restartNumberingAfterBreak="0">
    <w:nsid w:val="77F84A43"/>
    <w:multiLevelType w:val="hybridMultilevel"/>
    <w:tmpl w:val="AF3E8754"/>
    <w:lvl w:ilvl="0" w:tplc="2970008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3B7EE2"/>
    <w:multiLevelType w:val="hybridMultilevel"/>
    <w:tmpl w:val="0EE49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73262E"/>
    <w:multiLevelType w:val="hybridMultilevel"/>
    <w:tmpl w:val="BA3E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abstractNum w:abstractNumId="37" w15:restartNumberingAfterBreak="0">
    <w:nsid w:val="7FA10D26"/>
    <w:multiLevelType w:val="hybridMultilevel"/>
    <w:tmpl w:val="16CE58F4"/>
    <w:lvl w:ilvl="0" w:tplc="15001E3E">
      <w:start w:val="1"/>
      <w:numFmt w:val="bullet"/>
      <w:lvlText w:val=""/>
      <w:lvlJc w:val="left"/>
      <w:pPr>
        <w:ind w:left="720" w:hanging="360"/>
      </w:pPr>
      <w:rPr>
        <w:rFonts w:ascii="Symbol" w:hAnsi="Symbol"/>
      </w:rPr>
    </w:lvl>
    <w:lvl w:ilvl="1" w:tplc="B708451A">
      <w:start w:val="1"/>
      <w:numFmt w:val="bullet"/>
      <w:lvlText w:val=""/>
      <w:lvlJc w:val="left"/>
      <w:pPr>
        <w:ind w:left="720" w:hanging="360"/>
      </w:pPr>
      <w:rPr>
        <w:rFonts w:ascii="Symbol" w:hAnsi="Symbol"/>
      </w:rPr>
    </w:lvl>
    <w:lvl w:ilvl="2" w:tplc="7818CFCE">
      <w:start w:val="1"/>
      <w:numFmt w:val="bullet"/>
      <w:lvlText w:val=""/>
      <w:lvlJc w:val="left"/>
      <w:pPr>
        <w:ind w:left="720" w:hanging="360"/>
      </w:pPr>
      <w:rPr>
        <w:rFonts w:ascii="Symbol" w:hAnsi="Symbol"/>
      </w:rPr>
    </w:lvl>
    <w:lvl w:ilvl="3" w:tplc="9E5A4846">
      <w:start w:val="1"/>
      <w:numFmt w:val="bullet"/>
      <w:lvlText w:val=""/>
      <w:lvlJc w:val="left"/>
      <w:pPr>
        <w:ind w:left="720" w:hanging="360"/>
      </w:pPr>
      <w:rPr>
        <w:rFonts w:ascii="Symbol" w:hAnsi="Symbol"/>
      </w:rPr>
    </w:lvl>
    <w:lvl w:ilvl="4" w:tplc="F35A8610">
      <w:start w:val="1"/>
      <w:numFmt w:val="bullet"/>
      <w:lvlText w:val=""/>
      <w:lvlJc w:val="left"/>
      <w:pPr>
        <w:ind w:left="720" w:hanging="360"/>
      </w:pPr>
      <w:rPr>
        <w:rFonts w:ascii="Symbol" w:hAnsi="Symbol"/>
      </w:rPr>
    </w:lvl>
    <w:lvl w:ilvl="5" w:tplc="7B9A60A0">
      <w:start w:val="1"/>
      <w:numFmt w:val="bullet"/>
      <w:lvlText w:val=""/>
      <w:lvlJc w:val="left"/>
      <w:pPr>
        <w:ind w:left="720" w:hanging="360"/>
      </w:pPr>
      <w:rPr>
        <w:rFonts w:ascii="Symbol" w:hAnsi="Symbol"/>
      </w:rPr>
    </w:lvl>
    <w:lvl w:ilvl="6" w:tplc="32F2DA8C">
      <w:start w:val="1"/>
      <w:numFmt w:val="bullet"/>
      <w:lvlText w:val=""/>
      <w:lvlJc w:val="left"/>
      <w:pPr>
        <w:ind w:left="720" w:hanging="360"/>
      </w:pPr>
      <w:rPr>
        <w:rFonts w:ascii="Symbol" w:hAnsi="Symbol"/>
      </w:rPr>
    </w:lvl>
    <w:lvl w:ilvl="7" w:tplc="C7ACCFBE">
      <w:start w:val="1"/>
      <w:numFmt w:val="bullet"/>
      <w:lvlText w:val=""/>
      <w:lvlJc w:val="left"/>
      <w:pPr>
        <w:ind w:left="720" w:hanging="360"/>
      </w:pPr>
      <w:rPr>
        <w:rFonts w:ascii="Symbol" w:hAnsi="Symbol"/>
      </w:rPr>
    </w:lvl>
    <w:lvl w:ilvl="8" w:tplc="67F6A16E">
      <w:start w:val="1"/>
      <w:numFmt w:val="bullet"/>
      <w:lvlText w:val=""/>
      <w:lvlJc w:val="left"/>
      <w:pPr>
        <w:ind w:left="720" w:hanging="360"/>
      </w:pPr>
      <w:rPr>
        <w:rFonts w:ascii="Symbol" w:hAnsi="Symbol"/>
      </w:rPr>
    </w:lvl>
  </w:abstractNum>
  <w:num w:numId="1" w16cid:durableId="1140808919">
    <w:abstractNumId w:val="18"/>
  </w:num>
  <w:num w:numId="2" w16cid:durableId="1451820515">
    <w:abstractNumId w:val="36"/>
  </w:num>
  <w:num w:numId="3" w16cid:durableId="989137066">
    <w:abstractNumId w:val="3"/>
  </w:num>
  <w:num w:numId="4" w16cid:durableId="2043938585">
    <w:abstractNumId w:val="7"/>
  </w:num>
  <w:num w:numId="5" w16cid:durableId="1301882660">
    <w:abstractNumId w:val="33"/>
  </w:num>
  <w:num w:numId="6" w16cid:durableId="1628778324">
    <w:abstractNumId w:val="9"/>
  </w:num>
  <w:num w:numId="7" w16cid:durableId="114299291">
    <w:abstractNumId w:val="12"/>
  </w:num>
  <w:num w:numId="8" w16cid:durableId="1450200693">
    <w:abstractNumId w:val="17"/>
  </w:num>
  <w:num w:numId="9" w16cid:durableId="534776538">
    <w:abstractNumId w:val="22"/>
  </w:num>
  <w:num w:numId="10" w16cid:durableId="1160392146">
    <w:abstractNumId w:val="0"/>
  </w:num>
  <w:num w:numId="11" w16cid:durableId="1597404320">
    <w:abstractNumId w:val="26"/>
  </w:num>
  <w:num w:numId="12" w16cid:durableId="1403793955">
    <w:abstractNumId w:val="32"/>
  </w:num>
  <w:num w:numId="13" w16cid:durableId="1276325503">
    <w:abstractNumId w:val="29"/>
  </w:num>
  <w:num w:numId="14" w16cid:durableId="454956310">
    <w:abstractNumId w:val="11"/>
  </w:num>
  <w:num w:numId="15" w16cid:durableId="1683892349">
    <w:abstractNumId w:val="30"/>
  </w:num>
  <w:num w:numId="16" w16cid:durableId="2092848581">
    <w:abstractNumId w:val="5"/>
  </w:num>
  <w:num w:numId="17" w16cid:durableId="855122083">
    <w:abstractNumId w:val="10"/>
  </w:num>
  <w:num w:numId="18" w16cid:durableId="468792638">
    <w:abstractNumId w:val="2"/>
  </w:num>
  <w:num w:numId="19" w16cid:durableId="1218737496">
    <w:abstractNumId w:val="34"/>
  </w:num>
  <w:num w:numId="20" w16cid:durableId="1257445115">
    <w:abstractNumId w:val="21"/>
  </w:num>
  <w:num w:numId="21" w16cid:durableId="1862619227">
    <w:abstractNumId w:val="13"/>
  </w:num>
  <w:num w:numId="22" w16cid:durableId="2004626224">
    <w:abstractNumId w:val="28"/>
  </w:num>
  <w:num w:numId="23" w16cid:durableId="2102213218">
    <w:abstractNumId w:val="19"/>
  </w:num>
  <w:num w:numId="24" w16cid:durableId="740760510">
    <w:abstractNumId w:val="15"/>
  </w:num>
  <w:num w:numId="25" w16cid:durableId="748042466">
    <w:abstractNumId w:val="35"/>
  </w:num>
  <w:num w:numId="26" w16cid:durableId="1780224833">
    <w:abstractNumId w:val="27"/>
  </w:num>
  <w:num w:numId="27" w16cid:durableId="1198927721">
    <w:abstractNumId w:val="8"/>
  </w:num>
  <w:num w:numId="28" w16cid:durableId="1750038955">
    <w:abstractNumId w:val="23"/>
  </w:num>
  <w:num w:numId="29" w16cid:durableId="1688677065">
    <w:abstractNumId w:val="31"/>
  </w:num>
  <w:num w:numId="30" w16cid:durableId="614949698">
    <w:abstractNumId w:val="1"/>
  </w:num>
  <w:num w:numId="31" w16cid:durableId="552470850">
    <w:abstractNumId w:val="25"/>
  </w:num>
  <w:num w:numId="32" w16cid:durableId="783959446">
    <w:abstractNumId w:val="24"/>
  </w:num>
  <w:num w:numId="33" w16cid:durableId="1380662836">
    <w:abstractNumId w:val="6"/>
  </w:num>
  <w:num w:numId="34" w16cid:durableId="1413773654">
    <w:abstractNumId w:val="20"/>
  </w:num>
  <w:num w:numId="35" w16cid:durableId="2083597951">
    <w:abstractNumId w:val="16"/>
  </w:num>
  <w:num w:numId="36" w16cid:durableId="254873669">
    <w:abstractNumId w:val="14"/>
  </w:num>
  <w:num w:numId="37" w16cid:durableId="313678631">
    <w:abstractNumId w:val="4"/>
  </w:num>
  <w:num w:numId="38" w16cid:durableId="990409743">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09E"/>
    <w:rsid w:val="0000018D"/>
    <w:rsid w:val="00000191"/>
    <w:rsid w:val="00000648"/>
    <w:rsid w:val="00000905"/>
    <w:rsid w:val="0000093B"/>
    <w:rsid w:val="0000098F"/>
    <w:rsid w:val="00000AEE"/>
    <w:rsid w:val="00000FB3"/>
    <w:rsid w:val="0000109A"/>
    <w:rsid w:val="00001463"/>
    <w:rsid w:val="00001A3E"/>
    <w:rsid w:val="00001AE6"/>
    <w:rsid w:val="00001B90"/>
    <w:rsid w:val="00001D32"/>
    <w:rsid w:val="00001D55"/>
    <w:rsid w:val="00001E53"/>
    <w:rsid w:val="00002763"/>
    <w:rsid w:val="00002994"/>
    <w:rsid w:val="00002B2E"/>
    <w:rsid w:val="00002C27"/>
    <w:rsid w:val="00002D2E"/>
    <w:rsid w:val="00002EA0"/>
    <w:rsid w:val="000033F9"/>
    <w:rsid w:val="0000387F"/>
    <w:rsid w:val="00003D51"/>
    <w:rsid w:val="00003EDB"/>
    <w:rsid w:val="00004083"/>
    <w:rsid w:val="000047B7"/>
    <w:rsid w:val="000047DD"/>
    <w:rsid w:val="00004BD2"/>
    <w:rsid w:val="00004D69"/>
    <w:rsid w:val="00004F7F"/>
    <w:rsid w:val="000054C9"/>
    <w:rsid w:val="00005802"/>
    <w:rsid w:val="00005FBC"/>
    <w:rsid w:val="00006889"/>
    <w:rsid w:val="00006AE7"/>
    <w:rsid w:val="00007434"/>
    <w:rsid w:val="000078B3"/>
    <w:rsid w:val="00007BA8"/>
    <w:rsid w:val="000103EA"/>
    <w:rsid w:val="0001049A"/>
    <w:rsid w:val="0001089A"/>
    <w:rsid w:val="00011568"/>
    <w:rsid w:val="000118F5"/>
    <w:rsid w:val="00011E9B"/>
    <w:rsid w:val="000125CC"/>
    <w:rsid w:val="00012F3B"/>
    <w:rsid w:val="00013125"/>
    <w:rsid w:val="00013606"/>
    <w:rsid w:val="00013DA6"/>
    <w:rsid w:val="000142B3"/>
    <w:rsid w:val="00014974"/>
    <w:rsid w:val="00014D3C"/>
    <w:rsid w:val="000156C7"/>
    <w:rsid w:val="00015F18"/>
    <w:rsid w:val="00016B7F"/>
    <w:rsid w:val="00017720"/>
    <w:rsid w:val="00017D8A"/>
    <w:rsid w:val="00017EBE"/>
    <w:rsid w:val="0002031A"/>
    <w:rsid w:val="00020CA1"/>
    <w:rsid w:val="00021002"/>
    <w:rsid w:val="000212EC"/>
    <w:rsid w:val="000214D1"/>
    <w:rsid w:val="000214DD"/>
    <w:rsid w:val="000216B1"/>
    <w:rsid w:val="0002178C"/>
    <w:rsid w:val="00022028"/>
    <w:rsid w:val="00022054"/>
    <w:rsid w:val="0002219A"/>
    <w:rsid w:val="0002270D"/>
    <w:rsid w:val="000228B8"/>
    <w:rsid w:val="00022D0B"/>
    <w:rsid w:val="00022F9E"/>
    <w:rsid w:val="00023217"/>
    <w:rsid w:val="000236EC"/>
    <w:rsid w:val="00023717"/>
    <w:rsid w:val="0002381B"/>
    <w:rsid w:val="00023983"/>
    <w:rsid w:val="000239DE"/>
    <w:rsid w:val="0002436A"/>
    <w:rsid w:val="000247CB"/>
    <w:rsid w:val="00024EA5"/>
    <w:rsid w:val="000255E8"/>
    <w:rsid w:val="0002596B"/>
    <w:rsid w:val="00025FE0"/>
    <w:rsid w:val="000264F3"/>
    <w:rsid w:val="00026E5E"/>
    <w:rsid w:val="000270AE"/>
    <w:rsid w:val="000272DE"/>
    <w:rsid w:val="0002755F"/>
    <w:rsid w:val="0002791C"/>
    <w:rsid w:val="00027C74"/>
    <w:rsid w:val="0003053C"/>
    <w:rsid w:val="0003072A"/>
    <w:rsid w:val="00030D53"/>
    <w:rsid w:val="00031661"/>
    <w:rsid w:val="00031728"/>
    <w:rsid w:val="00031809"/>
    <w:rsid w:val="000320BE"/>
    <w:rsid w:val="00032112"/>
    <w:rsid w:val="00032372"/>
    <w:rsid w:val="0003299E"/>
    <w:rsid w:val="00032D0B"/>
    <w:rsid w:val="00034014"/>
    <w:rsid w:val="00034087"/>
    <w:rsid w:val="000340EF"/>
    <w:rsid w:val="0003423A"/>
    <w:rsid w:val="000343C0"/>
    <w:rsid w:val="00034696"/>
    <w:rsid w:val="0003477F"/>
    <w:rsid w:val="00034CD2"/>
    <w:rsid w:val="00035306"/>
    <w:rsid w:val="000353BD"/>
    <w:rsid w:val="000362DF"/>
    <w:rsid w:val="000362F1"/>
    <w:rsid w:val="000369CB"/>
    <w:rsid w:val="00036AD8"/>
    <w:rsid w:val="00036E29"/>
    <w:rsid w:val="00037037"/>
    <w:rsid w:val="00037111"/>
    <w:rsid w:val="0003728C"/>
    <w:rsid w:val="00037302"/>
    <w:rsid w:val="0004005D"/>
    <w:rsid w:val="00040ADF"/>
    <w:rsid w:val="00040FB4"/>
    <w:rsid w:val="00040FD4"/>
    <w:rsid w:val="00040FE7"/>
    <w:rsid w:val="0004116D"/>
    <w:rsid w:val="000412BF"/>
    <w:rsid w:val="000415BC"/>
    <w:rsid w:val="0004178C"/>
    <w:rsid w:val="00041E49"/>
    <w:rsid w:val="00041F5D"/>
    <w:rsid w:val="000424E1"/>
    <w:rsid w:val="00042EDD"/>
    <w:rsid w:val="0004302F"/>
    <w:rsid w:val="0004344C"/>
    <w:rsid w:val="00043A2A"/>
    <w:rsid w:val="000443A6"/>
    <w:rsid w:val="000449D1"/>
    <w:rsid w:val="000449E8"/>
    <w:rsid w:val="00045B8D"/>
    <w:rsid w:val="00045BC8"/>
    <w:rsid w:val="00045CC5"/>
    <w:rsid w:val="0004641E"/>
    <w:rsid w:val="00046B6A"/>
    <w:rsid w:val="00046DB7"/>
    <w:rsid w:val="00046E1D"/>
    <w:rsid w:val="00047121"/>
    <w:rsid w:val="000472D4"/>
    <w:rsid w:val="00047481"/>
    <w:rsid w:val="00047496"/>
    <w:rsid w:val="00050198"/>
    <w:rsid w:val="000502EE"/>
    <w:rsid w:val="000502FF"/>
    <w:rsid w:val="000503B6"/>
    <w:rsid w:val="000517DA"/>
    <w:rsid w:val="000519E4"/>
    <w:rsid w:val="00051AA7"/>
    <w:rsid w:val="00051DD8"/>
    <w:rsid w:val="00052801"/>
    <w:rsid w:val="00052DB7"/>
    <w:rsid w:val="00052DD3"/>
    <w:rsid w:val="00052EB4"/>
    <w:rsid w:val="0005326D"/>
    <w:rsid w:val="0005335A"/>
    <w:rsid w:val="00053665"/>
    <w:rsid w:val="00053F6C"/>
    <w:rsid w:val="00055167"/>
    <w:rsid w:val="000551B7"/>
    <w:rsid w:val="00055DF1"/>
    <w:rsid w:val="00055E27"/>
    <w:rsid w:val="000569C8"/>
    <w:rsid w:val="00056C0C"/>
    <w:rsid w:val="00056CBF"/>
    <w:rsid w:val="00057006"/>
    <w:rsid w:val="000577CA"/>
    <w:rsid w:val="00057D4F"/>
    <w:rsid w:val="00060246"/>
    <w:rsid w:val="000602AC"/>
    <w:rsid w:val="000614C8"/>
    <w:rsid w:val="00061B75"/>
    <w:rsid w:val="00061D4A"/>
    <w:rsid w:val="00062D09"/>
    <w:rsid w:val="0006339C"/>
    <w:rsid w:val="00064290"/>
    <w:rsid w:val="000643E7"/>
    <w:rsid w:val="00064783"/>
    <w:rsid w:val="000647C2"/>
    <w:rsid w:val="00064CF8"/>
    <w:rsid w:val="00065059"/>
    <w:rsid w:val="00065092"/>
    <w:rsid w:val="000653C4"/>
    <w:rsid w:val="00065466"/>
    <w:rsid w:val="00065D0C"/>
    <w:rsid w:val="000674EC"/>
    <w:rsid w:val="000675AE"/>
    <w:rsid w:val="000679D0"/>
    <w:rsid w:val="0007021F"/>
    <w:rsid w:val="000705EF"/>
    <w:rsid w:val="00070960"/>
    <w:rsid w:val="000709A0"/>
    <w:rsid w:val="000710B6"/>
    <w:rsid w:val="00071762"/>
    <w:rsid w:val="000726A2"/>
    <w:rsid w:val="00072893"/>
    <w:rsid w:val="00072A23"/>
    <w:rsid w:val="00072D76"/>
    <w:rsid w:val="0007339D"/>
    <w:rsid w:val="00073434"/>
    <w:rsid w:val="00073A03"/>
    <w:rsid w:val="00074153"/>
    <w:rsid w:val="00074199"/>
    <w:rsid w:val="00074348"/>
    <w:rsid w:val="00074D91"/>
    <w:rsid w:val="00074E08"/>
    <w:rsid w:val="00074E60"/>
    <w:rsid w:val="00075F54"/>
    <w:rsid w:val="0007605B"/>
    <w:rsid w:val="000764B0"/>
    <w:rsid w:val="000770F9"/>
    <w:rsid w:val="0007754C"/>
    <w:rsid w:val="00077668"/>
    <w:rsid w:val="000778DC"/>
    <w:rsid w:val="0007794E"/>
    <w:rsid w:val="000801EB"/>
    <w:rsid w:val="00080241"/>
    <w:rsid w:val="000804DD"/>
    <w:rsid w:val="00080778"/>
    <w:rsid w:val="00080D44"/>
    <w:rsid w:val="00081778"/>
    <w:rsid w:val="00081D0B"/>
    <w:rsid w:val="00082A8A"/>
    <w:rsid w:val="00082CAF"/>
    <w:rsid w:val="00082DD7"/>
    <w:rsid w:val="0008379B"/>
    <w:rsid w:val="00083EA0"/>
    <w:rsid w:val="00084078"/>
    <w:rsid w:val="00084A4A"/>
    <w:rsid w:val="00084F4E"/>
    <w:rsid w:val="0008614C"/>
    <w:rsid w:val="00086478"/>
    <w:rsid w:val="0008685F"/>
    <w:rsid w:val="00086B70"/>
    <w:rsid w:val="000870B6"/>
    <w:rsid w:val="00087991"/>
    <w:rsid w:val="00087E7C"/>
    <w:rsid w:val="00090613"/>
    <w:rsid w:val="000908BB"/>
    <w:rsid w:val="00090A97"/>
    <w:rsid w:val="00090BD1"/>
    <w:rsid w:val="00091140"/>
    <w:rsid w:val="00091857"/>
    <w:rsid w:val="000919F3"/>
    <w:rsid w:val="00091C59"/>
    <w:rsid w:val="00092704"/>
    <w:rsid w:val="000927D1"/>
    <w:rsid w:val="00092A21"/>
    <w:rsid w:val="00092F40"/>
    <w:rsid w:val="00092F92"/>
    <w:rsid w:val="00092FA0"/>
    <w:rsid w:val="000938FF"/>
    <w:rsid w:val="00093D9A"/>
    <w:rsid w:val="00094424"/>
    <w:rsid w:val="00094656"/>
    <w:rsid w:val="00094C2C"/>
    <w:rsid w:val="00095248"/>
    <w:rsid w:val="00096198"/>
    <w:rsid w:val="0009625C"/>
    <w:rsid w:val="00096551"/>
    <w:rsid w:val="00096884"/>
    <w:rsid w:val="00096B52"/>
    <w:rsid w:val="00096FDD"/>
    <w:rsid w:val="000973DE"/>
    <w:rsid w:val="00097AF5"/>
    <w:rsid w:val="000A10BF"/>
    <w:rsid w:val="000A121E"/>
    <w:rsid w:val="000A14F1"/>
    <w:rsid w:val="000A16EF"/>
    <w:rsid w:val="000A178C"/>
    <w:rsid w:val="000A1BE6"/>
    <w:rsid w:val="000A2ACD"/>
    <w:rsid w:val="000A2AEC"/>
    <w:rsid w:val="000A2B65"/>
    <w:rsid w:val="000A2DA8"/>
    <w:rsid w:val="000A2F34"/>
    <w:rsid w:val="000A3252"/>
    <w:rsid w:val="000A335E"/>
    <w:rsid w:val="000A4067"/>
    <w:rsid w:val="000A46C3"/>
    <w:rsid w:val="000A4876"/>
    <w:rsid w:val="000A5438"/>
    <w:rsid w:val="000A5613"/>
    <w:rsid w:val="000A5C47"/>
    <w:rsid w:val="000A612C"/>
    <w:rsid w:val="000A629E"/>
    <w:rsid w:val="000A6644"/>
    <w:rsid w:val="000A6B30"/>
    <w:rsid w:val="000A7315"/>
    <w:rsid w:val="000A7586"/>
    <w:rsid w:val="000A775B"/>
    <w:rsid w:val="000A7FED"/>
    <w:rsid w:val="000B02EE"/>
    <w:rsid w:val="000B0E33"/>
    <w:rsid w:val="000B1031"/>
    <w:rsid w:val="000B1847"/>
    <w:rsid w:val="000B18EA"/>
    <w:rsid w:val="000B1AC2"/>
    <w:rsid w:val="000B23A2"/>
    <w:rsid w:val="000B25D5"/>
    <w:rsid w:val="000B2DA9"/>
    <w:rsid w:val="000B2E95"/>
    <w:rsid w:val="000B308E"/>
    <w:rsid w:val="000B3330"/>
    <w:rsid w:val="000B35BB"/>
    <w:rsid w:val="000B47F5"/>
    <w:rsid w:val="000B4B7C"/>
    <w:rsid w:val="000B4DA2"/>
    <w:rsid w:val="000B5367"/>
    <w:rsid w:val="000B5A65"/>
    <w:rsid w:val="000B6059"/>
    <w:rsid w:val="000B62DA"/>
    <w:rsid w:val="000B6848"/>
    <w:rsid w:val="000B69A2"/>
    <w:rsid w:val="000B6CF0"/>
    <w:rsid w:val="000B720C"/>
    <w:rsid w:val="000B74C2"/>
    <w:rsid w:val="000B75BB"/>
    <w:rsid w:val="000B75C6"/>
    <w:rsid w:val="000B7665"/>
    <w:rsid w:val="000C02DA"/>
    <w:rsid w:val="000C05D4"/>
    <w:rsid w:val="000C1004"/>
    <w:rsid w:val="000C1330"/>
    <w:rsid w:val="000C134E"/>
    <w:rsid w:val="000C13AD"/>
    <w:rsid w:val="000C17EC"/>
    <w:rsid w:val="000C1A2F"/>
    <w:rsid w:val="000C1A88"/>
    <w:rsid w:val="000C1ADF"/>
    <w:rsid w:val="000C1F46"/>
    <w:rsid w:val="000C22D3"/>
    <w:rsid w:val="000C30A6"/>
    <w:rsid w:val="000C3155"/>
    <w:rsid w:val="000C346B"/>
    <w:rsid w:val="000C34A0"/>
    <w:rsid w:val="000C50C9"/>
    <w:rsid w:val="000C52F9"/>
    <w:rsid w:val="000C5325"/>
    <w:rsid w:val="000C5B3E"/>
    <w:rsid w:val="000C5F7A"/>
    <w:rsid w:val="000C6D66"/>
    <w:rsid w:val="000C703C"/>
    <w:rsid w:val="000C7411"/>
    <w:rsid w:val="000C7463"/>
    <w:rsid w:val="000C7AB4"/>
    <w:rsid w:val="000C7C46"/>
    <w:rsid w:val="000C7DDB"/>
    <w:rsid w:val="000C7EB7"/>
    <w:rsid w:val="000D057C"/>
    <w:rsid w:val="000D1225"/>
    <w:rsid w:val="000D129D"/>
    <w:rsid w:val="000D13B1"/>
    <w:rsid w:val="000D17DE"/>
    <w:rsid w:val="000D1818"/>
    <w:rsid w:val="000D18B0"/>
    <w:rsid w:val="000D1B52"/>
    <w:rsid w:val="000D2038"/>
    <w:rsid w:val="000D22E9"/>
    <w:rsid w:val="000D25E8"/>
    <w:rsid w:val="000D26FD"/>
    <w:rsid w:val="000D282B"/>
    <w:rsid w:val="000D2879"/>
    <w:rsid w:val="000D2ADE"/>
    <w:rsid w:val="000D2B69"/>
    <w:rsid w:val="000D3318"/>
    <w:rsid w:val="000D35C5"/>
    <w:rsid w:val="000D398E"/>
    <w:rsid w:val="000D3B08"/>
    <w:rsid w:val="000D3F07"/>
    <w:rsid w:val="000D490C"/>
    <w:rsid w:val="000D4C1B"/>
    <w:rsid w:val="000D4D84"/>
    <w:rsid w:val="000D5523"/>
    <w:rsid w:val="000D57A3"/>
    <w:rsid w:val="000D5DB0"/>
    <w:rsid w:val="000D7A01"/>
    <w:rsid w:val="000D7B39"/>
    <w:rsid w:val="000E00CE"/>
    <w:rsid w:val="000E032D"/>
    <w:rsid w:val="000E03D0"/>
    <w:rsid w:val="000E03DC"/>
    <w:rsid w:val="000E0892"/>
    <w:rsid w:val="000E098F"/>
    <w:rsid w:val="000E0CBD"/>
    <w:rsid w:val="000E1124"/>
    <w:rsid w:val="000E1382"/>
    <w:rsid w:val="000E1832"/>
    <w:rsid w:val="000E29BC"/>
    <w:rsid w:val="000E30C2"/>
    <w:rsid w:val="000E3283"/>
    <w:rsid w:val="000E34B6"/>
    <w:rsid w:val="000E389F"/>
    <w:rsid w:val="000E3A16"/>
    <w:rsid w:val="000E3DC6"/>
    <w:rsid w:val="000E3DFA"/>
    <w:rsid w:val="000E4707"/>
    <w:rsid w:val="000E49F4"/>
    <w:rsid w:val="000E4AC7"/>
    <w:rsid w:val="000E4FEC"/>
    <w:rsid w:val="000E512A"/>
    <w:rsid w:val="000E52C6"/>
    <w:rsid w:val="000E5531"/>
    <w:rsid w:val="000E5A86"/>
    <w:rsid w:val="000E617E"/>
    <w:rsid w:val="000E619C"/>
    <w:rsid w:val="000E6410"/>
    <w:rsid w:val="000E678B"/>
    <w:rsid w:val="000E6CCF"/>
    <w:rsid w:val="000E70D7"/>
    <w:rsid w:val="000E7E5A"/>
    <w:rsid w:val="000F0689"/>
    <w:rsid w:val="000F0B5B"/>
    <w:rsid w:val="000F130D"/>
    <w:rsid w:val="000F14B9"/>
    <w:rsid w:val="000F180C"/>
    <w:rsid w:val="000F1D9E"/>
    <w:rsid w:val="000F1FD3"/>
    <w:rsid w:val="000F1FDD"/>
    <w:rsid w:val="000F260D"/>
    <w:rsid w:val="000F2AC4"/>
    <w:rsid w:val="000F2E01"/>
    <w:rsid w:val="000F42E1"/>
    <w:rsid w:val="000F466B"/>
    <w:rsid w:val="000F472F"/>
    <w:rsid w:val="000F556E"/>
    <w:rsid w:val="000F5783"/>
    <w:rsid w:val="000F5A54"/>
    <w:rsid w:val="000F5BEF"/>
    <w:rsid w:val="000F5C25"/>
    <w:rsid w:val="000F5E0C"/>
    <w:rsid w:val="000F6472"/>
    <w:rsid w:val="000F6898"/>
    <w:rsid w:val="000F6F26"/>
    <w:rsid w:val="000F7987"/>
    <w:rsid w:val="00100325"/>
    <w:rsid w:val="0010051C"/>
    <w:rsid w:val="001009CB"/>
    <w:rsid w:val="00101115"/>
    <w:rsid w:val="00101FA0"/>
    <w:rsid w:val="00102A8D"/>
    <w:rsid w:val="00103082"/>
    <w:rsid w:val="001030F3"/>
    <w:rsid w:val="00103860"/>
    <w:rsid w:val="001038DE"/>
    <w:rsid w:val="00103D2A"/>
    <w:rsid w:val="001040AF"/>
    <w:rsid w:val="00104119"/>
    <w:rsid w:val="00104304"/>
    <w:rsid w:val="0010448B"/>
    <w:rsid w:val="00104611"/>
    <w:rsid w:val="001049D9"/>
    <w:rsid w:val="00104EE4"/>
    <w:rsid w:val="0010521F"/>
    <w:rsid w:val="00105CB4"/>
    <w:rsid w:val="00105D96"/>
    <w:rsid w:val="00105E37"/>
    <w:rsid w:val="0010625A"/>
    <w:rsid w:val="00106670"/>
    <w:rsid w:val="00106795"/>
    <w:rsid w:val="00106EEC"/>
    <w:rsid w:val="0010709A"/>
    <w:rsid w:val="001071B0"/>
    <w:rsid w:val="00107524"/>
    <w:rsid w:val="00107B5D"/>
    <w:rsid w:val="00107DCD"/>
    <w:rsid w:val="00107EF0"/>
    <w:rsid w:val="001101AD"/>
    <w:rsid w:val="001107A7"/>
    <w:rsid w:val="00111417"/>
    <w:rsid w:val="00112238"/>
    <w:rsid w:val="001125BB"/>
    <w:rsid w:val="00112630"/>
    <w:rsid w:val="00112AB1"/>
    <w:rsid w:val="00112EAA"/>
    <w:rsid w:val="00113704"/>
    <w:rsid w:val="001137E1"/>
    <w:rsid w:val="00113C60"/>
    <w:rsid w:val="00113E09"/>
    <w:rsid w:val="001140EE"/>
    <w:rsid w:val="00114346"/>
    <w:rsid w:val="0011447D"/>
    <w:rsid w:val="00114C3B"/>
    <w:rsid w:val="001150FC"/>
    <w:rsid w:val="0011553E"/>
    <w:rsid w:val="00115691"/>
    <w:rsid w:val="001156B3"/>
    <w:rsid w:val="00115AC2"/>
    <w:rsid w:val="00115FEC"/>
    <w:rsid w:val="001162DF"/>
    <w:rsid w:val="00117039"/>
    <w:rsid w:val="00117883"/>
    <w:rsid w:val="0011799D"/>
    <w:rsid w:val="00117F04"/>
    <w:rsid w:val="001200AE"/>
    <w:rsid w:val="00120446"/>
    <w:rsid w:val="00120652"/>
    <w:rsid w:val="00120BD3"/>
    <w:rsid w:val="00120CA5"/>
    <w:rsid w:val="001210B6"/>
    <w:rsid w:val="001214F3"/>
    <w:rsid w:val="00121A94"/>
    <w:rsid w:val="00121CD5"/>
    <w:rsid w:val="001225A1"/>
    <w:rsid w:val="00122AE3"/>
    <w:rsid w:val="00122EE1"/>
    <w:rsid w:val="00122FEF"/>
    <w:rsid w:val="00123658"/>
    <w:rsid w:val="001236D1"/>
    <w:rsid w:val="001237AF"/>
    <w:rsid w:val="00123DC9"/>
    <w:rsid w:val="001243A1"/>
    <w:rsid w:val="001243A7"/>
    <w:rsid w:val="0012451A"/>
    <w:rsid w:val="001247EB"/>
    <w:rsid w:val="001249BF"/>
    <w:rsid w:val="00124C53"/>
    <w:rsid w:val="00124D41"/>
    <w:rsid w:val="00124F3C"/>
    <w:rsid w:val="00125139"/>
    <w:rsid w:val="0012572A"/>
    <w:rsid w:val="001259A2"/>
    <w:rsid w:val="00125A79"/>
    <w:rsid w:val="00125B61"/>
    <w:rsid w:val="00125D45"/>
    <w:rsid w:val="00125D57"/>
    <w:rsid w:val="00126029"/>
    <w:rsid w:val="00126122"/>
    <w:rsid w:val="001264C8"/>
    <w:rsid w:val="001270D5"/>
    <w:rsid w:val="00130437"/>
    <w:rsid w:val="00130453"/>
    <w:rsid w:val="0013058D"/>
    <w:rsid w:val="001305B3"/>
    <w:rsid w:val="00130952"/>
    <w:rsid w:val="00130B82"/>
    <w:rsid w:val="00130C24"/>
    <w:rsid w:val="00131877"/>
    <w:rsid w:val="00131D45"/>
    <w:rsid w:val="001320F0"/>
    <w:rsid w:val="00132C60"/>
    <w:rsid w:val="001336E0"/>
    <w:rsid w:val="00133A7F"/>
    <w:rsid w:val="00133D99"/>
    <w:rsid w:val="00133F34"/>
    <w:rsid w:val="001341DC"/>
    <w:rsid w:val="00134ACD"/>
    <w:rsid w:val="00134DBA"/>
    <w:rsid w:val="0013515E"/>
    <w:rsid w:val="00135273"/>
    <w:rsid w:val="00135BD2"/>
    <w:rsid w:val="00135FC9"/>
    <w:rsid w:val="001363EE"/>
    <w:rsid w:val="00136ABF"/>
    <w:rsid w:val="00136ED3"/>
    <w:rsid w:val="001375BC"/>
    <w:rsid w:val="001375CF"/>
    <w:rsid w:val="001377FB"/>
    <w:rsid w:val="00137D11"/>
    <w:rsid w:val="00137D2A"/>
    <w:rsid w:val="00140613"/>
    <w:rsid w:val="00141E72"/>
    <w:rsid w:val="00142B3E"/>
    <w:rsid w:val="00142DCC"/>
    <w:rsid w:val="00143030"/>
    <w:rsid w:val="00143478"/>
    <w:rsid w:val="00143701"/>
    <w:rsid w:val="0014395D"/>
    <w:rsid w:val="00143F2F"/>
    <w:rsid w:val="001440F4"/>
    <w:rsid w:val="00144812"/>
    <w:rsid w:val="00144E10"/>
    <w:rsid w:val="00144E68"/>
    <w:rsid w:val="00144FD1"/>
    <w:rsid w:val="00145481"/>
    <w:rsid w:val="00145C64"/>
    <w:rsid w:val="00145D70"/>
    <w:rsid w:val="00145DDC"/>
    <w:rsid w:val="00146156"/>
    <w:rsid w:val="00146410"/>
    <w:rsid w:val="0014659F"/>
    <w:rsid w:val="00146624"/>
    <w:rsid w:val="00146824"/>
    <w:rsid w:val="00146AAB"/>
    <w:rsid w:val="00146AEB"/>
    <w:rsid w:val="00146DDD"/>
    <w:rsid w:val="00146F94"/>
    <w:rsid w:val="001474A1"/>
    <w:rsid w:val="00150376"/>
    <w:rsid w:val="001507F6"/>
    <w:rsid w:val="00150C16"/>
    <w:rsid w:val="00151718"/>
    <w:rsid w:val="00151DBD"/>
    <w:rsid w:val="00151E9C"/>
    <w:rsid w:val="00151FC7"/>
    <w:rsid w:val="00152153"/>
    <w:rsid w:val="00152310"/>
    <w:rsid w:val="001530A5"/>
    <w:rsid w:val="001531D6"/>
    <w:rsid w:val="00153D21"/>
    <w:rsid w:val="00154182"/>
    <w:rsid w:val="001543F6"/>
    <w:rsid w:val="00154455"/>
    <w:rsid w:val="0015488E"/>
    <w:rsid w:val="00154A14"/>
    <w:rsid w:val="00155061"/>
    <w:rsid w:val="00155434"/>
    <w:rsid w:val="00155BDA"/>
    <w:rsid w:val="00155DE9"/>
    <w:rsid w:val="00156262"/>
    <w:rsid w:val="001568E1"/>
    <w:rsid w:val="00156D6E"/>
    <w:rsid w:val="00156FA7"/>
    <w:rsid w:val="00157BF4"/>
    <w:rsid w:val="0016023A"/>
    <w:rsid w:val="00160695"/>
    <w:rsid w:val="001606E0"/>
    <w:rsid w:val="001607B4"/>
    <w:rsid w:val="00160B34"/>
    <w:rsid w:val="00160BE5"/>
    <w:rsid w:val="00160D43"/>
    <w:rsid w:val="00160D67"/>
    <w:rsid w:val="00161209"/>
    <w:rsid w:val="00161B4A"/>
    <w:rsid w:val="00162C13"/>
    <w:rsid w:val="00162DBF"/>
    <w:rsid w:val="00163C62"/>
    <w:rsid w:val="001640F5"/>
    <w:rsid w:val="0016411F"/>
    <w:rsid w:val="00164299"/>
    <w:rsid w:val="00164398"/>
    <w:rsid w:val="00164C0C"/>
    <w:rsid w:val="00164C9E"/>
    <w:rsid w:val="00164CF8"/>
    <w:rsid w:val="001650AE"/>
    <w:rsid w:val="001653AE"/>
    <w:rsid w:val="0016642F"/>
    <w:rsid w:val="0016645D"/>
    <w:rsid w:val="00166D60"/>
    <w:rsid w:val="0016760C"/>
    <w:rsid w:val="00167FFA"/>
    <w:rsid w:val="0017052A"/>
    <w:rsid w:val="00170D5B"/>
    <w:rsid w:val="00170D66"/>
    <w:rsid w:val="00171551"/>
    <w:rsid w:val="00171A30"/>
    <w:rsid w:val="00171CD0"/>
    <w:rsid w:val="00171F86"/>
    <w:rsid w:val="0017229F"/>
    <w:rsid w:val="0017249E"/>
    <w:rsid w:val="001725ED"/>
    <w:rsid w:val="00172B8F"/>
    <w:rsid w:val="001733C9"/>
    <w:rsid w:val="00173546"/>
    <w:rsid w:val="001736F8"/>
    <w:rsid w:val="001738A1"/>
    <w:rsid w:val="00173D85"/>
    <w:rsid w:val="00173E33"/>
    <w:rsid w:val="00174261"/>
    <w:rsid w:val="0017462F"/>
    <w:rsid w:val="00174742"/>
    <w:rsid w:val="00174FCE"/>
    <w:rsid w:val="00174FD4"/>
    <w:rsid w:val="0017639C"/>
    <w:rsid w:val="00176B0F"/>
    <w:rsid w:val="001773C7"/>
    <w:rsid w:val="00180C84"/>
    <w:rsid w:val="0018159A"/>
    <w:rsid w:val="001816B1"/>
    <w:rsid w:val="0018185E"/>
    <w:rsid w:val="00181F11"/>
    <w:rsid w:val="00182244"/>
    <w:rsid w:val="00182541"/>
    <w:rsid w:val="00182669"/>
    <w:rsid w:val="001834BC"/>
    <w:rsid w:val="0018354C"/>
    <w:rsid w:val="00183A78"/>
    <w:rsid w:val="00183B0A"/>
    <w:rsid w:val="00183B5E"/>
    <w:rsid w:val="00184214"/>
    <w:rsid w:val="001844F0"/>
    <w:rsid w:val="00184736"/>
    <w:rsid w:val="001849A9"/>
    <w:rsid w:val="00184A83"/>
    <w:rsid w:val="00184BAE"/>
    <w:rsid w:val="00184F82"/>
    <w:rsid w:val="00185102"/>
    <w:rsid w:val="0018523E"/>
    <w:rsid w:val="001859DC"/>
    <w:rsid w:val="00185BF2"/>
    <w:rsid w:val="00185F88"/>
    <w:rsid w:val="0018628D"/>
    <w:rsid w:val="00186566"/>
    <w:rsid w:val="00186A64"/>
    <w:rsid w:val="00186D70"/>
    <w:rsid w:val="0018702F"/>
    <w:rsid w:val="00187506"/>
    <w:rsid w:val="00187C82"/>
    <w:rsid w:val="00187C85"/>
    <w:rsid w:val="00187E55"/>
    <w:rsid w:val="00190183"/>
    <w:rsid w:val="00190841"/>
    <w:rsid w:val="00190C0A"/>
    <w:rsid w:val="00190D76"/>
    <w:rsid w:val="001920A1"/>
    <w:rsid w:val="001921BE"/>
    <w:rsid w:val="00192227"/>
    <w:rsid w:val="0019261C"/>
    <w:rsid w:val="00192E09"/>
    <w:rsid w:val="0019362A"/>
    <w:rsid w:val="001943A5"/>
    <w:rsid w:val="001943C3"/>
    <w:rsid w:val="00194655"/>
    <w:rsid w:val="0019474E"/>
    <w:rsid w:val="00194A1A"/>
    <w:rsid w:val="00195278"/>
    <w:rsid w:val="00195728"/>
    <w:rsid w:val="001959C1"/>
    <w:rsid w:val="0019651A"/>
    <w:rsid w:val="001970C0"/>
    <w:rsid w:val="001977C7"/>
    <w:rsid w:val="001978A0"/>
    <w:rsid w:val="0019790C"/>
    <w:rsid w:val="00197F12"/>
    <w:rsid w:val="001A0244"/>
    <w:rsid w:val="001A0632"/>
    <w:rsid w:val="001A0C5C"/>
    <w:rsid w:val="001A0E04"/>
    <w:rsid w:val="001A1157"/>
    <w:rsid w:val="001A1271"/>
    <w:rsid w:val="001A185F"/>
    <w:rsid w:val="001A1CB7"/>
    <w:rsid w:val="001A21AA"/>
    <w:rsid w:val="001A2C7A"/>
    <w:rsid w:val="001A2E98"/>
    <w:rsid w:val="001A314C"/>
    <w:rsid w:val="001A32CA"/>
    <w:rsid w:val="001A37F5"/>
    <w:rsid w:val="001A3D8E"/>
    <w:rsid w:val="001A3E82"/>
    <w:rsid w:val="001A40D0"/>
    <w:rsid w:val="001A420B"/>
    <w:rsid w:val="001A44E9"/>
    <w:rsid w:val="001A4B97"/>
    <w:rsid w:val="001A4CC6"/>
    <w:rsid w:val="001A4F7D"/>
    <w:rsid w:val="001A553B"/>
    <w:rsid w:val="001A574D"/>
    <w:rsid w:val="001A5CE4"/>
    <w:rsid w:val="001A6340"/>
    <w:rsid w:val="001A6F45"/>
    <w:rsid w:val="001A6F5F"/>
    <w:rsid w:val="001A701A"/>
    <w:rsid w:val="001A71E7"/>
    <w:rsid w:val="001A7239"/>
    <w:rsid w:val="001A7B42"/>
    <w:rsid w:val="001A7D8F"/>
    <w:rsid w:val="001B016F"/>
    <w:rsid w:val="001B0316"/>
    <w:rsid w:val="001B0B3A"/>
    <w:rsid w:val="001B0E41"/>
    <w:rsid w:val="001B14B0"/>
    <w:rsid w:val="001B1C64"/>
    <w:rsid w:val="001B1E16"/>
    <w:rsid w:val="001B1F5A"/>
    <w:rsid w:val="001B219D"/>
    <w:rsid w:val="001B2A97"/>
    <w:rsid w:val="001B2CD4"/>
    <w:rsid w:val="001B37CA"/>
    <w:rsid w:val="001B3A22"/>
    <w:rsid w:val="001B3A9E"/>
    <w:rsid w:val="001B3B0D"/>
    <w:rsid w:val="001B3B50"/>
    <w:rsid w:val="001B3C02"/>
    <w:rsid w:val="001B46A1"/>
    <w:rsid w:val="001B569C"/>
    <w:rsid w:val="001B5AA0"/>
    <w:rsid w:val="001B653E"/>
    <w:rsid w:val="001B6967"/>
    <w:rsid w:val="001B6AAB"/>
    <w:rsid w:val="001B6D7B"/>
    <w:rsid w:val="001B7329"/>
    <w:rsid w:val="001B7A0D"/>
    <w:rsid w:val="001B7DB7"/>
    <w:rsid w:val="001B7EAB"/>
    <w:rsid w:val="001C0949"/>
    <w:rsid w:val="001C1050"/>
    <w:rsid w:val="001C10A5"/>
    <w:rsid w:val="001C110E"/>
    <w:rsid w:val="001C1657"/>
    <w:rsid w:val="001C174A"/>
    <w:rsid w:val="001C1780"/>
    <w:rsid w:val="001C1D05"/>
    <w:rsid w:val="001C2189"/>
    <w:rsid w:val="001C2470"/>
    <w:rsid w:val="001C2986"/>
    <w:rsid w:val="001C2A48"/>
    <w:rsid w:val="001C2CF9"/>
    <w:rsid w:val="001C2D70"/>
    <w:rsid w:val="001C2FDF"/>
    <w:rsid w:val="001C3167"/>
    <w:rsid w:val="001C340D"/>
    <w:rsid w:val="001C385E"/>
    <w:rsid w:val="001C3973"/>
    <w:rsid w:val="001C39F1"/>
    <w:rsid w:val="001C3B1E"/>
    <w:rsid w:val="001C3BCD"/>
    <w:rsid w:val="001C57EB"/>
    <w:rsid w:val="001C5DF4"/>
    <w:rsid w:val="001C5EBB"/>
    <w:rsid w:val="001C639D"/>
    <w:rsid w:val="001C69E3"/>
    <w:rsid w:val="001C6DFD"/>
    <w:rsid w:val="001C7A46"/>
    <w:rsid w:val="001D023F"/>
    <w:rsid w:val="001D04B7"/>
    <w:rsid w:val="001D0505"/>
    <w:rsid w:val="001D08C0"/>
    <w:rsid w:val="001D0E84"/>
    <w:rsid w:val="001D0FE8"/>
    <w:rsid w:val="001D15DC"/>
    <w:rsid w:val="001D1796"/>
    <w:rsid w:val="001D1870"/>
    <w:rsid w:val="001D1C0B"/>
    <w:rsid w:val="001D2120"/>
    <w:rsid w:val="001D32C0"/>
    <w:rsid w:val="001D337A"/>
    <w:rsid w:val="001D3A2D"/>
    <w:rsid w:val="001D3A64"/>
    <w:rsid w:val="001D5793"/>
    <w:rsid w:val="001D5CB0"/>
    <w:rsid w:val="001D5D05"/>
    <w:rsid w:val="001D5DB0"/>
    <w:rsid w:val="001D5DED"/>
    <w:rsid w:val="001D636E"/>
    <w:rsid w:val="001D656B"/>
    <w:rsid w:val="001D74A7"/>
    <w:rsid w:val="001D7898"/>
    <w:rsid w:val="001D79BA"/>
    <w:rsid w:val="001D7CE7"/>
    <w:rsid w:val="001D7D5E"/>
    <w:rsid w:val="001D7E5F"/>
    <w:rsid w:val="001D7E83"/>
    <w:rsid w:val="001E15F2"/>
    <w:rsid w:val="001E1B54"/>
    <w:rsid w:val="001E1B5B"/>
    <w:rsid w:val="001E1C92"/>
    <w:rsid w:val="001E2057"/>
    <w:rsid w:val="001E22F7"/>
    <w:rsid w:val="001E3776"/>
    <w:rsid w:val="001E37AD"/>
    <w:rsid w:val="001E465F"/>
    <w:rsid w:val="001E5207"/>
    <w:rsid w:val="001E52C7"/>
    <w:rsid w:val="001E5372"/>
    <w:rsid w:val="001E641E"/>
    <w:rsid w:val="001E6879"/>
    <w:rsid w:val="001E6CD7"/>
    <w:rsid w:val="001E774C"/>
    <w:rsid w:val="001E77CF"/>
    <w:rsid w:val="001E79E8"/>
    <w:rsid w:val="001E7E2A"/>
    <w:rsid w:val="001F0929"/>
    <w:rsid w:val="001F16B2"/>
    <w:rsid w:val="001F1CAF"/>
    <w:rsid w:val="001F2239"/>
    <w:rsid w:val="001F236E"/>
    <w:rsid w:val="001F2820"/>
    <w:rsid w:val="001F2902"/>
    <w:rsid w:val="001F29F9"/>
    <w:rsid w:val="001F2A05"/>
    <w:rsid w:val="001F3F36"/>
    <w:rsid w:val="001F4472"/>
    <w:rsid w:val="001F4C22"/>
    <w:rsid w:val="001F4D96"/>
    <w:rsid w:val="001F51A1"/>
    <w:rsid w:val="001F53D6"/>
    <w:rsid w:val="001F5583"/>
    <w:rsid w:val="001F5E6C"/>
    <w:rsid w:val="001F658C"/>
    <w:rsid w:val="001F675C"/>
    <w:rsid w:val="001F69CB"/>
    <w:rsid w:val="001F6F22"/>
    <w:rsid w:val="001F6F44"/>
    <w:rsid w:val="001F70B0"/>
    <w:rsid w:val="001F7155"/>
    <w:rsid w:val="001F717A"/>
    <w:rsid w:val="001F7563"/>
    <w:rsid w:val="00200590"/>
    <w:rsid w:val="0020150D"/>
    <w:rsid w:val="0020159A"/>
    <w:rsid w:val="00201677"/>
    <w:rsid w:val="002017DC"/>
    <w:rsid w:val="00201888"/>
    <w:rsid w:val="002021CF"/>
    <w:rsid w:val="00202FB7"/>
    <w:rsid w:val="0020309A"/>
    <w:rsid w:val="002038B5"/>
    <w:rsid w:val="00203A22"/>
    <w:rsid w:val="00203C79"/>
    <w:rsid w:val="00203E6D"/>
    <w:rsid w:val="0020419E"/>
    <w:rsid w:val="00204268"/>
    <w:rsid w:val="00204D68"/>
    <w:rsid w:val="00205104"/>
    <w:rsid w:val="00205420"/>
    <w:rsid w:val="00205454"/>
    <w:rsid w:val="00205806"/>
    <w:rsid w:val="002059D0"/>
    <w:rsid w:val="00205A22"/>
    <w:rsid w:val="00205C09"/>
    <w:rsid w:val="002066BA"/>
    <w:rsid w:val="00206A01"/>
    <w:rsid w:val="0020763A"/>
    <w:rsid w:val="00207F59"/>
    <w:rsid w:val="00210B59"/>
    <w:rsid w:val="00210C3F"/>
    <w:rsid w:val="00211768"/>
    <w:rsid w:val="00211DC3"/>
    <w:rsid w:val="00211E3A"/>
    <w:rsid w:val="00212E6E"/>
    <w:rsid w:val="002130B3"/>
    <w:rsid w:val="002135B9"/>
    <w:rsid w:val="0021365E"/>
    <w:rsid w:val="0021382B"/>
    <w:rsid w:val="00213C92"/>
    <w:rsid w:val="00213F07"/>
    <w:rsid w:val="00214C2F"/>
    <w:rsid w:val="002152BA"/>
    <w:rsid w:val="00215494"/>
    <w:rsid w:val="002155B6"/>
    <w:rsid w:val="002157E4"/>
    <w:rsid w:val="00215AFB"/>
    <w:rsid w:val="00215DEA"/>
    <w:rsid w:val="00215E6B"/>
    <w:rsid w:val="00215F39"/>
    <w:rsid w:val="00216ABC"/>
    <w:rsid w:val="00216B3B"/>
    <w:rsid w:val="00216FDC"/>
    <w:rsid w:val="0021777C"/>
    <w:rsid w:val="002179EE"/>
    <w:rsid w:val="00217A63"/>
    <w:rsid w:val="00217D6C"/>
    <w:rsid w:val="00217E1F"/>
    <w:rsid w:val="00217FD3"/>
    <w:rsid w:val="002200D8"/>
    <w:rsid w:val="0022063E"/>
    <w:rsid w:val="00220BAE"/>
    <w:rsid w:val="002215A5"/>
    <w:rsid w:val="00221AC6"/>
    <w:rsid w:val="00222EE6"/>
    <w:rsid w:val="00223664"/>
    <w:rsid w:val="002239D5"/>
    <w:rsid w:val="00223A56"/>
    <w:rsid w:val="002245CF"/>
    <w:rsid w:val="002252B2"/>
    <w:rsid w:val="00225463"/>
    <w:rsid w:val="00225485"/>
    <w:rsid w:val="00225833"/>
    <w:rsid w:val="00225B9C"/>
    <w:rsid w:val="00226095"/>
    <w:rsid w:val="00226606"/>
    <w:rsid w:val="0022676B"/>
    <w:rsid w:val="00226EE2"/>
    <w:rsid w:val="00227344"/>
    <w:rsid w:val="002273BA"/>
    <w:rsid w:val="002274EB"/>
    <w:rsid w:val="00227AC5"/>
    <w:rsid w:val="00227B89"/>
    <w:rsid w:val="00227F43"/>
    <w:rsid w:val="0023014B"/>
    <w:rsid w:val="002301BE"/>
    <w:rsid w:val="002305A4"/>
    <w:rsid w:val="00230CB3"/>
    <w:rsid w:val="0023102C"/>
    <w:rsid w:val="00231588"/>
    <w:rsid w:val="0023185B"/>
    <w:rsid w:val="0023264D"/>
    <w:rsid w:val="00232E21"/>
    <w:rsid w:val="00232FC5"/>
    <w:rsid w:val="00234640"/>
    <w:rsid w:val="0023477D"/>
    <w:rsid w:val="00234830"/>
    <w:rsid w:val="00235228"/>
    <w:rsid w:val="00235265"/>
    <w:rsid w:val="00235C8E"/>
    <w:rsid w:val="0023614B"/>
    <w:rsid w:val="00236393"/>
    <w:rsid w:val="002368E4"/>
    <w:rsid w:val="002370B7"/>
    <w:rsid w:val="00237556"/>
    <w:rsid w:val="00237714"/>
    <w:rsid w:val="00237CD5"/>
    <w:rsid w:val="00237E2C"/>
    <w:rsid w:val="00240106"/>
    <w:rsid w:val="0024077F"/>
    <w:rsid w:val="002409D7"/>
    <w:rsid w:val="002411C7"/>
    <w:rsid w:val="0024168C"/>
    <w:rsid w:val="0024183C"/>
    <w:rsid w:val="0024193D"/>
    <w:rsid w:val="00241A95"/>
    <w:rsid w:val="00241E8F"/>
    <w:rsid w:val="00242022"/>
    <w:rsid w:val="00242470"/>
    <w:rsid w:val="00242A3E"/>
    <w:rsid w:val="00242F4E"/>
    <w:rsid w:val="00243435"/>
    <w:rsid w:val="00243F14"/>
    <w:rsid w:val="0024417B"/>
    <w:rsid w:val="00244372"/>
    <w:rsid w:val="002446F7"/>
    <w:rsid w:val="00244C43"/>
    <w:rsid w:val="002452A0"/>
    <w:rsid w:val="00245355"/>
    <w:rsid w:val="00245446"/>
    <w:rsid w:val="002455A8"/>
    <w:rsid w:val="00245AA4"/>
    <w:rsid w:val="00245CAE"/>
    <w:rsid w:val="00245EA2"/>
    <w:rsid w:val="0024600A"/>
    <w:rsid w:val="002463A6"/>
    <w:rsid w:val="00246765"/>
    <w:rsid w:val="00246ADB"/>
    <w:rsid w:val="00246DA2"/>
    <w:rsid w:val="00246DF7"/>
    <w:rsid w:val="002473D4"/>
    <w:rsid w:val="0024772B"/>
    <w:rsid w:val="00250FF4"/>
    <w:rsid w:val="00251183"/>
    <w:rsid w:val="002517A5"/>
    <w:rsid w:val="002517DB"/>
    <w:rsid w:val="0025187A"/>
    <w:rsid w:val="00251982"/>
    <w:rsid w:val="00251F6C"/>
    <w:rsid w:val="00252497"/>
    <w:rsid w:val="0025249C"/>
    <w:rsid w:val="00252B2C"/>
    <w:rsid w:val="002534F2"/>
    <w:rsid w:val="002538F5"/>
    <w:rsid w:val="002539ED"/>
    <w:rsid w:val="00253CA4"/>
    <w:rsid w:val="002540D8"/>
    <w:rsid w:val="00254156"/>
    <w:rsid w:val="00254262"/>
    <w:rsid w:val="002543E8"/>
    <w:rsid w:val="0025440D"/>
    <w:rsid w:val="0025450E"/>
    <w:rsid w:val="00255152"/>
    <w:rsid w:val="00255319"/>
    <w:rsid w:val="00255441"/>
    <w:rsid w:val="0025554E"/>
    <w:rsid w:val="0025627D"/>
    <w:rsid w:val="00256910"/>
    <w:rsid w:val="00256A09"/>
    <w:rsid w:val="00256CDB"/>
    <w:rsid w:val="00257487"/>
    <w:rsid w:val="00257FBC"/>
    <w:rsid w:val="002601DB"/>
    <w:rsid w:val="00260C64"/>
    <w:rsid w:val="0026193C"/>
    <w:rsid w:val="00261BC4"/>
    <w:rsid w:val="00261F17"/>
    <w:rsid w:val="002626E5"/>
    <w:rsid w:val="002627CF"/>
    <w:rsid w:val="00263238"/>
    <w:rsid w:val="00263523"/>
    <w:rsid w:val="00263713"/>
    <w:rsid w:val="002638F4"/>
    <w:rsid w:val="0026399B"/>
    <w:rsid w:val="00263B6B"/>
    <w:rsid w:val="002643A0"/>
    <w:rsid w:val="0026484A"/>
    <w:rsid w:val="00264EB0"/>
    <w:rsid w:val="00265728"/>
    <w:rsid w:val="002658C4"/>
    <w:rsid w:val="00266355"/>
    <w:rsid w:val="0026690E"/>
    <w:rsid w:val="00267772"/>
    <w:rsid w:val="00267BBA"/>
    <w:rsid w:val="00267C3B"/>
    <w:rsid w:val="0027033B"/>
    <w:rsid w:val="0027037E"/>
    <w:rsid w:val="00270714"/>
    <w:rsid w:val="00270A3F"/>
    <w:rsid w:val="00270FC6"/>
    <w:rsid w:val="00271258"/>
    <w:rsid w:val="00271380"/>
    <w:rsid w:val="0027160C"/>
    <w:rsid w:val="00271635"/>
    <w:rsid w:val="00271C44"/>
    <w:rsid w:val="00271D32"/>
    <w:rsid w:val="00271D97"/>
    <w:rsid w:val="00271E40"/>
    <w:rsid w:val="00271F1B"/>
    <w:rsid w:val="0027293C"/>
    <w:rsid w:val="00273037"/>
    <w:rsid w:val="0027361E"/>
    <w:rsid w:val="0027403E"/>
    <w:rsid w:val="002740D8"/>
    <w:rsid w:val="0027497B"/>
    <w:rsid w:val="002751D1"/>
    <w:rsid w:val="00275209"/>
    <w:rsid w:val="002759FE"/>
    <w:rsid w:val="002762CB"/>
    <w:rsid w:val="00276612"/>
    <w:rsid w:val="00276A70"/>
    <w:rsid w:val="0028040C"/>
    <w:rsid w:val="0028057D"/>
    <w:rsid w:val="0028066C"/>
    <w:rsid w:val="00280ACC"/>
    <w:rsid w:val="00280B21"/>
    <w:rsid w:val="002811C8"/>
    <w:rsid w:val="0028181C"/>
    <w:rsid w:val="00281ACB"/>
    <w:rsid w:val="002825E9"/>
    <w:rsid w:val="002833CC"/>
    <w:rsid w:val="00283665"/>
    <w:rsid w:val="00283A75"/>
    <w:rsid w:val="00283B6C"/>
    <w:rsid w:val="00283E95"/>
    <w:rsid w:val="00283FD4"/>
    <w:rsid w:val="002841D2"/>
    <w:rsid w:val="00284340"/>
    <w:rsid w:val="00284B82"/>
    <w:rsid w:val="00284BF0"/>
    <w:rsid w:val="00285765"/>
    <w:rsid w:val="0028647F"/>
    <w:rsid w:val="00287E78"/>
    <w:rsid w:val="002903D0"/>
    <w:rsid w:val="002905AE"/>
    <w:rsid w:val="00290676"/>
    <w:rsid w:val="00290BE1"/>
    <w:rsid w:val="00291462"/>
    <w:rsid w:val="00291572"/>
    <w:rsid w:val="002918AA"/>
    <w:rsid w:val="00291CD4"/>
    <w:rsid w:val="00291D09"/>
    <w:rsid w:val="002923F8"/>
    <w:rsid w:val="00292BA5"/>
    <w:rsid w:val="002932E6"/>
    <w:rsid w:val="002936A0"/>
    <w:rsid w:val="002936E3"/>
    <w:rsid w:val="0029412E"/>
    <w:rsid w:val="002946FC"/>
    <w:rsid w:val="00294966"/>
    <w:rsid w:val="00294AC0"/>
    <w:rsid w:val="0029557B"/>
    <w:rsid w:val="0029559C"/>
    <w:rsid w:val="0029563D"/>
    <w:rsid w:val="00295697"/>
    <w:rsid w:val="0029688C"/>
    <w:rsid w:val="002973B3"/>
    <w:rsid w:val="00297651"/>
    <w:rsid w:val="002A02BE"/>
    <w:rsid w:val="002A04B4"/>
    <w:rsid w:val="002A0558"/>
    <w:rsid w:val="002A057B"/>
    <w:rsid w:val="002A0D4E"/>
    <w:rsid w:val="002A0D58"/>
    <w:rsid w:val="002A145B"/>
    <w:rsid w:val="002A16B7"/>
    <w:rsid w:val="002A18BE"/>
    <w:rsid w:val="002A1C4B"/>
    <w:rsid w:val="002A27AF"/>
    <w:rsid w:val="002A2E86"/>
    <w:rsid w:val="002A2F18"/>
    <w:rsid w:val="002A31C4"/>
    <w:rsid w:val="002A345C"/>
    <w:rsid w:val="002A36F6"/>
    <w:rsid w:val="002A3FFA"/>
    <w:rsid w:val="002A4023"/>
    <w:rsid w:val="002A4084"/>
    <w:rsid w:val="002A41F7"/>
    <w:rsid w:val="002A471F"/>
    <w:rsid w:val="002A4AD6"/>
    <w:rsid w:val="002A50E9"/>
    <w:rsid w:val="002A54D2"/>
    <w:rsid w:val="002A57AA"/>
    <w:rsid w:val="002A5B7B"/>
    <w:rsid w:val="002A63BC"/>
    <w:rsid w:val="002A6E21"/>
    <w:rsid w:val="002A7196"/>
    <w:rsid w:val="002A762D"/>
    <w:rsid w:val="002A76AE"/>
    <w:rsid w:val="002A7C27"/>
    <w:rsid w:val="002A7F55"/>
    <w:rsid w:val="002B0CEA"/>
    <w:rsid w:val="002B0D6E"/>
    <w:rsid w:val="002B1011"/>
    <w:rsid w:val="002B1037"/>
    <w:rsid w:val="002B1337"/>
    <w:rsid w:val="002B1384"/>
    <w:rsid w:val="002B14AB"/>
    <w:rsid w:val="002B1BD0"/>
    <w:rsid w:val="002B1DB2"/>
    <w:rsid w:val="002B2496"/>
    <w:rsid w:val="002B27AD"/>
    <w:rsid w:val="002B2A00"/>
    <w:rsid w:val="002B2A0C"/>
    <w:rsid w:val="002B333D"/>
    <w:rsid w:val="002B3681"/>
    <w:rsid w:val="002B4D5D"/>
    <w:rsid w:val="002B5190"/>
    <w:rsid w:val="002B6044"/>
    <w:rsid w:val="002B616A"/>
    <w:rsid w:val="002B667C"/>
    <w:rsid w:val="002B6E7A"/>
    <w:rsid w:val="002B71AD"/>
    <w:rsid w:val="002B7345"/>
    <w:rsid w:val="002B7632"/>
    <w:rsid w:val="002C02A5"/>
    <w:rsid w:val="002C0FC5"/>
    <w:rsid w:val="002C11CA"/>
    <w:rsid w:val="002C18D0"/>
    <w:rsid w:val="002C20FE"/>
    <w:rsid w:val="002C21AF"/>
    <w:rsid w:val="002C2617"/>
    <w:rsid w:val="002C26BB"/>
    <w:rsid w:val="002C35AF"/>
    <w:rsid w:val="002C45E8"/>
    <w:rsid w:val="002C4903"/>
    <w:rsid w:val="002C499F"/>
    <w:rsid w:val="002C4CFD"/>
    <w:rsid w:val="002C516E"/>
    <w:rsid w:val="002C59B1"/>
    <w:rsid w:val="002C59FC"/>
    <w:rsid w:val="002C6F7F"/>
    <w:rsid w:val="002C70CE"/>
    <w:rsid w:val="002C73F2"/>
    <w:rsid w:val="002C7551"/>
    <w:rsid w:val="002C7687"/>
    <w:rsid w:val="002D0191"/>
    <w:rsid w:val="002D0359"/>
    <w:rsid w:val="002D0BA0"/>
    <w:rsid w:val="002D113F"/>
    <w:rsid w:val="002D14BB"/>
    <w:rsid w:val="002D15F6"/>
    <w:rsid w:val="002D1888"/>
    <w:rsid w:val="002D1912"/>
    <w:rsid w:val="002D2170"/>
    <w:rsid w:val="002D2389"/>
    <w:rsid w:val="002D367D"/>
    <w:rsid w:val="002D409C"/>
    <w:rsid w:val="002D4909"/>
    <w:rsid w:val="002D49AA"/>
    <w:rsid w:val="002D4E77"/>
    <w:rsid w:val="002D5097"/>
    <w:rsid w:val="002D527B"/>
    <w:rsid w:val="002D5310"/>
    <w:rsid w:val="002D55E4"/>
    <w:rsid w:val="002D59A5"/>
    <w:rsid w:val="002D690D"/>
    <w:rsid w:val="002D6E7A"/>
    <w:rsid w:val="002D7708"/>
    <w:rsid w:val="002D770F"/>
    <w:rsid w:val="002D7FAF"/>
    <w:rsid w:val="002E034E"/>
    <w:rsid w:val="002E0771"/>
    <w:rsid w:val="002E15CF"/>
    <w:rsid w:val="002E17E0"/>
    <w:rsid w:val="002E1B7E"/>
    <w:rsid w:val="002E1F9F"/>
    <w:rsid w:val="002E1FB4"/>
    <w:rsid w:val="002E2271"/>
    <w:rsid w:val="002E2659"/>
    <w:rsid w:val="002E3364"/>
    <w:rsid w:val="002E351C"/>
    <w:rsid w:val="002E4327"/>
    <w:rsid w:val="002E4BA6"/>
    <w:rsid w:val="002E63A7"/>
    <w:rsid w:val="002E63BE"/>
    <w:rsid w:val="002E6694"/>
    <w:rsid w:val="002E67FE"/>
    <w:rsid w:val="002E6AC9"/>
    <w:rsid w:val="002E6B8D"/>
    <w:rsid w:val="002E6C3B"/>
    <w:rsid w:val="002E7775"/>
    <w:rsid w:val="002E7AD2"/>
    <w:rsid w:val="002F0280"/>
    <w:rsid w:val="002F08CD"/>
    <w:rsid w:val="002F0951"/>
    <w:rsid w:val="002F0A7E"/>
    <w:rsid w:val="002F1399"/>
    <w:rsid w:val="002F169F"/>
    <w:rsid w:val="002F17EE"/>
    <w:rsid w:val="002F1B53"/>
    <w:rsid w:val="002F21DB"/>
    <w:rsid w:val="002F2767"/>
    <w:rsid w:val="002F277F"/>
    <w:rsid w:val="002F32FB"/>
    <w:rsid w:val="002F33E7"/>
    <w:rsid w:val="002F3512"/>
    <w:rsid w:val="002F37E6"/>
    <w:rsid w:val="002F4337"/>
    <w:rsid w:val="002F435A"/>
    <w:rsid w:val="002F43D9"/>
    <w:rsid w:val="002F5611"/>
    <w:rsid w:val="002F5F5E"/>
    <w:rsid w:val="002F5F85"/>
    <w:rsid w:val="002F6765"/>
    <w:rsid w:val="002F693F"/>
    <w:rsid w:val="002F69B3"/>
    <w:rsid w:val="002F6CF1"/>
    <w:rsid w:val="002F796F"/>
    <w:rsid w:val="002F7C49"/>
    <w:rsid w:val="00300239"/>
    <w:rsid w:val="00300434"/>
    <w:rsid w:val="003008AC"/>
    <w:rsid w:val="003008CC"/>
    <w:rsid w:val="003009B5"/>
    <w:rsid w:val="003009E2"/>
    <w:rsid w:val="00301486"/>
    <w:rsid w:val="003016A0"/>
    <w:rsid w:val="00301731"/>
    <w:rsid w:val="00301763"/>
    <w:rsid w:val="00301A15"/>
    <w:rsid w:val="00301B88"/>
    <w:rsid w:val="00302252"/>
    <w:rsid w:val="00302354"/>
    <w:rsid w:val="00302B2A"/>
    <w:rsid w:val="003030A0"/>
    <w:rsid w:val="00303790"/>
    <w:rsid w:val="003038F4"/>
    <w:rsid w:val="00303C60"/>
    <w:rsid w:val="003044E5"/>
    <w:rsid w:val="003045EF"/>
    <w:rsid w:val="0030482D"/>
    <w:rsid w:val="00304DFA"/>
    <w:rsid w:val="00304F8C"/>
    <w:rsid w:val="00304FB8"/>
    <w:rsid w:val="0030535A"/>
    <w:rsid w:val="003056DB"/>
    <w:rsid w:val="003061DE"/>
    <w:rsid w:val="003064D7"/>
    <w:rsid w:val="003066B7"/>
    <w:rsid w:val="00306DC7"/>
    <w:rsid w:val="00307299"/>
    <w:rsid w:val="00307C5F"/>
    <w:rsid w:val="00307E8A"/>
    <w:rsid w:val="00310262"/>
    <w:rsid w:val="00310B9B"/>
    <w:rsid w:val="00310C3F"/>
    <w:rsid w:val="00310C48"/>
    <w:rsid w:val="00310D48"/>
    <w:rsid w:val="003112E7"/>
    <w:rsid w:val="0031146F"/>
    <w:rsid w:val="0031190C"/>
    <w:rsid w:val="00311977"/>
    <w:rsid w:val="00311B03"/>
    <w:rsid w:val="003126E6"/>
    <w:rsid w:val="0031292F"/>
    <w:rsid w:val="00312B7B"/>
    <w:rsid w:val="00312C00"/>
    <w:rsid w:val="0031312C"/>
    <w:rsid w:val="00313384"/>
    <w:rsid w:val="003137DF"/>
    <w:rsid w:val="00313815"/>
    <w:rsid w:val="00314085"/>
    <w:rsid w:val="003140D2"/>
    <w:rsid w:val="0031430A"/>
    <w:rsid w:val="0031451A"/>
    <w:rsid w:val="00314AB6"/>
    <w:rsid w:val="00314C3C"/>
    <w:rsid w:val="0031581C"/>
    <w:rsid w:val="00315951"/>
    <w:rsid w:val="00315F8E"/>
    <w:rsid w:val="00316ACE"/>
    <w:rsid w:val="00316F41"/>
    <w:rsid w:val="00317714"/>
    <w:rsid w:val="00320343"/>
    <w:rsid w:val="00320362"/>
    <w:rsid w:val="00320A17"/>
    <w:rsid w:val="00320DF0"/>
    <w:rsid w:val="00320FA0"/>
    <w:rsid w:val="00321584"/>
    <w:rsid w:val="0032200C"/>
    <w:rsid w:val="003223FD"/>
    <w:rsid w:val="00322DA9"/>
    <w:rsid w:val="00323709"/>
    <w:rsid w:val="00323AF6"/>
    <w:rsid w:val="00323BED"/>
    <w:rsid w:val="00324F08"/>
    <w:rsid w:val="003251C2"/>
    <w:rsid w:val="003254A5"/>
    <w:rsid w:val="003256E2"/>
    <w:rsid w:val="00325883"/>
    <w:rsid w:val="003258D0"/>
    <w:rsid w:val="00325946"/>
    <w:rsid w:val="00325A51"/>
    <w:rsid w:val="00325FA0"/>
    <w:rsid w:val="00326223"/>
    <w:rsid w:val="0032687B"/>
    <w:rsid w:val="00326AF8"/>
    <w:rsid w:val="00326DD7"/>
    <w:rsid w:val="00326E13"/>
    <w:rsid w:val="00326F1C"/>
    <w:rsid w:val="00327162"/>
    <w:rsid w:val="00327163"/>
    <w:rsid w:val="003279A4"/>
    <w:rsid w:val="00327D3C"/>
    <w:rsid w:val="0033018C"/>
    <w:rsid w:val="003304D9"/>
    <w:rsid w:val="003307E0"/>
    <w:rsid w:val="00330A0A"/>
    <w:rsid w:val="00330B7D"/>
    <w:rsid w:val="00330E10"/>
    <w:rsid w:val="00330EFC"/>
    <w:rsid w:val="003315BF"/>
    <w:rsid w:val="003319BB"/>
    <w:rsid w:val="00331CE0"/>
    <w:rsid w:val="00331E80"/>
    <w:rsid w:val="00332645"/>
    <w:rsid w:val="003328A9"/>
    <w:rsid w:val="00333608"/>
    <w:rsid w:val="00333801"/>
    <w:rsid w:val="00333B6B"/>
    <w:rsid w:val="00334DD8"/>
    <w:rsid w:val="00334ECC"/>
    <w:rsid w:val="00334ED2"/>
    <w:rsid w:val="0033574C"/>
    <w:rsid w:val="00335A33"/>
    <w:rsid w:val="00335CB8"/>
    <w:rsid w:val="003361E0"/>
    <w:rsid w:val="003364D1"/>
    <w:rsid w:val="003366D4"/>
    <w:rsid w:val="00336C04"/>
    <w:rsid w:val="00336FA8"/>
    <w:rsid w:val="003370ED"/>
    <w:rsid w:val="003371B5"/>
    <w:rsid w:val="003373AD"/>
    <w:rsid w:val="003373B7"/>
    <w:rsid w:val="00337778"/>
    <w:rsid w:val="00337BAF"/>
    <w:rsid w:val="00337CDA"/>
    <w:rsid w:val="0034012A"/>
    <w:rsid w:val="00340341"/>
    <w:rsid w:val="003405FB"/>
    <w:rsid w:val="00340CAF"/>
    <w:rsid w:val="00340DE0"/>
    <w:rsid w:val="00341066"/>
    <w:rsid w:val="003417CB"/>
    <w:rsid w:val="003423F6"/>
    <w:rsid w:val="003426FC"/>
    <w:rsid w:val="003427CC"/>
    <w:rsid w:val="00342948"/>
    <w:rsid w:val="00343280"/>
    <w:rsid w:val="00343490"/>
    <w:rsid w:val="003435A9"/>
    <w:rsid w:val="00343B1D"/>
    <w:rsid w:val="00343BDB"/>
    <w:rsid w:val="00343E61"/>
    <w:rsid w:val="00344649"/>
    <w:rsid w:val="003447A5"/>
    <w:rsid w:val="003449C9"/>
    <w:rsid w:val="003453C3"/>
    <w:rsid w:val="00345496"/>
    <w:rsid w:val="00345BCF"/>
    <w:rsid w:val="00345F62"/>
    <w:rsid w:val="003461B2"/>
    <w:rsid w:val="003466F9"/>
    <w:rsid w:val="00346803"/>
    <w:rsid w:val="0034686B"/>
    <w:rsid w:val="00346EE7"/>
    <w:rsid w:val="00347337"/>
    <w:rsid w:val="00347C7A"/>
    <w:rsid w:val="00350092"/>
    <w:rsid w:val="00350100"/>
    <w:rsid w:val="003508F0"/>
    <w:rsid w:val="003516BC"/>
    <w:rsid w:val="003519AD"/>
    <w:rsid w:val="00351B79"/>
    <w:rsid w:val="00351CF9"/>
    <w:rsid w:val="00351E0E"/>
    <w:rsid w:val="003520B1"/>
    <w:rsid w:val="0035281F"/>
    <w:rsid w:val="00352B62"/>
    <w:rsid w:val="0035361D"/>
    <w:rsid w:val="00353895"/>
    <w:rsid w:val="00354EB4"/>
    <w:rsid w:val="003553C6"/>
    <w:rsid w:val="0035548B"/>
    <w:rsid w:val="003554A9"/>
    <w:rsid w:val="003554D2"/>
    <w:rsid w:val="00355EFE"/>
    <w:rsid w:val="003561E2"/>
    <w:rsid w:val="003562BD"/>
    <w:rsid w:val="0035648A"/>
    <w:rsid w:val="00356D29"/>
    <w:rsid w:val="00356DAE"/>
    <w:rsid w:val="003571C2"/>
    <w:rsid w:val="003602C9"/>
    <w:rsid w:val="0036076E"/>
    <w:rsid w:val="00360806"/>
    <w:rsid w:val="00360F03"/>
    <w:rsid w:val="0036110A"/>
    <w:rsid w:val="00361128"/>
    <w:rsid w:val="00361DC3"/>
    <w:rsid w:val="003620B8"/>
    <w:rsid w:val="003622A8"/>
    <w:rsid w:val="00362799"/>
    <w:rsid w:val="00362A9C"/>
    <w:rsid w:val="00362B29"/>
    <w:rsid w:val="00362F6D"/>
    <w:rsid w:val="003634A2"/>
    <w:rsid w:val="003636C0"/>
    <w:rsid w:val="0036394E"/>
    <w:rsid w:val="00363D8E"/>
    <w:rsid w:val="003640A7"/>
    <w:rsid w:val="00364115"/>
    <w:rsid w:val="0036452C"/>
    <w:rsid w:val="00364635"/>
    <w:rsid w:val="003648CC"/>
    <w:rsid w:val="00364A0F"/>
    <w:rsid w:val="00364FBB"/>
    <w:rsid w:val="00364FE1"/>
    <w:rsid w:val="00365447"/>
    <w:rsid w:val="003660B5"/>
    <w:rsid w:val="003662B6"/>
    <w:rsid w:val="003665DC"/>
    <w:rsid w:val="0036794E"/>
    <w:rsid w:val="00370B69"/>
    <w:rsid w:val="00371243"/>
    <w:rsid w:val="00371F7B"/>
    <w:rsid w:val="0037244A"/>
    <w:rsid w:val="003730C9"/>
    <w:rsid w:val="00373D6C"/>
    <w:rsid w:val="00374214"/>
    <w:rsid w:val="00374B59"/>
    <w:rsid w:val="00374E2F"/>
    <w:rsid w:val="00374E70"/>
    <w:rsid w:val="00375BEC"/>
    <w:rsid w:val="00376496"/>
    <w:rsid w:val="003768FF"/>
    <w:rsid w:val="00376D03"/>
    <w:rsid w:val="00377057"/>
    <w:rsid w:val="0037730B"/>
    <w:rsid w:val="0038006B"/>
    <w:rsid w:val="003800A8"/>
    <w:rsid w:val="0038146C"/>
    <w:rsid w:val="00381F12"/>
    <w:rsid w:val="00382337"/>
    <w:rsid w:val="00382609"/>
    <w:rsid w:val="0038265D"/>
    <w:rsid w:val="0038279D"/>
    <w:rsid w:val="00382C14"/>
    <w:rsid w:val="0038355D"/>
    <w:rsid w:val="00384476"/>
    <w:rsid w:val="00384D2C"/>
    <w:rsid w:val="00385602"/>
    <w:rsid w:val="0038588B"/>
    <w:rsid w:val="003858DF"/>
    <w:rsid w:val="00385DF4"/>
    <w:rsid w:val="00385E80"/>
    <w:rsid w:val="00386030"/>
    <w:rsid w:val="00386124"/>
    <w:rsid w:val="003864D5"/>
    <w:rsid w:val="00386D82"/>
    <w:rsid w:val="00387885"/>
    <w:rsid w:val="00390273"/>
    <w:rsid w:val="003904E9"/>
    <w:rsid w:val="00390567"/>
    <w:rsid w:val="00390A39"/>
    <w:rsid w:val="00392664"/>
    <w:rsid w:val="00392C41"/>
    <w:rsid w:val="00392C6C"/>
    <w:rsid w:val="00392D5D"/>
    <w:rsid w:val="00392DC2"/>
    <w:rsid w:val="003942FF"/>
    <w:rsid w:val="0039466B"/>
    <w:rsid w:val="00394728"/>
    <w:rsid w:val="00394B44"/>
    <w:rsid w:val="003953A4"/>
    <w:rsid w:val="00395487"/>
    <w:rsid w:val="00396004"/>
    <w:rsid w:val="003964D4"/>
    <w:rsid w:val="0039664A"/>
    <w:rsid w:val="003966F6"/>
    <w:rsid w:val="0039677D"/>
    <w:rsid w:val="003967B1"/>
    <w:rsid w:val="00396846"/>
    <w:rsid w:val="00396EA5"/>
    <w:rsid w:val="00397553"/>
    <w:rsid w:val="0039794A"/>
    <w:rsid w:val="00397A17"/>
    <w:rsid w:val="00397BCE"/>
    <w:rsid w:val="003A0560"/>
    <w:rsid w:val="003A0660"/>
    <w:rsid w:val="003A0D52"/>
    <w:rsid w:val="003A10E5"/>
    <w:rsid w:val="003A1627"/>
    <w:rsid w:val="003A174A"/>
    <w:rsid w:val="003A2C24"/>
    <w:rsid w:val="003A2ED1"/>
    <w:rsid w:val="003A3BCC"/>
    <w:rsid w:val="003A43D1"/>
    <w:rsid w:val="003A44D5"/>
    <w:rsid w:val="003A4602"/>
    <w:rsid w:val="003A4C47"/>
    <w:rsid w:val="003A4C67"/>
    <w:rsid w:val="003A4CB8"/>
    <w:rsid w:val="003A544D"/>
    <w:rsid w:val="003A5924"/>
    <w:rsid w:val="003A5A78"/>
    <w:rsid w:val="003A64C0"/>
    <w:rsid w:val="003A6724"/>
    <w:rsid w:val="003A6DB4"/>
    <w:rsid w:val="003A6E1A"/>
    <w:rsid w:val="003A73C3"/>
    <w:rsid w:val="003A79AD"/>
    <w:rsid w:val="003A79D6"/>
    <w:rsid w:val="003A7CA0"/>
    <w:rsid w:val="003A7E73"/>
    <w:rsid w:val="003B032C"/>
    <w:rsid w:val="003B0441"/>
    <w:rsid w:val="003B0A20"/>
    <w:rsid w:val="003B0BA1"/>
    <w:rsid w:val="003B1A60"/>
    <w:rsid w:val="003B1B6F"/>
    <w:rsid w:val="003B1FEC"/>
    <w:rsid w:val="003B2255"/>
    <w:rsid w:val="003B22C8"/>
    <w:rsid w:val="003B408C"/>
    <w:rsid w:val="003B43A2"/>
    <w:rsid w:val="003B4599"/>
    <w:rsid w:val="003B4F2F"/>
    <w:rsid w:val="003B5960"/>
    <w:rsid w:val="003B61B7"/>
    <w:rsid w:val="003B678F"/>
    <w:rsid w:val="003B67D6"/>
    <w:rsid w:val="003B6BE1"/>
    <w:rsid w:val="003B7AB2"/>
    <w:rsid w:val="003B7C72"/>
    <w:rsid w:val="003B7D48"/>
    <w:rsid w:val="003C027E"/>
    <w:rsid w:val="003C058B"/>
    <w:rsid w:val="003C0723"/>
    <w:rsid w:val="003C0A61"/>
    <w:rsid w:val="003C1A78"/>
    <w:rsid w:val="003C1AE2"/>
    <w:rsid w:val="003C1E81"/>
    <w:rsid w:val="003C2320"/>
    <w:rsid w:val="003C2600"/>
    <w:rsid w:val="003C281F"/>
    <w:rsid w:val="003C2DF7"/>
    <w:rsid w:val="003C2E97"/>
    <w:rsid w:val="003C3092"/>
    <w:rsid w:val="003C39D8"/>
    <w:rsid w:val="003C3A1E"/>
    <w:rsid w:val="003C3B2E"/>
    <w:rsid w:val="003C3D3E"/>
    <w:rsid w:val="003C3EC8"/>
    <w:rsid w:val="003C43CF"/>
    <w:rsid w:val="003C4436"/>
    <w:rsid w:val="003C4570"/>
    <w:rsid w:val="003C4A78"/>
    <w:rsid w:val="003C4E83"/>
    <w:rsid w:val="003C4F8F"/>
    <w:rsid w:val="003C6B59"/>
    <w:rsid w:val="003C6CEC"/>
    <w:rsid w:val="003C7789"/>
    <w:rsid w:val="003C7940"/>
    <w:rsid w:val="003C7C11"/>
    <w:rsid w:val="003D006C"/>
    <w:rsid w:val="003D00E1"/>
    <w:rsid w:val="003D02E2"/>
    <w:rsid w:val="003D04B3"/>
    <w:rsid w:val="003D0E49"/>
    <w:rsid w:val="003D0E59"/>
    <w:rsid w:val="003D1C90"/>
    <w:rsid w:val="003D22FE"/>
    <w:rsid w:val="003D24B2"/>
    <w:rsid w:val="003D24F3"/>
    <w:rsid w:val="003D299E"/>
    <w:rsid w:val="003D2FD0"/>
    <w:rsid w:val="003D329D"/>
    <w:rsid w:val="003D3AE2"/>
    <w:rsid w:val="003D3FB5"/>
    <w:rsid w:val="003D4B06"/>
    <w:rsid w:val="003D55E1"/>
    <w:rsid w:val="003D5CE4"/>
    <w:rsid w:val="003D5FC0"/>
    <w:rsid w:val="003D641A"/>
    <w:rsid w:val="003D6505"/>
    <w:rsid w:val="003D66F3"/>
    <w:rsid w:val="003D6CEA"/>
    <w:rsid w:val="003D6EF0"/>
    <w:rsid w:val="003D6FBE"/>
    <w:rsid w:val="003D71EB"/>
    <w:rsid w:val="003E0239"/>
    <w:rsid w:val="003E06F6"/>
    <w:rsid w:val="003E07B1"/>
    <w:rsid w:val="003E18D7"/>
    <w:rsid w:val="003E1B96"/>
    <w:rsid w:val="003E22CB"/>
    <w:rsid w:val="003E22F0"/>
    <w:rsid w:val="003E2343"/>
    <w:rsid w:val="003E2359"/>
    <w:rsid w:val="003E23D3"/>
    <w:rsid w:val="003E2BC4"/>
    <w:rsid w:val="003E2E4C"/>
    <w:rsid w:val="003E33A5"/>
    <w:rsid w:val="003E36D1"/>
    <w:rsid w:val="003E3C61"/>
    <w:rsid w:val="003E406B"/>
    <w:rsid w:val="003E474B"/>
    <w:rsid w:val="003E4954"/>
    <w:rsid w:val="003E4EB5"/>
    <w:rsid w:val="003E4ECE"/>
    <w:rsid w:val="003E4F96"/>
    <w:rsid w:val="003E536E"/>
    <w:rsid w:val="003E54C2"/>
    <w:rsid w:val="003E5CCA"/>
    <w:rsid w:val="003E5E7C"/>
    <w:rsid w:val="003E620B"/>
    <w:rsid w:val="003E7110"/>
    <w:rsid w:val="003E747B"/>
    <w:rsid w:val="003E756D"/>
    <w:rsid w:val="003E7773"/>
    <w:rsid w:val="003E7870"/>
    <w:rsid w:val="003E789D"/>
    <w:rsid w:val="003E7C4E"/>
    <w:rsid w:val="003E7D31"/>
    <w:rsid w:val="003E7F6C"/>
    <w:rsid w:val="003E7F90"/>
    <w:rsid w:val="003F0E50"/>
    <w:rsid w:val="003F0E6C"/>
    <w:rsid w:val="003F115E"/>
    <w:rsid w:val="003F1347"/>
    <w:rsid w:val="003F13BC"/>
    <w:rsid w:val="003F14C2"/>
    <w:rsid w:val="003F15EF"/>
    <w:rsid w:val="003F1A4F"/>
    <w:rsid w:val="003F21AF"/>
    <w:rsid w:val="003F2210"/>
    <w:rsid w:val="003F24D5"/>
    <w:rsid w:val="003F32D8"/>
    <w:rsid w:val="003F355A"/>
    <w:rsid w:val="003F3651"/>
    <w:rsid w:val="003F38C8"/>
    <w:rsid w:val="003F38E4"/>
    <w:rsid w:val="003F3920"/>
    <w:rsid w:val="003F3998"/>
    <w:rsid w:val="003F43D3"/>
    <w:rsid w:val="003F448B"/>
    <w:rsid w:val="003F45D2"/>
    <w:rsid w:val="003F4E0B"/>
    <w:rsid w:val="003F535C"/>
    <w:rsid w:val="003F54C4"/>
    <w:rsid w:val="003F556C"/>
    <w:rsid w:val="003F5A60"/>
    <w:rsid w:val="003F6854"/>
    <w:rsid w:val="003F6B4B"/>
    <w:rsid w:val="003F6BCB"/>
    <w:rsid w:val="003F6EE4"/>
    <w:rsid w:val="003F6FD4"/>
    <w:rsid w:val="003F7196"/>
    <w:rsid w:val="003F71BE"/>
    <w:rsid w:val="003F770A"/>
    <w:rsid w:val="003F7966"/>
    <w:rsid w:val="00400632"/>
    <w:rsid w:val="004006A4"/>
    <w:rsid w:val="004008AF"/>
    <w:rsid w:val="0040096F"/>
    <w:rsid w:val="00400A7A"/>
    <w:rsid w:val="00400B5F"/>
    <w:rsid w:val="00400D93"/>
    <w:rsid w:val="00401022"/>
    <w:rsid w:val="00401CB4"/>
    <w:rsid w:val="00401DBF"/>
    <w:rsid w:val="00401DC0"/>
    <w:rsid w:val="00402B4E"/>
    <w:rsid w:val="00402D5C"/>
    <w:rsid w:val="004033D9"/>
    <w:rsid w:val="00403820"/>
    <w:rsid w:val="00404163"/>
    <w:rsid w:val="00404521"/>
    <w:rsid w:val="00404676"/>
    <w:rsid w:val="00404A94"/>
    <w:rsid w:val="00404B15"/>
    <w:rsid w:val="004050B9"/>
    <w:rsid w:val="0040551F"/>
    <w:rsid w:val="0040592D"/>
    <w:rsid w:val="00405A4C"/>
    <w:rsid w:val="00405ACA"/>
    <w:rsid w:val="00405C18"/>
    <w:rsid w:val="0040611F"/>
    <w:rsid w:val="0040629F"/>
    <w:rsid w:val="0040658C"/>
    <w:rsid w:val="004065D6"/>
    <w:rsid w:val="004068CC"/>
    <w:rsid w:val="00406DDB"/>
    <w:rsid w:val="0040718E"/>
    <w:rsid w:val="00407245"/>
    <w:rsid w:val="0040771F"/>
    <w:rsid w:val="00407736"/>
    <w:rsid w:val="00407957"/>
    <w:rsid w:val="00407CCE"/>
    <w:rsid w:val="00407E27"/>
    <w:rsid w:val="00410112"/>
    <w:rsid w:val="0041018E"/>
    <w:rsid w:val="00410645"/>
    <w:rsid w:val="0041065A"/>
    <w:rsid w:val="0041089B"/>
    <w:rsid w:val="00410A74"/>
    <w:rsid w:val="004111F7"/>
    <w:rsid w:val="00411891"/>
    <w:rsid w:val="00411B6D"/>
    <w:rsid w:val="00411E90"/>
    <w:rsid w:val="0041217D"/>
    <w:rsid w:val="004124A7"/>
    <w:rsid w:val="004125C6"/>
    <w:rsid w:val="0041275F"/>
    <w:rsid w:val="004129B1"/>
    <w:rsid w:val="00413396"/>
    <w:rsid w:val="004134B9"/>
    <w:rsid w:val="00413895"/>
    <w:rsid w:val="00413A4C"/>
    <w:rsid w:val="00413ED8"/>
    <w:rsid w:val="004145AD"/>
    <w:rsid w:val="00414812"/>
    <w:rsid w:val="004149C8"/>
    <w:rsid w:val="004153C0"/>
    <w:rsid w:val="0041599E"/>
    <w:rsid w:val="00415D6C"/>
    <w:rsid w:val="00416084"/>
    <w:rsid w:val="004165B0"/>
    <w:rsid w:val="00417AC1"/>
    <w:rsid w:val="00417E3A"/>
    <w:rsid w:val="004203BB"/>
    <w:rsid w:val="004203E4"/>
    <w:rsid w:val="004208FC"/>
    <w:rsid w:val="00420B30"/>
    <w:rsid w:val="00421030"/>
    <w:rsid w:val="00421A89"/>
    <w:rsid w:val="00421EBC"/>
    <w:rsid w:val="0042304B"/>
    <w:rsid w:val="004231CD"/>
    <w:rsid w:val="00423301"/>
    <w:rsid w:val="00423499"/>
    <w:rsid w:val="004236BD"/>
    <w:rsid w:val="00423971"/>
    <w:rsid w:val="00423F3A"/>
    <w:rsid w:val="00424084"/>
    <w:rsid w:val="00424C08"/>
    <w:rsid w:val="004250C4"/>
    <w:rsid w:val="00425A3F"/>
    <w:rsid w:val="00425C78"/>
    <w:rsid w:val="00425F7B"/>
    <w:rsid w:val="004260A8"/>
    <w:rsid w:val="0042686C"/>
    <w:rsid w:val="00427333"/>
    <w:rsid w:val="004273AD"/>
    <w:rsid w:val="00427A89"/>
    <w:rsid w:val="00427FF6"/>
    <w:rsid w:val="0043027C"/>
    <w:rsid w:val="00430383"/>
    <w:rsid w:val="004305AE"/>
    <w:rsid w:val="00430E3D"/>
    <w:rsid w:val="00431800"/>
    <w:rsid w:val="00431C58"/>
    <w:rsid w:val="00432AA9"/>
    <w:rsid w:val="004332A2"/>
    <w:rsid w:val="00433541"/>
    <w:rsid w:val="00433578"/>
    <w:rsid w:val="004337D6"/>
    <w:rsid w:val="00433947"/>
    <w:rsid w:val="0043399C"/>
    <w:rsid w:val="00433C05"/>
    <w:rsid w:val="00433DD1"/>
    <w:rsid w:val="004343A7"/>
    <w:rsid w:val="00434778"/>
    <w:rsid w:val="004348A1"/>
    <w:rsid w:val="00434D44"/>
    <w:rsid w:val="00434EB3"/>
    <w:rsid w:val="00434FB4"/>
    <w:rsid w:val="00435C1D"/>
    <w:rsid w:val="0043615B"/>
    <w:rsid w:val="004362D2"/>
    <w:rsid w:val="00436514"/>
    <w:rsid w:val="004369B9"/>
    <w:rsid w:val="004369D7"/>
    <w:rsid w:val="0043776C"/>
    <w:rsid w:val="00437771"/>
    <w:rsid w:val="0044059E"/>
    <w:rsid w:val="0044074F"/>
    <w:rsid w:val="00440FA7"/>
    <w:rsid w:val="004410A1"/>
    <w:rsid w:val="004410A9"/>
    <w:rsid w:val="0044111E"/>
    <w:rsid w:val="00441E45"/>
    <w:rsid w:val="004423F7"/>
    <w:rsid w:val="00442A49"/>
    <w:rsid w:val="00442D97"/>
    <w:rsid w:val="00443236"/>
    <w:rsid w:val="00443D61"/>
    <w:rsid w:val="00443EDB"/>
    <w:rsid w:val="00443FC1"/>
    <w:rsid w:val="00444448"/>
    <w:rsid w:val="0044470E"/>
    <w:rsid w:val="004452B6"/>
    <w:rsid w:val="004457C8"/>
    <w:rsid w:val="00445E05"/>
    <w:rsid w:val="00445EA9"/>
    <w:rsid w:val="00445EB8"/>
    <w:rsid w:val="0044608F"/>
    <w:rsid w:val="00446610"/>
    <w:rsid w:val="0044690B"/>
    <w:rsid w:val="00446BBE"/>
    <w:rsid w:val="00447005"/>
    <w:rsid w:val="0044708B"/>
    <w:rsid w:val="00447718"/>
    <w:rsid w:val="0044782C"/>
    <w:rsid w:val="00450325"/>
    <w:rsid w:val="0045093D"/>
    <w:rsid w:val="00450D57"/>
    <w:rsid w:val="004511F4"/>
    <w:rsid w:val="004515ED"/>
    <w:rsid w:val="00451645"/>
    <w:rsid w:val="00451676"/>
    <w:rsid w:val="0045177E"/>
    <w:rsid w:val="00452067"/>
    <w:rsid w:val="004520E3"/>
    <w:rsid w:val="004525F6"/>
    <w:rsid w:val="004527C2"/>
    <w:rsid w:val="00453DF1"/>
    <w:rsid w:val="00454226"/>
    <w:rsid w:val="0045431D"/>
    <w:rsid w:val="0045441D"/>
    <w:rsid w:val="0045489A"/>
    <w:rsid w:val="00454F85"/>
    <w:rsid w:val="00454F8E"/>
    <w:rsid w:val="0045514E"/>
    <w:rsid w:val="00455B03"/>
    <w:rsid w:val="0045651C"/>
    <w:rsid w:val="00456BB9"/>
    <w:rsid w:val="00456D04"/>
    <w:rsid w:val="00456D1B"/>
    <w:rsid w:val="00457190"/>
    <w:rsid w:val="00457533"/>
    <w:rsid w:val="004577B1"/>
    <w:rsid w:val="00460442"/>
    <w:rsid w:val="004604A6"/>
    <w:rsid w:val="00460A56"/>
    <w:rsid w:val="00461BDD"/>
    <w:rsid w:val="004620BD"/>
    <w:rsid w:val="004621FF"/>
    <w:rsid w:val="00462524"/>
    <w:rsid w:val="00462778"/>
    <w:rsid w:val="004630DD"/>
    <w:rsid w:val="004639C1"/>
    <w:rsid w:val="00463A53"/>
    <w:rsid w:val="00463DB7"/>
    <w:rsid w:val="00464762"/>
    <w:rsid w:val="00464B5B"/>
    <w:rsid w:val="00464F6C"/>
    <w:rsid w:val="004651E7"/>
    <w:rsid w:val="00465BB6"/>
    <w:rsid w:val="00465CC9"/>
    <w:rsid w:val="00465EE6"/>
    <w:rsid w:val="00466353"/>
    <w:rsid w:val="00466451"/>
    <w:rsid w:val="00466797"/>
    <w:rsid w:val="004671A5"/>
    <w:rsid w:val="00467319"/>
    <w:rsid w:val="00467488"/>
    <w:rsid w:val="004677C8"/>
    <w:rsid w:val="004700F0"/>
    <w:rsid w:val="0047019A"/>
    <w:rsid w:val="004702D3"/>
    <w:rsid w:val="0047148B"/>
    <w:rsid w:val="00471663"/>
    <w:rsid w:val="0047174C"/>
    <w:rsid w:val="00471D0D"/>
    <w:rsid w:val="00472362"/>
    <w:rsid w:val="0047245A"/>
    <w:rsid w:val="004726A0"/>
    <w:rsid w:val="004728F7"/>
    <w:rsid w:val="00472DB9"/>
    <w:rsid w:val="004737B4"/>
    <w:rsid w:val="00473EA1"/>
    <w:rsid w:val="004742F6"/>
    <w:rsid w:val="004742F7"/>
    <w:rsid w:val="00474E01"/>
    <w:rsid w:val="00474E8A"/>
    <w:rsid w:val="00474F30"/>
    <w:rsid w:val="0047524D"/>
    <w:rsid w:val="00475487"/>
    <w:rsid w:val="00475874"/>
    <w:rsid w:val="004763AC"/>
    <w:rsid w:val="00476909"/>
    <w:rsid w:val="00476A02"/>
    <w:rsid w:val="00476D6C"/>
    <w:rsid w:val="004771B1"/>
    <w:rsid w:val="00477357"/>
    <w:rsid w:val="004807CA"/>
    <w:rsid w:val="004808B0"/>
    <w:rsid w:val="004826D6"/>
    <w:rsid w:val="0048271B"/>
    <w:rsid w:val="00482804"/>
    <w:rsid w:val="00482815"/>
    <w:rsid w:val="00482B47"/>
    <w:rsid w:val="00482C48"/>
    <w:rsid w:val="00483200"/>
    <w:rsid w:val="0048323E"/>
    <w:rsid w:val="004838E4"/>
    <w:rsid w:val="00483A5F"/>
    <w:rsid w:val="00483B7F"/>
    <w:rsid w:val="00483F63"/>
    <w:rsid w:val="004844A6"/>
    <w:rsid w:val="004847EC"/>
    <w:rsid w:val="00484CB0"/>
    <w:rsid w:val="00484DC5"/>
    <w:rsid w:val="004850C7"/>
    <w:rsid w:val="00485139"/>
    <w:rsid w:val="00485608"/>
    <w:rsid w:val="00485675"/>
    <w:rsid w:val="004857EE"/>
    <w:rsid w:val="00485AC0"/>
    <w:rsid w:val="00485D74"/>
    <w:rsid w:val="004861BA"/>
    <w:rsid w:val="00486608"/>
    <w:rsid w:val="00486734"/>
    <w:rsid w:val="0048690B"/>
    <w:rsid w:val="0048699F"/>
    <w:rsid w:val="00486F49"/>
    <w:rsid w:val="00487C85"/>
    <w:rsid w:val="00487D2A"/>
    <w:rsid w:val="00487EF5"/>
    <w:rsid w:val="004900C5"/>
    <w:rsid w:val="0049049B"/>
    <w:rsid w:val="00490DC4"/>
    <w:rsid w:val="00490E75"/>
    <w:rsid w:val="00490EB6"/>
    <w:rsid w:val="00490EC9"/>
    <w:rsid w:val="00490FCA"/>
    <w:rsid w:val="00491B32"/>
    <w:rsid w:val="004925BF"/>
    <w:rsid w:val="00492D81"/>
    <w:rsid w:val="0049337F"/>
    <w:rsid w:val="004934FE"/>
    <w:rsid w:val="00493D4B"/>
    <w:rsid w:val="00494282"/>
    <w:rsid w:val="00494775"/>
    <w:rsid w:val="004948C5"/>
    <w:rsid w:val="00494E39"/>
    <w:rsid w:val="00494F64"/>
    <w:rsid w:val="00494FD8"/>
    <w:rsid w:val="00495800"/>
    <w:rsid w:val="004958E6"/>
    <w:rsid w:val="00495B02"/>
    <w:rsid w:val="00496FAC"/>
    <w:rsid w:val="00497B09"/>
    <w:rsid w:val="00497B9F"/>
    <w:rsid w:val="00497DB0"/>
    <w:rsid w:val="00497DFA"/>
    <w:rsid w:val="00497EDA"/>
    <w:rsid w:val="00497EEF"/>
    <w:rsid w:val="00497F3D"/>
    <w:rsid w:val="00497F8A"/>
    <w:rsid w:val="004A1258"/>
    <w:rsid w:val="004A2084"/>
    <w:rsid w:val="004A21B3"/>
    <w:rsid w:val="004A24DC"/>
    <w:rsid w:val="004A2AFD"/>
    <w:rsid w:val="004A2E46"/>
    <w:rsid w:val="004A2E5F"/>
    <w:rsid w:val="004A3389"/>
    <w:rsid w:val="004A3685"/>
    <w:rsid w:val="004A372B"/>
    <w:rsid w:val="004A3C5A"/>
    <w:rsid w:val="004A3E8D"/>
    <w:rsid w:val="004A4109"/>
    <w:rsid w:val="004A4211"/>
    <w:rsid w:val="004A4430"/>
    <w:rsid w:val="004A4A96"/>
    <w:rsid w:val="004A4BBA"/>
    <w:rsid w:val="004A4FDF"/>
    <w:rsid w:val="004A5101"/>
    <w:rsid w:val="004A5467"/>
    <w:rsid w:val="004A5489"/>
    <w:rsid w:val="004A5862"/>
    <w:rsid w:val="004A5E2D"/>
    <w:rsid w:val="004A5E73"/>
    <w:rsid w:val="004A647B"/>
    <w:rsid w:val="004A70CB"/>
    <w:rsid w:val="004A7A52"/>
    <w:rsid w:val="004A7EAF"/>
    <w:rsid w:val="004B0D9C"/>
    <w:rsid w:val="004B1661"/>
    <w:rsid w:val="004B19FE"/>
    <w:rsid w:val="004B1ACA"/>
    <w:rsid w:val="004B1B89"/>
    <w:rsid w:val="004B242F"/>
    <w:rsid w:val="004B2A4D"/>
    <w:rsid w:val="004B2A7B"/>
    <w:rsid w:val="004B2C45"/>
    <w:rsid w:val="004B2CD6"/>
    <w:rsid w:val="004B2F45"/>
    <w:rsid w:val="004B33C2"/>
    <w:rsid w:val="004B351E"/>
    <w:rsid w:val="004B3A40"/>
    <w:rsid w:val="004B3EAE"/>
    <w:rsid w:val="004B4214"/>
    <w:rsid w:val="004B5359"/>
    <w:rsid w:val="004B5576"/>
    <w:rsid w:val="004B5F0A"/>
    <w:rsid w:val="004B689D"/>
    <w:rsid w:val="004B6914"/>
    <w:rsid w:val="004B6D2F"/>
    <w:rsid w:val="004B71D1"/>
    <w:rsid w:val="004B7546"/>
    <w:rsid w:val="004C03E4"/>
    <w:rsid w:val="004C07B8"/>
    <w:rsid w:val="004C0C94"/>
    <w:rsid w:val="004C0E97"/>
    <w:rsid w:val="004C10EC"/>
    <w:rsid w:val="004C235C"/>
    <w:rsid w:val="004C23A8"/>
    <w:rsid w:val="004C27D6"/>
    <w:rsid w:val="004C2960"/>
    <w:rsid w:val="004C2970"/>
    <w:rsid w:val="004C2E12"/>
    <w:rsid w:val="004C30FB"/>
    <w:rsid w:val="004C317A"/>
    <w:rsid w:val="004C32E7"/>
    <w:rsid w:val="004C3844"/>
    <w:rsid w:val="004C3D38"/>
    <w:rsid w:val="004C414D"/>
    <w:rsid w:val="004C42E2"/>
    <w:rsid w:val="004C4503"/>
    <w:rsid w:val="004C458B"/>
    <w:rsid w:val="004C4717"/>
    <w:rsid w:val="004C48A7"/>
    <w:rsid w:val="004C48C8"/>
    <w:rsid w:val="004C52A3"/>
    <w:rsid w:val="004C598D"/>
    <w:rsid w:val="004C5C5F"/>
    <w:rsid w:val="004C62C8"/>
    <w:rsid w:val="004C6F2C"/>
    <w:rsid w:val="004C7165"/>
    <w:rsid w:val="004C729C"/>
    <w:rsid w:val="004C72E3"/>
    <w:rsid w:val="004C779D"/>
    <w:rsid w:val="004D01A2"/>
    <w:rsid w:val="004D020C"/>
    <w:rsid w:val="004D05D3"/>
    <w:rsid w:val="004D1D8F"/>
    <w:rsid w:val="004D2552"/>
    <w:rsid w:val="004D285C"/>
    <w:rsid w:val="004D30C9"/>
    <w:rsid w:val="004D361E"/>
    <w:rsid w:val="004D3844"/>
    <w:rsid w:val="004D3897"/>
    <w:rsid w:val="004D3E28"/>
    <w:rsid w:val="004D414D"/>
    <w:rsid w:val="004D4425"/>
    <w:rsid w:val="004D48B0"/>
    <w:rsid w:val="004D5B96"/>
    <w:rsid w:val="004D6312"/>
    <w:rsid w:val="004D7122"/>
    <w:rsid w:val="004D7277"/>
    <w:rsid w:val="004D7418"/>
    <w:rsid w:val="004D7580"/>
    <w:rsid w:val="004D76FB"/>
    <w:rsid w:val="004D77BC"/>
    <w:rsid w:val="004D77FF"/>
    <w:rsid w:val="004D7D50"/>
    <w:rsid w:val="004E0B2E"/>
    <w:rsid w:val="004E1176"/>
    <w:rsid w:val="004E208F"/>
    <w:rsid w:val="004E2353"/>
    <w:rsid w:val="004E28FB"/>
    <w:rsid w:val="004E2BD6"/>
    <w:rsid w:val="004E2D79"/>
    <w:rsid w:val="004E3103"/>
    <w:rsid w:val="004E3A41"/>
    <w:rsid w:val="004E3AB2"/>
    <w:rsid w:val="004E3ABD"/>
    <w:rsid w:val="004E3D38"/>
    <w:rsid w:val="004E3FC9"/>
    <w:rsid w:val="004E408E"/>
    <w:rsid w:val="004E4B06"/>
    <w:rsid w:val="004E4F66"/>
    <w:rsid w:val="004E504C"/>
    <w:rsid w:val="004E5AB2"/>
    <w:rsid w:val="004E5B13"/>
    <w:rsid w:val="004E5B83"/>
    <w:rsid w:val="004E611E"/>
    <w:rsid w:val="004E6171"/>
    <w:rsid w:val="004E61E3"/>
    <w:rsid w:val="004E68A5"/>
    <w:rsid w:val="004E6A47"/>
    <w:rsid w:val="004E6AA3"/>
    <w:rsid w:val="004E6E86"/>
    <w:rsid w:val="004E7143"/>
    <w:rsid w:val="004E76A7"/>
    <w:rsid w:val="004F0066"/>
    <w:rsid w:val="004F0103"/>
    <w:rsid w:val="004F0CB0"/>
    <w:rsid w:val="004F0D61"/>
    <w:rsid w:val="004F111E"/>
    <w:rsid w:val="004F12F3"/>
    <w:rsid w:val="004F1BCB"/>
    <w:rsid w:val="004F1D2D"/>
    <w:rsid w:val="004F1F0D"/>
    <w:rsid w:val="004F2642"/>
    <w:rsid w:val="004F335D"/>
    <w:rsid w:val="004F373C"/>
    <w:rsid w:val="004F37DC"/>
    <w:rsid w:val="004F3A9F"/>
    <w:rsid w:val="004F3D99"/>
    <w:rsid w:val="004F4267"/>
    <w:rsid w:val="004F44EF"/>
    <w:rsid w:val="004F542D"/>
    <w:rsid w:val="004F557D"/>
    <w:rsid w:val="004F5A2D"/>
    <w:rsid w:val="004F5CCB"/>
    <w:rsid w:val="004F6AD3"/>
    <w:rsid w:val="004F6BC7"/>
    <w:rsid w:val="004F6C02"/>
    <w:rsid w:val="004F6CAE"/>
    <w:rsid w:val="004F7281"/>
    <w:rsid w:val="004F7321"/>
    <w:rsid w:val="004F76D7"/>
    <w:rsid w:val="004F7927"/>
    <w:rsid w:val="004F7A2F"/>
    <w:rsid w:val="00500766"/>
    <w:rsid w:val="00500A6A"/>
    <w:rsid w:val="00500AFA"/>
    <w:rsid w:val="00500B1B"/>
    <w:rsid w:val="00501386"/>
    <w:rsid w:val="0050160E"/>
    <w:rsid w:val="00501BD9"/>
    <w:rsid w:val="00501C25"/>
    <w:rsid w:val="00501E6E"/>
    <w:rsid w:val="00501FB6"/>
    <w:rsid w:val="0050205F"/>
    <w:rsid w:val="00502191"/>
    <w:rsid w:val="0050235B"/>
    <w:rsid w:val="005027A6"/>
    <w:rsid w:val="00502DAE"/>
    <w:rsid w:val="00502FFB"/>
    <w:rsid w:val="0050348F"/>
    <w:rsid w:val="005038A0"/>
    <w:rsid w:val="00503C60"/>
    <w:rsid w:val="00503ED3"/>
    <w:rsid w:val="00503F29"/>
    <w:rsid w:val="00504794"/>
    <w:rsid w:val="00504A82"/>
    <w:rsid w:val="005052B0"/>
    <w:rsid w:val="005053F6"/>
    <w:rsid w:val="005055DB"/>
    <w:rsid w:val="00505E16"/>
    <w:rsid w:val="00505E19"/>
    <w:rsid w:val="005063D1"/>
    <w:rsid w:val="00506498"/>
    <w:rsid w:val="00507008"/>
    <w:rsid w:val="0050705B"/>
    <w:rsid w:val="005076FC"/>
    <w:rsid w:val="005077A9"/>
    <w:rsid w:val="00507EB0"/>
    <w:rsid w:val="00507EF6"/>
    <w:rsid w:val="0051019B"/>
    <w:rsid w:val="005103C5"/>
    <w:rsid w:val="0051097A"/>
    <w:rsid w:val="00510EF5"/>
    <w:rsid w:val="005112D2"/>
    <w:rsid w:val="0051161A"/>
    <w:rsid w:val="0051193B"/>
    <w:rsid w:val="00511C93"/>
    <w:rsid w:val="00511FB3"/>
    <w:rsid w:val="00512A15"/>
    <w:rsid w:val="00512DC1"/>
    <w:rsid w:val="00512E26"/>
    <w:rsid w:val="005131D3"/>
    <w:rsid w:val="0051352C"/>
    <w:rsid w:val="005137B9"/>
    <w:rsid w:val="00513CE7"/>
    <w:rsid w:val="00514538"/>
    <w:rsid w:val="00514FC2"/>
    <w:rsid w:val="00515346"/>
    <w:rsid w:val="00515389"/>
    <w:rsid w:val="005153BF"/>
    <w:rsid w:val="00515938"/>
    <w:rsid w:val="00515980"/>
    <w:rsid w:val="00515BFA"/>
    <w:rsid w:val="005162B3"/>
    <w:rsid w:val="00516FA0"/>
    <w:rsid w:val="0051710B"/>
    <w:rsid w:val="00517411"/>
    <w:rsid w:val="0051774A"/>
    <w:rsid w:val="00517A86"/>
    <w:rsid w:val="005203BB"/>
    <w:rsid w:val="00520914"/>
    <w:rsid w:val="00520CD1"/>
    <w:rsid w:val="00521240"/>
    <w:rsid w:val="0052142D"/>
    <w:rsid w:val="00521745"/>
    <w:rsid w:val="0052180A"/>
    <w:rsid w:val="00521894"/>
    <w:rsid w:val="00521E42"/>
    <w:rsid w:val="005223AC"/>
    <w:rsid w:val="00522511"/>
    <w:rsid w:val="0052349D"/>
    <w:rsid w:val="00523717"/>
    <w:rsid w:val="0052385F"/>
    <w:rsid w:val="0052397C"/>
    <w:rsid w:val="00523D62"/>
    <w:rsid w:val="005245F0"/>
    <w:rsid w:val="00524827"/>
    <w:rsid w:val="00524B1B"/>
    <w:rsid w:val="00524BE8"/>
    <w:rsid w:val="0052575D"/>
    <w:rsid w:val="005257EB"/>
    <w:rsid w:val="00526300"/>
    <w:rsid w:val="0052651B"/>
    <w:rsid w:val="0052699A"/>
    <w:rsid w:val="00526BDE"/>
    <w:rsid w:val="00526C92"/>
    <w:rsid w:val="0052702B"/>
    <w:rsid w:val="005275FC"/>
    <w:rsid w:val="0052768C"/>
    <w:rsid w:val="0053047E"/>
    <w:rsid w:val="005304EC"/>
    <w:rsid w:val="00530896"/>
    <w:rsid w:val="00530D71"/>
    <w:rsid w:val="005310AF"/>
    <w:rsid w:val="005317CD"/>
    <w:rsid w:val="00531DBB"/>
    <w:rsid w:val="00531F1D"/>
    <w:rsid w:val="00532100"/>
    <w:rsid w:val="0053249C"/>
    <w:rsid w:val="00532856"/>
    <w:rsid w:val="00532C2C"/>
    <w:rsid w:val="00532FB9"/>
    <w:rsid w:val="0053385D"/>
    <w:rsid w:val="005342C3"/>
    <w:rsid w:val="00534574"/>
    <w:rsid w:val="00534D0F"/>
    <w:rsid w:val="00534D46"/>
    <w:rsid w:val="00535876"/>
    <w:rsid w:val="00535A5F"/>
    <w:rsid w:val="005362F5"/>
    <w:rsid w:val="00536A1C"/>
    <w:rsid w:val="0053725B"/>
    <w:rsid w:val="005376B8"/>
    <w:rsid w:val="005376BB"/>
    <w:rsid w:val="005378F2"/>
    <w:rsid w:val="00537C50"/>
    <w:rsid w:val="00537E3B"/>
    <w:rsid w:val="005405F9"/>
    <w:rsid w:val="005407A1"/>
    <w:rsid w:val="0054091E"/>
    <w:rsid w:val="00540B0C"/>
    <w:rsid w:val="00540C57"/>
    <w:rsid w:val="0054150B"/>
    <w:rsid w:val="005418B7"/>
    <w:rsid w:val="00541D0E"/>
    <w:rsid w:val="005427A9"/>
    <w:rsid w:val="00542DA2"/>
    <w:rsid w:val="00542EA6"/>
    <w:rsid w:val="00543577"/>
    <w:rsid w:val="005437AC"/>
    <w:rsid w:val="00545141"/>
    <w:rsid w:val="005465E7"/>
    <w:rsid w:val="0054691B"/>
    <w:rsid w:val="00546C31"/>
    <w:rsid w:val="00547070"/>
    <w:rsid w:val="00547169"/>
    <w:rsid w:val="0054747F"/>
    <w:rsid w:val="00547AF3"/>
    <w:rsid w:val="00551398"/>
    <w:rsid w:val="005515BB"/>
    <w:rsid w:val="00552031"/>
    <w:rsid w:val="005521AE"/>
    <w:rsid w:val="005528E5"/>
    <w:rsid w:val="005531BD"/>
    <w:rsid w:val="0055354B"/>
    <w:rsid w:val="00554539"/>
    <w:rsid w:val="00554D4A"/>
    <w:rsid w:val="00555533"/>
    <w:rsid w:val="00555866"/>
    <w:rsid w:val="00556583"/>
    <w:rsid w:val="005567B2"/>
    <w:rsid w:val="005569A8"/>
    <w:rsid w:val="00557317"/>
    <w:rsid w:val="0055737E"/>
    <w:rsid w:val="00557870"/>
    <w:rsid w:val="00557CD0"/>
    <w:rsid w:val="00557E4B"/>
    <w:rsid w:val="00560277"/>
    <w:rsid w:val="00560938"/>
    <w:rsid w:val="005609E9"/>
    <w:rsid w:val="00560ADA"/>
    <w:rsid w:val="00560AF1"/>
    <w:rsid w:val="00560AF8"/>
    <w:rsid w:val="00560E94"/>
    <w:rsid w:val="005614FC"/>
    <w:rsid w:val="00561562"/>
    <w:rsid w:val="005624BD"/>
    <w:rsid w:val="00562D7D"/>
    <w:rsid w:val="00562FD6"/>
    <w:rsid w:val="005636FB"/>
    <w:rsid w:val="00563DE6"/>
    <w:rsid w:val="00563F1B"/>
    <w:rsid w:val="00564B54"/>
    <w:rsid w:val="00564EE7"/>
    <w:rsid w:val="00565039"/>
    <w:rsid w:val="00565130"/>
    <w:rsid w:val="0056528D"/>
    <w:rsid w:val="0056538C"/>
    <w:rsid w:val="00565408"/>
    <w:rsid w:val="00565572"/>
    <w:rsid w:val="0056628B"/>
    <w:rsid w:val="00566298"/>
    <w:rsid w:val="005664A7"/>
    <w:rsid w:val="00566868"/>
    <w:rsid w:val="005671ED"/>
    <w:rsid w:val="0056740D"/>
    <w:rsid w:val="0056761A"/>
    <w:rsid w:val="0056796E"/>
    <w:rsid w:val="0057091E"/>
    <w:rsid w:val="00570EE0"/>
    <w:rsid w:val="00571077"/>
    <w:rsid w:val="0057128B"/>
    <w:rsid w:val="005714B1"/>
    <w:rsid w:val="00571538"/>
    <w:rsid w:val="005715CA"/>
    <w:rsid w:val="00571B5F"/>
    <w:rsid w:val="00572353"/>
    <w:rsid w:val="005723D6"/>
    <w:rsid w:val="00572553"/>
    <w:rsid w:val="005727BE"/>
    <w:rsid w:val="0057400A"/>
    <w:rsid w:val="0057407D"/>
    <w:rsid w:val="005741C3"/>
    <w:rsid w:val="005746E9"/>
    <w:rsid w:val="005747B9"/>
    <w:rsid w:val="0057490F"/>
    <w:rsid w:val="00574A6E"/>
    <w:rsid w:val="00574F90"/>
    <w:rsid w:val="00575439"/>
    <w:rsid w:val="00576A67"/>
    <w:rsid w:val="00576D00"/>
    <w:rsid w:val="00576DB8"/>
    <w:rsid w:val="00577084"/>
    <w:rsid w:val="00577145"/>
    <w:rsid w:val="005772A9"/>
    <w:rsid w:val="005773BE"/>
    <w:rsid w:val="00580458"/>
    <w:rsid w:val="005806D5"/>
    <w:rsid w:val="00580735"/>
    <w:rsid w:val="00580C23"/>
    <w:rsid w:val="00581504"/>
    <w:rsid w:val="00581A11"/>
    <w:rsid w:val="00581A6F"/>
    <w:rsid w:val="00581EE7"/>
    <w:rsid w:val="00582365"/>
    <w:rsid w:val="00582572"/>
    <w:rsid w:val="00582C6F"/>
    <w:rsid w:val="00583BFD"/>
    <w:rsid w:val="00584101"/>
    <w:rsid w:val="00584249"/>
    <w:rsid w:val="00584C52"/>
    <w:rsid w:val="00584CB2"/>
    <w:rsid w:val="00584E44"/>
    <w:rsid w:val="005853DA"/>
    <w:rsid w:val="005854E1"/>
    <w:rsid w:val="00585659"/>
    <w:rsid w:val="00585ACA"/>
    <w:rsid w:val="00585C1B"/>
    <w:rsid w:val="00586983"/>
    <w:rsid w:val="00586AE0"/>
    <w:rsid w:val="00586F12"/>
    <w:rsid w:val="00587059"/>
    <w:rsid w:val="005874BA"/>
    <w:rsid w:val="00587639"/>
    <w:rsid w:val="0058767A"/>
    <w:rsid w:val="005879D5"/>
    <w:rsid w:val="005903A2"/>
    <w:rsid w:val="0059090B"/>
    <w:rsid w:val="00590F87"/>
    <w:rsid w:val="005920EA"/>
    <w:rsid w:val="00592638"/>
    <w:rsid w:val="00592B76"/>
    <w:rsid w:val="00592B9B"/>
    <w:rsid w:val="00593138"/>
    <w:rsid w:val="00593447"/>
    <w:rsid w:val="005935E3"/>
    <w:rsid w:val="00593A33"/>
    <w:rsid w:val="00593D1D"/>
    <w:rsid w:val="005947B5"/>
    <w:rsid w:val="00594990"/>
    <w:rsid w:val="005952DA"/>
    <w:rsid w:val="005954B3"/>
    <w:rsid w:val="005956F2"/>
    <w:rsid w:val="00595F79"/>
    <w:rsid w:val="005960BB"/>
    <w:rsid w:val="005960CD"/>
    <w:rsid w:val="005963C8"/>
    <w:rsid w:val="00596659"/>
    <w:rsid w:val="00596F7F"/>
    <w:rsid w:val="00596F84"/>
    <w:rsid w:val="00597196"/>
    <w:rsid w:val="00597407"/>
    <w:rsid w:val="005975F1"/>
    <w:rsid w:val="005978AC"/>
    <w:rsid w:val="005A0496"/>
    <w:rsid w:val="005A087C"/>
    <w:rsid w:val="005A0DC7"/>
    <w:rsid w:val="005A0F58"/>
    <w:rsid w:val="005A134D"/>
    <w:rsid w:val="005A18C0"/>
    <w:rsid w:val="005A1BAB"/>
    <w:rsid w:val="005A2208"/>
    <w:rsid w:val="005A2311"/>
    <w:rsid w:val="005A24BF"/>
    <w:rsid w:val="005A2973"/>
    <w:rsid w:val="005A31E5"/>
    <w:rsid w:val="005A3283"/>
    <w:rsid w:val="005A32B4"/>
    <w:rsid w:val="005A3367"/>
    <w:rsid w:val="005A340E"/>
    <w:rsid w:val="005A4047"/>
    <w:rsid w:val="005A4384"/>
    <w:rsid w:val="005A4654"/>
    <w:rsid w:val="005A4F15"/>
    <w:rsid w:val="005A528D"/>
    <w:rsid w:val="005A548B"/>
    <w:rsid w:val="005A5697"/>
    <w:rsid w:val="005A5FC6"/>
    <w:rsid w:val="005A7007"/>
    <w:rsid w:val="005A7012"/>
    <w:rsid w:val="005A70BC"/>
    <w:rsid w:val="005A727A"/>
    <w:rsid w:val="005A7548"/>
    <w:rsid w:val="005A794E"/>
    <w:rsid w:val="005A7A5E"/>
    <w:rsid w:val="005A7EE9"/>
    <w:rsid w:val="005B0094"/>
    <w:rsid w:val="005B0374"/>
    <w:rsid w:val="005B06C5"/>
    <w:rsid w:val="005B0A3E"/>
    <w:rsid w:val="005B122A"/>
    <w:rsid w:val="005B1BAF"/>
    <w:rsid w:val="005B1C07"/>
    <w:rsid w:val="005B1D47"/>
    <w:rsid w:val="005B2A5B"/>
    <w:rsid w:val="005B30E9"/>
    <w:rsid w:val="005B317B"/>
    <w:rsid w:val="005B3352"/>
    <w:rsid w:val="005B3432"/>
    <w:rsid w:val="005B3873"/>
    <w:rsid w:val="005B3A64"/>
    <w:rsid w:val="005B3BD6"/>
    <w:rsid w:val="005B464F"/>
    <w:rsid w:val="005B4778"/>
    <w:rsid w:val="005B4CF4"/>
    <w:rsid w:val="005B5586"/>
    <w:rsid w:val="005B5878"/>
    <w:rsid w:val="005B5A99"/>
    <w:rsid w:val="005B5B6E"/>
    <w:rsid w:val="005B701E"/>
    <w:rsid w:val="005B7D6C"/>
    <w:rsid w:val="005C02B6"/>
    <w:rsid w:val="005C147D"/>
    <w:rsid w:val="005C1AFF"/>
    <w:rsid w:val="005C1BEE"/>
    <w:rsid w:val="005C242F"/>
    <w:rsid w:val="005C24BF"/>
    <w:rsid w:val="005C2C89"/>
    <w:rsid w:val="005C3389"/>
    <w:rsid w:val="005C3A85"/>
    <w:rsid w:val="005C3B2C"/>
    <w:rsid w:val="005C45C6"/>
    <w:rsid w:val="005C46AA"/>
    <w:rsid w:val="005C4BBD"/>
    <w:rsid w:val="005C4DDB"/>
    <w:rsid w:val="005C51C3"/>
    <w:rsid w:val="005C7002"/>
    <w:rsid w:val="005C7215"/>
    <w:rsid w:val="005C73C4"/>
    <w:rsid w:val="005C758F"/>
    <w:rsid w:val="005C7DA0"/>
    <w:rsid w:val="005C7E47"/>
    <w:rsid w:val="005C7FEB"/>
    <w:rsid w:val="005D00EA"/>
    <w:rsid w:val="005D023B"/>
    <w:rsid w:val="005D02C4"/>
    <w:rsid w:val="005D0521"/>
    <w:rsid w:val="005D0919"/>
    <w:rsid w:val="005D10A3"/>
    <w:rsid w:val="005D1577"/>
    <w:rsid w:val="005D1D1B"/>
    <w:rsid w:val="005D1DC5"/>
    <w:rsid w:val="005D2304"/>
    <w:rsid w:val="005D2362"/>
    <w:rsid w:val="005D257F"/>
    <w:rsid w:val="005D3A04"/>
    <w:rsid w:val="005D4273"/>
    <w:rsid w:val="005D485C"/>
    <w:rsid w:val="005D48FE"/>
    <w:rsid w:val="005D561C"/>
    <w:rsid w:val="005D5810"/>
    <w:rsid w:val="005D59D0"/>
    <w:rsid w:val="005D5DB9"/>
    <w:rsid w:val="005D64CD"/>
    <w:rsid w:val="005D6AE6"/>
    <w:rsid w:val="005D6CA2"/>
    <w:rsid w:val="005D7471"/>
    <w:rsid w:val="005D749D"/>
    <w:rsid w:val="005D7F42"/>
    <w:rsid w:val="005E0279"/>
    <w:rsid w:val="005E09C7"/>
    <w:rsid w:val="005E0A5D"/>
    <w:rsid w:val="005E182F"/>
    <w:rsid w:val="005E1C3C"/>
    <w:rsid w:val="005E1F81"/>
    <w:rsid w:val="005E2702"/>
    <w:rsid w:val="005E3107"/>
    <w:rsid w:val="005E39D4"/>
    <w:rsid w:val="005E3B6F"/>
    <w:rsid w:val="005E3F98"/>
    <w:rsid w:val="005E43B5"/>
    <w:rsid w:val="005E46B7"/>
    <w:rsid w:val="005E49B5"/>
    <w:rsid w:val="005E4B28"/>
    <w:rsid w:val="005E535D"/>
    <w:rsid w:val="005E54DA"/>
    <w:rsid w:val="005E5595"/>
    <w:rsid w:val="005E5874"/>
    <w:rsid w:val="005E5BE2"/>
    <w:rsid w:val="005E6C83"/>
    <w:rsid w:val="005E73CE"/>
    <w:rsid w:val="005E75D5"/>
    <w:rsid w:val="005E7BF6"/>
    <w:rsid w:val="005F0E5F"/>
    <w:rsid w:val="005F1555"/>
    <w:rsid w:val="005F1955"/>
    <w:rsid w:val="005F1C43"/>
    <w:rsid w:val="005F22DB"/>
    <w:rsid w:val="005F2978"/>
    <w:rsid w:val="005F2ABF"/>
    <w:rsid w:val="005F2D8C"/>
    <w:rsid w:val="005F384B"/>
    <w:rsid w:val="005F3866"/>
    <w:rsid w:val="005F417B"/>
    <w:rsid w:val="005F44CD"/>
    <w:rsid w:val="005F465B"/>
    <w:rsid w:val="005F4721"/>
    <w:rsid w:val="005F49E4"/>
    <w:rsid w:val="005F567C"/>
    <w:rsid w:val="005F5DA3"/>
    <w:rsid w:val="005F69DD"/>
    <w:rsid w:val="005F720A"/>
    <w:rsid w:val="005F729E"/>
    <w:rsid w:val="005F74D0"/>
    <w:rsid w:val="006001A1"/>
    <w:rsid w:val="00600551"/>
    <w:rsid w:val="00602F43"/>
    <w:rsid w:val="006032C9"/>
    <w:rsid w:val="00603369"/>
    <w:rsid w:val="00603B08"/>
    <w:rsid w:val="00603E8E"/>
    <w:rsid w:val="00603FE8"/>
    <w:rsid w:val="0060435D"/>
    <w:rsid w:val="006044DD"/>
    <w:rsid w:val="00605069"/>
    <w:rsid w:val="00605309"/>
    <w:rsid w:val="00605776"/>
    <w:rsid w:val="0060599C"/>
    <w:rsid w:val="00605A3B"/>
    <w:rsid w:val="00605D2B"/>
    <w:rsid w:val="00606067"/>
    <w:rsid w:val="00606875"/>
    <w:rsid w:val="006078FC"/>
    <w:rsid w:val="00610162"/>
    <w:rsid w:val="00610416"/>
    <w:rsid w:val="00610ABA"/>
    <w:rsid w:val="00610AC7"/>
    <w:rsid w:val="00611ADE"/>
    <w:rsid w:val="00611FA5"/>
    <w:rsid w:val="00612070"/>
    <w:rsid w:val="00612701"/>
    <w:rsid w:val="00612C3A"/>
    <w:rsid w:val="00613037"/>
    <w:rsid w:val="00613126"/>
    <w:rsid w:val="006135AB"/>
    <w:rsid w:val="006138E4"/>
    <w:rsid w:val="006140AF"/>
    <w:rsid w:val="006144F6"/>
    <w:rsid w:val="006145D7"/>
    <w:rsid w:val="00614B5A"/>
    <w:rsid w:val="00614B68"/>
    <w:rsid w:val="00614BB8"/>
    <w:rsid w:val="00614EA5"/>
    <w:rsid w:val="00614FF1"/>
    <w:rsid w:val="00615A7E"/>
    <w:rsid w:val="00615BC0"/>
    <w:rsid w:val="00615FE5"/>
    <w:rsid w:val="00616407"/>
    <w:rsid w:val="00616CC9"/>
    <w:rsid w:val="0061747A"/>
    <w:rsid w:val="006174CE"/>
    <w:rsid w:val="00620255"/>
    <w:rsid w:val="0062064E"/>
    <w:rsid w:val="00620E5A"/>
    <w:rsid w:val="006213F9"/>
    <w:rsid w:val="006218E7"/>
    <w:rsid w:val="00622111"/>
    <w:rsid w:val="006223C2"/>
    <w:rsid w:val="006224D4"/>
    <w:rsid w:val="006227A3"/>
    <w:rsid w:val="006227C8"/>
    <w:rsid w:val="00624017"/>
    <w:rsid w:val="00624018"/>
    <w:rsid w:val="006242D5"/>
    <w:rsid w:val="006243B1"/>
    <w:rsid w:val="00624768"/>
    <w:rsid w:val="0062482E"/>
    <w:rsid w:val="00625096"/>
    <w:rsid w:val="006250E9"/>
    <w:rsid w:val="006257F8"/>
    <w:rsid w:val="00625930"/>
    <w:rsid w:val="00625B80"/>
    <w:rsid w:val="00625C5D"/>
    <w:rsid w:val="00625F21"/>
    <w:rsid w:val="00626808"/>
    <w:rsid w:val="006270AB"/>
    <w:rsid w:val="00627470"/>
    <w:rsid w:val="006279E2"/>
    <w:rsid w:val="00627EA0"/>
    <w:rsid w:val="00630039"/>
    <w:rsid w:val="0063057E"/>
    <w:rsid w:val="006316DA"/>
    <w:rsid w:val="0063181D"/>
    <w:rsid w:val="00631A68"/>
    <w:rsid w:val="00631E1C"/>
    <w:rsid w:val="00633496"/>
    <w:rsid w:val="006335AE"/>
    <w:rsid w:val="00633B2F"/>
    <w:rsid w:val="0063419D"/>
    <w:rsid w:val="0063486D"/>
    <w:rsid w:val="00635379"/>
    <w:rsid w:val="0063537D"/>
    <w:rsid w:val="0063553E"/>
    <w:rsid w:val="0063573E"/>
    <w:rsid w:val="00635964"/>
    <w:rsid w:val="006360D1"/>
    <w:rsid w:val="0063637C"/>
    <w:rsid w:val="00636F53"/>
    <w:rsid w:val="006375E5"/>
    <w:rsid w:val="0063770E"/>
    <w:rsid w:val="0064026B"/>
    <w:rsid w:val="006405B0"/>
    <w:rsid w:val="006405EF"/>
    <w:rsid w:val="00640C31"/>
    <w:rsid w:val="00640D4A"/>
    <w:rsid w:val="00640DAD"/>
    <w:rsid w:val="00641737"/>
    <w:rsid w:val="00641EEF"/>
    <w:rsid w:val="00641FD4"/>
    <w:rsid w:val="006420CF"/>
    <w:rsid w:val="0064218A"/>
    <w:rsid w:val="00642BE5"/>
    <w:rsid w:val="0064300A"/>
    <w:rsid w:val="00643226"/>
    <w:rsid w:val="00643B3E"/>
    <w:rsid w:val="00644505"/>
    <w:rsid w:val="006447FC"/>
    <w:rsid w:val="00644825"/>
    <w:rsid w:val="0064529F"/>
    <w:rsid w:val="00645834"/>
    <w:rsid w:val="0064583B"/>
    <w:rsid w:val="006459EF"/>
    <w:rsid w:val="0064650C"/>
    <w:rsid w:val="006465F3"/>
    <w:rsid w:val="00646923"/>
    <w:rsid w:val="00646EA2"/>
    <w:rsid w:val="006471AA"/>
    <w:rsid w:val="0064730C"/>
    <w:rsid w:val="0064764E"/>
    <w:rsid w:val="006479A8"/>
    <w:rsid w:val="00650149"/>
    <w:rsid w:val="00650B21"/>
    <w:rsid w:val="00651355"/>
    <w:rsid w:val="006514D5"/>
    <w:rsid w:val="00651AEB"/>
    <w:rsid w:val="00651CBB"/>
    <w:rsid w:val="006528FA"/>
    <w:rsid w:val="00652DE0"/>
    <w:rsid w:val="00652E33"/>
    <w:rsid w:val="0065334B"/>
    <w:rsid w:val="006534BF"/>
    <w:rsid w:val="006537D7"/>
    <w:rsid w:val="00653EA8"/>
    <w:rsid w:val="0065444A"/>
    <w:rsid w:val="00654D51"/>
    <w:rsid w:val="00654E1F"/>
    <w:rsid w:val="00654F68"/>
    <w:rsid w:val="00655557"/>
    <w:rsid w:val="00655626"/>
    <w:rsid w:val="006557EF"/>
    <w:rsid w:val="00655C74"/>
    <w:rsid w:val="00655CF9"/>
    <w:rsid w:val="00655D45"/>
    <w:rsid w:val="00655F6A"/>
    <w:rsid w:val="00656E82"/>
    <w:rsid w:val="0065714C"/>
    <w:rsid w:val="006571AF"/>
    <w:rsid w:val="00657963"/>
    <w:rsid w:val="00660A74"/>
    <w:rsid w:val="00660B3E"/>
    <w:rsid w:val="00660B7C"/>
    <w:rsid w:val="00661E25"/>
    <w:rsid w:val="00661F7C"/>
    <w:rsid w:val="006620E7"/>
    <w:rsid w:val="00662425"/>
    <w:rsid w:val="0066246E"/>
    <w:rsid w:val="00662BFE"/>
    <w:rsid w:val="00662E5F"/>
    <w:rsid w:val="00662FCD"/>
    <w:rsid w:val="00662FEC"/>
    <w:rsid w:val="0066301E"/>
    <w:rsid w:val="006639D9"/>
    <w:rsid w:val="00663ADD"/>
    <w:rsid w:val="00663CC5"/>
    <w:rsid w:val="006640B8"/>
    <w:rsid w:val="0066436D"/>
    <w:rsid w:val="00664434"/>
    <w:rsid w:val="006645E7"/>
    <w:rsid w:val="006648C2"/>
    <w:rsid w:val="00664B15"/>
    <w:rsid w:val="00665602"/>
    <w:rsid w:val="0066561F"/>
    <w:rsid w:val="00665B94"/>
    <w:rsid w:val="00666A58"/>
    <w:rsid w:val="006672E6"/>
    <w:rsid w:val="0067062C"/>
    <w:rsid w:val="00670650"/>
    <w:rsid w:val="00670782"/>
    <w:rsid w:val="006709B5"/>
    <w:rsid w:val="00670AAC"/>
    <w:rsid w:val="00670E87"/>
    <w:rsid w:val="006712C0"/>
    <w:rsid w:val="006712F6"/>
    <w:rsid w:val="00671ABE"/>
    <w:rsid w:val="0067203D"/>
    <w:rsid w:val="006743F4"/>
    <w:rsid w:val="006744AC"/>
    <w:rsid w:val="006749BF"/>
    <w:rsid w:val="00674C7D"/>
    <w:rsid w:val="006759B8"/>
    <w:rsid w:val="00675B19"/>
    <w:rsid w:val="00675D16"/>
    <w:rsid w:val="00675D70"/>
    <w:rsid w:val="0067664B"/>
    <w:rsid w:val="00677EDD"/>
    <w:rsid w:val="00680A80"/>
    <w:rsid w:val="00680B40"/>
    <w:rsid w:val="00681C41"/>
    <w:rsid w:val="00681EC9"/>
    <w:rsid w:val="006822FA"/>
    <w:rsid w:val="00682493"/>
    <w:rsid w:val="00682497"/>
    <w:rsid w:val="006825E3"/>
    <w:rsid w:val="0068288C"/>
    <w:rsid w:val="006836E5"/>
    <w:rsid w:val="00683F36"/>
    <w:rsid w:val="00683F6D"/>
    <w:rsid w:val="006846D7"/>
    <w:rsid w:val="0068471B"/>
    <w:rsid w:val="00684B5F"/>
    <w:rsid w:val="00685351"/>
    <w:rsid w:val="00685589"/>
    <w:rsid w:val="006855E9"/>
    <w:rsid w:val="00685BA1"/>
    <w:rsid w:val="00685D8D"/>
    <w:rsid w:val="00685EFE"/>
    <w:rsid w:val="00685FB9"/>
    <w:rsid w:val="00686159"/>
    <w:rsid w:val="00686175"/>
    <w:rsid w:val="00686639"/>
    <w:rsid w:val="0068682C"/>
    <w:rsid w:val="00686832"/>
    <w:rsid w:val="00687335"/>
    <w:rsid w:val="006875BB"/>
    <w:rsid w:val="00687801"/>
    <w:rsid w:val="0069042C"/>
    <w:rsid w:val="0069048B"/>
    <w:rsid w:val="00691BD4"/>
    <w:rsid w:val="00691D63"/>
    <w:rsid w:val="00691EDA"/>
    <w:rsid w:val="00691EDC"/>
    <w:rsid w:val="00693334"/>
    <w:rsid w:val="00693714"/>
    <w:rsid w:val="006938AA"/>
    <w:rsid w:val="006944D9"/>
    <w:rsid w:val="00694588"/>
    <w:rsid w:val="0069474B"/>
    <w:rsid w:val="0069475D"/>
    <w:rsid w:val="0069479B"/>
    <w:rsid w:val="00694C75"/>
    <w:rsid w:val="00694C9C"/>
    <w:rsid w:val="0069551B"/>
    <w:rsid w:val="006957D8"/>
    <w:rsid w:val="006960DD"/>
    <w:rsid w:val="00696210"/>
    <w:rsid w:val="006966A8"/>
    <w:rsid w:val="00696CC9"/>
    <w:rsid w:val="00696D39"/>
    <w:rsid w:val="0069758D"/>
    <w:rsid w:val="0069773E"/>
    <w:rsid w:val="006977B4"/>
    <w:rsid w:val="00697966"/>
    <w:rsid w:val="00697A22"/>
    <w:rsid w:val="00697ABB"/>
    <w:rsid w:val="00697E53"/>
    <w:rsid w:val="006A026F"/>
    <w:rsid w:val="006A0F2D"/>
    <w:rsid w:val="006A1328"/>
    <w:rsid w:val="006A1473"/>
    <w:rsid w:val="006A1590"/>
    <w:rsid w:val="006A1696"/>
    <w:rsid w:val="006A1849"/>
    <w:rsid w:val="006A197E"/>
    <w:rsid w:val="006A22B9"/>
    <w:rsid w:val="006A2DE8"/>
    <w:rsid w:val="006A2DF2"/>
    <w:rsid w:val="006A2FFD"/>
    <w:rsid w:val="006A3323"/>
    <w:rsid w:val="006A372B"/>
    <w:rsid w:val="006A38E6"/>
    <w:rsid w:val="006A3A2B"/>
    <w:rsid w:val="006A3B0F"/>
    <w:rsid w:val="006A493E"/>
    <w:rsid w:val="006A4F19"/>
    <w:rsid w:val="006A55FE"/>
    <w:rsid w:val="006A5658"/>
    <w:rsid w:val="006A5A0D"/>
    <w:rsid w:val="006A5EAC"/>
    <w:rsid w:val="006A66DF"/>
    <w:rsid w:val="006A679C"/>
    <w:rsid w:val="006A6BF1"/>
    <w:rsid w:val="006A6C27"/>
    <w:rsid w:val="006A71B8"/>
    <w:rsid w:val="006A75FD"/>
    <w:rsid w:val="006A77C4"/>
    <w:rsid w:val="006A7AB7"/>
    <w:rsid w:val="006A7D59"/>
    <w:rsid w:val="006B02E5"/>
    <w:rsid w:val="006B03A4"/>
    <w:rsid w:val="006B03EF"/>
    <w:rsid w:val="006B0704"/>
    <w:rsid w:val="006B14C3"/>
    <w:rsid w:val="006B1695"/>
    <w:rsid w:val="006B19A8"/>
    <w:rsid w:val="006B1A13"/>
    <w:rsid w:val="006B1FB0"/>
    <w:rsid w:val="006B2963"/>
    <w:rsid w:val="006B3032"/>
    <w:rsid w:val="006B39E5"/>
    <w:rsid w:val="006B4562"/>
    <w:rsid w:val="006B4738"/>
    <w:rsid w:val="006B4B4A"/>
    <w:rsid w:val="006B5F98"/>
    <w:rsid w:val="006B646C"/>
    <w:rsid w:val="006B675D"/>
    <w:rsid w:val="006B7021"/>
    <w:rsid w:val="006B75C6"/>
    <w:rsid w:val="006B76AE"/>
    <w:rsid w:val="006B7E76"/>
    <w:rsid w:val="006B7ED3"/>
    <w:rsid w:val="006C021B"/>
    <w:rsid w:val="006C09B4"/>
    <w:rsid w:val="006C0A57"/>
    <w:rsid w:val="006C13EF"/>
    <w:rsid w:val="006C1E0E"/>
    <w:rsid w:val="006C2158"/>
    <w:rsid w:val="006C2372"/>
    <w:rsid w:val="006C354C"/>
    <w:rsid w:val="006C3595"/>
    <w:rsid w:val="006C3797"/>
    <w:rsid w:val="006C37D5"/>
    <w:rsid w:val="006C3B76"/>
    <w:rsid w:val="006C3EF5"/>
    <w:rsid w:val="006C4037"/>
    <w:rsid w:val="006C4049"/>
    <w:rsid w:val="006C4572"/>
    <w:rsid w:val="006C4A5A"/>
    <w:rsid w:val="006C4FC1"/>
    <w:rsid w:val="006C5AA1"/>
    <w:rsid w:val="006C5C4D"/>
    <w:rsid w:val="006C5D26"/>
    <w:rsid w:val="006C6104"/>
    <w:rsid w:val="006C6754"/>
    <w:rsid w:val="006C6780"/>
    <w:rsid w:val="006C69FC"/>
    <w:rsid w:val="006C6B99"/>
    <w:rsid w:val="006C7B03"/>
    <w:rsid w:val="006C7FAE"/>
    <w:rsid w:val="006D043E"/>
    <w:rsid w:val="006D0EC2"/>
    <w:rsid w:val="006D12D0"/>
    <w:rsid w:val="006D191C"/>
    <w:rsid w:val="006D1A34"/>
    <w:rsid w:val="006D1B4E"/>
    <w:rsid w:val="006D20D2"/>
    <w:rsid w:val="006D28E2"/>
    <w:rsid w:val="006D2DA6"/>
    <w:rsid w:val="006D325E"/>
    <w:rsid w:val="006D3DC6"/>
    <w:rsid w:val="006D3E3C"/>
    <w:rsid w:val="006D3F05"/>
    <w:rsid w:val="006D43DC"/>
    <w:rsid w:val="006D4C72"/>
    <w:rsid w:val="006D4E4C"/>
    <w:rsid w:val="006D5585"/>
    <w:rsid w:val="006D5C2E"/>
    <w:rsid w:val="006D5F76"/>
    <w:rsid w:val="006D6529"/>
    <w:rsid w:val="006D67E2"/>
    <w:rsid w:val="006D6903"/>
    <w:rsid w:val="006D6A84"/>
    <w:rsid w:val="006D6D96"/>
    <w:rsid w:val="006D6E00"/>
    <w:rsid w:val="006D7211"/>
    <w:rsid w:val="006D7358"/>
    <w:rsid w:val="006D75C8"/>
    <w:rsid w:val="006D7667"/>
    <w:rsid w:val="006D769A"/>
    <w:rsid w:val="006D7837"/>
    <w:rsid w:val="006D7DFD"/>
    <w:rsid w:val="006E0899"/>
    <w:rsid w:val="006E0C92"/>
    <w:rsid w:val="006E1725"/>
    <w:rsid w:val="006E2070"/>
    <w:rsid w:val="006E2261"/>
    <w:rsid w:val="006E22BC"/>
    <w:rsid w:val="006E23CD"/>
    <w:rsid w:val="006E240E"/>
    <w:rsid w:val="006E2775"/>
    <w:rsid w:val="006E3215"/>
    <w:rsid w:val="006E327D"/>
    <w:rsid w:val="006E33CB"/>
    <w:rsid w:val="006E37A6"/>
    <w:rsid w:val="006E38F8"/>
    <w:rsid w:val="006E3B09"/>
    <w:rsid w:val="006E45CA"/>
    <w:rsid w:val="006E45F8"/>
    <w:rsid w:val="006E56FC"/>
    <w:rsid w:val="006E57CD"/>
    <w:rsid w:val="006E5883"/>
    <w:rsid w:val="006E593F"/>
    <w:rsid w:val="006E620C"/>
    <w:rsid w:val="006E6AC6"/>
    <w:rsid w:val="006E6B23"/>
    <w:rsid w:val="006E7810"/>
    <w:rsid w:val="006E7C19"/>
    <w:rsid w:val="006F00BE"/>
    <w:rsid w:val="006F014C"/>
    <w:rsid w:val="006F06B3"/>
    <w:rsid w:val="006F0B6B"/>
    <w:rsid w:val="006F0D46"/>
    <w:rsid w:val="006F2059"/>
    <w:rsid w:val="006F23DD"/>
    <w:rsid w:val="006F3A2E"/>
    <w:rsid w:val="006F3AC9"/>
    <w:rsid w:val="006F4069"/>
    <w:rsid w:val="006F45BD"/>
    <w:rsid w:val="006F464D"/>
    <w:rsid w:val="006F4E5D"/>
    <w:rsid w:val="006F5158"/>
    <w:rsid w:val="006F527C"/>
    <w:rsid w:val="006F59BC"/>
    <w:rsid w:val="006F59F0"/>
    <w:rsid w:val="006F5A8A"/>
    <w:rsid w:val="006F5B2C"/>
    <w:rsid w:val="006F62C9"/>
    <w:rsid w:val="006F6B4D"/>
    <w:rsid w:val="006F7584"/>
    <w:rsid w:val="006F768A"/>
    <w:rsid w:val="006F771C"/>
    <w:rsid w:val="006F7F77"/>
    <w:rsid w:val="0070031D"/>
    <w:rsid w:val="007008EF"/>
    <w:rsid w:val="00700950"/>
    <w:rsid w:val="00700EFE"/>
    <w:rsid w:val="00701136"/>
    <w:rsid w:val="00701C68"/>
    <w:rsid w:val="00701F53"/>
    <w:rsid w:val="00702CC9"/>
    <w:rsid w:val="00702EF0"/>
    <w:rsid w:val="0070319A"/>
    <w:rsid w:val="00703CB4"/>
    <w:rsid w:val="00703D8D"/>
    <w:rsid w:val="007042BB"/>
    <w:rsid w:val="00704569"/>
    <w:rsid w:val="00704944"/>
    <w:rsid w:val="007054CC"/>
    <w:rsid w:val="00705C6E"/>
    <w:rsid w:val="007060F0"/>
    <w:rsid w:val="00706335"/>
    <w:rsid w:val="00706568"/>
    <w:rsid w:val="0070724D"/>
    <w:rsid w:val="00707C18"/>
    <w:rsid w:val="00707D0F"/>
    <w:rsid w:val="007103A9"/>
    <w:rsid w:val="007111C8"/>
    <w:rsid w:val="00711248"/>
    <w:rsid w:val="007112AD"/>
    <w:rsid w:val="007118AC"/>
    <w:rsid w:val="00711D13"/>
    <w:rsid w:val="007123BA"/>
    <w:rsid w:val="00712431"/>
    <w:rsid w:val="00712B8E"/>
    <w:rsid w:val="00713264"/>
    <w:rsid w:val="00713771"/>
    <w:rsid w:val="00713CAC"/>
    <w:rsid w:val="00713CD4"/>
    <w:rsid w:val="00713D41"/>
    <w:rsid w:val="00713F0B"/>
    <w:rsid w:val="007151E0"/>
    <w:rsid w:val="00715727"/>
    <w:rsid w:val="00715A81"/>
    <w:rsid w:val="007161DC"/>
    <w:rsid w:val="00716376"/>
    <w:rsid w:val="00716AD2"/>
    <w:rsid w:val="00716CE5"/>
    <w:rsid w:val="0071747B"/>
    <w:rsid w:val="0071797E"/>
    <w:rsid w:val="00717CDB"/>
    <w:rsid w:val="0072034E"/>
    <w:rsid w:val="007203CA"/>
    <w:rsid w:val="0072066F"/>
    <w:rsid w:val="00720696"/>
    <w:rsid w:val="0072096F"/>
    <w:rsid w:val="007209AD"/>
    <w:rsid w:val="007218B0"/>
    <w:rsid w:val="00721935"/>
    <w:rsid w:val="00721994"/>
    <w:rsid w:val="00721F05"/>
    <w:rsid w:val="0072242F"/>
    <w:rsid w:val="007226F5"/>
    <w:rsid w:val="00722714"/>
    <w:rsid w:val="00722C0A"/>
    <w:rsid w:val="00723AE6"/>
    <w:rsid w:val="00723B2C"/>
    <w:rsid w:val="00723FCA"/>
    <w:rsid w:val="00724319"/>
    <w:rsid w:val="00724ED0"/>
    <w:rsid w:val="00724F5D"/>
    <w:rsid w:val="00724F92"/>
    <w:rsid w:val="00725373"/>
    <w:rsid w:val="007253D6"/>
    <w:rsid w:val="0072578A"/>
    <w:rsid w:val="0072597A"/>
    <w:rsid w:val="0072628F"/>
    <w:rsid w:val="00726372"/>
    <w:rsid w:val="00726B78"/>
    <w:rsid w:val="007275B9"/>
    <w:rsid w:val="007277CD"/>
    <w:rsid w:val="00727853"/>
    <w:rsid w:val="00727A65"/>
    <w:rsid w:val="00727C3E"/>
    <w:rsid w:val="00727C89"/>
    <w:rsid w:val="00727CF4"/>
    <w:rsid w:val="00727E5E"/>
    <w:rsid w:val="00727F8C"/>
    <w:rsid w:val="00730F68"/>
    <w:rsid w:val="00731BD4"/>
    <w:rsid w:val="00731C42"/>
    <w:rsid w:val="0073210C"/>
    <w:rsid w:val="0073255A"/>
    <w:rsid w:val="00732BE8"/>
    <w:rsid w:val="00732D77"/>
    <w:rsid w:val="00732F6C"/>
    <w:rsid w:val="00732FB0"/>
    <w:rsid w:val="007330A7"/>
    <w:rsid w:val="007333B0"/>
    <w:rsid w:val="00733560"/>
    <w:rsid w:val="0073374E"/>
    <w:rsid w:val="0073387D"/>
    <w:rsid w:val="0073440D"/>
    <w:rsid w:val="00734788"/>
    <w:rsid w:val="00734FC9"/>
    <w:rsid w:val="007350D3"/>
    <w:rsid w:val="00735A71"/>
    <w:rsid w:val="00736AA6"/>
    <w:rsid w:val="00736D92"/>
    <w:rsid w:val="00736E50"/>
    <w:rsid w:val="007373AF"/>
    <w:rsid w:val="00737623"/>
    <w:rsid w:val="00737846"/>
    <w:rsid w:val="0073792C"/>
    <w:rsid w:val="00737A68"/>
    <w:rsid w:val="007400D7"/>
    <w:rsid w:val="007407B7"/>
    <w:rsid w:val="007408F0"/>
    <w:rsid w:val="00740AF7"/>
    <w:rsid w:val="00740CB4"/>
    <w:rsid w:val="00741867"/>
    <w:rsid w:val="007422BF"/>
    <w:rsid w:val="0074257A"/>
    <w:rsid w:val="00742B3E"/>
    <w:rsid w:val="00742C59"/>
    <w:rsid w:val="00742FB8"/>
    <w:rsid w:val="0074351B"/>
    <w:rsid w:val="00743929"/>
    <w:rsid w:val="00743DBD"/>
    <w:rsid w:val="00744061"/>
    <w:rsid w:val="00744348"/>
    <w:rsid w:val="00744818"/>
    <w:rsid w:val="00744AB7"/>
    <w:rsid w:val="0074507C"/>
    <w:rsid w:val="007450C3"/>
    <w:rsid w:val="0074514C"/>
    <w:rsid w:val="0074565B"/>
    <w:rsid w:val="0074581F"/>
    <w:rsid w:val="00745A02"/>
    <w:rsid w:val="0074693F"/>
    <w:rsid w:val="00746BBE"/>
    <w:rsid w:val="00747198"/>
    <w:rsid w:val="00747434"/>
    <w:rsid w:val="0074771F"/>
    <w:rsid w:val="0074788B"/>
    <w:rsid w:val="00747947"/>
    <w:rsid w:val="00750383"/>
    <w:rsid w:val="00750CC5"/>
    <w:rsid w:val="00750F6B"/>
    <w:rsid w:val="0075137C"/>
    <w:rsid w:val="007514CD"/>
    <w:rsid w:val="00752AA8"/>
    <w:rsid w:val="00752B53"/>
    <w:rsid w:val="007537D1"/>
    <w:rsid w:val="0075381E"/>
    <w:rsid w:val="00753CB2"/>
    <w:rsid w:val="0075418A"/>
    <w:rsid w:val="00754B37"/>
    <w:rsid w:val="00755028"/>
    <w:rsid w:val="0075502D"/>
    <w:rsid w:val="007554B9"/>
    <w:rsid w:val="007559AB"/>
    <w:rsid w:val="00756872"/>
    <w:rsid w:val="00756C9B"/>
    <w:rsid w:val="0075745D"/>
    <w:rsid w:val="00757982"/>
    <w:rsid w:val="00757E19"/>
    <w:rsid w:val="0076002D"/>
    <w:rsid w:val="007605F8"/>
    <w:rsid w:val="00760701"/>
    <w:rsid w:val="00760948"/>
    <w:rsid w:val="00760B90"/>
    <w:rsid w:val="007613DC"/>
    <w:rsid w:val="00761DD4"/>
    <w:rsid w:val="00761ED2"/>
    <w:rsid w:val="0076249E"/>
    <w:rsid w:val="0076260D"/>
    <w:rsid w:val="00762E64"/>
    <w:rsid w:val="007633CD"/>
    <w:rsid w:val="00763529"/>
    <w:rsid w:val="00763AA0"/>
    <w:rsid w:val="00763ABF"/>
    <w:rsid w:val="00763B77"/>
    <w:rsid w:val="00763C65"/>
    <w:rsid w:val="00764826"/>
    <w:rsid w:val="00764D27"/>
    <w:rsid w:val="00764E65"/>
    <w:rsid w:val="00764EF6"/>
    <w:rsid w:val="00765337"/>
    <w:rsid w:val="007654F8"/>
    <w:rsid w:val="007655C5"/>
    <w:rsid w:val="0076590C"/>
    <w:rsid w:val="00766868"/>
    <w:rsid w:val="00766B78"/>
    <w:rsid w:val="00766D02"/>
    <w:rsid w:val="0076700D"/>
    <w:rsid w:val="0076702C"/>
    <w:rsid w:val="0076720C"/>
    <w:rsid w:val="00767E61"/>
    <w:rsid w:val="00767F6C"/>
    <w:rsid w:val="007706FB"/>
    <w:rsid w:val="007707FA"/>
    <w:rsid w:val="00770E38"/>
    <w:rsid w:val="007710C7"/>
    <w:rsid w:val="00771595"/>
    <w:rsid w:val="00771A04"/>
    <w:rsid w:val="00771D03"/>
    <w:rsid w:val="007725BF"/>
    <w:rsid w:val="00772829"/>
    <w:rsid w:val="007732FE"/>
    <w:rsid w:val="007734DC"/>
    <w:rsid w:val="0077396B"/>
    <w:rsid w:val="00773FCC"/>
    <w:rsid w:val="00774235"/>
    <w:rsid w:val="007745FB"/>
    <w:rsid w:val="007748EB"/>
    <w:rsid w:val="00774F43"/>
    <w:rsid w:val="00774FA0"/>
    <w:rsid w:val="00775342"/>
    <w:rsid w:val="00776323"/>
    <w:rsid w:val="00776523"/>
    <w:rsid w:val="0077723E"/>
    <w:rsid w:val="00777347"/>
    <w:rsid w:val="007775C8"/>
    <w:rsid w:val="0077773B"/>
    <w:rsid w:val="00777848"/>
    <w:rsid w:val="00777893"/>
    <w:rsid w:val="00777A78"/>
    <w:rsid w:val="0078013D"/>
    <w:rsid w:val="007802FA"/>
    <w:rsid w:val="0078034C"/>
    <w:rsid w:val="00780455"/>
    <w:rsid w:val="007805A8"/>
    <w:rsid w:val="00780820"/>
    <w:rsid w:val="007809CF"/>
    <w:rsid w:val="00780B71"/>
    <w:rsid w:val="00780C5B"/>
    <w:rsid w:val="00780C98"/>
    <w:rsid w:val="00782F9C"/>
    <w:rsid w:val="00783346"/>
    <w:rsid w:val="0078334D"/>
    <w:rsid w:val="00783400"/>
    <w:rsid w:val="00783574"/>
    <w:rsid w:val="0078373D"/>
    <w:rsid w:val="00783929"/>
    <w:rsid w:val="00784341"/>
    <w:rsid w:val="00784D2E"/>
    <w:rsid w:val="00785138"/>
    <w:rsid w:val="007852E9"/>
    <w:rsid w:val="00785901"/>
    <w:rsid w:val="00785A92"/>
    <w:rsid w:val="00785C61"/>
    <w:rsid w:val="0078720E"/>
    <w:rsid w:val="00787281"/>
    <w:rsid w:val="007872F2"/>
    <w:rsid w:val="00787D41"/>
    <w:rsid w:val="00790A92"/>
    <w:rsid w:val="00790B15"/>
    <w:rsid w:val="00790C49"/>
    <w:rsid w:val="00790F49"/>
    <w:rsid w:val="0079180C"/>
    <w:rsid w:val="00791C52"/>
    <w:rsid w:val="00791E18"/>
    <w:rsid w:val="00791EB6"/>
    <w:rsid w:val="007921C4"/>
    <w:rsid w:val="007922B6"/>
    <w:rsid w:val="007929F3"/>
    <w:rsid w:val="00792C00"/>
    <w:rsid w:val="007931CB"/>
    <w:rsid w:val="0079346A"/>
    <w:rsid w:val="00793934"/>
    <w:rsid w:val="007943BD"/>
    <w:rsid w:val="0079474A"/>
    <w:rsid w:val="00794835"/>
    <w:rsid w:val="00794CBC"/>
    <w:rsid w:val="00794E82"/>
    <w:rsid w:val="0079500D"/>
    <w:rsid w:val="007951D4"/>
    <w:rsid w:val="0079564F"/>
    <w:rsid w:val="00795BED"/>
    <w:rsid w:val="00795E5D"/>
    <w:rsid w:val="00796804"/>
    <w:rsid w:val="00796EA0"/>
    <w:rsid w:val="0079723A"/>
    <w:rsid w:val="00797C46"/>
    <w:rsid w:val="007A00AB"/>
    <w:rsid w:val="007A00B7"/>
    <w:rsid w:val="007A0D19"/>
    <w:rsid w:val="007A0FD4"/>
    <w:rsid w:val="007A19F6"/>
    <w:rsid w:val="007A1A5A"/>
    <w:rsid w:val="007A23F5"/>
    <w:rsid w:val="007A2802"/>
    <w:rsid w:val="007A287F"/>
    <w:rsid w:val="007A2B65"/>
    <w:rsid w:val="007A2D81"/>
    <w:rsid w:val="007A31DD"/>
    <w:rsid w:val="007A357A"/>
    <w:rsid w:val="007A3782"/>
    <w:rsid w:val="007A5617"/>
    <w:rsid w:val="007A58EA"/>
    <w:rsid w:val="007A59CB"/>
    <w:rsid w:val="007A5B99"/>
    <w:rsid w:val="007A6845"/>
    <w:rsid w:val="007A6B57"/>
    <w:rsid w:val="007A6ED2"/>
    <w:rsid w:val="007A7D01"/>
    <w:rsid w:val="007B0053"/>
    <w:rsid w:val="007B00E5"/>
    <w:rsid w:val="007B0245"/>
    <w:rsid w:val="007B0754"/>
    <w:rsid w:val="007B083F"/>
    <w:rsid w:val="007B0880"/>
    <w:rsid w:val="007B0A61"/>
    <w:rsid w:val="007B0A83"/>
    <w:rsid w:val="007B0C03"/>
    <w:rsid w:val="007B0D01"/>
    <w:rsid w:val="007B1A86"/>
    <w:rsid w:val="007B2085"/>
    <w:rsid w:val="007B2A6E"/>
    <w:rsid w:val="007B2FDC"/>
    <w:rsid w:val="007B38A0"/>
    <w:rsid w:val="007B38B7"/>
    <w:rsid w:val="007B3E49"/>
    <w:rsid w:val="007B4F7B"/>
    <w:rsid w:val="007B581A"/>
    <w:rsid w:val="007B583D"/>
    <w:rsid w:val="007B6684"/>
    <w:rsid w:val="007B6AB0"/>
    <w:rsid w:val="007B6B21"/>
    <w:rsid w:val="007B7024"/>
    <w:rsid w:val="007B72F2"/>
    <w:rsid w:val="007B756C"/>
    <w:rsid w:val="007B75FA"/>
    <w:rsid w:val="007B7B72"/>
    <w:rsid w:val="007B7D49"/>
    <w:rsid w:val="007C0229"/>
    <w:rsid w:val="007C0390"/>
    <w:rsid w:val="007C063A"/>
    <w:rsid w:val="007C06B2"/>
    <w:rsid w:val="007C097D"/>
    <w:rsid w:val="007C0F54"/>
    <w:rsid w:val="007C14A2"/>
    <w:rsid w:val="007C1865"/>
    <w:rsid w:val="007C1DB9"/>
    <w:rsid w:val="007C1F0C"/>
    <w:rsid w:val="007C2312"/>
    <w:rsid w:val="007C2641"/>
    <w:rsid w:val="007C269C"/>
    <w:rsid w:val="007C2704"/>
    <w:rsid w:val="007C29FA"/>
    <w:rsid w:val="007C300E"/>
    <w:rsid w:val="007C328D"/>
    <w:rsid w:val="007C336F"/>
    <w:rsid w:val="007C41B1"/>
    <w:rsid w:val="007C4267"/>
    <w:rsid w:val="007C512E"/>
    <w:rsid w:val="007C52A5"/>
    <w:rsid w:val="007C5BF2"/>
    <w:rsid w:val="007C5FAD"/>
    <w:rsid w:val="007C669C"/>
    <w:rsid w:val="007C7124"/>
    <w:rsid w:val="007C7126"/>
    <w:rsid w:val="007C748B"/>
    <w:rsid w:val="007C76EB"/>
    <w:rsid w:val="007C7B18"/>
    <w:rsid w:val="007C7BF3"/>
    <w:rsid w:val="007D0113"/>
    <w:rsid w:val="007D04A2"/>
    <w:rsid w:val="007D0761"/>
    <w:rsid w:val="007D081C"/>
    <w:rsid w:val="007D0FF3"/>
    <w:rsid w:val="007D141C"/>
    <w:rsid w:val="007D19BD"/>
    <w:rsid w:val="007D223C"/>
    <w:rsid w:val="007D2B0E"/>
    <w:rsid w:val="007D2DB7"/>
    <w:rsid w:val="007D2FFB"/>
    <w:rsid w:val="007D30B7"/>
    <w:rsid w:val="007D3449"/>
    <w:rsid w:val="007D3B43"/>
    <w:rsid w:val="007D42A0"/>
    <w:rsid w:val="007D451B"/>
    <w:rsid w:val="007D4CBE"/>
    <w:rsid w:val="007D4CCF"/>
    <w:rsid w:val="007D4D1A"/>
    <w:rsid w:val="007D50B2"/>
    <w:rsid w:val="007D5C63"/>
    <w:rsid w:val="007D5CB8"/>
    <w:rsid w:val="007D5CFF"/>
    <w:rsid w:val="007D5F8A"/>
    <w:rsid w:val="007D6E5E"/>
    <w:rsid w:val="007D728F"/>
    <w:rsid w:val="007D75BC"/>
    <w:rsid w:val="007D76DA"/>
    <w:rsid w:val="007D7CBC"/>
    <w:rsid w:val="007E092D"/>
    <w:rsid w:val="007E09E6"/>
    <w:rsid w:val="007E0C3E"/>
    <w:rsid w:val="007E0CFD"/>
    <w:rsid w:val="007E0D51"/>
    <w:rsid w:val="007E15AD"/>
    <w:rsid w:val="007E1F16"/>
    <w:rsid w:val="007E25ED"/>
    <w:rsid w:val="007E2AA2"/>
    <w:rsid w:val="007E2BC0"/>
    <w:rsid w:val="007E4682"/>
    <w:rsid w:val="007E5094"/>
    <w:rsid w:val="007E5864"/>
    <w:rsid w:val="007E58C1"/>
    <w:rsid w:val="007E5E9E"/>
    <w:rsid w:val="007E5FCE"/>
    <w:rsid w:val="007E61B0"/>
    <w:rsid w:val="007E650D"/>
    <w:rsid w:val="007E6B03"/>
    <w:rsid w:val="007E6C2C"/>
    <w:rsid w:val="007E6DE2"/>
    <w:rsid w:val="007E746D"/>
    <w:rsid w:val="007E7B14"/>
    <w:rsid w:val="007F006B"/>
    <w:rsid w:val="007F0BE5"/>
    <w:rsid w:val="007F1275"/>
    <w:rsid w:val="007F1699"/>
    <w:rsid w:val="007F2B01"/>
    <w:rsid w:val="007F2F93"/>
    <w:rsid w:val="007F399E"/>
    <w:rsid w:val="007F3B86"/>
    <w:rsid w:val="007F4274"/>
    <w:rsid w:val="007F449F"/>
    <w:rsid w:val="007F4CC0"/>
    <w:rsid w:val="007F4F64"/>
    <w:rsid w:val="007F5374"/>
    <w:rsid w:val="007F5EED"/>
    <w:rsid w:val="007F6557"/>
    <w:rsid w:val="007F65DA"/>
    <w:rsid w:val="007F67E9"/>
    <w:rsid w:val="007F6894"/>
    <w:rsid w:val="007F6C72"/>
    <w:rsid w:val="007F7568"/>
    <w:rsid w:val="007F7A45"/>
    <w:rsid w:val="007F7C7B"/>
    <w:rsid w:val="007F7DBC"/>
    <w:rsid w:val="008000ED"/>
    <w:rsid w:val="0080069A"/>
    <w:rsid w:val="00800AC9"/>
    <w:rsid w:val="00800B7F"/>
    <w:rsid w:val="00800FEA"/>
    <w:rsid w:val="008013C3"/>
    <w:rsid w:val="00801735"/>
    <w:rsid w:val="00801DE1"/>
    <w:rsid w:val="00801E61"/>
    <w:rsid w:val="00801EC9"/>
    <w:rsid w:val="00801F5A"/>
    <w:rsid w:val="0080207A"/>
    <w:rsid w:val="008021DE"/>
    <w:rsid w:val="008032F1"/>
    <w:rsid w:val="008034F2"/>
    <w:rsid w:val="008035F1"/>
    <w:rsid w:val="008040A2"/>
    <w:rsid w:val="00804632"/>
    <w:rsid w:val="0080466C"/>
    <w:rsid w:val="008046D5"/>
    <w:rsid w:val="00804DA1"/>
    <w:rsid w:val="008054D9"/>
    <w:rsid w:val="008065C9"/>
    <w:rsid w:val="00806688"/>
    <w:rsid w:val="0080704F"/>
    <w:rsid w:val="0080721B"/>
    <w:rsid w:val="008078DA"/>
    <w:rsid w:val="00807A3E"/>
    <w:rsid w:val="00807A4B"/>
    <w:rsid w:val="00807AAD"/>
    <w:rsid w:val="00807CCF"/>
    <w:rsid w:val="00810146"/>
    <w:rsid w:val="0081026C"/>
    <w:rsid w:val="00810338"/>
    <w:rsid w:val="00810360"/>
    <w:rsid w:val="00810420"/>
    <w:rsid w:val="008114EA"/>
    <w:rsid w:val="00812282"/>
    <w:rsid w:val="008125EE"/>
    <w:rsid w:val="0081299D"/>
    <w:rsid w:val="00812A93"/>
    <w:rsid w:val="008141EE"/>
    <w:rsid w:val="00814427"/>
    <w:rsid w:val="008148E4"/>
    <w:rsid w:val="00814BAA"/>
    <w:rsid w:val="00814D65"/>
    <w:rsid w:val="0081504B"/>
    <w:rsid w:val="00815160"/>
    <w:rsid w:val="008157F1"/>
    <w:rsid w:val="008164DA"/>
    <w:rsid w:val="008165E6"/>
    <w:rsid w:val="00816CBE"/>
    <w:rsid w:val="00816EC2"/>
    <w:rsid w:val="008172D8"/>
    <w:rsid w:val="008176D1"/>
    <w:rsid w:val="00817989"/>
    <w:rsid w:val="00817B82"/>
    <w:rsid w:val="00817D91"/>
    <w:rsid w:val="0082084F"/>
    <w:rsid w:val="00820A1D"/>
    <w:rsid w:val="00821009"/>
    <w:rsid w:val="00822182"/>
    <w:rsid w:val="0082227B"/>
    <w:rsid w:val="00823114"/>
    <w:rsid w:val="008235D4"/>
    <w:rsid w:val="008235F9"/>
    <w:rsid w:val="00823637"/>
    <w:rsid w:val="008236E1"/>
    <w:rsid w:val="00823F37"/>
    <w:rsid w:val="00824458"/>
    <w:rsid w:val="008249F7"/>
    <w:rsid w:val="00824B74"/>
    <w:rsid w:val="00824E95"/>
    <w:rsid w:val="00825D78"/>
    <w:rsid w:val="00826509"/>
    <w:rsid w:val="008265DA"/>
    <w:rsid w:val="00826C84"/>
    <w:rsid w:val="00826DA1"/>
    <w:rsid w:val="00827027"/>
    <w:rsid w:val="008274A7"/>
    <w:rsid w:val="0083032E"/>
    <w:rsid w:val="00830CE5"/>
    <w:rsid w:val="008313B2"/>
    <w:rsid w:val="008319AD"/>
    <w:rsid w:val="00831A79"/>
    <w:rsid w:val="00831AC7"/>
    <w:rsid w:val="00831E3C"/>
    <w:rsid w:val="00832A8B"/>
    <w:rsid w:val="008335A8"/>
    <w:rsid w:val="00833A1F"/>
    <w:rsid w:val="00833E0C"/>
    <w:rsid w:val="00833E0F"/>
    <w:rsid w:val="00833ED4"/>
    <w:rsid w:val="00834477"/>
    <w:rsid w:val="0083466F"/>
    <w:rsid w:val="00834E22"/>
    <w:rsid w:val="00835943"/>
    <w:rsid w:val="00835EC9"/>
    <w:rsid w:val="00835F5B"/>
    <w:rsid w:val="0083610C"/>
    <w:rsid w:val="0083633C"/>
    <w:rsid w:val="00836525"/>
    <w:rsid w:val="008365C6"/>
    <w:rsid w:val="00836EA7"/>
    <w:rsid w:val="008377C0"/>
    <w:rsid w:val="00837CCA"/>
    <w:rsid w:val="00837EBD"/>
    <w:rsid w:val="008407F5"/>
    <w:rsid w:val="00840888"/>
    <w:rsid w:val="00840A64"/>
    <w:rsid w:val="00840F56"/>
    <w:rsid w:val="00840FED"/>
    <w:rsid w:val="008410F6"/>
    <w:rsid w:val="00841388"/>
    <w:rsid w:val="00841B21"/>
    <w:rsid w:val="00841EFB"/>
    <w:rsid w:val="00841F44"/>
    <w:rsid w:val="0084287E"/>
    <w:rsid w:val="00842C82"/>
    <w:rsid w:val="00843184"/>
    <w:rsid w:val="008436D7"/>
    <w:rsid w:val="00843B61"/>
    <w:rsid w:val="008440FE"/>
    <w:rsid w:val="008451C9"/>
    <w:rsid w:val="008457B2"/>
    <w:rsid w:val="008457C2"/>
    <w:rsid w:val="00845890"/>
    <w:rsid w:val="00845D9F"/>
    <w:rsid w:val="00846092"/>
    <w:rsid w:val="00846119"/>
    <w:rsid w:val="00846997"/>
    <w:rsid w:val="008470BF"/>
    <w:rsid w:val="008471ED"/>
    <w:rsid w:val="0084734C"/>
    <w:rsid w:val="008474E3"/>
    <w:rsid w:val="0084798C"/>
    <w:rsid w:val="00850E48"/>
    <w:rsid w:val="008515A9"/>
    <w:rsid w:val="008518D9"/>
    <w:rsid w:val="00851A7D"/>
    <w:rsid w:val="008521E5"/>
    <w:rsid w:val="008524CC"/>
    <w:rsid w:val="008527ED"/>
    <w:rsid w:val="008537F7"/>
    <w:rsid w:val="00853894"/>
    <w:rsid w:val="00853A67"/>
    <w:rsid w:val="0085400C"/>
    <w:rsid w:val="008546BE"/>
    <w:rsid w:val="00854BB4"/>
    <w:rsid w:val="00854DD1"/>
    <w:rsid w:val="00855107"/>
    <w:rsid w:val="00855795"/>
    <w:rsid w:val="00855D59"/>
    <w:rsid w:val="00856074"/>
    <w:rsid w:val="0085626A"/>
    <w:rsid w:val="00857787"/>
    <w:rsid w:val="0085791F"/>
    <w:rsid w:val="00857949"/>
    <w:rsid w:val="00857E62"/>
    <w:rsid w:val="008606A3"/>
    <w:rsid w:val="0086104D"/>
    <w:rsid w:val="008611A7"/>
    <w:rsid w:val="008614B4"/>
    <w:rsid w:val="0086280D"/>
    <w:rsid w:val="00862C8A"/>
    <w:rsid w:val="00862C91"/>
    <w:rsid w:val="008634FC"/>
    <w:rsid w:val="00863D73"/>
    <w:rsid w:val="00863E53"/>
    <w:rsid w:val="00864851"/>
    <w:rsid w:val="008651E8"/>
    <w:rsid w:val="008655DC"/>
    <w:rsid w:val="00865E6F"/>
    <w:rsid w:val="00865F96"/>
    <w:rsid w:val="008666F6"/>
    <w:rsid w:val="00866718"/>
    <w:rsid w:val="00866A00"/>
    <w:rsid w:val="008676B2"/>
    <w:rsid w:val="00867B9F"/>
    <w:rsid w:val="00867D1B"/>
    <w:rsid w:val="00867D37"/>
    <w:rsid w:val="00870C2F"/>
    <w:rsid w:val="0087111C"/>
    <w:rsid w:val="008712DC"/>
    <w:rsid w:val="008718C3"/>
    <w:rsid w:val="008719C2"/>
    <w:rsid w:val="00871FB1"/>
    <w:rsid w:val="00872509"/>
    <w:rsid w:val="0087277A"/>
    <w:rsid w:val="00872A47"/>
    <w:rsid w:val="008736E2"/>
    <w:rsid w:val="0087385D"/>
    <w:rsid w:val="00874565"/>
    <w:rsid w:val="00874856"/>
    <w:rsid w:val="00874A2F"/>
    <w:rsid w:val="00874E5F"/>
    <w:rsid w:val="00874EC2"/>
    <w:rsid w:val="00875211"/>
    <w:rsid w:val="0087522A"/>
    <w:rsid w:val="008753F7"/>
    <w:rsid w:val="00875509"/>
    <w:rsid w:val="00875B2F"/>
    <w:rsid w:val="00875E19"/>
    <w:rsid w:val="00875F1B"/>
    <w:rsid w:val="0087652E"/>
    <w:rsid w:val="008767A3"/>
    <w:rsid w:val="00876BD4"/>
    <w:rsid w:val="00877247"/>
    <w:rsid w:val="00877337"/>
    <w:rsid w:val="00877A8D"/>
    <w:rsid w:val="00877CCB"/>
    <w:rsid w:val="00877F58"/>
    <w:rsid w:val="008801AE"/>
    <w:rsid w:val="00880AA3"/>
    <w:rsid w:val="008812D1"/>
    <w:rsid w:val="008813B8"/>
    <w:rsid w:val="008813C0"/>
    <w:rsid w:val="00881D27"/>
    <w:rsid w:val="00882137"/>
    <w:rsid w:val="008822B7"/>
    <w:rsid w:val="008823C4"/>
    <w:rsid w:val="008829DA"/>
    <w:rsid w:val="00882AD7"/>
    <w:rsid w:val="0088421C"/>
    <w:rsid w:val="0088445B"/>
    <w:rsid w:val="00884CAC"/>
    <w:rsid w:val="00884F1C"/>
    <w:rsid w:val="008855B7"/>
    <w:rsid w:val="00885B9C"/>
    <w:rsid w:val="008861A3"/>
    <w:rsid w:val="00887029"/>
    <w:rsid w:val="008871A1"/>
    <w:rsid w:val="008874BE"/>
    <w:rsid w:val="00890226"/>
    <w:rsid w:val="0089046D"/>
    <w:rsid w:val="0089056B"/>
    <w:rsid w:val="00890FD9"/>
    <w:rsid w:val="008914A8"/>
    <w:rsid w:val="008914DB"/>
    <w:rsid w:val="00891745"/>
    <w:rsid w:val="00891AF6"/>
    <w:rsid w:val="00891BC3"/>
    <w:rsid w:val="0089241E"/>
    <w:rsid w:val="00892482"/>
    <w:rsid w:val="00892B06"/>
    <w:rsid w:val="0089358A"/>
    <w:rsid w:val="008937C8"/>
    <w:rsid w:val="008938C2"/>
    <w:rsid w:val="00893F0D"/>
    <w:rsid w:val="008941C8"/>
    <w:rsid w:val="008948A1"/>
    <w:rsid w:val="00894A38"/>
    <w:rsid w:val="0089504A"/>
    <w:rsid w:val="00895513"/>
    <w:rsid w:val="008967C4"/>
    <w:rsid w:val="00897877"/>
    <w:rsid w:val="00897B44"/>
    <w:rsid w:val="00897B7D"/>
    <w:rsid w:val="00897CAF"/>
    <w:rsid w:val="008A0578"/>
    <w:rsid w:val="008A0735"/>
    <w:rsid w:val="008A0C76"/>
    <w:rsid w:val="008A0D2A"/>
    <w:rsid w:val="008A10A4"/>
    <w:rsid w:val="008A126F"/>
    <w:rsid w:val="008A1387"/>
    <w:rsid w:val="008A1693"/>
    <w:rsid w:val="008A22CD"/>
    <w:rsid w:val="008A254F"/>
    <w:rsid w:val="008A25D7"/>
    <w:rsid w:val="008A2630"/>
    <w:rsid w:val="008A2634"/>
    <w:rsid w:val="008A2A09"/>
    <w:rsid w:val="008A2AA8"/>
    <w:rsid w:val="008A2E31"/>
    <w:rsid w:val="008A2EF8"/>
    <w:rsid w:val="008A3415"/>
    <w:rsid w:val="008A3616"/>
    <w:rsid w:val="008A36A4"/>
    <w:rsid w:val="008A3812"/>
    <w:rsid w:val="008A3894"/>
    <w:rsid w:val="008A3D1A"/>
    <w:rsid w:val="008A468A"/>
    <w:rsid w:val="008A4E34"/>
    <w:rsid w:val="008A4E90"/>
    <w:rsid w:val="008A4FFF"/>
    <w:rsid w:val="008A5349"/>
    <w:rsid w:val="008A5436"/>
    <w:rsid w:val="008A5833"/>
    <w:rsid w:val="008A5B57"/>
    <w:rsid w:val="008A5D87"/>
    <w:rsid w:val="008A68A3"/>
    <w:rsid w:val="008A6985"/>
    <w:rsid w:val="008A6A1E"/>
    <w:rsid w:val="008A6F76"/>
    <w:rsid w:val="008A76C5"/>
    <w:rsid w:val="008A7725"/>
    <w:rsid w:val="008A7CB6"/>
    <w:rsid w:val="008A7FA0"/>
    <w:rsid w:val="008A7FD6"/>
    <w:rsid w:val="008B0268"/>
    <w:rsid w:val="008B050B"/>
    <w:rsid w:val="008B0BF0"/>
    <w:rsid w:val="008B1289"/>
    <w:rsid w:val="008B1356"/>
    <w:rsid w:val="008B1405"/>
    <w:rsid w:val="008B1F1A"/>
    <w:rsid w:val="008B2975"/>
    <w:rsid w:val="008B2BDA"/>
    <w:rsid w:val="008B316A"/>
    <w:rsid w:val="008B3776"/>
    <w:rsid w:val="008B382D"/>
    <w:rsid w:val="008B3A88"/>
    <w:rsid w:val="008B4844"/>
    <w:rsid w:val="008B4ACD"/>
    <w:rsid w:val="008B4ADC"/>
    <w:rsid w:val="008B4BFC"/>
    <w:rsid w:val="008B4D8B"/>
    <w:rsid w:val="008B4FBD"/>
    <w:rsid w:val="008B4FC0"/>
    <w:rsid w:val="008B51B4"/>
    <w:rsid w:val="008B52EA"/>
    <w:rsid w:val="008B58C5"/>
    <w:rsid w:val="008B5939"/>
    <w:rsid w:val="008B5B67"/>
    <w:rsid w:val="008B5D7A"/>
    <w:rsid w:val="008B6124"/>
    <w:rsid w:val="008B632A"/>
    <w:rsid w:val="008B66E3"/>
    <w:rsid w:val="008B679F"/>
    <w:rsid w:val="008B6CED"/>
    <w:rsid w:val="008B73DC"/>
    <w:rsid w:val="008B74F4"/>
    <w:rsid w:val="008B775A"/>
    <w:rsid w:val="008B7848"/>
    <w:rsid w:val="008C04B8"/>
    <w:rsid w:val="008C0591"/>
    <w:rsid w:val="008C0623"/>
    <w:rsid w:val="008C0744"/>
    <w:rsid w:val="008C10CE"/>
    <w:rsid w:val="008C13F4"/>
    <w:rsid w:val="008C1621"/>
    <w:rsid w:val="008C162B"/>
    <w:rsid w:val="008C1B91"/>
    <w:rsid w:val="008C1E05"/>
    <w:rsid w:val="008C333B"/>
    <w:rsid w:val="008C34BB"/>
    <w:rsid w:val="008C3CF9"/>
    <w:rsid w:val="008C4226"/>
    <w:rsid w:val="008C45E2"/>
    <w:rsid w:val="008C5579"/>
    <w:rsid w:val="008C5BFB"/>
    <w:rsid w:val="008C65DF"/>
    <w:rsid w:val="008C74F9"/>
    <w:rsid w:val="008C7E89"/>
    <w:rsid w:val="008C7E9D"/>
    <w:rsid w:val="008D0526"/>
    <w:rsid w:val="008D0788"/>
    <w:rsid w:val="008D09F6"/>
    <w:rsid w:val="008D0AC8"/>
    <w:rsid w:val="008D0B2C"/>
    <w:rsid w:val="008D1325"/>
    <w:rsid w:val="008D16ED"/>
    <w:rsid w:val="008D237B"/>
    <w:rsid w:val="008D24C3"/>
    <w:rsid w:val="008D252D"/>
    <w:rsid w:val="008D27D4"/>
    <w:rsid w:val="008D2E55"/>
    <w:rsid w:val="008D31F2"/>
    <w:rsid w:val="008D3726"/>
    <w:rsid w:val="008D3BD8"/>
    <w:rsid w:val="008D3E45"/>
    <w:rsid w:val="008D459C"/>
    <w:rsid w:val="008D4CB0"/>
    <w:rsid w:val="008D508B"/>
    <w:rsid w:val="008D5530"/>
    <w:rsid w:val="008D57C9"/>
    <w:rsid w:val="008D5892"/>
    <w:rsid w:val="008D5985"/>
    <w:rsid w:val="008D5AE4"/>
    <w:rsid w:val="008D5D9B"/>
    <w:rsid w:val="008D60B6"/>
    <w:rsid w:val="008D6397"/>
    <w:rsid w:val="008D63FA"/>
    <w:rsid w:val="008D66DE"/>
    <w:rsid w:val="008D6B94"/>
    <w:rsid w:val="008D6E67"/>
    <w:rsid w:val="008D6FF9"/>
    <w:rsid w:val="008D7061"/>
    <w:rsid w:val="008D70BB"/>
    <w:rsid w:val="008D72AD"/>
    <w:rsid w:val="008D73C9"/>
    <w:rsid w:val="008D7518"/>
    <w:rsid w:val="008D765D"/>
    <w:rsid w:val="008D7AED"/>
    <w:rsid w:val="008D7C99"/>
    <w:rsid w:val="008D7F95"/>
    <w:rsid w:val="008E06CF"/>
    <w:rsid w:val="008E07F5"/>
    <w:rsid w:val="008E08C4"/>
    <w:rsid w:val="008E0A91"/>
    <w:rsid w:val="008E16BF"/>
    <w:rsid w:val="008E18A7"/>
    <w:rsid w:val="008E1A94"/>
    <w:rsid w:val="008E1ADC"/>
    <w:rsid w:val="008E1B6A"/>
    <w:rsid w:val="008E245D"/>
    <w:rsid w:val="008E26C1"/>
    <w:rsid w:val="008E27A9"/>
    <w:rsid w:val="008E27D8"/>
    <w:rsid w:val="008E2B71"/>
    <w:rsid w:val="008E2BE2"/>
    <w:rsid w:val="008E2ECC"/>
    <w:rsid w:val="008E2F59"/>
    <w:rsid w:val="008E3049"/>
    <w:rsid w:val="008E35A3"/>
    <w:rsid w:val="008E4C39"/>
    <w:rsid w:val="008E581C"/>
    <w:rsid w:val="008E5B66"/>
    <w:rsid w:val="008E5BB4"/>
    <w:rsid w:val="008E609E"/>
    <w:rsid w:val="008E7157"/>
    <w:rsid w:val="008E7274"/>
    <w:rsid w:val="008E7AE8"/>
    <w:rsid w:val="008F0562"/>
    <w:rsid w:val="008F0E85"/>
    <w:rsid w:val="008F108A"/>
    <w:rsid w:val="008F1494"/>
    <w:rsid w:val="008F202C"/>
    <w:rsid w:val="008F260B"/>
    <w:rsid w:val="008F287D"/>
    <w:rsid w:val="008F28A8"/>
    <w:rsid w:val="008F2AD2"/>
    <w:rsid w:val="008F2E0A"/>
    <w:rsid w:val="008F2E79"/>
    <w:rsid w:val="008F43C6"/>
    <w:rsid w:val="008F4EAD"/>
    <w:rsid w:val="008F4F50"/>
    <w:rsid w:val="008F5764"/>
    <w:rsid w:val="008F57D2"/>
    <w:rsid w:val="008F596B"/>
    <w:rsid w:val="008F5A20"/>
    <w:rsid w:val="008F5B16"/>
    <w:rsid w:val="008F61DD"/>
    <w:rsid w:val="008F6566"/>
    <w:rsid w:val="008F6F5E"/>
    <w:rsid w:val="008F70C9"/>
    <w:rsid w:val="008F7C3A"/>
    <w:rsid w:val="008F7CAE"/>
    <w:rsid w:val="00900194"/>
    <w:rsid w:val="00900779"/>
    <w:rsid w:val="009012E6"/>
    <w:rsid w:val="009016F0"/>
    <w:rsid w:val="0090229E"/>
    <w:rsid w:val="00902FB4"/>
    <w:rsid w:val="009034D7"/>
    <w:rsid w:val="0090363C"/>
    <w:rsid w:val="00903687"/>
    <w:rsid w:val="00903AB3"/>
    <w:rsid w:val="00903DDF"/>
    <w:rsid w:val="00903FAA"/>
    <w:rsid w:val="00904363"/>
    <w:rsid w:val="009045D3"/>
    <w:rsid w:val="009051BB"/>
    <w:rsid w:val="00905368"/>
    <w:rsid w:val="00905514"/>
    <w:rsid w:val="00905758"/>
    <w:rsid w:val="009057F7"/>
    <w:rsid w:val="009058D6"/>
    <w:rsid w:val="009059C4"/>
    <w:rsid w:val="00906821"/>
    <w:rsid w:val="00906CFD"/>
    <w:rsid w:val="00906E65"/>
    <w:rsid w:val="00906FFB"/>
    <w:rsid w:val="00907892"/>
    <w:rsid w:val="00907C8D"/>
    <w:rsid w:val="0091063F"/>
    <w:rsid w:val="00910DAC"/>
    <w:rsid w:val="0091143C"/>
    <w:rsid w:val="009117F0"/>
    <w:rsid w:val="00911AB6"/>
    <w:rsid w:val="00911D7A"/>
    <w:rsid w:val="00912121"/>
    <w:rsid w:val="0091223A"/>
    <w:rsid w:val="009138D6"/>
    <w:rsid w:val="00913A7D"/>
    <w:rsid w:val="00913D54"/>
    <w:rsid w:val="00913E06"/>
    <w:rsid w:val="009144D5"/>
    <w:rsid w:val="00914DD5"/>
    <w:rsid w:val="00914E70"/>
    <w:rsid w:val="009155D4"/>
    <w:rsid w:val="0091597B"/>
    <w:rsid w:val="00915F98"/>
    <w:rsid w:val="00915FA3"/>
    <w:rsid w:val="00915FDF"/>
    <w:rsid w:val="009167D9"/>
    <w:rsid w:val="00916B38"/>
    <w:rsid w:val="00917071"/>
    <w:rsid w:val="00917BB5"/>
    <w:rsid w:val="00917D36"/>
    <w:rsid w:val="0092080F"/>
    <w:rsid w:val="009209B9"/>
    <w:rsid w:val="00920A4F"/>
    <w:rsid w:val="009217F8"/>
    <w:rsid w:val="00921855"/>
    <w:rsid w:val="009218A6"/>
    <w:rsid w:val="00921EB9"/>
    <w:rsid w:val="00921F52"/>
    <w:rsid w:val="0092235B"/>
    <w:rsid w:val="00922574"/>
    <w:rsid w:val="00922B5B"/>
    <w:rsid w:val="00923806"/>
    <w:rsid w:val="0092470E"/>
    <w:rsid w:val="0092491B"/>
    <w:rsid w:val="00925187"/>
    <w:rsid w:val="00925CFA"/>
    <w:rsid w:val="00925FB4"/>
    <w:rsid w:val="009264B6"/>
    <w:rsid w:val="00926659"/>
    <w:rsid w:val="00926E9B"/>
    <w:rsid w:val="0092709C"/>
    <w:rsid w:val="0092717F"/>
    <w:rsid w:val="0092733E"/>
    <w:rsid w:val="00927612"/>
    <w:rsid w:val="00927744"/>
    <w:rsid w:val="009279B3"/>
    <w:rsid w:val="00927B05"/>
    <w:rsid w:val="009302BA"/>
    <w:rsid w:val="00930411"/>
    <w:rsid w:val="009309AE"/>
    <w:rsid w:val="00930AE8"/>
    <w:rsid w:val="00930F4E"/>
    <w:rsid w:val="00931357"/>
    <w:rsid w:val="00931749"/>
    <w:rsid w:val="00931792"/>
    <w:rsid w:val="009318A7"/>
    <w:rsid w:val="00931E82"/>
    <w:rsid w:val="00931ED9"/>
    <w:rsid w:val="009324A9"/>
    <w:rsid w:val="009326D4"/>
    <w:rsid w:val="009326ED"/>
    <w:rsid w:val="00932857"/>
    <w:rsid w:val="00932B30"/>
    <w:rsid w:val="00932C1C"/>
    <w:rsid w:val="00932E69"/>
    <w:rsid w:val="00932F92"/>
    <w:rsid w:val="00933293"/>
    <w:rsid w:val="0093377C"/>
    <w:rsid w:val="00933CC4"/>
    <w:rsid w:val="00933D42"/>
    <w:rsid w:val="00934A6C"/>
    <w:rsid w:val="00934FB9"/>
    <w:rsid w:val="00934FFB"/>
    <w:rsid w:val="009352C9"/>
    <w:rsid w:val="009355F7"/>
    <w:rsid w:val="00935CA6"/>
    <w:rsid w:val="00936062"/>
    <w:rsid w:val="00936292"/>
    <w:rsid w:val="00936297"/>
    <w:rsid w:val="0093655E"/>
    <w:rsid w:val="00936C16"/>
    <w:rsid w:val="0093782F"/>
    <w:rsid w:val="0093791A"/>
    <w:rsid w:val="00937CBE"/>
    <w:rsid w:val="0094031B"/>
    <w:rsid w:val="0094055A"/>
    <w:rsid w:val="009406C3"/>
    <w:rsid w:val="00940AC4"/>
    <w:rsid w:val="00940E46"/>
    <w:rsid w:val="00941890"/>
    <w:rsid w:val="009418A8"/>
    <w:rsid w:val="00941A3F"/>
    <w:rsid w:val="00941B8F"/>
    <w:rsid w:val="00942058"/>
    <w:rsid w:val="009421E1"/>
    <w:rsid w:val="009423DF"/>
    <w:rsid w:val="00942705"/>
    <w:rsid w:val="0094285F"/>
    <w:rsid w:val="00942892"/>
    <w:rsid w:val="00942974"/>
    <w:rsid w:val="00944087"/>
    <w:rsid w:val="00944A5D"/>
    <w:rsid w:val="00944E74"/>
    <w:rsid w:val="009451C6"/>
    <w:rsid w:val="009455E2"/>
    <w:rsid w:val="009457E6"/>
    <w:rsid w:val="00945A03"/>
    <w:rsid w:val="00945D63"/>
    <w:rsid w:val="00945FA7"/>
    <w:rsid w:val="00946273"/>
    <w:rsid w:val="00946677"/>
    <w:rsid w:val="009468A2"/>
    <w:rsid w:val="00946C62"/>
    <w:rsid w:val="00947147"/>
    <w:rsid w:val="009475E2"/>
    <w:rsid w:val="00947922"/>
    <w:rsid w:val="00947F3F"/>
    <w:rsid w:val="00947FD9"/>
    <w:rsid w:val="0095012E"/>
    <w:rsid w:val="00950252"/>
    <w:rsid w:val="0095055A"/>
    <w:rsid w:val="00950EF9"/>
    <w:rsid w:val="00951569"/>
    <w:rsid w:val="009515D3"/>
    <w:rsid w:val="0095175F"/>
    <w:rsid w:val="00951934"/>
    <w:rsid w:val="00951A7A"/>
    <w:rsid w:val="00951C63"/>
    <w:rsid w:val="0095207B"/>
    <w:rsid w:val="009527A1"/>
    <w:rsid w:val="00952E8F"/>
    <w:rsid w:val="009532BA"/>
    <w:rsid w:val="009535BA"/>
    <w:rsid w:val="00953653"/>
    <w:rsid w:val="009537AB"/>
    <w:rsid w:val="00953D9A"/>
    <w:rsid w:val="00953FA2"/>
    <w:rsid w:val="00954207"/>
    <w:rsid w:val="0095467C"/>
    <w:rsid w:val="00954C8C"/>
    <w:rsid w:val="00954CFB"/>
    <w:rsid w:val="00954E19"/>
    <w:rsid w:val="009554AD"/>
    <w:rsid w:val="009554BD"/>
    <w:rsid w:val="009556E9"/>
    <w:rsid w:val="009557D6"/>
    <w:rsid w:val="00955A1F"/>
    <w:rsid w:val="00955C18"/>
    <w:rsid w:val="00955C45"/>
    <w:rsid w:val="00955DD4"/>
    <w:rsid w:val="0095651C"/>
    <w:rsid w:val="0095686F"/>
    <w:rsid w:val="00956ACE"/>
    <w:rsid w:val="00956AD4"/>
    <w:rsid w:val="00956C0D"/>
    <w:rsid w:val="009572A0"/>
    <w:rsid w:val="00957427"/>
    <w:rsid w:val="009577B2"/>
    <w:rsid w:val="00957D24"/>
    <w:rsid w:val="00960146"/>
    <w:rsid w:val="00960162"/>
    <w:rsid w:val="0096073B"/>
    <w:rsid w:val="00960759"/>
    <w:rsid w:val="00960DCF"/>
    <w:rsid w:val="00960EB3"/>
    <w:rsid w:val="00961B53"/>
    <w:rsid w:val="009621E9"/>
    <w:rsid w:val="0096254F"/>
    <w:rsid w:val="009627B1"/>
    <w:rsid w:val="009629E3"/>
    <w:rsid w:val="009630B5"/>
    <w:rsid w:val="00963264"/>
    <w:rsid w:val="00963567"/>
    <w:rsid w:val="0096389D"/>
    <w:rsid w:val="00963CFD"/>
    <w:rsid w:val="009641C3"/>
    <w:rsid w:val="00964CB3"/>
    <w:rsid w:val="00964F0D"/>
    <w:rsid w:val="009654EB"/>
    <w:rsid w:val="00965AC5"/>
    <w:rsid w:val="0096616E"/>
    <w:rsid w:val="00966BC3"/>
    <w:rsid w:val="00966C6B"/>
    <w:rsid w:val="00966DBC"/>
    <w:rsid w:val="00966F81"/>
    <w:rsid w:val="009676C0"/>
    <w:rsid w:val="00967A19"/>
    <w:rsid w:val="00967A33"/>
    <w:rsid w:val="009705A6"/>
    <w:rsid w:val="00971112"/>
    <w:rsid w:val="00971609"/>
    <w:rsid w:val="0097185F"/>
    <w:rsid w:val="00971918"/>
    <w:rsid w:val="00971E52"/>
    <w:rsid w:val="0097237F"/>
    <w:rsid w:val="00972541"/>
    <w:rsid w:val="009729FD"/>
    <w:rsid w:val="00972B1E"/>
    <w:rsid w:val="00972E2B"/>
    <w:rsid w:val="00972E78"/>
    <w:rsid w:val="0097319F"/>
    <w:rsid w:val="00973409"/>
    <w:rsid w:val="009739F0"/>
    <w:rsid w:val="00974016"/>
    <w:rsid w:val="0097416B"/>
    <w:rsid w:val="009745EB"/>
    <w:rsid w:val="0097479D"/>
    <w:rsid w:val="00974BD8"/>
    <w:rsid w:val="00975AE2"/>
    <w:rsid w:val="00976B20"/>
    <w:rsid w:val="00976C74"/>
    <w:rsid w:val="009778F9"/>
    <w:rsid w:val="009802C4"/>
    <w:rsid w:val="009803A9"/>
    <w:rsid w:val="009803CB"/>
    <w:rsid w:val="009803D4"/>
    <w:rsid w:val="009806FD"/>
    <w:rsid w:val="009807A2"/>
    <w:rsid w:val="00980854"/>
    <w:rsid w:val="00980CC1"/>
    <w:rsid w:val="00980E19"/>
    <w:rsid w:val="00981323"/>
    <w:rsid w:val="0098199C"/>
    <w:rsid w:val="00981A78"/>
    <w:rsid w:val="0098234E"/>
    <w:rsid w:val="00982ADD"/>
    <w:rsid w:val="00982C49"/>
    <w:rsid w:val="00983387"/>
    <w:rsid w:val="0098372E"/>
    <w:rsid w:val="009839F6"/>
    <w:rsid w:val="00983A82"/>
    <w:rsid w:val="00984290"/>
    <w:rsid w:val="009843B8"/>
    <w:rsid w:val="0098493E"/>
    <w:rsid w:val="0098622D"/>
    <w:rsid w:val="009866AA"/>
    <w:rsid w:val="009869CC"/>
    <w:rsid w:val="00986D2E"/>
    <w:rsid w:val="009873F3"/>
    <w:rsid w:val="00987701"/>
    <w:rsid w:val="00987870"/>
    <w:rsid w:val="00987A73"/>
    <w:rsid w:val="00987D8D"/>
    <w:rsid w:val="00991353"/>
    <w:rsid w:val="00991985"/>
    <w:rsid w:val="00992069"/>
    <w:rsid w:val="00992118"/>
    <w:rsid w:val="0099243A"/>
    <w:rsid w:val="009928BD"/>
    <w:rsid w:val="00992C05"/>
    <w:rsid w:val="00992FC1"/>
    <w:rsid w:val="00993048"/>
    <w:rsid w:val="00993D52"/>
    <w:rsid w:val="0099418B"/>
    <w:rsid w:val="009944C3"/>
    <w:rsid w:val="00994577"/>
    <w:rsid w:val="0099511F"/>
    <w:rsid w:val="00995E98"/>
    <w:rsid w:val="00996415"/>
    <w:rsid w:val="009964FA"/>
    <w:rsid w:val="0099671B"/>
    <w:rsid w:val="00996F15"/>
    <w:rsid w:val="009972E7"/>
    <w:rsid w:val="00997BA8"/>
    <w:rsid w:val="00997C22"/>
    <w:rsid w:val="009A017B"/>
    <w:rsid w:val="009A06F4"/>
    <w:rsid w:val="009A122D"/>
    <w:rsid w:val="009A167E"/>
    <w:rsid w:val="009A1A30"/>
    <w:rsid w:val="009A2373"/>
    <w:rsid w:val="009A2813"/>
    <w:rsid w:val="009A2BCC"/>
    <w:rsid w:val="009A2C45"/>
    <w:rsid w:val="009A2C46"/>
    <w:rsid w:val="009A2FC3"/>
    <w:rsid w:val="009A304C"/>
    <w:rsid w:val="009A3451"/>
    <w:rsid w:val="009A3677"/>
    <w:rsid w:val="009A3778"/>
    <w:rsid w:val="009A3E2E"/>
    <w:rsid w:val="009A4986"/>
    <w:rsid w:val="009A507E"/>
    <w:rsid w:val="009A553A"/>
    <w:rsid w:val="009A5654"/>
    <w:rsid w:val="009A59B9"/>
    <w:rsid w:val="009A5B2E"/>
    <w:rsid w:val="009A64EC"/>
    <w:rsid w:val="009A6BC2"/>
    <w:rsid w:val="009A7843"/>
    <w:rsid w:val="009A7F34"/>
    <w:rsid w:val="009B057F"/>
    <w:rsid w:val="009B063D"/>
    <w:rsid w:val="009B086D"/>
    <w:rsid w:val="009B0D1D"/>
    <w:rsid w:val="009B15AE"/>
    <w:rsid w:val="009B214F"/>
    <w:rsid w:val="009B2168"/>
    <w:rsid w:val="009B2245"/>
    <w:rsid w:val="009B258E"/>
    <w:rsid w:val="009B2705"/>
    <w:rsid w:val="009B2826"/>
    <w:rsid w:val="009B2A4E"/>
    <w:rsid w:val="009B2BA3"/>
    <w:rsid w:val="009B39F2"/>
    <w:rsid w:val="009B44AA"/>
    <w:rsid w:val="009B4A66"/>
    <w:rsid w:val="009B4D04"/>
    <w:rsid w:val="009B4EA4"/>
    <w:rsid w:val="009B5366"/>
    <w:rsid w:val="009B540E"/>
    <w:rsid w:val="009B544C"/>
    <w:rsid w:val="009B5537"/>
    <w:rsid w:val="009B5580"/>
    <w:rsid w:val="009B5949"/>
    <w:rsid w:val="009B5976"/>
    <w:rsid w:val="009B5997"/>
    <w:rsid w:val="009B59C9"/>
    <w:rsid w:val="009B68AA"/>
    <w:rsid w:val="009B6A53"/>
    <w:rsid w:val="009B6B23"/>
    <w:rsid w:val="009B6B93"/>
    <w:rsid w:val="009B6F22"/>
    <w:rsid w:val="009B6F47"/>
    <w:rsid w:val="009B719A"/>
    <w:rsid w:val="009B74DE"/>
    <w:rsid w:val="009B77C7"/>
    <w:rsid w:val="009B7ABD"/>
    <w:rsid w:val="009B7DD8"/>
    <w:rsid w:val="009B7E29"/>
    <w:rsid w:val="009C033E"/>
    <w:rsid w:val="009C0A61"/>
    <w:rsid w:val="009C0F7F"/>
    <w:rsid w:val="009C159F"/>
    <w:rsid w:val="009C1A3C"/>
    <w:rsid w:val="009C1D27"/>
    <w:rsid w:val="009C1E1B"/>
    <w:rsid w:val="009C2413"/>
    <w:rsid w:val="009C24C5"/>
    <w:rsid w:val="009C2920"/>
    <w:rsid w:val="009C2944"/>
    <w:rsid w:val="009C2D52"/>
    <w:rsid w:val="009C31F3"/>
    <w:rsid w:val="009C352F"/>
    <w:rsid w:val="009C3BD9"/>
    <w:rsid w:val="009C4648"/>
    <w:rsid w:val="009C4FBA"/>
    <w:rsid w:val="009C5146"/>
    <w:rsid w:val="009C55F5"/>
    <w:rsid w:val="009C5B82"/>
    <w:rsid w:val="009C6123"/>
    <w:rsid w:val="009C637C"/>
    <w:rsid w:val="009C6975"/>
    <w:rsid w:val="009C6E07"/>
    <w:rsid w:val="009C6F3C"/>
    <w:rsid w:val="009C72E8"/>
    <w:rsid w:val="009C756E"/>
    <w:rsid w:val="009C76A7"/>
    <w:rsid w:val="009C772A"/>
    <w:rsid w:val="009C7A62"/>
    <w:rsid w:val="009C7D53"/>
    <w:rsid w:val="009C7F72"/>
    <w:rsid w:val="009D0180"/>
    <w:rsid w:val="009D0237"/>
    <w:rsid w:val="009D0C4E"/>
    <w:rsid w:val="009D0D9E"/>
    <w:rsid w:val="009D122F"/>
    <w:rsid w:val="009D1325"/>
    <w:rsid w:val="009D1BCE"/>
    <w:rsid w:val="009D21BE"/>
    <w:rsid w:val="009D26C2"/>
    <w:rsid w:val="009D2B44"/>
    <w:rsid w:val="009D2B9B"/>
    <w:rsid w:val="009D2CCD"/>
    <w:rsid w:val="009D3082"/>
    <w:rsid w:val="009D3880"/>
    <w:rsid w:val="009D3C3D"/>
    <w:rsid w:val="009D3DD3"/>
    <w:rsid w:val="009D5288"/>
    <w:rsid w:val="009D576D"/>
    <w:rsid w:val="009D5A3A"/>
    <w:rsid w:val="009D7659"/>
    <w:rsid w:val="009D7CE7"/>
    <w:rsid w:val="009E0123"/>
    <w:rsid w:val="009E02F6"/>
    <w:rsid w:val="009E03B1"/>
    <w:rsid w:val="009E047A"/>
    <w:rsid w:val="009E05A4"/>
    <w:rsid w:val="009E0AD2"/>
    <w:rsid w:val="009E13AE"/>
    <w:rsid w:val="009E17ED"/>
    <w:rsid w:val="009E28BC"/>
    <w:rsid w:val="009E2AD3"/>
    <w:rsid w:val="009E2BBD"/>
    <w:rsid w:val="009E2E4E"/>
    <w:rsid w:val="009E2E54"/>
    <w:rsid w:val="009E3073"/>
    <w:rsid w:val="009E32B9"/>
    <w:rsid w:val="009E3718"/>
    <w:rsid w:val="009E3A34"/>
    <w:rsid w:val="009E3CBB"/>
    <w:rsid w:val="009E3F18"/>
    <w:rsid w:val="009E3F44"/>
    <w:rsid w:val="009E40CC"/>
    <w:rsid w:val="009E4337"/>
    <w:rsid w:val="009E43BF"/>
    <w:rsid w:val="009E442E"/>
    <w:rsid w:val="009E4756"/>
    <w:rsid w:val="009E47E5"/>
    <w:rsid w:val="009E4B6B"/>
    <w:rsid w:val="009E51E2"/>
    <w:rsid w:val="009E61F6"/>
    <w:rsid w:val="009E6866"/>
    <w:rsid w:val="009E6E5D"/>
    <w:rsid w:val="009E7618"/>
    <w:rsid w:val="009E7682"/>
    <w:rsid w:val="009E79D5"/>
    <w:rsid w:val="009E7AF3"/>
    <w:rsid w:val="009E7F6C"/>
    <w:rsid w:val="009F10FC"/>
    <w:rsid w:val="009F1349"/>
    <w:rsid w:val="009F136C"/>
    <w:rsid w:val="009F146F"/>
    <w:rsid w:val="009F19FA"/>
    <w:rsid w:val="009F1A2B"/>
    <w:rsid w:val="009F1C2F"/>
    <w:rsid w:val="009F1E2E"/>
    <w:rsid w:val="009F2007"/>
    <w:rsid w:val="009F21B0"/>
    <w:rsid w:val="009F2689"/>
    <w:rsid w:val="009F2931"/>
    <w:rsid w:val="009F2A9A"/>
    <w:rsid w:val="009F2CC3"/>
    <w:rsid w:val="009F3C75"/>
    <w:rsid w:val="009F3FC9"/>
    <w:rsid w:val="009F4284"/>
    <w:rsid w:val="009F47FF"/>
    <w:rsid w:val="009F5554"/>
    <w:rsid w:val="009F595C"/>
    <w:rsid w:val="009F6428"/>
    <w:rsid w:val="009F6537"/>
    <w:rsid w:val="009F6B1E"/>
    <w:rsid w:val="009F6F6F"/>
    <w:rsid w:val="009F7685"/>
    <w:rsid w:val="009F7C33"/>
    <w:rsid w:val="009F7FF6"/>
    <w:rsid w:val="00A0037E"/>
    <w:rsid w:val="00A005E5"/>
    <w:rsid w:val="00A01125"/>
    <w:rsid w:val="00A012C7"/>
    <w:rsid w:val="00A01303"/>
    <w:rsid w:val="00A01610"/>
    <w:rsid w:val="00A01895"/>
    <w:rsid w:val="00A029B2"/>
    <w:rsid w:val="00A02BEE"/>
    <w:rsid w:val="00A02C4F"/>
    <w:rsid w:val="00A03573"/>
    <w:rsid w:val="00A0371B"/>
    <w:rsid w:val="00A0383E"/>
    <w:rsid w:val="00A04459"/>
    <w:rsid w:val="00A04983"/>
    <w:rsid w:val="00A04A09"/>
    <w:rsid w:val="00A05278"/>
    <w:rsid w:val="00A052C1"/>
    <w:rsid w:val="00A054BA"/>
    <w:rsid w:val="00A05821"/>
    <w:rsid w:val="00A05D1D"/>
    <w:rsid w:val="00A05EA2"/>
    <w:rsid w:val="00A06149"/>
    <w:rsid w:val="00A061B1"/>
    <w:rsid w:val="00A06280"/>
    <w:rsid w:val="00A0673A"/>
    <w:rsid w:val="00A0706F"/>
    <w:rsid w:val="00A070EF"/>
    <w:rsid w:val="00A071D4"/>
    <w:rsid w:val="00A072D4"/>
    <w:rsid w:val="00A072F9"/>
    <w:rsid w:val="00A07337"/>
    <w:rsid w:val="00A076CC"/>
    <w:rsid w:val="00A07A9F"/>
    <w:rsid w:val="00A1082E"/>
    <w:rsid w:val="00A10AF6"/>
    <w:rsid w:val="00A1165C"/>
    <w:rsid w:val="00A11A79"/>
    <w:rsid w:val="00A11B0C"/>
    <w:rsid w:val="00A1236A"/>
    <w:rsid w:val="00A124C2"/>
    <w:rsid w:val="00A125D6"/>
    <w:rsid w:val="00A126C6"/>
    <w:rsid w:val="00A126E0"/>
    <w:rsid w:val="00A1271E"/>
    <w:rsid w:val="00A12740"/>
    <w:rsid w:val="00A12AD5"/>
    <w:rsid w:val="00A12C93"/>
    <w:rsid w:val="00A12CE4"/>
    <w:rsid w:val="00A12D26"/>
    <w:rsid w:val="00A13024"/>
    <w:rsid w:val="00A13F78"/>
    <w:rsid w:val="00A144DA"/>
    <w:rsid w:val="00A145A9"/>
    <w:rsid w:val="00A145DF"/>
    <w:rsid w:val="00A14E53"/>
    <w:rsid w:val="00A15580"/>
    <w:rsid w:val="00A1604F"/>
    <w:rsid w:val="00A16449"/>
    <w:rsid w:val="00A17360"/>
    <w:rsid w:val="00A17BD1"/>
    <w:rsid w:val="00A20151"/>
    <w:rsid w:val="00A2054F"/>
    <w:rsid w:val="00A206A2"/>
    <w:rsid w:val="00A21044"/>
    <w:rsid w:val="00A211B3"/>
    <w:rsid w:val="00A211DB"/>
    <w:rsid w:val="00A21236"/>
    <w:rsid w:val="00A212B2"/>
    <w:rsid w:val="00A2231E"/>
    <w:rsid w:val="00A225FF"/>
    <w:rsid w:val="00A2271B"/>
    <w:rsid w:val="00A22821"/>
    <w:rsid w:val="00A2283F"/>
    <w:rsid w:val="00A22EFC"/>
    <w:rsid w:val="00A23144"/>
    <w:rsid w:val="00A23494"/>
    <w:rsid w:val="00A23FE7"/>
    <w:rsid w:val="00A24C4D"/>
    <w:rsid w:val="00A24C9E"/>
    <w:rsid w:val="00A25EFE"/>
    <w:rsid w:val="00A25F2A"/>
    <w:rsid w:val="00A26389"/>
    <w:rsid w:val="00A2648A"/>
    <w:rsid w:val="00A2666B"/>
    <w:rsid w:val="00A269FC"/>
    <w:rsid w:val="00A26A67"/>
    <w:rsid w:val="00A27661"/>
    <w:rsid w:val="00A27693"/>
    <w:rsid w:val="00A276D6"/>
    <w:rsid w:val="00A27921"/>
    <w:rsid w:val="00A301A2"/>
    <w:rsid w:val="00A3028C"/>
    <w:rsid w:val="00A303B8"/>
    <w:rsid w:val="00A303E3"/>
    <w:rsid w:val="00A30AAF"/>
    <w:rsid w:val="00A30D22"/>
    <w:rsid w:val="00A30FE3"/>
    <w:rsid w:val="00A3113B"/>
    <w:rsid w:val="00A317E0"/>
    <w:rsid w:val="00A31E68"/>
    <w:rsid w:val="00A320D0"/>
    <w:rsid w:val="00A32227"/>
    <w:rsid w:val="00A32826"/>
    <w:rsid w:val="00A32BD8"/>
    <w:rsid w:val="00A32D3D"/>
    <w:rsid w:val="00A331FE"/>
    <w:rsid w:val="00A334A8"/>
    <w:rsid w:val="00A33830"/>
    <w:rsid w:val="00A33AB8"/>
    <w:rsid w:val="00A3417C"/>
    <w:rsid w:val="00A34364"/>
    <w:rsid w:val="00A34735"/>
    <w:rsid w:val="00A34D07"/>
    <w:rsid w:val="00A34E9E"/>
    <w:rsid w:val="00A35A09"/>
    <w:rsid w:val="00A35FCC"/>
    <w:rsid w:val="00A361C3"/>
    <w:rsid w:val="00A37060"/>
    <w:rsid w:val="00A40062"/>
    <w:rsid w:val="00A401E8"/>
    <w:rsid w:val="00A40C7F"/>
    <w:rsid w:val="00A40CA3"/>
    <w:rsid w:val="00A40F66"/>
    <w:rsid w:val="00A40F68"/>
    <w:rsid w:val="00A411FA"/>
    <w:rsid w:val="00A418CE"/>
    <w:rsid w:val="00A42118"/>
    <w:rsid w:val="00A4243F"/>
    <w:rsid w:val="00A43755"/>
    <w:rsid w:val="00A437E9"/>
    <w:rsid w:val="00A43EA1"/>
    <w:rsid w:val="00A4451A"/>
    <w:rsid w:val="00A44CEF"/>
    <w:rsid w:val="00A44D8E"/>
    <w:rsid w:val="00A44EBD"/>
    <w:rsid w:val="00A44EC1"/>
    <w:rsid w:val="00A452F1"/>
    <w:rsid w:val="00A454B3"/>
    <w:rsid w:val="00A45563"/>
    <w:rsid w:val="00A45E52"/>
    <w:rsid w:val="00A46333"/>
    <w:rsid w:val="00A46652"/>
    <w:rsid w:val="00A46D15"/>
    <w:rsid w:val="00A4713D"/>
    <w:rsid w:val="00A47296"/>
    <w:rsid w:val="00A47662"/>
    <w:rsid w:val="00A47737"/>
    <w:rsid w:val="00A47BB6"/>
    <w:rsid w:val="00A47E8D"/>
    <w:rsid w:val="00A508B5"/>
    <w:rsid w:val="00A50B99"/>
    <w:rsid w:val="00A51B0C"/>
    <w:rsid w:val="00A51D25"/>
    <w:rsid w:val="00A526C5"/>
    <w:rsid w:val="00A527CF"/>
    <w:rsid w:val="00A5323B"/>
    <w:rsid w:val="00A5385E"/>
    <w:rsid w:val="00A53E14"/>
    <w:rsid w:val="00A540C2"/>
    <w:rsid w:val="00A54638"/>
    <w:rsid w:val="00A54665"/>
    <w:rsid w:val="00A54883"/>
    <w:rsid w:val="00A54A40"/>
    <w:rsid w:val="00A54DA3"/>
    <w:rsid w:val="00A54FB4"/>
    <w:rsid w:val="00A55404"/>
    <w:rsid w:val="00A555A4"/>
    <w:rsid w:val="00A55FF2"/>
    <w:rsid w:val="00A55FF4"/>
    <w:rsid w:val="00A56295"/>
    <w:rsid w:val="00A56980"/>
    <w:rsid w:val="00A569CC"/>
    <w:rsid w:val="00A56DE0"/>
    <w:rsid w:val="00A571C9"/>
    <w:rsid w:val="00A5761E"/>
    <w:rsid w:val="00A57855"/>
    <w:rsid w:val="00A57C0B"/>
    <w:rsid w:val="00A60BCD"/>
    <w:rsid w:val="00A60F77"/>
    <w:rsid w:val="00A6109C"/>
    <w:rsid w:val="00A613D1"/>
    <w:rsid w:val="00A6149F"/>
    <w:rsid w:val="00A61A73"/>
    <w:rsid w:val="00A61CEF"/>
    <w:rsid w:val="00A61FF5"/>
    <w:rsid w:val="00A6203C"/>
    <w:rsid w:val="00A627D9"/>
    <w:rsid w:val="00A63AFF"/>
    <w:rsid w:val="00A63C18"/>
    <w:rsid w:val="00A640FB"/>
    <w:rsid w:val="00A6493C"/>
    <w:rsid w:val="00A64E60"/>
    <w:rsid w:val="00A65480"/>
    <w:rsid w:val="00A65816"/>
    <w:rsid w:val="00A65B8A"/>
    <w:rsid w:val="00A65F9A"/>
    <w:rsid w:val="00A662DC"/>
    <w:rsid w:val="00A667E6"/>
    <w:rsid w:val="00A668B3"/>
    <w:rsid w:val="00A66A3E"/>
    <w:rsid w:val="00A66C6B"/>
    <w:rsid w:val="00A67103"/>
    <w:rsid w:val="00A672A4"/>
    <w:rsid w:val="00A6741B"/>
    <w:rsid w:val="00A67621"/>
    <w:rsid w:val="00A67777"/>
    <w:rsid w:val="00A700D4"/>
    <w:rsid w:val="00A70353"/>
    <w:rsid w:val="00A70ADE"/>
    <w:rsid w:val="00A70BDC"/>
    <w:rsid w:val="00A71926"/>
    <w:rsid w:val="00A71A90"/>
    <w:rsid w:val="00A729D9"/>
    <w:rsid w:val="00A73238"/>
    <w:rsid w:val="00A732B3"/>
    <w:rsid w:val="00A73554"/>
    <w:rsid w:val="00A73827"/>
    <w:rsid w:val="00A7402D"/>
    <w:rsid w:val="00A74226"/>
    <w:rsid w:val="00A742C7"/>
    <w:rsid w:val="00A743F1"/>
    <w:rsid w:val="00A757B0"/>
    <w:rsid w:val="00A75C56"/>
    <w:rsid w:val="00A75C77"/>
    <w:rsid w:val="00A761A3"/>
    <w:rsid w:val="00A7621A"/>
    <w:rsid w:val="00A76407"/>
    <w:rsid w:val="00A76A2E"/>
    <w:rsid w:val="00A776A4"/>
    <w:rsid w:val="00A8049D"/>
    <w:rsid w:val="00A81057"/>
    <w:rsid w:val="00A81467"/>
    <w:rsid w:val="00A8168F"/>
    <w:rsid w:val="00A81AED"/>
    <w:rsid w:val="00A821AB"/>
    <w:rsid w:val="00A822C2"/>
    <w:rsid w:val="00A82990"/>
    <w:rsid w:val="00A8353A"/>
    <w:rsid w:val="00A83D12"/>
    <w:rsid w:val="00A84326"/>
    <w:rsid w:val="00A844EE"/>
    <w:rsid w:val="00A85B0F"/>
    <w:rsid w:val="00A86073"/>
    <w:rsid w:val="00A86217"/>
    <w:rsid w:val="00A86655"/>
    <w:rsid w:val="00A86AE7"/>
    <w:rsid w:val="00A877BF"/>
    <w:rsid w:val="00A87B89"/>
    <w:rsid w:val="00A87D86"/>
    <w:rsid w:val="00A902A6"/>
    <w:rsid w:val="00A903BC"/>
    <w:rsid w:val="00A90401"/>
    <w:rsid w:val="00A90FE7"/>
    <w:rsid w:val="00A91042"/>
    <w:rsid w:val="00A91569"/>
    <w:rsid w:val="00A915AB"/>
    <w:rsid w:val="00A91634"/>
    <w:rsid w:val="00A91A16"/>
    <w:rsid w:val="00A91EB7"/>
    <w:rsid w:val="00A92198"/>
    <w:rsid w:val="00A921E3"/>
    <w:rsid w:val="00A923E8"/>
    <w:rsid w:val="00A92BB4"/>
    <w:rsid w:val="00A92C5F"/>
    <w:rsid w:val="00A93E3D"/>
    <w:rsid w:val="00A94538"/>
    <w:rsid w:val="00A94C03"/>
    <w:rsid w:val="00A94C3B"/>
    <w:rsid w:val="00A94D20"/>
    <w:rsid w:val="00A95219"/>
    <w:rsid w:val="00A9565C"/>
    <w:rsid w:val="00A962A5"/>
    <w:rsid w:val="00A96B75"/>
    <w:rsid w:val="00A9752B"/>
    <w:rsid w:val="00A97BBD"/>
    <w:rsid w:val="00AA01AE"/>
    <w:rsid w:val="00AA0C04"/>
    <w:rsid w:val="00AA0FCB"/>
    <w:rsid w:val="00AA12A9"/>
    <w:rsid w:val="00AA1618"/>
    <w:rsid w:val="00AA168A"/>
    <w:rsid w:val="00AA17FE"/>
    <w:rsid w:val="00AA2461"/>
    <w:rsid w:val="00AA248C"/>
    <w:rsid w:val="00AA265B"/>
    <w:rsid w:val="00AA2865"/>
    <w:rsid w:val="00AA2AA4"/>
    <w:rsid w:val="00AA2DDE"/>
    <w:rsid w:val="00AA3A9B"/>
    <w:rsid w:val="00AA3BE2"/>
    <w:rsid w:val="00AA3BF1"/>
    <w:rsid w:val="00AA3C76"/>
    <w:rsid w:val="00AA4101"/>
    <w:rsid w:val="00AA4C60"/>
    <w:rsid w:val="00AA4D26"/>
    <w:rsid w:val="00AA4F72"/>
    <w:rsid w:val="00AA5410"/>
    <w:rsid w:val="00AA5774"/>
    <w:rsid w:val="00AA59FD"/>
    <w:rsid w:val="00AA5D3B"/>
    <w:rsid w:val="00AA6026"/>
    <w:rsid w:val="00AA6120"/>
    <w:rsid w:val="00AA62FA"/>
    <w:rsid w:val="00AA65E6"/>
    <w:rsid w:val="00AA6605"/>
    <w:rsid w:val="00AA6B39"/>
    <w:rsid w:val="00AA6F68"/>
    <w:rsid w:val="00AA7051"/>
    <w:rsid w:val="00AA707C"/>
    <w:rsid w:val="00AA7086"/>
    <w:rsid w:val="00AA7979"/>
    <w:rsid w:val="00AA7A9F"/>
    <w:rsid w:val="00AB043F"/>
    <w:rsid w:val="00AB0D6B"/>
    <w:rsid w:val="00AB0F2A"/>
    <w:rsid w:val="00AB12D7"/>
    <w:rsid w:val="00AB153A"/>
    <w:rsid w:val="00AB195A"/>
    <w:rsid w:val="00AB1B62"/>
    <w:rsid w:val="00AB1EE6"/>
    <w:rsid w:val="00AB21C6"/>
    <w:rsid w:val="00AB24F6"/>
    <w:rsid w:val="00AB25C3"/>
    <w:rsid w:val="00AB2841"/>
    <w:rsid w:val="00AB2CB5"/>
    <w:rsid w:val="00AB34B0"/>
    <w:rsid w:val="00AB34DB"/>
    <w:rsid w:val="00AB38B6"/>
    <w:rsid w:val="00AB3FCD"/>
    <w:rsid w:val="00AB4214"/>
    <w:rsid w:val="00AB4A2E"/>
    <w:rsid w:val="00AB4CC1"/>
    <w:rsid w:val="00AB5268"/>
    <w:rsid w:val="00AB5AE4"/>
    <w:rsid w:val="00AB5D6B"/>
    <w:rsid w:val="00AB6603"/>
    <w:rsid w:val="00AB66CB"/>
    <w:rsid w:val="00AB7522"/>
    <w:rsid w:val="00AB75C6"/>
    <w:rsid w:val="00AB789D"/>
    <w:rsid w:val="00AB7A32"/>
    <w:rsid w:val="00AC001F"/>
    <w:rsid w:val="00AC0298"/>
    <w:rsid w:val="00AC12FA"/>
    <w:rsid w:val="00AC1460"/>
    <w:rsid w:val="00AC1629"/>
    <w:rsid w:val="00AC192D"/>
    <w:rsid w:val="00AC1E90"/>
    <w:rsid w:val="00AC2143"/>
    <w:rsid w:val="00AC2FE4"/>
    <w:rsid w:val="00AC3734"/>
    <w:rsid w:val="00AC381E"/>
    <w:rsid w:val="00AC394A"/>
    <w:rsid w:val="00AC4308"/>
    <w:rsid w:val="00AC45AD"/>
    <w:rsid w:val="00AC47BD"/>
    <w:rsid w:val="00AC48C6"/>
    <w:rsid w:val="00AC4C1A"/>
    <w:rsid w:val="00AC5113"/>
    <w:rsid w:val="00AC5218"/>
    <w:rsid w:val="00AC56A4"/>
    <w:rsid w:val="00AC59E3"/>
    <w:rsid w:val="00AC5B1C"/>
    <w:rsid w:val="00AC5DFF"/>
    <w:rsid w:val="00AC6236"/>
    <w:rsid w:val="00AC6705"/>
    <w:rsid w:val="00AC6CE2"/>
    <w:rsid w:val="00AC6F7D"/>
    <w:rsid w:val="00AC720A"/>
    <w:rsid w:val="00AC7431"/>
    <w:rsid w:val="00AC76A2"/>
    <w:rsid w:val="00AC7CF7"/>
    <w:rsid w:val="00AC7E33"/>
    <w:rsid w:val="00AC7E58"/>
    <w:rsid w:val="00AD0381"/>
    <w:rsid w:val="00AD0684"/>
    <w:rsid w:val="00AD0A15"/>
    <w:rsid w:val="00AD0AB8"/>
    <w:rsid w:val="00AD0CAF"/>
    <w:rsid w:val="00AD13CC"/>
    <w:rsid w:val="00AD1F61"/>
    <w:rsid w:val="00AD200E"/>
    <w:rsid w:val="00AD2111"/>
    <w:rsid w:val="00AD2144"/>
    <w:rsid w:val="00AD26A5"/>
    <w:rsid w:val="00AD2995"/>
    <w:rsid w:val="00AD29E1"/>
    <w:rsid w:val="00AD2DAD"/>
    <w:rsid w:val="00AD2F65"/>
    <w:rsid w:val="00AD34FF"/>
    <w:rsid w:val="00AD38A6"/>
    <w:rsid w:val="00AD3BB0"/>
    <w:rsid w:val="00AD4344"/>
    <w:rsid w:val="00AD4698"/>
    <w:rsid w:val="00AD524D"/>
    <w:rsid w:val="00AD5681"/>
    <w:rsid w:val="00AD5C2B"/>
    <w:rsid w:val="00AD60EA"/>
    <w:rsid w:val="00AD621F"/>
    <w:rsid w:val="00AD67D4"/>
    <w:rsid w:val="00AD6E3F"/>
    <w:rsid w:val="00AD70AF"/>
    <w:rsid w:val="00AD7873"/>
    <w:rsid w:val="00AD7E85"/>
    <w:rsid w:val="00AE000F"/>
    <w:rsid w:val="00AE03A1"/>
    <w:rsid w:val="00AE083B"/>
    <w:rsid w:val="00AE136D"/>
    <w:rsid w:val="00AE209A"/>
    <w:rsid w:val="00AE261E"/>
    <w:rsid w:val="00AE2BE5"/>
    <w:rsid w:val="00AE2E72"/>
    <w:rsid w:val="00AE312D"/>
    <w:rsid w:val="00AE386C"/>
    <w:rsid w:val="00AE3AA1"/>
    <w:rsid w:val="00AE3DD7"/>
    <w:rsid w:val="00AE429F"/>
    <w:rsid w:val="00AE4331"/>
    <w:rsid w:val="00AE4A16"/>
    <w:rsid w:val="00AE5098"/>
    <w:rsid w:val="00AE5F2E"/>
    <w:rsid w:val="00AE614D"/>
    <w:rsid w:val="00AE6F4F"/>
    <w:rsid w:val="00AE7849"/>
    <w:rsid w:val="00AE7977"/>
    <w:rsid w:val="00AF046F"/>
    <w:rsid w:val="00AF04B8"/>
    <w:rsid w:val="00AF04E7"/>
    <w:rsid w:val="00AF1393"/>
    <w:rsid w:val="00AF1E26"/>
    <w:rsid w:val="00AF1F10"/>
    <w:rsid w:val="00AF25D4"/>
    <w:rsid w:val="00AF376D"/>
    <w:rsid w:val="00AF39AB"/>
    <w:rsid w:val="00AF3D39"/>
    <w:rsid w:val="00AF4429"/>
    <w:rsid w:val="00AF493E"/>
    <w:rsid w:val="00AF497B"/>
    <w:rsid w:val="00AF4AE2"/>
    <w:rsid w:val="00AF51B8"/>
    <w:rsid w:val="00AF52DC"/>
    <w:rsid w:val="00AF5992"/>
    <w:rsid w:val="00AF5CBA"/>
    <w:rsid w:val="00AF66FF"/>
    <w:rsid w:val="00AF6912"/>
    <w:rsid w:val="00AF6A4C"/>
    <w:rsid w:val="00AF6DC8"/>
    <w:rsid w:val="00AF71CB"/>
    <w:rsid w:val="00AF7612"/>
    <w:rsid w:val="00AF7C9F"/>
    <w:rsid w:val="00B00035"/>
    <w:rsid w:val="00B00135"/>
    <w:rsid w:val="00B006C8"/>
    <w:rsid w:val="00B00941"/>
    <w:rsid w:val="00B00E32"/>
    <w:rsid w:val="00B014CD"/>
    <w:rsid w:val="00B01849"/>
    <w:rsid w:val="00B02046"/>
    <w:rsid w:val="00B02183"/>
    <w:rsid w:val="00B02482"/>
    <w:rsid w:val="00B02710"/>
    <w:rsid w:val="00B02922"/>
    <w:rsid w:val="00B02FA1"/>
    <w:rsid w:val="00B04690"/>
    <w:rsid w:val="00B04698"/>
    <w:rsid w:val="00B047C2"/>
    <w:rsid w:val="00B04CB1"/>
    <w:rsid w:val="00B04CCD"/>
    <w:rsid w:val="00B05152"/>
    <w:rsid w:val="00B05635"/>
    <w:rsid w:val="00B05A27"/>
    <w:rsid w:val="00B0665B"/>
    <w:rsid w:val="00B0720C"/>
    <w:rsid w:val="00B07620"/>
    <w:rsid w:val="00B07C31"/>
    <w:rsid w:val="00B07E33"/>
    <w:rsid w:val="00B101C1"/>
    <w:rsid w:val="00B103A8"/>
    <w:rsid w:val="00B105E5"/>
    <w:rsid w:val="00B1112E"/>
    <w:rsid w:val="00B11AB4"/>
    <w:rsid w:val="00B11AB6"/>
    <w:rsid w:val="00B12086"/>
    <w:rsid w:val="00B120FB"/>
    <w:rsid w:val="00B12882"/>
    <w:rsid w:val="00B12B02"/>
    <w:rsid w:val="00B12E10"/>
    <w:rsid w:val="00B12EE1"/>
    <w:rsid w:val="00B13074"/>
    <w:rsid w:val="00B1314F"/>
    <w:rsid w:val="00B13424"/>
    <w:rsid w:val="00B134AD"/>
    <w:rsid w:val="00B134D3"/>
    <w:rsid w:val="00B13797"/>
    <w:rsid w:val="00B1385F"/>
    <w:rsid w:val="00B14E13"/>
    <w:rsid w:val="00B151CF"/>
    <w:rsid w:val="00B1557A"/>
    <w:rsid w:val="00B15939"/>
    <w:rsid w:val="00B1593B"/>
    <w:rsid w:val="00B15B8A"/>
    <w:rsid w:val="00B15BD5"/>
    <w:rsid w:val="00B1605E"/>
    <w:rsid w:val="00B16C42"/>
    <w:rsid w:val="00B16C8C"/>
    <w:rsid w:val="00B17E0E"/>
    <w:rsid w:val="00B20445"/>
    <w:rsid w:val="00B204D6"/>
    <w:rsid w:val="00B206BA"/>
    <w:rsid w:val="00B20C4B"/>
    <w:rsid w:val="00B21D0C"/>
    <w:rsid w:val="00B22364"/>
    <w:rsid w:val="00B22D5B"/>
    <w:rsid w:val="00B23236"/>
    <w:rsid w:val="00B23F45"/>
    <w:rsid w:val="00B24059"/>
    <w:rsid w:val="00B24345"/>
    <w:rsid w:val="00B247AD"/>
    <w:rsid w:val="00B24932"/>
    <w:rsid w:val="00B24B65"/>
    <w:rsid w:val="00B24C09"/>
    <w:rsid w:val="00B24FA3"/>
    <w:rsid w:val="00B25D05"/>
    <w:rsid w:val="00B26265"/>
    <w:rsid w:val="00B2651B"/>
    <w:rsid w:val="00B26622"/>
    <w:rsid w:val="00B26669"/>
    <w:rsid w:val="00B26BAE"/>
    <w:rsid w:val="00B26F4C"/>
    <w:rsid w:val="00B27126"/>
    <w:rsid w:val="00B276B4"/>
    <w:rsid w:val="00B27ABD"/>
    <w:rsid w:val="00B301A9"/>
    <w:rsid w:val="00B303F6"/>
    <w:rsid w:val="00B3072E"/>
    <w:rsid w:val="00B307B7"/>
    <w:rsid w:val="00B309D4"/>
    <w:rsid w:val="00B30EAB"/>
    <w:rsid w:val="00B30F95"/>
    <w:rsid w:val="00B30FDE"/>
    <w:rsid w:val="00B316CD"/>
    <w:rsid w:val="00B31C81"/>
    <w:rsid w:val="00B328FF"/>
    <w:rsid w:val="00B32ADE"/>
    <w:rsid w:val="00B32CB7"/>
    <w:rsid w:val="00B33AB7"/>
    <w:rsid w:val="00B342C3"/>
    <w:rsid w:val="00B34CF2"/>
    <w:rsid w:val="00B34D94"/>
    <w:rsid w:val="00B352C3"/>
    <w:rsid w:val="00B35881"/>
    <w:rsid w:val="00B35BAD"/>
    <w:rsid w:val="00B35CE7"/>
    <w:rsid w:val="00B36028"/>
    <w:rsid w:val="00B366DC"/>
    <w:rsid w:val="00B36FBC"/>
    <w:rsid w:val="00B37216"/>
    <w:rsid w:val="00B374F3"/>
    <w:rsid w:val="00B40064"/>
    <w:rsid w:val="00B41216"/>
    <w:rsid w:val="00B41230"/>
    <w:rsid w:val="00B4144A"/>
    <w:rsid w:val="00B415AF"/>
    <w:rsid w:val="00B41780"/>
    <w:rsid w:val="00B4181F"/>
    <w:rsid w:val="00B41E28"/>
    <w:rsid w:val="00B421D8"/>
    <w:rsid w:val="00B4259A"/>
    <w:rsid w:val="00B42DC4"/>
    <w:rsid w:val="00B42EBC"/>
    <w:rsid w:val="00B4353D"/>
    <w:rsid w:val="00B43819"/>
    <w:rsid w:val="00B43E21"/>
    <w:rsid w:val="00B43EA0"/>
    <w:rsid w:val="00B43F93"/>
    <w:rsid w:val="00B443C7"/>
    <w:rsid w:val="00B44444"/>
    <w:rsid w:val="00B45056"/>
    <w:rsid w:val="00B45203"/>
    <w:rsid w:val="00B45A71"/>
    <w:rsid w:val="00B45AC0"/>
    <w:rsid w:val="00B45BB0"/>
    <w:rsid w:val="00B45BDA"/>
    <w:rsid w:val="00B45CD0"/>
    <w:rsid w:val="00B465CA"/>
    <w:rsid w:val="00B46A7B"/>
    <w:rsid w:val="00B471B5"/>
    <w:rsid w:val="00B47BC3"/>
    <w:rsid w:val="00B47DBA"/>
    <w:rsid w:val="00B50320"/>
    <w:rsid w:val="00B50462"/>
    <w:rsid w:val="00B50764"/>
    <w:rsid w:val="00B50870"/>
    <w:rsid w:val="00B50A44"/>
    <w:rsid w:val="00B51196"/>
    <w:rsid w:val="00B5190D"/>
    <w:rsid w:val="00B528CD"/>
    <w:rsid w:val="00B52B50"/>
    <w:rsid w:val="00B5308C"/>
    <w:rsid w:val="00B5331F"/>
    <w:rsid w:val="00B535F0"/>
    <w:rsid w:val="00B537B8"/>
    <w:rsid w:val="00B5390B"/>
    <w:rsid w:val="00B53BB9"/>
    <w:rsid w:val="00B53CE8"/>
    <w:rsid w:val="00B53E04"/>
    <w:rsid w:val="00B541F4"/>
    <w:rsid w:val="00B54303"/>
    <w:rsid w:val="00B547C5"/>
    <w:rsid w:val="00B550A1"/>
    <w:rsid w:val="00B552D6"/>
    <w:rsid w:val="00B55524"/>
    <w:rsid w:val="00B5584D"/>
    <w:rsid w:val="00B55AC7"/>
    <w:rsid w:val="00B5610A"/>
    <w:rsid w:val="00B5665D"/>
    <w:rsid w:val="00B567E8"/>
    <w:rsid w:val="00B56914"/>
    <w:rsid w:val="00B56F28"/>
    <w:rsid w:val="00B56FA1"/>
    <w:rsid w:val="00B570D1"/>
    <w:rsid w:val="00B5756D"/>
    <w:rsid w:val="00B575BF"/>
    <w:rsid w:val="00B579D9"/>
    <w:rsid w:val="00B57A69"/>
    <w:rsid w:val="00B57DF8"/>
    <w:rsid w:val="00B603B5"/>
    <w:rsid w:val="00B612EA"/>
    <w:rsid w:val="00B61C66"/>
    <w:rsid w:val="00B62577"/>
    <w:rsid w:val="00B62604"/>
    <w:rsid w:val="00B62DF2"/>
    <w:rsid w:val="00B62EF3"/>
    <w:rsid w:val="00B63AEC"/>
    <w:rsid w:val="00B64620"/>
    <w:rsid w:val="00B64F2D"/>
    <w:rsid w:val="00B65278"/>
    <w:rsid w:val="00B653A2"/>
    <w:rsid w:val="00B65587"/>
    <w:rsid w:val="00B6620F"/>
    <w:rsid w:val="00B66825"/>
    <w:rsid w:val="00B66A87"/>
    <w:rsid w:val="00B70238"/>
    <w:rsid w:val="00B712D0"/>
    <w:rsid w:val="00B71719"/>
    <w:rsid w:val="00B73245"/>
    <w:rsid w:val="00B7352C"/>
    <w:rsid w:val="00B7394B"/>
    <w:rsid w:val="00B73EF4"/>
    <w:rsid w:val="00B74022"/>
    <w:rsid w:val="00B7450D"/>
    <w:rsid w:val="00B74997"/>
    <w:rsid w:val="00B74FFB"/>
    <w:rsid w:val="00B75345"/>
    <w:rsid w:val="00B75396"/>
    <w:rsid w:val="00B757E5"/>
    <w:rsid w:val="00B75CC0"/>
    <w:rsid w:val="00B76035"/>
    <w:rsid w:val="00B762AA"/>
    <w:rsid w:val="00B76583"/>
    <w:rsid w:val="00B769A3"/>
    <w:rsid w:val="00B76D19"/>
    <w:rsid w:val="00B76E71"/>
    <w:rsid w:val="00B77139"/>
    <w:rsid w:val="00B775DB"/>
    <w:rsid w:val="00B777B7"/>
    <w:rsid w:val="00B779FB"/>
    <w:rsid w:val="00B77EAC"/>
    <w:rsid w:val="00B77FE3"/>
    <w:rsid w:val="00B80122"/>
    <w:rsid w:val="00B809B3"/>
    <w:rsid w:val="00B80D24"/>
    <w:rsid w:val="00B8111B"/>
    <w:rsid w:val="00B81316"/>
    <w:rsid w:val="00B81C1E"/>
    <w:rsid w:val="00B81F38"/>
    <w:rsid w:val="00B8205C"/>
    <w:rsid w:val="00B8231C"/>
    <w:rsid w:val="00B823AC"/>
    <w:rsid w:val="00B826B8"/>
    <w:rsid w:val="00B82ADA"/>
    <w:rsid w:val="00B82B44"/>
    <w:rsid w:val="00B82F73"/>
    <w:rsid w:val="00B83217"/>
    <w:rsid w:val="00B83B62"/>
    <w:rsid w:val="00B83BAE"/>
    <w:rsid w:val="00B84210"/>
    <w:rsid w:val="00B84564"/>
    <w:rsid w:val="00B84842"/>
    <w:rsid w:val="00B8535F"/>
    <w:rsid w:val="00B8580D"/>
    <w:rsid w:val="00B86C81"/>
    <w:rsid w:val="00B86C92"/>
    <w:rsid w:val="00B877C5"/>
    <w:rsid w:val="00B878CD"/>
    <w:rsid w:val="00B87990"/>
    <w:rsid w:val="00B90368"/>
    <w:rsid w:val="00B90D70"/>
    <w:rsid w:val="00B90F7C"/>
    <w:rsid w:val="00B91818"/>
    <w:rsid w:val="00B91CB1"/>
    <w:rsid w:val="00B9228B"/>
    <w:rsid w:val="00B923CE"/>
    <w:rsid w:val="00B9249B"/>
    <w:rsid w:val="00B92A1B"/>
    <w:rsid w:val="00B92C2B"/>
    <w:rsid w:val="00B93003"/>
    <w:rsid w:val="00B9355D"/>
    <w:rsid w:val="00B93698"/>
    <w:rsid w:val="00B93847"/>
    <w:rsid w:val="00B93A98"/>
    <w:rsid w:val="00B93F42"/>
    <w:rsid w:val="00B93F80"/>
    <w:rsid w:val="00B9412E"/>
    <w:rsid w:val="00B94255"/>
    <w:rsid w:val="00B94369"/>
    <w:rsid w:val="00B94A7B"/>
    <w:rsid w:val="00B94C5A"/>
    <w:rsid w:val="00B9536C"/>
    <w:rsid w:val="00B953B9"/>
    <w:rsid w:val="00B95857"/>
    <w:rsid w:val="00B95878"/>
    <w:rsid w:val="00B958E2"/>
    <w:rsid w:val="00B95FC5"/>
    <w:rsid w:val="00B96145"/>
    <w:rsid w:val="00B962BC"/>
    <w:rsid w:val="00B967E5"/>
    <w:rsid w:val="00B9685C"/>
    <w:rsid w:val="00B97821"/>
    <w:rsid w:val="00B97969"/>
    <w:rsid w:val="00B97B20"/>
    <w:rsid w:val="00B97E52"/>
    <w:rsid w:val="00BA0CC0"/>
    <w:rsid w:val="00BA10FC"/>
    <w:rsid w:val="00BA1FFB"/>
    <w:rsid w:val="00BA26B4"/>
    <w:rsid w:val="00BA2852"/>
    <w:rsid w:val="00BA2B3F"/>
    <w:rsid w:val="00BA2FB4"/>
    <w:rsid w:val="00BA4669"/>
    <w:rsid w:val="00BA4A66"/>
    <w:rsid w:val="00BA4CBD"/>
    <w:rsid w:val="00BA4E45"/>
    <w:rsid w:val="00BA4EB9"/>
    <w:rsid w:val="00BA4EF7"/>
    <w:rsid w:val="00BA525C"/>
    <w:rsid w:val="00BA55F0"/>
    <w:rsid w:val="00BA570B"/>
    <w:rsid w:val="00BA59FB"/>
    <w:rsid w:val="00BA6072"/>
    <w:rsid w:val="00BA75B0"/>
    <w:rsid w:val="00BA7C87"/>
    <w:rsid w:val="00BA7E18"/>
    <w:rsid w:val="00BB07ED"/>
    <w:rsid w:val="00BB1089"/>
    <w:rsid w:val="00BB14A3"/>
    <w:rsid w:val="00BB1C6E"/>
    <w:rsid w:val="00BB1E3B"/>
    <w:rsid w:val="00BB2161"/>
    <w:rsid w:val="00BB27C0"/>
    <w:rsid w:val="00BB2951"/>
    <w:rsid w:val="00BB2B9F"/>
    <w:rsid w:val="00BB3035"/>
    <w:rsid w:val="00BB308D"/>
    <w:rsid w:val="00BB30F0"/>
    <w:rsid w:val="00BB34EE"/>
    <w:rsid w:val="00BB37E1"/>
    <w:rsid w:val="00BB3AD0"/>
    <w:rsid w:val="00BB3D68"/>
    <w:rsid w:val="00BB3F72"/>
    <w:rsid w:val="00BB41B5"/>
    <w:rsid w:val="00BB4476"/>
    <w:rsid w:val="00BB46E3"/>
    <w:rsid w:val="00BB4761"/>
    <w:rsid w:val="00BB5207"/>
    <w:rsid w:val="00BB5518"/>
    <w:rsid w:val="00BB57E0"/>
    <w:rsid w:val="00BB5913"/>
    <w:rsid w:val="00BB6C85"/>
    <w:rsid w:val="00BB6FA5"/>
    <w:rsid w:val="00BB758C"/>
    <w:rsid w:val="00BB76FA"/>
    <w:rsid w:val="00BB78BD"/>
    <w:rsid w:val="00BB7C94"/>
    <w:rsid w:val="00BC01CD"/>
    <w:rsid w:val="00BC0231"/>
    <w:rsid w:val="00BC0290"/>
    <w:rsid w:val="00BC051C"/>
    <w:rsid w:val="00BC0953"/>
    <w:rsid w:val="00BC144A"/>
    <w:rsid w:val="00BC1509"/>
    <w:rsid w:val="00BC15DE"/>
    <w:rsid w:val="00BC160D"/>
    <w:rsid w:val="00BC1691"/>
    <w:rsid w:val="00BC17C8"/>
    <w:rsid w:val="00BC17E2"/>
    <w:rsid w:val="00BC190C"/>
    <w:rsid w:val="00BC2A73"/>
    <w:rsid w:val="00BC334A"/>
    <w:rsid w:val="00BC369C"/>
    <w:rsid w:val="00BC3857"/>
    <w:rsid w:val="00BC3C1C"/>
    <w:rsid w:val="00BC3CC8"/>
    <w:rsid w:val="00BC3CCC"/>
    <w:rsid w:val="00BC3E97"/>
    <w:rsid w:val="00BC4578"/>
    <w:rsid w:val="00BC495E"/>
    <w:rsid w:val="00BC4972"/>
    <w:rsid w:val="00BC52FC"/>
    <w:rsid w:val="00BC5E49"/>
    <w:rsid w:val="00BC63E9"/>
    <w:rsid w:val="00BC6897"/>
    <w:rsid w:val="00BC69B3"/>
    <w:rsid w:val="00BC6A29"/>
    <w:rsid w:val="00BC6B85"/>
    <w:rsid w:val="00BC76FA"/>
    <w:rsid w:val="00BC796A"/>
    <w:rsid w:val="00BD0649"/>
    <w:rsid w:val="00BD0FA0"/>
    <w:rsid w:val="00BD118C"/>
    <w:rsid w:val="00BD1A60"/>
    <w:rsid w:val="00BD1AE1"/>
    <w:rsid w:val="00BD1B8D"/>
    <w:rsid w:val="00BD25AF"/>
    <w:rsid w:val="00BD314A"/>
    <w:rsid w:val="00BD33D4"/>
    <w:rsid w:val="00BD3509"/>
    <w:rsid w:val="00BD3597"/>
    <w:rsid w:val="00BD35BA"/>
    <w:rsid w:val="00BD383C"/>
    <w:rsid w:val="00BD3E54"/>
    <w:rsid w:val="00BD40B1"/>
    <w:rsid w:val="00BD4733"/>
    <w:rsid w:val="00BD4A37"/>
    <w:rsid w:val="00BD4C11"/>
    <w:rsid w:val="00BD4CE1"/>
    <w:rsid w:val="00BD4FFB"/>
    <w:rsid w:val="00BD510C"/>
    <w:rsid w:val="00BD5AF6"/>
    <w:rsid w:val="00BD5D97"/>
    <w:rsid w:val="00BD6DFD"/>
    <w:rsid w:val="00BD6EDB"/>
    <w:rsid w:val="00BD6F37"/>
    <w:rsid w:val="00BD710E"/>
    <w:rsid w:val="00BD7CBF"/>
    <w:rsid w:val="00BE0777"/>
    <w:rsid w:val="00BE096B"/>
    <w:rsid w:val="00BE20E8"/>
    <w:rsid w:val="00BE2B15"/>
    <w:rsid w:val="00BE3307"/>
    <w:rsid w:val="00BE3449"/>
    <w:rsid w:val="00BE36B5"/>
    <w:rsid w:val="00BE3A39"/>
    <w:rsid w:val="00BE414A"/>
    <w:rsid w:val="00BE41AB"/>
    <w:rsid w:val="00BE47BF"/>
    <w:rsid w:val="00BE4F90"/>
    <w:rsid w:val="00BE5330"/>
    <w:rsid w:val="00BE5374"/>
    <w:rsid w:val="00BE58B9"/>
    <w:rsid w:val="00BE5D63"/>
    <w:rsid w:val="00BE627A"/>
    <w:rsid w:val="00BE6333"/>
    <w:rsid w:val="00BE6651"/>
    <w:rsid w:val="00BE6847"/>
    <w:rsid w:val="00BE6CA4"/>
    <w:rsid w:val="00BE6CD2"/>
    <w:rsid w:val="00BE6CD8"/>
    <w:rsid w:val="00BE6CE8"/>
    <w:rsid w:val="00BE6F15"/>
    <w:rsid w:val="00BE7162"/>
    <w:rsid w:val="00BE7486"/>
    <w:rsid w:val="00BE7EDC"/>
    <w:rsid w:val="00BF027D"/>
    <w:rsid w:val="00BF0303"/>
    <w:rsid w:val="00BF03A3"/>
    <w:rsid w:val="00BF0F63"/>
    <w:rsid w:val="00BF13B2"/>
    <w:rsid w:val="00BF1B03"/>
    <w:rsid w:val="00BF1C60"/>
    <w:rsid w:val="00BF1EA8"/>
    <w:rsid w:val="00BF223A"/>
    <w:rsid w:val="00BF2BA5"/>
    <w:rsid w:val="00BF2E92"/>
    <w:rsid w:val="00BF3883"/>
    <w:rsid w:val="00BF4782"/>
    <w:rsid w:val="00BF47B1"/>
    <w:rsid w:val="00BF4A2E"/>
    <w:rsid w:val="00BF4B19"/>
    <w:rsid w:val="00BF4C25"/>
    <w:rsid w:val="00BF4D60"/>
    <w:rsid w:val="00BF5779"/>
    <w:rsid w:val="00BF5AB1"/>
    <w:rsid w:val="00BF5DAA"/>
    <w:rsid w:val="00BF6005"/>
    <w:rsid w:val="00BF60A6"/>
    <w:rsid w:val="00BF6CF0"/>
    <w:rsid w:val="00BF6FE7"/>
    <w:rsid w:val="00BF7C54"/>
    <w:rsid w:val="00BF7DD7"/>
    <w:rsid w:val="00BF7E69"/>
    <w:rsid w:val="00C002C6"/>
    <w:rsid w:val="00C00CD7"/>
    <w:rsid w:val="00C0154A"/>
    <w:rsid w:val="00C018E9"/>
    <w:rsid w:val="00C01C6D"/>
    <w:rsid w:val="00C01D5F"/>
    <w:rsid w:val="00C022A5"/>
    <w:rsid w:val="00C0239A"/>
    <w:rsid w:val="00C02A6E"/>
    <w:rsid w:val="00C02D6E"/>
    <w:rsid w:val="00C02DF2"/>
    <w:rsid w:val="00C02E5D"/>
    <w:rsid w:val="00C02FF0"/>
    <w:rsid w:val="00C0332A"/>
    <w:rsid w:val="00C0345A"/>
    <w:rsid w:val="00C03511"/>
    <w:rsid w:val="00C044BC"/>
    <w:rsid w:val="00C04B1A"/>
    <w:rsid w:val="00C04C3A"/>
    <w:rsid w:val="00C05269"/>
    <w:rsid w:val="00C055D0"/>
    <w:rsid w:val="00C05700"/>
    <w:rsid w:val="00C05810"/>
    <w:rsid w:val="00C05EF9"/>
    <w:rsid w:val="00C06C21"/>
    <w:rsid w:val="00C07324"/>
    <w:rsid w:val="00C074CD"/>
    <w:rsid w:val="00C077F1"/>
    <w:rsid w:val="00C07AA3"/>
    <w:rsid w:val="00C07F8C"/>
    <w:rsid w:val="00C107C3"/>
    <w:rsid w:val="00C10927"/>
    <w:rsid w:val="00C11220"/>
    <w:rsid w:val="00C11282"/>
    <w:rsid w:val="00C11800"/>
    <w:rsid w:val="00C11C09"/>
    <w:rsid w:val="00C11E72"/>
    <w:rsid w:val="00C12035"/>
    <w:rsid w:val="00C121C5"/>
    <w:rsid w:val="00C12714"/>
    <w:rsid w:val="00C12D32"/>
    <w:rsid w:val="00C12E4F"/>
    <w:rsid w:val="00C132A7"/>
    <w:rsid w:val="00C13334"/>
    <w:rsid w:val="00C13384"/>
    <w:rsid w:val="00C134AD"/>
    <w:rsid w:val="00C13520"/>
    <w:rsid w:val="00C136CE"/>
    <w:rsid w:val="00C1475B"/>
    <w:rsid w:val="00C14798"/>
    <w:rsid w:val="00C14F9B"/>
    <w:rsid w:val="00C14FAB"/>
    <w:rsid w:val="00C157DF"/>
    <w:rsid w:val="00C15962"/>
    <w:rsid w:val="00C15F42"/>
    <w:rsid w:val="00C1610B"/>
    <w:rsid w:val="00C1611D"/>
    <w:rsid w:val="00C168CA"/>
    <w:rsid w:val="00C16C9A"/>
    <w:rsid w:val="00C16EA6"/>
    <w:rsid w:val="00C175E4"/>
    <w:rsid w:val="00C17B92"/>
    <w:rsid w:val="00C17D61"/>
    <w:rsid w:val="00C202B1"/>
    <w:rsid w:val="00C20C65"/>
    <w:rsid w:val="00C21F4D"/>
    <w:rsid w:val="00C228AD"/>
    <w:rsid w:val="00C22921"/>
    <w:rsid w:val="00C231C2"/>
    <w:rsid w:val="00C232E0"/>
    <w:rsid w:val="00C2373A"/>
    <w:rsid w:val="00C237DE"/>
    <w:rsid w:val="00C24B5E"/>
    <w:rsid w:val="00C25265"/>
    <w:rsid w:val="00C252B1"/>
    <w:rsid w:val="00C2534F"/>
    <w:rsid w:val="00C2597A"/>
    <w:rsid w:val="00C2597B"/>
    <w:rsid w:val="00C263CD"/>
    <w:rsid w:val="00C267B8"/>
    <w:rsid w:val="00C26B7A"/>
    <w:rsid w:val="00C27580"/>
    <w:rsid w:val="00C27601"/>
    <w:rsid w:val="00C278D8"/>
    <w:rsid w:val="00C30058"/>
    <w:rsid w:val="00C3031C"/>
    <w:rsid w:val="00C304F6"/>
    <w:rsid w:val="00C30C83"/>
    <w:rsid w:val="00C30DAB"/>
    <w:rsid w:val="00C31261"/>
    <w:rsid w:val="00C31623"/>
    <w:rsid w:val="00C317A2"/>
    <w:rsid w:val="00C318D3"/>
    <w:rsid w:val="00C31908"/>
    <w:rsid w:val="00C324FE"/>
    <w:rsid w:val="00C32951"/>
    <w:rsid w:val="00C329B5"/>
    <w:rsid w:val="00C32BE3"/>
    <w:rsid w:val="00C32C7A"/>
    <w:rsid w:val="00C33B8E"/>
    <w:rsid w:val="00C3414C"/>
    <w:rsid w:val="00C34169"/>
    <w:rsid w:val="00C343FC"/>
    <w:rsid w:val="00C3466F"/>
    <w:rsid w:val="00C34674"/>
    <w:rsid w:val="00C350CD"/>
    <w:rsid w:val="00C35AEA"/>
    <w:rsid w:val="00C35C87"/>
    <w:rsid w:val="00C35DB5"/>
    <w:rsid w:val="00C361FA"/>
    <w:rsid w:val="00C36464"/>
    <w:rsid w:val="00C3651F"/>
    <w:rsid w:val="00C36633"/>
    <w:rsid w:val="00C36E9D"/>
    <w:rsid w:val="00C36F65"/>
    <w:rsid w:val="00C37BC0"/>
    <w:rsid w:val="00C37C2E"/>
    <w:rsid w:val="00C37C86"/>
    <w:rsid w:val="00C409B4"/>
    <w:rsid w:val="00C40E59"/>
    <w:rsid w:val="00C412B1"/>
    <w:rsid w:val="00C4143C"/>
    <w:rsid w:val="00C418A0"/>
    <w:rsid w:val="00C41F6C"/>
    <w:rsid w:val="00C42240"/>
    <w:rsid w:val="00C43287"/>
    <w:rsid w:val="00C4436C"/>
    <w:rsid w:val="00C4459A"/>
    <w:rsid w:val="00C44944"/>
    <w:rsid w:val="00C44AF0"/>
    <w:rsid w:val="00C44B9F"/>
    <w:rsid w:val="00C454B3"/>
    <w:rsid w:val="00C461B2"/>
    <w:rsid w:val="00C46370"/>
    <w:rsid w:val="00C46831"/>
    <w:rsid w:val="00C468AF"/>
    <w:rsid w:val="00C468BC"/>
    <w:rsid w:val="00C46D6B"/>
    <w:rsid w:val="00C47B4A"/>
    <w:rsid w:val="00C47C8E"/>
    <w:rsid w:val="00C47D96"/>
    <w:rsid w:val="00C5087F"/>
    <w:rsid w:val="00C5088C"/>
    <w:rsid w:val="00C50964"/>
    <w:rsid w:val="00C50A63"/>
    <w:rsid w:val="00C510A6"/>
    <w:rsid w:val="00C516E4"/>
    <w:rsid w:val="00C51A10"/>
    <w:rsid w:val="00C521FE"/>
    <w:rsid w:val="00C52756"/>
    <w:rsid w:val="00C52963"/>
    <w:rsid w:val="00C52FD1"/>
    <w:rsid w:val="00C53084"/>
    <w:rsid w:val="00C533F5"/>
    <w:rsid w:val="00C5359B"/>
    <w:rsid w:val="00C53760"/>
    <w:rsid w:val="00C53AF7"/>
    <w:rsid w:val="00C5438B"/>
    <w:rsid w:val="00C54588"/>
    <w:rsid w:val="00C548C0"/>
    <w:rsid w:val="00C54A7B"/>
    <w:rsid w:val="00C55141"/>
    <w:rsid w:val="00C5533A"/>
    <w:rsid w:val="00C554B5"/>
    <w:rsid w:val="00C555F9"/>
    <w:rsid w:val="00C55900"/>
    <w:rsid w:val="00C55970"/>
    <w:rsid w:val="00C56A19"/>
    <w:rsid w:val="00C56C12"/>
    <w:rsid w:val="00C56EF2"/>
    <w:rsid w:val="00C570A6"/>
    <w:rsid w:val="00C579F3"/>
    <w:rsid w:val="00C600B3"/>
    <w:rsid w:val="00C6069E"/>
    <w:rsid w:val="00C60C2E"/>
    <w:rsid w:val="00C60DE1"/>
    <w:rsid w:val="00C60F3F"/>
    <w:rsid w:val="00C61044"/>
    <w:rsid w:val="00C61391"/>
    <w:rsid w:val="00C61464"/>
    <w:rsid w:val="00C619E8"/>
    <w:rsid w:val="00C61DBC"/>
    <w:rsid w:val="00C62375"/>
    <w:rsid w:val="00C62891"/>
    <w:rsid w:val="00C62E22"/>
    <w:rsid w:val="00C62F45"/>
    <w:rsid w:val="00C63263"/>
    <w:rsid w:val="00C63539"/>
    <w:rsid w:val="00C636F8"/>
    <w:rsid w:val="00C63B50"/>
    <w:rsid w:val="00C642D7"/>
    <w:rsid w:val="00C648E8"/>
    <w:rsid w:val="00C64CA4"/>
    <w:rsid w:val="00C64D48"/>
    <w:rsid w:val="00C65BD8"/>
    <w:rsid w:val="00C66880"/>
    <w:rsid w:val="00C67283"/>
    <w:rsid w:val="00C674A9"/>
    <w:rsid w:val="00C67567"/>
    <w:rsid w:val="00C67954"/>
    <w:rsid w:val="00C67E8E"/>
    <w:rsid w:val="00C67E99"/>
    <w:rsid w:val="00C70C28"/>
    <w:rsid w:val="00C70D0C"/>
    <w:rsid w:val="00C70FC1"/>
    <w:rsid w:val="00C71B14"/>
    <w:rsid w:val="00C71E35"/>
    <w:rsid w:val="00C7213D"/>
    <w:rsid w:val="00C72177"/>
    <w:rsid w:val="00C72653"/>
    <w:rsid w:val="00C72C2D"/>
    <w:rsid w:val="00C733E3"/>
    <w:rsid w:val="00C735AC"/>
    <w:rsid w:val="00C73616"/>
    <w:rsid w:val="00C73EC4"/>
    <w:rsid w:val="00C74358"/>
    <w:rsid w:val="00C74B8C"/>
    <w:rsid w:val="00C75A90"/>
    <w:rsid w:val="00C75AE1"/>
    <w:rsid w:val="00C75BAD"/>
    <w:rsid w:val="00C76559"/>
    <w:rsid w:val="00C76CDC"/>
    <w:rsid w:val="00C7719D"/>
    <w:rsid w:val="00C773DB"/>
    <w:rsid w:val="00C77FFD"/>
    <w:rsid w:val="00C807A8"/>
    <w:rsid w:val="00C80B57"/>
    <w:rsid w:val="00C81226"/>
    <w:rsid w:val="00C8133A"/>
    <w:rsid w:val="00C8254E"/>
    <w:rsid w:val="00C8268F"/>
    <w:rsid w:val="00C82C34"/>
    <w:rsid w:val="00C82C37"/>
    <w:rsid w:val="00C82D01"/>
    <w:rsid w:val="00C834F9"/>
    <w:rsid w:val="00C83535"/>
    <w:rsid w:val="00C839B0"/>
    <w:rsid w:val="00C83D84"/>
    <w:rsid w:val="00C83E9A"/>
    <w:rsid w:val="00C85C1B"/>
    <w:rsid w:val="00C85E29"/>
    <w:rsid w:val="00C85E69"/>
    <w:rsid w:val="00C86A5B"/>
    <w:rsid w:val="00C87436"/>
    <w:rsid w:val="00C87D04"/>
    <w:rsid w:val="00C90332"/>
    <w:rsid w:val="00C90A1C"/>
    <w:rsid w:val="00C90E85"/>
    <w:rsid w:val="00C91203"/>
    <w:rsid w:val="00C91651"/>
    <w:rsid w:val="00C917A4"/>
    <w:rsid w:val="00C919CE"/>
    <w:rsid w:val="00C91EDF"/>
    <w:rsid w:val="00C922A2"/>
    <w:rsid w:val="00C92A55"/>
    <w:rsid w:val="00C92DA7"/>
    <w:rsid w:val="00C93554"/>
    <w:rsid w:val="00C936F1"/>
    <w:rsid w:val="00C93F4C"/>
    <w:rsid w:val="00C94499"/>
    <w:rsid w:val="00C944A0"/>
    <w:rsid w:val="00C9482A"/>
    <w:rsid w:val="00C94A2E"/>
    <w:rsid w:val="00C951F2"/>
    <w:rsid w:val="00C953C8"/>
    <w:rsid w:val="00C95BFA"/>
    <w:rsid w:val="00C95E21"/>
    <w:rsid w:val="00C95EB0"/>
    <w:rsid w:val="00C95EF2"/>
    <w:rsid w:val="00C96244"/>
    <w:rsid w:val="00C962D6"/>
    <w:rsid w:val="00C9661B"/>
    <w:rsid w:val="00C96BF2"/>
    <w:rsid w:val="00C96EC1"/>
    <w:rsid w:val="00C9752E"/>
    <w:rsid w:val="00C97946"/>
    <w:rsid w:val="00C97AC3"/>
    <w:rsid w:val="00C97CEE"/>
    <w:rsid w:val="00C97F5F"/>
    <w:rsid w:val="00CA060D"/>
    <w:rsid w:val="00CA09F4"/>
    <w:rsid w:val="00CA0C0F"/>
    <w:rsid w:val="00CA143E"/>
    <w:rsid w:val="00CA15BB"/>
    <w:rsid w:val="00CA16C5"/>
    <w:rsid w:val="00CA26EA"/>
    <w:rsid w:val="00CA272F"/>
    <w:rsid w:val="00CA2FB2"/>
    <w:rsid w:val="00CA3258"/>
    <w:rsid w:val="00CA3D3A"/>
    <w:rsid w:val="00CA42D6"/>
    <w:rsid w:val="00CA4D1D"/>
    <w:rsid w:val="00CA5031"/>
    <w:rsid w:val="00CA528A"/>
    <w:rsid w:val="00CA5950"/>
    <w:rsid w:val="00CA5F5A"/>
    <w:rsid w:val="00CA6B7E"/>
    <w:rsid w:val="00CA6E5E"/>
    <w:rsid w:val="00CA7472"/>
    <w:rsid w:val="00CA7B1E"/>
    <w:rsid w:val="00CA7ED5"/>
    <w:rsid w:val="00CB0481"/>
    <w:rsid w:val="00CB0CC8"/>
    <w:rsid w:val="00CB10BD"/>
    <w:rsid w:val="00CB15E9"/>
    <w:rsid w:val="00CB19E8"/>
    <w:rsid w:val="00CB246F"/>
    <w:rsid w:val="00CB2747"/>
    <w:rsid w:val="00CB2BD5"/>
    <w:rsid w:val="00CB3441"/>
    <w:rsid w:val="00CB356A"/>
    <w:rsid w:val="00CB3E09"/>
    <w:rsid w:val="00CB4A5F"/>
    <w:rsid w:val="00CB5000"/>
    <w:rsid w:val="00CB564F"/>
    <w:rsid w:val="00CB5C55"/>
    <w:rsid w:val="00CB60A5"/>
    <w:rsid w:val="00CB664D"/>
    <w:rsid w:val="00CB6CA7"/>
    <w:rsid w:val="00CB6D8D"/>
    <w:rsid w:val="00CB724F"/>
    <w:rsid w:val="00CB72ED"/>
    <w:rsid w:val="00CB7D3C"/>
    <w:rsid w:val="00CB7F7D"/>
    <w:rsid w:val="00CC0B72"/>
    <w:rsid w:val="00CC13C1"/>
    <w:rsid w:val="00CC14A6"/>
    <w:rsid w:val="00CC1581"/>
    <w:rsid w:val="00CC1AA8"/>
    <w:rsid w:val="00CC1D1A"/>
    <w:rsid w:val="00CC1DE7"/>
    <w:rsid w:val="00CC2264"/>
    <w:rsid w:val="00CC290D"/>
    <w:rsid w:val="00CC2929"/>
    <w:rsid w:val="00CC2DE8"/>
    <w:rsid w:val="00CC33CB"/>
    <w:rsid w:val="00CC34C9"/>
    <w:rsid w:val="00CC3B03"/>
    <w:rsid w:val="00CC3F7D"/>
    <w:rsid w:val="00CC4061"/>
    <w:rsid w:val="00CC44E7"/>
    <w:rsid w:val="00CC5439"/>
    <w:rsid w:val="00CC5956"/>
    <w:rsid w:val="00CC6227"/>
    <w:rsid w:val="00CC6260"/>
    <w:rsid w:val="00CC6540"/>
    <w:rsid w:val="00CC6617"/>
    <w:rsid w:val="00CC69FA"/>
    <w:rsid w:val="00CC6E8F"/>
    <w:rsid w:val="00CC7ACC"/>
    <w:rsid w:val="00CD0413"/>
    <w:rsid w:val="00CD062E"/>
    <w:rsid w:val="00CD06DD"/>
    <w:rsid w:val="00CD1404"/>
    <w:rsid w:val="00CD14D3"/>
    <w:rsid w:val="00CD1A42"/>
    <w:rsid w:val="00CD277E"/>
    <w:rsid w:val="00CD2AD9"/>
    <w:rsid w:val="00CD30C7"/>
    <w:rsid w:val="00CD3247"/>
    <w:rsid w:val="00CD388D"/>
    <w:rsid w:val="00CD3946"/>
    <w:rsid w:val="00CD3B5F"/>
    <w:rsid w:val="00CD3D4A"/>
    <w:rsid w:val="00CD48D1"/>
    <w:rsid w:val="00CD4E73"/>
    <w:rsid w:val="00CD5289"/>
    <w:rsid w:val="00CD52AC"/>
    <w:rsid w:val="00CD5BE4"/>
    <w:rsid w:val="00CD5CED"/>
    <w:rsid w:val="00CD5D0D"/>
    <w:rsid w:val="00CD6244"/>
    <w:rsid w:val="00CD62A6"/>
    <w:rsid w:val="00CD6C04"/>
    <w:rsid w:val="00CD7B74"/>
    <w:rsid w:val="00CD7E52"/>
    <w:rsid w:val="00CD7E78"/>
    <w:rsid w:val="00CE01D5"/>
    <w:rsid w:val="00CE036D"/>
    <w:rsid w:val="00CE074E"/>
    <w:rsid w:val="00CE07D7"/>
    <w:rsid w:val="00CE08E1"/>
    <w:rsid w:val="00CE0B75"/>
    <w:rsid w:val="00CE104D"/>
    <w:rsid w:val="00CE1175"/>
    <w:rsid w:val="00CE12A4"/>
    <w:rsid w:val="00CE1491"/>
    <w:rsid w:val="00CE2134"/>
    <w:rsid w:val="00CE22E2"/>
    <w:rsid w:val="00CE2325"/>
    <w:rsid w:val="00CE2775"/>
    <w:rsid w:val="00CE28B7"/>
    <w:rsid w:val="00CE28E3"/>
    <w:rsid w:val="00CE2ADC"/>
    <w:rsid w:val="00CE323C"/>
    <w:rsid w:val="00CE35A7"/>
    <w:rsid w:val="00CE3875"/>
    <w:rsid w:val="00CE3902"/>
    <w:rsid w:val="00CE39FC"/>
    <w:rsid w:val="00CE3A74"/>
    <w:rsid w:val="00CE3DD9"/>
    <w:rsid w:val="00CE4291"/>
    <w:rsid w:val="00CE47D1"/>
    <w:rsid w:val="00CE4C12"/>
    <w:rsid w:val="00CE576B"/>
    <w:rsid w:val="00CE5851"/>
    <w:rsid w:val="00CE593B"/>
    <w:rsid w:val="00CE5D1A"/>
    <w:rsid w:val="00CE5E67"/>
    <w:rsid w:val="00CE5FEF"/>
    <w:rsid w:val="00CE6058"/>
    <w:rsid w:val="00CE699A"/>
    <w:rsid w:val="00CE7104"/>
    <w:rsid w:val="00CE786F"/>
    <w:rsid w:val="00CE7AC0"/>
    <w:rsid w:val="00CF0192"/>
    <w:rsid w:val="00CF0344"/>
    <w:rsid w:val="00CF03B3"/>
    <w:rsid w:val="00CF0935"/>
    <w:rsid w:val="00CF1A2D"/>
    <w:rsid w:val="00CF24E0"/>
    <w:rsid w:val="00CF2913"/>
    <w:rsid w:val="00CF2B60"/>
    <w:rsid w:val="00CF2E90"/>
    <w:rsid w:val="00CF3338"/>
    <w:rsid w:val="00CF38C7"/>
    <w:rsid w:val="00CF3A22"/>
    <w:rsid w:val="00CF3F15"/>
    <w:rsid w:val="00CF439F"/>
    <w:rsid w:val="00CF4967"/>
    <w:rsid w:val="00CF49C6"/>
    <w:rsid w:val="00CF4A3B"/>
    <w:rsid w:val="00CF5857"/>
    <w:rsid w:val="00CF5EE0"/>
    <w:rsid w:val="00CF62AE"/>
    <w:rsid w:val="00CF653C"/>
    <w:rsid w:val="00CF6FF3"/>
    <w:rsid w:val="00CF7120"/>
    <w:rsid w:val="00CF724C"/>
    <w:rsid w:val="00CF7A8D"/>
    <w:rsid w:val="00D001B4"/>
    <w:rsid w:val="00D003B7"/>
    <w:rsid w:val="00D00E36"/>
    <w:rsid w:val="00D0135E"/>
    <w:rsid w:val="00D02137"/>
    <w:rsid w:val="00D024AF"/>
    <w:rsid w:val="00D025A6"/>
    <w:rsid w:val="00D02F4F"/>
    <w:rsid w:val="00D0330A"/>
    <w:rsid w:val="00D0355A"/>
    <w:rsid w:val="00D03645"/>
    <w:rsid w:val="00D039D0"/>
    <w:rsid w:val="00D03BEC"/>
    <w:rsid w:val="00D03E4F"/>
    <w:rsid w:val="00D03FD8"/>
    <w:rsid w:val="00D048F2"/>
    <w:rsid w:val="00D04AD9"/>
    <w:rsid w:val="00D04CB3"/>
    <w:rsid w:val="00D04F78"/>
    <w:rsid w:val="00D05026"/>
    <w:rsid w:val="00D05066"/>
    <w:rsid w:val="00D061F9"/>
    <w:rsid w:val="00D06583"/>
    <w:rsid w:val="00D1029D"/>
    <w:rsid w:val="00D103CD"/>
    <w:rsid w:val="00D104DE"/>
    <w:rsid w:val="00D10C65"/>
    <w:rsid w:val="00D110BA"/>
    <w:rsid w:val="00D119AE"/>
    <w:rsid w:val="00D11D96"/>
    <w:rsid w:val="00D11E94"/>
    <w:rsid w:val="00D12978"/>
    <w:rsid w:val="00D129F0"/>
    <w:rsid w:val="00D12AF5"/>
    <w:rsid w:val="00D12B73"/>
    <w:rsid w:val="00D13B2E"/>
    <w:rsid w:val="00D14303"/>
    <w:rsid w:val="00D148B0"/>
    <w:rsid w:val="00D14BE6"/>
    <w:rsid w:val="00D14D29"/>
    <w:rsid w:val="00D14E59"/>
    <w:rsid w:val="00D15740"/>
    <w:rsid w:val="00D15892"/>
    <w:rsid w:val="00D16A96"/>
    <w:rsid w:val="00D16E75"/>
    <w:rsid w:val="00D173E0"/>
    <w:rsid w:val="00D177D6"/>
    <w:rsid w:val="00D17917"/>
    <w:rsid w:val="00D17CD7"/>
    <w:rsid w:val="00D17DCB"/>
    <w:rsid w:val="00D17E1F"/>
    <w:rsid w:val="00D17FDC"/>
    <w:rsid w:val="00D20031"/>
    <w:rsid w:val="00D203BC"/>
    <w:rsid w:val="00D205C3"/>
    <w:rsid w:val="00D20A79"/>
    <w:rsid w:val="00D20DD3"/>
    <w:rsid w:val="00D213C6"/>
    <w:rsid w:val="00D21AB3"/>
    <w:rsid w:val="00D22A51"/>
    <w:rsid w:val="00D2320D"/>
    <w:rsid w:val="00D2344E"/>
    <w:rsid w:val="00D234DE"/>
    <w:rsid w:val="00D235A5"/>
    <w:rsid w:val="00D236CC"/>
    <w:rsid w:val="00D2372B"/>
    <w:rsid w:val="00D244F9"/>
    <w:rsid w:val="00D24B56"/>
    <w:rsid w:val="00D24CCB"/>
    <w:rsid w:val="00D24DE9"/>
    <w:rsid w:val="00D2551D"/>
    <w:rsid w:val="00D2572D"/>
    <w:rsid w:val="00D26D01"/>
    <w:rsid w:val="00D27B8B"/>
    <w:rsid w:val="00D30748"/>
    <w:rsid w:val="00D307EF"/>
    <w:rsid w:val="00D313B3"/>
    <w:rsid w:val="00D3292B"/>
    <w:rsid w:val="00D33F02"/>
    <w:rsid w:val="00D3401B"/>
    <w:rsid w:val="00D34077"/>
    <w:rsid w:val="00D34AA1"/>
    <w:rsid w:val="00D34BF2"/>
    <w:rsid w:val="00D34E5E"/>
    <w:rsid w:val="00D35043"/>
    <w:rsid w:val="00D35578"/>
    <w:rsid w:val="00D355C4"/>
    <w:rsid w:val="00D3589C"/>
    <w:rsid w:val="00D358F7"/>
    <w:rsid w:val="00D35A7C"/>
    <w:rsid w:val="00D35C90"/>
    <w:rsid w:val="00D35FC2"/>
    <w:rsid w:val="00D361AD"/>
    <w:rsid w:val="00D36376"/>
    <w:rsid w:val="00D36B68"/>
    <w:rsid w:val="00D36BB0"/>
    <w:rsid w:val="00D36E67"/>
    <w:rsid w:val="00D371CC"/>
    <w:rsid w:val="00D37413"/>
    <w:rsid w:val="00D37816"/>
    <w:rsid w:val="00D37B53"/>
    <w:rsid w:val="00D37D9A"/>
    <w:rsid w:val="00D37E23"/>
    <w:rsid w:val="00D37EF5"/>
    <w:rsid w:val="00D4017B"/>
    <w:rsid w:val="00D40291"/>
    <w:rsid w:val="00D402D6"/>
    <w:rsid w:val="00D404DC"/>
    <w:rsid w:val="00D405CF"/>
    <w:rsid w:val="00D40D04"/>
    <w:rsid w:val="00D40FAD"/>
    <w:rsid w:val="00D41316"/>
    <w:rsid w:val="00D41979"/>
    <w:rsid w:val="00D419C9"/>
    <w:rsid w:val="00D41E07"/>
    <w:rsid w:val="00D41ED3"/>
    <w:rsid w:val="00D428B9"/>
    <w:rsid w:val="00D42D5A"/>
    <w:rsid w:val="00D43026"/>
    <w:rsid w:val="00D43246"/>
    <w:rsid w:val="00D43248"/>
    <w:rsid w:val="00D4370D"/>
    <w:rsid w:val="00D437CD"/>
    <w:rsid w:val="00D43E5F"/>
    <w:rsid w:val="00D4421D"/>
    <w:rsid w:val="00D44247"/>
    <w:rsid w:val="00D44270"/>
    <w:rsid w:val="00D44977"/>
    <w:rsid w:val="00D44A15"/>
    <w:rsid w:val="00D44A6F"/>
    <w:rsid w:val="00D4515B"/>
    <w:rsid w:val="00D45750"/>
    <w:rsid w:val="00D457CB"/>
    <w:rsid w:val="00D457EA"/>
    <w:rsid w:val="00D45A2B"/>
    <w:rsid w:val="00D45C42"/>
    <w:rsid w:val="00D45CF0"/>
    <w:rsid w:val="00D46403"/>
    <w:rsid w:val="00D46AF5"/>
    <w:rsid w:val="00D470BD"/>
    <w:rsid w:val="00D472C1"/>
    <w:rsid w:val="00D47814"/>
    <w:rsid w:val="00D47FA5"/>
    <w:rsid w:val="00D508E8"/>
    <w:rsid w:val="00D5190B"/>
    <w:rsid w:val="00D51A58"/>
    <w:rsid w:val="00D51D7C"/>
    <w:rsid w:val="00D526F2"/>
    <w:rsid w:val="00D52E54"/>
    <w:rsid w:val="00D52FF5"/>
    <w:rsid w:val="00D5344C"/>
    <w:rsid w:val="00D53477"/>
    <w:rsid w:val="00D538F7"/>
    <w:rsid w:val="00D5399C"/>
    <w:rsid w:val="00D53E43"/>
    <w:rsid w:val="00D5477E"/>
    <w:rsid w:val="00D54F61"/>
    <w:rsid w:val="00D55972"/>
    <w:rsid w:val="00D55A5E"/>
    <w:rsid w:val="00D55A95"/>
    <w:rsid w:val="00D55D9F"/>
    <w:rsid w:val="00D56357"/>
    <w:rsid w:val="00D568C9"/>
    <w:rsid w:val="00D56DFA"/>
    <w:rsid w:val="00D56F4F"/>
    <w:rsid w:val="00D573AC"/>
    <w:rsid w:val="00D57D93"/>
    <w:rsid w:val="00D60E22"/>
    <w:rsid w:val="00D61302"/>
    <w:rsid w:val="00D61624"/>
    <w:rsid w:val="00D61AF1"/>
    <w:rsid w:val="00D61B94"/>
    <w:rsid w:val="00D61EB2"/>
    <w:rsid w:val="00D621B5"/>
    <w:rsid w:val="00D6239F"/>
    <w:rsid w:val="00D62F3F"/>
    <w:rsid w:val="00D62F4D"/>
    <w:rsid w:val="00D63052"/>
    <w:rsid w:val="00D630B7"/>
    <w:rsid w:val="00D633C6"/>
    <w:rsid w:val="00D634A8"/>
    <w:rsid w:val="00D63847"/>
    <w:rsid w:val="00D63B8B"/>
    <w:rsid w:val="00D64420"/>
    <w:rsid w:val="00D64906"/>
    <w:rsid w:val="00D64D91"/>
    <w:rsid w:val="00D652D9"/>
    <w:rsid w:val="00D65776"/>
    <w:rsid w:val="00D65E87"/>
    <w:rsid w:val="00D665E0"/>
    <w:rsid w:val="00D667D2"/>
    <w:rsid w:val="00D66880"/>
    <w:rsid w:val="00D6699D"/>
    <w:rsid w:val="00D66BB4"/>
    <w:rsid w:val="00D66EE5"/>
    <w:rsid w:val="00D67814"/>
    <w:rsid w:val="00D70393"/>
    <w:rsid w:val="00D706DA"/>
    <w:rsid w:val="00D706E4"/>
    <w:rsid w:val="00D70B48"/>
    <w:rsid w:val="00D70D42"/>
    <w:rsid w:val="00D70DDA"/>
    <w:rsid w:val="00D711DA"/>
    <w:rsid w:val="00D715E9"/>
    <w:rsid w:val="00D716DC"/>
    <w:rsid w:val="00D71733"/>
    <w:rsid w:val="00D71B8B"/>
    <w:rsid w:val="00D71DBB"/>
    <w:rsid w:val="00D71F08"/>
    <w:rsid w:val="00D728CF"/>
    <w:rsid w:val="00D73467"/>
    <w:rsid w:val="00D73AD9"/>
    <w:rsid w:val="00D73D48"/>
    <w:rsid w:val="00D73E2B"/>
    <w:rsid w:val="00D742DB"/>
    <w:rsid w:val="00D756FC"/>
    <w:rsid w:val="00D757CB"/>
    <w:rsid w:val="00D76124"/>
    <w:rsid w:val="00D7755C"/>
    <w:rsid w:val="00D77B20"/>
    <w:rsid w:val="00D77EA1"/>
    <w:rsid w:val="00D804CF"/>
    <w:rsid w:val="00D80682"/>
    <w:rsid w:val="00D80C29"/>
    <w:rsid w:val="00D80CD2"/>
    <w:rsid w:val="00D80F4E"/>
    <w:rsid w:val="00D8101A"/>
    <w:rsid w:val="00D8146A"/>
    <w:rsid w:val="00D81B5C"/>
    <w:rsid w:val="00D82260"/>
    <w:rsid w:val="00D82BFE"/>
    <w:rsid w:val="00D82D5A"/>
    <w:rsid w:val="00D82DC3"/>
    <w:rsid w:val="00D8316D"/>
    <w:rsid w:val="00D83400"/>
    <w:rsid w:val="00D83B51"/>
    <w:rsid w:val="00D83F9E"/>
    <w:rsid w:val="00D84D60"/>
    <w:rsid w:val="00D84ECA"/>
    <w:rsid w:val="00D8525E"/>
    <w:rsid w:val="00D85339"/>
    <w:rsid w:val="00D85491"/>
    <w:rsid w:val="00D854A9"/>
    <w:rsid w:val="00D85A93"/>
    <w:rsid w:val="00D85C56"/>
    <w:rsid w:val="00D86AB6"/>
    <w:rsid w:val="00D86D03"/>
    <w:rsid w:val="00D86DB4"/>
    <w:rsid w:val="00D87293"/>
    <w:rsid w:val="00D9017C"/>
    <w:rsid w:val="00D90288"/>
    <w:rsid w:val="00D9041B"/>
    <w:rsid w:val="00D904AB"/>
    <w:rsid w:val="00D90C5B"/>
    <w:rsid w:val="00D90DBB"/>
    <w:rsid w:val="00D9141D"/>
    <w:rsid w:val="00D9150E"/>
    <w:rsid w:val="00D916CC"/>
    <w:rsid w:val="00D9211A"/>
    <w:rsid w:val="00D92CE2"/>
    <w:rsid w:val="00D931F3"/>
    <w:rsid w:val="00D933E4"/>
    <w:rsid w:val="00D941C7"/>
    <w:rsid w:val="00D9439B"/>
    <w:rsid w:val="00D94678"/>
    <w:rsid w:val="00D946C9"/>
    <w:rsid w:val="00D94CF3"/>
    <w:rsid w:val="00D94F9F"/>
    <w:rsid w:val="00D951F8"/>
    <w:rsid w:val="00D952DA"/>
    <w:rsid w:val="00D95400"/>
    <w:rsid w:val="00D954E2"/>
    <w:rsid w:val="00D95940"/>
    <w:rsid w:val="00D964D9"/>
    <w:rsid w:val="00D967A8"/>
    <w:rsid w:val="00D96BC9"/>
    <w:rsid w:val="00D96D46"/>
    <w:rsid w:val="00D978BB"/>
    <w:rsid w:val="00D97B4A"/>
    <w:rsid w:val="00D97C2D"/>
    <w:rsid w:val="00D97E5E"/>
    <w:rsid w:val="00DA0398"/>
    <w:rsid w:val="00DA0509"/>
    <w:rsid w:val="00DA058E"/>
    <w:rsid w:val="00DA0A67"/>
    <w:rsid w:val="00DA0BF4"/>
    <w:rsid w:val="00DA0DF0"/>
    <w:rsid w:val="00DA1027"/>
    <w:rsid w:val="00DA143C"/>
    <w:rsid w:val="00DA3732"/>
    <w:rsid w:val="00DA3AA5"/>
    <w:rsid w:val="00DA4112"/>
    <w:rsid w:val="00DA4545"/>
    <w:rsid w:val="00DA460D"/>
    <w:rsid w:val="00DA512C"/>
    <w:rsid w:val="00DA555E"/>
    <w:rsid w:val="00DA5801"/>
    <w:rsid w:val="00DA5AED"/>
    <w:rsid w:val="00DA6765"/>
    <w:rsid w:val="00DA67B8"/>
    <w:rsid w:val="00DB003C"/>
    <w:rsid w:val="00DB01BB"/>
    <w:rsid w:val="00DB069C"/>
    <w:rsid w:val="00DB0FEB"/>
    <w:rsid w:val="00DB1881"/>
    <w:rsid w:val="00DB1C85"/>
    <w:rsid w:val="00DB1E91"/>
    <w:rsid w:val="00DB1F21"/>
    <w:rsid w:val="00DB1F54"/>
    <w:rsid w:val="00DB1FBB"/>
    <w:rsid w:val="00DB203A"/>
    <w:rsid w:val="00DB2417"/>
    <w:rsid w:val="00DB2C3F"/>
    <w:rsid w:val="00DB2D94"/>
    <w:rsid w:val="00DB2FA8"/>
    <w:rsid w:val="00DB3E37"/>
    <w:rsid w:val="00DB4410"/>
    <w:rsid w:val="00DB451F"/>
    <w:rsid w:val="00DB4534"/>
    <w:rsid w:val="00DB47E0"/>
    <w:rsid w:val="00DB4897"/>
    <w:rsid w:val="00DB4B5A"/>
    <w:rsid w:val="00DB5117"/>
    <w:rsid w:val="00DB5B62"/>
    <w:rsid w:val="00DB5DFD"/>
    <w:rsid w:val="00DB6031"/>
    <w:rsid w:val="00DB6292"/>
    <w:rsid w:val="00DB642F"/>
    <w:rsid w:val="00DB664A"/>
    <w:rsid w:val="00DB66D7"/>
    <w:rsid w:val="00DB672E"/>
    <w:rsid w:val="00DB68A3"/>
    <w:rsid w:val="00DB6CFF"/>
    <w:rsid w:val="00DB70C0"/>
    <w:rsid w:val="00DB71DD"/>
    <w:rsid w:val="00DB7463"/>
    <w:rsid w:val="00DB7AE0"/>
    <w:rsid w:val="00DB7BE8"/>
    <w:rsid w:val="00DB7C8F"/>
    <w:rsid w:val="00DC03FB"/>
    <w:rsid w:val="00DC06F4"/>
    <w:rsid w:val="00DC0D04"/>
    <w:rsid w:val="00DC1331"/>
    <w:rsid w:val="00DC14AF"/>
    <w:rsid w:val="00DC167B"/>
    <w:rsid w:val="00DC1720"/>
    <w:rsid w:val="00DC1D6F"/>
    <w:rsid w:val="00DC22E4"/>
    <w:rsid w:val="00DC2609"/>
    <w:rsid w:val="00DC26DA"/>
    <w:rsid w:val="00DC27D0"/>
    <w:rsid w:val="00DC2D64"/>
    <w:rsid w:val="00DC32E0"/>
    <w:rsid w:val="00DC3633"/>
    <w:rsid w:val="00DC3B40"/>
    <w:rsid w:val="00DC3C64"/>
    <w:rsid w:val="00DC4108"/>
    <w:rsid w:val="00DC4EC7"/>
    <w:rsid w:val="00DC4EDB"/>
    <w:rsid w:val="00DC4F64"/>
    <w:rsid w:val="00DC50C5"/>
    <w:rsid w:val="00DC56CC"/>
    <w:rsid w:val="00DC56F4"/>
    <w:rsid w:val="00DC5FBD"/>
    <w:rsid w:val="00DC64A7"/>
    <w:rsid w:val="00DC6AE5"/>
    <w:rsid w:val="00DC7C17"/>
    <w:rsid w:val="00DC7DDC"/>
    <w:rsid w:val="00DC7DF3"/>
    <w:rsid w:val="00DC7F9F"/>
    <w:rsid w:val="00DD0431"/>
    <w:rsid w:val="00DD0862"/>
    <w:rsid w:val="00DD0953"/>
    <w:rsid w:val="00DD0A34"/>
    <w:rsid w:val="00DD13B3"/>
    <w:rsid w:val="00DD18AD"/>
    <w:rsid w:val="00DD1A95"/>
    <w:rsid w:val="00DD1C1E"/>
    <w:rsid w:val="00DD2BAC"/>
    <w:rsid w:val="00DD2C81"/>
    <w:rsid w:val="00DD2F46"/>
    <w:rsid w:val="00DD40E6"/>
    <w:rsid w:val="00DD46ED"/>
    <w:rsid w:val="00DD4CF2"/>
    <w:rsid w:val="00DD50DA"/>
    <w:rsid w:val="00DD5C17"/>
    <w:rsid w:val="00DD5D3A"/>
    <w:rsid w:val="00DD5D88"/>
    <w:rsid w:val="00DD5F85"/>
    <w:rsid w:val="00DD6117"/>
    <w:rsid w:val="00DD6420"/>
    <w:rsid w:val="00DD6568"/>
    <w:rsid w:val="00DD66D2"/>
    <w:rsid w:val="00DD6EA3"/>
    <w:rsid w:val="00DD77CF"/>
    <w:rsid w:val="00DD7B41"/>
    <w:rsid w:val="00DE0727"/>
    <w:rsid w:val="00DE083C"/>
    <w:rsid w:val="00DE0F89"/>
    <w:rsid w:val="00DE1588"/>
    <w:rsid w:val="00DE1C6E"/>
    <w:rsid w:val="00DE2281"/>
    <w:rsid w:val="00DE2496"/>
    <w:rsid w:val="00DE2641"/>
    <w:rsid w:val="00DE28DF"/>
    <w:rsid w:val="00DE2DB8"/>
    <w:rsid w:val="00DE30B0"/>
    <w:rsid w:val="00DE33A6"/>
    <w:rsid w:val="00DE34E9"/>
    <w:rsid w:val="00DE4301"/>
    <w:rsid w:val="00DE45B9"/>
    <w:rsid w:val="00DE48ED"/>
    <w:rsid w:val="00DE4C98"/>
    <w:rsid w:val="00DE51D8"/>
    <w:rsid w:val="00DE52E6"/>
    <w:rsid w:val="00DE55DB"/>
    <w:rsid w:val="00DE60FF"/>
    <w:rsid w:val="00DE6423"/>
    <w:rsid w:val="00DE69B6"/>
    <w:rsid w:val="00DE6F52"/>
    <w:rsid w:val="00DE6FAB"/>
    <w:rsid w:val="00DE7099"/>
    <w:rsid w:val="00DE7215"/>
    <w:rsid w:val="00DE72C1"/>
    <w:rsid w:val="00DE77CE"/>
    <w:rsid w:val="00DE7922"/>
    <w:rsid w:val="00DE7CED"/>
    <w:rsid w:val="00DF0113"/>
    <w:rsid w:val="00DF06B3"/>
    <w:rsid w:val="00DF0CDD"/>
    <w:rsid w:val="00DF0FAA"/>
    <w:rsid w:val="00DF1176"/>
    <w:rsid w:val="00DF11BF"/>
    <w:rsid w:val="00DF1432"/>
    <w:rsid w:val="00DF15E8"/>
    <w:rsid w:val="00DF2184"/>
    <w:rsid w:val="00DF2251"/>
    <w:rsid w:val="00DF28A3"/>
    <w:rsid w:val="00DF2E35"/>
    <w:rsid w:val="00DF333C"/>
    <w:rsid w:val="00DF341B"/>
    <w:rsid w:val="00DF3582"/>
    <w:rsid w:val="00DF39E9"/>
    <w:rsid w:val="00DF431B"/>
    <w:rsid w:val="00DF4992"/>
    <w:rsid w:val="00DF552A"/>
    <w:rsid w:val="00DF5C8B"/>
    <w:rsid w:val="00DF5CEE"/>
    <w:rsid w:val="00DF5DDF"/>
    <w:rsid w:val="00DF5EA2"/>
    <w:rsid w:val="00DF6273"/>
    <w:rsid w:val="00DF6310"/>
    <w:rsid w:val="00DF64F6"/>
    <w:rsid w:val="00DF72CC"/>
    <w:rsid w:val="00DF74D9"/>
    <w:rsid w:val="00E0052E"/>
    <w:rsid w:val="00E007DF"/>
    <w:rsid w:val="00E0093F"/>
    <w:rsid w:val="00E0197D"/>
    <w:rsid w:val="00E0198F"/>
    <w:rsid w:val="00E01A62"/>
    <w:rsid w:val="00E022B9"/>
    <w:rsid w:val="00E0246C"/>
    <w:rsid w:val="00E024DD"/>
    <w:rsid w:val="00E026BB"/>
    <w:rsid w:val="00E02880"/>
    <w:rsid w:val="00E02C44"/>
    <w:rsid w:val="00E02FBA"/>
    <w:rsid w:val="00E03220"/>
    <w:rsid w:val="00E0360B"/>
    <w:rsid w:val="00E03701"/>
    <w:rsid w:val="00E038DB"/>
    <w:rsid w:val="00E03A96"/>
    <w:rsid w:val="00E042C7"/>
    <w:rsid w:val="00E04382"/>
    <w:rsid w:val="00E05D56"/>
    <w:rsid w:val="00E0602D"/>
    <w:rsid w:val="00E0669D"/>
    <w:rsid w:val="00E06E8E"/>
    <w:rsid w:val="00E0712F"/>
    <w:rsid w:val="00E0747F"/>
    <w:rsid w:val="00E075E4"/>
    <w:rsid w:val="00E079B8"/>
    <w:rsid w:val="00E07A43"/>
    <w:rsid w:val="00E07D4F"/>
    <w:rsid w:val="00E105A9"/>
    <w:rsid w:val="00E10843"/>
    <w:rsid w:val="00E10C22"/>
    <w:rsid w:val="00E10EAE"/>
    <w:rsid w:val="00E112E2"/>
    <w:rsid w:val="00E11B8F"/>
    <w:rsid w:val="00E11CCC"/>
    <w:rsid w:val="00E12A3B"/>
    <w:rsid w:val="00E12AE3"/>
    <w:rsid w:val="00E12F65"/>
    <w:rsid w:val="00E12FD6"/>
    <w:rsid w:val="00E13367"/>
    <w:rsid w:val="00E135BE"/>
    <w:rsid w:val="00E138E5"/>
    <w:rsid w:val="00E13FD8"/>
    <w:rsid w:val="00E15056"/>
    <w:rsid w:val="00E1578D"/>
    <w:rsid w:val="00E15C58"/>
    <w:rsid w:val="00E15C7B"/>
    <w:rsid w:val="00E15DB1"/>
    <w:rsid w:val="00E16302"/>
    <w:rsid w:val="00E1631D"/>
    <w:rsid w:val="00E1687A"/>
    <w:rsid w:val="00E16896"/>
    <w:rsid w:val="00E169D5"/>
    <w:rsid w:val="00E16FE0"/>
    <w:rsid w:val="00E17552"/>
    <w:rsid w:val="00E1757E"/>
    <w:rsid w:val="00E175AB"/>
    <w:rsid w:val="00E176A8"/>
    <w:rsid w:val="00E178F7"/>
    <w:rsid w:val="00E17E50"/>
    <w:rsid w:val="00E17E71"/>
    <w:rsid w:val="00E209C9"/>
    <w:rsid w:val="00E21090"/>
    <w:rsid w:val="00E21B03"/>
    <w:rsid w:val="00E21BFD"/>
    <w:rsid w:val="00E221C3"/>
    <w:rsid w:val="00E222DF"/>
    <w:rsid w:val="00E22328"/>
    <w:rsid w:val="00E22367"/>
    <w:rsid w:val="00E22419"/>
    <w:rsid w:val="00E22445"/>
    <w:rsid w:val="00E22A79"/>
    <w:rsid w:val="00E24C38"/>
    <w:rsid w:val="00E2523A"/>
    <w:rsid w:val="00E25886"/>
    <w:rsid w:val="00E2596F"/>
    <w:rsid w:val="00E25A8E"/>
    <w:rsid w:val="00E25C0F"/>
    <w:rsid w:val="00E25FAF"/>
    <w:rsid w:val="00E2602F"/>
    <w:rsid w:val="00E260A3"/>
    <w:rsid w:val="00E2613A"/>
    <w:rsid w:val="00E266F1"/>
    <w:rsid w:val="00E26882"/>
    <w:rsid w:val="00E26D15"/>
    <w:rsid w:val="00E26D7A"/>
    <w:rsid w:val="00E27116"/>
    <w:rsid w:val="00E271B4"/>
    <w:rsid w:val="00E27DDB"/>
    <w:rsid w:val="00E301FF"/>
    <w:rsid w:val="00E3042E"/>
    <w:rsid w:val="00E304D7"/>
    <w:rsid w:val="00E308B8"/>
    <w:rsid w:val="00E308E7"/>
    <w:rsid w:val="00E30ACF"/>
    <w:rsid w:val="00E31702"/>
    <w:rsid w:val="00E317D6"/>
    <w:rsid w:val="00E31B75"/>
    <w:rsid w:val="00E31F61"/>
    <w:rsid w:val="00E3208D"/>
    <w:rsid w:val="00E322EC"/>
    <w:rsid w:val="00E3242E"/>
    <w:rsid w:val="00E32BDE"/>
    <w:rsid w:val="00E32C88"/>
    <w:rsid w:val="00E330C9"/>
    <w:rsid w:val="00E3330E"/>
    <w:rsid w:val="00E33425"/>
    <w:rsid w:val="00E3351F"/>
    <w:rsid w:val="00E3376D"/>
    <w:rsid w:val="00E33992"/>
    <w:rsid w:val="00E33A40"/>
    <w:rsid w:val="00E34103"/>
    <w:rsid w:val="00E3462D"/>
    <w:rsid w:val="00E34CE7"/>
    <w:rsid w:val="00E35B79"/>
    <w:rsid w:val="00E364EE"/>
    <w:rsid w:val="00E3677E"/>
    <w:rsid w:val="00E370BD"/>
    <w:rsid w:val="00E37161"/>
    <w:rsid w:val="00E37572"/>
    <w:rsid w:val="00E40D89"/>
    <w:rsid w:val="00E40DAE"/>
    <w:rsid w:val="00E40F62"/>
    <w:rsid w:val="00E411F2"/>
    <w:rsid w:val="00E420D1"/>
    <w:rsid w:val="00E42E99"/>
    <w:rsid w:val="00E42F0A"/>
    <w:rsid w:val="00E43249"/>
    <w:rsid w:val="00E436A2"/>
    <w:rsid w:val="00E436C2"/>
    <w:rsid w:val="00E436C5"/>
    <w:rsid w:val="00E43A5A"/>
    <w:rsid w:val="00E44D87"/>
    <w:rsid w:val="00E455E2"/>
    <w:rsid w:val="00E458D8"/>
    <w:rsid w:val="00E45992"/>
    <w:rsid w:val="00E463D9"/>
    <w:rsid w:val="00E463E1"/>
    <w:rsid w:val="00E46459"/>
    <w:rsid w:val="00E4671D"/>
    <w:rsid w:val="00E47450"/>
    <w:rsid w:val="00E47822"/>
    <w:rsid w:val="00E47BD2"/>
    <w:rsid w:val="00E500F1"/>
    <w:rsid w:val="00E50338"/>
    <w:rsid w:val="00E50914"/>
    <w:rsid w:val="00E50AF3"/>
    <w:rsid w:val="00E50D0F"/>
    <w:rsid w:val="00E50EBD"/>
    <w:rsid w:val="00E5122E"/>
    <w:rsid w:val="00E51327"/>
    <w:rsid w:val="00E51490"/>
    <w:rsid w:val="00E518A7"/>
    <w:rsid w:val="00E51AB0"/>
    <w:rsid w:val="00E51E23"/>
    <w:rsid w:val="00E529F5"/>
    <w:rsid w:val="00E52C88"/>
    <w:rsid w:val="00E52FC9"/>
    <w:rsid w:val="00E5356B"/>
    <w:rsid w:val="00E53E00"/>
    <w:rsid w:val="00E53F9A"/>
    <w:rsid w:val="00E54221"/>
    <w:rsid w:val="00E54675"/>
    <w:rsid w:val="00E552E5"/>
    <w:rsid w:val="00E55368"/>
    <w:rsid w:val="00E558F5"/>
    <w:rsid w:val="00E55C6D"/>
    <w:rsid w:val="00E5650A"/>
    <w:rsid w:val="00E56F82"/>
    <w:rsid w:val="00E570F5"/>
    <w:rsid w:val="00E574EC"/>
    <w:rsid w:val="00E5766C"/>
    <w:rsid w:val="00E57A07"/>
    <w:rsid w:val="00E57F9C"/>
    <w:rsid w:val="00E60344"/>
    <w:rsid w:val="00E60363"/>
    <w:rsid w:val="00E607FB"/>
    <w:rsid w:val="00E60CE2"/>
    <w:rsid w:val="00E60DD6"/>
    <w:rsid w:val="00E613A0"/>
    <w:rsid w:val="00E61466"/>
    <w:rsid w:val="00E615F9"/>
    <w:rsid w:val="00E61759"/>
    <w:rsid w:val="00E6193C"/>
    <w:rsid w:val="00E61D27"/>
    <w:rsid w:val="00E61E47"/>
    <w:rsid w:val="00E6204E"/>
    <w:rsid w:val="00E622A9"/>
    <w:rsid w:val="00E6231B"/>
    <w:rsid w:val="00E627B9"/>
    <w:rsid w:val="00E62B9F"/>
    <w:rsid w:val="00E62BC2"/>
    <w:rsid w:val="00E634B3"/>
    <w:rsid w:val="00E63572"/>
    <w:rsid w:val="00E6362C"/>
    <w:rsid w:val="00E63A56"/>
    <w:rsid w:val="00E63B95"/>
    <w:rsid w:val="00E63DAA"/>
    <w:rsid w:val="00E64950"/>
    <w:rsid w:val="00E64A68"/>
    <w:rsid w:val="00E651A1"/>
    <w:rsid w:val="00E6547A"/>
    <w:rsid w:val="00E6571F"/>
    <w:rsid w:val="00E65A40"/>
    <w:rsid w:val="00E65FA6"/>
    <w:rsid w:val="00E66554"/>
    <w:rsid w:val="00E669B2"/>
    <w:rsid w:val="00E6765A"/>
    <w:rsid w:val="00E701BE"/>
    <w:rsid w:val="00E7082B"/>
    <w:rsid w:val="00E709CE"/>
    <w:rsid w:val="00E70AFA"/>
    <w:rsid w:val="00E70EC3"/>
    <w:rsid w:val="00E712F6"/>
    <w:rsid w:val="00E714C5"/>
    <w:rsid w:val="00E71522"/>
    <w:rsid w:val="00E7221D"/>
    <w:rsid w:val="00E72982"/>
    <w:rsid w:val="00E72A93"/>
    <w:rsid w:val="00E73118"/>
    <w:rsid w:val="00E73454"/>
    <w:rsid w:val="00E7362F"/>
    <w:rsid w:val="00E736CA"/>
    <w:rsid w:val="00E73DDF"/>
    <w:rsid w:val="00E74D4B"/>
    <w:rsid w:val="00E755A9"/>
    <w:rsid w:val="00E75728"/>
    <w:rsid w:val="00E759AF"/>
    <w:rsid w:val="00E75A24"/>
    <w:rsid w:val="00E75AD6"/>
    <w:rsid w:val="00E75BA3"/>
    <w:rsid w:val="00E7615F"/>
    <w:rsid w:val="00E762F1"/>
    <w:rsid w:val="00E76393"/>
    <w:rsid w:val="00E76462"/>
    <w:rsid w:val="00E7657C"/>
    <w:rsid w:val="00E7666D"/>
    <w:rsid w:val="00E76749"/>
    <w:rsid w:val="00E76AE0"/>
    <w:rsid w:val="00E77583"/>
    <w:rsid w:val="00E806C0"/>
    <w:rsid w:val="00E81270"/>
    <w:rsid w:val="00E81A66"/>
    <w:rsid w:val="00E81A87"/>
    <w:rsid w:val="00E8200B"/>
    <w:rsid w:val="00E8210C"/>
    <w:rsid w:val="00E82885"/>
    <w:rsid w:val="00E82934"/>
    <w:rsid w:val="00E8293F"/>
    <w:rsid w:val="00E82EF8"/>
    <w:rsid w:val="00E831BC"/>
    <w:rsid w:val="00E83249"/>
    <w:rsid w:val="00E83948"/>
    <w:rsid w:val="00E83CF9"/>
    <w:rsid w:val="00E83CFB"/>
    <w:rsid w:val="00E83EDD"/>
    <w:rsid w:val="00E83F61"/>
    <w:rsid w:val="00E840FF"/>
    <w:rsid w:val="00E847EB"/>
    <w:rsid w:val="00E84B67"/>
    <w:rsid w:val="00E84CB6"/>
    <w:rsid w:val="00E854A3"/>
    <w:rsid w:val="00E85B28"/>
    <w:rsid w:val="00E85B72"/>
    <w:rsid w:val="00E86026"/>
    <w:rsid w:val="00E86367"/>
    <w:rsid w:val="00E86464"/>
    <w:rsid w:val="00E870C9"/>
    <w:rsid w:val="00E875CE"/>
    <w:rsid w:val="00E90D44"/>
    <w:rsid w:val="00E91415"/>
    <w:rsid w:val="00E91577"/>
    <w:rsid w:val="00E91EA1"/>
    <w:rsid w:val="00E920FE"/>
    <w:rsid w:val="00E92624"/>
    <w:rsid w:val="00E92974"/>
    <w:rsid w:val="00E92F98"/>
    <w:rsid w:val="00E9331D"/>
    <w:rsid w:val="00E933C6"/>
    <w:rsid w:val="00E93894"/>
    <w:rsid w:val="00E93D45"/>
    <w:rsid w:val="00E93D6A"/>
    <w:rsid w:val="00E940A5"/>
    <w:rsid w:val="00E946EA"/>
    <w:rsid w:val="00E94783"/>
    <w:rsid w:val="00E94D02"/>
    <w:rsid w:val="00E94F85"/>
    <w:rsid w:val="00E95283"/>
    <w:rsid w:val="00E95322"/>
    <w:rsid w:val="00E95490"/>
    <w:rsid w:val="00E95C2A"/>
    <w:rsid w:val="00E9603F"/>
    <w:rsid w:val="00E96781"/>
    <w:rsid w:val="00E968C1"/>
    <w:rsid w:val="00E9690A"/>
    <w:rsid w:val="00E96AB6"/>
    <w:rsid w:val="00E971F6"/>
    <w:rsid w:val="00E97DA8"/>
    <w:rsid w:val="00EA01BA"/>
    <w:rsid w:val="00EA0CB5"/>
    <w:rsid w:val="00EA0E54"/>
    <w:rsid w:val="00EA0F19"/>
    <w:rsid w:val="00EA147F"/>
    <w:rsid w:val="00EA1769"/>
    <w:rsid w:val="00EA1779"/>
    <w:rsid w:val="00EA1D7C"/>
    <w:rsid w:val="00EA2A26"/>
    <w:rsid w:val="00EA3671"/>
    <w:rsid w:val="00EA4B9E"/>
    <w:rsid w:val="00EA4C0B"/>
    <w:rsid w:val="00EA5B1E"/>
    <w:rsid w:val="00EA60C4"/>
    <w:rsid w:val="00EA619C"/>
    <w:rsid w:val="00EA61E9"/>
    <w:rsid w:val="00EA6938"/>
    <w:rsid w:val="00EA6F47"/>
    <w:rsid w:val="00EA72C0"/>
    <w:rsid w:val="00EA731A"/>
    <w:rsid w:val="00EA7509"/>
    <w:rsid w:val="00EA7F24"/>
    <w:rsid w:val="00EB0024"/>
    <w:rsid w:val="00EB05A5"/>
    <w:rsid w:val="00EB0DEA"/>
    <w:rsid w:val="00EB0F55"/>
    <w:rsid w:val="00EB1433"/>
    <w:rsid w:val="00EB163E"/>
    <w:rsid w:val="00EB1F12"/>
    <w:rsid w:val="00EB1F63"/>
    <w:rsid w:val="00EB203E"/>
    <w:rsid w:val="00EB2435"/>
    <w:rsid w:val="00EB27BC"/>
    <w:rsid w:val="00EB2AFD"/>
    <w:rsid w:val="00EB2B3D"/>
    <w:rsid w:val="00EB2D31"/>
    <w:rsid w:val="00EB2D4D"/>
    <w:rsid w:val="00EB3BD3"/>
    <w:rsid w:val="00EB3D7E"/>
    <w:rsid w:val="00EB4299"/>
    <w:rsid w:val="00EB45B8"/>
    <w:rsid w:val="00EB4957"/>
    <w:rsid w:val="00EB4AC5"/>
    <w:rsid w:val="00EB4EA9"/>
    <w:rsid w:val="00EB532C"/>
    <w:rsid w:val="00EB59B8"/>
    <w:rsid w:val="00EB630C"/>
    <w:rsid w:val="00EB6667"/>
    <w:rsid w:val="00EB668B"/>
    <w:rsid w:val="00EB66FE"/>
    <w:rsid w:val="00EB6A32"/>
    <w:rsid w:val="00EB7452"/>
    <w:rsid w:val="00EB7D37"/>
    <w:rsid w:val="00EC0082"/>
    <w:rsid w:val="00EC00A4"/>
    <w:rsid w:val="00EC0575"/>
    <w:rsid w:val="00EC1796"/>
    <w:rsid w:val="00EC26D4"/>
    <w:rsid w:val="00EC33A0"/>
    <w:rsid w:val="00EC3CA0"/>
    <w:rsid w:val="00EC401D"/>
    <w:rsid w:val="00EC4559"/>
    <w:rsid w:val="00EC45EF"/>
    <w:rsid w:val="00EC4836"/>
    <w:rsid w:val="00EC5088"/>
    <w:rsid w:val="00EC5364"/>
    <w:rsid w:val="00EC56F5"/>
    <w:rsid w:val="00EC66DA"/>
    <w:rsid w:val="00EC6B46"/>
    <w:rsid w:val="00EC6F4B"/>
    <w:rsid w:val="00EC71ED"/>
    <w:rsid w:val="00ED0FCE"/>
    <w:rsid w:val="00ED2450"/>
    <w:rsid w:val="00ED2AA1"/>
    <w:rsid w:val="00ED3BBB"/>
    <w:rsid w:val="00ED3C6B"/>
    <w:rsid w:val="00ED3FFB"/>
    <w:rsid w:val="00ED46D7"/>
    <w:rsid w:val="00ED48B6"/>
    <w:rsid w:val="00ED4BB4"/>
    <w:rsid w:val="00ED4C02"/>
    <w:rsid w:val="00ED4D7B"/>
    <w:rsid w:val="00ED4E48"/>
    <w:rsid w:val="00ED5009"/>
    <w:rsid w:val="00ED5504"/>
    <w:rsid w:val="00ED58D7"/>
    <w:rsid w:val="00ED5AF3"/>
    <w:rsid w:val="00ED5D9D"/>
    <w:rsid w:val="00ED5E38"/>
    <w:rsid w:val="00ED6983"/>
    <w:rsid w:val="00ED6C06"/>
    <w:rsid w:val="00ED6C45"/>
    <w:rsid w:val="00ED7679"/>
    <w:rsid w:val="00EE0022"/>
    <w:rsid w:val="00EE15E9"/>
    <w:rsid w:val="00EE2B11"/>
    <w:rsid w:val="00EE2B71"/>
    <w:rsid w:val="00EE2DA2"/>
    <w:rsid w:val="00EE2E73"/>
    <w:rsid w:val="00EE2FD8"/>
    <w:rsid w:val="00EE34E9"/>
    <w:rsid w:val="00EE3AD0"/>
    <w:rsid w:val="00EE3D6D"/>
    <w:rsid w:val="00EE3D76"/>
    <w:rsid w:val="00EE4490"/>
    <w:rsid w:val="00EE472A"/>
    <w:rsid w:val="00EE4EEF"/>
    <w:rsid w:val="00EE6832"/>
    <w:rsid w:val="00EE68DE"/>
    <w:rsid w:val="00EE6C06"/>
    <w:rsid w:val="00EE6CC5"/>
    <w:rsid w:val="00EE6D01"/>
    <w:rsid w:val="00EE6E5B"/>
    <w:rsid w:val="00EE70B6"/>
    <w:rsid w:val="00EE7439"/>
    <w:rsid w:val="00EE7A06"/>
    <w:rsid w:val="00EF0505"/>
    <w:rsid w:val="00EF0595"/>
    <w:rsid w:val="00EF06AC"/>
    <w:rsid w:val="00EF0838"/>
    <w:rsid w:val="00EF0B10"/>
    <w:rsid w:val="00EF0FE9"/>
    <w:rsid w:val="00EF1755"/>
    <w:rsid w:val="00EF2428"/>
    <w:rsid w:val="00EF24C0"/>
    <w:rsid w:val="00EF359B"/>
    <w:rsid w:val="00EF3D58"/>
    <w:rsid w:val="00EF455B"/>
    <w:rsid w:val="00EF4E3D"/>
    <w:rsid w:val="00EF53E9"/>
    <w:rsid w:val="00EF54A3"/>
    <w:rsid w:val="00EF56A7"/>
    <w:rsid w:val="00EF571B"/>
    <w:rsid w:val="00EF6435"/>
    <w:rsid w:val="00EF6ADB"/>
    <w:rsid w:val="00EF6DA6"/>
    <w:rsid w:val="00EF7063"/>
    <w:rsid w:val="00EF7084"/>
    <w:rsid w:val="00EF728B"/>
    <w:rsid w:val="00EF72FE"/>
    <w:rsid w:val="00EF7469"/>
    <w:rsid w:val="00EF747B"/>
    <w:rsid w:val="00EF7863"/>
    <w:rsid w:val="00EF7A61"/>
    <w:rsid w:val="00EF7D45"/>
    <w:rsid w:val="00F001F7"/>
    <w:rsid w:val="00F003ED"/>
    <w:rsid w:val="00F0148B"/>
    <w:rsid w:val="00F01590"/>
    <w:rsid w:val="00F01761"/>
    <w:rsid w:val="00F0178F"/>
    <w:rsid w:val="00F01815"/>
    <w:rsid w:val="00F018A8"/>
    <w:rsid w:val="00F019E8"/>
    <w:rsid w:val="00F023AF"/>
    <w:rsid w:val="00F02818"/>
    <w:rsid w:val="00F02932"/>
    <w:rsid w:val="00F02B3C"/>
    <w:rsid w:val="00F037BD"/>
    <w:rsid w:val="00F03B39"/>
    <w:rsid w:val="00F03EBE"/>
    <w:rsid w:val="00F04052"/>
    <w:rsid w:val="00F04171"/>
    <w:rsid w:val="00F04277"/>
    <w:rsid w:val="00F04554"/>
    <w:rsid w:val="00F04FED"/>
    <w:rsid w:val="00F05AAB"/>
    <w:rsid w:val="00F05B4D"/>
    <w:rsid w:val="00F05B8E"/>
    <w:rsid w:val="00F05D0E"/>
    <w:rsid w:val="00F0652F"/>
    <w:rsid w:val="00F06673"/>
    <w:rsid w:val="00F0690C"/>
    <w:rsid w:val="00F06961"/>
    <w:rsid w:val="00F06CD9"/>
    <w:rsid w:val="00F06CF2"/>
    <w:rsid w:val="00F06F52"/>
    <w:rsid w:val="00F07439"/>
    <w:rsid w:val="00F074C5"/>
    <w:rsid w:val="00F074F0"/>
    <w:rsid w:val="00F07D91"/>
    <w:rsid w:val="00F07E77"/>
    <w:rsid w:val="00F10427"/>
    <w:rsid w:val="00F1066F"/>
    <w:rsid w:val="00F11052"/>
    <w:rsid w:val="00F11924"/>
    <w:rsid w:val="00F11AA9"/>
    <w:rsid w:val="00F11FB4"/>
    <w:rsid w:val="00F12210"/>
    <w:rsid w:val="00F12416"/>
    <w:rsid w:val="00F1246E"/>
    <w:rsid w:val="00F124D9"/>
    <w:rsid w:val="00F12545"/>
    <w:rsid w:val="00F1325C"/>
    <w:rsid w:val="00F140C0"/>
    <w:rsid w:val="00F1413F"/>
    <w:rsid w:val="00F1415F"/>
    <w:rsid w:val="00F14201"/>
    <w:rsid w:val="00F148F0"/>
    <w:rsid w:val="00F14AD3"/>
    <w:rsid w:val="00F14BA1"/>
    <w:rsid w:val="00F14FB9"/>
    <w:rsid w:val="00F1508C"/>
    <w:rsid w:val="00F1557C"/>
    <w:rsid w:val="00F1578E"/>
    <w:rsid w:val="00F15A35"/>
    <w:rsid w:val="00F15E46"/>
    <w:rsid w:val="00F1603E"/>
    <w:rsid w:val="00F16192"/>
    <w:rsid w:val="00F16211"/>
    <w:rsid w:val="00F167B4"/>
    <w:rsid w:val="00F16A4C"/>
    <w:rsid w:val="00F16F1D"/>
    <w:rsid w:val="00F1706E"/>
    <w:rsid w:val="00F17575"/>
    <w:rsid w:val="00F176A1"/>
    <w:rsid w:val="00F17925"/>
    <w:rsid w:val="00F17B30"/>
    <w:rsid w:val="00F20763"/>
    <w:rsid w:val="00F211B3"/>
    <w:rsid w:val="00F21335"/>
    <w:rsid w:val="00F21619"/>
    <w:rsid w:val="00F227C8"/>
    <w:rsid w:val="00F22A47"/>
    <w:rsid w:val="00F22F88"/>
    <w:rsid w:val="00F23773"/>
    <w:rsid w:val="00F23AA6"/>
    <w:rsid w:val="00F23CB7"/>
    <w:rsid w:val="00F23DB3"/>
    <w:rsid w:val="00F23F37"/>
    <w:rsid w:val="00F24AC6"/>
    <w:rsid w:val="00F24C80"/>
    <w:rsid w:val="00F2515C"/>
    <w:rsid w:val="00F25747"/>
    <w:rsid w:val="00F257B5"/>
    <w:rsid w:val="00F25DD7"/>
    <w:rsid w:val="00F269E0"/>
    <w:rsid w:val="00F26FB5"/>
    <w:rsid w:val="00F270FA"/>
    <w:rsid w:val="00F2720E"/>
    <w:rsid w:val="00F2754F"/>
    <w:rsid w:val="00F2776D"/>
    <w:rsid w:val="00F27F73"/>
    <w:rsid w:val="00F30D93"/>
    <w:rsid w:val="00F3159F"/>
    <w:rsid w:val="00F31F74"/>
    <w:rsid w:val="00F32285"/>
    <w:rsid w:val="00F327CE"/>
    <w:rsid w:val="00F32D95"/>
    <w:rsid w:val="00F32E46"/>
    <w:rsid w:val="00F33996"/>
    <w:rsid w:val="00F339EF"/>
    <w:rsid w:val="00F346E6"/>
    <w:rsid w:val="00F348B6"/>
    <w:rsid w:val="00F34CA7"/>
    <w:rsid w:val="00F34F1F"/>
    <w:rsid w:val="00F362A5"/>
    <w:rsid w:val="00F36644"/>
    <w:rsid w:val="00F36A77"/>
    <w:rsid w:val="00F36CA3"/>
    <w:rsid w:val="00F36D04"/>
    <w:rsid w:val="00F36F9D"/>
    <w:rsid w:val="00F3735C"/>
    <w:rsid w:val="00F378BD"/>
    <w:rsid w:val="00F37C6E"/>
    <w:rsid w:val="00F37E99"/>
    <w:rsid w:val="00F405F5"/>
    <w:rsid w:val="00F40864"/>
    <w:rsid w:val="00F412C8"/>
    <w:rsid w:val="00F412E9"/>
    <w:rsid w:val="00F41457"/>
    <w:rsid w:val="00F41BB4"/>
    <w:rsid w:val="00F41C01"/>
    <w:rsid w:val="00F42FED"/>
    <w:rsid w:val="00F43B18"/>
    <w:rsid w:val="00F43EC8"/>
    <w:rsid w:val="00F44190"/>
    <w:rsid w:val="00F44289"/>
    <w:rsid w:val="00F44393"/>
    <w:rsid w:val="00F44485"/>
    <w:rsid w:val="00F4480C"/>
    <w:rsid w:val="00F44895"/>
    <w:rsid w:val="00F44CC7"/>
    <w:rsid w:val="00F44E43"/>
    <w:rsid w:val="00F461A7"/>
    <w:rsid w:val="00F462B7"/>
    <w:rsid w:val="00F466F0"/>
    <w:rsid w:val="00F46788"/>
    <w:rsid w:val="00F50098"/>
    <w:rsid w:val="00F50150"/>
    <w:rsid w:val="00F504FC"/>
    <w:rsid w:val="00F50585"/>
    <w:rsid w:val="00F508E3"/>
    <w:rsid w:val="00F51496"/>
    <w:rsid w:val="00F516E3"/>
    <w:rsid w:val="00F52320"/>
    <w:rsid w:val="00F524D3"/>
    <w:rsid w:val="00F52A1E"/>
    <w:rsid w:val="00F53348"/>
    <w:rsid w:val="00F534AD"/>
    <w:rsid w:val="00F54730"/>
    <w:rsid w:val="00F54731"/>
    <w:rsid w:val="00F54832"/>
    <w:rsid w:val="00F54946"/>
    <w:rsid w:val="00F54C40"/>
    <w:rsid w:val="00F54DED"/>
    <w:rsid w:val="00F54EC5"/>
    <w:rsid w:val="00F5550A"/>
    <w:rsid w:val="00F55AE6"/>
    <w:rsid w:val="00F55EF0"/>
    <w:rsid w:val="00F5625F"/>
    <w:rsid w:val="00F5670F"/>
    <w:rsid w:val="00F57516"/>
    <w:rsid w:val="00F57847"/>
    <w:rsid w:val="00F57885"/>
    <w:rsid w:val="00F57916"/>
    <w:rsid w:val="00F57C8D"/>
    <w:rsid w:val="00F60873"/>
    <w:rsid w:val="00F60F63"/>
    <w:rsid w:val="00F6102B"/>
    <w:rsid w:val="00F62B23"/>
    <w:rsid w:val="00F62E0C"/>
    <w:rsid w:val="00F62FAC"/>
    <w:rsid w:val="00F63856"/>
    <w:rsid w:val="00F63925"/>
    <w:rsid w:val="00F63E83"/>
    <w:rsid w:val="00F63F3D"/>
    <w:rsid w:val="00F64389"/>
    <w:rsid w:val="00F64448"/>
    <w:rsid w:val="00F64545"/>
    <w:rsid w:val="00F648E4"/>
    <w:rsid w:val="00F649FF"/>
    <w:rsid w:val="00F64B98"/>
    <w:rsid w:val="00F65349"/>
    <w:rsid w:val="00F65A79"/>
    <w:rsid w:val="00F65CA0"/>
    <w:rsid w:val="00F65E06"/>
    <w:rsid w:val="00F65ED6"/>
    <w:rsid w:val="00F65F8E"/>
    <w:rsid w:val="00F66144"/>
    <w:rsid w:val="00F661D6"/>
    <w:rsid w:val="00F66BE2"/>
    <w:rsid w:val="00F66D4C"/>
    <w:rsid w:val="00F66D89"/>
    <w:rsid w:val="00F6713F"/>
    <w:rsid w:val="00F70906"/>
    <w:rsid w:val="00F709CC"/>
    <w:rsid w:val="00F70BD3"/>
    <w:rsid w:val="00F71043"/>
    <w:rsid w:val="00F71480"/>
    <w:rsid w:val="00F715A7"/>
    <w:rsid w:val="00F71CF0"/>
    <w:rsid w:val="00F71DB5"/>
    <w:rsid w:val="00F7210D"/>
    <w:rsid w:val="00F723FC"/>
    <w:rsid w:val="00F728D3"/>
    <w:rsid w:val="00F733DD"/>
    <w:rsid w:val="00F7340D"/>
    <w:rsid w:val="00F73498"/>
    <w:rsid w:val="00F73F79"/>
    <w:rsid w:val="00F73FBD"/>
    <w:rsid w:val="00F740E8"/>
    <w:rsid w:val="00F74922"/>
    <w:rsid w:val="00F74AA3"/>
    <w:rsid w:val="00F74B51"/>
    <w:rsid w:val="00F74B82"/>
    <w:rsid w:val="00F74E62"/>
    <w:rsid w:val="00F75C2B"/>
    <w:rsid w:val="00F75FA8"/>
    <w:rsid w:val="00F768EE"/>
    <w:rsid w:val="00F7697B"/>
    <w:rsid w:val="00F77684"/>
    <w:rsid w:val="00F77A7C"/>
    <w:rsid w:val="00F8077B"/>
    <w:rsid w:val="00F80BE9"/>
    <w:rsid w:val="00F81185"/>
    <w:rsid w:val="00F8121A"/>
    <w:rsid w:val="00F81362"/>
    <w:rsid w:val="00F81E7E"/>
    <w:rsid w:val="00F820B8"/>
    <w:rsid w:val="00F82528"/>
    <w:rsid w:val="00F8298F"/>
    <w:rsid w:val="00F82A4B"/>
    <w:rsid w:val="00F83404"/>
    <w:rsid w:val="00F83727"/>
    <w:rsid w:val="00F83D0F"/>
    <w:rsid w:val="00F84043"/>
    <w:rsid w:val="00F8485D"/>
    <w:rsid w:val="00F84A79"/>
    <w:rsid w:val="00F84FC7"/>
    <w:rsid w:val="00F8523C"/>
    <w:rsid w:val="00F854EE"/>
    <w:rsid w:val="00F85909"/>
    <w:rsid w:val="00F859CF"/>
    <w:rsid w:val="00F85FC0"/>
    <w:rsid w:val="00F86865"/>
    <w:rsid w:val="00F86CFA"/>
    <w:rsid w:val="00F87245"/>
    <w:rsid w:val="00F874DB"/>
    <w:rsid w:val="00F876CB"/>
    <w:rsid w:val="00F87858"/>
    <w:rsid w:val="00F87B3E"/>
    <w:rsid w:val="00F87B42"/>
    <w:rsid w:val="00F87C66"/>
    <w:rsid w:val="00F87ED9"/>
    <w:rsid w:val="00F904A8"/>
    <w:rsid w:val="00F90A6D"/>
    <w:rsid w:val="00F90BBE"/>
    <w:rsid w:val="00F91353"/>
    <w:rsid w:val="00F9171B"/>
    <w:rsid w:val="00F91B07"/>
    <w:rsid w:val="00F91C15"/>
    <w:rsid w:val="00F92388"/>
    <w:rsid w:val="00F9252F"/>
    <w:rsid w:val="00F933CC"/>
    <w:rsid w:val="00F93C98"/>
    <w:rsid w:val="00F94B6F"/>
    <w:rsid w:val="00F94E5B"/>
    <w:rsid w:val="00F956FA"/>
    <w:rsid w:val="00F956FD"/>
    <w:rsid w:val="00F95E46"/>
    <w:rsid w:val="00F95FE7"/>
    <w:rsid w:val="00F966FE"/>
    <w:rsid w:val="00F96771"/>
    <w:rsid w:val="00F9684A"/>
    <w:rsid w:val="00F96C4B"/>
    <w:rsid w:val="00FA018A"/>
    <w:rsid w:val="00FA0554"/>
    <w:rsid w:val="00FA0825"/>
    <w:rsid w:val="00FA08AD"/>
    <w:rsid w:val="00FA08F8"/>
    <w:rsid w:val="00FA181E"/>
    <w:rsid w:val="00FA1CD4"/>
    <w:rsid w:val="00FA251B"/>
    <w:rsid w:val="00FA259C"/>
    <w:rsid w:val="00FA2DEE"/>
    <w:rsid w:val="00FA2F27"/>
    <w:rsid w:val="00FA391E"/>
    <w:rsid w:val="00FA3A1E"/>
    <w:rsid w:val="00FA3FF2"/>
    <w:rsid w:val="00FA40B6"/>
    <w:rsid w:val="00FA4150"/>
    <w:rsid w:val="00FA42BB"/>
    <w:rsid w:val="00FA43E2"/>
    <w:rsid w:val="00FA4749"/>
    <w:rsid w:val="00FA4968"/>
    <w:rsid w:val="00FA49AB"/>
    <w:rsid w:val="00FA4D74"/>
    <w:rsid w:val="00FA4E98"/>
    <w:rsid w:val="00FA5160"/>
    <w:rsid w:val="00FA5766"/>
    <w:rsid w:val="00FA5C43"/>
    <w:rsid w:val="00FA5F66"/>
    <w:rsid w:val="00FA6375"/>
    <w:rsid w:val="00FA69E3"/>
    <w:rsid w:val="00FA6AA5"/>
    <w:rsid w:val="00FA7C0F"/>
    <w:rsid w:val="00FA7D7D"/>
    <w:rsid w:val="00FA7FF1"/>
    <w:rsid w:val="00FB0BEC"/>
    <w:rsid w:val="00FB0D5B"/>
    <w:rsid w:val="00FB141D"/>
    <w:rsid w:val="00FB1556"/>
    <w:rsid w:val="00FB15A7"/>
    <w:rsid w:val="00FB24AB"/>
    <w:rsid w:val="00FB2B58"/>
    <w:rsid w:val="00FB2DC8"/>
    <w:rsid w:val="00FB3A7C"/>
    <w:rsid w:val="00FB411D"/>
    <w:rsid w:val="00FB42FF"/>
    <w:rsid w:val="00FB473C"/>
    <w:rsid w:val="00FB49A7"/>
    <w:rsid w:val="00FB4D17"/>
    <w:rsid w:val="00FB5189"/>
    <w:rsid w:val="00FB528B"/>
    <w:rsid w:val="00FB5338"/>
    <w:rsid w:val="00FB5A3E"/>
    <w:rsid w:val="00FB5D6D"/>
    <w:rsid w:val="00FB620D"/>
    <w:rsid w:val="00FB6346"/>
    <w:rsid w:val="00FB63D4"/>
    <w:rsid w:val="00FB6682"/>
    <w:rsid w:val="00FB6807"/>
    <w:rsid w:val="00FB6A6E"/>
    <w:rsid w:val="00FB6F67"/>
    <w:rsid w:val="00FB7554"/>
    <w:rsid w:val="00FB75C4"/>
    <w:rsid w:val="00FB7953"/>
    <w:rsid w:val="00FC073F"/>
    <w:rsid w:val="00FC08DD"/>
    <w:rsid w:val="00FC0AD7"/>
    <w:rsid w:val="00FC0B28"/>
    <w:rsid w:val="00FC10DE"/>
    <w:rsid w:val="00FC1132"/>
    <w:rsid w:val="00FC15BC"/>
    <w:rsid w:val="00FC1B9B"/>
    <w:rsid w:val="00FC1CD5"/>
    <w:rsid w:val="00FC204F"/>
    <w:rsid w:val="00FC21C0"/>
    <w:rsid w:val="00FC28FB"/>
    <w:rsid w:val="00FC2D5F"/>
    <w:rsid w:val="00FC2E1C"/>
    <w:rsid w:val="00FC30CE"/>
    <w:rsid w:val="00FC33DE"/>
    <w:rsid w:val="00FC33EB"/>
    <w:rsid w:val="00FC39AE"/>
    <w:rsid w:val="00FC3C2E"/>
    <w:rsid w:val="00FC3DF8"/>
    <w:rsid w:val="00FC3E14"/>
    <w:rsid w:val="00FC40FF"/>
    <w:rsid w:val="00FC4BB5"/>
    <w:rsid w:val="00FC5603"/>
    <w:rsid w:val="00FC5726"/>
    <w:rsid w:val="00FC5B2A"/>
    <w:rsid w:val="00FC5CEA"/>
    <w:rsid w:val="00FC6147"/>
    <w:rsid w:val="00FC63D4"/>
    <w:rsid w:val="00FC7AA7"/>
    <w:rsid w:val="00FD0AA2"/>
    <w:rsid w:val="00FD0B28"/>
    <w:rsid w:val="00FD0FB2"/>
    <w:rsid w:val="00FD132C"/>
    <w:rsid w:val="00FD13EB"/>
    <w:rsid w:val="00FD1413"/>
    <w:rsid w:val="00FD15EB"/>
    <w:rsid w:val="00FD170F"/>
    <w:rsid w:val="00FD17BA"/>
    <w:rsid w:val="00FD1C11"/>
    <w:rsid w:val="00FD2426"/>
    <w:rsid w:val="00FD2778"/>
    <w:rsid w:val="00FD2C9D"/>
    <w:rsid w:val="00FD2DD4"/>
    <w:rsid w:val="00FD2F74"/>
    <w:rsid w:val="00FD38B0"/>
    <w:rsid w:val="00FD3B94"/>
    <w:rsid w:val="00FD3EC8"/>
    <w:rsid w:val="00FD40DD"/>
    <w:rsid w:val="00FD43B3"/>
    <w:rsid w:val="00FD56BA"/>
    <w:rsid w:val="00FD5C42"/>
    <w:rsid w:val="00FD5D07"/>
    <w:rsid w:val="00FD6295"/>
    <w:rsid w:val="00FD67E5"/>
    <w:rsid w:val="00FD691F"/>
    <w:rsid w:val="00FD6C60"/>
    <w:rsid w:val="00FD705E"/>
    <w:rsid w:val="00FD706B"/>
    <w:rsid w:val="00FD7FBC"/>
    <w:rsid w:val="00FE05EB"/>
    <w:rsid w:val="00FE0B63"/>
    <w:rsid w:val="00FE0B8F"/>
    <w:rsid w:val="00FE0BEA"/>
    <w:rsid w:val="00FE1118"/>
    <w:rsid w:val="00FE1142"/>
    <w:rsid w:val="00FE17C3"/>
    <w:rsid w:val="00FE1E45"/>
    <w:rsid w:val="00FE201B"/>
    <w:rsid w:val="00FE2DFC"/>
    <w:rsid w:val="00FE325E"/>
    <w:rsid w:val="00FE35AF"/>
    <w:rsid w:val="00FE3E8C"/>
    <w:rsid w:val="00FE4010"/>
    <w:rsid w:val="00FE40E5"/>
    <w:rsid w:val="00FE4739"/>
    <w:rsid w:val="00FE4CF1"/>
    <w:rsid w:val="00FE4DB2"/>
    <w:rsid w:val="00FE4F93"/>
    <w:rsid w:val="00FE5018"/>
    <w:rsid w:val="00FE5196"/>
    <w:rsid w:val="00FE542C"/>
    <w:rsid w:val="00FE5711"/>
    <w:rsid w:val="00FE654F"/>
    <w:rsid w:val="00FE6720"/>
    <w:rsid w:val="00FE681D"/>
    <w:rsid w:val="00FE68E4"/>
    <w:rsid w:val="00FE6916"/>
    <w:rsid w:val="00FE6B0F"/>
    <w:rsid w:val="00FE6E43"/>
    <w:rsid w:val="00FE6FEF"/>
    <w:rsid w:val="00FE704F"/>
    <w:rsid w:val="00FE70CA"/>
    <w:rsid w:val="00FE74DF"/>
    <w:rsid w:val="00FE7C87"/>
    <w:rsid w:val="00FF0DBD"/>
    <w:rsid w:val="00FF1D7B"/>
    <w:rsid w:val="00FF2100"/>
    <w:rsid w:val="00FF217D"/>
    <w:rsid w:val="00FF281F"/>
    <w:rsid w:val="00FF2D47"/>
    <w:rsid w:val="00FF303D"/>
    <w:rsid w:val="00FF3292"/>
    <w:rsid w:val="00FF3A07"/>
    <w:rsid w:val="00FF3CF2"/>
    <w:rsid w:val="00FF3D57"/>
    <w:rsid w:val="00FF3FEA"/>
    <w:rsid w:val="00FF4524"/>
    <w:rsid w:val="00FF4720"/>
    <w:rsid w:val="00FF4C68"/>
    <w:rsid w:val="00FF51D2"/>
    <w:rsid w:val="00FF52B8"/>
    <w:rsid w:val="00FF549D"/>
    <w:rsid w:val="00FF62A7"/>
    <w:rsid w:val="00FF6433"/>
    <w:rsid w:val="00FF6510"/>
    <w:rsid w:val="00FF69E5"/>
    <w:rsid w:val="00FF6EEC"/>
    <w:rsid w:val="00FF719B"/>
    <w:rsid w:val="00FF725D"/>
    <w:rsid w:val="00FF739E"/>
    <w:rsid w:val="00FF7BF7"/>
    <w:rsid w:val="00FF7ED6"/>
    <w:rsid w:val="00FF7F31"/>
    <w:rsid w:val="03C4113D"/>
    <w:rsid w:val="058F5469"/>
    <w:rsid w:val="05B26D60"/>
    <w:rsid w:val="0639657E"/>
    <w:rsid w:val="0BCF475A"/>
    <w:rsid w:val="0D6EE28F"/>
    <w:rsid w:val="0E91BDC5"/>
    <w:rsid w:val="103D6837"/>
    <w:rsid w:val="10BBC785"/>
    <w:rsid w:val="114B96D9"/>
    <w:rsid w:val="16FF5779"/>
    <w:rsid w:val="18A890AB"/>
    <w:rsid w:val="1DBFDC32"/>
    <w:rsid w:val="1E9149E3"/>
    <w:rsid w:val="1EB78409"/>
    <w:rsid w:val="2EA34C1F"/>
    <w:rsid w:val="2F64507C"/>
    <w:rsid w:val="2F810F79"/>
    <w:rsid w:val="3024EECF"/>
    <w:rsid w:val="307F7FE8"/>
    <w:rsid w:val="32DE0C12"/>
    <w:rsid w:val="33758FB5"/>
    <w:rsid w:val="353B9079"/>
    <w:rsid w:val="39EEE499"/>
    <w:rsid w:val="41D61C61"/>
    <w:rsid w:val="42377409"/>
    <w:rsid w:val="44631CBE"/>
    <w:rsid w:val="4751674B"/>
    <w:rsid w:val="4ABD26ED"/>
    <w:rsid w:val="4C21270D"/>
    <w:rsid w:val="4F0DA8F8"/>
    <w:rsid w:val="4F9C8F91"/>
    <w:rsid w:val="519C38BC"/>
    <w:rsid w:val="533D2D33"/>
    <w:rsid w:val="55F12405"/>
    <w:rsid w:val="5DD9C082"/>
    <w:rsid w:val="65862A6D"/>
    <w:rsid w:val="6C01DE3C"/>
    <w:rsid w:val="6C0332A8"/>
    <w:rsid w:val="6D6E80EC"/>
    <w:rsid w:val="6F7975D1"/>
    <w:rsid w:val="6FF9C643"/>
    <w:rsid w:val="7085DABC"/>
    <w:rsid w:val="71B57828"/>
    <w:rsid w:val="71BC698F"/>
    <w:rsid w:val="7399BE14"/>
    <w:rsid w:val="79C0DFE9"/>
    <w:rsid w:val="7C3CE834"/>
    <w:rsid w:val="7DF003D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aliases w:val="Section 2B"/>
    <w:basedOn w:val="Normal"/>
    <w:next w:val="Normal"/>
    <w:link w:val="Heading1Char"/>
    <w:uiPriority w:val="9"/>
    <w:qFormat/>
    <w:rsid w:val="001531D6"/>
    <w:pPr>
      <w:keepNext/>
      <w:keepLines/>
      <w:numPr>
        <w:numId w:val="1"/>
      </w:numPr>
      <w:pBdr>
        <w:bottom w:val="single" w:sz="4" w:space="1" w:color="auto"/>
      </w:pBdr>
      <w:tabs>
        <w:tab w:val="num" w:pos="1440"/>
      </w:tabs>
      <w:spacing w:before="600" w:after="480" w:line="240" w:lineRule="auto"/>
      <w:ind w:left="144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tabs>
        <w:tab w:val="num" w:pos="2160"/>
      </w:tabs>
      <w:spacing w:before="360" w:after="240" w:line="240" w:lineRule="auto"/>
      <w:ind w:left="21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BC14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aliases w:val="- H19,Commentaire,Comment Text Char Char,Comment Text Char1 Char Char,Comment Text Char Char Char Char,Comment Text Char Char1"/>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aliases w:val="- H19 Char,Commentaire Char,Comment Text Char Char Char,Comment Text Char1 Char Char Char,Comment Text Char Char Char Char Char,Comment Text Char Char1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aliases w:val="Section 2B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897B7D"/>
    <w:pPr>
      <w:keepNext/>
      <w:spacing w:before="360" w:after="120" w:line="240" w:lineRule="auto"/>
      <w:ind w:left="794" w:hanging="794"/>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897B7D"/>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PBAC table,Conclusion box,Table Grid nm,HTAtableplain,Dossier table,Section 3- footnotes,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 Antiqua" w:hAnsi="Book Antiqua"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 Antiqua" w:hAnsi="Book Antiqua"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 Antiqua" w:hAnsi="Book Antiqua"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CommentaryTableheading">
    <w:name w:val="Commentary Table heading"/>
    <w:basedOn w:val="TableHeading"/>
    <w:link w:val="CommentaryTableheadingChar"/>
    <w:qFormat/>
    <w:rsid w:val="003304D9"/>
    <w:pPr>
      <w:spacing w:before="40" w:after="40"/>
      <w:ind w:left="57"/>
    </w:pPr>
    <w:rPr>
      <w:rFonts w:eastAsiaTheme="minorEastAsia" w:cs="Times New Roman"/>
      <w:snapToGrid w:val="0"/>
      <w:color w:val="5B9BD5" w:themeColor="accent1"/>
      <w:szCs w:val="20"/>
      <w:lang w:eastAsia="en-AU"/>
    </w:rPr>
  </w:style>
  <w:style w:type="character" w:customStyle="1" w:styleId="CommentaryTableheadingChar">
    <w:name w:val="Commentary Table heading Char"/>
    <w:basedOn w:val="TableHeadingChar"/>
    <w:link w:val="CommentaryTableheading"/>
    <w:rsid w:val="003304D9"/>
    <w:rPr>
      <w:rFonts w:ascii="Arial Narrow" w:eastAsiaTheme="minorEastAsia" w:hAnsi="Arial Narrow" w:cs="Times New Roman"/>
      <w:b/>
      <w:snapToGrid w:val="0"/>
      <w:color w:val="5B9BD5" w:themeColor="accent1"/>
      <w:sz w:val="20"/>
      <w:szCs w:val="20"/>
      <w:lang w:eastAsia="en-AU"/>
    </w:rPr>
  </w:style>
  <w:style w:type="paragraph" w:customStyle="1" w:styleId="CommentaryTabletextleft">
    <w:name w:val="Commentary Table text left"/>
    <w:basedOn w:val="Normal"/>
    <w:link w:val="CommentaryTabletextleftChar"/>
    <w:qFormat/>
    <w:rsid w:val="003304D9"/>
    <w:pPr>
      <w:keepNext/>
      <w:spacing w:before="40" w:after="40" w:line="240" w:lineRule="auto"/>
      <w:ind w:left="57"/>
    </w:pPr>
    <w:rPr>
      <w:rFonts w:ascii="Arial Narrow" w:eastAsia="Calibri" w:hAnsi="Arial Narrow"/>
      <w:color w:val="5B9BD5" w:themeColor="accent1"/>
      <w:sz w:val="20"/>
      <w:szCs w:val="20"/>
    </w:rPr>
  </w:style>
  <w:style w:type="character" w:customStyle="1" w:styleId="CommentaryTabletextleftChar">
    <w:name w:val="Commentary Table text left Char"/>
    <w:basedOn w:val="DefaultParagraphFont"/>
    <w:link w:val="CommentaryTabletextleft"/>
    <w:rsid w:val="003304D9"/>
    <w:rPr>
      <w:rFonts w:ascii="Arial Narrow" w:eastAsia="Calibri" w:hAnsi="Arial Narrow"/>
      <w:color w:val="5B9BD5" w:themeColor="accent1"/>
      <w:sz w:val="20"/>
      <w:szCs w:val="20"/>
    </w:rPr>
  </w:style>
  <w:style w:type="character" w:customStyle="1" w:styleId="highlight">
    <w:name w:val="highlight"/>
    <w:basedOn w:val="DefaultParagraphFont"/>
    <w:rsid w:val="00875F1B"/>
  </w:style>
  <w:style w:type="character" w:styleId="UnresolvedMention">
    <w:name w:val="Unresolved Mention"/>
    <w:basedOn w:val="DefaultParagraphFont"/>
    <w:uiPriority w:val="99"/>
    <w:unhideWhenUsed/>
    <w:rsid w:val="00C85C1B"/>
    <w:rPr>
      <w:color w:val="605E5C"/>
      <w:shd w:val="clear" w:color="auto" w:fill="E1DFDD"/>
    </w:rPr>
  </w:style>
  <w:style w:type="character" w:customStyle="1" w:styleId="Heading5Char">
    <w:name w:val="Heading 5 Char"/>
    <w:basedOn w:val="DefaultParagraphFont"/>
    <w:link w:val="Heading5"/>
    <w:uiPriority w:val="9"/>
    <w:rsid w:val="00BC144A"/>
    <w:rPr>
      <w:rFonts w:asciiTheme="majorHAnsi" w:eastAsiaTheme="majorEastAsia" w:hAnsiTheme="majorHAnsi" w:cstheme="majorBidi"/>
      <w:color w:val="2E74B5" w:themeColor="accent1" w:themeShade="BF"/>
    </w:rPr>
  </w:style>
  <w:style w:type="character" w:customStyle="1" w:styleId="CommentaryemphasisTablesmid-paragraph">
    <w:name w:val="Commentary emphasis Tables mid-paragraph"/>
    <w:basedOn w:val="DefaultParagraphFont"/>
    <w:uiPriority w:val="1"/>
    <w:qFormat/>
    <w:rsid w:val="00CF6FF3"/>
    <w:rPr>
      <w:rFonts w:ascii="Arial Narrow" w:hAnsi="Arial Narrow"/>
      <w:color w:val="5B9BD5" w:themeColor="accent1"/>
      <w:sz w:val="20"/>
    </w:rPr>
  </w:style>
  <w:style w:type="paragraph" w:customStyle="1" w:styleId="CommentaryTablenotes">
    <w:name w:val="Commentary Table notes"/>
    <w:basedOn w:val="Tablenotes"/>
    <w:link w:val="CommentaryTablenotesChar"/>
    <w:qFormat/>
    <w:rsid w:val="00737A68"/>
    <w:pPr>
      <w:keepLines/>
      <w:widowControl/>
      <w:spacing w:before="0" w:after="360" w:line="264" w:lineRule="auto"/>
    </w:pPr>
    <w:rPr>
      <w:rFonts w:eastAsiaTheme="minorEastAsia"/>
      <w:i/>
      <w:color w:val="5B9BD5" w:themeColor="accent1"/>
    </w:rPr>
  </w:style>
  <w:style w:type="character" w:customStyle="1" w:styleId="CommentaryTablenotesChar">
    <w:name w:val="Commentary Table notes Char"/>
    <w:basedOn w:val="TablenotesChar"/>
    <w:link w:val="CommentaryTablenotes"/>
    <w:rsid w:val="00737A68"/>
    <w:rPr>
      <w:rFonts w:ascii="Arial Narrow" w:eastAsiaTheme="minorEastAsia" w:hAnsi="Arial Narrow" w:cs="Arial"/>
      <w:i/>
      <w:snapToGrid w:val="0"/>
      <w:color w:val="5B9BD5" w:themeColor="accent1"/>
      <w:sz w:val="18"/>
      <w:szCs w:val="20"/>
    </w:rPr>
  </w:style>
  <w:style w:type="paragraph" w:customStyle="1" w:styleId="Commentarytextitalics-AGvoice">
    <w:name w:val="Commentary text italics - AG voice"/>
    <w:basedOn w:val="Normal"/>
    <w:link w:val="Commentarytextitalics-AGvoiceChar"/>
    <w:qFormat/>
    <w:rsid w:val="002F7C49"/>
    <w:pPr>
      <w:spacing w:before="0" w:after="120" w:line="264" w:lineRule="auto"/>
    </w:pPr>
    <w:rPr>
      <w:rFonts w:asciiTheme="minorHAnsi" w:eastAsiaTheme="minorEastAsia" w:hAnsiTheme="minorHAnsi" w:cs="Times New Roman"/>
      <w:i/>
      <w:snapToGrid w:val="0"/>
      <w:color w:val="5B9BD5" w:themeColor="accent1"/>
      <w:szCs w:val="20"/>
      <w:lang w:eastAsia="en-AU"/>
    </w:rPr>
  </w:style>
  <w:style w:type="character" w:customStyle="1" w:styleId="Commentarytextitalics-AGvoiceChar">
    <w:name w:val="Commentary text italics - AG voice Char"/>
    <w:basedOn w:val="DefaultParagraphFont"/>
    <w:link w:val="Commentarytextitalics-AGvoice"/>
    <w:rsid w:val="002F7C49"/>
    <w:rPr>
      <w:rFonts w:eastAsiaTheme="minorEastAsia" w:cs="Times New Roman"/>
      <w:i/>
      <w:snapToGrid w:val="0"/>
      <w:color w:val="5B9BD5" w:themeColor="accent1"/>
      <w:szCs w:val="20"/>
      <w:lang w:eastAsia="en-AU"/>
    </w:rPr>
  </w:style>
  <w:style w:type="character" w:styleId="Mention">
    <w:name w:val="Mention"/>
    <w:basedOn w:val="DefaultParagraphFont"/>
    <w:uiPriority w:val="99"/>
    <w:unhideWhenUsed/>
    <w:rsid w:val="00E613A0"/>
    <w:rPr>
      <w:color w:val="2B579A"/>
      <w:shd w:val="clear" w:color="auto" w:fill="E1DFDD"/>
    </w:rPr>
  </w:style>
  <w:style w:type="character" w:customStyle="1" w:styleId="normaltextrun">
    <w:name w:val="normaltextrun"/>
    <w:basedOn w:val="DefaultParagraphFont"/>
    <w:rsid w:val="00E7362F"/>
  </w:style>
  <w:style w:type="paragraph" w:customStyle="1" w:styleId="TableDash">
    <w:name w:val="TableDash"/>
    <w:basedOn w:val="TableText1"/>
    <w:rsid w:val="00CA5031"/>
    <w:pPr>
      <w:numPr>
        <w:numId w:val="32"/>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oxName0">
    <w:name w:val="BoxName"/>
    <w:basedOn w:val="Normal"/>
    <w:rsid w:val="00CA5031"/>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CA5031"/>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CA5031"/>
    <w:pPr>
      <w:numPr>
        <w:numId w:val="33"/>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table" w:customStyle="1" w:styleId="HealthConsult1">
    <w:name w:val="HealthConsult1"/>
    <w:basedOn w:val="TableNormal"/>
    <w:next w:val="TableGrid"/>
    <w:uiPriority w:val="59"/>
    <w:rsid w:val="005304EC"/>
    <w:pPr>
      <w:spacing w:after="0" w:line="240" w:lineRule="auto"/>
    </w:pPr>
    <w:rPr>
      <w:rFonts w:ascii="Times New Roman" w:eastAsia="Calibri" w:hAnsi="Times New Roman" w:cs="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F04B8"/>
    <w:pPr>
      <w:spacing w:before="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F04B8"/>
    <w:rPr>
      <w:rFonts w:ascii="Calibri" w:hAnsi="Calibri" w:cs="Calibri"/>
      <w:noProof/>
    </w:rPr>
  </w:style>
  <w:style w:type="paragraph" w:styleId="BodyText">
    <w:name w:val="Body Text"/>
    <w:basedOn w:val="Normal"/>
    <w:link w:val="BodyTextChar"/>
    <w:rsid w:val="00AB25C3"/>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AB25C3"/>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46559446">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5127029">
      <w:bodyDiv w:val="1"/>
      <w:marLeft w:val="0"/>
      <w:marRight w:val="0"/>
      <w:marTop w:val="0"/>
      <w:marBottom w:val="0"/>
      <w:divBdr>
        <w:top w:val="none" w:sz="0" w:space="0" w:color="auto"/>
        <w:left w:val="none" w:sz="0" w:space="0" w:color="auto"/>
        <w:bottom w:val="none" w:sz="0" w:space="0" w:color="auto"/>
        <w:right w:val="none" w:sz="0" w:space="0" w:color="auto"/>
      </w:divBdr>
      <w:divsChild>
        <w:div w:id="403645055">
          <w:marLeft w:val="0"/>
          <w:marRight w:val="0"/>
          <w:marTop w:val="0"/>
          <w:marBottom w:val="0"/>
          <w:divBdr>
            <w:top w:val="none" w:sz="0" w:space="0" w:color="auto"/>
            <w:left w:val="none" w:sz="0" w:space="0" w:color="auto"/>
            <w:bottom w:val="none" w:sz="0" w:space="0" w:color="auto"/>
            <w:right w:val="none" w:sz="0" w:space="0" w:color="auto"/>
          </w:divBdr>
        </w:div>
        <w:div w:id="1160272546">
          <w:marLeft w:val="0"/>
          <w:marRight w:val="0"/>
          <w:marTop w:val="0"/>
          <w:marBottom w:val="0"/>
          <w:divBdr>
            <w:top w:val="none" w:sz="0" w:space="0" w:color="auto"/>
            <w:left w:val="none" w:sz="0" w:space="0" w:color="auto"/>
            <w:bottom w:val="none" w:sz="0" w:space="0" w:color="auto"/>
            <w:right w:val="none" w:sz="0" w:space="0" w:color="auto"/>
          </w:divBdr>
        </w:div>
        <w:div w:id="2055616434">
          <w:marLeft w:val="0"/>
          <w:marRight w:val="0"/>
          <w:marTop w:val="0"/>
          <w:marBottom w:val="0"/>
          <w:divBdr>
            <w:top w:val="none" w:sz="0" w:space="0" w:color="auto"/>
            <w:left w:val="none" w:sz="0" w:space="0" w:color="auto"/>
            <w:bottom w:val="none" w:sz="0" w:space="0" w:color="auto"/>
            <w:right w:val="none" w:sz="0" w:space="0" w:color="auto"/>
          </w:divBdr>
        </w:div>
      </w:divsChild>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48109181">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54506950">
      <w:bodyDiv w:val="1"/>
      <w:marLeft w:val="0"/>
      <w:marRight w:val="0"/>
      <w:marTop w:val="0"/>
      <w:marBottom w:val="0"/>
      <w:divBdr>
        <w:top w:val="none" w:sz="0" w:space="0" w:color="auto"/>
        <w:left w:val="none" w:sz="0" w:space="0" w:color="auto"/>
        <w:bottom w:val="none" w:sz="0" w:space="0" w:color="auto"/>
        <w:right w:val="none" w:sz="0" w:space="0" w:color="auto"/>
      </w:divBdr>
    </w:div>
    <w:div w:id="58126051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6942136">
      <w:bodyDiv w:val="1"/>
      <w:marLeft w:val="0"/>
      <w:marRight w:val="0"/>
      <w:marTop w:val="0"/>
      <w:marBottom w:val="0"/>
      <w:divBdr>
        <w:top w:val="none" w:sz="0" w:space="0" w:color="auto"/>
        <w:left w:val="none" w:sz="0" w:space="0" w:color="auto"/>
        <w:bottom w:val="none" w:sz="0" w:space="0" w:color="auto"/>
        <w:right w:val="none" w:sz="0" w:space="0" w:color="auto"/>
      </w:divBdr>
      <w:divsChild>
        <w:div w:id="121308923">
          <w:marLeft w:val="0"/>
          <w:marRight w:val="0"/>
          <w:marTop w:val="0"/>
          <w:marBottom w:val="0"/>
          <w:divBdr>
            <w:top w:val="none" w:sz="0" w:space="0" w:color="auto"/>
            <w:left w:val="none" w:sz="0" w:space="0" w:color="auto"/>
            <w:bottom w:val="none" w:sz="0" w:space="0" w:color="auto"/>
            <w:right w:val="none" w:sz="0" w:space="0" w:color="auto"/>
          </w:divBdr>
        </w:div>
        <w:div w:id="1177765600">
          <w:marLeft w:val="0"/>
          <w:marRight w:val="0"/>
          <w:marTop w:val="0"/>
          <w:marBottom w:val="0"/>
          <w:divBdr>
            <w:top w:val="none" w:sz="0" w:space="0" w:color="auto"/>
            <w:left w:val="none" w:sz="0" w:space="0" w:color="auto"/>
            <w:bottom w:val="none" w:sz="0" w:space="0" w:color="auto"/>
            <w:right w:val="none" w:sz="0" w:space="0" w:color="auto"/>
          </w:divBdr>
        </w:div>
        <w:div w:id="1365785244">
          <w:marLeft w:val="0"/>
          <w:marRight w:val="0"/>
          <w:marTop w:val="0"/>
          <w:marBottom w:val="0"/>
          <w:divBdr>
            <w:top w:val="none" w:sz="0" w:space="0" w:color="auto"/>
            <w:left w:val="none" w:sz="0" w:space="0" w:color="auto"/>
            <w:bottom w:val="none" w:sz="0" w:space="0" w:color="auto"/>
            <w:right w:val="none" w:sz="0" w:space="0" w:color="auto"/>
          </w:divBdr>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1862444">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15613246">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sac.gov.au/internet/msac/publishing.nsf/Content/Home-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689.1-publ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sac.gov.au/internet/msac/publishing.nsf/Content/1087-publi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hoosingwisely.org.au/" TargetMode="External"/><Relationship Id="rId2" Type="http://schemas.openxmlformats.org/officeDocument/2006/relationships/hyperlink" Target="http://www.msac.gov.au/internet/msac/publishing.nsf/Content/1689.1-public" TargetMode="External"/><Relationship Id="rId1" Type="http://schemas.openxmlformats.org/officeDocument/2006/relationships/hyperlink" Target="http://www.msac.gov.au/internet/msac/publishing.nsf/Content/1087-public" TargetMode="External"/><Relationship Id="rId4" Type="http://schemas.openxmlformats.org/officeDocument/2006/relationships/hyperlink" Target="https://www.safetyandquality.gov.au/sites/default/files/migrated/4.4-Text-Standard-echocardiography-18-years-and-ov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1E2C-A94A-4030-B85E-94CC76BC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17744</Words>
  <Characters>101142</Characters>
  <Application>Microsoft Office Word</Application>
  <DocSecurity>0</DocSecurity>
  <Lines>842</Lines>
  <Paragraphs>237</Paragraphs>
  <ScaleCrop>false</ScaleCrop>
  <Manager/>
  <Company/>
  <LinksUpToDate>false</LinksUpToDate>
  <CharactersWithSpaces>118649</CharactersWithSpaces>
  <SharedDoc>false</SharedDoc>
  <HyperlinkBase/>
  <HLinks>
    <vt:vector size="72" baseType="variant">
      <vt:variant>
        <vt:i4>6684716</vt:i4>
      </vt:variant>
      <vt:variant>
        <vt:i4>147</vt:i4>
      </vt:variant>
      <vt:variant>
        <vt:i4>0</vt:i4>
      </vt:variant>
      <vt:variant>
        <vt:i4>5</vt:i4>
      </vt:variant>
      <vt:variant>
        <vt:lpwstr>http://msac.gov.au/internet/msac/publishing.nsf/Content/Home-1</vt:lpwstr>
      </vt:variant>
      <vt:variant>
        <vt:lpwstr/>
      </vt:variant>
      <vt:variant>
        <vt:i4>1572942</vt:i4>
      </vt:variant>
      <vt:variant>
        <vt:i4>141</vt:i4>
      </vt:variant>
      <vt:variant>
        <vt:i4>0</vt:i4>
      </vt:variant>
      <vt:variant>
        <vt:i4>5</vt:i4>
      </vt:variant>
      <vt:variant>
        <vt:lpwstr>http://www.msac.gov.au/internet/msac/publishing.nsf/Content/1689.1-public</vt:lpwstr>
      </vt:variant>
      <vt:variant>
        <vt:lpwstr/>
      </vt:variant>
      <vt:variant>
        <vt:i4>2162784</vt:i4>
      </vt:variant>
      <vt:variant>
        <vt:i4>135</vt:i4>
      </vt:variant>
      <vt:variant>
        <vt:i4>0</vt:i4>
      </vt:variant>
      <vt:variant>
        <vt:i4>5</vt:i4>
      </vt:variant>
      <vt:variant>
        <vt:lpwstr>http://www.msac.gov.au/internet/msac/publishing.nsf/Content/1087-public</vt:lpwstr>
      </vt:variant>
      <vt:variant>
        <vt:lpwstr/>
      </vt:variant>
      <vt:variant>
        <vt:i4>3997744</vt:i4>
      </vt:variant>
      <vt:variant>
        <vt:i4>0</vt:i4>
      </vt:variant>
      <vt:variant>
        <vt:i4>0</vt:i4>
      </vt:variant>
      <vt:variant>
        <vt:i4>5</vt:i4>
      </vt:variant>
      <vt:variant>
        <vt:lpwstr>http://www.msac.gov.au/</vt:lpwstr>
      </vt:variant>
      <vt:variant>
        <vt:lpwstr/>
      </vt:variant>
      <vt:variant>
        <vt:i4>5636171</vt:i4>
      </vt:variant>
      <vt:variant>
        <vt:i4>12</vt:i4>
      </vt:variant>
      <vt:variant>
        <vt:i4>0</vt:i4>
      </vt:variant>
      <vt:variant>
        <vt:i4>5</vt:i4>
      </vt:variant>
      <vt:variant>
        <vt:lpwstr>https://www.safetyandquality.gov.au/sites/default/files/migrated/4.4-Text-Standard-echocardiography-18-years-and-over.pdf</vt:lpwstr>
      </vt:variant>
      <vt:variant>
        <vt:lpwstr/>
      </vt:variant>
      <vt:variant>
        <vt:i4>7471166</vt:i4>
      </vt:variant>
      <vt:variant>
        <vt:i4>9</vt:i4>
      </vt:variant>
      <vt:variant>
        <vt:i4>0</vt:i4>
      </vt:variant>
      <vt:variant>
        <vt:i4>5</vt:i4>
      </vt:variant>
      <vt:variant>
        <vt:lpwstr>https://www.choosingwisely.org.au/</vt:lpwstr>
      </vt:variant>
      <vt:variant>
        <vt:lpwstr/>
      </vt:variant>
      <vt:variant>
        <vt:i4>1572942</vt:i4>
      </vt:variant>
      <vt:variant>
        <vt:i4>3</vt:i4>
      </vt:variant>
      <vt:variant>
        <vt:i4>0</vt:i4>
      </vt:variant>
      <vt:variant>
        <vt:i4>5</vt:i4>
      </vt:variant>
      <vt:variant>
        <vt:lpwstr>http://www.msac.gov.au/internet/msac/publishing.nsf/Content/1689.1-public</vt:lpwstr>
      </vt:variant>
      <vt:variant>
        <vt:lpwstr/>
      </vt:variant>
      <vt:variant>
        <vt:i4>2162784</vt:i4>
      </vt:variant>
      <vt:variant>
        <vt:i4>0</vt:i4>
      </vt:variant>
      <vt:variant>
        <vt:i4>0</vt:i4>
      </vt:variant>
      <vt:variant>
        <vt:i4>5</vt:i4>
      </vt:variant>
      <vt:variant>
        <vt:lpwstr>http://www.msac.gov.au/internet/msac/publishing.nsf/Content/1087-public</vt:lpwstr>
      </vt:variant>
      <vt:variant>
        <vt:lpwstr/>
      </vt:variant>
      <vt:variant>
        <vt:i4>8257631</vt:i4>
      </vt:variant>
      <vt:variant>
        <vt:i4>9</vt:i4>
      </vt:variant>
      <vt:variant>
        <vt:i4>0</vt:i4>
      </vt:variant>
      <vt:variant>
        <vt:i4>5</vt:i4>
      </vt:variant>
      <vt:variant>
        <vt:lpwstr>mailto:Gabrielle.Lockett@health.gov.au</vt:lpwstr>
      </vt:variant>
      <vt:variant>
        <vt:lpwstr/>
      </vt:variant>
      <vt:variant>
        <vt:i4>6946897</vt:i4>
      </vt:variant>
      <vt:variant>
        <vt:i4>6</vt:i4>
      </vt:variant>
      <vt:variant>
        <vt:i4>0</vt:i4>
      </vt:variant>
      <vt:variant>
        <vt:i4>5</vt:i4>
      </vt:variant>
      <vt:variant>
        <vt:lpwstr>mailto:Angela.LUANGRATH@Health.gov.au</vt:lpwstr>
      </vt:variant>
      <vt:variant>
        <vt:lpwstr/>
      </vt:variant>
      <vt:variant>
        <vt:i4>4653057</vt:i4>
      </vt:variant>
      <vt:variant>
        <vt:i4>3</vt:i4>
      </vt:variant>
      <vt:variant>
        <vt:i4>0</vt:i4>
      </vt:variant>
      <vt:variant>
        <vt:i4>5</vt:i4>
      </vt:variant>
      <vt:variant>
        <vt:lpwstr>https://www9.health.gov.au/mbs/fullDisplay.cfm?type=item&amp;q=66585&amp;qt=item&amp;criteria=BNP</vt:lpwstr>
      </vt:variant>
      <vt:variant>
        <vt:lpwstr/>
      </vt:variant>
      <vt:variant>
        <vt:i4>8323106</vt:i4>
      </vt:variant>
      <vt:variant>
        <vt:i4>0</vt:i4>
      </vt:variant>
      <vt:variant>
        <vt:i4>0</vt:i4>
      </vt:variant>
      <vt:variant>
        <vt:i4>5</vt:i4>
      </vt:variant>
      <vt:variant>
        <vt:lpwstr>https://www.legislation.gov.au/Details/F2023C00079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2024-01-29T21:09:00Z</dcterms:created>
  <dcterms:modified xsi:type="dcterms:W3CDTF">2024-01-29T21:09:00Z</dcterms:modified>
  <cp:category/>
</cp:coreProperties>
</file>