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79D87" w14:textId="77777777" w:rsidR="008A749F" w:rsidRPr="00707064" w:rsidRDefault="008A749F" w:rsidP="008A749F">
      <w:pPr>
        <w:spacing w:after="240"/>
        <w:jc w:val="center"/>
        <w:rPr>
          <w:b/>
          <w:i/>
          <w:szCs w:val="24"/>
          <w:highlight w:val="yellow"/>
        </w:rPr>
      </w:pPr>
      <w:r>
        <w:rPr>
          <w:rFonts w:ascii="Arial" w:hAnsi="Arial" w:cs="Arial"/>
          <w:b/>
          <w:noProof/>
          <w:color w:val="000080"/>
          <w:sz w:val="28"/>
          <w:szCs w:val="28"/>
        </w:rPr>
        <w:drawing>
          <wp:inline distT="0" distB="0" distL="0" distR="0" wp14:anchorId="680CA368" wp14:editId="47E5C112">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7731B6A" w14:textId="77777777" w:rsidR="008A749F" w:rsidRPr="00F715D1" w:rsidRDefault="008A749F" w:rsidP="008A749F">
      <w:pPr>
        <w:pStyle w:val="Title"/>
        <w:tabs>
          <w:tab w:val="left" w:pos="1926"/>
          <w:tab w:val="center" w:pos="4513"/>
        </w:tabs>
        <w:jc w:val="left"/>
      </w:pPr>
      <w:r>
        <w:tab/>
      </w:r>
      <w:r>
        <w:tab/>
      </w:r>
      <w:r w:rsidRPr="00F715D1">
        <w:t>Public Summary Document</w:t>
      </w:r>
    </w:p>
    <w:p w14:paraId="35EF5D0B" w14:textId="77777777" w:rsidR="008A749F" w:rsidRPr="00F715D1" w:rsidRDefault="008A749F" w:rsidP="008A749F">
      <w:pPr>
        <w:pStyle w:val="Subtitle"/>
      </w:pPr>
      <w:r w:rsidRPr="00F715D1">
        <w:t xml:space="preserve">Application No. </w:t>
      </w:r>
      <w:r>
        <w:t>1542</w:t>
      </w:r>
      <w:r w:rsidRPr="00F715D1">
        <w:t xml:space="preserve"> – </w:t>
      </w:r>
      <w:r w:rsidRPr="008A749F">
        <w:t>Endovascular insertion of flow diversion device (FDD) for the treatment of unruptured intracranial aneurysms (UIAs)</w:t>
      </w:r>
    </w:p>
    <w:p w14:paraId="3AD136EE" w14:textId="2FAEB642" w:rsidR="008A749F" w:rsidRPr="00F715D1" w:rsidRDefault="008A749F" w:rsidP="008A749F">
      <w:pPr>
        <w:tabs>
          <w:tab w:val="left" w:pos="3686"/>
        </w:tabs>
        <w:spacing w:after="240"/>
        <w:ind w:left="1440" w:hanging="14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r>
      <w:r w:rsidR="00DB6674">
        <w:rPr>
          <w:rFonts w:ascii="Arial" w:hAnsi="Arial" w:cs="Arial"/>
          <w:b/>
          <w:szCs w:val="24"/>
        </w:rPr>
        <w:tab/>
      </w:r>
      <w:r>
        <w:rPr>
          <w:rFonts w:ascii="Arial" w:hAnsi="Arial" w:cs="Arial"/>
          <w:b/>
          <w:szCs w:val="24"/>
        </w:rPr>
        <w:t>Medtronic Australasia</w:t>
      </w:r>
      <w:r w:rsidR="00061868">
        <w:rPr>
          <w:rFonts w:ascii="Arial" w:hAnsi="Arial" w:cs="Arial"/>
          <w:b/>
          <w:szCs w:val="24"/>
        </w:rPr>
        <w:t xml:space="preserve"> Pty Ltd</w:t>
      </w:r>
    </w:p>
    <w:p w14:paraId="07350A54" w14:textId="77777777" w:rsidR="008A749F" w:rsidRPr="00F715D1" w:rsidRDefault="008A749F" w:rsidP="008A749F">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77</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28-29 November 2019</w:t>
      </w:r>
    </w:p>
    <w:p w14:paraId="18D9DF08" w14:textId="77777777" w:rsidR="008A749F" w:rsidRPr="00B03EAB" w:rsidRDefault="008A749F" w:rsidP="008A749F">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794DF751" w14:textId="77777777" w:rsidR="008A749F" w:rsidRPr="00F715D1" w:rsidRDefault="008A749F" w:rsidP="008A749F">
      <w:pPr>
        <w:pStyle w:val="Heading1"/>
      </w:pPr>
      <w:r w:rsidRPr="00F715D1">
        <w:t xml:space="preserve">Purpose of application </w:t>
      </w:r>
    </w:p>
    <w:p w14:paraId="3F15CE38" w14:textId="77777777" w:rsidR="006460AB" w:rsidRDefault="006460AB" w:rsidP="006460AB">
      <w:r w:rsidRPr="00DE7413">
        <w:t>An application requesting Medicare Benefits Schedule (MBS) listing of endovascular insertion of flow diversion device (FDD) for the treatment of unruptured intracranial aneurysms (UIAs) was received from Medtronic by the Department of Health.</w:t>
      </w:r>
    </w:p>
    <w:p w14:paraId="4295147C" w14:textId="77777777" w:rsidR="008A749F" w:rsidRPr="00F715D1" w:rsidRDefault="008A749F" w:rsidP="008A749F">
      <w:pPr>
        <w:pStyle w:val="Heading1"/>
      </w:pPr>
      <w:r w:rsidRPr="00F715D1">
        <w:t>MSAC’s advice to the Minister</w:t>
      </w:r>
    </w:p>
    <w:p w14:paraId="6C3FA03A" w14:textId="2F719065" w:rsidR="001B52C6" w:rsidRDefault="001B52C6" w:rsidP="00690FA3">
      <w:pPr>
        <w:spacing w:after="240"/>
        <w:rPr>
          <w:b/>
          <w:bCs/>
          <w:iCs/>
        </w:rPr>
      </w:pPr>
      <w:r w:rsidRPr="00F0427A">
        <w:t xml:space="preserve">After considering the strength of the available evidence in relation to comparative safety, clinical effectiveness and cost-effectiveness, MSAC did not support </w:t>
      </w:r>
      <w:r w:rsidRPr="00F0427A">
        <w:rPr>
          <w:iCs/>
        </w:rPr>
        <w:t>public</w:t>
      </w:r>
      <w:r w:rsidRPr="00F0427A">
        <w:t xml:space="preserve"> funding of endovascular insertion of flow diversion devices </w:t>
      </w:r>
      <w:r w:rsidRPr="00F0427A">
        <w:rPr>
          <w:iCs/>
        </w:rPr>
        <w:t xml:space="preserve">(FDD) </w:t>
      </w:r>
      <w:r w:rsidR="00754967">
        <w:t xml:space="preserve">for unruptured intracranial </w:t>
      </w:r>
      <w:r w:rsidRPr="00F0427A">
        <w:t>aneurysms</w:t>
      </w:r>
      <w:r w:rsidR="00F0427A">
        <w:t xml:space="preserve"> at the cost (procedure plus device) proposed by the applicant</w:t>
      </w:r>
      <w:r w:rsidRPr="00F0427A">
        <w:t xml:space="preserve">. This was </w:t>
      </w:r>
      <w:r w:rsidRPr="00F0427A">
        <w:rPr>
          <w:szCs w:val="24"/>
        </w:rPr>
        <w:t xml:space="preserve">due to insufficient evidence to support superiority of FDD over coils for </w:t>
      </w:r>
      <w:r w:rsidR="00F87176">
        <w:rPr>
          <w:szCs w:val="24"/>
        </w:rPr>
        <w:t>P</w:t>
      </w:r>
      <w:r w:rsidRPr="00F0427A">
        <w:rPr>
          <w:szCs w:val="24"/>
        </w:rPr>
        <w:t xml:space="preserve">opulations 1 and 2, and an absence of evidence of effectiveness and cost-effectiveness for </w:t>
      </w:r>
      <w:r w:rsidR="00F87176">
        <w:rPr>
          <w:szCs w:val="24"/>
        </w:rPr>
        <w:t>P</w:t>
      </w:r>
      <w:r w:rsidRPr="00F0427A">
        <w:rPr>
          <w:szCs w:val="24"/>
        </w:rPr>
        <w:t xml:space="preserve">opulations 3 and 4. </w:t>
      </w:r>
      <w:r w:rsidRPr="00F0427A">
        <w:t xml:space="preserve">MSAC considered that additional data on utilisation from </w:t>
      </w:r>
      <w:r w:rsidR="00061868">
        <w:t xml:space="preserve">hospitals and </w:t>
      </w:r>
      <w:r w:rsidRPr="00F0427A">
        <w:t xml:space="preserve">private health insurers would be required before the application could be considered again, and that any resubmission </w:t>
      </w:r>
      <w:proofErr w:type="gramStart"/>
      <w:r w:rsidRPr="00F0427A">
        <w:t>would</w:t>
      </w:r>
      <w:proofErr w:type="gramEnd"/>
      <w:r w:rsidRPr="00F0427A">
        <w:t xml:space="preserve"> be required to be assessed by </w:t>
      </w:r>
      <w:r w:rsidR="00DB6674">
        <w:t>the Evaluation Sub-Committee (</w:t>
      </w:r>
      <w:r w:rsidRPr="00F0427A">
        <w:t>ESC</w:t>
      </w:r>
      <w:r w:rsidR="00DB6674">
        <w:t>)</w:t>
      </w:r>
      <w:r w:rsidRPr="00F0427A">
        <w:t>.</w:t>
      </w:r>
    </w:p>
    <w:p w14:paraId="5FF2C056" w14:textId="77777777" w:rsidR="001B52C6" w:rsidRPr="00DC2666" w:rsidRDefault="001B52C6" w:rsidP="00690FA3">
      <w:pPr>
        <w:keepNext/>
        <w:pBdr>
          <w:top w:val="single" w:sz="4" w:space="1" w:color="auto"/>
          <w:left w:val="single" w:sz="4" w:space="4" w:color="auto"/>
          <w:bottom w:val="single" w:sz="4" w:space="1" w:color="auto"/>
          <w:right w:val="single" w:sz="4" w:space="4" w:color="auto"/>
        </w:pBdr>
        <w:spacing w:before="120" w:after="120"/>
        <w:outlineLvl w:val="1"/>
        <w:rPr>
          <w:b/>
          <w:bCs/>
          <w:iCs/>
          <w:szCs w:val="28"/>
        </w:rPr>
      </w:pPr>
      <w:r w:rsidRPr="00DC2666">
        <w:rPr>
          <w:b/>
          <w:bCs/>
          <w:iCs/>
          <w:szCs w:val="28"/>
        </w:rPr>
        <w:t>Consumer summary</w:t>
      </w:r>
    </w:p>
    <w:p w14:paraId="05C52550" w14:textId="3919B170" w:rsidR="00BF7048" w:rsidRDefault="001B52C6" w:rsidP="001B52C6">
      <w:pPr>
        <w:pBdr>
          <w:top w:val="single" w:sz="4" w:space="1" w:color="auto"/>
          <w:left w:val="single" w:sz="4" w:space="4" w:color="auto"/>
          <w:bottom w:val="single" w:sz="4" w:space="1" w:color="auto"/>
          <w:right w:val="single" w:sz="4" w:space="4" w:color="auto"/>
        </w:pBdr>
      </w:pPr>
      <w:r w:rsidRPr="002D7F71">
        <w:t xml:space="preserve">Medtronic Australasia </w:t>
      </w:r>
      <w:r w:rsidR="006B60EC">
        <w:t xml:space="preserve">Pty Ltd </w:t>
      </w:r>
      <w:r w:rsidRPr="002D7F71">
        <w:t xml:space="preserve">applied for public funding through the Medicare Benefits Schedule (MBS) for the procedure to insert a flow diversion device (FDD) to treat </w:t>
      </w:r>
      <w:r w:rsidR="00BF7048">
        <w:t xml:space="preserve">brain </w:t>
      </w:r>
      <w:r w:rsidR="006B60EC">
        <w:t>aneurysms</w:t>
      </w:r>
      <w:r w:rsidR="00A9711C">
        <w:t xml:space="preserve">. An aneurysm occurs </w:t>
      </w:r>
      <w:r w:rsidR="00BF7048" w:rsidRPr="002D7F71">
        <w:t xml:space="preserve">when the wall of a blood vessel in the brain weakens and swells out like a balloon. This balloon can burst (rupture) and cause death, stroke or other serious illness. </w:t>
      </w:r>
      <w:r w:rsidR="00BF7048">
        <w:t xml:space="preserve">The application was for </w:t>
      </w:r>
      <w:r w:rsidR="00CD0AE7">
        <w:t xml:space="preserve">use of the device for </w:t>
      </w:r>
      <w:r w:rsidR="00BF7048">
        <w:t>three types of brain aneurysm:</w:t>
      </w:r>
    </w:p>
    <w:p w14:paraId="16D92A22" w14:textId="45CD3AD1" w:rsidR="00BF7048" w:rsidRDefault="00754967" w:rsidP="00BF7048">
      <w:pPr>
        <w:pBdr>
          <w:top w:val="single" w:sz="4" w:space="1" w:color="auto"/>
          <w:left w:val="single" w:sz="4" w:space="4" w:color="auto"/>
          <w:bottom w:val="single" w:sz="4" w:space="1" w:color="auto"/>
          <w:right w:val="single" w:sz="4" w:space="4" w:color="auto"/>
        </w:pBdr>
      </w:pPr>
      <w:r>
        <w:t xml:space="preserve">- </w:t>
      </w:r>
      <w:proofErr w:type="gramStart"/>
      <w:r w:rsidR="00BF7048">
        <w:t>small</w:t>
      </w:r>
      <w:proofErr w:type="gramEnd"/>
      <w:r w:rsidR="00BF7048">
        <w:t xml:space="preserve">, complicated aneurysms </w:t>
      </w:r>
    </w:p>
    <w:p w14:paraId="2EE1D458" w14:textId="77777777" w:rsidR="00BF7048" w:rsidRDefault="00BF7048" w:rsidP="00BF7048">
      <w:pPr>
        <w:pBdr>
          <w:top w:val="single" w:sz="4" w:space="1" w:color="auto"/>
          <w:left w:val="single" w:sz="4" w:space="4" w:color="auto"/>
          <w:bottom w:val="single" w:sz="4" w:space="1" w:color="auto"/>
          <w:right w:val="single" w:sz="4" w:space="4" w:color="auto"/>
        </w:pBdr>
      </w:pPr>
      <w:r>
        <w:t xml:space="preserve">- </w:t>
      </w:r>
      <w:proofErr w:type="gramStart"/>
      <w:r w:rsidRPr="002D7F71">
        <w:t>large</w:t>
      </w:r>
      <w:proofErr w:type="gramEnd"/>
      <w:r w:rsidRPr="002D7F71">
        <w:t xml:space="preserve"> aneurysms</w:t>
      </w:r>
      <w:r>
        <w:t>,</w:t>
      </w:r>
      <w:r w:rsidRPr="002D7F71">
        <w:t xml:space="preserve"> including </w:t>
      </w:r>
      <w:r>
        <w:t>those</w:t>
      </w:r>
      <w:r w:rsidRPr="002D7F71">
        <w:t xml:space="preserve"> that cannot </w:t>
      </w:r>
      <w:r>
        <w:t xml:space="preserve">currently </w:t>
      </w:r>
      <w:r w:rsidRPr="002D7F71">
        <w:t xml:space="preserve">be treated </w:t>
      </w:r>
    </w:p>
    <w:p w14:paraId="4DCA2BFE" w14:textId="4942766F" w:rsidR="00BF7048" w:rsidRDefault="00BF7048" w:rsidP="001B52C6">
      <w:pPr>
        <w:pBdr>
          <w:top w:val="single" w:sz="4" w:space="1" w:color="auto"/>
          <w:left w:val="single" w:sz="4" w:space="4" w:color="auto"/>
          <w:bottom w:val="single" w:sz="4" w:space="1" w:color="auto"/>
          <w:right w:val="single" w:sz="4" w:space="4" w:color="auto"/>
        </w:pBdr>
      </w:pPr>
      <w:r>
        <w:t xml:space="preserve">- </w:t>
      </w:r>
      <w:proofErr w:type="gramStart"/>
      <w:r w:rsidRPr="002D7F71">
        <w:t>aneurysms</w:t>
      </w:r>
      <w:proofErr w:type="gramEnd"/>
      <w:r w:rsidRPr="002D7F71">
        <w:t xml:space="preserve"> that </w:t>
      </w:r>
      <w:r>
        <w:t>have been treated before and need to be treated again</w:t>
      </w:r>
      <w:r w:rsidRPr="002D7F71">
        <w:t xml:space="preserve">. </w:t>
      </w:r>
    </w:p>
    <w:p w14:paraId="2F310107" w14:textId="2A4C7B0A" w:rsidR="006B60EC" w:rsidRDefault="00A9711C" w:rsidP="00242873">
      <w:pPr>
        <w:pBdr>
          <w:top w:val="single" w:sz="4" w:space="1" w:color="auto"/>
          <w:left w:val="single" w:sz="4" w:space="4" w:color="auto"/>
          <w:bottom w:val="single" w:sz="4" w:space="8" w:color="auto"/>
          <w:right w:val="single" w:sz="4" w:space="4" w:color="auto"/>
        </w:pBdr>
        <w:spacing w:before="240"/>
      </w:pPr>
      <w:r>
        <w:lastRenderedPageBreak/>
        <w:t xml:space="preserve">A </w:t>
      </w:r>
      <w:r w:rsidR="00BF7048">
        <w:t>flow diversion device</w:t>
      </w:r>
      <w:r w:rsidR="00BF7048" w:rsidRPr="002D7F71">
        <w:t xml:space="preserve"> is a small piece of mesh that is placed inside the blood vessel at the base of the aneurysm. This cuts off the blood supply to the aneurysm, which reduces the risk that it will burst.</w:t>
      </w:r>
    </w:p>
    <w:p w14:paraId="7EC99967" w14:textId="009229D3" w:rsidR="001B52C6" w:rsidRPr="002D7F71" w:rsidRDefault="00D02700" w:rsidP="00754967">
      <w:pPr>
        <w:pBdr>
          <w:top w:val="single" w:sz="4" w:space="1" w:color="auto"/>
          <w:left w:val="single" w:sz="4" w:space="4" w:color="auto"/>
          <w:bottom w:val="single" w:sz="4" w:space="8" w:color="auto"/>
          <w:right w:val="single" w:sz="4" w:space="4" w:color="auto"/>
        </w:pBdr>
        <w:spacing w:before="240"/>
      </w:pPr>
      <w:r w:rsidRPr="002D7F71">
        <w:t xml:space="preserve">The </w:t>
      </w:r>
      <w:r w:rsidR="00BF7048">
        <w:t>Minist</w:t>
      </w:r>
      <w:r w:rsidR="00A9711C">
        <w:t>e</w:t>
      </w:r>
      <w:r w:rsidR="00BF7048">
        <w:t xml:space="preserve">r would need to approve listing the flow diversion device on </w:t>
      </w:r>
      <w:r w:rsidR="002D7F71" w:rsidRPr="002D7F71">
        <w:t>the Prosthes</w:t>
      </w:r>
      <w:r w:rsidR="00DB6674">
        <w:t>e</w:t>
      </w:r>
      <w:r w:rsidR="002D7F71" w:rsidRPr="002D7F71">
        <w:t xml:space="preserve">s List </w:t>
      </w:r>
      <w:r w:rsidR="00BC5153">
        <w:t>(</w:t>
      </w:r>
      <w:hyperlink r:id="rId10" w:tooltip="Link to Dept of Health website, The Prostheses List page" w:history="1">
        <w:r w:rsidR="00BC5153">
          <w:rPr>
            <w:rStyle w:val="Hyperlink"/>
          </w:rPr>
          <w:t>https://www1.health.gov.au/internet/main/publishing.nsf/Content/health-privatehealth-prostheseslist.htm</w:t>
        </w:r>
      </w:hyperlink>
      <w:r w:rsidR="00BC5153">
        <w:t>)</w:t>
      </w:r>
      <w:r w:rsidR="00A9711C">
        <w:t xml:space="preserve"> for this item to be listed on the MBS</w:t>
      </w:r>
      <w:r w:rsidR="00BF7048">
        <w:t>.</w:t>
      </w:r>
    </w:p>
    <w:p w14:paraId="5A23B624" w14:textId="65771D0F" w:rsidR="002D7F71" w:rsidRPr="002D7F71" w:rsidRDefault="002D7F71" w:rsidP="00242873">
      <w:pPr>
        <w:pBdr>
          <w:top w:val="single" w:sz="4" w:space="1" w:color="auto"/>
          <w:left w:val="single" w:sz="4" w:space="4" w:color="auto"/>
          <w:bottom w:val="single" w:sz="4" w:space="8" w:color="auto"/>
          <w:right w:val="single" w:sz="4" w:space="4" w:color="auto"/>
        </w:pBdr>
        <w:spacing w:before="240" w:after="120"/>
        <w:rPr>
          <w:b/>
          <w:bCs/>
        </w:rPr>
      </w:pPr>
      <w:r w:rsidRPr="002D7F71">
        <w:rPr>
          <w:b/>
          <w:bCs/>
        </w:rPr>
        <w:t>MSAC’s advice to the Commonwealth Minister</w:t>
      </w:r>
      <w:r w:rsidR="00DB6674">
        <w:rPr>
          <w:b/>
          <w:bCs/>
        </w:rPr>
        <w:t xml:space="preserve"> for Health</w:t>
      </w:r>
    </w:p>
    <w:p w14:paraId="4E21227E" w14:textId="376A77C7" w:rsidR="002D7F71" w:rsidRPr="002D7F71" w:rsidRDefault="002D7F71" w:rsidP="00754967">
      <w:pPr>
        <w:pBdr>
          <w:top w:val="single" w:sz="4" w:space="1" w:color="auto"/>
          <w:left w:val="single" w:sz="4" w:space="4" w:color="auto"/>
          <w:bottom w:val="single" w:sz="4" w:space="8" w:color="auto"/>
          <w:right w:val="single" w:sz="4" w:space="4" w:color="auto"/>
        </w:pBdr>
      </w:pPr>
      <w:r w:rsidRPr="002D7F71">
        <w:t xml:space="preserve">MSAC did not support public funding for insertion of </w:t>
      </w:r>
      <w:r w:rsidR="00BF7048">
        <w:t>a flow diversion device</w:t>
      </w:r>
      <w:r w:rsidR="00BF7048" w:rsidRPr="002D7F71">
        <w:t xml:space="preserve"> </w:t>
      </w:r>
      <w:r w:rsidRPr="002D7F71">
        <w:t>to treat</w:t>
      </w:r>
      <w:r w:rsidR="00A9711C">
        <w:t xml:space="preserve"> </w:t>
      </w:r>
      <w:r w:rsidR="00BF7048">
        <w:t>brain</w:t>
      </w:r>
      <w:r w:rsidR="00BF7048" w:rsidRPr="002D7F71">
        <w:t xml:space="preserve"> </w:t>
      </w:r>
      <w:r w:rsidRPr="002D7F71">
        <w:t>aneurysm</w:t>
      </w:r>
      <w:r w:rsidR="00A9711C">
        <w:t>s</w:t>
      </w:r>
      <w:r w:rsidRPr="002D7F71">
        <w:t xml:space="preserve">. </w:t>
      </w:r>
    </w:p>
    <w:p w14:paraId="7604F814" w14:textId="18D21404" w:rsidR="001D32CC" w:rsidRPr="00242873" w:rsidRDefault="00BF7048" w:rsidP="00242873">
      <w:pPr>
        <w:pBdr>
          <w:top w:val="single" w:sz="4" w:space="1" w:color="auto"/>
          <w:left w:val="single" w:sz="4" w:space="4" w:color="auto"/>
          <w:bottom w:val="single" w:sz="4" w:space="8" w:color="auto"/>
          <w:right w:val="single" w:sz="4" w:space="4" w:color="auto"/>
        </w:pBdr>
        <w:spacing w:before="240" w:after="240"/>
      </w:pPr>
      <w:r>
        <w:t>MSAC agreed that there is some evidence that flow diversion devices can be safe and effective</w:t>
      </w:r>
      <w:r w:rsidR="00A9711C">
        <w:t xml:space="preserve">. MSAC also agreed that the higher price sought by the applicant </w:t>
      </w:r>
      <w:r w:rsidR="00061868" w:rsidRPr="00061868">
        <w:t xml:space="preserve">for the combination of the procedure and device </w:t>
      </w:r>
      <w:r w:rsidR="00A9711C">
        <w:t xml:space="preserve">is not justified by the evidence, which is </w:t>
      </w:r>
      <w:r w:rsidR="00061868">
        <w:t xml:space="preserve">too </w:t>
      </w:r>
      <w:r w:rsidR="00A9711C">
        <w:t xml:space="preserve">weak </w:t>
      </w:r>
      <w:r w:rsidR="00061868">
        <w:t xml:space="preserve">to show that using </w:t>
      </w:r>
      <w:r w:rsidR="00A9711C">
        <w:t>th</w:t>
      </w:r>
      <w:r w:rsidR="00061868">
        <w:t>is</w:t>
      </w:r>
      <w:r w:rsidR="00A9711C">
        <w:t xml:space="preserve"> device </w:t>
      </w:r>
      <w:r w:rsidR="00061868">
        <w:t xml:space="preserve">gives better outcomes for patients than when the procedure is done </w:t>
      </w:r>
      <w:r w:rsidR="00A9711C">
        <w:t>with other</w:t>
      </w:r>
      <w:r w:rsidR="00061868">
        <w:t xml:space="preserve"> device</w:t>
      </w:r>
      <w:r w:rsidR="00A9711C">
        <w:t xml:space="preserve">s </w:t>
      </w:r>
      <w:r w:rsidR="00242873">
        <w:t>already on the Prostheses List.</w:t>
      </w:r>
    </w:p>
    <w:p w14:paraId="5B4776E0" w14:textId="22FDD6DA" w:rsidR="002D7F71" w:rsidRPr="00754967" w:rsidRDefault="002D7F71" w:rsidP="00754967">
      <w:pPr>
        <w:pBdr>
          <w:top w:val="single" w:sz="4" w:space="1" w:color="auto"/>
          <w:left w:val="single" w:sz="4" w:space="4" w:color="auto"/>
          <w:bottom w:val="single" w:sz="4" w:space="8" w:color="auto"/>
          <w:right w:val="single" w:sz="4" w:space="4" w:color="auto"/>
        </w:pBdr>
        <w:rPr>
          <w:bCs/>
        </w:rPr>
      </w:pPr>
      <w:r w:rsidRPr="002D7F71">
        <w:rPr>
          <w:bCs/>
        </w:rPr>
        <w:t xml:space="preserve">MSAC agreed </w:t>
      </w:r>
      <w:r w:rsidR="00A9711C">
        <w:rPr>
          <w:bCs/>
        </w:rPr>
        <w:t xml:space="preserve">the flow diversion device </w:t>
      </w:r>
      <w:r w:rsidR="00EF144B">
        <w:rPr>
          <w:bCs/>
        </w:rPr>
        <w:t xml:space="preserve">might </w:t>
      </w:r>
      <w:r w:rsidRPr="002D7F71">
        <w:rPr>
          <w:bCs/>
        </w:rPr>
        <w:t xml:space="preserve">provide an effective treatment for a small group of people with </w:t>
      </w:r>
      <w:r w:rsidRPr="002D7F71">
        <w:t xml:space="preserve">unruptured </w:t>
      </w:r>
      <w:r w:rsidR="00A9711C">
        <w:t>brain</w:t>
      </w:r>
      <w:r w:rsidR="00A9711C" w:rsidRPr="002D7F71">
        <w:t xml:space="preserve"> </w:t>
      </w:r>
      <w:r w:rsidRPr="002D7F71">
        <w:t xml:space="preserve">aneurysms that can’t be treated with the devices that are already on </w:t>
      </w:r>
      <w:r w:rsidRPr="004A169D">
        <w:t>the Prosthes</w:t>
      </w:r>
      <w:r w:rsidR="00D336B7" w:rsidRPr="004A169D">
        <w:t>e</w:t>
      </w:r>
      <w:r w:rsidRPr="004A169D">
        <w:t xml:space="preserve">s List. MSAC encouraged the applicant to make a new </w:t>
      </w:r>
      <w:r w:rsidR="00851FCB" w:rsidRPr="004A169D">
        <w:t xml:space="preserve">application </w:t>
      </w:r>
      <w:r w:rsidRPr="004A169D">
        <w:t xml:space="preserve">with better evidence </w:t>
      </w:r>
      <w:r w:rsidR="00A9711C">
        <w:t>and</w:t>
      </w:r>
      <w:r w:rsidRPr="004A169D">
        <w:t xml:space="preserve"> a new price proposal.</w:t>
      </w:r>
    </w:p>
    <w:p w14:paraId="2CC75615" w14:textId="77777777" w:rsidR="000965CC" w:rsidRPr="000965CC" w:rsidRDefault="008A749F" w:rsidP="000965CC">
      <w:pPr>
        <w:pStyle w:val="Heading1"/>
      </w:pPr>
      <w:r w:rsidRPr="00F715D1">
        <w:t xml:space="preserve">Summary of consideration and rationale for MSAC’s advice </w:t>
      </w:r>
    </w:p>
    <w:p w14:paraId="763E3586" w14:textId="6610B35B" w:rsidR="000965CC" w:rsidRDefault="000965CC" w:rsidP="00690FA3">
      <w:pPr>
        <w:pStyle w:val="NormalBeforeBullet"/>
        <w:spacing w:after="240"/>
      </w:pPr>
      <w:r>
        <w:t xml:space="preserve">MSAC did not support the public funding of FDD </w:t>
      </w:r>
      <w:r w:rsidR="00895C48">
        <w:t xml:space="preserve">insertion procedures </w:t>
      </w:r>
      <w:r>
        <w:t xml:space="preserve">at the present time primarily because the evidence of improved effectiveness and equivalent safety is too uncertain to support the higher </w:t>
      </w:r>
      <w:r w:rsidR="00FF1F67">
        <w:t>Prosthes</w:t>
      </w:r>
      <w:r w:rsidR="00851FCB">
        <w:t>e</w:t>
      </w:r>
      <w:r w:rsidR="00FF1F67">
        <w:t xml:space="preserve">s List </w:t>
      </w:r>
      <w:r>
        <w:t xml:space="preserve">price requested </w:t>
      </w:r>
      <w:r w:rsidR="00CC0C68">
        <w:t xml:space="preserve">by the applicant for </w:t>
      </w:r>
      <w:r w:rsidR="00CC0C68" w:rsidRPr="00CC0C68">
        <w:t xml:space="preserve">flow diversion devices </w:t>
      </w:r>
      <w:r w:rsidR="00CC0C68">
        <w:t xml:space="preserve">(FDD) in comparison to currently </w:t>
      </w:r>
      <w:r w:rsidR="00FF1F67">
        <w:t xml:space="preserve">listed coils </w:t>
      </w:r>
      <w:r w:rsidR="00CC0C68">
        <w:t>and stents</w:t>
      </w:r>
      <w:r w:rsidR="00FF1F67">
        <w:t>.</w:t>
      </w:r>
    </w:p>
    <w:p w14:paraId="4B9843F9" w14:textId="29BD9D9A" w:rsidR="00CC0C68" w:rsidRDefault="000965CC" w:rsidP="00690FA3">
      <w:pPr>
        <w:pStyle w:val="NormalBeforeBullet"/>
        <w:spacing w:after="240"/>
      </w:pPr>
      <w:r>
        <w:t>MSAC accepted there is a small group of patients</w:t>
      </w:r>
      <w:r w:rsidRPr="000965CC">
        <w:t xml:space="preserve"> with aneurysms ≥10 mm, unsuitable for coiling, clipping or parent vessel occlusion</w:t>
      </w:r>
      <w:r w:rsidR="00D336B7">
        <w:t>,</w:t>
      </w:r>
      <w:r>
        <w:t xml:space="preserve"> for whom FDD may provide a </w:t>
      </w:r>
      <w:r w:rsidR="000778CF">
        <w:t xml:space="preserve">viable </w:t>
      </w:r>
      <w:r>
        <w:t>treatment option</w:t>
      </w:r>
      <w:r w:rsidR="00CC0C68">
        <w:t xml:space="preserve"> (</w:t>
      </w:r>
      <w:r w:rsidR="00F87176">
        <w:t>P</w:t>
      </w:r>
      <w:r w:rsidR="00CC0C68">
        <w:t xml:space="preserve">opulation 3 in the </w:t>
      </w:r>
      <w:r w:rsidR="00851FCB">
        <w:t>application</w:t>
      </w:r>
      <w:r w:rsidR="00CC0C68">
        <w:t xml:space="preserve">). </w:t>
      </w:r>
    </w:p>
    <w:p w14:paraId="2B748FAF" w14:textId="2CF3CAF5" w:rsidR="000965CC" w:rsidRDefault="00CC0C68" w:rsidP="00690FA3">
      <w:pPr>
        <w:pStyle w:val="NormalBeforeBullet"/>
        <w:spacing w:after="240"/>
      </w:pPr>
      <w:r>
        <w:t xml:space="preserve">MSAC indicated it would welcome a new </w:t>
      </w:r>
      <w:r w:rsidR="00851FCB">
        <w:t>application</w:t>
      </w:r>
      <w:r>
        <w:t xml:space="preserve"> </w:t>
      </w:r>
      <w:r w:rsidR="00FF1F67">
        <w:t xml:space="preserve">for FDD </w:t>
      </w:r>
      <w:r>
        <w:t>and suggested that, in the absence of additional evidence of superior effectiveness</w:t>
      </w:r>
      <w:r w:rsidR="008566B7">
        <w:t xml:space="preserve"> compared to current standard of care</w:t>
      </w:r>
      <w:r>
        <w:t xml:space="preserve">, </w:t>
      </w:r>
      <w:r w:rsidRPr="004A169D">
        <w:t xml:space="preserve">an appropriate basis for a new </w:t>
      </w:r>
      <w:r w:rsidR="00851FCB" w:rsidRPr="004A169D">
        <w:t>application</w:t>
      </w:r>
      <w:r w:rsidRPr="004A169D">
        <w:t xml:space="preserve"> would be a cost-minimisation analysis for </w:t>
      </w:r>
      <w:r w:rsidR="00F87176" w:rsidRPr="004A169D">
        <w:t>P</w:t>
      </w:r>
      <w:r w:rsidRPr="004A169D">
        <w:t xml:space="preserve">opulations 1 and 2, and a cost effectiveness analysis for </w:t>
      </w:r>
      <w:r w:rsidR="00F87176" w:rsidRPr="004A169D">
        <w:t>P</w:t>
      </w:r>
      <w:r w:rsidRPr="004A169D">
        <w:t xml:space="preserve">opulations 3 and 4, with the final </w:t>
      </w:r>
      <w:r w:rsidR="00895C48" w:rsidRPr="004A169D">
        <w:t>price</w:t>
      </w:r>
      <w:r w:rsidRPr="004A169D">
        <w:t xml:space="preserve"> of FDD weighted across expected use in all populations.</w:t>
      </w:r>
      <w:r w:rsidR="000965CC">
        <w:t xml:space="preserve"> </w:t>
      </w:r>
    </w:p>
    <w:p w14:paraId="129EF348" w14:textId="1FBDF4A5" w:rsidR="008566B7" w:rsidRDefault="008566B7" w:rsidP="00690FA3">
      <w:pPr>
        <w:pStyle w:val="NormalBeforeBullet"/>
        <w:spacing w:after="240"/>
      </w:pPr>
      <w:r>
        <w:t>MSAC agreed it would be appropriate to include a multidisciplinary team case conference as a separate MBS item, and noted this should be included in any future economic analyses and associated estimation of financial impact on the MBS and the Prosthes</w:t>
      </w:r>
      <w:r w:rsidR="00851FCB">
        <w:t>e</w:t>
      </w:r>
      <w:r>
        <w:t xml:space="preserve">s List. MSAC accepted the applicant’s assertion that the multidisciplinary team conference is relevant for </w:t>
      </w:r>
      <w:r w:rsidR="00D02700">
        <w:t xml:space="preserve">planning treatment of </w:t>
      </w:r>
      <w:r>
        <w:t>all unruptured intracranial aneurysms.</w:t>
      </w:r>
    </w:p>
    <w:p w14:paraId="666B2EC9" w14:textId="4558F6DC" w:rsidR="008566B7" w:rsidRDefault="008566B7" w:rsidP="00690FA3">
      <w:pPr>
        <w:pStyle w:val="NormalBeforeBullet"/>
        <w:spacing w:after="240"/>
      </w:pPr>
      <w:r>
        <w:t>MSAC noted the applicant’s agreement to mitigate the risk of leakage to smaller, non-complex aneurysms by specifying in the descriptor that FDD is for use in large or complex aneurysms. MSAC agreed the descriptor should also specify that more than one device may be used per procedure</w:t>
      </w:r>
      <w:r w:rsidR="00AE5A89">
        <w:t xml:space="preserve">, but that FDD and coils with/without stents should not be used in the </w:t>
      </w:r>
      <w:r w:rsidR="00AE5A89">
        <w:lastRenderedPageBreak/>
        <w:t>same procedure</w:t>
      </w:r>
      <w:r>
        <w:t>. MSAC noted the 85% rebate was redundant as the procedure is always done in hospital.</w:t>
      </w:r>
    </w:p>
    <w:p w14:paraId="31B8F974" w14:textId="77777777" w:rsidR="001B52C6" w:rsidRDefault="001B52C6" w:rsidP="001B52C6">
      <w:pPr>
        <w:pStyle w:val="NormalBeforeBullet"/>
      </w:pPr>
      <w:r>
        <w:t>MSAC confirmed the four populations and comparators proposed for the application:</w:t>
      </w:r>
    </w:p>
    <w:p w14:paraId="2046988E" w14:textId="77777777" w:rsidR="001B52C6" w:rsidRDefault="001B52C6" w:rsidP="001B52C6">
      <w:pPr>
        <w:pStyle w:val="Bullet"/>
      </w:pPr>
      <w:r>
        <w:t>Population 1 – p</w:t>
      </w:r>
      <w:r w:rsidRPr="00B7572D">
        <w:t>atients with aneurysms (&lt;10</w:t>
      </w:r>
      <w:r>
        <w:t> </w:t>
      </w:r>
      <w:r w:rsidRPr="00B7572D">
        <w:t>mm) suitable for endovascular or surgical therapy, with wide neck (&gt;4</w:t>
      </w:r>
      <w:r>
        <w:t> </w:t>
      </w:r>
      <w:r w:rsidRPr="00B7572D">
        <w:t>mm), fusiform or dysplastic morphology</w:t>
      </w:r>
      <w:r>
        <w:t>. Comparator – coiling alone, or coiling plus stenting.</w:t>
      </w:r>
    </w:p>
    <w:p w14:paraId="4F574904" w14:textId="77777777" w:rsidR="001B52C6" w:rsidRDefault="001B52C6" w:rsidP="001B52C6">
      <w:pPr>
        <w:pStyle w:val="Bullet"/>
      </w:pPr>
      <w:r>
        <w:t>Population 2 – p</w:t>
      </w:r>
      <w:r w:rsidRPr="00B7572D">
        <w:t>atients with aneurysms ≥10</w:t>
      </w:r>
      <w:r>
        <w:t> </w:t>
      </w:r>
      <w:r w:rsidRPr="00B7572D">
        <w:t>mm, suitable for endovascular or surgical therapy</w:t>
      </w:r>
      <w:r>
        <w:t>. Comparator – coiling alone, or coiling plus stenting.</w:t>
      </w:r>
    </w:p>
    <w:p w14:paraId="6298F897" w14:textId="3C039DD8" w:rsidR="001B52C6" w:rsidRDefault="001B52C6" w:rsidP="001B52C6">
      <w:pPr>
        <w:pStyle w:val="Bullet"/>
      </w:pPr>
      <w:r>
        <w:t>Population 3 – p</w:t>
      </w:r>
      <w:r w:rsidRPr="00B7572D">
        <w:t>atients with aneurysms ≥10</w:t>
      </w:r>
      <w:r>
        <w:t> </w:t>
      </w:r>
      <w:r w:rsidRPr="00B7572D">
        <w:t>mm, unsuitable for coiling, clipping or parent vessel occlusion</w:t>
      </w:r>
      <w:r>
        <w:t>,</w:t>
      </w:r>
      <w:r w:rsidRPr="00B7572D">
        <w:t xml:space="preserve"> typically giant fusiform aneurysms arising at the skull base</w:t>
      </w:r>
      <w:r>
        <w:t>. Comparator – conservative management</w:t>
      </w:r>
    </w:p>
    <w:p w14:paraId="2185A667" w14:textId="77777777" w:rsidR="001B52C6" w:rsidRDefault="001B52C6" w:rsidP="001B52C6">
      <w:pPr>
        <w:pStyle w:val="BulletLast"/>
      </w:pPr>
      <w:r>
        <w:t>Population 4 – p</w:t>
      </w:r>
      <w:r w:rsidRPr="00B7572D">
        <w:t xml:space="preserve">atients with previously treated intracranial aneurysms of any size that have </w:t>
      </w:r>
      <w:proofErr w:type="spellStart"/>
      <w:r w:rsidRPr="00B7572D">
        <w:t>recanalised</w:t>
      </w:r>
      <w:proofErr w:type="spellEnd"/>
      <w:r w:rsidRPr="00B7572D">
        <w:t xml:space="preserve"> and require treatment</w:t>
      </w:r>
      <w:r>
        <w:t>. Comparator – coiling alone, or coiling plus stenting.</w:t>
      </w:r>
    </w:p>
    <w:p w14:paraId="1F4D8653" w14:textId="253EC937" w:rsidR="000965CC" w:rsidRDefault="00CC0C68" w:rsidP="00CC0C68">
      <w:pPr>
        <w:pStyle w:val="BulletLast"/>
        <w:numPr>
          <w:ilvl w:val="0"/>
          <w:numId w:val="0"/>
        </w:numPr>
      </w:pPr>
      <w:r>
        <w:t xml:space="preserve">MSAC noted the evidence presented in the application was derived from </w:t>
      </w:r>
      <w:r w:rsidR="00D336B7">
        <w:t>ten (</w:t>
      </w:r>
      <w:r>
        <w:t>10</w:t>
      </w:r>
      <w:r w:rsidR="00D336B7">
        <w:t>)</w:t>
      </w:r>
      <w:r>
        <w:t xml:space="preserve"> comparative studies</w:t>
      </w:r>
      <w:r w:rsidR="0094624A">
        <w:t xml:space="preserve">, of which </w:t>
      </w:r>
      <w:r w:rsidR="00D336B7">
        <w:t>nine (</w:t>
      </w:r>
      <w:r w:rsidR="0094624A">
        <w:t>9</w:t>
      </w:r>
      <w:r w:rsidR="00D336B7">
        <w:t>)</w:t>
      </w:r>
      <w:r w:rsidR="0094624A">
        <w:t xml:space="preserve"> were retrospective,</w:t>
      </w:r>
      <w:r>
        <w:t xml:space="preserve"> and </w:t>
      </w:r>
      <w:r w:rsidR="00D336B7">
        <w:t>ten (</w:t>
      </w:r>
      <w:r>
        <w:t>10</w:t>
      </w:r>
      <w:r w:rsidR="00D336B7">
        <w:t>)</w:t>
      </w:r>
      <w:r>
        <w:t xml:space="preserve"> non-comparative studies. </w:t>
      </w:r>
      <w:r w:rsidR="0094624A" w:rsidRPr="0094624A">
        <w:t xml:space="preserve">MSAC noted the application also provided a meta-analysis of the studies representing </w:t>
      </w:r>
      <w:r w:rsidR="00D336B7">
        <w:t>P</w:t>
      </w:r>
      <w:r w:rsidR="0094624A" w:rsidRPr="0094624A">
        <w:t>opulations 1 and 2</w:t>
      </w:r>
      <w:r w:rsidR="006D7897">
        <w:t xml:space="preserve">. </w:t>
      </w:r>
      <w:r w:rsidR="0094624A">
        <w:t>However, t</w:t>
      </w:r>
      <w:r>
        <w:t xml:space="preserve">he comparative data </w:t>
      </w:r>
      <w:r w:rsidR="0094624A">
        <w:t>was</w:t>
      </w:r>
      <w:r w:rsidR="006D7897">
        <w:t xml:space="preserve"> heterogeneous,</w:t>
      </w:r>
      <w:r w:rsidR="0094624A">
        <w:t xml:space="preserve"> of low-overall quality and subject to serious risk of bias, </w:t>
      </w:r>
      <w:r w:rsidR="006D7897">
        <w:t xml:space="preserve">confounding and </w:t>
      </w:r>
      <w:r w:rsidR="0094624A">
        <w:t>poor exchangeability between trials</w:t>
      </w:r>
      <w:r w:rsidR="006D7897">
        <w:t xml:space="preserve">, resulting in </w:t>
      </w:r>
      <w:r w:rsidR="0094624A">
        <w:t>high uncertainty. In addition, o</w:t>
      </w:r>
      <w:r>
        <w:t xml:space="preserve">nly non-comparative data </w:t>
      </w:r>
      <w:r w:rsidR="0094624A">
        <w:t xml:space="preserve">is </w:t>
      </w:r>
      <w:r>
        <w:t xml:space="preserve">available for </w:t>
      </w:r>
      <w:r w:rsidR="00D336B7">
        <w:t>P</w:t>
      </w:r>
      <w:r>
        <w:t>opulations 3 and 4.</w:t>
      </w:r>
    </w:p>
    <w:p w14:paraId="7C808E67" w14:textId="493935B7" w:rsidR="005C7ACE" w:rsidRDefault="0094624A" w:rsidP="00D02700">
      <w:pPr>
        <w:pStyle w:val="BulletLast"/>
        <w:numPr>
          <w:ilvl w:val="0"/>
          <w:numId w:val="0"/>
        </w:numPr>
      </w:pPr>
      <w:r>
        <w:t>MSAC accepted that f</w:t>
      </w:r>
      <w:r w:rsidR="001B52C6" w:rsidRPr="0094624A">
        <w:t xml:space="preserve">or </w:t>
      </w:r>
      <w:r w:rsidR="00D336B7">
        <w:t>P</w:t>
      </w:r>
      <w:r w:rsidR="001B52C6" w:rsidRPr="0094624A">
        <w:t>opulations 1</w:t>
      </w:r>
      <w:r>
        <w:t xml:space="preserve"> and</w:t>
      </w:r>
      <w:r w:rsidR="001B52C6" w:rsidRPr="0094624A">
        <w:t xml:space="preserve"> 2, there were no statistically significant differences in safety outcomes between FDD and coils with or without stents</w:t>
      </w:r>
      <w:r>
        <w:t xml:space="preserve"> (see Figure 2 and Table</w:t>
      </w:r>
      <w:r w:rsidR="005C7ACE">
        <w:t xml:space="preserve"> 6</w:t>
      </w:r>
      <w:r>
        <w:t>).</w:t>
      </w:r>
    </w:p>
    <w:p w14:paraId="173AAA1C" w14:textId="0E87240E" w:rsidR="008566B7" w:rsidRDefault="005C7ACE" w:rsidP="00242873">
      <w:pPr>
        <w:spacing w:after="240"/>
      </w:pPr>
      <w:r>
        <w:t xml:space="preserve">MSAC agreed it is </w:t>
      </w:r>
      <w:r w:rsidRPr="005C7ACE">
        <w:t xml:space="preserve">reasonable to conclude the safety of FDD in </w:t>
      </w:r>
      <w:r w:rsidR="00D336B7">
        <w:t>P</w:t>
      </w:r>
      <w:r w:rsidRPr="005C7ACE">
        <w:t xml:space="preserve">opulations 3 and 4 is comparable to </w:t>
      </w:r>
      <w:r w:rsidR="00D336B7">
        <w:t>P</w:t>
      </w:r>
      <w:r w:rsidRPr="005C7ACE">
        <w:t>opulations 1 and 2, with the observed increased procedural complication rate in difficult to treat aneurysms (</w:t>
      </w:r>
      <w:r w:rsidR="000B7908">
        <w:t>P</w:t>
      </w:r>
      <w:r w:rsidRPr="005C7ACE">
        <w:t>opulation 3) consistent with the complexity of these aneurysms.</w:t>
      </w:r>
      <w:r w:rsidR="00D336B7">
        <w:t xml:space="preserve"> </w:t>
      </w:r>
      <w:r w:rsidR="001B52C6">
        <w:t xml:space="preserve">Regarding effectiveness, MSAC </w:t>
      </w:r>
      <w:r w:rsidR="00895C48">
        <w:t xml:space="preserve">noted </w:t>
      </w:r>
      <w:r w:rsidR="001B52C6">
        <w:t xml:space="preserve">that FDD showed </w:t>
      </w:r>
      <w:r w:rsidR="00363AA3">
        <w:t>statistically significant</w:t>
      </w:r>
      <w:r w:rsidR="001B52C6">
        <w:t xml:space="preserve"> increase</w:t>
      </w:r>
      <w:r w:rsidR="00363AA3">
        <w:t>s</w:t>
      </w:r>
      <w:r w:rsidR="001B52C6">
        <w:t xml:space="preserve"> in rates of complete occlusion </w:t>
      </w:r>
      <w:r w:rsidR="005A03D6">
        <w:t xml:space="preserve">only </w:t>
      </w:r>
      <w:r w:rsidR="001B52C6">
        <w:t>compared with coils</w:t>
      </w:r>
      <w:r w:rsidR="00895C48">
        <w:t xml:space="preserve"> or coils plus </w:t>
      </w:r>
      <w:r w:rsidR="001B52C6">
        <w:t>stents</w:t>
      </w:r>
      <w:r w:rsidR="00895C48">
        <w:t xml:space="preserve"> in </w:t>
      </w:r>
      <w:r w:rsidR="00363AA3">
        <w:t xml:space="preserve">some of the individual trials in </w:t>
      </w:r>
      <w:r w:rsidR="000B7908">
        <w:t>P</w:t>
      </w:r>
      <w:r w:rsidR="00895C48">
        <w:t>opulations 1 and 2</w:t>
      </w:r>
      <w:r w:rsidR="00D336B7">
        <w:t>. I</w:t>
      </w:r>
      <w:r w:rsidR="00363AA3">
        <w:t xml:space="preserve">n the </w:t>
      </w:r>
      <w:r w:rsidR="00895C48">
        <w:t>meta-analysis</w:t>
      </w:r>
      <w:r w:rsidR="00D336B7">
        <w:t>,</w:t>
      </w:r>
      <w:r w:rsidR="005A03D6">
        <w:t xml:space="preserve"> no significant differences were seen between the treatment modalities in retreatment rates or in procedural complications in </w:t>
      </w:r>
      <w:r w:rsidR="000B7908">
        <w:t>P</w:t>
      </w:r>
      <w:r w:rsidR="005A03D6">
        <w:t>opulation 1</w:t>
      </w:r>
      <w:r w:rsidR="008D4CB3">
        <w:t xml:space="preserve"> </w:t>
      </w:r>
      <w:r w:rsidR="005A03D6">
        <w:t xml:space="preserve">or in procedural complications in </w:t>
      </w:r>
      <w:r w:rsidR="000B7908">
        <w:t>P</w:t>
      </w:r>
      <w:r w:rsidR="005A03D6">
        <w:t xml:space="preserve">opulation 2. </w:t>
      </w:r>
      <w:r w:rsidR="00927FC7">
        <w:t xml:space="preserve">A statistically significant difference was seen in re-treatment rates in the pooled analysis of two studies for </w:t>
      </w:r>
      <w:r w:rsidR="000B7908">
        <w:t>P</w:t>
      </w:r>
      <w:r w:rsidR="00927FC7">
        <w:t>opulation 2.</w:t>
      </w:r>
    </w:p>
    <w:p w14:paraId="3BDA64C0" w14:textId="67CE7761" w:rsidR="005A03D6" w:rsidRDefault="008566B7" w:rsidP="00242873">
      <w:pPr>
        <w:spacing w:after="240"/>
      </w:pPr>
      <w:r>
        <w:t xml:space="preserve">The applicant’s pre-MSAC response maintained the claim of superiority for </w:t>
      </w:r>
      <w:r w:rsidR="000B7908">
        <w:t>P</w:t>
      </w:r>
      <w:r>
        <w:t xml:space="preserve">opulations 1 and 2, and claimed similarity of effect for </w:t>
      </w:r>
      <w:r w:rsidR="000B7908">
        <w:t>P</w:t>
      </w:r>
      <w:r>
        <w:t>opulations 3 and 4.</w:t>
      </w:r>
    </w:p>
    <w:p w14:paraId="79B92119" w14:textId="66AE223C" w:rsidR="00895C48" w:rsidRPr="00242873" w:rsidRDefault="005A03D6" w:rsidP="001B52C6">
      <w:r>
        <w:t>H</w:t>
      </w:r>
      <w:r w:rsidR="00927FC7">
        <w:t>o</w:t>
      </w:r>
      <w:r w:rsidR="00363AA3">
        <w:t xml:space="preserve">wever, MSAC did not consider </w:t>
      </w:r>
      <w:r w:rsidR="00927FC7">
        <w:t xml:space="preserve">that overall </w:t>
      </w:r>
      <w:r w:rsidR="00363AA3">
        <w:t>a claim that FDD is clinically superior to coils or coils plus stents to be reasonable</w:t>
      </w:r>
      <w:r w:rsidR="008566B7">
        <w:t xml:space="preserve"> for </w:t>
      </w:r>
      <w:r w:rsidR="000B7908">
        <w:t>P</w:t>
      </w:r>
      <w:r w:rsidR="008566B7">
        <w:t>opulations 1 and 2</w:t>
      </w:r>
      <w:r w:rsidR="00363AA3">
        <w:t>,</w:t>
      </w:r>
      <w:r w:rsidR="00927FC7">
        <w:t xml:space="preserve"> </w:t>
      </w:r>
      <w:r w:rsidR="00363AA3">
        <w:t xml:space="preserve">as it </w:t>
      </w:r>
      <w:r w:rsidR="008D4CB3">
        <w:t>is</w:t>
      </w:r>
      <w:r w:rsidR="00363AA3">
        <w:t xml:space="preserve"> </w:t>
      </w:r>
      <w:r w:rsidR="00927FC7">
        <w:t xml:space="preserve">primarily </w:t>
      </w:r>
      <w:r w:rsidR="00363AA3">
        <w:t>based on a meta</w:t>
      </w:r>
      <w:r>
        <w:t>-</w:t>
      </w:r>
      <w:r w:rsidR="00363AA3">
        <w:t>analysis of poorly-exchangeable trials</w:t>
      </w:r>
      <w:r w:rsidR="00927FC7">
        <w:t>,</w:t>
      </w:r>
      <w:r w:rsidR="00363AA3">
        <w:t xml:space="preserve"> and </w:t>
      </w:r>
      <w:r w:rsidR="008D4CB3">
        <w:t xml:space="preserve">relies </w:t>
      </w:r>
      <w:r w:rsidR="00363AA3">
        <w:t>on acceptance that a statistically significant difference in occlusion rates translates to a meaningful difference in patient outcomes</w:t>
      </w:r>
      <w:r w:rsidR="008D4CB3">
        <w:t xml:space="preserve"> (</w:t>
      </w:r>
      <w:r w:rsidR="00927FC7">
        <w:t xml:space="preserve">in an analysis </w:t>
      </w:r>
      <w:r w:rsidR="00363AA3">
        <w:t xml:space="preserve">where no minimum clinically important difference was </w:t>
      </w:r>
      <w:r w:rsidR="00927FC7">
        <w:t>d</w:t>
      </w:r>
      <w:r w:rsidR="00363AA3">
        <w:t>efined</w:t>
      </w:r>
      <w:r w:rsidR="008D4CB3">
        <w:t>)</w:t>
      </w:r>
      <w:r>
        <w:t>. Overall, MSAC considered the evidence base presented for FDD, although weak, sufficiently supported a claim of non-inferior effectiveness for FDD compared with coils or coils plus stents.</w:t>
      </w:r>
    </w:p>
    <w:p w14:paraId="4A701794" w14:textId="0D349098" w:rsidR="005A03D6" w:rsidRPr="00242873" w:rsidRDefault="008477AC" w:rsidP="00242873">
      <w:pPr>
        <w:spacing w:after="240"/>
      </w:pPr>
      <w:r w:rsidRPr="001A770D">
        <w:lastRenderedPageBreak/>
        <w:t>MSAC considered that</w:t>
      </w:r>
      <w:r w:rsidR="00341027">
        <w:t>,</w:t>
      </w:r>
      <w:r w:rsidRPr="001A770D">
        <w:t xml:space="preserve"> although the</w:t>
      </w:r>
      <w:r w:rsidR="00341027" w:rsidRPr="001A770D">
        <w:t xml:space="preserve"> applica</w:t>
      </w:r>
      <w:r w:rsidR="00341027">
        <w:t>tion</w:t>
      </w:r>
      <w:r w:rsidR="00341027" w:rsidRPr="001A770D">
        <w:t xml:space="preserve"> presents </w:t>
      </w:r>
      <w:r w:rsidRPr="001A770D">
        <w:t xml:space="preserve">some data to support </w:t>
      </w:r>
      <w:r w:rsidR="00341027" w:rsidRPr="001A770D">
        <w:t xml:space="preserve">the </w:t>
      </w:r>
      <w:r w:rsidRPr="001A770D">
        <w:t xml:space="preserve">effectiveness of FDD in </w:t>
      </w:r>
      <w:r w:rsidR="000B7908">
        <w:t>P</w:t>
      </w:r>
      <w:r w:rsidR="00341027" w:rsidRPr="001A770D">
        <w:t xml:space="preserve">opulations 3 and 4, the applicant’s claim that these are sufficient to establish the comparative effectiveness of FDD in these populations is the same as for </w:t>
      </w:r>
      <w:r w:rsidR="000B7908">
        <w:t>P</w:t>
      </w:r>
      <w:r w:rsidR="00341027" w:rsidRPr="001A770D">
        <w:t>opulations 1 and 2 cannot be supported</w:t>
      </w:r>
      <w:r w:rsidR="00341027">
        <w:t>,</w:t>
      </w:r>
      <w:r w:rsidR="00341027" w:rsidRPr="001A770D">
        <w:t xml:space="preserve"> as the effectiveness of the appropriate comparative treatments in</w:t>
      </w:r>
      <w:r w:rsidRPr="001A770D">
        <w:t xml:space="preserve"> </w:t>
      </w:r>
      <w:r w:rsidR="000B7908">
        <w:t>P</w:t>
      </w:r>
      <w:r w:rsidRPr="001A770D">
        <w:t xml:space="preserve">opulations 3 and 4 </w:t>
      </w:r>
      <w:r w:rsidR="00341027" w:rsidRPr="001A770D">
        <w:t>is unknown.</w:t>
      </w:r>
    </w:p>
    <w:p w14:paraId="61B6E6B1" w14:textId="03FC825F" w:rsidR="00136D52" w:rsidRPr="00242873" w:rsidRDefault="00136D52" w:rsidP="00242873">
      <w:pPr>
        <w:spacing w:after="240"/>
        <w:rPr>
          <w:highlight w:val="yellow"/>
        </w:rPr>
      </w:pPr>
      <w:r>
        <w:t>MSAC noted</w:t>
      </w:r>
      <w:r w:rsidRPr="00136D52">
        <w:t xml:space="preserve">, the </w:t>
      </w:r>
      <w:r>
        <w:t>applicant</w:t>
      </w:r>
      <w:r w:rsidRPr="00136D52">
        <w:t xml:space="preserve"> present</w:t>
      </w:r>
      <w:r>
        <w:t>ed</w:t>
      </w:r>
      <w:r w:rsidRPr="00136D52">
        <w:t xml:space="preserve"> a </w:t>
      </w:r>
      <w:r>
        <w:t xml:space="preserve">cost utility analysis (CUA) </w:t>
      </w:r>
      <w:r w:rsidRPr="00136D52">
        <w:t>for a co-dependent technology i.e. for the proposed MBS item relating to insertion of the device together with the FD</w:t>
      </w:r>
      <w:r w:rsidR="000B7908">
        <w:t>D</w:t>
      </w:r>
      <w:r w:rsidRPr="00136D52">
        <w:t>, which is to be considered by the Prostheses List Advisory Committee (PLAC). Given the proposed fee for the insertion of FDD is consistent with that of insertion of coils, the CUA is presented to justify an increased price for th</w:t>
      </w:r>
      <w:r>
        <w:t xml:space="preserve">e FD device compared with coils or coils with stents (see Table </w:t>
      </w:r>
      <w:r w:rsidR="00A94558">
        <w:t>12 and Table 13)</w:t>
      </w:r>
      <w:r>
        <w:t>.</w:t>
      </w:r>
    </w:p>
    <w:p w14:paraId="02E85749" w14:textId="632ED9AC" w:rsidR="001B52C6" w:rsidRPr="00242873" w:rsidRDefault="00136D52" w:rsidP="00242873">
      <w:pPr>
        <w:spacing w:after="240"/>
        <w:rPr>
          <w:highlight w:val="yellow"/>
        </w:rPr>
      </w:pPr>
      <w:r>
        <w:rPr>
          <w:szCs w:val="24"/>
        </w:rPr>
        <w:t xml:space="preserve">However, </w:t>
      </w:r>
      <w:r w:rsidR="001A770D" w:rsidRPr="00EE7EBF">
        <w:rPr>
          <w:szCs w:val="24"/>
        </w:rPr>
        <w:t xml:space="preserve">MSAC </w:t>
      </w:r>
      <w:r w:rsidR="001A770D">
        <w:rPr>
          <w:szCs w:val="24"/>
        </w:rPr>
        <w:t xml:space="preserve">considered </w:t>
      </w:r>
      <w:r w:rsidR="001A770D" w:rsidRPr="00EE7EBF">
        <w:rPr>
          <w:szCs w:val="24"/>
        </w:rPr>
        <w:t xml:space="preserve">the economic modelling presented </w:t>
      </w:r>
      <w:r w:rsidR="000B7908">
        <w:rPr>
          <w:szCs w:val="24"/>
        </w:rPr>
        <w:t>w</w:t>
      </w:r>
      <w:r w:rsidR="001A770D" w:rsidRPr="00EE7EBF">
        <w:rPr>
          <w:szCs w:val="24"/>
        </w:rPr>
        <w:t>as uninformative</w:t>
      </w:r>
      <w:r>
        <w:rPr>
          <w:szCs w:val="24"/>
        </w:rPr>
        <w:t xml:space="preserve">, as it </w:t>
      </w:r>
      <w:r w:rsidR="001A770D" w:rsidRPr="006A410E">
        <w:rPr>
          <w:szCs w:val="24"/>
        </w:rPr>
        <w:t xml:space="preserve">relied upon the claim that </w:t>
      </w:r>
      <w:r w:rsidR="001A770D">
        <w:rPr>
          <w:szCs w:val="24"/>
        </w:rPr>
        <w:t>FDD had non-inferior</w:t>
      </w:r>
      <w:r w:rsidR="001A770D" w:rsidRPr="006A410E">
        <w:rPr>
          <w:szCs w:val="24"/>
        </w:rPr>
        <w:t xml:space="preserve"> safety </w:t>
      </w:r>
      <w:r w:rsidR="001A770D" w:rsidRPr="004A169D">
        <w:rPr>
          <w:szCs w:val="24"/>
        </w:rPr>
        <w:t>and superior effectiveness over the nominated comparators for Populations 1 and 2,</w:t>
      </w:r>
      <w:r w:rsidR="001A770D">
        <w:rPr>
          <w:szCs w:val="24"/>
        </w:rPr>
        <w:t xml:space="preserve"> and that the same claims could be extrapolated to Populations 3 and 4. As detailed above, </w:t>
      </w:r>
      <w:r w:rsidR="001A770D" w:rsidRPr="006A410E">
        <w:rPr>
          <w:szCs w:val="24"/>
        </w:rPr>
        <w:t>MSAC did not accept</w:t>
      </w:r>
      <w:r w:rsidR="001A770D">
        <w:rPr>
          <w:szCs w:val="24"/>
        </w:rPr>
        <w:t xml:space="preserve"> these claims</w:t>
      </w:r>
      <w:r w:rsidR="001A770D" w:rsidRPr="006A410E">
        <w:rPr>
          <w:szCs w:val="24"/>
        </w:rPr>
        <w:t>.</w:t>
      </w:r>
    </w:p>
    <w:p w14:paraId="2FAC21AB" w14:textId="66A1823A" w:rsidR="001B52C6" w:rsidRDefault="001B52C6" w:rsidP="00242873">
      <w:pPr>
        <w:spacing w:after="240"/>
      </w:pPr>
      <w:r w:rsidRPr="00FF1F67">
        <w:t xml:space="preserve">MSAC considered it was appropriate for the </w:t>
      </w:r>
      <w:r w:rsidR="00C8395A">
        <w:t>economic analysis</w:t>
      </w:r>
      <w:r w:rsidR="00C8395A" w:rsidRPr="00FF1F67">
        <w:t xml:space="preserve"> </w:t>
      </w:r>
      <w:r w:rsidRPr="00FF1F67">
        <w:t>to include use of more than one</w:t>
      </w:r>
      <w:r w:rsidR="00C8395A">
        <w:t xml:space="preserve"> FDD,</w:t>
      </w:r>
      <w:r w:rsidRPr="00FF1F67">
        <w:t xml:space="preserve"> coil</w:t>
      </w:r>
      <w:r w:rsidR="00C8395A">
        <w:t>, or stent</w:t>
      </w:r>
      <w:r w:rsidRPr="00FF1F67">
        <w:t xml:space="preserve"> per procedure; however, the precise number of </w:t>
      </w:r>
      <w:r w:rsidR="00C8395A">
        <w:t xml:space="preserve">devices used in each of the sub-populations is </w:t>
      </w:r>
      <w:r w:rsidRPr="00FF1F67">
        <w:t>uncertain due to lack of dat</w:t>
      </w:r>
      <w:r w:rsidR="00242873">
        <w:t>a.</w:t>
      </w:r>
    </w:p>
    <w:p w14:paraId="55D0657E" w14:textId="52A47E95" w:rsidR="001B5532" w:rsidRDefault="001B52C6" w:rsidP="00242873">
      <w:pPr>
        <w:spacing w:after="240"/>
      </w:pPr>
      <w:r>
        <w:t xml:space="preserve">MSAC noted that FDD is currently being used in public hospitals for around 400 patients per year. It was noted that data from records in individual hospitals could be used to reduce uncertainty in various issues, including the size of </w:t>
      </w:r>
      <w:r w:rsidR="000B7908">
        <w:t>P</w:t>
      </w:r>
      <w:r>
        <w:t>opulations 3 and 4</w:t>
      </w:r>
      <w:r w:rsidR="00C8395A">
        <w:t>, and the number of FDD per procedure</w:t>
      </w:r>
      <w:r>
        <w:t xml:space="preserve">. In addition, data may be </w:t>
      </w:r>
      <w:r w:rsidR="00C8395A">
        <w:t xml:space="preserve">obtained </w:t>
      </w:r>
      <w:r>
        <w:t>from private health insurers on the number of coils</w:t>
      </w:r>
      <w:r w:rsidR="00C8395A">
        <w:t xml:space="preserve"> and stents</w:t>
      </w:r>
      <w:r>
        <w:t xml:space="preserve"> used</w:t>
      </w:r>
      <w:r w:rsidRPr="00A153A0">
        <w:t xml:space="preserve"> </w:t>
      </w:r>
      <w:r>
        <w:t xml:space="preserve">per procedure, to inform </w:t>
      </w:r>
      <w:r w:rsidR="00C8395A">
        <w:t xml:space="preserve">future economic and </w:t>
      </w:r>
      <w:r>
        <w:t xml:space="preserve">utilisation estimates. MSAC considered that these data were essential </w:t>
      </w:r>
      <w:r w:rsidR="00C8395A">
        <w:t>for a</w:t>
      </w:r>
      <w:r>
        <w:t xml:space="preserve"> resubmission, and that any resubmission including these data should be assessed by ESC before progressing to MSAC.</w:t>
      </w:r>
    </w:p>
    <w:p w14:paraId="7E020E9A" w14:textId="55E10EFB" w:rsidR="00AE5A89" w:rsidRDefault="00AE5A89" w:rsidP="00242873">
      <w:pPr>
        <w:spacing w:after="240"/>
      </w:pPr>
      <w:r>
        <w:t xml:space="preserve">MSAC noted the listing of this device on the </w:t>
      </w:r>
      <w:r w:rsidR="000B7908">
        <w:t>P</w:t>
      </w:r>
      <w:r>
        <w:t>rosthes</w:t>
      </w:r>
      <w:r w:rsidR="000B7908">
        <w:t>e</w:t>
      </w:r>
      <w:r>
        <w:t xml:space="preserve">s </w:t>
      </w:r>
      <w:r w:rsidR="000B7908">
        <w:t>L</w:t>
      </w:r>
      <w:r>
        <w:t>ist was estimated to result in a net increase in costs to private health insurers of up to $2 million per year (</w:t>
      </w:r>
      <w:r w:rsidR="000B7908">
        <w:t>T</w:t>
      </w:r>
      <w:r>
        <w:t xml:space="preserve">able </w:t>
      </w:r>
      <w:r w:rsidR="00F87176">
        <w:t>17</w:t>
      </w:r>
      <w:r>
        <w:t xml:space="preserve">) and that this cost could be up to $5 million per year if the applicant’s assumptions around substitution of FDD for coils and stents are not realised (see Table </w:t>
      </w:r>
      <w:r w:rsidR="00F87176">
        <w:t>17</w:t>
      </w:r>
      <w:r>
        <w:t>). MSAC noted the</w:t>
      </w:r>
      <w:r w:rsidRPr="000417FF">
        <w:t xml:space="preserve"> listing on the Prostheses List would result in no out-of-pocket costs for consumers</w:t>
      </w:r>
      <w:r>
        <w:t xml:space="preserve"> for the device</w:t>
      </w:r>
      <w:r w:rsidRPr="000417FF">
        <w:t>, as confirmed by the applicant.</w:t>
      </w:r>
      <w:r>
        <w:t xml:space="preserve">  However, consumers may incur other out-of-pocket costs. MSAC noted the Department’s advice that in 2018/19 the </w:t>
      </w:r>
      <w:r w:rsidR="000B7908">
        <w:t>a</w:t>
      </w:r>
      <w:r>
        <w:t xml:space="preserve">verage out-of-pocket </w:t>
      </w:r>
      <w:r w:rsidR="000B7908">
        <w:t xml:space="preserve">cost </w:t>
      </w:r>
      <w:r w:rsidR="00584C7E">
        <w:t xml:space="preserve">for </w:t>
      </w:r>
      <w:r w:rsidR="00242873">
        <w:br/>
      </w:r>
      <w:r w:rsidR="00584C7E">
        <w:t>in-hospital services associated with MBS item 35412 (endovascular coiling) was $570.06 (actual out</w:t>
      </w:r>
      <w:r w:rsidR="000B7908">
        <w:t>-</w:t>
      </w:r>
      <w:r w:rsidR="00584C7E">
        <w:t>of</w:t>
      </w:r>
      <w:r w:rsidR="000B7908">
        <w:t>-</w:t>
      </w:r>
      <w:r w:rsidR="00584C7E">
        <w:t>pocke</w:t>
      </w:r>
      <w:r w:rsidR="000B7908">
        <w:t>t</w:t>
      </w:r>
      <w:r w:rsidR="00584C7E">
        <w:t xml:space="preserve"> </w:t>
      </w:r>
      <w:r w:rsidR="000B7908">
        <w:t xml:space="preserve">is </w:t>
      </w:r>
      <w:r w:rsidR="00584C7E">
        <w:t>cost dependent on the individual patient’s PHI cover).</w:t>
      </w:r>
    </w:p>
    <w:p w14:paraId="378435BC" w14:textId="3F762A18" w:rsidR="00AE5A89" w:rsidRDefault="00AE5A89" w:rsidP="00242873">
      <w:pPr>
        <w:spacing w:after="240"/>
      </w:pPr>
      <w:r>
        <w:t xml:space="preserve">Although </w:t>
      </w:r>
      <w:r w:rsidRPr="00AE5A89">
        <w:t>MSAC agreed the descriptor should specify FDD and coils with/without stents should not be used in the same procedure</w:t>
      </w:r>
      <w:r>
        <w:t>,</w:t>
      </w:r>
      <w:r w:rsidRPr="00AE5A89">
        <w:t xml:space="preserve"> </w:t>
      </w:r>
      <w:r>
        <w:t xml:space="preserve">MSAC considered there was a risk that both coils and stents and FDD will be used in the same procedure. MSAC noted the effectiveness and cost-effectiveness of combined use has not been demonstrated. Even assuming only </w:t>
      </w:r>
      <w:r w:rsidR="00584C7E">
        <w:t>one</w:t>
      </w:r>
      <w:r>
        <w:t xml:space="preserve"> MBS fee is payable, combination use will increase the cost to the </w:t>
      </w:r>
      <w:r w:rsidR="001027F3">
        <w:t>P</w:t>
      </w:r>
      <w:r>
        <w:t>rosthes</w:t>
      </w:r>
      <w:r w:rsidR="001027F3">
        <w:t>e</w:t>
      </w:r>
      <w:r>
        <w:t xml:space="preserve">s </w:t>
      </w:r>
      <w:r w:rsidR="001027F3">
        <w:t>L</w:t>
      </w:r>
      <w:r w:rsidR="00242873">
        <w:t>ist.</w:t>
      </w:r>
    </w:p>
    <w:p w14:paraId="353046F9" w14:textId="14057BA1" w:rsidR="00AE5A89" w:rsidRDefault="00AE5A89" w:rsidP="00AE5A89">
      <w:r>
        <w:t xml:space="preserve">MSAC considered there was high uncertainty in the applicant’s claim that this listing will be associated with no additional cost to the MBS, as it is probable that a proportion of the services currently performed in public hospitals will move to the private setting. MSAC noted the applicant estimates that approximately 400 FDD insertion procedures were conducted in Australia in 2017, with the majority of performed in public hospitals. MSAC noted the applicant had examined a scenario in which 35% of these procedures are conducted in the private setting following an MBS and </w:t>
      </w:r>
      <w:r w:rsidR="001027F3">
        <w:t>P</w:t>
      </w:r>
      <w:r>
        <w:t>rosthes</w:t>
      </w:r>
      <w:r w:rsidR="001027F3">
        <w:t>e</w:t>
      </w:r>
      <w:r>
        <w:t xml:space="preserve">s </w:t>
      </w:r>
      <w:r w:rsidR="001027F3">
        <w:t>L</w:t>
      </w:r>
      <w:r>
        <w:t xml:space="preserve">ist listing. When added to the projected </w:t>
      </w:r>
      <w:r>
        <w:lastRenderedPageBreak/>
        <w:t xml:space="preserve">uptake of FDD in the current MBS market (see Table </w:t>
      </w:r>
      <w:r w:rsidR="00F87176">
        <w:t>18</w:t>
      </w:r>
      <w:r>
        <w:t xml:space="preserve">), the applicant estimates a total of 257 and 411 FDD procedures will be performed under the MBS in Years 1 and 5 respectively. This will increase costs both to the MBS and the </w:t>
      </w:r>
      <w:r w:rsidR="001027F3">
        <w:t>P</w:t>
      </w:r>
      <w:r>
        <w:t>rosthes</w:t>
      </w:r>
      <w:r w:rsidR="001027F3">
        <w:t>e</w:t>
      </w:r>
      <w:r>
        <w:t xml:space="preserve">s </w:t>
      </w:r>
      <w:r w:rsidR="001027F3">
        <w:t>L</w:t>
      </w:r>
      <w:r>
        <w:t>ist.</w:t>
      </w:r>
    </w:p>
    <w:p w14:paraId="4FC70B7D" w14:textId="77777777" w:rsidR="008A749F" w:rsidRPr="00F715D1" w:rsidRDefault="008A749F" w:rsidP="008A749F">
      <w:pPr>
        <w:pStyle w:val="Heading1"/>
      </w:pPr>
      <w:r w:rsidRPr="00F715D1">
        <w:t>Background</w:t>
      </w:r>
    </w:p>
    <w:p w14:paraId="221088DD" w14:textId="77777777" w:rsidR="006460AB" w:rsidRPr="00936890" w:rsidRDefault="006460AB" w:rsidP="006460AB">
      <w:pPr>
        <w:tabs>
          <w:tab w:val="left" w:pos="2265"/>
          <w:tab w:val="left" w:pos="3420"/>
          <w:tab w:val="left" w:pos="4320"/>
        </w:tabs>
        <w:rPr>
          <w:sz w:val="28"/>
          <w:szCs w:val="28"/>
        </w:rPr>
      </w:pPr>
      <w:r>
        <w:t xml:space="preserve">This is the first submission of </w:t>
      </w:r>
      <w:r>
        <w:rPr>
          <w:bCs/>
        </w:rPr>
        <w:t>e</w:t>
      </w:r>
      <w:r w:rsidRPr="00936890">
        <w:rPr>
          <w:bCs/>
        </w:rPr>
        <w:t xml:space="preserve">ndovascular insertion of </w:t>
      </w:r>
      <w:r>
        <w:rPr>
          <w:bCs/>
        </w:rPr>
        <w:t>FDD</w:t>
      </w:r>
      <w:r w:rsidRPr="00936890">
        <w:rPr>
          <w:bCs/>
        </w:rPr>
        <w:t xml:space="preserve"> for the treatment of </w:t>
      </w:r>
      <w:r>
        <w:rPr>
          <w:bCs/>
        </w:rPr>
        <w:t>UIAs</w:t>
      </w:r>
      <w:r w:rsidRPr="00936890">
        <w:rPr>
          <w:bCs/>
        </w:rPr>
        <w:t>.</w:t>
      </w:r>
      <w:r>
        <w:rPr>
          <w:bCs/>
        </w:rPr>
        <w:t xml:space="preserve"> MSAC has not previously considered this application.</w:t>
      </w:r>
    </w:p>
    <w:p w14:paraId="6F5F4094" w14:textId="77777777" w:rsidR="008A749F" w:rsidRPr="00F715D1" w:rsidRDefault="008A749F" w:rsidP="008A749F">
      <w:pPr>
        <w:pStyle w:val="Heading1"/>
      </w:pPr>
      <w:r w:rsidRPr="00F715D1">
        <w:t>Prerequisites to implementation of any funding advice</w:t>
      </w:r>
    </w:p>
    <w:p w14:paraId="2FC2821B" w14:textId="6293544F" w:rsidR="006460AB" w:rsidRDefault="006460AB" w:rsidP="00242873">
      <w:pPr>
        <w:spacing w:after="240"/>
      </w:pPr>
      <w:r>
        <w:t>There are a number of FDDs listed on the</w:t>
      </w:r>
      <w:r w:rsidRPr="00183E4D">
        <w:t xml:space="preserve"> Australian Register of Therapeutic Goods </w:t>
      </w:r>
      <w:r>
        <w:t>(</w:t>
      </w:r>
      <w:r w:rsidRPr="00183E4D">
        <w:t>ARTG</w:t>
      </w:r>
      <w:r>
        <w:t xml:space="preserve">). These include the FRED system sponsored by </w:t>
      </w:r>
      <w:proofErr w:type="spellStart"/>
      <w:r>
        <w:t>Culpan</w:t>
      </w:r>
      <w:proofErr w:type="spellEnd"/>
      <w:r>
        <w:t xml:space="preserve"> Medical Pty Ltd/</w:t>
      </w:r>
      <w:proofErr w:type="spellStart"/>
      <w:r>
        <w:t>MicroVention</w:t>
      </w:r>
      <w:proofErr w:type="spellEnd"/>
      <w:r>
        <w:t xml:space="preserve"> Europe (ARTG no. 220724), the Surpass streamline flow diverter system sponsored by Stryker Australia/Stryker Neurovascular (ARTG no. 283662) and three flexible mesh systems sponsored by Medtronic/Micro Therapeutics </w:t>
      </w:r>
      <w:proofErr w:type="spellStart"/>
      <w:r>
        <w:t>Inc</w:t>
      </w:r>
      <w:proofErr w:type="spellEnd"/>
      <w:r>
        <w:t xml:space="preserve"> (ARTG no</w:t>
      </w:r>
      <w:r w:rsidR="005610DA">
        <w:t>. 186413, 251273 and 230661).</w:t>
      </w:r>
    </w:p>
    <w:p w14:paraId="08A2E45F" w14:textId="4D79162B" w:rsidR="006460AB" w:rsidRDefault="006460AB" w:rsidP="00242873">
      <w:pPr>
        <w:spacing w:after="240"/>
        <w:rPr>
          <w:szCs w:val="24"/>
        </w:rPr>
      </w:pPr>
      <w:r>
        <w:rPr>
          <w:szCs w:val="24"/>
        </w:rPr>
        <w:t xml:space="preserve">The </w:t>
      </w:r>
      <w:r w:rsidR="006321CE">
        <w:rPr>
          <w:szCs w:val="24"/>
        </w:rPr>
        <w:t xml:space="preserve">application </w:t>
      </w:r>
      <w:r>
        <w:t>(submission-based assessment, SBA)</w:t>
      </w:r>
      <w:r>
        <w:rPr>
          <w:szCs w:val="24"/>
        </w:rPr>
        <w:t xml:space="preserve"> stated that e</w:t>
      </w:r>
      <w:r w:rsidRPr="000C436C">
        <w:rPr>
          <w:szCs w:val="24"/>
        </w:rPr>
        <w:t>ach of the entries for FDDs on the ARTG from Medtronic describe improvements to the technology, although the intended purpose remains the same. The TGA listings do not limit the population for use of the FDD to a shape (with the exception of Surpass ARTG 283662) or location of an aneurysm</w:t>
      </w:r>
      <w:r>
        <w:rPr>
          <w:szCs w:val="24"/>
        </w:rPr>
        <w:t>, n</w:t>
      </w:r>
      <w:r w:rsidRPr="000C436C">
        <w:rPr>
          <w:szCs w:val="24"/>
        </w:rPr>
        <w:t xml:space="preserve">or do the registrations require </w:t>
      </w:r>
      <w:r w:rsidR="005610DA">
        <w:rPr>
          <w:szCs w:val="24"/>
        </w:rPr>
        <w:t>that an aneurysm be unruptured.</w:t>
      </w:r>
    </w:p>
    <w:p w14:paraId="6C1FBB38" w14:textId="77777777" w:rsidR="006460AB" w:rsidRPr="00A3775F" w:rsidRDefault="006460AB" w:rsidP="006460AB">
      <w:pPr>
        <w:rPr>
          <w:szCs w:val="24"/>
        </w:rPr>
      </w:pPr>
      <w:r>
        <w:rPr>
          <w:szCs w:val="24"/>
        </w:rPr>
        <w:t xml:space="preserve">The Critique stated that the </w:t>
      </w:r>
      <w:r w:rsidRPr="00A3775F">
        <w:rPr>
          <w:szCs w:val="24"/>
        </w:rPr>
        <w:t xml:space="preserve">Surpass streamline flow diverter system is limited to the treatment of the treatment of saccular or fusiform intracranial aneurysms arising from a parent vessel with a diameter of </w:t>
      </w:r>
      <w:r>
        <w:rPr>
          <w:szCs w:val="24"/>
          <w:u w:val="single"/>
        </w:rPr>
        <w:t>&gt;</w:t>
      </w:r>
      <w:r w:rsidRPr="00A3775F">
        <w:rPr>
          <w:szCs w:val="24"/>
        </w:rPr>
        <w:t xml:space="preserve">2.5 mm and </w:t>
      </w:r>
      <w:r>
        <w:rPr>
          <w:szCs w:val="24"/>
          <w:u w:val="single"/>
        </w:rPr>
        <w:t>&lt;</w:t>
      </w:r>
      <w:r w:rsidRPr="00A3775F">
        <w:rPr>
          <w:szCs w:val="24"/>
        </w:rPr>
        <w:t xml:space="preserve">5.3mm. Apart from this, the TGA has placed no limit on the use of the FDD devices in terms of location of the aneurysm, age of the patient </w:t>
      </w:r>
      <w:r>
        <w:rPr>
          <w:szCs w:val="24"/>
        </w:rPr>
        <w:t>or</w:t>
      </w:r>
      <w:r w:rsidRPr="00A3775F">
        <w:rPr>
          <w:szCs w:val="24"/>
        </w:rPr>
        <w:t xml:space="preserve"> the size of the aneurysm.</w:t>
      </w:r>
    </w:p>
    <w:p w14:paraId="185E41B7" w14:textId="77777777" w:rsidR="008A749F" w:rsidRPr="00F715D1" w:rsidRDefault="008A749F" w:rsidP="008A749F">
      <w:pPr>
        <w:pStyle w:val="Heading1"/>
      </w:pPr>
      <w:r w:rsidRPr="00F715D1">
        <w:t>Proposal for public funding</w:t>
      </w:r>
    </w:p>
    <w:p w14:paraId="2792EFB1" w14:textId="4FA45B00" w:rsidR="006460AB" w:rsidRPr="00242873" w:rsidRDefault="006460AB" w:rsidP="00242873">
      <w:pPr>
        <w:spacing w:after="240"/>
        <w:rPr>
          <w:szCs w:val="24"/>
        </w:rPr>
      </w:pPr>
      <w:r w:rsidRPr="00892A68" w:rsidDel="00A134DA">
        <w:rPr>
          <w:szCs w:val="24"/>
        </w:rPr>
        <w:t>The proposed MBS item descriptor</w:t>
      </w:r>
      <w:r>
        <w:rPr>
          <w:szCs w:val="24"/>
        </w:rPr>
        <w:t xml:space="preserve"> for the insertion of FDD</w:t>
      </w:r>
      <w:r w:rsidRPr="00892A68" w:rsidDel="00A134DA">
        <w:rPr>
          <w:szCs w:val="24"/>
        </w:rPr>
        <w:t xml:space="preserve"> is summarised in</w:t>
      </w:r>
      <w:bookmarkStart w:id="0" w:name="_Ref373485347"/>
      <w:bookmarkStart w:id="1" w:name="_Ref373485342"/>
      <w:r>
        <w:rPr>
          <w:szCs w:val="24"/>
        </w:rPr>
        <w:t xml:space="preserve"> Table 1</w:t>
      </w:r>
      <w:r w:rsidRPr="00892A68" w:rsidDel="00A134DA">
        <w:rPr>
          <w:szCs w:val="24"/>
        </w:rPr>
        <w:t>.</w:t>
      </w:r>
      <w:r w:rsidRPr="00892A68">
        <w:rPr>
          <w:szCs w:val="24"/>
        </w:rPr>
        <w:t xml:space="preserve"> The</w:t>
      </w:r>
      <w:r>
        <w:rPr>
          <w:szCs w:val="24"/>
        </w:rPr>
        <w:t xml:space="preserve"> </w:t>
      </w:r>
      <w:r w:rsidR="006321CE">
        <w:rPr>
          <w:szCs w:val="24"/>
        </w:rPr>
        <w:t xml:space="preserve">application </w:t>
      </w:r>
      <w:r>
        <w:rPr>
          <w:szCs w:val="24"/>
        </w:rPr>
        <w:t>stated the</w:t>
      </w:r>
      <w:r w:rsidRPr="00892A68">
        <w:rPr>
          <w:szCs w:val="24"/>
        </w:rPr>
        <w:t xml:space="preserve"> proposed fee for the service is based on that currently provided for endovascular coiling (Item 35412). As stipulated in the ratified PICO, the MBS item descriptor below is </w:t>
      </w:r>
      <w:r>
        <w:rPr>
          <w:szCs w:val="24"/>
        </w:rPr>
        <w:t>modelled</w:t>
      </w:r>
      <w:r w:rsidRPr="00892A68">
        <w:rPr>
          <w:szCs w:val="24"/>
        </w:rPr>
        <w:t xml:space="preserve"> on the recent listing of mechanical </w:t>
      </w:r>
      <w:proofErr w:type="spellStart"/>
      <w:r w:rsidRPr="00892A68">
        <w:rPr>
          <w:szCs w:val="24"/>
        </w:rPr>
        <w:t>thrombectomy</w:t>
      </w:r>
      <w:proofErr w:type="spellEnd"/>
      <w:r>
        <w:rPr>
          <w:szCs w:val="24"/>
        </w:rPr>
        <w:t xml:space="preserve"> for stroke</w:t>
      </w:r>
      <w:r w:rsidRPr="00892A68">
        <w:rPr>
          <w:szCs w:val="24"/>
        </w:rPr>
        <w:t>, Item 35414.</w:t>
      </w:r>
      <w:bookmarkStart w:id="2" w:name="_Ref394849669"/>
      <w:bookmarkStart w:id="3" w:name="_Toc10710804"/>
      <w:bookmarkEnd w:id="0"/>
      <w:bookmarkEnd w:id="1"/>
    </w:p>
    <w:p w14:paraId="4B0216F7" w14:textId="77777777" w:rsidR="006460AB" w:rsidRPr="004B35C9" w:rsidRDefault="006460AB" w:rsidP="004B35C9">
      <w:pPr>
        <w:keepNext/>
        <w:keepLines/>
        <w:rPr>
          <w:rFonts w:ascii="Arial Narrow" w:hAnsi="Arial Narrow"/>
          <w:b/>
          <w:sz w:val="20"/>
        </w:rPr>
      </w:pPr>
      <w:r w:rsidRPr="004B35C9" w:rsidDel="00A134DA">
        <w:rPr>
          <w:rFonts w:ascii="Arial Narrow" w:hAnsi="Arial Narrow"/>
          <w:b/>
          <w:sz w:val="20"/>
        </w:rPr>
        <w:lastRenderedPageBreak/>
        <w:t xml:space="preserve">Table </w:t>
      </w:r>
      <w:r w:rsidRPr="004B35C9">
        <w:rPr>
          <w:rFonts w:ascii="Arial Narrow" w:hAnsi="Arial Narrow"/>
          <w:b/>
          <w:sz w:val="20"/>
        </w:rPr>
        <w:t>1</w:t>
      </w:r>
      <w:bookmarkEnd w:id="2"/>
      <w:r w:rsidRPr="004B35C9">
        <w:rPr>
          <w:rFonts w:ascii="Arial Narrow" w:hAnsi="Arial Narrow"/>
          <w:b/>
          <w:sz w:val="20"/>
        </w:rPr>
        <w:tab/>
      </w:r>
      <w:r w:rsidRPr="004B35C9" w:rsidDel="00A134DA">
        <w:rPr>
          <w:rFonts w:ascii="Arial Narrow" w:hAnsi="Arial Narrow"/>
          <w:b/>
          <w:sz w:val="20"/>
        </w:rPr>
        <w:t>Proposed MBS item descriptor</w:t>
      </w:r>
      <w:bookmarkEnd w:id="3"/>
      <w:r w:rsidRPr="004B35C9">
        <w:rPr>
          <w:rFonts w:ascii="Arial Narrow" w:hAnsi="Arial Narrow"/>
          <w:b/>
          <w:sz w:val="20"/>
        </w:rPr>
        <w:t xml:space="preserve"> (as presented in Critique)</w:t>
      </w:r>
    </w:p>
    <w:tbl>
      <w:tblPr>
        <w:tblStyle w:val="TableGrid1"/>
        <w:tblW w:w="4981" w:type="pct"/>
        <w:tblLook w:val="04A0" w:firstRow="1" w:lastRow="0" w:firstColumn="1" w:lastColumn="0" w:noHBand="0" w:noVBand="1"/>
        <w:tblDescription w:val="Proposed MBS item descriptor (as presented in Critique)"/>
      </w:tblPr>
      <w:tblGrid>
        <w:gridCol w:w="8982"/>
      </w:tblGrid>
      <w:tr w:rsidR="006460AB" w:rsidRPr="00D33FC3" w14:paraId="43D10CAF" w14:textId="77777777" w:rsidTr="004B35C9">
        <w:trPr>
          <w:cnfStyle w:val="100000000000" w:firstRow="1" w:lastRow="0" w:firstColumn="0" w:lastColumn="0" w:oddVBand="0" w:evenVBand="0" w:oddHBand="0" w:evenHBand="0" w:firstRowFirstColumn="0" w:firstRowLastColumn="0" w:lastRowFirstColumn="0" w:lastRowLastColumn="0"/>
          <w:tblHeader/>
        </w:trPr>
        <w:tc>
          <w:tcPr>
            <w:tcW w:w="5000" w:type="pct"/>
          </w:tcPr>
          <w:p w14:paraId="2A37EE61" w14:textId="77777777" w:rsidR="006460AB" w:rsidRPr="00A17253" w:rsidRDefault="006460AB" w:rsidP="004B35C9">
            <w:pPr>
              <w:keepNext/>
              <w:keepLines/>
              <w:spacing w:after="40"/>
              <w:ind w:left="22"/>
              <w:jc w:val="right"/>
            </w:pPr>
            <w:r w:rsidRPr="00A17253">
              <w:t>Category 3 - THERAPEUTIC PROCEDURES</w:t>
            </w:r>
          </w:p>
          <w:p w14:paraId="3EC0C140" w14:textId="77777777" w:rsidR="006460AB" w:rsidRPr="00A17253" w:rsidRDefault="006460AB" w:rsidP="004B35C9">
            <w:pPr>
              <w:keepNext/>
              <w:keepLines/>
              <w:spacing w:after="40"/>
              <w:ind w:left="22"/>
              <w:jc w:val="right"/>
            </w:pPr>
          </w:p>
          <w:p w14:paraId="03C28F11" w14:textId="77777777" w:rsidR="006460AB" w:rsidRPr="00A17253" w:rsidRDefault="006460AB" w:rsidP="004B35C9">
            <w:pPr>
              <w:keepNext/>
              <w:keepLines/>
              <w:spacing w:after="40"/>
              <w:ind w:left="22"/>
              <w:jc w:val="right"/>
            </w:pPr>
            <w:r w:rsidRPr="00A17253">
              <w:t>Group T8 - Surgical Operations</w:t>
            </w:r>
          </w:p>
          <w:p w14:paraId="59F73858" w14:textId="77777777" w:rsidR="006460AB" w:rsidRPr="00A17253" w:rsidRDefault="006460AB" w:rsidP="004B35C9">
            <w:pPr>
              <w:keepNext/>
              <w:keepLines/>
              <w:spacing w:after="40"/>
              <w:ind w:left="22"/>
              <w:jc w:val="right"/>
            </w:pPr>
            <w:r w:rsidRPr="00A17253">
              <w:t>Subgroup 3 - Vascular</w:t>
            </w:r>
          </w:p>
          <w:p w14:paraId="7C397882" w14:textId="77777777" w:rsidR="006460AB" w:rsidRPr="00A17253" w:rsidRDefault="006460AB" w:rsidP="004B35C9">
            <w:pPr>
              <w:pStyle w:val="Tabletextright"/>
              <w:keepLines/>
            </w:pPr>
            <w:r w:rsidRPr="00A17253">
              <w:rPr>
                <w:rFonts w:cs="Tahoma"/>
                <w:lang w:eastAsia="en-AU"/>
              </w:rPr>
              <w:t>Subheading 13 - Interventional Radiology Procedures</w:t>
            </w:r>
          </w:p>
        </w:tc>
      </w:tr>
      <w:tr w:rsidR="006460AB" w:rsidRPr="00C03585" w14:paraId="38348049" w14:textId="77777777" w:rsidTr="004B35C9">
        <w:tc>
          <w:tcPr>
            <w:tcW w:w="5000" w:type="pct"/>
          </w:tcPr>
          <w:p w14:paraId="45E08059" w14:textId="77777777" w:rsidR="006460AB" w:rsidRPr="002A4A25" w:rsidRDefault="006460AB" w:rsidP="005610DA">
            <w:pPr>
              <w:keepNext/>
              <w:spacing w:after="40"/>
              <w:ind w:firstLine="22"/>
            </w:pPr>
            <w:r w:rsidRPr="002A4A25">
              <w:t xml:space="preserve">Endovascular insertion of </w:t>
            </w:r>
            <w:r w:rsidRPr="00C0739C">
              <w:t>a</w:t>
            </w:r>
            <w:r w:rsidRPr="002A4A25">
              <w:t xml:space="preserve"> flow diversion device, in a patient with a diagnosis of unruptured intracranial aneurysm, including intra-operative imaging and aftercare, if</w:t>
            </w:r>
          </w:p>
          <w:p w14:paraId="50A8A9F4" w14:textId="77777777" w:rsidR="006460AB" w:rsidRPr="002A4A25" w:rsidRDefault="006460AB" w:rsidP="006460AB">
            <w:pPr>
              <w:keepNext/>
              <w:numPr>
                <w:ilvl w:val="0"/>
                <w:numId w:val="6"/>
              </w:numPr>
              <w:spacing w:after="40"/>
            </w:pPr>
            <w:r w:rsidRPr="002A4A25">
              <w:t xml:space="preserve">The diagnosis is confirmed by an appropriate imaging modality such as angiography, magnetic resonance imaging or computed tomography </w:t>
            </w:r>
          </w:p>
          <w:p w14:paraId="718CC463" w14:textId="77777777" w:rsidR="006460AB" w:rsidRPr="002A4A25" w:rsidRDefault="006460AB" w:rsidP="006460AB">
            <w:pPr>
              <w:keepNext/>
              <w:numPr>
                <w:ilvl w:val="0"/>
                <w:numId w:val="6"/>
              </w:numPr>
              <w:spacing w:after="40"/>
            </w:pPr>
            <w:r w:rsidRPr="002A4A25">
              <w:t xml:space="preserve">The service is performed by a specialist or consultant physician with appropriate training that is recognised by the Conjoint Committee for Recognition of Training in Interventional Neuroradiology. </w:t>
            </w:r>
          </w:p>
          <w:p w14:paraId="4057067F" w14:textId="77777777" w:rsidR="006460AB" w:rsidRPr="002A4A25" w:rsidRDefault="006460AB" w:rsidP="005610DA">
            <w:pPr>
              <w:keepNext/>
              <w:keepLines/>
              <w:widowControl w:val="0"/>
              <w:spacing w:after="40"/>
            </w:pPr>
            <w:r w:rsidRPr="002A4A25">
              <w:t xml:space="preserve">but in association with the following pre-operative diagnostic imaging items: </w:t>
            </w:r>
          </w:p>
          <w:p w14:paraId="65A10BC7" w14:textId="77777777" w:rsidR="006460AB" w:rsidRPr="002A4A25" w:rsidRDefault="006460AB" w:rsidP="005610DA">
            <w:pPr>
              <w:keepNext/>
              <w:keepLines/>
              <w:widowControl w:val="0"/>
              <w:spacing w:after="40"/>
              <w:ind w:firstLine="22"/>
            </w:pPr>
            <w:r w:rsidRPr="002A4A25">
              <w:t xml:space="preserve">- either 60009 or 60010; and </w:t>
            </w:r>
          </w:p>
          <w:p w14:paraId="6E4DC2BB" w14:textId="77777777" w:rsidR="006460AB" w:rsidRPr="002A4A25" w:rsidRDefault="006460AB" w:rsidP="005610DA">
            <w:pPr>
              <w:keepNext/>
              <w:keepLines/>
              <w:widowControl w:val="0"/>
              <w:spacing w:after="40"/>
              <w:ind w:firstLine="22"/>
            </w:pPr>
            <w:r w:rsidRPr="002A4A25">
              <w:t xml:space="preserve">- either 60072, 60073, 60075, 60076, 60078 or 60079 </w:t>
            </w:r>
          </w:p>
        </w:tc>
      </w:tr>
      <w:tr w:rsidR="006460AB" w:rsidRPr="00C03585" w14:paraId="5F53B301" w14:textId="77777777" w:rsidTr="004B35C9">
        <w:tc>
          <w:tcPr>
            <w:tcW w:w="5000" w:type="pct"/>
          </w:tcPr>
          <w:p w14:paraId="512A5034" w14:textId="77777777" w:rsidR="006460AB" w:rsidRPr="002A4A25" w:rsidRDefault="006460AB" w:rsidP="005610DA">
            <w:pPr>
              <w:keepNext/>
              <w:spacing w:after="40"/>
              <w:ind w:firstLine="22"/>
            </w:pPr>
            <w:r w:rsidRPr="002A4A25">
              <w:t>Fee</w:t>
            </w:r>
            <w:r>
              <w:t>*</w:t>
            </w:r>
            <w:r w:rsidRPr="002A4A25">
              <w:t>:</w:t>
            </w:r>
            <w:r w:rsidRPr="00C0739C">
              <w:rPr>
                <w:i/>
              </w:rPr>
              <w:t xml:space="preserve"> $2,903.25</w:t>
            </w:r>
            <w:r w:rsidRPr="002A4A25">
              <w:t xml:space="preserve"> Benefit: 75% = </w:t>
            </w:r>
            <w:r w:rsidRPr="00C0739C">
              <w:rPr>
                <w:i/>
              </w:rPr>
              <w:t>$2,177.45</w:t>
            </w:r>
            <w:r>
              <w:t>:</w:t>
            </w:r>
            <w:r w:rsidRPr="002A4A25">
              <w:t xml:space="preserve"> 85% = </w:t>
            </w:r>
            <w:r w:rsidRPr="00C0739C">
              <w:rPr>
                <w:i/>
              </w:rPr>
              <w:t>$2,819.85</w:t>
            </w:r>
          </w:p>
        </w:tc>
      </w:tr>
    </w:tbl>
    <w:p w14:paraId="29071E95" w14:textId="77777777" w:rsidR="006460AB" w:rsidRDefault="006460AB" w:rsidP="006460AB">
      <w:pPr>
        <w:keepNext/>
        <w:jc w:val="both"/>
        <w:rPr>
          <w:rFonts w:ascii="Arial Narrow" w:hAnsi="Arial Narrow"/>
          <w:sz w:val="18"/>
          <w:szCs w:val="18"/>
        </w:rPr>
      </w:pPr>
      <w:r w:rsidRPr="00683147">
        <w:rPr>
          <w:rFonts w:ascii="Arial Narrow" w:hAnsi="Arial Narrow"/>
          <w:sz w:val="18"/>
          <w:szCs w:val="18"/>
        </w:rPr>
        <w:t>Source: Table 12, p45 of the SBA</w:t>
      </w:r>
      <w:r>
        <w:rPr>
          <w:rFonts w:ascii="Arial Narrow" w:hAnsi="Arial Narrow"/>
          <w:sz w:val="18"/>
          <w:szCs w:val="18"/>
        </w:rPr>
        <w:t xml:space="preserve">; </w:t>
      </w:r>
      <w:r w:rsidRPr="006A3038">
        <w:rPr>
          <w:rFonts w:ascii="Arial Narrow" w:hAnsi="Arial Narrow"/>
          <w:i/>
          <w:sz w:val="18"/>
          <w:szCs w:val="18"/>
        </w:rPr>
        <w:t>Fees have been updated to reflect MBS fees at 1 July 2019.</w:t>
      </w:r>
      <w:r>
        <w:rPr>
          <w:rFonts w:ascii="Arial Narrow" w:hAnsi="Arial Narrow"/>
          <w:i/>
          <w:sz w:val="18"/>
          <w:szCs w:val="18"/>
        </w:rPr>
        <w:t xml:space="preserve"> * Does not include cost of device(s)</w:t>
      </w:r>
    </w:p>
    <w:p w14:paraId="05CEBEE2" w14:textId="6948151A" w:rsidR="006460AB" w:rsidRPr="00242873" w:rsidRDefault="006460AB" w:rsidP="00242873">
      <w:pPr>
        <w:spacing w:before="240" w:after="240"/>
      </w:pPr>
      <w:r>
        <w:t xml:space="preserve">The </w:t>
      </w:r>
      <w:r w:rsidR="006321CE">
        <w:t xml:space="preserve">application </w:t>
      </w:r>
      <w:r>
        <w:t>also propose</w:t>
      </w:r>
      <w:r w:rsidR="006321CE">
        <w:t>d</w:t>
      </w:r>
      <w:r>
        <w:t xml:space="preserve"> two further MBS item descriptors for (</w:t>
      </w:r>
      <w:proofErr w:type="spellStart"/>
      <w:r>
        <w:t>i</w:t>
      </w:r>
      <w:proofErr w:type="spellEnd"/>
      <w:r>
        <w:t xml:space="preserve">) coordination of, and (ii) attendance to, multidisciplinary team teleconferences (Table 2). </w:t>
      </w:r>
      <w:r w:rsidRPr="00D55FA9">
        <w:t xml:space="preserve">The </w:t>
      </w:r>
      <w:r w:rsidR="006321CE">
        <w:t>a</w:t>
      </w:r>
      <w:r w:rsidRPr="00D55FA9">
        <w:t>pplicant propose</w:t>
      </w:r>
      <w:r w:rsidR="006321CE">
        <w:t>d</w:t>
      </w:r>
      <w:r w:rsidRPr="00D55FA9">
        <w:t xml:space="preserve"> that the case conference can also be coordinated by a neurosurgery practitioner as indic</w:t>
      </w:r>
      <w:r>
        <w:t>a</w:t>
      </w:r>
      <w:r w:rsidRPr="00D55FA9">
        <w:t xml:space="preserve">ted by underlined text in the </w:t>
      </w:r>
      <w:r>
        <w:t xml:space="preserve">proposed </w:t>
      </w:r>
      <w:r w:rsidRPr="00D55FA9">
        <w:t>descriptor (</w:t>
      </w:r>
      <w:r w:rsidRPr="00D55FA9">
        <w:fldChar w:fldCharType="begin"/>
      </w:r>
      <w:r w:rsidRPr="00D55FA9">
        <w:instrText xml:space="preserve"> REF _Ref10709822 \h  \* MERGEFORMAT </w:instrText>
      </w:r>
      <w:r w:rsidRPr="00D55FA9">
        <w:fldChar w:fldCharType="separate"/>
      </w:r>
      <w:r w:rsidRPr="0071616A" w:rsidDel="00A134DA">
        <w:t xml:space="preserve">Table </w:t>
      </w:r>
      <w:r>
        <w:t>2</w:t>
      </w:r>
      <w:r w:rsidRPr="00D55FA9">
        <w:fldChar w:fldCharType="end"/>
      </w:r>
      <w:r w:rsidRPr="00D55FA9">
        <w:t>) as it is expected that the utilisation of such case conference</w:t>
      </w:r>
      <w:r>
        <w:t>s</w:t>
      </w:r>
      <w:r w:rsidRPr="00D55FA9">
        <w:t xml:space="preserve"> would equally apply to the assessment of patients considered for all treatment modalities relevant </w:t>
      </w:r>
      <w:r>
        <w:t>to</w:t>
      </w:r>
      <w:r w:rsidRPr="00D55FA9">
        <w:t xml:space="preserve"> the treatment o</w:t>
      </w:r>
      <w:r w:rsidR="005610DA">
        <w:t>f UIAs (clipping, coiling, FD).</w:t>
      </w:r>
    </w:p>
    <w:p w14:paraId="677D9747" w14:textId="77777777" w:rsidR="006460AB" w:rsidRPr="004B35C9" w:rsidRDefault="006460AB" w:rsidP="004B35C9">
      <w:pPr>
        <w:rPr>
          <w:rFonts w:ascii="Arial Narrow" w:hAnsi="Arial Narrow"/>
          <w:b/>
          <w:sz w:val="20"/>
        </w:rPr>
      </w:pPr>
      <w:bookmarkStart w:id="4" w:name="_Ref10709822"/>
      <w:bookmarkStart w:id="5" w:name="_Toc10710794"/>
      <w:bookmarkStart w:id="6" w:name="_Ref10188418"/>
      <w:r w:rsidRPr="004B35C9" w:rsidDel="00A134DA">
        <w:rPr>
          <w:rFonts w:ascii="Arial Narrow" w:hAnsi="Arial Narrow"/>
          <w:b/>
          <w:sz w:val="20"/>
        </w:rPr>
        <w:t xml:space="preserve">Table </w:t>
      </w:r>
      <w:r w:rsidRPr="004B35C9">
        <w:rPr>
          <w:rFonts w:ascii="Arial Narrow" w:hAnsi="Arial Narrow"/>
          <w:b/>
          <w:sz w:val="20"/>
        </w:rPr>
        <w:fldChar w:fldCharType="begin"/>
      </w:r>
      <w:r w:rsidRPr="004B35C9">
        <w:rPr>
          <w:rFonts w:ascii="Arial Narrow" w:hAnsi="Arial Narrow"/>
          <w:b/>
          <w:sz w:val="20"/>
        </w:rPr>
        <w:instrText xml:space="preserve"> SEQ Table \* ARABIC </w:instrText>
      </w:r>
      <w:r w:rsidRPr="004B35C9">
        <w:rPr>
          <w:rFonts w:ascii="Arial Narrow" w:hAnsi="Arial Narrow"/>
          <w:b/>
          <w:sz w:val="20"/>
        </w:rPr>
        <w:fldChar w:fldCharType="separate"/>
      </w:r>
      <w:r w:rsidRPr="004B35C9">
        <w:rPr>
          <w:rFonts w:ascii="Arial Narrow" w:hAnsi="Arial Narrow"/>
          <w:b/>
          <w:sz w:val="20"/>
        </w:rPr>
        <w:t>2</w:t>
      </w:r>
      <w:r w:rsidRPr="004B35C9">
        <w:rPr>
          <w:rFonts w:ascii="Arial Narrow" w:hAnsi="Arial Narrow"/>
          <w:b/>
          <w:sz w:val="20"/>
        </w:rPr>
        <w:fldChar w:fldCharType="end"/>
      </w:r>
      <w:bookmarkEnd w:id="4"/>
      <w:r w:rsidRPr="004B35C9" w:rsidDel="00A134DA">
        <w:rPr>
          <w:rFonts w:ascii="Arial Narrow" w:hAnsi="Arial Narrow"/>
          <w:b/>
          <w:sz w:val="20"/>
        </w:rPr>
        <w:tab/>
      </w:r>
      <w:r w:rsidRPr="004B35C9">
        <w:rPr>
          <w:rFonts w:ascii="Arial Narrow" w:hAnsi="Arial Narrow"/>
          <w:b/>
          <w:sz w:val="20"/>
        </w:rPr>
        <w:t>Proposed MBS item descriptors for multidisciplinary team conferences for UIAs</w:t>
      </w:r>
      <w:bookmarkEnd w:id="5"/>
      <w:r w:rsidRPr="004B35C9">
        <w:rPr>
          <w:rFonts w:ascii="Arial Narrow" w:hAnsi="Arial Narrow"/>
          <w:b/>
          <w:sz w:val="20"/>
        </w:rPr>
        <w:t xml:space="preserve"> </w:t>
      </w:r>
      <w:bookmarkEnd w:id="6"/>
    </w:p>
    <w:tbl>
      <w:tblPr>
        <w:tblStyle w:val="TableGrid"/>
        <w:tblW w:w="0" w:type="auto"/>
        <w:tblLook w:val="04A0" w:firstRow="1" w:lastRow="0" w:firstColumn="1" w:lastColumn="0" w:noHBand="0" w:noVBand="1"/>
        <w:tblCaption w:val="MBS item descriptors for multidisciplinary team conferences for UIAs"/>
        <w:tblDescription w:val="MBS item descriptors for multidisciplinary team conferences for UIAs"/>
      </w:tblPr>
      <w:tblGrid>
        <w:gridCol w:w="9016"/>
      </w:tblGrid>
      <w:tr w:rsidR="006460AB" w:rsidRPr="00B428B6" w14:paraId="4BD790AE" w14:textId="77777777" w:rsidTr="005610DA">
        <w:trPr>
          <w:tblHeader/>
        </w:trPr>
        <w:tc>
          <w:tcPr>
            <w:tcW w:w="9016" w:type="dxa"/>
          </w:tcPr>
          <w:p w14:paraId="58215AF4" w14:textId="77777777" w:rsidR="006460AB" w:rsidRPr="00B428B6" w:rsidRDefault="006460AB" w:rsidP="005610DA">
            <w:pPr>
              <w:pStyle w:val="Tabletext"/>
              <w:ind w:firstLine="22"/>
              <w:jc w:val="right"/>
            </w:pPr>
            <w:r w:rsidRPr="00B428B6">
              <w:t>Category 1 – Professional Attendances</w:t>
            </w:r>
          </w:p>
          <w:p w14:paraId="12AB2C84" w14:textId="77777777" w:rsidR="006460AB" w:rsidRPr="00B428B6" w:rsidRDefault="006460AB" w:rsidP="005610DA">
            <w:pPr>
              <w:pStyle w:val="Tabletext"/>
              <w:ind w:firstLine="22"/>
              <w:jc w:val="right"/>
            </w:pPr>
            <w:r w:rsidRPr="00B428B6">
              <w:t xml:space="preserve">Group A33- Unruptured </w:t>
            </w:r>
            <w:r>
              <w:t>intracranial</w:t>
            </w:r>
            <w:r w:rsidRPr="00B428B6">
              <w:t xml:space="preserve"> aneurysm</w:t>
            </w:r>
            <w:r>
              <w:t xml:space="preserve"> (UIA)</w:t>
            </w:r>
            <w:r w:rsidRPr="00B428B6">
              <w:t xml:space="preserve"> Case Conference</w:t>
            </w:r>
          </w:p>
        </w:tc>
      </w:tr>
      <w:tr w:rsidR="006460AB" w:rsidRPr="00B428B6" w14:paraId="5F5E061D" w14:textId="77777777" w:rsidTr="005610DA">
        <w:tc>
          <w:tcPr>
            <w:tcW w:w="9016" w:type="dxa"/>
          </w:tcPr>
          <w:p w14:paraId="27D63D0D" w14:textId="77777777" w:rsidR="006460AB" w:rsidRPr="00B428B6" w:rsidRDefault="006460AB" w:rsidP="005610DA">
            <w:pPr>
              <w:pStyle w:val="Tabletext"/>
            </w:pPr>
            <w:r w:rsidRPr="00B428B6">
              <w:t>MBS item</w:t>
            </w:r>
            <w:r>
              <w:t xml:space="preserve"> ##1</w:t>
            </w:r>
          </w:p>
          <w:p w14:paraId="60F0ED65" w14:textId="77777777" w:rsidR="006460AB" w:rsidRPr="00B428B6" w:rsidRDefault="006460AB" w:rsidP="005610DA">
            <w:pPr>
              <w:pStyle w:val="Tabletext"/>
            </w:pPr>
            <w:r w:rsidRPr="00B428B6">
              <w:t>Coordination of a</w:t>
            </w:r>
            <w:r>
              <w:t>n</w:t>
            </w:r>
            <w:r w:rsidRPr="009B2156">
              <w:t xml:space="preserve"> unruptured intracranial aneurysm</w:t>
            </w:r>
            <w:r w:rsidRPr="00B428B6">
              <w:t xml:space="preserve"> </w:t>
            </w:r>
            <w:r>
              <w:t>(</w:t>
            </w:r>
            <w:r w:rsidRPr="00B428B6">
              <w:t>UIA</w:t>
            </w:r>
            <w:r>
              <w:t>)</w:t>
            </w:r>
            <w:r w:rsidRPr="00B428B6">
              <w:t xml:space="preserve"> </w:t>
            </w:r>
            <w:r>
              <w:t>c</w:t>
            </w:r>
            <w:r w:rsidRPr="00B428B6">
              <w:t xml:space="preserve">ase </w:t>
            </w:r>
            <w:r>
              <w:t>c</w:t>
            </w:r>
            <w:r w:rsidRPr="00B428B6">
              <w:t>onference by a</w:t>
            </w:r>
            <w:r>
              <w:t>n</w:t>
            </w:r>
            <w:r w:rsidRPr="00B428B6">
              <w:t xml:space="preserve"> </w:t>
            </w:r>
            <w:r>
              <w:t>e</w:t>
            </w:r>
            <w:r w:rsidRPr="00B428B6">
              <w:t xml:space="preserve">ndovascular </w:t>
            </w:r>
            <w:r w:rsidRPr="00696D3F">
              <w:rPr>
                <w:u w:val="single"/>
              </w:rPr>
              <w:t>or neurosurgery</w:t>
            </w:r>
            <w:r>
              <w:t xml:space="preserve"> p</w:t>
            </w:r>
            <w:r w:rsidRPr="00B428B6">
              <w:t>ractitioner</w:t>
            </w:r>
            <w:r>
              <w:t>,</w:t>
            </w:r>
            <w:r w:rsidRPr="00B428B6">
              <w:t xml:space="preserve"> where the UIA </w:t>
            </w:r>
            <w:r>
              <w:t>c</w:t>
            </w:r>
            <w:r w:rsidRPr="00B428B6">
              <w:t xml:space="preserve">ase </w:t>
            </w:r>
            <w:r>
              <w:t>c</w:t>
            </w:r>
            <w:r w:rsidRPr="00B428B6">
              <w:t xml:space="preserve">onference </w:t>
            </w:r>
            <w:r>
              <w:t xml:space="preserve">is of </w:t>
            </w:r>
            <w:r w:rsidRPr="00B428B6">
              <w:t>10 minutes or more</w:t>
            </w:r>
            <w:r>
              <w:t xml:space="preserve"> duration</w:t>
            </w:r>
          </w:p>
          <w:p w14:paraId="15D01515" w14:textId="77777777" w:rsidR="006460AB" w:rsidRPr="004E22E0" w:rsidRDefault="006460AB" w:rsidP="005610DA">
            <w:pPr>
              <w:pStyle w:val="Tabletext"/>
            </w:pPr>
            <w:r w:rsidRPr="00B428B6">
              <w:t>(Not payable more than once per patient in a XX year period)</w:t>
            </w:r>
          </w:p>
          <w:p w14:paraId="6AC594DA" w14:textId="77777777" w:rsidR="006460AB" w:rsidRPr="004E22E0" w:rsidRDefault="006460AB" w:rsidP="005610DA">
            <w:pPr>
              <w:pStyle w:val="Tabletext"/>
            </w:pPr>
            <w:r w:rsidRPr="00B428B6">
              <w:t>Fee: $50.15 Benefit 75% = $37.65 85% = $42.65</w:t>
            </w:r>
          </w:p>
          <w:p w14:paraId="38EC6150" w14:textId="77777777" w:rsidR="006460AB" w:rsidRPr="00B428B6" w:rsidRDefault="006460AB" w:rsidP="005610DA">
            <w:pPr>
              <w:pStyle w:val="Tabletext"/>
            </w:pPr>
            <w:r w:rsidRPr="00B428B6">
              <w:t xml:space="preserve">See Explanatory Notes </w:t>
            </w:r>
          </w:p>
        </w:tc>
      </w:tr>
      <w:tr w:rsidR="006460AB" w:rsidRPr="00B428B6" w14:paraId="60478D62" w14:textId="77777777" w:rsidTr="005610DA">
        <w:tc>
          <w:tcPr>
            <w:tcW w:w="9016" w:type="dxa"/>
          </w:tcPr>
          <w:p w14:paraId="351D6E63" w14:textId="77777777" w:rsidR="006460AB" w:rsidRPr="00B428B6" w:rsidRDefault="006460AB" w:rsidP="005610DA">
            <w:pPr>
              <w:pStyle w:val="Tabletext"/>
            </w:pPr>
            <w:r w:rsidRPr="00B428B6">
              <w:t>MBS item</w:t>
            </w:r>
            <w:r>
              <w:t xml:space="preserve"> ##2</w:t>
            </w:r>
          </w:p>
          <w:p w14:paraId="45209C5D" w14:textId="77777777" w:rsidR="006460AB" w:rsidRPr="00B428B6" w:rsidRDefault="006460AB" w:rsidP="005610DA">
            <w:pPr>
              <w:pStyle w:val="Tabletext"/>
            </w:pPr>
            <w:r w:rsidRPr="00B428B6">
              <w:t>Attendance at a</w:t>
            </w:r>
            <w:r>
              <w:t>n unruptured intracranial aneurysm (</w:t>
            </w:r>
            <w:r w:rsidRPr="00B428B6">
              <w:t>UIA</w:t>
            </w:r>
            <w:r>
              <w:t>)</w:t>
            </w:r>
            <w:r w:rsidRPr="00B428B6">
              <w:t xml:space="preserve"> </w:t>
            </w:r>
            <w:r>
              <w:t>c</w:t>
            </w:r>
            <w:r w:rsidRPr="00B428B6">
              <w:t xml:space="preserve">ase </w:t>
            </w:r>
            <w:r>
              <w:t>c</w:t>
            </w:r>
            <w:r w:rsidRPr="00B428B6">
              <w:t xml:space="preserve">onference by a specialist or consultant physician </w:t>
            </w:r>
            <w:r>
              <w:t>(</w:t>
            </w:r>
            <w:r w:rsidRPr="00B428B6">
              <w:t>who do</w:t>
            </w:r>
            <w:r>
              <w:t>es</w:t>
            </w:r>
            <w:r w:rsidRPr="00B428B6">
              <w:t xml:space="preserve"> not also perform the </w:t>
            </w:r>
            <w:r>
              <w:t xml:space="preserve">coordination </w:t>
            </w:r>
            <w:r w:rsidRPr="00B428B6">
              <w:t>service described in item XX</w:t>
            </w:r>
            <w:r>
              <w:t>1</w:t>
            </w:r>
            <w:r w:rsidRPr="00B428B6">
              <w:t xml:space="preserve"> for th</w:t>
            </w:r>
            <w:r>
              <w:t>at</w:t>
            </w:r>
            <w:r w:rsidRPr="00B428B6">
              <w:t xml:space="preserve"> same case conference</w:t>
            </w:r>
            <w:r>
              <w:t>)</w:t>
            </w:r>
            <w:r w:rsidRPr="00B428B6">
              <w:t xml:space="preserve"> where the UIA </w:t>
            </w:r>
            <w:r>
              <w:t>c</w:t>
            </w:r>
            <w:r w:rsidRPr="00B428B6">
              <w:t xml:space="preserve">ase </w:t>
            </w:r>
            <w:r>
              <w:t>c</w:t>
            </w:r>
            <w:r w:rsidRPr="00B428B6">
              <w:t xml:space="preserve">onference </w:t>
            </w:r>
            <w:r>
              <w:t xml:space="preserve">is of </w:t>
            </w:r>
            <w:r w:rsidRPr="00B428B6">
              <w:t>10 minutes or more</w:t>
            </w:r>
            <w:r>
              <w:t xml:space="preserve"> duration</w:t>
            </w:r>
          </w:p>
          <w:p w14:paraId="0F1B71CE" w14:textId="77777777" w:rsidR="006460AB" w:rsidRPr="004E22E0" w:rsidRDefault="006460AB" w:rsidP="005610DA">
            <w:pPr>
              <w:pStyle w:val="Tabletext"/>
            </w:pPr>
            <w:r w:rsidRPr="00B428B6">
              <w:t>(Not payable more than twice per patient in a XX year period)</w:t>
            </w:r>
          </w:p>
          <w:p w14:paraId="2AE9B365" w14:textId="77777777" w:rsidR="006460AB" w:rsidRPr="004E22E0" w:rsidRDefault="006460AB" w:rsidP="005610DA">
            <w:pPr>
              <w:pStyle w:val="Tabletext"/>
            </w:pPr>
            <w:r w:rsidRPr="00B428B6">
              <w:t>Fee: $37.40 Benefit: 75% =$28.05</w:t>
            </w:r>
            <w:r>
              <w:t xml:space="preserve"> </w:t>
            </w:r>
            <w:r w:rsidRPr="00B428B6">
              <w:t>85% = $31.80</w:t>
            </w:r>
          </w:p>
          <w:p w14:paraId="6293EF13" w14:textId="77777777" w:rsidR="006460AB" w:rsidRPr="00B428B6" w:rsidRDefault="006460AB" w:rsidP="005610DA">
            <w:pPr>
              <w:pStyle w:val="Tabletext"/>
            </w:pPr>
            <w:r w:rsidRPr="00B428B6">
              <w:t xml:space="preserve">See Explanatory Notes </w:t>
            </w:r>
          </w:p>
        </w:tc>
      </w:tr>
    </w:tbl>
    <w:p w14:paraId="3407CE81" w14:textId="77777777" w:rsidR="006460AB" w:rsidRDefault="006460AB" w:rsidP="006460AB">
      <w:pPr>
        <w:pStyle w:val="Tablecaption"/>
        <w:rPr>
          <w:sz w:val="18"/>
        </w:rPr>
      </w:pPr>
      <w:r>
        <w:rPr>
          <w:sz w:val="18"/>
        </w:rPr>
        <w:t>Source: Table 2, p23 of the submission</w:t>
      </w:r>
    </w:p>
    <w:p w14:paraId="0C113CFF" w14:textId="2572DF59" w:rsidR="006460AB" w:rsidRDefault="006460AB" w:rsidP="00242873">
      <w:pPr>
        <w:spacing w:before="240"/>
      </w:pPr>
      <w:r w:rsidRPr="00D55FA9">
        <w:t>The Department noted that the development of the MBS item descriptor may include both FD</w:t>
      </w:r>
      <w:r>
        <w:t xml:space="preserve"> (flow diversion)</w:t>
      </w:r>
      <w:r w:rsidRPr="00D55FA9">
        <w:t xml:space="preserve"> and endovascular coiling under the one item for endovascular treatment of UIA, so both techniques reflect the need for appropriate training recognised by the Conjoint Committee for Recognition of Training in Interventional Neuroradiology. Of note, as part of the MBS review, a proposed amendment to item 35412 (coiling) has been made to remove the reference to detachable coils and replace it with </w:t>
      </w:r>
      <w:r>
        <w:t>“</w:t>
      </w:r>
      <w:r w:rsidRPr="00D55FA9">
        <w:t>endovascular technique</w:t>
      </w:r>
      <w:r>
        <w:t>” (not otherwise specified)</w:t>
      </w:r>
      <w:r w:rsidRPr="00D55FA9">
        <w:t xml:space="preserve">, although </w:t>
      </w:r>
      <w:r>
        <w:t>a</w:t>
      </w:r>
      <w:r w:rsidRPr="00D55FA9">
        <w:t>mendments have not yet been adopted.</w:t>
      </w:r>
    </w:p>
    <w:p w14:paraId="0C5DC075" w14:textId="734D0520" w:rsidR="008A749F" w:rsidRPr="00F715D1" w:rsidRDefault="006321CE" w:rsidP="008A749F">
      <w:pPr>
        <w:pStyle w:val="Heading1"/>
      </w:pPr>
      <w:r>
        <w:lastRenderedPageBreak/>
        <w:t>Summary of p</w:t>
      </w:r>
      <w:r w:rsidR="008A749F" w:rsidRPr="00F715D1">
        <w:t>ublic</w:t>
      </w:r>
      <w:r>
        <w:t xml:space="preserve"> consultation feedback/c</w:t>
      </w:r>
      <w:r w:rsidR="008A749F" w:rsidRPr="00F715D1">
        <w:t>onsumer Issues</w:t>
      </w:r>
    </w:p>
    <w:p w14:paraId="1D74078F" w14:textId="18FA6897" w:rsidR="006460AB" w:rsidRDefault="006460AB" w:rsidP="00242873">
      <w:pPr>
        <w:tabs>
          <w:tab w:val="left" w:pos="720"/>
          <w:tab w:val="left" w:pos="1140"/>
        </w:tabs>
        <w:spacing w:after="240"/>
        <w:rPr>
          <w:bCs/>
        </w:rPr>
      </w:pPr>
      <w:r w:rsidRPr="00225621">
        <w:rPr>
          <w:bCs/>
        </w:rPr>
        <w:t xml:space="preserve">Endovascular insertion of </w:t>
      </w:r>
      <w:r>
        <w:rPr>
          <w:bCs/>
        </w:rPr>
        <w:t>a FDD</w:t>
      </w:r>
      <w:r w:rsidRPr="00225621">
        <w:rPr>
          <w:bCs/>
        </w:rPr>
        <w:t xml:space="preserve"> for the treatment of </w:t>
      </w:r>
      <w:r>
        <w:rPr>
          <w:bCs/>
        </w:rPr>
        <w:t>UIAs is supported by the Royal Australian and New Zealand College of Radiologists (RANZCR) and the Australian and New Zealand Association of Neurologists (ANZAN).</w:t>
      </w:r>
    </w:p>
    <w:p w14:paraId="0752AE27" w14:textId="77777777" w:rsidR="006460AB" w:rsidRPr="006460AB" w:rsidRDefault="006460AB" w:rsidP="006460AB">
      <w:pPr>
        <w:tabs>
          <w:tab w:val="left" w:pos="720"/>
          <w:tab w:val="left" w:pos="1140"/>
        </w:tabs>
        <w:rPr>
          <w:bCs/>
        </w:rPr>
      </w:pPr>
      <w:r>
        <w:rPr>
          <w:bCs/>
        </w:rPr>
        <w:t xml:space="preserve">Consultation feedback was received from </w:t>
      </w:r>
      <w:r w:rsidRPr="00623854">
        <w:rPr>
          <w:bCs/>
          <w:u w:val="single"/>
        </w:rPr>
        <w:t>one</w:t>
      </w:r>
      <w:r>
        <w:rPr>
          <w:bCs/>
        </w:rPr>
        <w:t xml:space="preserve"> specialist on behalf of ANZAN in support of this procedure who opined the FDD has revolutionised treatment of complex aneurysms that are either difficult, dangerous or impossible to treat by endovascular coiling or open surgical clip repair. This specialist also stated that funding through the MBS would help to regulate use of this treatment in correctly selected patients by experienced operators.</w:t>
      </w:r>
    </w:p>
    <w:p w14:paraId="09EFC04C" w14:textId="77777777" w:rsidR="008A749F" w:rsidRPr="00F715D1" w:rsidRDefault="008A749F" w:rsidP="008A749F">
      <w:pPr>
        <w:pStyle w:val="Heading1"/>
      </w:pPr>
      <w:r w:rsidRPr="00F715D1">
        <w:t>Proposed intervention’s place in clinical management</w:t>
      </w:r>
    </w:p>
    <w:p w14:paraId="1731F665" w14:textId="417BEF6D" w:rsidR="006460AB" w:rsidRDefault="006460AB" w:rsidP="00242873">
      <w:pPr>
        <w:spacing w:after="240"/>
      </w:pPr>
      <w:r>
        <w:t xml:space="preserve">The </w:t>
      </w:r>
      <w:r w:rsidR="006321CE">
        <w:t>application’s</w:t>
      </w:r>
      <w:r>
        <w:t xml:space="preserve"> clinical management algorithm</w:t>
      </w:r>
      <w:r w:rsidR="006321CE">
        <w:t>,</w:t>
      </w:r>
      <w:r>
        <w:t xml:space="preserve"> provided in the ratified PICO</w:t>
      </w:r>
      <w:r w:rsidR="006321CE">
        <w:t>,</w:t>
      </w:r>
      <w:r>
        <w:t xml:space="preserve"> includes the current and proposed clinical management of UIA in the same diagram (</w:t>
      </w:r>
      <w:r>
        <w:fldChar w:fldCharType="begin"/>
      </w:r>
      <w:r>
        <w:instrText xml:space="preserve"> REF _Ref7693689 \h </w:instrText>
      </w:r>
      <w:r>
        <w:fldChar w:fldCharType="separate"/>
      </w:r>
      <w:r>
        <w:t>Figure 1</w:t>
      </w:r>
      <w:r>
        <w:fldChar w:fldCharType="end"/>
      </w:r>
      <w:r>
        <w:t xml:space="preserve">). Population 4, patients whose aneurysms have </w:t>
      </w:r>
      <w:proofErr w:type="spellStart"/>
      <w:r>
        <w:t>recanalised</w:t>
      </w:r>
      <w:proofErr w:type="spellEnd"/>
      <w:r>
        <w:t xml:space="preserve"> and require re-treatment, is not represented.</w:t>
      </w:r>
    </w:p>
    <w:p w14:paraId="3BCBA4C3" w14:textId="42F00BD2" w:rsidR="006460AB" w:rsidRDefault="006460AB" w:rsidP="00242873">
      <w:pPr>
        <w:spacing w:after="240"/>
      </w:pPr>
      <w:r>
        <w:t xml:space="preserve">The clinical management algorithm assumes that currently, of those patients with a small, complex aneurysm &lt; 10 mm, where the decision to intervene is made, and where the aneurysm is described as a wide neck, fusiform or dysplastic aneurysm, then currently 90% (based on expert advice), will be treated with endovascular coiling. If FD is listed, then a proportion of those currently treated by coiling or clipping will be treated by use of FD. Patients in this population treated with medical management remain </w:t>
      </w:r>
      <w:r w:rsidR="005610DA">
        <w:t>conservatively treated.</w:t>
      </w:r>
    </w:p>
    <w:p w14:paraId="60D95E73" w14:textId="234C1FFD" w:rsidR="006460AB" w:rsidRDefault="006321CE" w:rsidP="00242873">
      <w:pPr>
        <w:spacing w:after="240"/>
      </w:pPr>
      <w:r>
        <w:t>For P</w:t>
      </w:r>
      <w:r w:rsidR="006460AB">
        <w:t xml:space="preserve">opulation 2, currently large aneurysm ≥10 mm, suitable for endovascular therapy or surgery, and where the decision to intervene is made, then currently 90% of patients treated (based on expert advice), will be treated by endovascular coiling. If FD is listed on the MBS, then a proportion of those currently treated by coiling or </w:t>
      </w:r>
      <w:r w:rsidR="005610DA">
        <w:t>clipping will be treated by FD.</w:t>
      </w:r>
    </w:p>
    <w:p w14:paraId="0E093C38" w14:textId="77777777" w:rsidR="006460AB" w:rsidRDefault="006460AB" w:rsidP="006460AB">
      <w:r w:rsidRPr="005A54C7">
        <w:rPr>
          <w:noProof/>
        </w:rPr>
        <w:drawing>
          <wp:inline distT="0" distB="0" distL="0" distR="0" wp14:anchorId="542CA5C8" wp14:editId="4FE0C61E">
            <wp:extent cx="5731510" cy="3222723"/>
            <wp:effectExtent l="0" t="0" r="2540" b="0"/>
            <wp:docPr id="39" name="Picture 39" descr="The figure includes both the current and proposed clinical algorithms" title="Figure 4: clinical algorithms of treatment of unruptured cerebral aneury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222723"/>
                    </a:xfrm>
                    <a:prstGeom prst="rect">
                      <a:avLst/>
                    </a:prstGeom>
                    <a:noFill/>
                    <a:ln>
                      <a:noFill/>
                    </a:ln>
                  </pic:spPr>
                </pic:pic>
              </a:graphicData>
            </a:graphic>
          </wp:inline>
        </w:drawing>
      </w:r>
    </w:p>
    <w:p w14:paraId="1357ED0A" w14:textId="77777777" w:rsidR="006460AB" w:rsidRPr="004B35C9" w:rsidRDefault="006460AB" w:rsidP="004B35C9">
      <w:pPr>
        <w:rPr>
          <w:rFonts w:ascii="Arial Narrow" w:hAnsi="Arial Narrow"/>
          <w:b/>
          <w:sz w:val="20"/>
        </w:rPr>
      </w:pPr>
      <w:bookmarkStart w:id="7" w:name="_Ref7693689"/>
      <w:bookmarkStart w:id="8" w:name="_Ref7693645"/>
      <w:bookmarkStart w:id="9" w:name="_Toc10710970"/>
      <w:bookmarkStart w:id="10" w:name="_Hlk10190080"/>
      <w:r w:rsidRPr="004B35C9">
        <w:rPr>
          <w:rFonts w:ascii="Arial Narrow" w:hAnsi="Arial Narrow"/>
          <w:b/>
          <w:sz w:val="20"/>
        </w:rPr>
        <w:t>Figure 1</w:t>
      </w:r>
      <w:bookmarkEnd w:id="7"/>
      <w:r w:rsidRPr="004B35C9">
        <w:rPr>
          <w:rFonts w:ascii="Arial Narrow" w:hAnsi="Arial Narrow"/>
          <w:b/>
          <w:sz w:val="20"/>
        </w:rPr>
        <w:tab/>
        <w:t>Clinical algorithm of treatment of unruptured cerebral aneurysm</w:t>
      </w:r>
      <w:bookmarkEnd w:id="8"/>
      <w:bookmarkEnd w:id="9"/>
    </w:p>
    <w:p w14:paraId="2F2D510E" w14:textId="77777777" w:rsidR="006460AB" w:rsidRPr="00F47DC7" w:rsidRDefault="006460AB" w:rsidP="006460AB">
      <w:pPr>
        <w:rPr>
          <w:rFonts w:ascii="Arial Narrow" w:hAnsi="Arial Narrow"/>
          <w:sz w:val="18"/>
          <w:szCs w:val="18"/>
        </w:rPr>
      </w:pPr>
      <w:r w:rsidRPr="00F47DC7">
        <w:rPr>
          <w:rFonts w:ascii="Arial Narrow" w:hAnsi="Arial Narrow"/>
          <w:sz w:val="18"/>
          <w:szCs w:val="18"/>
        </w:rPr>
        <w:t xml:space="preserve">Source: </w:t>
      </w:r>
      <w:r>
        <w:rPr>
          <w:rFonts w:ascii="Arial Narrow" w:hAnsi="Arial Narrow"/>
          <w:sz w:val="18"/>
          <w:szCs w:val="18"/>
        </w:rPr>
        <w:t>Figure 4 of Ratified PICO 1542.</w:t>
      </w:r>
    </w:p>
    <w:p w14:paraId="14A147A5" w14:textId="38E43BB3" w:rsidR="006460AB" w:rsidRDefault="006460AB" w:rsidP="00242873">
      <w:pPr>
        <w:spacing w:before="240" w:after="240"/>
      </w:pPr>
      <w:bookmarkStart w:id="11" w:name="_Hlk10190683"/>
      <w:bookmarkEnd w:id="10"/>
      <w:r>
        <w:t xml:space="preserve">FD represents a treatment option in a very small proportion of patients with large aneurysms that are not suitable for coiling, clipping or parent vessel occlusion and currently are managed </w:t>
      </w:r>
      <w:r>
        <w:lastRenderedPageBreak/>
        <w:t xml:space="preserve">conservatively. </w:t>
      </w:r>
      <w:bookmarkEnd w:id="11"/>
      <w:r>
        <w:t xml:space="preserve">Based on expert advice, very few aneurysm ≥10 mm are not suitable for coiling, clipping or parent vessel occlusion, and it is estimated that of these, approximately 20-30% currently unsuitable for coiling, clipping or parent vessel </w:t>
      </w:r>
      <w:r w:rsidR="005610DA">
        <w:t>occlusion can be managed by FD.</w:t>
      </w:r>
    </w:p>
    <w:p w14:paraId="44E91BC8" w14:textId="11A775CC" w:rsidR="006460AB" w:rsidRDefault="006460AB" w:rsidP="006460AB">
      <w:r>
        <w:t>PASC confirmed the proposed clinical algorithm and noted the potential importance of FD for patients who have large aneurysms (</w:t>
      </w:r>
      <w:r>
        <w:rPr>
          <w:rFonts w:cs="Calibri"/>
        </w:rPr>
        <w:t>≥</w:t>
      </w:r>
      <w:r>
        <w:t>10mm) but are not suitable for endovascular therapy or surgery (Population 3), as FD provides a treatment option other tha</w:t>
      </w:r>
      <w:r w:rsidR="005610DA">
        <w:t>n conservative management (CM).</w:t>
      </w:r>
    </w:p>
    <w:p w14:paraId="3DDBA4A5" w14:textId="77777777" w:rsidR="008A749F" w:rsidRPr="00F715D1" w:rsidRDefault="008A749F" w:rsidP="008A749F">
      <w:pPr>
        <w:pStyle w:val="Heading1"/>
      </w:pPr>
      <w:r w:rsidRPr="00F715D1">
        <w:t xml:space="preserve">Comparator </w:t>
      </w:r>
    </w:p>
    <w:p w14:paraId="1DCF7C00" w14:textId="0601043A" w:rsidR="006460AB" w:rsidRPr="00614AFF" w:rsidRDefault="006460AB" w:rsidP="00242873">
      <w:pPr>
        <w:spacing w:after="240"/>
      </w:pPr>
      <w:r w:rsidRPr="00614AFF">
        <w:t>The comparators for ea</w:t>
      </w:r>
      <w:r>
        <w:t>ch of the proposed populations</w:t>
      </w:r>
      <w:r w:rsidRPr="00614AFF">
        <w:t xml:space="preserve"> are provided in </w:t>
      </w:r>
      <w:r>
        <w:t>Table 3</w:t>
      </w:r>
      <w:r w:rsidRPr="00614AFF">
        <w:t>.</w:t>
      </w:r>
    </w:p>
    <w:p w14:paraId="3BD4C399" w14:textId="77777777" w:rsidR="006460AB" w:rsidRPr="004B35C9" w:rsidRDefault="006460AB" w:rsidP="004B35C9">
      <w:pPr>
        <w:rPr>
          <w:rFonts w:ascii="Arial Narrow" w:hAnsi="Arial Narrow"/>
          <w:b/>
          <w:sz w:val="20"/>
        </w:rPr>
      </w:pPr>
      <w:bookmarkStart w:id="12" w:name="_Ref15860445"/>
      <w:r w:rsidRPr="004B35C9">
        <w:rPr>
          <w:rFonts w:ascii="Arial Narrow" w:hAnsi="Arial Narrow"/>
          <w:b/>
          <w:sz w:val="20"/>
        </w:rPr>
        <w:t xml:space="preserve">Table </w:t>
      </w:r>
      <w:bookmarkEnd w:id="12"/>
      <w:r w:rsidRPr="004B35C9">
        <w:rPr>
          <w:rFonts w:ascii="Arial Narrow" w:hAnsi="Arial Narrow"/>
          <w:b/>
          <w:sz w:val="20"/>
        </w:rPr>
        <w:t>3</w:t>
      </w:r>
      <w:r w:rsidRPr="004B35C9">
        <w:rPr>
          <w:rFonts w:ascii="Arial Narrow" w:hAnsi="Arial Narrow"/>
          <w:b/>
          <w:sz w:val="20"/>
        </w:rPr>
        <w:tab/>
        <w:t>Comparators to FDD</w:t>
      </w:r>
    </w:p>
    <w:tbl>
      <w:tblPr>
        <w:tblStyle w:val="TableGrid"/>
        <w:tblW w:w="0" w:type="auto"/>
        <w:tblLook w:val="04A0" w:firstRow="1" w:lastRow="0" w:firstColumn="1" w:lastColumn="0" w:noHBand="0" w:noVBand="1"/>
        <w:tblCaption w:val="Comparators to FD"/>
        <w:tblDescription w:val="Comparators to FD"/>
      </w:tblPr>
      <w:tblGrid>
        <w:gridCol w:w="1064"/>
        <w:gridCol w:w="4578"/>
        <w:gridCol w:w="3374"/>
      </w:tblGrid>
      <w:tr w:rsidR="006460AB" w:rsidRPr="00614AFF" w14:paraId="1ADCFC99" w14:textId="77777777" w:rsidTr="005610DA">
        <w:trPr>
          <w:tblHeader/>
        </w:trPr>
        <w:tc>
          <w:tcPr>
            <w:tcW w:w="904" w:type="dxa"/>
            <w:tcBorders>
              <w:bottom w:val="single" w:sz="4" w:space="0" w:color="auto"/>
              <w:right w:val="nil"/>
            </w:tcBorders>
          </w:tcPr>
          <w:p w14:paraId="6C6095E0" w14:textId="77777777" w:rsidR="006460AB" w:rsidRPr="00614AFF" w:rsidRDefault="006460AB" w:rsidP="005610DA">
            <w:pPr>
              <w:keepNext/>
              <w:spacing w:before="40" w:after="40"/>
              <w:rPr>
                <w:rFonts w:ascii="Arial Narrow" w:hAnsi="Arial Narrow"/>
                <w:b/>
                <w:sz w:val="20"/>
              </w:rPr>
            </w:pPr>
            <w:r w:rsidRPr="00614AFF">
              <w:rPr>
                <w:rFonts w:ascii="Arial Narrow" w:hAnsi="Arial Narrow"/>
                <w:b/>
                <w:sz w:val="20"/>
              </w:rPr>
              <w:t xml:space="preserve">Population </w:t>
            </w:r>
          </w:p>
        </w:tc>
        <w:tc>
          <w:tcPr>
            <w:tcW w:w="4620" w:type="dxa"/>
            <w:tcBorders>
              <w:left w:val="nil"/>
              <w:bottom w:val="single" w:sz="4" w:space="0" w:color="auto"/>
            </w:tcBorders>
          </w:tcPr>
          <w:p w14:paraId="5062B5A6" w14:textId="77777777" w:rsidR="006460AB" w:rsidRPr="00614AFF" w:rsidRDefault="006460AB" w:rsidP="005610DA">
            <w:pPr>
              <w:keepNext/>
              <w:spacing w:before="40" w:after="40"/>
              <w:rPr>
                <w:rFonts w:ascii="Arial Narrow" w:hAnsi="Arial Narrow"/>
                <w:b/>
                <w:sz w:val="20"/>
              </w:rPr>
            </w:pPr>
          </w:p>
        </w:tc>
        <w:tc>
          <w:tcPr>
            <w:tcW w:w="3402" w:type="dxa"/>
            <w:vAlign w:val="center"/>
          </w:tcPr>
          <w:p w14:paraId="75DF8422" w14:textId="77777777" w:rsidR="006460AB" w:rsidRPr="00614AFF" w:rsidRDefault="006460AB" w:rsidP="005610DA">
            <w:pPr>
              <w:keepNext/>
              <w:spacing w:before="40" w:after="40"/>
              <w:rPr>
                <w:rFonts w:ascii="Arial Narrow" w:hAnsi="Arial Narrow"/>
                <w:b/>
                <w:sz w:val="20"/>
              </w:rPr>
            </w:pPr>
            <w:r w:rsidRPr="00614AFF">
              <w:rPr>
                <w:rFonts w:ascii="Arial Narrow" w:hAnsi="Arial Narrow"/>
                <w:b/>
                <w:sz w:val="20"/>
              </w:rPr>
              <w:t>Comparator</w:t>
            </w:r>
          </w:p>
        </w:tc>
      </w:tr>
      <w:tr w:rsidR="006460AB" w:rsidRPr="00614AFF" w14:paraId="3F5DBF53" w14:textId="77777777" w:rsidTr="005610DA">
        <w:trPr>
          <w:trHeight w:val="720"/>
        </w:trPr>
        <w:tc>
          <w:tcPr>
            <w:tcW w:w="904" w:type="dxa"/>
            <w:tcBorders>
              <w:bottom w:val="single" w:sz="4" w:space="0" w:color="auto"/>
            </w:tcBorders>
          </w:tcPr>
          <w:p w14:paraId="2AD330F5" w14:textId="77777777" w:rsidR="006460AB" w:rsidRPr="00614AFF" w:rsidRDefault="006460AB" w:rsidP="005610DA">
            <w:pPr>
              <w:keepNext/>
              <w:spacing w:before="40" w:after="40"/>
              <w:rPr>
                <w:rFonts w:ascii="Arial Narrow" w:hAnsi="Arial Narrow"/>
                <w:sz w:val="20"/>
              </w:rPr>
            </w:pPr>
            <w:r w:rsidRPr="00614AFF">
              <w:rPr>
                <w:rFonts w:ascii="Arial Narrow" w:hAnsi="Arial Narrow"/>
                <w:sz w:val="20"/>
              </w:rPr>
              <w:t>1</w:t>
            </w:r>
          </w:p>
        </w:tc>
        <w:tc>
          <w:tcPr>
            <w:tcW w:w="4620" w:type="dxa"/>
            <w:tcBorders>
              <w:bottom w:val="single" w:sz="4" w:space="0" w:color="auto"/>
            </w:tcBorders>
          </w:tcPr>
          <w:p w14:paraId="0309E366" w14:textId="77777777" w:rsidR="006460AB" w:rsidRPr="00614AFF" w:rsidRDefault="006460AB" w:rsidP="005610DA">
            <w:pPr>
              <w:keepNext/>
              <w:spacing w:before="40" w:after="40"/>
              <w:rPr>
                <w:rFonts w:ascii="Arial Narrow" w:hAnsi="Arial Narrow"/>
                <w:sz w:val="20"/>
              </w:rPr>
            </w:pPr>
            <w:r w:rsidRPr="00614AFF">
              <w:rPr>
                <w:rFonts w:ascii="Arial Narrow" w:hAnsi="Arial Narrow"/>
                <w:sz w:val="20"/>
              </w:rPr>
              <w:t>Patients with aneurysms (&lt;10 mm) suitable for endovascular or surgical therapy, with wide neck (&gt;4 mm), fusiform or dysplastic morphology</w:t>
            </w:r>
          </w:p>
        </w:tc>
        <w:tc>
          <w:tcPr>
            <w:tcW w:w="3402" w:type="dxa"/>
            <w:tcBorders>
              <w:bottom w:val="nil"/>
            </w:tcBorders>
          </w:tcPr>
          <w:p w14:paraId="2D6582F8" w14:textId="77777777" w:rsidR="006460AB" w:rsidRPr="00614AFF" w:rsidRDefault="006460AB" w:rsidP="005610DA">
            <w:pPr>
              <w:keepNext/>
              <w:spacing w:before="40" w:after="40"/>
              <w:rPr>
                <w:rFonts w:ascii="Arial Narrow" w:hAnsi="Arial Narrow"/>
                <w:sz w:val="20"/>
                <w:u w:val="single"/>
              </w:rPr>
            </w:pPr>
            <w:r w:rsidRPr="00614AFF">
              <w:rPr>
                <w:rFonts w:ascii="Arial Narrow" w:hAnsi="Arial Narrow"/>
                <w:sz w:val="20"/>
                <w:u w:val="single"/>
              </w:rPr>
              <w:t>Coiling ± stent (CS)</w:t>
            </w:r>
          </w:p>
          <w:p w14:paraId="2A5E1F71" w14:textId="77777777" w:rsidR="006460AB" w:rsidRPr="00614AFF" w:rsidRDefault="006460AB" w:rsidP="006460AB">
            <w:pPr>
              <w:keepNext/>
              <w:numPr>
                <w:ilvl w:val="0"/>
                <w:numId w:val="7"/>
              </w:numPr>
              <w:tabs>
                <w:tab w:val="left" w:pos="198"/>
              </w:tabs>
              <w:ind w:left="340" w:hanging="340"/>
              <w:contextualSpacing/>
              <w:rPr>
                <w:rFonts w:ascii="Arial Narrow" w:hAnsi="Arial Narrow"/>
                <w:sz w:val="20"/>
              </w:rPr>
            </w:pPr>
            <w:r w:rsidRPr="00614AFF">
              <w:rPr>
                <w:rFonts w:ascii="Arial Narrow" w:hAnsi="Arial Narrow"/>
                <w:sz w:val="20"/>
              </w:rPr>
              <w:t>Coiling alone</w:t>
            </w:r>
          </w:p>
          <w:p w14:paraId="77E8F722" w14:textId="77777777" w:rsidR="006460AB" w:rsidRPr="00614AFF" w:rsidRDefault="006460AB" w:rsidP="006460AB">
            <w:pPr>
              <w:keepNext/>
              <w:numPr>
                <w:ilvl w:val="0"/>
                <w:numId w:val="7"/>
              </w:numPr>
              <w:tabs>
                <w:tab w:val="left" w:pos="198"/>
              </w:tabs>
              <w:ind w:left="340" w:hanging="340"/>
              <w:contextualSpacing/>
              <w:rPr>
                <w:rFonts w:ascii="Arial Narrow" w:hAnsi="Arial Narrow"/>
                <w:sz w:val="20"/>
              </w:rPr>
            </w:pPr>
            <w:r w:rsidRPr="00614AFF">
              <w:rPr>
                <w:rFonts w:ascii="Arial Narrow" w:hAnsi="Arial Narrow"/>
                <w:sz w:val="20"/>
              </w:rPr>
              <w:t>Coiling + stenting</w:t>
            </w:r>
          </w:p>
        </w:tc>
      </w:tr>
      <w:tr w:rsidR="006460AB" w:rsidRPr="00614AFF" w14:paraId="2A755234" w14:textId="77777777" w:rsidTr="005610DA">
        <w:trPr>
          <w:trHeight w:val="540"/>
        </w:trPr>
        <w:tc>
          <w:tcPr>
            <w:tcW w:w="904" w:type="dxa"/>
            <w:tcBorders>
              <w:top w:val="single" w:sz="4" w:space="0" w:color="auto"/>
              <w:bottom w:val="single" w:sz="4" w:space="0" w:color="auto"/>
            </w:tcBorders>
          </w:tcPr>
          <w:p w14:paraId="0A81A341" w14:textId="77777777" w:rsidR="006460AB" w:rsidRPr="00614AFF" w:rsidRDefault="006460AB" w:rsidP="005610DA">
            <w:pPr>
              <w:keepNext/>
              <w:spacing w:before="40" w:after="40"/>
              <w:rPr>
                <w:rFonts w:ascii="Arial Narrow" w:hAnsi="Arial Narrow"/>
                <w:sz w:val="20"/>
              </w:rPr>
            </w:pPr>
            <w:r w:rsidRPr="00614AFF">
              <w:rPr>
                <w:rFonts w:ascii="Arial Narrow" w:hAnsi="Arial Narrow"/>
                <w:sz w:val="20"/>
              </w:rPr>
              <w:t>2</w:t>
            </w:r>
          </w:p>
        </w:tc>
        <w:tc>
          <w:tcPr>
            <w:tcW w:w="4620" w:type="dxa"/>
            <w:tcBorders>
              <w:top w:val="single" w:sz="4" w:space="0" w:color="auto"/>
              <w:bottom w:val="single" w:sz="4" w:space="0" w:color="auto"/>
            </w:tcBorders>
          </w:tcPr>
          <w:p w14:paraId="2A60AEC2" w14:textId="77777777" w:rsidR="006460AB" w:rsidRPr="00614AFF" w:rsidRDefault="006460AB" w:rsidP="005610DA">
            <w:pPr>
              <w:keepNext/>
              <w:spacing w:before="40" w:after="40"/>
              <w:rPr>
                <w:rFonts w:ascii="Arial Narrow" w:hAnsi="Arial Narrow"/>
                <w:sz w:val="20"/>
              </w:rPr>
            </w:pPr>
            <w:r w:rsidRPr="00614AFF">
              <w:rPr>
                <w:rFonts w:ascii="Arial Narrow" w:hAnsi="Arial Narrow"/>
                <w:sz w:val="20"/>
              </w:rPr>
              <w:t>Patients with aneurysms ≥10 mm, suitable for endovascular or surgical therapy</w:t>
            </w:r>
          </w:p>
        </w:tc>
        <w:tc>
          <w:tcPr>
            <w:tcW w:w="3402" w:type="dxa"/>
            <w:tcBorders>
              <w:top w:val="nil"/>
              <w:bottom w:val="nil"/>
            </w:tcBorders>
          </w:tcPr>
          <w:p w14:paraId="5A1D2084" w14:textId="77777777" w:rsidR="006460AB" w:rsidRPr="00614AFF" w:rsidRDefault="006460AB" w:rsidP="005610DA">
            <w:pPr>
              <w:keepNext/>
              <w:spacing w:before="40" w:after="40"/>
              <w:rPr>
                <w:rFonts w:ascii="Arial Narrow" w:hAnsi="Arial Narrow"/>
                <w:sz w:val="20"/>
                <w:highlight w:val="yellow"/>
                <w:u w:val="single"/>
              </w:rPr>
            </w:pPr>
          </w:p>
        </w:tc>
      </w:tr>
      <w:tr w:rsidR="006460AB" w:rsidRPr="00614AFF" w14:paraId="7AB02E72" w14:textId="77777777" w:rsidTr="005610DA">
        <w:tc>
          <w:tcPr>
            <w:tcW w:w="904" w:type="dxa"/>
            <w:tcBorders>
              <w:top w:val="single" w:sz="4" w:space="0" w:color="auto"/>
            </w:tcBorders>
          </w:tcPr>
          <w:p w14:paraId="71DF5E18" w14:textId="77777777" w:rsidR="006460AB" w:rsidRPr="00614AFF" w:rsidRDefault="006460AB" w:rsidP="005610DA">
            <w:pPr>
              <w:keepNext/>
              <w:spacing w:before="40" w:after="40"/>
              <w:rPr>
                <w:rFonts w:ascii="Arial Narrow" w:hAnsi="Arial Narrow"/>
                <w:sz w:val="20"/>
              </w:rPr>
            </w:pPr>
            <w:r w:rsidRPr="00614AFF">
              <w:rPr>
                <w:rFonts w:ascii="Arial Narrow" w:hAnsi="Arial Narrow"/>
                <w:sz w:val="20"/>
              </w:rPr>
              <w:t>3</w:t>
            </w:r>
          </w:p>
        </w:tc>
        <w:tc>
          <w:tcPr>
            <w:tcW w:w="4620" w:type="dxa"/>
          </w:tcPr>
          <w:p w14:paraId="2129AA51" w14:textId="77777777" w:rsidR="006460AB" w:rsidRPr="00614AFF" w:rsidRDefault="006460AB" w:rsidP="005610DA">
            <w:pPr>
              <w:keepNext/>
              <w:spacing w:before="40" w:after="40"/>
              <w:rPr>
                <w:rFonts w:ascii="Arial Narrow" w:hAnsi="Arial Narrow"/>
                <w:sz w:val="20"/>
              </w:rPr>
            </w:pPr>
            <w:r w:rsidRPr="00614AFF">
              <w:rPr>
                <w:rFonts w:ascii="Arial Narrow" w:hAnsi="Arial Narrow"/>
                <w:sz w:val="20"/>
              </w:rPr>
              <w:t>Patients with aneurysms ≥10 mm, unsuitable for coiling, clipping or parent vessel occlusion typically giant fusiform aneurysms arising at the skull base</w:t>
            </w:r>
          </w:p>
        </w:tc>
        <w:tc>
          <w:tcPr>
            <w:tcW w:w="3402" w:type="dxa"/>
          </w:tcPr>
          <w:p w14:paraId="5677B8F8" w14:textId="77777777" w:rsidR="006460AB" w:rsidRPr="00614AFF" w:rsidRDefault="006460AB" w:rsidP="005610DA">
            <w:pPr>
              <w:keepNext/>
              <w:spacing w:before="40" w:after="40"/>
              <w:rPr>
                <w:rFonts w:ascii="Arial Narrow" w:hAnsi="Arial Narrow"/>
                <w:sz w:val="20"/>
                <w:u w:val="single"/>
              </w:rPr>
            </w:pPr>
            <w:r w:rsidRPr="00614AFF">
              <w:rPr>
                <w:rFonts w:ascii="Arial Narrow" w:hAnsi="Arial Narrow"/>
                <w:sz w:val="20"/>
                <w:u w:val="single"/>
              </w:rPr>
              <w:t>Conservative management (CM)</w:t>
            </w:r>
          </w:p>
          <w:p w14:paraId="49FFF03D" w14:textId="77777777" w:rsidR="006460AB" w:rsidRPr="00614AFF" w:rsidRDefault="006460AB" w:rsidP="005610DA">
            <w:pPr>
              <w:keepNext/>
              <w:spacing w:before="40" w:after="40"/>
              <w:rPr>
                <w:rFonts w:ascii="Arial Narrow" w:hAnsi="Arial Narrow"/>
                <w:sz w:val="20"/>
              </w:rPr>
            </w:pPr>
            <w:r w:rsidRPr="00614AFF">
              <w:rPr>
                <w:rFonts w:ascii="Arial Narrow" w:hAnsi="Arial Narrow"/>
                <w:sz w:val="20"/>
              </w:rPr>
              <w:t>This population is currently not suitable for any intervention. CM consist of 12 monthly MRIs</w:t>
            </w:r>
          </w:p>
        </w:tc>
      </w:tr>
      <w:tr w:rsidR="006460AB" w:rsidRPr="00614AFF" w14:paraId="14E4072D" w14:textId="77777777" w:rsidTr="005610DA">
        <w:trPr>
          <w:trHeight w:val="795"/>
        </w:trPr>
        <w:tc>
          <w:tcPr>
            <w:tcW w:w="904" w:type="dxa"/>
            <w:tcBorders>
              <w:top w:val="single" w:sz="4" w:space="0" w:color="auto"/>
              <w:bottom w:val="single" w:sz="4" w:space="0" w:color="auto"/>
            </w:tcBorders>
          </w:tcPr>
          <w:p w14:paraId="53F2C6E5" w14:textId="77777777" w:rsidR="006460AB" w:rsidRPr="00614AFF" w:rsidRDefault="006460AB" w:rsidP="005610DA">
            <w:pPr>
              <w:keepNext/>
              <w:spacing w:before="40" w:after="40"/>
              <w:rPr>
                <w:rFonts w:ascii="Arial Narrow" w:hAnsi="Arial Narrow"/>
                <w:sz w:val="20"/>
              </w:rPr>
            </w:pPr>
            <w:r w:rsidRPr="00614AFF">
              <w:rPr>
                <w:rFonts w:ascii="Arial Narrow" w:hAnsi="Arial Narrow"/>
                <w:sz w:val="20"/>
              </w:rPr>
              <w:t>4</w:t>
            </w:r>
          </w:p>
        </w:tc>
        <w:tc>
          <w:tcPr>
            <w:tcW w:w="4620" w:type="dxa"/>
            <w:tcBorders>
              <w:top w:val="single" w:sz="4" w:space="0" w:color="auto"/>
            </w:tcBorders>
          </w:tcPr>
          <w:p w14:paraId="23C52638" w14:textId="77777777" w:rsidR="006460AB" w:rsidRPr="00614AFF" w:rsidRDefault="006460AB" w:rsidP="005610DA">
            <w:pPr>
              <w:keepNext/>
              <w:spacing w:before="40" w:after="40"/>
              <w:rPr>
                <w:rFonts w:ascii="Arial Narrow" w:hAnsi="Arial Narrow"/>
                <w:sz w:val="20"/>
              </w:rPr>
            </w:pPr>
            <w:r w:rsidRPr="00614AFF">
              <w:rPr>
                <w:rFonts w:ascii="Arial Narrow" w:hAnsi="Arial Narrow"/>
                <w:sz w:val="20"/>
              </w:rPr>
              <w:t xml:space="preserve">Patients with previously treated intracranial aneurysms of any size that have </w:t>
            </w:r>
            <w:proofErr w:type="spellStart"/>
            <w:r w:rsidRPr="00614AFF">
              <w:rPr>
                <w:rFonts w:ascii="Arial Narrow" w:hAnsi="Arial Narrow"/>
                <w:sz w:val="20"/>
              </w:rPr>
              <w:t>recanalised</w:t>
            </w:r>
            <w:proofErr w:type="spellEnd"/>
            <w:r w:rsidRPr="00614AFF">
              <w:rPr>
                <w:rFonts w:ascii="Arial Narrow" w:hAnsi="Arial Narrow"/>
                <w:sz w:val="20"/>
              </w:rPr>
              <w:t xml:space="preserve"> and require treatment</w:t>
            </w:r>
          </w:p>
        </w:tc>
        <w:tc>
          <w:tcPr>
            <w:tcW w:w="3402" w:type="dxa"/>
            <w:tcBorders>
              <w:top w:val="nil"/>
            </w:tcBorders>
          </w:tcPr>
          <w:p w14:paraId="5D5802D1" w14:textId="77777777" w:rsidR="006460AB" w:rsidRPr="00614AFF" w:rsidRDefault="006460AB" w:rsidP="005610DA">
            <w:pPr>
              <w:keepNext/>
              <w:spacing w:before="40" w:after="40"/>
              <w:rPr>
                <w:rFonts w:ascii="Arial Narrow" w:hAnsi="Arial Narrow"/>
                <w:sz w:val="20"/>
                <w:u w:val="single"/>
              </w:rPr>
            </w:pPr>
            <w:r w:rsidRPr="00614AFF">
              <w:rPr>
                <w:rFonts w:ascii="Arial Narrow" w:hAnsi="Arial Narrow"/>
                <w:sz w:val="20"/>
                <w:u w:val="single"/>
              </w:rPr>
              <w:t>Coiling ± stent (CS)</w:t>
            </w:r>
          </w:p>
          <w:p w14:paraId="1470E8EA" w14:textId="77777777" w:rsidR="006460AB" w:rsidRPr="00614AFF" w:rsidRDefault="006460AB" w:rsidP="006460AB">
            <w:pPr>
              <w:keepNext/>
              <w:numPr>
                <w:ilvl w:val="0"/>
                <w:numId w:val="7"/>
              </w:numPr>
              <w:tabs>
                <w:tab w:val="left" w:pos="198"/>
              </w:tabs>
              <w:ind w:left="340" w:hanging="340"/>
              <w:contextualSpacing/>
              <w:rPr>
                <w:rFonts w:ascii="Arial Narrow" w:hAnsi="Arial Narrow"/>
                <w:sz w:val="20"/>
              </w:rPr>
            </w:pPr>
            <w:r w:rsidRPr="00614AFF">
              <w:rPr>
                <w:rFonts w:ascii="Arial Narrow" w:hAnsi="Arial Narrow"/>
                <w:sz w:val="20"/>
              </w:rPr>
              <w:t>Coiling alone</w:t>
            </w:r>
          </w:p>
          <w:p w14:paraId="4AA41C71" w14:textId="77777777" w:rsidR="006460AB" w:rsidRPr="00614AFF" w:rsidRDefault="006460AB" w:rsidP="006460AB">
            <w:pPr>
              <w:keepNext/>
              <w:numPr>
                <w:ilvl w:val="0"/>
                <w:numId w:val="7"/>
              </w:numPr>
              <w:tabs>
                <w:tab w:val="left" w:pos="198"/>
              </w:tabs>
              <w:ind w:left="340" w:hanging="340"/>
              <w:contextualSpacing/>
              <w:rPr>
                <w:rFonts w:ascii="Arial Narrow" w:hAnsi="Arial Narrow"/>
                <w:sz w:val="20"/>
              </w:rPr>
            </w:pPr>
            <w:r w:rsidRPr="00614AFF">
              <w:rPr>
                <w:rFonts w:ascii="Arial Narrow" w:hAnsi="Arial Narrow"/>
                <w:sz w:val="20"/>
              </w:rPr>
              <w:t xml:space="preserve">Coiling + </w:t>
            </w:r>
            <w:r w:rsidRPr="00AA536F">
              <w:rPr>
                <w:rFonts w:ascii="Arial Narrow" w:hAnsi="Arial Narrow"/>
                <w:sz w:val="20"/>
              </w:rPr>
              <w:t>stenting</w:t>
            </w:r>
          </w:p>
        </w:tc>
      </w:tr>
    </w:tbl>
    <w:p w14:paraId="0AF400F3" w14:textId="77777777" w:rsidR="006460AB" w:rsidRDefault="006460AB" w:rsidP="006460AB">
      <w:pPr>
        <w:widowControl w:val="0"/>
        <w:jc w:val="both"/>
        <w:rPr>
          <w:rFonts w:ascii="Arial Narrow" w:hAnsi="Arial Narrow" w:cs="Arial"/>
          <w:snapToGrid w:val="0"/>
          <w:sz w:val="18"/>
          <w:lang w:eastAsia="en-US"/>
        </w:rPr>
      </w:pPr>
      <w:r>
        <w:rPr>
          <w:rFonts w:ascii="Arial Narrow" w:hAnsi="Arial Narrow" w:cs="Arial"/>
          <w:snapToGrid w:val="0"/>
          <w:sz w:val="18"/>
          <w:lang w:eastAsia="en-US"/>
        </w:rPr>
        <w:t xml:space="preserve">Abbreviations: </w:t>
      </w:r>
      <w:r w:rsidRPr="00614AFF">
        <w:rPr>
          <w:rFonts w:ascii="Arial Narrow" w:hAnsi="Arial Narrow" w:cs="Arial"/>
          <w:snapToGrid w:val="0"/>
          <w:sz w:val="18"/>
          <w:lang w:eastAsia="en-US"/>
        </w:rPr>
        <w:t>MRI=magnetic resonance imaging.</w:t>
      </w:r>
    </w:p>
    <w:p w14:paraId="4DD51536" w14:textId="77777777" w:rsidR="006460AB" w:rsidRPr="00614AFF" w:rsidRDefault="006460AB" w:rsidP="006460AB">
      <w:pPr>
        <w:widowControl w:val="0"/>
        <w:jc w:val="both"/>
        <w:rPr>
          <w:rFonts w:ascii="Arial Narrow" w:hAnsi="Arial Narrow" w:cs="Arial"/>
          <w:snapToGrid w:val="0"/>
          <w:sz w:val="18"/>
          <w:lang w:eastAsia="en-US"/>
        </w:rPr>
      </w:pPr>
      <w:r>
        <w:rPr>
          <w:rFonts w:ascii="Arial Narrow" w:hAnsi="Arial Narrow" w:cs="Arial"/>
          <w:snapToGrid w:val="0"/>
          <w:sz w:val="18"/>
          <w:lang w:eastAsia="en-US"/>
        </w:rPr>
        <w:t>Source: Table 14, p50 of the SBA</w:t>
      </w:r>
    </w:p>
    <w:p w14:paraId="029B9588" w14:textId="77777777" w:rsidR="008A749F" w:rsidRPr="00F715D1" w:rsidRDefault="008A749F" w:rsidP="008A749F">
      <w:pPr>
        <w:pStyle w:val="Heading1"/>
      </w:pPr>
      <w:r w:rsidRPr="00F715D1">
        <w:t>Comparative safety</w:t>
      </w:r>
    </w:p>
    <w:p w14:paraId="74ACE141" w14:textId="04C34239" w:rsidR="006460AB" w:rsidRDefault="006460AB" w:rsidP="00242873">
      <w:pPr>
        <w:spacing w:after="240"/>
      </w:pPr>
      <w:r>
        <w:t xml:space="preserve">The submission comprised of </w:t>
      </w:r>
      <w:r w:rsidR="006321CE">
        <w:t>ten (</w:t>
      </w:r>
      <w:r>
        <w:t>10</w:t>
      </w:r>
      <w:r w:rsidR="006321CE">
        <w:t>)</w:t>
      </w:r>
      <w:r>
        <w:t xml:space="preserve"> comparative (one did not satisfy criteria to be categorised as </w:t>
      </w:r>
      <w:r w:rsidRPr="00015A24">
        <w:t xml:space="preserve">representing a single nominated population) and </w:t>
      </w:r>
      <w:r w:rsidR="006321CE">
        <w:t>ten (</w:t>
      </w:r>
      <w:r w:rsidRPr="00015A24">
        <w:t>10</w:t>
      </w:r>
      <w:r w:rsidR="006321CE">
        <w:t>)</w:t>
      </w:r>
      <w:r w:rsidRPr="00015A24">
        <w:t xml:space="preserve"> non-comparative studies (two</w:t>
      </w:r>
      <w:r w:rsidR="006321CE">
        <w:t xml:space="preserve"> (2)</w:t>
      </w:r>
      <w:r w:rsidRPr="00015A24">
        <w:t xml:space="preserve"> studies provided details relevant to both Populations </w:t>
      </w:r>
      <w:r w:rsidR="005610DA">
        <w:t>[</w:t>
      </w:r>
      <w:r w:rsidRPr="00015A24">
        <w:t>3</w:t>
      </w:r>
      <w:r w:rsidR="005610DA">
        <w:t>]</w:t>
      </w:r>
      <w:r w:rsidRPr="00015A24">
        <w:t xml:space="preserve"> and </w:t>
      </w:r>
      <w:r w:rsidR="005610DA">
        <w:t>[</w:t>
      </w:r>
      <w:r w:rsidRPr="00015A24">
        <w:t>4</w:t>
      </w:r>
      <w:r w:rsidR="005610DA">
        <w:t>]</w:t>
      </w:r>
      <w:r w:rsidRPr="00015A24">
        <w:t>).</w:t>
      </w:r>
    </w:p>
    <w:p w14:paraId="2DF67129" w14:textId="296F67CD" w:rsidR="006321CE" w:rsidRPr="00242873" w:rsidRDefault="006460AB" w:rsidP="00242873">
      <w:r w:rsidRPr="0098222D">
        <w:t xml:space="preserve">A list of the included and excluded </w:t>
      </w:r>
      <w:r>
        <w:t>comparative studies</w:t>
      </w:r>
      <w:r w:rsidRPr="0098222D">
        <w:t xml:space="preserve"> (including reasons for exclusion) is presented in </w:t>
      </w:r>
      <w:r>
        <w:t>Table 4</w:t>
      </w:r>
      <w:r w:rsidRPr="00E717BC">
        <w:t>.</w:t>
      </w:r>
      <w:r>
        <w:t xml:space="preserve"> Of the 20 potentially relevant studies, a total of </w:t>
      </w:r>
      <w:r w:rsidR="006321CE">
        <w:t>ten (</w:t>
      </w:r>
      <w:r>
        <w:t>10</w:t>
      </w:r>
      <w:r w:rsidR="006321CE">
        <w:t>)</w:t>
      </w:r>
      <w:r>
        <w:t xml:space="preserve"> comparative studies were selected for inclusion.</w:t>
      </w:r>
      <w:r w:rsidR="006321CE">
        <w:br w:type="page"/>
      </w:r>
    </w:p>
    <w:p w14:paraId="1E482AEC" w14:textId="64A1CB05" w:rsidR="006460AB" w:rsidRPr="004B35C9" w:rsidRDefault="006460AB" w:rsidP="004B35C9">
      <w:pPr>
        <w:rPr>
          <w:rFonts w:ascii="Arial Narrow" w:hAnsi="Arial Narrow"/>
          <w:b/>
          <w:sz w:val="20"/>
        </w:rPr>
      </w:pPr>
      <w:r w:rsidRPr="004B35C9">
        <w:rPr>
          <w:rFonts w:ascii="Arial Narrow" w:hAnsi="Arial Narrow"/>
          <w:b/>
          <w:sz w:val="20"/>
        </w:rPr>
        <w:lastRenderedPageBreak/>
        <w:t>Table 4: List of comparative studies included or excluded by submission</w:t>
      </w:r>
    </w:p>
    <w:tbl>
      <w:tblPr>
        <w:tblStyle w:val="TableGrid"/>
        <w:tblW w:w="0" w:type="auto"/>
        <w:tblInd w:w="-113" w:type="dxa"/>
        <w:tblLook w:val="04A0" w:firstRow="1" w:lastRow="0" w:firstColumn="1" w:lastColumn="0" w:noHBand="0" w:noVBand="1"/>
        <w:tblCaption w:val="Master list of identified comparative studies"/>
        <w:tblDescription w:val="Master list of identified comparative studies"/>
      </w:tblPr>
      <w:tblGrid>
        <w:gridCol w:w="1242"/>
        <w:gridCol w:w="6194"/>
        <w:gridCol w:w="1693"/>
      </w:tblGrid>
      <w:tr w:rsidR="006460AB" w:rsidRPr="00691872" w14:paraId="61801F1F" w14:textId="77777777" w:rsidTr="005610DA">
        <w:trPr>
          <w:tblHeader/>
        </w:trPr>
        <w:tc>
          <w:tcPr>
            <w:tcW w:w="1242" w:type="dxa"/>
            <w:tcBorders>
              <w:bottom w:val="single" w:sz="4" w:space="0" w:color="auto"/>
            </w:tcBorders>
            <w:vAlign w:val="center"/>
          </w:tcPr>
          <w:p w14:paraId="51A35A67" w14:textId="77777777" w:rsidR="006460AB" w:rsidRPr="00691872" w:rsidRDefault="006460AB" w:rsidP="005610DA">
            <w:pPr>
              <w:rPr>
                <w:rFonts w:ascii="Arial Narrow" w:hAnsi="Arial Narrow"/>
                <w:b/>
                <w:sz w:val="20"/>
              </w:rPr>
            </w:pPr>
            <w:r w:rsidRPr="00691872">
              <w:rPr>
                <w:rFonts w:ascii="Arial Narrow" w:hAnsi="Arial Narrow"/>
                <w:b/>
                <w:sz w:val="20"/>
              </w:rPr>
              <w:t>Author (year)</w:t>
            </w:r>
          </w:p>
        </w:tc>
        <w:tc>
          <w:tcPr>
            <w:tcW w:w="6194" w:type="dxa"/>
            <w:tcBorders>
              <w:bottom w:val="single" w:sz="4" w:space="0" w:color="auto"/>
            </w:tcBorders>
            <w:vAlign w:val="center"/>
          </w:tcPr>
          <w:p w14:paraId="02D003E1" w14:textId="77777777" w:rsidR="006460AB" w:rsidRPr="00691872" w:rsidRDefault="006460AB" w:rsidP="005610DA">
            <w:pPr>
              <w:rPr>
                <w:rFonts w:ascii="Arial Narrow" w:hAnsi="Arial Narrow"/>
                <w:b/>
                <w:sz w:val="20"/>
              </w:rPr>
            </w:pPr>
            <w:r w:rsidRPr="00691872">
              <w:rPr>
                <w:rFonts w:ascii="Arial Narrow" w:hAnsi="Arial Narrow"/>
                <w:b/>
                <w:sz w:val="20"/>
              </w:rPr>
              <w:t>Citation</w:t>
            </w:r>
          </w:p>
        </w:tc>
        <w:tc>
          <w:tcPr>
            <w:tcW w:w="1693" w:type="dxa"/>
            <w:tcBorders>
              <w:bottom w:val="single" w:sz="4" w:space="0" w:color="auto"/>
            </w:tcBorders>
            <w:vAlign w:val="center"/>
          </w:tcPr>
          <w:p w14:paraId="013175C8" w14:textId="77777777" w:rsidR="006460AB" w:rsidRPr="00691872" w:rsidRDefault="006460AB" w:rsidP="005610DA">
            <w:pPr>
              <w:rPr>
                <w:rFonts w:ascii="Arial Narrow" w:hAnsi="Arial Narrow"/>
                <w:b/>
                <w:sz w:val="20"/>
              </w:rPr>
            </w:pPr>
            <w:r w:rsidRPr="00691872">
              <w:rPr>
                <w:rFonts w:ascii="Arial Narrow" w:hAnsi="Arial Narrow"/>
                <w:b/>
                <w:sz w:val="20"/>
              </w:rPr>
              <w:t>Included/excluded, reason</w:t>
            </w:r>
          </w:p>
        </w:tc>
      </w:tr>
      <w:tr w:rsidR="006460AB" w:rsidRPr="00691872" w14:paraId="69716F90" w14:textId="77777777" w:rsidTr="005610DA">
        <w:tc>
          <w:tcPr>
            <w:tcW w:w="12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B36D235" w14:textId="77777777" w:rsidR="006460AB" w:rsidRPr="00691872" w:rsidRDefault="006460AB" w:rsidP="005610DA">
            <w:pPr>
              <w:rPr>
                <w:rFonts w:ascii="Arial Narrow" w:hAnsi="Arial Narrow"/>
                <w:b/>
                <w:sz w:val="20"/>
              </w:rPr>
            </w:pPr>
            <w:r w:rsidRPr="00691872">
              <w:rPr>
                <w:rFonts w:ascii="Arial Narrow" w:hAnsi="Arial Narrow"/>
                <w:b/>
                <w:sz w:val="20"/>
              </w:rPr>
              <w:t>Included</w:t>
            </w:r>
          </w:p>
        </w:tc>
        <w:tc>
          <w:tcPr>
            <w:tcW w:w="6194" w:type="dxa"/>
            <w:tcBorders>
              <w:top w:val="single" w:sz="4" w:space="0" w:color="auto"/>
              <w:left w:val="nil"/>
              <w:bottom w:val="single" w:sz="4" w:space="0" w:color="auto"/>
              <w:right w:val="nil"/>
            </w:tcBorders>
            <w:shd w:val="clear" w:color="auto" w:fill="D9D9D9" w:themeFill="background1" w:themeFillShade="D9"/>
          </w:tcPr>
          <w:p w14:paraId="512AFBD7" w14:textId="77777777" w:rsidR="006460AB" w:rsidRPr="00691872" w:rsidRDefault="006460AB" w:rsidP="005610DA">
            <w:pPr>
              <w:rPr>
                <w:rFonts w:ascii="Arial Narrow" w:hAnsi="Arial Narrow"/>
                <w:b/>
                <w:sz w:val="20"/>
              </w:rPr>
            </w:pPr>
          </w:p>
        </w:tc>
        <w:tc>
          <w:tcPr>
            <w:tcW w:w="16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90C56F8" w14:textId="77777777" w:rsidR="006460AB" w:rsidRPr="00691872" w:rsidRDefault="006460AB" w:rsidP="005610DA">
            <w:pPr>
              <w:rPr>
                <w:rFonts w:ascii="Arial Narrow" w:hAnsi="Arial Narrow"/>
                <w:b/>
                <w:sz w:val="20"/>
              </w:rPr>
            </w:pPr>
          </w:p>
        </w:tc>
      </w:tr>
      <w:tr w:rsidR="006460AB" w:rsidRPr="00691872" w14:paraId="2952A39D" w14:textId="77777777" w:rsidTr="005610DA">
        <w:tc>
          <w:tcPr>
            <w:tcW w:w="1242" w:type="dxa"/>
            <w:vAlign w:val="center"/>
          </w:tcPr>
          <w:p w14:paraId="3FD1D0BD" w14:textId="77777777" w:rsidR="006460AB" w:rsidRPr="00691872" w:rsidRDefault="006460AB" w:rsidP="005610DA">
            <w:pPr>
              <w:rPr>
                <w:rFonts w:ascii="Arial Narrow" w:hAnsi="Arial Narrow"/>
                <w:sz w:val="20"/>
              </w:rPr>
            </w:pPr>
            <w:proofErr w:type="spellStart"/>
            <w:r w:rsidRPr="00691872">
              <w:rPr>
                <w:rFonts w:ascii="Arial Narrow" w:hAnsi="Arial Narrow"/>
                <w:sz w:val="20"/>
              </w:rPr>
              <w:t>Chalouhi</w:t>
            </w:r>
            <w:proofErr w:type="spellEnd"/>
            <w:r w:rsidRPr="00691872">
              <w:rPr>
                <w:rFonts w:ascii="Arial Narrow" w:hAnsi="Arial Narrow"/>
                <w:sz w:val="20"/>
              </w:rPr>
              <w:t xml:space="preserve"> 2013b</w:t>
            </w:r>
          </w:p>
        </w:tc>
        <w:tc>
          <w:tcPr>
            <w:tcW w:w="6194" w:type="dxa"/>
          </w:tcPr>
          <w:p w14:paraId="6F41ABF0" w14:textId="77777777" w:rsidR="006460AB" w:rsidRPr="00691872" w:rsidRDefault="006460AB" w:rsidP="005610DA">
            <w:pPr>
              <w:rPr>
                <w:rFonts w:ascii="Arial Narrow" w:hAnsi="Arial Narrow"/>
                <w:sz w:val="20"/>
              </w:rPr>
            </w:pPr>
            <w:proofErr w:type="spellStart"/>
            <w:r w:rsidRPr="00691872">
              <w:rPr>
                <w:rFonts w:ascii="Arial Narrow" w:hAnsi="Arial Narrow"/>
                <w:sz w:val="20"/>
              </w:rPr>
              <w:t>Chalouhi</w:t>
            </w:r>
            <w:proofErr w:type="spellEnd"/>
            <w:r w:rsidRPr="00691872">
              <w:rPr>
                <w:rFonts w:ascii="Arial Narrow" w:hAnsi="Arial Narrow"/>
                <w:sz w:val="20"/>
              </w:rPr>
              <w:t xml:space="preserve"> N, </w:t>
            </w:r>
            <w:proofErr w:type="spellStart"/>
            <w:r w:rsidRPr="00691872">
              <w:rPr>
                <w:rFonts w:ascii="Arial Narrow" w:hAnsi="Arial Narrow"/>
                <w:sz w:val="20"/>
              </w:rPr>
              <w:t>Tjoumakaris</w:t>
            </w:r>
            <w:proofErr w:type="spellEnd"/>
            <w:r w:rsidRPr="00691872">
              <w:rPr>
                <w:rFonts w:ascii="Arial Narrow" w:hAnsi="Arial Narrow"/>
                <w:sz w:val="20"/>
              </w:rPr>
              <w:t xml:space="preserve"> S, Starke RM, Gonzalez LF, </w:t>
            </w:r>
            <w:proofErr w:type="spellStart"/>
            <w:r w:rsidRPr="00691872">
              <w:rPr>
                <w:rFonts w:ascii="Arial Narrow" w:hAnsi="Arial Narrow"/>
                <w:sz w:val="20"/>
              </w:rPr>
              <w:t>Randazzo</w:t>
            </w:r>
            <w:proofErr w:type="spellEnd"/>
            <w:r w:rsidRPr="00691872">
              <w:rPr>
                <w:rFonts w:ascii="Arial Narrow" w:hAnsi="Arial Narrow"/>
                <w:sz w:val="20"/>
              </w:rPr>
              <w:t xml:space="preserve"> C, Hasan D, et al. Comparison of flow diversion and coiling in large unruptured intracranial saccular aneurysms. Stroke. 2013B;44(8):2150-4</w:t>
            </w:r>
          </w:p>
        </w:tc>
        <w:tc>
          <w:tcPr>
            <w:tcW w:w="1693" w:type="dxa"/>
            <w:vAlign w:val="center"/>
          </w:tcPr>
          <w:p w14:paraId="456E08C1" w14:textId="77777777" w:rsidR="006460AB" w:rsidRPr="00691872" w:rsidRDefault="006460AB" w:rsidP="005610DA">
            <w:pPr>
              <w:rPr>
                <w:rFonts w:ascii="Arial Narrow" w:hAnsi="Arial Narrow"/>
                <w:sz w:val="20"/>
              </w:rPr>
            </w:pPr>
            <w:r w:rsidRPr="00691872">
              <w:rPr>
                <w:rFonts w:ascii="Arial Narrow" w:hAnsi="Arial Narrow"/>
                <w:sz w:val="20"/>
              </w:rPr>
              <w:t>Included</w:t>
            </w:r>
          </w:p>
        </w:tc>
      </w:tr>
      <w:tr w:rsidR="006460AB" w:rsidRPr="00691872" w14:paraId="269D6622" w14:textId="77777777" w:rsidTr="005610DA">
        <w:tc>
          <w:tcPr>
            <w:tcW w:w="1242" w:type="dxa"/>
            <w:vAlign w:val="center"/>
          </w:tcPr>
          <w:p w14:paraId="625B8D28" w14:textId="77777777" w:rsidR="006460AB" w:rsidRPr="00691872" w:rsidRDefault="006460AB" w:rsidP="005610DA">
            <w:pPr>
              <w:rPr>
                <w:rFonts w:ascii="Arial Narrow" w:hAnsi="Arial Narrow"/>
                <w:sz w:val="20"/>
              </w:rPr>
            </w:pPr>
            <w:proofErr w:type="spellStart"/>
            <w:r w:rsidRPr="00691872">
              <w:rPr>
                <w:rFonts w:ascii="Arial Narrow" w:hAnsi="Arial Narrow"/>
                <w:sz w:val="20"/>
              </w:rPr>
              <w:t>Chalouhi</w:t>
            </w:r>
            <w:proofErr w:type="spellEnd"/>
            <w:r w:rsidRPr="00691872">
              <w:rPr>
                <w:rFonts w:ascii="Arial Narrow" w:hAnsi="Arial Narrow"/>
                <w:sz w:val="20"/>
              </w:rPr>
              <w:t xml:space="preserve"> 2014</w:t>
            </w:r>
          </w:p>
        </w:tc>
        <w:tc>
          <w:tcPr>
            <w:tcW w:w="6194" w:type="dxa"/>
          </w:tcPr>
          <w:p w14:paraId="6D43308A" w14:textId="77777777" w:rsidR="006460AB" w:rsidRPr="00691872" w:rsidRDefault="006460AB" w:rsidP="005610DA">
            <w:pPr>
              <w:rPr>
                <w:rFonts w:ascii="Arial Narrow" w:hAnsi="Arial Narrow"/>
                <w:sz w:val="20"/>
              </w:rPr>
            </w:pPr>
            <w:proofErr w:type="spellStart"/>
            <w:r w:rsidRPr="00691872">
              <w:rPr>
                <w:rFonts w:ascii="Arial Narrow" w:hAnsi="Arial Narrow"/>
                <w:sz w:val="20"/>
              </w:rPr>
              <w:t>Chalouhi</w:t>
            </w:r>
            <w:proofErr w:type="spellEnd"/>
            <w:r w:rsidRPr="00691872">
              <w:rPr>
                <w:rFonts w:ascii="Arial Narrow" w:hAnsi="Arial Narrow"/>
                <w:sz w:val="20"/>
              </w:rPr>
              <w:t xml:space="preserve"> N, Starke RM, Yang S, </w:t>
            </w:r>
            <w:proofErr w:type="spellStart"/>
            <w:r w:rsidRPr="00691872">
              <w:rPr>
                <w:rFonts w:ascii="Arial Narrow" w:hAnsi="Arial Narrow"/>
                <w:sz w:val="20"/>
              </w:rPr>
              <w:t>Bovenzi</w:t>
            </w:r>
            <w:proofErr w:type="spellEnd"/>
            <w:r w:rsidRPr="00691872">
              <w:rPr>
                <w:rFonts w:ascii="Arial Narrow" w:hAnsi="Arial Narrow"/>
                <w:sz w:val="20"/>
              </w:rPr>
              <w:t xml:space="preserve"> CD, </w:t>
            </w:r>
            <w:proofErr w:type="spellStart"/>
            <w:r w:rsidRPr="00691872">
              <w:rPr>
                <w:rFonts w:ascii="Arial Narrow" w:hAnsi="Arial Narrow"/>
                <w:sz w:val="20"/>
              </w:rPr>
              <w:t>Tjoumakaris</w:t>
            </w:r>
            <w:proofErr w:type="spellEnd"/>
            <w:r w:rsidRPr="00691872">
              <w:rPr>
                <w:rFonts w:ascii="Arial Narrow" w:hAnsi="Arial Narrow"/>
                <w:sz w:val="20"/>
              </w:rPr>
              <w:t xml:space="preserve"> S, Hasan D, et al. Extending the indications of flow diversion to small, unruptured, saccular aneurysms of the anterior circulation. Stroke. 2014</w:t>
            </w:r>
            <w:proofErr w:type="gramStart"/>
            <w:r w:rsidRPr="00691872">
              <w:rPr>
                <w:rFonts w:ascii="Arial Narrow" w:hAnsi="Arial Narrow"/>
                <w:sz w:val="20"/>
              </w:rPr>
              <w:t>;45</w:t>
            </w:r>
            <w:proofErr w:type="gramEnd"/>
            <w:r w:rsidRPr="00691872">
              <w:rPr>
                <w:rFonts w:ascii="Arial Narrow" w:hAnsi="Arial Narrow"/>
                <w:sz w:val="20"/>
              </w:rPr>
              <w:t>(1):54-8.</w:t>
            </w:r>
          </w:p>
        </w:tc>
        <w:tc>
          <w:tcPr>
            <w:tcW w:w="1693" w:type="dxa"/>
            <w:vAlign w:val="center"/>
          </w:tcPr>
          <w:p w14:paraId="45AA0562" w14:textId="77777777" w:rsidR="006460AB" w:rsidRPr="00691872" w:rsidRDefault="006460AB" w:rsidP="005610DA">
            <w:pPr>
              <w:rPr>
                <w:rFonts w:ascii="Arial Narrow" w:hAnsi="Arial Narrow"/>
                <w:sz w:val="20"/>
              </w:rPr>
            </w:pPr>
            <w:r w:rsidRPr="00691872">
              <w:rPr>
                <w:rFonts w:ascii="Arial Narrow" w:hAnsi="Arial Narrow"/>
                <w:sz w:val="20"/>
              </w:rPr>
              <w:t>Included</w:t>
            </w:r>
          </w:p>
        </w:tc>
      </w:tr>
      <w:tr w:rsidR="006460AB" w:rsidRPr="00691872" w14:paraId="1ED4B963" w14:textId="77777777" w:rsidTr="005610DA">
        <w:tc>
          <w:tcPr>
            <w:tcW w:w="1242" w:type="dxa"/>
            <w:vAlign w:val="center"/>
          </w:tcPr>
          <w:p w14:paraId="7F63DE8B" w14:textId="77777777" w:rsidR="006460AB" w:rsidRPr="00691872" w:rsidRDefault="006460AB" w:rsidP="005610DA">
            <w:pPr>
              <w:rPr>
                <w:rFonts w:ascii="Arial Narrow" w:hAnsi="Arial Narrow"/>
                <w:sz w:val="20"/>
              </w:rPr>
            </w:pPr>
            <w:r w:rsidRPr="00691872">
              <w:rPr>
                <w:rFonts w:ascii="Arial Narrow" w:hAnsi="Arial Narrow"/>
                <w:sz w:val="20"/>
              </w:rPr>
              <w:t>Di Maria 2015</w:t>
            </w:r>
          </w:p>
        </w:tc>
        <w:tc>
          <w:tcPr>
            <w:tcW w:w="6194" w:type="dxa"/>
          </w:tcPr>
          <w:p w14:paraId="355D838A" w14:textId="77777777" w:rsidR="006460AB" w:rsidRPr="00691872" w:rsidRDefault="006460AB" w:rsidP="005610DA">
            <w:pPr>
              <w:rPr>
                <w:rFonts w:ascii="Arial Narrow" w:hAnsi="Arial Narrow"/>
                <w:sz w:val="20"/>
              </w:rPr>
            </w:pPr>
            <w:r w:rsidRPr="00691872">
              <w:rPr>
                <w:rFonts w:ascii="Arial Narrow" w:hAnsi="Arial Narrow"/>
                <w:sz w:val="20"/>
              </w:rPr>
              <w:t xml:space="preserve">Di Maria et al. 2015. Flow Diversion versus Standard Endovascular Techniques for the Treatment of Unruptured Carotid-Ophthalmic Aneurysms. AJNR Am J </w:t>
            </w:r>
            <w:proofErr w:type="spellStart"/>
            <w:r w:rsidRPr="00691872">
              <w:rPr>
                <w:rFonts w:ascii="Arial Narrow" w:hAnsi="Arial Narrow"/>
                <w:sz w:val="20"/>
              </w:rPr>
              <w:t>Neuroradiol</w:t>
            </w:r>
            <w:proofErr w:type="spellEnd"/>
            <w:r w:rsidRPr="00691872">
              <w:rPr>
                <w:rFonts w:ascii="Arial Narrow" w:hAnsi="Arial Narrow"/>
                <w:sz w:val="20"/>
              </w:rPr>
              <w:t xml:space="preserve"> 36:2325–30</w:t>
            </w:r>
          </w:p>
        </w:tc>
        <w:tc>
          <w:tcPr>
            <w:tcW w:w="1693" w:type="dxa"/>
            <w:vAlign w:val="center"/>
          </w:tcPr>
          <w:p w14:paraId="5F8C2783" w14:textId="77777777" w:rsidR="006460AB" w:rsidRPr="00691872" w:rsidRDefault="006460AB" w:rsidP="005610DA">
            <w:pPr>
              <w:rPr>
                <w:rFonts w:ascii="Arial Narrow" w:hAnsi="Arial Narrow"/>
                <w:sz w:val="20"/>
              </w:rPr>
            </w:pPr>
            <w:r w:rsidRPr="00691872">
              <w:rPr>
                <w:rFonts w:ascii="Arial Narrow" w:hAnsi="Arial Narrow"/>
                <w:sz w:val="20"/>
              </w:rPr>
              <w:t>Included</w:t>
            </w:r>
          </w:p>
        </w:tc>
      </w:tr>
      <w:tr w:rsidR="006460AB" w:rsidRPr="00691872" w14:paraId="3C9B48DC" w14:textId="77777777" w:rsidTr="005610DA">
        <w:tc>
          <w:tcPr>
            <w:tcW w:w="1242" w:type="dxa"/>
            <w:vAlign w:val="center"/>
          </w:tcPr>
          <w:p w14:paraId="61D8DAE9" w14:textId="77777777" w:rsidR="006460AB" w:rsidRPr="00691872" w:rsidRDefault="006460AB" w:rsidP="005610DA">
            <w:pPr>
              <w:rPr>
                <w:rFonts w:ascii="Arial Narrow" w:hAnsi="Arial Narrow"/>
                <w:sz w:val="20"/>
              </w:rPr>
            </w:pPr>
            <w:r w:rsidRPr="00691872">
              <w:rPr>
                <w:rFonts w:ascii="Arial Narrow" w:hAnsi="Arial Narrow"/>
                <w:sz w:val="20"/>
              </w:rPr>
              <w:t>Durst 2016</w:t>
            </w:r>
          </w:p>
        </w:tc>
        <w:tc>
          <w:tcPr>
            <w:tcW w:w="6194" w:type="dxa"/>
          </w:tcPr>
          <w:p w14:paraId="57531594" w14:textId="77777777" w:rsidR="006460AB" w:rsidRPr="00691872" w:rsidRDefault="006460AB" w:rsidP="005610DA">
            <w:pPr>
              <w:rPr>
                <w:rFonts w:ascii="Arial Narrow" w:hAnsi="Arial Narrow"/>
                <w:sz w:val="20"/>
              </w:rPr>
            </w:pPr>
            <w:r w:rsidRPr="00691872">
              <w:rPr>
                <w:rFonts w:ascii="Arial Narrow" w:hAnsi="Arial Narrow"/>
                <w:sz w:val="20"/>
              </w:rPr>
              <w:t xml:space="preserve">Durst C, Starke R, </w:t>
            </w:r>
            <w:proofErr w:type="spellStart"/>
            <w:r w:rsidRPr="00691872">
              <w:rPr>
                <w:rFonts w:ascii="Arial Narrow" w:hAnsi="Arial Narrow"/>
                <w:sz w:val="20"/>
              </w:rPr>
              <w:t>Gingras</w:t>
            </w:r>
            <w:proofErr w:type="spellEnd"/>
            <w:r w:rsidRPr="00691872">
              <w:rPr>
                <w:rFonts w:ascii="Arial Narrow" w:hAnsi="Arial Narrow"/>
                <w:sz w:val="20"/>
              </w:rPr>
              <w:t xml:space="preserve"> J, Hixson H, Liu K, Crowley R, et al. Single </w:t>
            </w:r>
            <w:proofErr w:type="spellStart"/>
            <w:r w:rsidRPr="00691872">
              <w:rPr>
                <w:rFonts w:ascii="Arial Narrow" w:hAnsi="Arial Narrow"/>
                <w:sz w:val="20"/>
              </w:rPr>
              <w:t>center</w:t>
            </w:r>
            <w:proofErr w:type="spellEnd"/>
            <w:r w:rsidRPr="00691872">
              <w:rPr>
                <w:rFonts w:ascii="Arial Narrow" w:hAnsi="Arial Narrow"/>
                <w:sz w:val="20"/>
              </w:rPr>
              <w:t xml:space="preserve"> comparison of ophthalmic aneurysm treatment using pipeline embolization device versus coil embolization. Journal of </w:t>
            </w:r>
            <w:proofErr w:type="spellStart"/>
            <w:r w:rsidRPr="00691872">
              <w:rPr>
                <w:rFonts w:ascii="Arial Narrow" w:hAnsi="Arial Narrow"/>
                <w:sz w:val="20"/>
              </w:rPr>
              <w:t>NeuroInterventional</w:t>
            </w:r>
            <w:proofErr w:type="spellEnd"/>
            <w:r w:rsidRPr="00691872">
              <w:rPr>
                <w:rFonts w:ascii="Arial Narrow" w:hAnsi="Arial Narrow"/>
                <w:sz w:val="20"/>
              </w:rPr>
              <w:t xml:space="preserve"> Surgery. 2014</w:t>
            </w:r>
            <w:proofErr w:type="gramStart"/>
            <w:r w:rsidRPr="00691872">
              <w:rPr>
                <w:rFonts w:ascii="Arial Narrow" w:hAnsi="Arial Narrow"/>
                <w:sz w:val="20"/>
              </w:rPr>
              <w:t>;6</w:t>
            </w:r>
            <w:proofErr w:type="gramEnd"/>
            <w:r w:rsidRPr="00691872">
              <w:rPr>
                <w:rFonts w:ascii="Arial Narrow" w:hAnsi="Arial Narrow"/>
                <w:sz w:val="20"/>
              </w:rPr>
              <w:t>: A54-A5.</w:t>
            </w:r>
          </w:p>
        </w:tc>
        <w:tc>
          <w:tcPr>
            <w:tcW w:w="1693" w:type="dxa"/>
            <w:vAlign w:val="center"/>
          </w:tcPr>
          <w:p w14:paraId="296FAF0D" w14:textId="77777777" w:rsidR="006460AB" w:rsidRPr="00691872" w:rsidRDefault="006460AB" w:rsidP="005610DA">
            <w:pPr>
              <w:rPr>
                <w:rFonts w:ascii="Arial Narrow" w:hAnsi="Arial Narrow"/>
                <w:sz w:val="20"/>
              </w:rPr>
            </w:pPr>
            <w:r w:rsidRPr="00691872">
              <w:rPr>
                <w:rFonts w:ascii="Arial Narrow" w:hAnsi="Arial Narrow"/>
                <w:sz w:val="20"/>
              </w:rPr>
              <w:t>Included</w:t>
            </w:r>
          </w:p>
        </w:tc>
      </w:tr>
      <w:tr w:rsidR="006460AB" w:rsidRPr="00691872" w14:paraId="00415A75" w14:textId="77777777" w:rsidTr="005610DA">
        <w:tc>
          <w:tcPr>
            <w:tcW w:w="1242" w:type="dxa"/>
            <w:vAlign w:val="center"/>
          </w:tcPr>
          <w:p w14:paraId="2C46F02C" w14:textId="77777777" w:rsidR="006460AB" w:rsidRPr="00691872" w:rsidRDefault="006460AB" w:rsidP="005610DA">
            <w:pPr>
              <w:rPr>
                <w:rFonts w:ascii="Arial Narrow" w:hAnsi="Arial Narrow"/>
                <w:sz w:val="20"/>
              </w:rPr>
            </w:pPr>
            <w:r w:rsidRPr="00691872">
              <w:rPr>
                <w:rFonts w:ascii="Arial Narrow" w:hAnsi="Arial Narrow"/>
                <w:sz w:val="20"/>
              </w:rPr>
              <w:t>Kim 2014</w:t>
            </w:r>
          </w:p>
        </w:tc>
        <w:tc>
          <w:tcPr>
            <w:tcW w:w="6194" w:type="dxa"/>
          </w:tcPr>
          <w:p w14:paraId="38789011" w14:textId="77777777" w:rsidR="006460AB" w:rsidRPr="00691872" w:rsidRDefault="006460AB" w:rsidP="005610DA">
            <w:pPr>
              <w:rPr>
                <w:rFonts w:ascii="Arial Narrow" w:hAnsi="Arial Narrow"/>
                <w:sz w:val="20"/>
              </w:rPr>
            </w:pPr>
            <w:r w:rsidRPr="00691872">
              <w:rPr>
                <w:rFonts w:ascii="Arial Narrow" w:hAnsi="Arial Narrow"/>
                <w:sz w:val="20"/>
              </w:rPr>
              <w:t xml:space="preserve">Kim et al 2014. Multimodality Treatment of Complex Unruptured Cavernous and </w:t>
            </w:r>
            <w:proofErr w:type="spellStart"/>
            <w:r w:rsidRPr="00691872">
              <w:rPr>
                <w:rFonts w:ascii="Arial Narrow" w:hAnsi="Arial Narrow"/>
                <w:sz w:val="20"/>
              </w:rPr>
              <w:t>Paraclinoid</w:t>
            </w:r>
            <w:proofErr w:type="spellEnd"/>
            <w:r w:rsidRPr="00691872">
              <w:rPr>
                <w:rFonts w:ascii="Arial Narrow" w:hAnsi="Arial Narrow"/>
                <w:sz w:val="20"/>
              </w:rPr>
              <w:t xml:space="preserve"> Aneurysms. Neurosurgery 74:51–61.</w:t>
            </w:r>
          </w:p>
        </w:tc>
        <w:tc>
          <w:tcPr>
            <w:tcW w:w="1693" w:type="dxa"/>
            <w:vAlign w:val="center"/>
          </w:tcPr>
          <w:p w14:paraId="043BABFA" w14:textId="77777777" w:rsidR="006460AB" w:rsidRPr="00691872" w:rsidRDefault="006460AB" w:rsidP="005610DA">
            <w:pPr>
              <w:rPr>
                <w:rFonts w:ascii="Arial Narrow" w:hAnsi="Arial Narrow"/>
                <w:sz w:val="20"/>
              </w:rPr>
            </w:pPr>
            <w:r w:rsidRPr="00691872">
              <w:rPr>
                <w:rFonts w:ascii="Arial Narrow" w:hAnsi="Arial Narrow"/>
                <w:sz w:val="20"/>
              </w:rPr>
              <w:t>Included</w:t>
            </w:r>
          </w:p>
        </w:tc>
      </w:tr>
      <w:tr w:rsidR="006460AB" w:rsidRPr="00691872" w14:paraId="79A74869" w14:textId="77777777" w:rsidTr="005610DA">
        <w:tc>
          <w:tcPr>
            <w:tcW w:w="1242" w:type="dxa"/>
            <w:vAlign w:val="center"/>
          </w:tcPr>
          <w:p w14:paraId="6637FCAA" w14:textId="77777777" w:rsidR="006460AB" w:rsidRPr="00691872" w:rsidRDefault="006460AB" w:rsidP="005610DA">
            <w:pPr>
              <w:rPr>
                <w:rFonts w:ascii="Arial Narrow" w:hAnsi="Arial Narrow"/>
                <w:sz w:val="20"/>
              </w:rPr>
            </w:pPr>
            <w:r w:rsidRPr="00691872">
              <w:rPr>
                <w:rFonts w:ascii="Arial Narrow" w:hAnsi="Arial Narrow"/>
                <w:sz w:val="20"/>
              </w:rPr>
              <w:t>Lin 2015</w:t>
            </w:r>
          </w:p>
        </w:tc>
        <w:tc>
          <w:tcPr>
            <w:tcW w:w="6194" w:type="dxa"/>
          </w:tcPr>
          <w:p w14:paraId="0CE4EE83" w14:textId="77777777" w:rsidR="006460AB" w:rsidRPr="00691872" w:rsidRDefault="006460AB" w:rsidP="005610DA">
            <w:pPr>
              <w:rPr>
                <w:rFonts w:ascii="Arial Narrow" w:hAnsi="Arial Narrow"/>
                <w:sz w:val="20"/>
              </w:rPr>
            </w:pPr>
            <w:r w:rsidRPr="00691872">
              <w:rPr>
                <w:rFonts w:ascii="Arial Narrow" w:hAnsi="Arial Narrow"/>
                <w:sz w:val="20"/>
              </w:rPr>
              <w:t xml:space="preserve">Lin et al 2015. Endovascular management of adjacent tandem intracranial aneurysms: Utilization of stent assisted coiling and flow diversion. </w:t>
            </w:r>
            <w:proofErr w:type="spellStart"/>
            <w:r w:rsidRPr="00691872">
              <w:rPr>
                <w:rFonts w:ascii="Arial Narrow" w:hAnsi="Arial Narrow"/>
                <w:sz w:val="20"/>
              </w:rPr>
              <w:t>Acta</w:t>
            </w:r>
            <w:proofErr w:type="spellEnd"/>
            <w:r w:rsidRPr="00691872">
              <w:rPr>
                <w:rFonts w:ascii="Arial Narrow" w:hAnsi="Arial Narrow"/>
                <w:sz w:val="20"/>
              </w:rPr>
              <w:t xml:space="preserve"> </w:t>
            </w:r>
            <w:proofErr w:type="spellStart"/>
            <w:r w:rsidRPr="00691872">
              <w:rPr>
                <w:rFonts w:ascii="Arial Narrow" w:hAnsi="Arial Narrow"/>
                <w:sz w:val="20"/>
              </w:rPr>
              <w:t>Neurochir</w:t>
            </w:r>
            <w:proofErr w:type="spellEnd"/>
            <w:r w:rsidRPr="00691872">
              <w:rPr>
                <w:rFonts w:ascii="Arial Narrow" w:hAnsi="Arial Narrow"/>
                <w:sz w:val="20"/>
              </w:rPr>
              <w:t xml:space="preserve"> (2015) 157:379–387</w:t>
            </w:r>
          </w:p>
        </w:tc>
        <w:tc>
          <w:tcPr>
            <w:tcW w:w="1693" w:type="dxa"/>
            <w:vAlign w:val="center"/>
          </w:tcPr>
          <w:p w14:paraId="459ED6E7" w14:textId="77777777" w:rsidR="006460AB" w:rsidRPr="00691872" w:rsidRDefault="006460AB" w:rsidP="005610DA">
            <w:pPr>
              <w:rPr>
                <w:rFonts w:ascii="Arial Narrow" w:hAnsi="Arial Narrow"/>
                <w:sz w:val="20"/>
              </w:rPr>
            </w:pPr>
            <w:r w:rsidRPr="00691872">
              <w:rPr>
                <w:rFonts w:ascii="Arial Narrow" w:hAnsi="Arial Narrow"/>
                <w:sz w:val="20"/>
              </w:rPr>
              <w:t>Included</w:t>
            </w:r>
          </w:p>
        </w:tc>
      </w:tr>
      <w:tr w:rsidR="006460AB" w:rsidRPr="00691872" w14:paraId="62702500" w14:textId="77777777" w:rsidTr="005610DA">
        <w:tc>
          <w:tcPr>
            <w:tcW w:w="1242" w:type="dxa"/>
            <w:vAlign w:val="center"/>
          </w:tcPr>
          <w:p w14:paraId="2191E4F3" w14:textId="77777777" w:rsidR="006460AB" w:rsidRPr="00691872" w:rsidRDefault="006460AB" w:rsidP="005610DA">
            <w:pPr>
              <w:rPr>
                <w:rFonts w:ascii="Arial Narrow" w:hAnsi="Arial Narrow"/>
                <w:sz w:val="20"/>
              </w:rPr>
            </w:pPr>
            <w:r w:rsidRPr="00691872">
              <w:rPr>
                <w:rFonts w:ascii="Arial Narrow" w:hAnsi="Arial Narrow"/>
                <w:sz w:val="20"/>
              </w:rPr>
              <w:t>Miller 2014</w:t>
            </w:r>
          </w:p>
        </w:tc>
        <w:tc>
          <w:tcPr>
            <w:tcW w:w="6194" w:type="dxa"/>
          </w:tcPr>
          <w:p w14:paraId="7508FB0B" w14:textId="77777777" w:rsidR="006460AB" w:rsidRPr="00691872" w:rsidRDefault="006460AB" w:rsidP="005610DA">
            <w:pPr>
              <w:rPr>
                <w:rFonts w:ascii="Arial Narrow" w:hAnsi="Arial Narrow"/>
                <w:sz w:val="20"/>
              </w:rPr>
            </w:pPr>
            <w:r w:rsidRPr="00691872">
              <w:rPr>
                <w:rFonts w:ascii="Arial Narrow" w:hAnsi="Arial Narrow"/>
                <w:sz w:val="20"/>
              </w:rPr>
              <w:t xml:space="preserve">Miller et al 2014. Impact of Endovascular Technique on Fluoroscopy Usage: Stent Assisted Coiling versus Flow Diversion for </w:t>
            </w:r>
            <w:proofErr w:type="spellStart"/>
            <w:r w:rsidRPr="00691872">
              <w:rPr>
                <w:rFonts w:ascii="Arial Narrow" w:hAnsi="Arial Narrow"/>
                <w:sz w:val="20"/>
              </w:rPr>
              <w:t>Paraclinoid</w:t>
            </w:r>
            <w:proofErr w:type="spellEnd"/>
            <w:r w:rsidRPr="00691872">
              <w:rPr>
                <w:rFonts w:ascii="Arial Narrow" w:hAnsi="Arial Narrow"/>
                <w:sz w:val="20"/>
              </w:rPr>
              <w:t xml:space="preserve"> Internal Carotid Artery Aneurysms. The Neuroradiology Journal 27: 725-731.</w:t>
            </w:r>
          </w:p>
        </w:tc>
        <w:tc>
          <w:tcPr>
            <w:tcW w:w="1693" w:type="dxa"/>
            <w:vAlign w:val="center"/>
          </w:tcPr>
          <w:p w14:paraId="7493BABF" w14:textId="77777777" w:rsidR="006460AB" w:rsidRPr="00691872" w:rsidRDefault="006460AB" w:rsidP="005610DA">
            <w:pPr>
              <w:rPr>
                <w:rFonts w:ascii="Arial Narrow" w:hAnsi="Arial Narrow"/>
                <w:sz w:val="20"/>
              </w:rPr>
            </w:pPr>
            <w:r w:rsidRPr="00691872">
              <w:rPr>
                <w:rFonts w:ascii="Arial Narrow" w:hAnsi="Arial Narrow"/>
                <w:sz w:val="20"/>
              </w:rPr>
              <w:t>Included</w:t>
            </w:r>
          </w:p>
        </w:tc>
      </w:tr>
      <w:tr w:rsidR="006460AB" w:rsidRPr="00691872" w14:paraId="71FF9D2D" w14:textId="77777777" w:rsidTr="005610DA">
        <w:trPr>
          <w:trHeight w:val="842"/>
        </w:trPr>
        <w:tc>
          <w:tcPr>
            <w:tcW w:w="1242" w:type="dxa"/>
            <w:vAlign w:val="center"/>
          </w:tcPr>
          <w:p w14:paraId="03485555" w14:textId="77777777" w:rsidR="006460AB" w:rsidRPr="00691872" w:rsidRDefault="006460AB" w:rsidP="005610DA">
            <w:pPr>
              <w:rPr>
                <w:rFonts w:ascii="Arial Narrow" w:hAnsi="Arial Narrow"/>
                <w:sz w:val="20"/>
              </w:rPr>
            </w:pPr>
            <w:r w:rsidRPr="00691872">
              <w:rPr>
                <w:rFonts w:ascii="Arial Narrow" w:hAnsi="Arial Narrow"/>
                <w:sz w:val="20"/>
              </w:rPr>
              <w:t>Petr 2016</w:t>
            </w:r>
          </w:p>
        </w:tc>
        <w:tc>
          <w:tcPr>
            <w:tcW w:w="6194" w:type="dxa"/>
          </w:tcPr>
          <w:p w14:paraId="08FE59AD" w14:textId="77777777" w:rsidR="006460AB" w:rsidRPr="00691872" w:rsidRDefault="006460AB" w:rsidP="005610DA">
            <w:pPr>
              <w:rPr>
                <w:rFonts w:ascii="Arial Narrow" w:hAnsi="Arial Narrow"/>
                <w:sz w:val="20"/>
              </w:rPr>
            </w:pPr>
            <w:r w:rsidRPr="00691872">
              <w:rPr>
                <w:rFonts w:ascii="Arial Narrow" w:hAnsi="Arial Narrow"/>
                <w:sz w:val="20"/>
              </w:rPr>
              <w:t xml:space="preserve">Petr O, </w:t>
            </w:r>
            <w:proofErr w:type="spellStart"/>
            <w:r w:rsidRPr="00691872">
              <w:rPr>
                <w:rFonts w:ascii="Arial Narrow" w:hAnsi="Arial Narrow"/>
                <w:sz w:val="20"/>
              </w:rPr>
              <w:t>Brinjikji</w:t>
            </w:r>
            <w:proofErr w:type="spellEnd"/>
            <w:r w:rsidRPr="00691872">
              <w:rPr>
                <w:rFonts w:ascii="Arial Narrow" w:hAnsi="Arial Narrow"/>
                <w:sz w:val="20"/>
              </w:rPr>
              <w:t xml:space="preserve"> W, </w:t>
            </w:r>
            <w:proofErr w:type="spellStart"/>
            <w:r w:rsidRPr="00691872">
              <w:rPr>
                <w:rFonts w:ascii="Arial Narrow" w:hAnsi="Arial Narrow"/>
                <w:sz w:val="20"/>
              </w:rPr>
              <w:t>Cloft</w:t>
            </w:r>
            <w:proofErr w:type="spellEnd"/>
            <w:r w:rsidRPr="00691872">
              <w:rPr>
                <w:rFonts w:ascii="Arial Narrow" w:hAnsi="Arial Narrow"/>
                <w:sz w:val="20"/>
              </w:rPr>
              <w:t xml:space="preserve"> H, </w:t>
            </w:r>
            <w:proofErr w:type="spellStart"/>
            <w:r w:rsidRPr="00691872">
              <w:rPr>
                <w:rFonts w:ascii="Arial Narrow" w:hAnsi="Arial Narrow"/>
                <w:sz w:val="20"/>
              </w:rPr>
              <w:t>Kallmes</w:t>
            </w:r>
            <w:proofErr w:type="spellEnd"/>
            <w:r w:rsidRPr="00691872">
              <w:rPr>
                <w:rFonts w:ascii="Arial Narrow" w:hAnsi="Arial Narrow"/>
                <w:sz w:val="20"/>
              </w:rPr>
              <w:t xml:space="preserve"> DF, </w:t>
            </w:r>
            <w:proofErr w:type="spellStart"/>
            <w:r w:rsidRPr="00691872">
              <w:rPr>
                <w:rFonts w:ascii="Arial Narrow" w:hAnsi="Arial Narrow"/>
                <w:sz w:val="20"/>
              </w:rPr>
              <w:t>Lanzino</w:t>
            </w:r>
            <w:proofErr w:type="spellEnd"/>
            <w:r w:rsidRPr="00691872">
              <w:rPr>
                <w:rFonts w:ascii="Arial Narrow" w:hAnsi="Arial Narrow"/>
                <w:sz w:val="20"/>
              </w:rPr>
              <w:t xml:space="preserve"> G. Current trends and results of endovascular treatment of unruptured intracranial aneurysms at a single institution in the flow-diverter era. American Journal of Neuroradiology. 2016</w:t>
            </w:r>
            <w:proofErr w:type="gramStart"/>
            <w:r w:rsidRPr="00691872">
              <w:rPr>
                <w:rFonts w:ascii="Arial Narrow" w:hAnsi="Arial Narrow"/>
                <w:sz w:val="20"/>
              </w:rPr>
              <w:t>;37</w:t>
            </w:r>
            <w:proofErr w:type="gramEnd"/>
            <w:r w:rsidRPr="00691872">
              <w:rPr>
                <w:rFonts w:ascii="Arial Narrow" w:hAnsi="Arial Narrow"/>
                <w:sz w:val="20"/>
              </w:rPr>
              <w:t>(6):1106-13.</w:t>
            </w:r>
          </w:p>
        </w:tc>
        <w:tc>
          <w:tcPr>
            <w:tcW w:w="1693" w:type="dxa"/>
            <w:vAlign w:val="center"/>
          </w:tcPr>
          <w:p w14:paraId="20C2F361" w14:textId="77777777" w:rsidR="006460AB" w:rsidRPr="00691872" w:rsidRDefault="006460AB" w:rsidP="005610DA">
            <w:pPr>
              <w:rPr>
                <w:rFonts w:ascii="Arial Narrow" w:hAnsi="Arial Narrow"/>
                <w:sz w:val="20"/>
              </w:rPr>
            </w:pPr>
            <w:r w:rsidRPr="00691872">
              <w:rPr>
                <w:rFonts w:ascii="Arial Narrow" w:hAnsi="Arial Narrow"/>
                <w:sz w:val="20"/>
              </w:rPr>
              <w:t>Included</w:t>
            </w:r>
          </w:p>
        </w:tc>
      </w:tr>
      <w:tr w:rsidR="006460AB" w:rsidRPr="00691872" w14:paraId="5CED6F5E" w14:textId="77777777" w:rsidTr="005610DA">
        <w:tc>
          <w:tcPr>
            <w:tcW w:w="1242" w:type="dxa"/>
            <w:vAlign w:val="center"/>
          </w:tcPr>
          <w:p w14:paraId="763DCD34" w14:textId="77777777" w:rsidR="006460AB" w:rsidRPr="00691872" w:rsidRDefault="006460AB" w:rsidP="005610DA">
            <w:pPr>
              <w:rPr>
                <w:rFonts w:ascii="Arial Narrow" w:hAnsi="Arial Narrow"/>
                <w:sz w:val="20"/>
              </w:rPr>
            </w:pPr>
            <w:proofErr w:type="spellStart"/>
            <w:r w:rsidRPr="00691872">
              <w:rPr>
                <w:rFonts w:ascii="Arial Narrow" w:hAnsi="Arial Narrow"/>
                <w:sz w:val="20"/>
              </w:rPr>
              <w:t>Zanaty</w:t>
            </w:r>
            <w:proofErr w:type="spellEnd"/>
            <w:r w:rsidRPr="00691872">
              <w:rPr>
                <w:rFonts w:ascii="Arial Narrow" w:hAnsi="Arial Narrow"/>
                <w:sz w:val="20"/>
              </w:rPr>
              <w:t xml:space="preserve"> 2014</w:t>
            </w:r>
          </w:p>
        </w:tc>
        <w:tc>
          <w:tcPr>
            <w:tcW w:w="6194" w:type="dxa"/>
          </w:tcPr>
          <w:p w14:paraId="3BF6443E" w14:textId="77777777" w:rsidR="006460AB" w:rsidRPr="00691872" w:rsidRDefault="006460AB" w:rsidP="005610DA">
            <w:pPr>
              <w:rPr>
                <w:rFonts w:ascii="Arial Narrow" w:hAnsi="Arial Narrow"/>
                <w:sz w:val="20"/>
              </w:rPr>
            </w:pPr>
            <w:proofErr w:type="spellStart"/>
            <w:r w:rsidRPr="00691872">
              <w:rPr>
                <w:rFonts w:ascii="Arial Narrow" w:hAnsi="Arial Narrow"/>
                <w:sz w:val="20"/>
              </w:rPr>
              <w:t>Zanaty</w:t>
            </w:r>
            <w:proofErr w:type="spellEnd"/>
            <w:r w:rsidRPr="00691872">
              <w:rPr>
                <w:rFonts w:ascii="Arial Narrow" w:hAnsi="Arial Narrow"/>
                <w:sz w:val="20"/>
              </w:rPr>
              <w:t xml:space="preserve"> et al 2014. Flow Diversion Versus Conventional Treatment for Carotid Cavernous Aneurysms. Stroke. 2014; 45:2656-2661.</w:t>
            </w:r>
          </w:p>
        </w:tc>
        <w:tc>
          <w:tcPr>
            <w:tcW w:w="1693" w:type="dxa"/>
            <w:vAlign w:val="center"/>
          </w:tcPr>
          <w:p w14:paraId="71A4DE34" w14:textId="77777777" w:rsidR="006460AB" w:rsidRPr="00691872" w:rsidRDefault="006460AB" w:rsidP="005610DA">
            <w:pPr>
              <w:rPr>
                <w:rFonts w:ascii="Arial Narrow" w:hAnsi="Arial Narrow"/>
                <w:sz w:val="20"/>
              </w:rPr>
            </w:pPr>
            <w:r w:rsidRPr="00691872">
              <w:rPr>
                <w:rFonts w:ascii="Arial Narrow" w:hAnsi="Arial Narrow"/>
                <w:sz w:val="20"/>
              </w:rPr>
              <w:t>Included</w:t>
            </w:r>
          </w:p>
        </w:tc>
      </w:tr>
      <w:tr w:rsidR="006460AB" w:rsidRPr="00691872" w14:paraId="5D3AF1CE" w14:textId="77777777" w:rsidTr="005610DA">
        <w:tc>
          <w:tcPr>
            <w:tcW w:w="1242" w:type="dxa"/>
            <w:tcBorders>
              <w:bottom w:val="single" w:sz="4" w:space="0" w:color="auto"/>
            </w:tcBorders>
            <w:vAlign w:val="center"/>
          </w:tcPr>
          <w:p w14:paraId="1BD65A5E" w14:textId="77777777" w:rsidR="006460AB" w:rsidRPr="00691872" w:rsidRDefault="006460AB" w:rsidP="005610DA">
            <w:pPr>
              <w:rPr>
                <w:rFonts w:ascii="Arial Narrow" w:hAnsi="Arial Narrow"/>
                <w:sz w:val="20"/>
              </w:rPr>
            </w:pPr>
            <w:r w:rsidRPr="00691872">
              <w:rPr>
                <w:rFonts w:ascii="Arial Narrow" w:hAnsi="Arial Narrow"/>
                <w:sz w:val="20"/>
              </w:rPr>
              <w:t>Zhang 2016</w:t>
            </w:r>
          </w:p>
        </w:tc>
        <w:tc>
          <w:tcPr>
            <w:tcW w:w="6194" w:type="dxa"/>
            <w:tcBorders>
              <w:bottom w:val="single" w:sz="4" w:space="0" w:color="auto"/>
            </w:tcBorders>
          </w:tcPr>
          <w:p w14:paraId="09558D3C" w14:textId="77777777" w:rsidR="006460AB" w:rsidRPr="00691872" w:rsidRDefault="006460AB" w:rsidP="005610DA">
            <w:pPr>
              <w:rPr>
                <w:rFonts w:ascii="Arial Narrow" w:hAnsi="Arial Narrow"/>
                <w:sz w:val="20"/>
              </w:rPr>
            </w:pPr>
            <w:r w:rsidRPr="00691872">
              <w:rPr>
                <w:rFonts w:ascii="Arial Narrow" w:hAnsi="Arial Narrow"/>
                <w:sz w:val="20"/>
              </w:rPr>
              <w:t>Zhang Y, Zhou Y, Yang P, Liu J, Xu Y, Hong B, et al. Comparison of the flow diverter and stent assisted coiling in large and giant aneurysms: safety and efficacy based on a propensity score-matched analysis. European Radiology. 2016</w:t>
            </w:r>
            <w:proofErr w:type="gramStart"/>
            <w:r w:rsidRPr="00691872">
              <w:rPr>
                <w:rFonts w:ascii="Arial Narrow" w:hAnsi="Arial Narrow"/>
                <w:sz w:val="20"/>
              </w:rPr>
              <w:t>;26</w:t>
            </w:r>
            <w:proofErr w:type="gramEnd"/>
            <w:r w:rsidRPr="00691872">
              <w:rPr>
                <w:rFonts w:ascii="Arial Narrow" w:hAnsi="Arial Narrow"/>
                <w:sz w:val="20"/>
              </w:rPr>
              <w:t>(7):2369-77.</w:t>
            </w:r>
          </w:p>
        </w:tc>
        <w:tc>
          <w:tcPr>
            <w:tcW w:w="1693" w:type="dxa"/>
            <w:tcBorders>
              <w:bottom w:val="single" w:sz="4" w:space="0" w:color="auto"/>
            </w:tcBorders>
            <w:vAlign w:val="center"/>
          </w:tcPr>
          <w:p w14:paraId="3217FC68" w14:textId="77777777" w:rsidR="006460AB" w:rsidRPr="00691872" w:rsidRDefault="006460AB" w:rsidP="005610DA">
            <w:pPr>
              <w:rPr>
                <w:rFonts w:ascii="Arial Narrow" w:hAnsi="Arial Narrow"/>
                <w:sz w:val="20"/>
              </w:rPr>
            </w:pPr>
            <w:r w:rsidRPr="00691872">
              <w:rPr>
                <w:rFonts w:ascii="Arial Narrow" w:hAnsi="Arial Narrow"/>
                <w:sz w:val="20"/>
              </w:rPr>
              <w:t>Included</w:t>
            </w:r>
          </w:p>
        </w:tc>
      </w:tr>
      <w:tr w:rsidR="006460AB" w:rsidRPr="00691872" w14:paraId="3FCA7F3E" w14:textId="77777777" w:rsidTr="005610DA">
        <w:tc>
          <w:tcPr>
            <w:tcW w:w="1242" w:type="dxa"/>
            <w:tcBorders>
              <w:top w:val="single" w:sz="4" w:space="0" w:color="auto"/>
              <w:bottom w:val="single" w:sz="4" w:space="0" w:color="auto"/>
              <w:right w:val="nil"/>
            </w:tcBorders>
            <w:shd w:val="clear" w:color="auto" w:fill="BFBFBF" w:themeFill="background1" w:themeFillShade="BF"/>
            <w:vAlign w:val="center"/>
          </w:tcPr>
          <w:p w14:paraId="395B4560" w14:textId="77777777" w:rsidR="006460AB" w:rsidRPr="00691872" w:rsidRDefault="006460AB" w:rsidP="005610DA">
            <w:pPr>
              <w:rPr>
                <w:rFonts w:ascii="Arial Narrow" w:hAnsi="Arial Narrow"/>
                <w:b/>
                <w:sz w:val="20"/>
              </w:rPr>
            </w:pPr>
            <w:r w:rsidRPr="00691872">
              <w:rPr>
                <w:rFonts w:ascii="Arial Narrow" w:hAnsi="Arial Narrow"/>
                <w:b/>
                <w:sz w:val="20"/>
              </w:rPr>
              <w:t>Wrong/no outcomes</w:t>
            </w:r>
          </w:p>
        </w:tc>
        <w:tc>
          <w:tcPr>
            <w:tcW w:w="6194" w:type="dxa"/>
            <w:tcBorders>
              <w:top w:val="single" w:sz="4" w:space="0" w:color="auto"/>
              <w:left w:val="nil"/>
              <w:bottom w:val="single" w:sz="4" w:space="0" w:color="auto"/>
              <w:right w:val="nil"/>
            </w:tcBorders>
            <w:shd w:val="clear" w:color="auto" w:fill="BFBFBF" w:themeFill="background1" w:themeFillShade="BF"/>
          </w:tcPr>
          <w:p w14:paraId="7D815009" w14:textId="77777777" w:rsidR="006460AB" w:rsidRPr="00691872" w:rsidRDefault="006460AB" w:rsidP="005610DA">
            <w:pPr>
              <w:rPr>
                <w:rFonts w:ascii="Arial Narrow" w:hAnsi="Arial Narrow"/>
                <w:b/>
                <w:sz w:val="20"/>
              </w:rPr>
            </w:pPr>
          </w:p>
        </w:tc>
        <w:tc>
          <w:tcPr>
            <w:tcW w:w="1693" w:type="dxa"/>
            <w:tcBorders>
              <w:top w:val="single" w:sz="4" w:space="0" w:color="auto"/>
              <w:left w:val="nil"/>
              <w:bottom w:val="single" w:sz="4" w:space="0" w:color="auto"/>
            </w:tcBorders>
            <w:shd w:val="clear" w:color="auto" w:fill="BFBFBF" w:themeFill="background1" w:themeFillShade="BF"/>
            <w:vAlign w:val="center"/>
          </w:tcPr>
          <w:p w14:paraId="64E85324" w14:textId="77777777" w:rsidR="006460AB" w:rsidRPr="00691872" w:rsidRDefault="006460AB" w:rsidP="005610DA">
            <w:pPr>
              <w:rPr>
                <w:rFonts w:ascii="Arial Narrow" w:hAnsi="Arial Narrow"/>
                <w:b/>
                <w:sz w:val="20"/>
              </w:rPr>
            </w:pPr>
          </w:p>
        </w:tc>
      </w:tr>
      <w:tr w:rsidR="006460AB" w:rsidRPr="00691872" w14:paraId="1ECF6B47" w14:textId="77777777" w:rsidTr="005610DA">
        <w:tc>
          <w:tcPr>
            <w:tcW w:w="1242" w:type="dxa"/>
            <w:tcBorders>
              <w:top w:val="single" w:sz="4" w:space="0" w:color="auto"/>
              <w:bottom w:val="single" w:sz="4" w:space="0" w:color="auto"/>
            </w:tcBorders>
            <w:vAlign w:val="center"/>
          </w:tcPr>
          <w:p w14:paraId="56804E54" w14:textId="77777777" w:rsidR="006460AB" w:rsidRPr="00691872" w:rsidRDefault="006460AB" w:rsidP="005610DA">
            <w:pPr>
              <w:rPr>
                <w:rFonts w:ascii="Arial Narrow" w:hAnsi="Arial Narrow"/>
                <w:sz w:val="20"/>
              </w:rPr>
            </w:pPr>
            <w:proofErr w:type="spellStart"/>
            <w:r w:rsidRPr="00691872">
              <w:rPr>
                <w:rFonts w:ascii="Arial Narrow" w:hAnsi="Arial Narrow"/>
                <w:sz w:val="20"/>
              </w:rPr>
              <w:t>Chalouhi</w:t>
            </w:r>
            <w:proofErr w:type="spellEnd"/>
            <w:r w:rsidRPr="00691872">
              <w:rPr>
                <w:rFonts w:ascii="Arial Narrow" w:hAnsi="Arial Narrow"/>
                <w:sz w:val="20"/>
              </w:rPr>
              <w:t xml:space="preserve"> 2013a</w:t>
            </w:r>
          </w:p>
        </w:tc>
        <w:tc>
          <w:tcPr>
            <w:tcW w:w="6194" w:type="dxa"/>
            <w:tcBorders>
              <w:top w:val="single" w:sz="4" w:space="0" w:color="auto"/>
              <w:bottom w:val="single" w:sz="4" w:space="0" w:color="auto"/>
            </w:tcBorders>
            <w:vAlign w:val="center"/>
          </w:tcPr>
          <w:p w14:paraId="1349E06F" w14:textId="77777777" w:rsidR="006460AB" w:rsidRPr="00691872" w:rsidRDefault="006460AB" w:rsidP="005610DA">
            <w:pPr>
              <w:rPr>
                <w:rFonts w:ascii="Arial Narrow" w:hAnsi="Arial Narrow"/>
                <w:sz w:val="20"/>
              </w:rPr>
            </w:pPr>
            <w:proofErr w:type="spellStart"/>
            <w:r w:rsidRPr="00691872">
              <w:rPr>
                <w:rFonts w:ascii="Arial Narrow" w:hAnsi="Arial Narrow"/>
                <w:sz w:val="20"/>
              </w:rPr>
              <w:t>Chalouhi</w:t>
            </w:r>
            <w:proofErr w:type="spellEnd"/>
            <w:r w:rsidRPr="00691872">
              <w:rPr>
                <w:rFonts w:ascii="Arial Narrow" w:hAnsi="Arial Narrow"/>
                <w:sz w:val="20"/>
              </w:rPr>
              <w:t xml:space="preserve"> N, McMahon J, </w:t>
            </w:r>
            <w:proofErr w:type="spellStart"/>
            <w:r w:rsidRPr="00691872">
              <w:rPr>
                <w:rFonts w:ascii="Arial Narrow" w:hAnsi="Arial Narrow"/>
                <w:sz w:val="20"/>
              </w:rPr>
              <w:t>Moukarzel</w:t>
            </w:r>
            <w:proofErr w:type="spellEnd"/>
            <w:r w:rsidRPr="00691872">
              <w:rPr>
                <w:rFonts w:ascii="Arial Narrow" w:hAnsi="Arial Narrow"/>
                <w:sz w:val="20"/>
              </w:rPr>
              <w:t xml:space="preserve"> L, Starke R, </w:t>
            </w:r>
            <w:proofErr w:type="spellStart"/>
            <w:r w:rsidRPr="00691872">
              <w:rPr>
                <w:rFonts w:ascii="Arial Narrow" w:hAnsi="Arial Narrow"/>
                <w:sz w:val="20"/>
              </w:rPr>
              <w:t>Jabbour</w:t>
            </w:r>
            <w:proofErr w:type="spellEnd"/>
            <w:r w:rsidRPr="00691872">
              <w:rPr>
                <w:rFonts w:ascii="Arial Narrow" w:hAnsi="Arial Narrow"/>
                <w:sz w:val="20"/>
              </w:rPr>
              <w:t xml:space="preserve"> P, Dumont A, et al. Flow diversion versus traditional aneurysm </w:t>
            </w:r>
            <w:proofErr w:type="spellStart"/>
            <w:r w:rsidRPr="00691872">
              <w:rPr>
                <w:rFonts w:ascii="Arial Narrow" w:hAnsi="Arial Narrow"/>
                <w:sz w:val="20"/>
              </w:rPr>
              <w:t>embolisation</w:t>
            </w:r>
            <w:proofErr w:type="spellEnd"/>
            <w:r w:rsidRPr="00691872">
              <w:rPr>
                <w:rFonts w:ascii="Arial Narrow" w:hAnsi="Arial Narrow"/>
                <w:sz w:val="20"/>
              </w:rPr>
              <w:t xml:space="preserve"> strategies: Analysis of fluoroscopy and procedure times. Journal of </w:t>
            </w:r>
            <w:proofErr w:type="spellStart"/>
            <w:r w:rsidRPr="00691872">
              <w:rPr>
                <w:rFonts w:ascii="Arial Narrow" w:hAnsi="Arial Narrow"/>
                <w:sz w:val="20"/>
              </w:rPr>
              <w:t>NeuroInterventional</w:t>
            </w:r>
            <w:proofErr w:type="spellEnd"/>
            <w:r w:rsidRPr="00691872">
              <w:rPr>
                <w:rFonts w:ascii="Arial Narrow" w:hAnsi="Arial Narrow"/>
                <w:sz w:val="20"/>
              </w:rPr>
              <w:t xml:space="preserve"> Surgery. 2013A;5: A22-A3</w:t>
            </w:r>
          </w:p>
        </w:tc>
        <w:tc>
          <w:tcPr>
            <w:tcW w:w="1693" w:type="dxa"/>
            <w:tcBorders>
              <w:top w:val="single" w:sz="4" w:space="0" w:color="auto"/>
              <w:bottom w:val="single" w:sz="4" w:space="0" w:color="auto"/>
            </w:tcBorders>
            <w:vAlign w:val="center"/>
          </w:tcPr>
          <w:p w14:paraId="1433B5BA" w14:textId="77777777" w:rsidR="006460AB" w:rsidRPr="00691872" w:rsidRDefault="006460AB" w:rsidP="005610DA">
            <w:pPr>
              <w:rPr>
                <w:rFonts w:ascii="Arial Narrow" w:hAnsi="Arial Narrow"/>
                <w:sz w:val="20"/>
              </w:rPr>
            </w:pPr>
            <w:r w:rsidRPr="00691872">
              <w:rPr>
                <w:rFonts w:ascii="Arial Narrow" w:hAnsi="Arial Narrow"/>
                <w:sz w:val="20"/>
              </w:rPr>
              <w:t>Excluded, wrong outcomes (only procedure time and fluoroscopy outcomes)</w:t>
            </w:r>
          </w:p>
        </w:tc>
      </w:tr>
      <w:tr w:rsidR="006460AB" w:rsidRPr="00691872" w14:paraId="60AD8CE2" w14:textId="77777777" w:rsidTr="005610DA">
        <w:tc>
          <w:tcPr>
            <w:tcW w:w="1242" w:type="dxa"/>
            <w:tcBorders>
              <w:top w:val="single" w:sz="4" w:space="0" w:color="auto"/>
              <w:right w:val="nil"/>
            </w:tcBorders>
            <w:shd w:val="clear" w:color="auto" w:fill="BFBFBF" w:themeFill="background1" w:themeFillShade="BF"/>
            <w:vAlign w:val="center"/>
          </w:tcPr>
          <w:p w14:paraId="165339F1" w14:textId="77777777" w:rsidR="006460AB" w:rsidRPr="00691872" w:rsidRDefault="006460AB" w:rsidP="005610DA">
            <w:pPr>
              <w:rPr>
                <w:rFonts w:ascii="Arial Narrow" w:hAnsi="Arial Narrow"/>
                <w:b/>
                <w:sz w:val="20"/>
              </w:rPr>
            </w:pPr>
            <w:r w:rsidRPr="00691872">
              <w:rPr>
                <w:rFonts w:ascii="Arial Narrow" w:hAnsi="Arial Narrow"/>
                <w:b/>
                <w:sz w:val="20"/>
              </w:rPr>
              <w:t>Insufficient detail</w:t>
            </w:r>
          </w:p>
        </w:tc>
        <w:tc>
          <w:tcPr>
            <w:tcW w:w="6194" w:type="dxa"/>
            <w:tcBorders>
              <w:top w:val="single" w:sz="4" w:space="0" w:color="auto"/>
              <w:left w:val="nil"/>
              <w:right w:val="nil"/>
            </w:tcBorders>
            <w:shd w:val="clear" w:color="auto" w:fill="BFBFBF" w:themeFill="background1" w:themeFillShade="BF"/>
          </w:tcPr>
          <w:p w14:paraId="11E2A068" w14:textId="77777777" w:rsidR="006460AB" w:rsidRPr="00691872" w:rsidRDefault="006460AB" w:rsidP="005610DA">
            <w:pPr>
              <w:rPr>
                <w:rFonts w:ascii="Arial Narrow" w:hAnsi="Arial Narrow"/>
                <w:b/>
                <w:sz w:val="20"/>
              </w:rPr>
            </w:pPr>
          </w:p>
        </w:tc>
        <w:tc>
          <w:tcPr>
            <w:tcW w:w="1693" w:type="dxa"/>
            <w:tcBorders>
              <w:top w:val="single" w:sz="4" w:space="0" w:color="auto"/>
              <w:left w:val="nil"/>
            </w:tcBorders>
            <w:shd w:val="clear" w:color="auto" w:fill="BFBFBF" w:themeFill="background1" w:themeFillShade="BF"/>
            <w:vAlign w:val="center"/>
          </w:tcPr>
          <w:p w14:paraId="3E305EB1" w14:textId="77777777" w:rsidR="006460AB" w:rsidRPr="00691872" w:rsidRDefault="006460AB" w:rsidP="005610DA">
            <w:pPr>
              <w:rPr>
                <w:rFonts w:ascii="Arial Narrow" w:hAnsi="Arial Narrow"/>
                <w:b/>
                <w:sz w:val="20"/>
              </w:rPr>
            </w:pPr>
          </w:p>
        </w:tc>
      </w:tr>
      <w:tr w:rsidR="006460AB" w:rsidRPr="00691872" w14:paraId="6A05E52B" w14:textId="77777777" w:rsidTr="005610DA">
        <w:tc>
          <w:tcPr>
            <w:tcW w:w="1242" w:type="dxa"/>
            <w:tcBorders>
              <w:top w:val="single" w:sz="4" w:space="0" w:color="auto"/>
            </w:tcBorders>
            <w:vAlign w:val="center"/>
          </w:tcPr>
          <w:p w14:paraId="7D02991B" w14:textId="77777777" w:rsidR="006460AB" w:rsidRPr="00691872" w:rsidRDefault="006460AB" w:rsidP="005610DA">
            <w:pPr>
              <w:rPr>
                <w:rFonts w:ascii="Arial Narrow" w:hAnsi="Arial Narrow"/>
                <w:sz w:val="20"/>
              </w:rPr>
            </w:pPr>
            <w:proofErr w:type="spellStart"/>
            <w:r w:rsidRPr="00691872">
              <w:rPr>
                <w:rFonts w:ascii="Arial Narrow" w:hAnsi="Arial Narrow"/>
                <w:sz w:val="20"/>
              </w:rPr>
              <w:t>Biondi</w:t>
            </w:r>
            <w:proofErr w:type="spellEnd"/>
            <w:r w:rsidRPr="00691872">
              <w:rPr>
                <w:rFonts w:ascii="Arial Narrow" w:hAnsi="Arial Narrow"/>
                <w:sz w:val="20"/>
              </w:rPr>
              <w:t xml:space="preserve"> 2010</w:t>
            </w:r>
          </w:p>
        </w:tc>
        <w:tc>
          <w:tcPr>
            <w:tcW w:w="6194" w:type="dxa"/>
            <w:tcBorders>
              <w:top w:val="single" w:sz="4" w:space="0" w:color="auto"/>
            </w:tcBorders>
          </w:tcPr>
          <w:p w14:paraId="67B8AD4C" w14:textId="0F17A5D1" w:rsidR="006460AB" w:rsidRPr="00691872" w:rsidRDefault="006460AB" w:rsidP="005610DA">
            <w:pPr>
              <w:rPr>
                <w:rFonts w:ascii="Arial Narrow" w:hAnsi="Arial Narrow"/>
                <w:sz w:val="20"/>
              </w:rPr>
            </w:pPr>
            <w:proofErr w:type="spellStart"/>
            <w:r w:rsidRPr="00691872">
              <w:rPr>
                <w:rFonts w:ascii="Arial Narrow" w:hAnsi="Arial Narrow"/>
                <w:sz w:val="20"/>
              </w:rPr>
              <w:t>Biondi</w:t>
            </w:r>
            <w:proofErr w:type="spellEnd"/>
            <w:r w:rsidRPr="00691872">
              <w:rPr>
                <w:rFonts w:ascii="Arial Narrow" w:hAnsi="Arial Narrow"/>
                <w:sz w:val="20"/>
              </w:rPr>
              <w:t xml:space="preserve"> A, Drier A, </w:t>
            </w:r>
            <w:proofErr w:type="spellStart"/>
            <w:r w:rsidRPr="00691872">
              <w:rPr>
                <w:rFonts w:ascii="Arial Narrow" w:hAnsi="Arial Narrow"/>
                <w:sz w:val="20"/>
              </w:rPr>
              <w:t>Sourour</w:t>
            </w:r>
            <w:proofErr w:type="spellEnd"/>
            <w:r w:rsidRPr="00691872">
              <w:rPr>
                <w:rFonts w:ascii="Arial Narrow" w:hAnsi="Arial Narrow"/>
                <w:sz w:val="20"/>
              </w:rPr>
              <w:t xml:space="preserve"> N, Di Maria F, Jean B, Dormont D. Endovascular procedure evaluation using 3 Tesla diffusion-weighted MR imaging in patients with intracranial aneurysms treated by Flow Diverter Stents. Neurora</w:t>
            </w:r>
            <w:r w:rsidR="0093163F">
              <w:rPr>
                <w:rFonts w:ascii="Arial Narrow" w:hAnsi="Arial Narrow"/>
                <w:sz w:val="20"/>
              </w:rPr>
              <w:t>diology Journal. 2010</w:t>
            </w:r>
            <w:proofErr w:type="gramStart"/>
            <w:r w:rsidR="0093163F">
              <w:rPr>
                <w:rFonts w:ascii="Arial Narrow" w:hAnsi="Arial Narrow"/>
                <w:sz w:val="20"/>
              </w:rPr>
              <w:t>;23:325</w:t>
            </w:r>
            <w:proofErr w:type="gramEnd"/>
            <w:r w:rsidR="0093163F">
              <w:rPr>
                <w:rFonts w:ascii="Arial Narrow" w:hAnsi="Arial Narrow"/>
                <w:sz w:val="20"/>
              </w:rPr>
              <w:t>-6.</w:t>
            </w:r>
          </w:p>
        </w:tc>
        <w:tc>
          <w:tcPr>
            <w:tcW w:w="1693" w:type="dxa"/>
            <w:tcBorders>
              <w:top w:val="single" w:sz="4" w:space="0" w:color="auto"/>
            </w:tcBorders>
            <w:vAlign w:val="center"/>
          </w:tcPr>
          <w:p w14:paraId="32DD2CA1" w14:textId="77777777" w:rsidR="006460AB" w:rsidRPr="00691872" w:rsidRDefault="006460AB" w:rsidP="005610DA">
            <w:pPr>
              <w:rPr>
                <w:rFonts w:ascii="Arial Narrow" w:hAnsi="Arial Narrow"/>
                <w:sz w:val="20"/>
              </w:rPr>
            </w:pPr>
            <w:r w:rsidRPr="00691872">
              <w:rPr>
                <w:rFonts w:ascii="Arial Narrow" w:hAnsi="Arial Narrow"/>
                <w:sz w:val="20"/>
              </w:rPr>
              <w:t>Abstract only</w:t>
            </w:r>
          </w:p>
        </w:tc>
      </w:tr>
      <w:tr w:rsidR="006460AB" w:rsidRPr="00691872" w14:paraId="7BED8DC6" w14:textId="77777777" w:rsidTr="005610DA">
        <w:tc>
          <w:tcPr>
            <w:tcW w:w="1242" w:type="dxa"/>
            <w:tcBorders>
              <w:top w:val="single" w:sz="4" w:space="0" w:color="auto"/>
            </w:tcBorders>
            <w:vAlign w:val="center"/>
          </w:tcPr>
          <w:p w14:paraId="7F3583CD" w14:textId="77777777" w:rsidR="006460AB" w:rsidRPr="00691872" w:rsidRDefault="006460AB" w:rsidP="005610DA">
            <w:pPr>
              <w:rPr>
                <w:rFonts w:ascii="Arial Narrow" w:hAnsi="Arial Narrow"/>
                <w:sz w:val="20"/>
              </w:rPr>
            </w:pPr>
            <w:proofErr w:type="spellStart"/>
            <w:r w:rsidRPr="00691872">
              <w:rPr>
                <w:rFonts w:ascii="Arial Narrow" w:hAnsi="Arial Narrow"/>
                <w:sz w:val="20"/>
              </w:rPr>
              <w:t>Ollenschleger</w:t>
            </w:r>
            <w:proofErr w:type="spellEnd"/>
            <w:r w:rsidRPr="00691872">
              <w:rPr>
                <w:rFonts w:ascii="Arial Narrow" w:hAnsi="Arial Narrow"/>
                <w:sz w:val="20"/>
              </w:rPr>
              <w:t xml:space="preserve"> 2014</w:t>
            </w:r>
          </w:p>
        </w:tc>
        <w:tc>
          <w:tcPr>
            <w:tcW w:w="6194" w:type="dxa"/>
            <w:tcBorders>
              <w:top w:val="single" w:sz="4" w:space="0" w:color="auto"/>
            </w:tcBorders>
          </w:tcPr>
          <w:p w14:paraId="430E3FDD" w14:textId="77777777" w:rsidR="006460AB" w:rsidRPr="00691872" w:rsidRDefault="006460AB" w:rsidP="005610DA">
            <w:pPr>
              <w:rPr>
                <w:rFonts w:ascii="Arial Narrow" w:hAnsi="Arial Narrow"/>
                <w:sz w:val="20"/>
              </w:rPr>
            </w:pPr>
            <w:proofErr w:type="spellStart"/>
            <w:r w:rsidRPr="00691872">
              <w:rPr>
                <w:rFonts w:ascii="Arial Narrow" w:hAnsi="Arial Narrow"/>
                <w:sz w:val="20"/>
              </w:rPr>
              <w:t>Ollenschleger</w:t>
            </w:r>
            <w:proofErr w:type="spellEnd"/>
            <w:r w:rsidRPr="00691872">
              <w:rPr>
                <w:rFonts w:ascii="Arial Narrow" w:hAnsi="Arial Narrow"/>
                <w:sz w:val="20"/>
              </w:rPr>
              <w:t xml:space="preserve"> M, Mancini M, Ohki S, </w:t>
            </w:r>
            <w:proofErr w:type="gramStart"/>
            <w:r w:rsidRPr="00691872">
              <w:rPr>
                <w:rFonts w:ascii="Arial Narrow" w:hAnsi="Arial Narrow"/>
                <w:sz w:val="20"/>
              </w:rPr>
              <w:t>Spiegel</w:t>
            </w:r>
            <w:proofErr w:type="gramEnd"/>
            <w:r w:rsidRPr="00691872">
              <w:rPr>
                <w:rFonts w:ascii="Arial Narrow" w:hAnsi="Arial Narrow"/>
                <w:sz w:val="20"/>
              </w:rPr>
              <w:t xml:space="preserve"> G. Headaches following endovascular treatment of cerebral aneurysms: Coil embolization vs. flow diversion. Neurology. 2014</w:t>
            </w:r>
            <w:proofErr w:type="gramStart"/>
            <w:r w:rsidRPr="00691872">
              <w:rPr>
                <w:rFonts w:ascii="Arial Narrow" w:hAnsi="Arial Narrow"/>
                <w:sz w:val="20"/>
              </w:rPr>
              <w:t>;82</w:t>
            </w:r>
            <w:proofErr w:type="gramEnd"/>
            <w:r w:rsidRPr="00691872">
              <w:rPr>
                <w:rFonts w:ascii="Arial Narrow" w:hAnsi="Arial Narrow"/>
                <w:sz w:val="20"/>
              </w:rPr>
              <w:t>(10).</w:t>
            </w:r>
          </w:p>
        </w:tc>
        <w:tc>
          <w:tcPr>
            <w:tcW w:w="1693" w:type="dxa"/>
            <w:tcBorders>
              <w:top w:val="single" w:sz="4" w:space="0" w:color="auto"/>
            </w:tcBorders>
            <w:vAlign w:val="center"/>
          </w:tcPr>
          <w:p w14:paraId="14B4ECCF" w14:textId="77777777" w:rsidR="006460AB" w:rsidRPr="00691872" w:rsidRDefault="006460AB" w:rsidP="005610DA">
            <w:pPr>
              <w:rPr>
                <w:rFonts w:ascii="Arial Narrow" w:hAnsi="Arial Narrow"/>
                <w:sz w:val="20"/>
              </w:rPr>
            </w:pPr>
            <w:r w:rsidRPr="00691872">
              <w:rPr>
                <w:rFonts w:ascii="Arial Narrow" w:hAnsi="Arial Narrow"/>
                <w:sz w:val="20"/>
              </w:rPr>
              <w:t>Abstract only</w:t>
            </w:r>
          </w:p>
        </w:tc>
      </w:tr>
      <w:tr w:rsidR="006460AB" w:rsidRPr="00691872" w14:paraId="16026971" w14:textId="77777777" w:rsidTr="005610DA">
        <w:tc>
          <w:tcPr>
            <w:tcW w:w="1242" w:type="dxa"/>
            <w:tcBorders>
              <w:top w:val="single" w:sz="4" w:space="0" w:color="auto"/>
              <w:bottom w:val="single" w:sz="4" w:space="0" w:color="auto"/>
            </w:tcBorders>
            <w:vAlign w:val="center"/>
          </w:tcPr>
          <w:p w14:paraId="6364D732" w14:textId="77777777" w:rsidR="006460AB" w:rsidRPr="00691872" w:rsidRDefault="006460AB" w:rsidP="005610DA">
            <w:pPr>
              <w:rPr>
                <w:rFonts w:ascii="Arial Narrow" w:hAnsi="Arial Narrow"/>
                <w:sz w:val="20"/>
              </w:rPr>
            </w:pPr>
            <w:proofErr w:type="spellStart"/>
            <w:r w:rsidRPr="00691872">
              <w:rPr>
                <w:rFonts w:ascii="Arial Narrow" w:hAnsi="Arial Narrow"/>
                <w:sz w:val="20"/>
              </w:rPr>
              <w:t>Piotin</w:t>
            </w:r>
            <w:proofErr w:type="spellEnd"/>
            <w:r w:rsidRPr="00691872">
              <w:rPr>
                <w:rFonts w:ascii="Arial Narrow" w:hAnsi="Arial Narrow"/>
                <w:sz w:val="20"/>
              </w:rPr>
              <w:t xml:space="preserve"> 2014</w:t>
            </w:r>
          </w:p>
        </w:tc>
        <w:tc>
          <w:tcPr>
            <w:tcW w:w="6194" w:type="dxa"/>
            <w:tcBorders>
              <w:top w:val="single" w:sz="4" w:space="0" w:color="auto"/>
              <w:bottom w:val="single" w:sz="4" w:space="0" w:color="auto"/>
            </w:tcBorders>
          </w:tcPr>
          <w:p w14:paraId="2EA07328" w14:textId="77777777" w:rsidR="006460AB" w:rsidRPr="00691872" w:rsidRDefault="006460AB" w:rsidP="005610DA">
            <w:pPr>
              <w:rPr>
                <w:rFonts w:ascii="Arial Narrow" w:hAnsi="Arial Narrow"/>
                <w:sz w:val="20"/>
              </w:rPr>
            </w:pPr>
            <w:proofErr w:type="spellStart"/>
            <w:r w:rsidRPr="00691872">
              <w:rPr>
                <w:rFonts w:ascii="Arial Narrow" w:hAnsi="Arial Narrow"/>
                <w:sz w:val="20"/>
              </w:rPr>
              <w:t>Piotin</w:t>
            </w:r>
            <w:proofErr w:type="spellEnd"/>
            <w:r w:rsidRPr="00691872">
              <w:rPr>
                <w:rFonts w:ascii="Arial Narrow" w:hAnsi="Arial Narrow"/>
                <w:sz w:val="20"/>
              </w:rPr>
              <w:t xml:space="preserve"> M, </w:t>
            </w:r>
            <w:proofErr w:type="spellStart"/>
            <w:r w:rsidRPr="00691872">
              <w:rPr>
                <w:rFonts w:ascii="Arial Narrow" w:hAnsi="Arial Narrow"/>
                <w:sz w:val="20"/>
              </w:rPr>
              <w:t>Bartolini</w:t>
            </w:r>
            <w:proofErr w:type="spellEnd"/>
            <w:r w:rsidRPr="00691872">
              <w:rPr>
                <w:rFonts w:ascii="Arial Narrow" w:hAnsi="Arial Narrow"/>
                <w:sz w:val="20"/>
              </w:rPr>
              <w:t xml:space="preserve"> B, </w:t>
            </w:r>
            <w:proofErr w:type="spellStart"/>
            <w:r w:rsidRPr="00691872">
              <w:rPr>
                <w:rFonts w:ascii="Arial Narrow" w:hAnsi="Arial Narrow"/>
                <w:sz w:val="20"/>
              </w:rPr>
              <w:t>Pistocchi</w:t>
            </w:r>
            <w:proofErr w:type="spellEnd"/>
            <w:r w:rsidRPr="00691872">
              <w:rPr>
                <w:rFonts w:ascii="Arial Narrow" w:hAnsi="Arial Narrow"/>
                <w:sz w:val="20"/>
              </w:rPr>
              <w:t xml:space="preserve"> S, </w:t>
            </w:r>
            <w:proofErr w:type="spellStart"/>
            <w:r w:rsidRPr="00691872">
              <w:rPr>
                <w:rFonts w:ascii="Arial Narrow" w:hAnsi="Arial Narrow"/>
                <w:sz w:val="20"/>
              </w:rPr>
              <w:t>Redjem</w:t>
            </w:r>
            <w:proofErr w:type="spellEnd"/>
            <w:r w:rsidRPr="00691872">
              <w:rPr>
                <w:rFonts w:ascii="Arial Narrow" w:hAnsi="Arial Narrow"/>
                <w:sz w:val="20"/>
              </w:rPr>
              <w:t xml:space="preserve"> H, Blanc R. Endovascular treatment of small unruptured cerebral aneurysms with flow diverters. Stroke. 2014;45</w:t>
            </w:r>
          </w:p>
        </w:tc>
        <w:tc>
          <w:tcPr>
            <w:tcW w:w="1693" w:type="dxa"/>
            <w:tcBorders>
              <w:top w:val="single" w:sz="4" w:space="0" w:color="auto"/>
              <w:bottom w:val="single" w:sz="4" w:space="0" w:color="auto"/>
            </w:tcBorders>
            <w:vAlign w:val="center"/>
          </w:tcPr>
          <w:p w14:paraId="5C6E7EC6" w14:textId="77777777" w:rsidR="006460AB" w:rsidRPr="00691872" w:rsidRDefault="006460AB" w:rsidP="005610DA">
            <w:pPr>
              <w:rPr>
                <w:rFonts w:ascii="Arial Narrow" w:hAnsi="Arial Narrow"/>
                <w:sz w:val="20"/>
              </w:rPr>
            </w:pPr>
            <w:r w:rsidRPr="00691872">
              <w:rPr>
                <w:rFonts w:ascii="Arial Narrow" w:hAnsi="Arial Narrow"/>
                <w:sz w:val="20"/>
              </w:rPr>
              <w:t>Abstract only</w:t>
            </w:r>
          </w:p>
        </w:tc>
      </w:tr>
      <w:tr w:rsidR="006460AB" w:rsidRPr="00691872" w14:paraId="18A07387" w14:textId="77777777" w:rsidTr="005610DA">
        <w:tc>
          <w:tcPr>
            <w:tcW w:w="1242" w:type="dxa"/>
            <w:tcBorders>
              <w:top w:val="single" w:sz="4" w:space="0" w:color="auto"/>
              <w:bottom w:val="single" w:sz="4" w:space="0" w:color="auto"/>
            </w:tcBorders>
            <w:vAlign w:val="center"/>
          </w:tcPr>
          <w:p w14:paraId="7593E306" w14:textId="77777777" w:rsidR="006460AB" w:rsidRPr="00691872" w:rsidRDefault="006460AB" w:rsidP="005610DA">
            <w:pPr>
              <w:rPr>
                <w:rFonts w:ascii="Arial Narrow" w:hAnsi="Arial Narrow"/>
                <w:sz w:val="20"/>
              </w:rPr>
            </w:pPr>
            <w:proofErr w:type="spellStart"/>
            <w:r w:rsidRPr="00691872">
              <w:rPr>
                <w:rFonts w:ascii="Arial Narrow" w:hAnsi="Arial Narrow"/>
                <w:sz w:val="20"/>
              </w:rPr>
              <w:t>Iosif</w:t>
            </w:r>
            <w:proofErr w:type="spellEnd"/>
            <w:r w:rsidRPr="00691872">
              <w:rPr>
                <w:rFonts w:ascii="Arial Narrow" w:hAnsi="Arial Narrow"/>
                <w:sz w:val="20"/>
              </w:rPr>
              <w:t xml:space="preserve"> 2018</w:t>
            </w:r>
          </w:p>
        </w:tc>
        <w:tc>
          <w:tcPr>
            <w:tcW w:w="6194" w:type="dxa"/>
            <w:tcBorders>
              <w:top w:val="single" w:sz="4" w:space="0" w:color="auto"/>
              <w:bottom w:val="single" w:sz="4" w:space="0" w:color="auto"/>
            </w:tcBorders>
            <w:vAlign w:val="center"/>
          </w:tcPr>
          <w:p w14:paraId="45794841" w14:textId="77777777" w:rsidR="006460AB" w:rsidRPr="00691872" w:rsidRDefault="006460AB" w:rsidP="005610DA">
            <w:pPr>
              <w:rPr>
                <w:rFonts w:ascii="Arial Narrow" w:hAnsi="Arial Narrow"/>
                <w:sz w:val="20"/>
              </w:rPr>
            </w:pPr>
            <w:proofErr w:type="spellStart"/>
            <w:r w:rsidRPr="00691872">
              <w:rPr>
                <w:rFonts w:ascii="Arial Narrow" w:hAnsi="Arial Narrow"/>
                <w:sz w:val="20"/>
              </w:rPr>
              <w:t>Iosif</w:t>
            </w:r>
            <w:proofErr w:type="spellEnd"/>
            <w:r w:rsidRPr="00691872">
              <w:rPr>
                <w:rFonts w:ascii="Arial Narrow" w:hAnsi="Arial Narrow"/>
                <w:sz w:val="20"/>
              </w:rPr>
              <w:t xml:space="preserve"> C, </w:t>
            </w:r>
            <w:proofErr w:type="spellStart"/>
            <w:r w:rsidRPr="00691872">
              <w:rPr>
                <w:rFonts w:ascii="Arial Narrow" w:hAnsi="Arial Narrow"/>
                <w:sz w:val="20"/>
              </w:rPr>
              <w:t>Lecomte</w:t>
            </w:r>
            <w:proofErr w:type="spellEnd"/>
            <w:r w:rsidRPr="00691872">
              <w:rPr>
                <w:rFonts w:ascii="Arial Narrow" w:hAnsi="Arial Narrow"/>
                <w:sz w:val="20"/>
              </w:rPr>
              <w:t xml:space="preserve"> JC, </w:t>
            </w:r>
            <w:proofErr w:type="spellStart"/>
            <w:r w:rsidRPr="00691872">
              <w:rPr>
                <w:rFonts w:ascii="Arial Narrow" w:hAnsi="Arial Narrow"/>
                <w:sz w:val="20"/>
              </w:rPr>
              <w:t>Pedrolo-Silveira</w:t>
            </w:r>
            <w:proofErr w:type="spellEnd"/>
            <w:r w:rsidRPr="00691872">
              <w:rPr>
                <w:rFonts w:ascii="Arial Narrow" w:hAnsi="Arial Narrow"/>
                <w:sz w:val="20"/>
              </w:rPr>
              <w:t xml:space="preserve"> E, Mendes G, Martel MPB, </w:t>
            </w:r>
            <w:proofErr w:type="spellStart"/>
            <w:r w:rsidRPr="00691872">
              <w:rPr>
                <w:rFonts w:ascii="Arial Narrow" w:hAnsi="Arial Narrow"/>
                <w:sz w:val="20"/>
              </w:rPr>
              <w:t>Saleme</w:t>
            </w:r>
            <w:proofErr w:type="spellEnd"/>
            <w:r w:rsidRPr="00691872">
              <w:rPr>
                <w:rFonts w:ascii="Arial Narrow" w:hAnsi="Arial Narrow"/>
                <w:sz w:val="20"/>
              </w:rPr>
              <w:t xml:space="preserve"> S, et al. Evaluation of ischaemic lesion prevalence after endovascular treatment of intracranial aneurysms, as documented by 3-T diffusion-weighted imaging: A 2-year, single-</w:t>
            </w:r>
            <w:proofErr w:type="spellStart"/>
            <w:r w:rsidRPr="00691872">
              <w:rPr>
                <w:rFonts w:ascii="Arial Narrow" w:hAnsi="Arial Narrow"/>
                <w:sz w:val="20"/>
              </w:rPr>
              <w:t>center</w:t>
            </w:r>
            <w:proofErr w:type="spellEnd"/>
            <w:r w:rsidRPr="00691872">
              <w:rPr>
                <w:rFonts w:ascii="Arial Narrow" w:hAnsi="Arial Narrow"/>
                <w:sz w:val="20"/>
              </w:rPr>
              <w:t xml:space="preserve"> cohort study. Journal of Neurosurgery. 2018</w:t>
            </w:r>
            <w:proofErr w:type="gramStart"/>
            <w:r w:rsidRPr="00691872">
              <w:rPr>
                <w:rFonts w:ascii="Arial Narrow" w:hAnsi="Arial Narrow"/>
                <w:sz w:val="20"/>
              </w:rPr>
              <w:t>;128</w:t>
            </w:r>
            <w:proofErr w:type="gramEnd"/>
            <w:r w:rsidRPr="00691872">
              <w:rPr>
                <w:rFonts w:ascii="Arial Narrow" w:hAnsi="Arial Narrow"/>
                <w:sz w:val="20"/>
              </w:rPr>
              <w:t>(4):982-91.</w:t>
            </w:r>
          </w:p>
        </w:tc>
        <w:tc>
          <w:tcPr>
            <w:tcW w:w="1693" w:type="dxa"/>
            <w:tcBorders>
              <w:top w:val="single" w:sz="4" w:space="0" w:color="auto"/>
              <w:bottom w:val="single" w:sz="4" w:space="0" w:color="auto"/>
            </w:tcBorders>
            <w:vAlign w:val="center"/>
          </w:tcPr>
          <w:p w14:paraId="58D5AED1" w14:textId="77777777" w:rsidR="006460AB" w:rsidRPr="00691872" w:rsidRDefault="006460AB" w:rsidP="005610DA">
            <w:pPr>
              <w:rPr>
                <w:rFonts w:ascii="Arial Narrow" w:hAnsi="Arial Narrow"/>
                <w:sz w:val="20"/>
              </w:rPr>
            </w:pPr>
            <w:r w:rsidRPr="00691872">
              <w:rPr>
                <w:rFonts w:ascii="Arial Narrow" w:hAnsi="Arial Narrow"/>
                <w:sz w:val="20"/>
              </w:rPr>
              <w:t>Excluded, does not provide baseline characteristics; only reports procedural complications by treatment modality</w:t>
            </w:r>
          </w:p>
        </w:tc>
      </w:tr>
      <w:tr w:rsidR="006460AB" w:rsidRPr="00691872" w14:paraId="60015E3D" w14:textId="77777777" w:rsidTr="005610DA">
        <w:tc>
          <w:tcPr>
            <w:tcW w:w="1242" w:type="dxa"/>
            <w:tcBorders>
              <w:right w:val="nil"/>
            </w:tcBorders>
            <w:shd w:val="clear" w:color="auto" w:fill="BFBFBF" w:themeFill="background1" w:themeFillShade="BF"/>
            <w:vAlign w:val="center"/>
          </w:tcPr>
          <w:p w14:paraId="5E7CAF39" w14:textId="77777777" w:rsidR="006460AB" w:rsidRPr="00691872" w:rsidRDefault="006460AB" w:rsidP="005610DA">
            <w:pPr>
              <w:rPr>
                <w:rFonts w:ascii="Arial Narrow" w:hAnsi="Arial Narrow"/>
                <w:b/>
                <w:sz w:val="20"/>
              </w:rPr>
            </w:pPr>
            <w:r w:rsidRPr="00691872">
              <w:rPr>
                <w:rFonts w:ascii="Arial Narrow" w:hAnsi="Arial Narrow"/>
                <w:b/>
                <w:sz w:val="20"/>
              </w:rPr>
              <w:t>Wrong population</w:t>
            </w:r>
          </w:p>
        </w:tc>
        <w:tc>
          <w:tcPr>
            <w:tcW w:w="6194" w:type="dxa"/>
            <w:tcBorders>
              <w:left w:val="nil"/>
              <w:right w:val="nil"/>
            </w:tcBorders>
            <w:shd w:val="clear" w:color="auto" w:fill="BFBFBF" w:themeFill="background1" w:themeFillShade="BF"/>
          </w:tcPr>
          <w:p w14:paraId="705B0BD9" w14:textId="77777777" w:rsidR="006460AB" w:rsidRPr="00691872" w:rsidRDefault="006460AB" w:rsidP="005610DA">
            <w:pPr>
              <w:rPr>
                <w:rFonts w:ascii="Arial Narrow" w:hAnsi="Arial Narrow"/>
                <w:b/>
                <w:sz w:val="20"/>
              </w:rPr>
            </w:pPr>
          </w:p>
        </w:tc>
        <w:tc>
          <w:tcPr>
            <w:tcW w:w="1693" w:type="dxa"/>
            <w:tcBorders>
              <w:left w:val="nil"/>
            </w:tcBorders>
            <w:shd w:val="clear" w:color="auto" w:fill="BFBFBF" w:themeFill="background1" w:themeFillShade="BF"/>
            <w:vAlign w:val="center"/>
          </w:tcPr>
          <w:p w14:paraId="6FE2847B" w14:textId="77777777" w:rsidR="006460AB" w:rsidRPr="00691872" w:rsidRDefault="006460AB" w:rsidP="005610DA">
            <w:pPr>
              <w:rPr>
                <w:rFonts w:ascii="Arial Narrow" w:hAnsi="Arial Narrow"/>
                <w:b/>
                <w:sz w:val="20"/>
              </w:rPr>
            </w:pPr>
          </w:p>
        </w:tc>
      </w:tr>
      <w:tr w:rsidR="006460AB" w:rsidRPr="00691872" w14:paraId="0E77865A" w14:textId="77777777" w:rsidTr="005610DA">
        <w:tc>
          <w:tcPr>
            <w:tcW w:w="1242" w:type="dxa"/>
            <w:tcBorders>
              <w:bottom w:val="single" w:sz="4" w:space="0" w:color="auto"/>
            </w:tcBorders>
            <w:vAlign w:val="center"/>
          </w:tcPr>
          <w:p w14:paraId="2F89383B" w14:textId="77777777" w:rsidR="006460AB" w:rsidRPr="00691872" w:rsidRDefault="006460AB" w:rsidP="005610DA">
            <w:pPr>
              <w:rPr>
                <w:rFonts w:ascii="Arial Narrow" w:hAnsi="Arial Narrow"/>
                <w:sz w:val="20"/>
              </w:rPr>
            </w:pPr>
            <w:proofErr w:type="spellStart"/>
            <w:r w:rsidRPr="00691872">
              <w:rPr>
                <w:rFonts w:ascii="Arial Narrow" w:hAnsi="Arial Narrow"/>
                <w:sz w:val="20"/>
              </w:rPr>
              <w:t>Chalouhi</w:t>
            </w:r>
            <w:proofErr w:type="spellEnd"/>
            <w:r w:rsidRPr="00691872">
              <w:rPr>
                <w:rFonts w:ascii="Arial Narrow" w:hAnsi="Arial Narrow"/>
                <w:sz w:val="20"/>
              </w:rPr>
              <w:t xml:space="preserve"> 2017</w:t>
            </w:r>
          </w:p>
        </w:tc>
        <w:tc>
          <w:tcPr>
            <w:tcW w:w="6194" w:type="dxa"/>
            <w:tcBorders>
              <w:bottom w:val="single" w:sz="4" w:space="0" w:color="auto"/>
            </w:tcBorders>
            <w:vAlign w:val="center"/>
          </w:tcPr>
          <w:p w14:paraId="3E3F02C1" w14:textId="77777777" w:rsidR="006460AB" w:rsidRPr="00691872" w:rsidRDefault="006460AB" w:rsidP="005610DA">
            <w:pPr>
              <w:rPr>
                <w:rFonts w:ascii="Arial Narrow" w:hAnsi="Arial Narrow"/>
                <w:sz w:val="20"/>
              </w:rPr>
            </w:pPr>
            <w:proofErr w:type="spellStart"/>
            <w:r w:rsidRPr="00691872">
              <w:rPr>
                <w:rFonts w:ascii="Arial Narrow" w:hAnsi="Arial Narrow"/>
                <w:sz w:val="20"/>
              </w:rPr>
              <w:t>Chalouhi</w:t>
            </w:r>
            <w:proofErr w:type="spellEnd"/>
            <w:r w:rsidRPr="00691872">
              <w:rPr>
                <w:rFonts w:ascii="Arial Narrow" w:hAnsi="Arial Narrow"/>
                <w:sz w:val="20"/>
              </w:rPr>
              <w:t xml:space="preserve"> et al 2017. Matched Comparison of Flow Diversion and Coiling in Small, Noncomplex Intracranial Aneurysms. Neurosurgery 00:1–6, 2017</w:t>
            </w:r>
          </w:p>
        </w:tc>
        <w:tc>
          <w:tcPr>
            <w:tcW w:w="1693" w:type="dxa"/>
            <w:tcBorders>
              <w:bottom w:val="single" w:sz="4" w:space="0" w:color="auto"/>
            </w:tcBorders>
            <w:vAlign w:val="center"/>
          </w:tcPr>
          <w:p w14:paraId="12597F5B" w14:textId="77777777" w:rsidR="006460AB" w:rsidRPr="00691872" w:rsidRDefault="006460AB" w:rsidP="005610DA">
            <w:pPr>
              <w:rPr>
                <w:rFonts w:ascii="Arial Narrow" w:hAnsi="Arial Narrow"/>
                <w:sz w:val="20"/>
              </w:rPr>
            </w:pPr>
            <w:r w:rsidRPr="00691872">
              <w:rPr>
                <w:rFonts w:ascii="Arial Narrow" w:hAnsi="Arial Narrow"/>
                <w:sz w:val="20"/>
              </w:rPr>
              <w:t>Excluded</w:t>
            </w:r>
            <w:r>
              <w:rPr>
                <w:rFonts w:ascii="Arial Narrow" w:hAnsi="Arial Narrow"/>
                <w:sz w:val="20"/>
              </w:rPr>
              <w:t>, as i</w:t>
            </w:r>
            <w:r w:rsidRPr="00691872">
              <w:rPr>
                <w:rFonts w:ascii="Arial Narrow" w:hAnsi="Arial Narrow"/>
                <w:sz w:val="20"/>
              </w:rPr>
              <w:t xml:space="preserve">ncludes patients </w:t>
            </w:r>
            <w:r w:rsidRPr="00691872">
              <w:rPr>
                <w:rFonts w:ascii="Arial Narrow" w:hAnsi="Arial Narrow"/>
                <w:sz w:val="20"/>
              </w:rPr>
              <w:lastRenderedPageBreak/>
              <w:t>with small saccular, narrow neck aneurysms (not complex, wide neck)</w:t>
            </w:r>
          </w:p>
        </w:tc>
      </w:tr>
      <w:tr w:rsidR="006460AB" w:rsidRPr="00691872" w14:paraId="3CD482A5" w14:textId="77777777" w:rsidTr="005610DA">
        <w:tc>
          <w:tcPr>
            <w:tcW w:w="1242" w:type="dxa"/>
            <w:vAlign w:val="center"/>
          </w:tcPr>
          <w:p w14:paraId="1A69D854" w14:textId="77777777" w:rsidR="006460AB" w:rsidRPr="00691872" w:rsidRDefault="006460AB" w:rsidP="005610DA">
            <w:pPr>
              <w:rPr>
                <w:rFonts w:ascii="Arial Narrow" w:hAnsi="Arial Narrow"/>
                <w:sz w:val="20"/>
              </w:rPr>
            </w:pPr>
            <w:r w:rsidRPr="00691872">
              <w:rPr>
                <w:rFonts w:ascii="Arial Narrow" w:hAnsi="Arial Narrow"/>
                <w:sz w:val="20"/>
              </w:rPr>
              <w:lastRenderedPageBreak/>
              <w:t>Zhang 2018</w:t>
            </w:r>
          </w:p>
        </w:tc>
        <w:tc>
          <w:tcPr>
            <w:tcW w:w="6194" w:type="dxa"/>
            <w:vAlign w:val="center"/>
          </w:tcPr>
          <w:p w14:paraId="699CD9BE" w14:textId="77777777" w:rsidR="006460AB" w:rsidRPr="00691872" w:rsidRDefault="006460AB" w:rsidP="005610DA">
            <w:pPr>
              <w:rPr>
                <w:rFonts w:ascii="Arial Narrow" w:hAnsi="Arial Narrow"/>
                <w:sz w:val="20"/>
              </w:rPr>
            </w:pPr>
            <w:r w:rsidRPr="00691872">
              <w:rPr>
                <w:rFonts w:ascii="Arial Narrow" w:hAnsi="Arial Narrow"/>
                <w:sz w:val="20"/>
              </w:rPr>
              <w:t xml:space="preserve">Zhang Y, Zhang Y, </w:t>
            </w:r>
            <w:proofErr w:type="spellStart"/>
            <w:r w:rsidRPr="00691872">
              <w:rPr>
                <w:rFonts w:ascii="Arial Narrow" w:hAnsi="Arial Narrow"/>
                <w:sz w:val="20"/>
              </w:rPr>
              <w:t>Guo</w:t>
            </w:r>
            <w:proofErr w:type="spellEnd"/>
            <w:r w:rsidRPr="00691872">
              <w:rPr>
                <w:rFonts w:ascii="Arial Narrow" w:hAnsi="Arial Narrow"/>
                <w:sz w:val="20"/>
              </w:rPr>
              <w:t xml:space="preserve"> F, Liang F, Yan P, Liang S, Jiang C, </w:t>
            </w:r>
            <w:proofErr w:type="gramStart"/>
            <w:r w:rsidRPr="00691872">
              <w:rPr>
                <w:rFonts w:ascii="Arial Narrow" w:hAnsi="Arial Narrow"/>
                <w:sz w:val="20"/>
              </w:rPr>
              <w:t>Treatment</w:t>
            </w:r>
            <w:proofErr w:type="gramEnd"/>
            <w:r w:rsidRPr="00691872">
              <w:rPr>
                <w:rFonts w:ascii="Arial Narrow" w:hAnsi="Arial Narrow"/>
                <w:sz w:val="20"/>
              </w:rPr>
              <w:t xml:space="preserve"> of small and tiny aneurysms before and after flow diversion era: a single </w:t>
            </w:r>
            <w:proofErr w:type="spellStart"/>
            <w:r w:rsidRPr="00691872">
              <w:rPr>
                <w:rFonts w:ascii="Arial Narrow" w:hAnsi="Arial Narrow"/>
                <w:sz w:val="20"/>
              </w:rPr>
              <w:t>center</w:t>
            </w:r>
            <w:proofErr w:type="spellEnd"/>
            <w:r w:rsidRPr="00691872">
              <w:rPr>
                <w:rFonts w:ascii="Arial Narrow" w:hAnsi="Arial Narrow"/>
                <w:sz w:val="20"/>
              </w:rPr>
              <w:t xml:space="preserve"> experience of 409 aneurysms, World Neurosurgery (2018), </w:t>
            </w:r>
            <w:proofErr w:type="spellStart"/>
            <w:r w:rsidRPr="00691872">
              <w:rPr>
                <w:rFonts w:ascii="Arial Narrow" w:hAnsi="Arial Narrow"/>
                <w:sz w:val="20"/>
              </w:rPr>
              <w:t>doi</w:t>
            </w:r>
            <w:proofErr w:type="spellEnd"/>
            <w:r w:rsidRPr="00691872">
              <w:rPr>
                <w:rFonts w:ascii="Arial Narrow" w:hAnsi="Arial Narrow"/>
                <w:sz w:val="20"/>
              </w:rPr>
              <w:t>: 10.1016/j.wneu.2018.04.213.</w:t>
            </w:r>
          </w:p>
        </w:tc>
        <w:tc>
          <w:tcPr>
            <w:tcW w:w="1693" w:type="dxa"/>
            <w:vAlign w:val="center"/>
          </w:tcPr>
          <w:p w14:paraId="415A35F3" w14:textId="77777777" w:rsidR="006460AB" w:rsidRPr="00691872" w:rsidRDefault="006460AB" w:rsidP="005610DA">
            <w:pPr>
              <w:rPr>
                <w:rFonts w:ascii="Arial Narrow" w:hAnsi="Arial Narrow"/>
                <w:sz w:val="20"/>
              </w:rPr>
            </w:pPr>
            <w:r w:rsidRPr="00691872">
              <w:rPr>
                <w:rFonts w:ascii="Arial Narrow" w:hAnsi="Arial Narrow"/>
                <w:sz w:val="20"/>
              </w:rPr>
              <w:t xml:space="preserve">Excluded, </w:t>
            </w:r>
            <w:r>
              <w:rPr>
                <w:rFonts w:ascii="Arial Narrow" w:hAnsi="Arial Narrow"/>
                <w:sz w:val="20"/>
              </w:rPr>
              <w:t>as</w:t>
            </w:r>
            <w:r w:rsidRPr="00691872">
              <w:rPr>
                <w:rFonts w:ascii="Arial Narrow" w:hAnsi="Arial Narrow"/>
                <w:sz w:val="20"/>
              </w:rPr>
              <w:t xml:space="preserve"> </w:t>
            </w:r>
            <w:r>
              <w:rPr>
                <w:rFonts w:ascii="Arial Narrow" w:hAnsi="Arial Narrow"/>
                <w:sz w:val="20"/>
              </w:rPr>
              <w:t>i</w:t>
            </w:r>
            <w:r w:rsidRPr="00691872">
              <w:rPr>
                <w:rFonts w:ascii="Arial Narrow" w:hAnsi="Arial Narrow"/>
                <w:sz w:val="20"/>
              </w:rPr>
              <w:t>ncludes aneurysm size 4-4.3 mm on average that were not complex</w:t>
            </w:r>
          </w:p>
        </w:tc>
      </w:tr>
      <w:tr w:rsidR="006460AB" w:rsidRPr="00691872" w14:paraId="73684B03" w14:textId="77777777" w:rsidTr="005610DA">
        <w:tc>
          <w:tcPr>
            <w:tcW w:w="1242" w:type="dxa"/>
            <w:tcBorders>
              <w:right w:val="nil"/>
            </w:tcBorders>
            <w:shd w:val="clear" w:color="auto" w:fill="BFBFBF" w:themeFill="background1" w:themeFillShade="BF"/>
            <w:vAlign w:val="center"/>
          </w:tcPr>
          <w:p w14:paraId="3FA4C5D7" w14:textId="77777777" w:rsidR="006460AB" w:rsidRPr="00691872" w:rsidRDefault="006460AB" w:rsidP="005610DA">
            <w:pPr>
              <w:rPr>
                <w:rFonts w:ascii="Arial Narrow" w:hAnsi="Arial Narrow"/>
                <w:b/>
                <w:sz w:val="20"/>
              </w:rPr>
            </w:pPr>
            <w:r w:rsidRPr="00691872">
              <w:rPr>
                <w:rFonts w:ascii="Arial Narrow" w:hAnsi="Arial Narrow"/>
                <w:b/>
                <w:sz w:val="20"/>
              </w:rPr>
              <w:t>Wrong comparator</w:t>
            </w:r>
          </w:p>
        </w:tc>
        <w:tc>
          <w:tcPr>
            <w:tcW w:w="6194" w:type="dxa"/>
            <w:tcBorders>
              <w:left w:val="nil"/>
              <w:right w:val="nil"/>
            </w:tcBorders>
            <w:shd w:val="clear" w:color="auto" w:fill="BFBFBF" w:themeFill="background1" w:themeFillShade="BF"/>
          </w:tcPr>
          <w:p w14:paraId="2F46910A" w14:textId="77777777" w:rsidR="006460AB" w:rsidRPr="00691872" w:rsidRDefault="006460AB" w:rsidP="005610DA">
            <w:pPr>
              <w:rPr>
                <w:rFonts w:ascii="Arial Narrow" w:hAnsi="Arial Narrow"/>
                <w:b/>
                <w:sz w:val="20"/>
              </w:rPr>
            </w:pPr>
          </w:p>
        </w:tc>
        <w:tc>
          <w:tcPr>
            <w:tcW w:w="1693" w:type="dxa"/>
            <w:tcBorders>
              <w:left w:val="nil"/>
            </w:tcBorders>
            <w:shd w:val="clear" w:color="auto" w:fill="BFBFBF" w:themeFill="background1" w:themeFillShade="BF"/>
            <w:vAlign w:val="center"/>
          </w:tcPr>
          <w:p w14:paraId="4136EE7F" w14:textId="77777777" w:rsidR="006460AB" w:rsidRPr="00691872" w:rsidRDefault="006460AB" w:rsidP="005610DA">
            <w:pPr>
              <w:rPr>
                <w:rFonts w:ascii="Arial Narrow" w:hAnsi="Arial Narrow"/>
                <w:b/>
                <w:sz w:val="20"/>
              </w:rPr>
            </w:pPr>
          </w:p>
        </w:tc>
      </w:tr>
      <w:tr w:rsidR="006460AB" w:rsidRPr="00691872" w14:paraId="33BEADEF" w14:textId="77777777" w:rsidTr="005610DA">
        <w:tc>
          <w:tcPr>
            <w:tcW w:w="1242" w:type="dxa"/>
            <w:vAlign w:val="center"/>
          </w:tcPr>
          <w:p w14:paraId="031299DF" w14:textId="77777777" w:rsidR="006460AB" w:rsidRPr="00691872" w:rsidRDefault="006460AB" w:rsidP="005610DA">
            <w:pPr>
              <w:rPr>
                <w:rFonts w:ascii="Arial Narrow" w:hAnsi="Arial Narrow"/>
                <w:sz w:val="20"/>
              </w:rPr>
            </w:pPr>
            <w:proofErr w:type="spellStart"/>
            <w:r w:rsidRPr="00691872">
              <w:rPr>
                <w:rFonts w:ascii="Arial Narrow" w:hAnsi="Arial Narrow"/>
                <w:sz w:val="20"/>
              </w:rPr>
              <w:t>Lanzino</w:t>
            </w:r>
            <w:proofErr w:type="spellEnd"/>
            <w:r w:rsidRPr="00691872">
              <w:rPr>
                <w:rFonts w:ascii="Arial Narrow" w:hAnsi="Arial Narrow"/>
                <w:sz w:val="20"/>
              </w:rPr>
              <w:t xml:space="preserve"> 2012</w:t>
            </w:r>
          </w:p>
        </w:tc>
        <w:tc>
          <w:tcPr>
            <w:tcW w:w="6194" w:type="dxa"/>
            <w:vAlign w:val="center"/>
          </w:tcPr>
          <w:p w14:paraId="7BA5A326" w14:textId="77777777" w:rsidR="006460AB" w:rsidRPr="00691872" w:rsidRDefault="006460AB" w:rsidP="005610DA">
            <w:pPr>
              <w:rPr>
                <w:rFonts w:ascii="Arial Narrow" w:hAnsi="Arial Narrow"/>
                <w:sz w:val="20"/>
              </w:rPr>
            </w:pPr>
            <w:proofErr w:type="spellStart"/>
            <w:r w:rsidRPr="00691872">
              <w:rPr>
                <w:rFonts w:ascii="Arial Narrow" w:hAnsi="Arial Narrow"/>
                <w:sz w:val="20"/>
              </w:rPr>
              <w:t>Lanzino</w:t>
            </w:r>
            <w:proofErr w:type="spellEnd"/>
            <w:r w:rsidRPr="00691872">
              <w:rPr>
                <w:rFonts w:ascii="Arial Narrow" w:hAnsi="Arial Narrow"/>
                <w:sz w:val="20"/>
              </w:rPr>
              <w:t xml:space="preserve"> et al 2012. Efficacy and Safety of Flow Diversion for </w:t>
            </w:r>
            <w:proofErr w:type="spellStart"/>
            <w:r w:rsidRPr="00691872">
              <w:rPr>
                <w:rFonts w:ascii="Arial Narrow" w:hAnsi="Arial Narrow"/>
                <w:sz w:val="20"/>
              </w:rPr>
              <w:t>Paraclinoid</w:t>
            </w:r>
            <w:proofErr w:type="spellEnd"/>
            <w:r w:rsidRPr="00691872">
              <w:rPr>
                <w:rFonts w:ascii="Arial Narrow" w:hAnsi="Arial Narrow"/>
                <w:sz w:val="20"/>
              </w:rPr>
              <w:t xml:space="preserve"> Aneurysms: A Matched-Pair Analysis Compared with Standard Endovascular. AJNR 33 Dec 2012 (www.ajnr.org)</w:t>
            </w:r>
          </w:p>
        </w:tc>
        <w:tc>
          <w:tcPr>
            <w:tcW w:w="1693" w:type="dxa"/>
            <w:vAlign w:val="center"/>
          </w:tcPr>
          <w:p w14:paraId="1C70F048" w14:textId="77777777" w:rsidR="006460AB" w:rsidRPr="00691872" w:rsidRDefault="006460AB" w:rsidP="005610DA">
            <w:pPr>
              <w:rPr>
                <w:rFonts w:ascii="Arial Narrow" w:hAnsi="Arial Narrow"/>
                <w:sz w:val="20"/>
              </w:rPr>
            </w:pPr>
            <w:r w:rsidRPr="00691872">
              <w:rPr>
                <w:rFonts w:ascii="Arial Narrow" w:hAnsi="Arial Narrow"/>
                <w:sz w:val="20"/>
              </w:rPr>
              <w:t>Excluded, comparator arm includes parent vessel sacrifice (8/22, 36%) data not stratified by modality</w:t>
            </w:r>
          </w:p>
        </w:tc>
      </w:tr>
      <w:tr w:rsidR="006460AB" w:rsidRPr="00691872" w14:paraId="669F9B6E" w14:textId="77777777" w:rsidTr="005610DA">
        <w:tc>
          <w:tcPr>
            <w:tcW w:w="1242" w:type="dxa"/>
            <w:vAlign w:val="center"/>
          </w:tcPr>
          <w:p w14:paraId="35237102" w14:textId="77777777" w:rsidR="006460AB" w:rsidRPr="00691872" w:rsidRDefault="006460AB" w:rsidP="005610DA">
            <w:pPr>
              <w:rPr>
                <w:rFonts w:ascii="Arial Narrow" w:hAnsi="Arial Narrow"/>
                <w:sz w:val="20"/>
              </w:rPr>
            </w:pPr>
            <w:proofErr w:type="spellStart"/>
            <w:r w:rsidRPr="00691872">
              <w:rPr>
                <w:rFonts w:ascii="Arial Narrow" w:hAnsi="Arial Narrow"/>
                <w:sz w:val="20"/>
              </w:rPr>
              <w:t>Peschillo</w:t>
            </w:r>
            <w:proofErr w:type="spellEnd"/>
            <w:r w:rsidRPr="00691872">
              <w:rPr>
                <w:rFonts w:ascii="Arial Narrow" w:hAnsi="Arial Narrow"/>
                <w:sz w:val="20"/>
              </w:rPr>
              <w:t xml:space="preserve"> 2017</w:t>
            </w:r>
          </w:p>
        </w:tc>
        <w:tc>
          <w:tcPr>
            <w:tcW w:w="6194" w:type="dxa"/>
          </w:tcPr>
          <w:p w14:paraId="2BB322A2" w14:textId="77777777" w:rsidR="006460AB" w:rsidRPr="00691872" w:rsidRDefault="006460AB" w:rsidP="005610DA">
            <w:pPr>
              <w:rPr>
                <w:rFonts w:ascii="Arial Narrow" w:hAnsi="Arial Narrow"/>
                <w:sz w:val="20"/>
              </w:rPr>
            </w:pPr>
            <w:proofErr w:type="spellStart"/>
            <w:r w:rsidRPr="00691872">
              <w:rPr>
                <w:rFonts w:ascii="Arial Narrow" w:hAnsi="Arial Narrow"/>
                <w:sz w:val="20"/>
              </w:rPr>
              <w:t>Peschillo</w:t>
            </w:r>
            <w:proofErr w:type="spellEnd"/>
            <w:r w:rsidRPr="00691872">
              <w:rPr>
                <w:rFonts w:ascii="Arial Narrow" w:hAnsi="Arial Narrow"/>
                <w:sz w:val="20"/>
              </w:rPr>
              <w:t xml:space="preserve"> S, </w:t>
            </w:r>
            <w:proofErr w:type="spellStart"/>
            <w:r w:rsidRPr="00691872">
              <w:rPr>
                <w:rFonts w:ascii="Arial Narrow" w:hAnsi="Arial Narrow"/>
                <w:sz w:val="20"/>
              </w:rPr>
              <w:t>Caporlingua</w:t>
            </w:r>
            <w:proofErr w:type="spellEnd"/>
            <w:r w:rsidRPr="00691872">
              <w:rPr>
                <w:rFonts w:ascii="Arial Narrow" w:hAnsi="Arial Narrow"/>
                <w:sz w:val="20"/>
              </w:rPr>
              <w:t xml:space="preserve"> A, </w:t>
            </w:r>
            <w:proofErr w:type="spellStart"/>
            <w:r w:rsidRPr="00691872">
              <w:rPr>
                <w:rFonts w:ascii="Arial Narrow" w:hAnsi="Arial Narrow"/>
                <w:sz w:val="20"/>
              </w:rPr>
              <w:t>Resta</w:t>
            </w:r>
            <w:proofErr w:type="spellEnd"/>
            <w:r w:rsidRPr="00691872">
              <w:rPr>
                <w:rFonts w:ascii="Arial Narrow" w:hAnsi="Arial Narrow"/>
                <w:sz w:val="20"/>
              </w:rPr>
              <w:t xml:space="preserve"> MC, Paul </w:t>
            </w:r>
            <w:proofErr w:type="spellStart"/>
            <w:r w:rsidRPr="00691872">
              <w:rPr>
                <w:rFonts w:ascii="Arial Narrow" w:hAnsi="Arial Narrow"/>
                <w:sz w:val="20"/>
              </w:rPr>
              <w:t>Peluso</w:t>
            </w:r>
            <w:proofErr w:type="spellEnd"/>
            <w:r w:rsidRPr="00691872">
              <w:rPr>
                <w:rFonts w:ascii="Arial Narrow" w:hAnsi="Arial Narrow"/>
                <w:sz w:val="20"/>
              </w:rPr>
              <w:t xml:space="preserve"> JP, </w:t>
            </w:r>
            <w:proofErr w:type="spellStart"/>
            <w:r w:rsidRPr="00691872">
              <w:rPr>
                <w:rFonts w:ascii="Arial Narrow" w:hAnsi="Arial Narrow"/>
                <w:sz w:val="20"/>
              </w:rPr>
              <w:t>Burdi</w:t>
            </w:r>
            <w:proofErr w:type="spellEnd"/>
            <w:r w:rsidRPr="00691872">
              <w:rPr>
                <w:rFonts w:ascii="Arial Narrow" w:hAnsi="Arial Narrow"/>
                <w:sz w:val="20"/>
              </w:rPr>
              <w:t xml:space="preserve"> N, </w:t>
            </w:r>
            <w:proofErr w:type="spellStart"/>
            <w:r w:rsidRPr="00691872">
              <w:rPr>
                <w:rFonts w:ascii="Arial Narrow" w:hAnsi="Arial Narrow"/>
                <w:sz w:val="20"/>
              </w:rPr>
              <w:t>Sourour</w:t>
            </w:r>
            <w:proofErr w:type="spellEnd"/>
            <w:r w:rsidRPr="00691872">
              <w:rPr>
                <w:rFonts w:ascii="Arial Narrow" w:hAnsi="Arial Narrow"/>
                <w:sz w:val="20"/>
              </w:rPr>
              <w:t xml:space="preserve"> N, et al. Endovascular treatment of large and giant carotid aneurysms with flow-diverter stents alone or in combination with coils: A </w:t>
            </w:r>
            <w:proofErr w:type="spellStart"/>
            <w:r w:rsidRPr="00691872">
              <w:rPr>
                <w:rFonts w:ascii="Arial Narrow" w:hAnsi="Arial Narrow"/>
                <w:sz w:val="20"/>
              </w:rPr>
              <w:t>multicenter</w:t>
            </w:r>
            <w:proofErr w:type="spellEnd"/>
            <w:r w:rsidRPr="00691872">
              <w:rPr>
                <w:rFonts w:ascii="Arial Narrow" w:hAnsi="Arial Narrow"/>
                <w:sz w:val="20"/>
              </w:rPr>
              <w:t xml:space="preserve"> experience and long-term follow-up. Operative Neurosurgery. 2017</w:t>
            </w:r>
            <w:proofErr w:type="gramStart"/>
            <w:r w:rsidRPr="00691872">
              <w:rPr>
                <w:rFonts w:ascii="Arial Narrow" w:hAnsi="Arial Narrow"/>
                <w:sz w:val="20"/>
              </w:rPr>
              <w:t>;13</w:t>
            </w:r>
            <w:proofErr w:type="gramEnd"/>
            <w:r w:rsidRPr="00691872">
              <w:rPr>
                <w:rFonts w:ascii="Arial Narrow" w:hAnsi="Arial Narrow"/>
                <w:sz w:val="20"/>
              </w:rPr>
              <w:t>(4):492-502.</w:t>
            </w:r>
          </w:p>
        </w:tc>
        <w:tc>
          <w:tcPr>
            <w:tcW w:w="1693" w:type="dxa"/>
            <w:vAlign w:val="center"/>
          </w:tcPr>
          <w:p w14:paraId="12447094" w14:textId="77777777" w:rsidR="006460AB" w:rsidRPr="00691872" w:rsidRDefault="006460AB" w:rsidP="005610DA">
            <w:pPr>
              <w:rPr>
                <w:rFonts w:ascii="Arial Narrow" w:hAnsi="Arial Narrow"/>
                <w:sz w:val="20"/>
              </w:rPr>
            </w:pPr>
            <w:r w:rsidRPr="00691872">
              <w:rPr>
                <w:rFonts w:ascii="Arial Narrow" w:hAnsi="Arial Narrow"/>
                <w:sz w:val="20"/>
              </w:rPr>
              <w:t>Excluded, wrong comparator (comparator includes FD)</w:t>
            </w:r>
          </w:p>
        </w:tc>
      </w:tr>
    </w:tbl>
    <w:p w14:paraId="141AB79C" w14:textId="77777777" w:rsidR="006460AB" w:rsidRPr="00691872" w:rsidRDefault="006460AB" w:rsidP="006460AB">
      <w:pPr>
        <w:rPr>
          <w:rFonts w:ascii="Arial Narrow" w:hAnsi="Arial Narrow"/>
          <w:sz w:val="20"/>
        </w:rPr>
      </w:pPr>
      <w:r w:rsidRPr="00691872">
        <w:rPr>
          <w:rFonts w:ascii="Arial Narrow" w:hAnsi="Arial Narrow"/>
          <w:sz w:val="20"/>
        </w:rPr>
        <w:t>Source: Table 17, p61-63 of the SBA</w:t>
      </w:r>
    </w:p>
    <w:p w14:paraId="383C3E80" w14:textId="6F2984AF" w:rsidR="006460AB" w:rsidRDefault="006460AB" w:rsidP="00242873">
      <w:pPr>
        <w:spacing w:before="240" w:after="240"/>
        <w:rPr>
          <w:color w:val="000000"/>
        </w:rPr>
      </w:pPr>
      <w:r w:rsidRPr="00073443">
        <w:rPr>
          <w:color w:val="000000"/>
        </w:rPr>
        <w:t>Additional publications of non-comparative studies</w:t>
      </w:r>
      <w:r>
        <w:rPr>
          <w:color w:val="000000"/>
        </w:rPr>
        <w:t xml:space="preserve"> were included in the SBA to </w:t>
      </w:r>
      <w:r w:rsidRPr="00073443">
        <w:rPr>
          <w:color w:val="000000"/>
        </w:rPr>
        <w:t>provide supplementary data for the population treated with FD in a recu</w:t>
      </w:r>
      <w:r>
        <w:rPr>
          <w:color w:val="000000"/>
        </w:rPr>
        <w:t xml:space="preserve">rrent or </w:t>
      </w:r>
      <w:proofErr w:type="spellStart"/>
      <w:r>
        <w:rPr>
          <w:color w:val="000000"/>
        </w:rPr>
        <w:t>recanalised</w:t>
      </w:r>
      <w:proofErr w:type="spellEnd"/>
      <w:r>
        <w:rPr>
          <w:color w:val="000000"/>
        </w:rPr>
        <w:t xml:space="preserve"> aneurysm (P</w:t>
      </w:r>
      <w:r w:rsidRPr="00073443">
        <w:rPr>
          <w:color w:val="000000"/>
        </w:rPr>
        <w:t>opulation 4) or for difficult to treat aneurysms that could not be treated using conv</w:t>
      </w:r>
      <w:r>
        <w:rPr>
          <w:color w:val="000000"/>
        </w:rPr>
        <w:t>entional endovascular methods (Population 3) (Table 5).</w:t>
      </w:r>
    </w:p>
    <w:p w14:paraId="7A367EAD" w14:textId="77777777" w:rsidR="006460AB" w:rsidRPr="004B35C9" w:rsidRDefault="006460AB" w:rsidP="004B35C9">
      <w:pPr>
        <w:rPr>
          <w:rFonts w:ascii="Arial Narrow" w:hAnsi="Arial Narrow"/>
          <w:b/>
          <w:sz w:val="20"/>
        </w:rPr>
      </w:pPr>
      <w:r w:rsidRPr="004B35C9">
        <w:rPr>
          <w:rFonts w:ascii="Arial Narrow" w:hAnsi="Arial Narrow"/>
          <w:b/>
          <w:sz w:val="20"/>
        </w:rPr>
        <w:t>Table 5: Supplementary non-comparative studies included in the SBA</w:t>
      </w:r>
    </w:p>
    <w:tbl>
      <w:tblPr>
        <w:tblStyle w:val="TableGrid"/>
        <w:tblW w:w="0" w:type="auto"/>
        <w:tblLook w:val="04A0" w:firstRow="1" w:lastRow="0" w:firstColumn="1" w:lastColumn="0" w:noHBand="0" w:noVBand="1"/>
        <w:tblCaption w:val="List of identified non-comparative studies"/>
        <w:tblDescription w:val="List of identified non-comparative studies"/>
      </w:tblPr>
      <w:tblGrid>
        <w:gridCol w:w="1555"/>
        <w:gridCol w:w="4961"/>
        <w:gridCol w:w="2500"/>
      </w:tblGrid>
      <w:tr w:rsidR="006460AB" w:rsidRPr="00623854" w14:paraId="7D7A1A7E" w14:textId="77777777" w:rsidTr="005610DA">
        <w:trPr>
          <w:tblHeader/>
        </w:trPr>
        <w:tc>
          <w:tcPr>
            <w:tcW w:w="1555" w:type="dxa"/>
            <w:tcBorders>
              <w:bottom w:val="single" w:sz="4" w:space="0" w:color="auto"/>
            </w:tcBorders>
          </w:tcPr>
          <w:p w14:paraId="17A6AC4F" w14:textId="77777777" w:rsidR="006460AB" w:rsidRPr="00623854" w:rsidRDefault="006460AB" w:rsidP="005610DA">
            <w:pPr>
              <w:rPr>
                <w:rFonts w:ascii="Arial Narrow" w:hAnsi="Arial Narrow"/>
                <w:b/>
                <w:sz w:val="20"/>
              </w:rPr>
            </w:pPr>
            <w:r w:rsidRPr="00623854">
              <w:rPr>
                <w:rFonts w:ascii="Arial Narrow" w:hAnsi="Arial Narrow"/>
                <w:b/>
                <w:sz w:val="20"/>
              </w:rPr>
              <w:t>Study ID</w:t>
            </w:r>
          </w:p>
        </w:tc>
        <w:tc>
          <w:tcPr>
            <w:tcW w:w="4961" w:type="dxa"/>
            <w:tcBorders>
              <w:bottom w:val="single" w:sz="4" w:space="0" w:color="auto"/>
            </w:tcBorders>
            <w:vAlign w:val="center"/>
          </w:tcPr>
          <w:p w14:paraId="702D171B" w14:textId="77777777" w:rsidR="006460AB" w:rsidRPr="00623854" w:rsidRDefault="006460AB" w:rsidP="005610DA">
            <w:pPr>
              <w:rPr>
                <w:rFonts w:ascii="Arial Narrow" w:hAnsi="Arial Narrow"/>
                <w:b/>
                <w:sz w:val="20"/>
              </w:rPr>
            </w:pPr>
            <w:r w:rsidRPr="00623854">
              <w:rPr>
                <w:rFonts w:ascii="Arial Narrow" w:hAnsi="Arial Narrow"/>
                <w:b/>
                <w:sz w:val="20"/>
              </w:rPr>
              <w:t>Citation</w:t>
            </w:r>
          </w:p>
        </w:tc>
        <w:tc>
          <w:tcPr>
            <w:tcW w:w="2500" w:type="dxa"/>
            <w:tcBorders>
              <w:bottom w:val="single" w:sz="4" w:space="0" w:color="auto"/>
            </w:tcBorders>
            <w:vAlign w:val="center"/>
          </w:tcPr>
          <w:p w14:paraId="0CDC60CC" w14:textId="77777777" w:rsidR="006460AB" w:rsidRPr="00623854" w:rsidRDefault="006460AB" w:rsidP="005610DA">
            <w:pPr>
              <w:rPr>
                <w:rFonts w:ascii="Arial Narrow" w:hAnsi="Arial Narrow"/>
                <w:b/>
                <w:sz w:val="20"/>
              </w:rPr>
            </w:pPr>
            <w:r w:rsidRPr="00623854">
              <w:rPr>
                <w:rFonts w:ascii="Arial Narrow" w:hAnsi="Arial Narrow"/>
                <w:b/>
                <w:sz w:val="20"/>
              </w:rPr>
              <w:t>Comment</w:t>
            </w:r>
          </w:p>
        </w:tc>
      </w:tr>
      <w:tr w:rsidR="006460AB" w:rsidRPr="00623854" w14:paraId="4B7CA954" w14:textId="77777777" w:rsidTr="005610DA">
        <w:tc>
          <w:tcPr>
            <w:tcW w:w="1555" w:type="dxa"/>
            <w:tcBorders>
              <w:bottom w:val="single" w:sz="4" w:space="0" w:color="auto"/>
              <w:right w:val="nil"/>
            </w:tcBorders>
            <w:shd w:val="clear" w:color="auto" w:fill="D9D9D9" w:themeFill="background1" w:themeFillShade="D9"/>
          </w:tcPr>
          <w:p w14:paraId="5057504E" w14:textId="77777777" w:rsidR="006460AB" w:rsidRPr="00623854" w:rsidRDefault="006460AB" w:rsidP="005610DA">
            <w:pPr>
              <w:rPr>
                <w:rFonts w:ascii="Arial Narrow" w:hAnsi="Arial Narrow"/>
                <w:b/>
                <w:sz w:val="20"/>
              </w:rPr>
            </w:pPr>
            <w:r w:rsidRPr="00623854">
              <w:rPr>
                <w:rFonts w:ascii="Arial Narrow" w:hAnsi="Arial Narrow"/>
                <w:b/>
                <w:sz w:val="20"/>
              </w:rPr>
              <w:t>Difficult to treat</w:t>
            </w:r>
          </w:p>
        </w:tc>
        <w:tc>
          <w:tcPr>
            <w:tcW w:w="4961" w:type="dxa"/>
            <w:tcBorders>
              <w:left w:val="nil"/>
              <w:right w:val="nil"/>
            </w:tcBorders>
            <w:shd w:val="clear" w:color="auto" w:fill="D9D9D9" w:themeFill="background1" w:themeFillShade="D9"/>
          </w:tcPr>
          <w:p w14:paraId="40B095FB" w14:textId="77777777" w:rsidR="006460AB" w:rsidRPr="00623854" w:rsidRDefault="006460AB" w:rsidP="005610DA">
            <w:pPr>
              <w:rPr>
                <w:rFonts w:ascii="Arial Narrow" w:hAnsi="Arial Narrow"/>
                <w:b/>
                <w:sz w:val="20"/>
              </w:rPr>
            </w:pPr>
          </w:p>
        </w:tc>
        <w:tc>
          <w:tcPr>
            <w:tcW w:w="2500" w:type="dxa"/>
            <w:tcBorders>
              <w:left w:val="nil"/>
              <w:bottom w:val="single" w:sz="4" w:space="0" w:color="auto"/>
            </w:tcBorders>
            <w:shd w:val="clear" w:color="auto" w:fill="D9D9D9" w:themeFill="background1" w:themeFillShade="D9"/>
          </w:tcPr>
          <w:p w14:paraId="51768943" w14:textId="77777777" w:rsidR="006460AB" w:rsidRPr="00623854" w:rsidRDefault="006460AB" w:rsidP="005610DA">
            <w:pPr>
              <w:rPr>
                <w:rFonts w:ascii="Arial Narrow" w:hAnsi="Arial Narrow"/>
                <w:sz w:val="20"/>
              </w:rPr>
            </w:pPr>
          </w:p>
        </w:tc>
      </w:tr>
      <w:tr w:rsidR="006460AB" w:rsidRPr="00623854" w14:paraId="032D9DFF" w14:textId="77777777" w:rsidTr="005610DA">
        <w:tc>
          <w:tcPr>
            <w:tcW w:w="1555" w:type="dxa"/>
            <w:tcBorders>
              <w:bottom w:val="nil"/>
            </w:tcBorders>
          </w:tcPr>
          <w:p w14:paraId="0878DB21" w14:textId="77777777" w:rsidR="006460AB" w:rsidRPr="00623854" w:rsidRDefault="006460AB" w:rsidP="005610DA">
            <w:pPr>
              <w:rPr>
                <w:rFonts w:ascii="Arial Narrow" w:hAnsi="Arial Narrow"/>
                <w:sz w:val="20"/>
              </w:rPr>
            </w:pPr>
            <w:proofErr w:type="spellStart"/>
            <w:r w:rsidRPr="00623854">
              <w:rPr>
                <w:rFonts w:ascii="Arial Narrow" w:hAnsi="Arial Narrow"/>
                <w:sz w:val="20"/>
              </w:rPr>
              <w:t>Becske</w:t>
            </w:r>
            <w:proofErr w:type="spellEnd"/>
            <w:r w:rsidRPr="00623854">
              <w:rPr>
                <w:rFonts w:ascii="Arial Narrow" w:hAnsi="Arial Narrow"/>
                <w:sz w:val="20"/>
              </w:rPr>
              <w:t xml:space="preserve"> 2013 (PUFS)</w:t>
            </w:r>
          </w:p>
        </w:tc>
        <w:tc>
          <w:tcPr>
            <w:tcW w:w="4961" w:type="dxa"/>
          </w:tcPr>
          <w:p w14:paraId="1F7B2BC6" w14:textId="77777777" w:rsidR="006460AB" w:rsidRPr="00623854" w:rsidRDefault="006460AB" w:rsidP="00242873">
            <w:pPr>
              <w:spacing w:after="120"/>
              <w:rPr>
                <w:rFonts w:ascii="Arial Narrow" w:hAnsi="Arial Narrow"/>
                <w:sz w:val="20"/>
              </w:rPr>
            </w:pPr>
            <w:proofErr w:type="spellStart"/>
            <w:r w:rsidRPr="00623854">
              <w:rPr>
                <w:rFonts w:ascii="Arial Narrow" w:hAnsi="Arial Narrow"/>
                <w:sz w:val="20"/>
              </w:rPr>
              <w:t>Becske</w:t>
            </w:r>
            <w:proofErr w:type="spellEnd"/>
            <w:r w:rsidRPr="00623854">
              <w:rPr>
                <w:rFonts w:ascii="Arial Narrow" w:hAnsi="Arial Narrow"/>
                <w:sz w:val="20"/>
              </w:rPr>
              <w:t xml:space="preserve"> T et al (2013). Pipeline for </w:t>
            </w:r>
            <w:proofErr w:type="spellStart"/>
            <w:r w:rsidRPr="00623854">
              <w:rPr>
                <w:rFonts w:ascii="Arial Narrow" w:hAnsi="Arial Narrow"/>
                <w:sz w:val="20"/>
              </w:rPr>
              <w:t>uncoilable</w:t>
            </w:r>
            <w:proofErr w:type="spellEnd"/>
            <w:r w:rsidRPr="00623854">
              <w:rPr>
                <w:rFonts w:ascii="Arial Narrow" w:hAnsi="Arial Narrow"/>
                <w:sz w:val="20"/>
              </w:rPr>
              <w:t xml:space="preserve"> or failed aneurysms: results from a </w:t>
            </w:r>
            <w:proofErr w:type="spellStart"/>
            <w:r w:rsidRPr="00623854">
              <w:rPr>
                <w:rFonts w:ascii="Arial Narrow" w:hAnsi="Arial Narrow"/>
                <w:sz w:val="20"/>
              </w:rPr>
              <w:t>multicenter</w:t>
            </w:r>
            <w:proofErr w:type="spellEnd"/>
            <w:r w:rsidRPr="00623854">
              <w:rPr>
                <w:rFonts w:ascii="Arial Narrow" w:hAnsi="Arial Narrow"/>
                <w:sz w:val="20"/>
              </w:rPr>
              <w:t xml:space="preserve"> clinical trial. Radiology. Jun</w:t>
            </w:r>
            <w:proofErr w:type="gramStart"/>
            <w:r w:rsidRPr="00623854">
              <w:rPr>
                <w:rFonts w:ascii="Arial Narrow" w:hAnsi="Arial Narrow"/>
                <w:sz w:val="20"/>
              </w:rPr>
              <w:t>;267</w:t>
            </w:r>
            <w:proofErr w:type="gramEnd"/>
            <w:r w:rsidRPr="00623854">
              <w:rPr>
                <w:rFonts w:ascii="Arial Narrow" w:hAnsi="Arial Narrow"/>
                <w:sz w:val="20"/>
              </w:rPr>
              <w:t>(3):858-68.</w:t>
            </w:r>
          </w:p>
        </w:tc>
        <w:tc>
          <w:tcPr>
            <w:tcW w:w="2500" w:type="dxa"/>
            <w:tcBorders>
              <w:bottom w:val="nil"/>
            </w:tcBorders>
          </w:tcPr>
          <w:p w14:paraId="534B19E7" w14:textId="77777777" w:rsidR="006460AB" w:rsidRPr="00623854" w:rsidRDefault="006460AB" w:rsidP="005610DA">
            <w:pPr>
              <w:rPr>
                <w:rFonts w:ascii="Arial Narrow" w:hAnsi="Arial Narrow"/>
                <w:sz w:val="20"/>
              </w:rPr>
            </w:pPr>
            <w:proofErr w:type="spellStart"/>
            <w:r w:rsidRPr="00623854">
              <w:rPr>
                <w:rFonts w:ascii="Arial Narrow" w:hAnsi="Arial Narrow"/>
                <w:sz w:val="20"/>
              </w:rPr>
              <w:t>Uncoilable</w:t>
            </w:r>
            <w:proofErr w:type="spellEnd"/>
            <w:r w:rsidRPr="00623854">
              <w:rPr>
                <w:rFonts w:ascii="Arial Narrow" w:hAnsi="Arial Narrow"/>
                <w:sz w:val="20"/>
              </w:rPr>
              <w:t xml:space="preserve"> or Failed </w:t>
            </w:r>
            <w:proofErr w:type="spellStart"/>
            <w:r w:rsidRPr="00623854">
              <w:rPr>
                <w:rFonts w:ascii="Arial Narrow" w:hAnsi="Arial Narrow"/>
                <w:sz w:val="20"/>
              </w:rPr>
              <w:t>Aneurysms</w:t>
            </w:r>
            <w:r w:rsidRPr="00623854">
              <w:rPr>
                <w:rFonts w:ascii="Arial Narrow" w:hAnsi="Arial Narrow"/>
                <w:sz w:val="20"/>
                <w:vertAlign w:val="superscript"/>
              </w:rPr>
              <w:t>b</w:t>
            </w:r>
            <w:proofErr w:type="spellEnd"/>
          </w:p>
        </w:tc>
      </w:tr>
      <w:tr w:rsidR="006460AB" w:rsidRPr="00623854" w14:paraId="2D59E23C" w14:textId="77777777" w:rsidTr="005610DA">
        <w:tc>
          <w:tcPr>
            <w:tcW w:w="1555" w:type="dxa"/>
            <w:tcBorders>
              <w:top w:val="nil"/>
              <w:bottom w:val="nil"/>
            </w:tcBorders>
          </w:tcPr>
          <w:p w14:paraId="0812E268" w14:textId="77777777" w:rsidR="006460AB" w:rsidRPr="00623854" w:rsidRDefault="006460AB" w:rsidP="005610DA">
            <w:pPr>
              <w:rPr>
                <w:rFonts w:ascii="Arial Narrow" w:hAnsi="Arial Narrow"/>
                <w:sz w:val="20"/>
              </w:rPr>
            </w:pPr>
          </w:p>
        </w:tc>
        <w:tc>
          <w:tcPr>
            <w:tcW w:w="4961" w:type="dxa"/>
          </w:tcPr>
          <w:p w14:paraId="57846E0C" w14:textId="77777777" w:rsidR="006460AB" w:rsidRPr="00623854" w:rsidRDefault="006460AB" w:rsidP="00242873">
            <w:pPr>
              <w:spacing w:after="120"/>
              <w:rPr>
                <w:rFonts w:ascii="Arial Narrow" w:hAnsi="Arial Narrow"/>
                <w:sz w:val="20"/>
              </w:rPr>
            </w:pPr>
            <w:proofErr w:type="spellStart"/>
            <w:r w:rsidRPr="00623854">
              <w:rPr>
                <w:rFonts w:ascii="Arial Narrow" w:hAnsi="Arial Narrow"/>
                <w:sz w:val="20"/>
              </w:rPr>
              <w:t>Becske</w:t>
            </w:r>
            <w:proofErr w:type="spellEnd"/>
            <w:r w:rsidRPr="00623854">
              <w:rPr>
                <w:rFonts w:ascii="Arial Narrow" w:hAnsi="Arial Narrow"/>
                <w:sz w:val="20"/>
              </w:rPr>
              <w:t xml:space="preserve"> T et al. 2016. Pipeline for </w:t>
            </w:r>
            <w:proofErr w:type="spellStart"/>
            <w:r w:rsidRPr="00623854">
              <w:rPr>
                <w:rFonts w:ascii="Arial Narrow" w:hAnsi="Arial Narrow"/>
                <w:sz w:val="20"/>
              </w:rPr>
              <w:t>uncoilable</w:t>
            </w:r>
            <w:proofErr w:type="spellEnd"/>
            <w:r w:rsidRPr="00623854">
              <w:rPr>
                <w:rFonts w:ascii="Arial Narrow" w:hAnsi="Arial Narrow"/>
                <w:sz w:val="20"/>
              </w:rPr>
              <w:t xml:space="preserve"> or failed aneurysms: 3-year follow-up results. J </w:t>
            </w:r>
            <w:proofErr w:type="spellStart"/>
            <w:r w:rsidRPr="00623854">
              <w:rPr>
                <w:rFonts w:ascii="Arial Narrow" w:hAnsi="Arial Narrow"/>
                <w:sz w:val="20"/>
              </w:rPr>
              <w:t>Neurosurg</w:t>
            </w:r>
            <w:proofErr w:type="spellEnd"/>
            <w:r w:rsidRPr="00623854">
              <w:rPr>
                <w:rFonts w:ascii="Arial Narrow" w:hAnsi="Arial Narrow"/>
                <w:sz w:val="20"/>
              </w:rPr>
              <w:t xml:space="preserve"> October 14, p 1–8. </w:t>
            </w:r>
          </w:p>
        </w:tc>
        <w:tc>
          <w:tcPr>
            <w:tcW w:w="2500" w:type="dxa"/>
            <w:tcBorders>
              <w:top w:val="nil"/>
              <w:bottom w:val="nil"/>
            </w:tcBorders>
          </w:tcPr>
          <w:p w14:paraId="0E7EB106" w14:textId="77777777" w:rsidR="006460AB" w:rsidRPr="00623854" w:rsidRDefault="006460AB" w:rsidP="005610DA">
            <w:pPr>
              <w:rPr>
                <w:rFonts w:ascii="Arial Narrow" w:hAnsi="Arial Narrow"/>
                <w:sz w:val="20"/>
              </w:rPr>
            </w:pPr>
          </w:p>
        </w:tc>
      </w:tr>
      <w:tr w:rsidR="006460AB" w:rsidRPr="00623854" w14:paraId="347B52D3" w14:textId="77777777" w:rsidTr="005610DA">
        <w:tc>
          <w:tcPr>
            <w:tcW w:w="1555" w:type="dxa"/>
            <w:tcBorders>
              <w:top w:val="nil"/>
            </w:tcBorders>
          </w:tcPr>
          <w:p w14:paraId="6C48F455" w14:textId="77777777" w:rsidR="006460AB" w:rsidRPr="00623854" w:rsidRDefault="006460AB" w:rsidP="005610DA">
            <w:pPr>
              <w:rPr>
                <w:rFonts w:ascii="Arial Narrow" w:hAnsi="Arial Narrow"/>
                <w:sz w:val="20"/>
              </w:rPr>
            </w:pPr>
          </w:p>
        </w:tc>
        <w:tc>
          <w:tcPr>
            <w:tcW w:w="4961" w:type="dxa"/>
          </w:tcPr>
          <w:p w14:paraId="45D2473B" w14:textId="77777777" w:rsidR="006460AB" w:rsidRPr="00623854" w:rsidRDefault="006460AB" w:rsidP="00242873">
            <w:pPr>
              <w:spacing w:after="120"/>
              <w:rPr>
                <w:rFonts w:ascii="Arial Narrow" w:hAnsi="Arial Narrow"/>
                <w:sz w:val="20"/>
              </w:rPr>
            </w:pPr>
            <w:proofErr w:type="spellStart"/>
            <w:r w:rsidRPr="00623854">
              <w:rPr>
                <w:rFonts w:ascii="Arial Narrow" w:hAnsi="Arial Narrow"/>
                <w:sz w:val="20"/>
              </w:rPr>
              <w:t>Becske</w:t>
            </w:r>
            <w:proofErr w:type="spellEnd"/>
            <w:r w:rsidRPr="00623854">
              <w:rPr>
                <w:rFonts w:ascii="Arial Narrow" w:hAnsi="Arial Narrow"/>
                <w:sz w:val="20"/>
              </w:rPr>
              <w:t xml:space="preserve"> T et al. 2017. Long-Term Clinical and Angiographic Outcomes Following Pipeline Embolization Device Treatment of Complex Internal Carotid Artery Aneurysms: Five-Year Results of the Pipeline for </w:t>
            </w:r>
            <w:proofErr w:type="spellStart"/>
            <w:r w:rsidRPr="00623854">
              <w:rPr>
                <w:rFonts w:ascii="Arial Narrow" w:hAnsi="Arial Narrow"/>
                <w:sz w:val="20"/>
              </w:rPr>
              <w:t>Uncoilable</w:t>
            </w:r>
            <w:proofErr w:type="spellEnd"/>
            <w:r w:rsidRPr="00623854">
              <w:rPr>
                <w:rFonts w:ascii="Arial Narrow" w:hAnsi="Arial Narrow"/>
                <w:sz w:val="20"/>
              </w:rPr>
              <w:t xml:space="preserve"> or Failed Aneurysms Trial. Neurosurgery 80:40–48.</w:t>
            </w:r>
          </w:p>
        </w:tc>
        <w:tc>
          <w:tcPr>
            <w:tcW w:w="2500" w:type="dxa"/>
            <w:tcBorders>
              <w:top w:val="nil"/>
            </w:tcBorders>
          </w:tcPr>
          <w:p w14:paraId="2F038112" w14:textId="77777777" w:rsidR="006460AB" w:rsidRPr="00623854" w:rsidRDefault="006460AB" w:rsidP="005610DA">
            <w:pPr>
              <w:rPr>
                <w:rFonts w:ascii="Arial Narrow" w:hAnsi="Arial Narrow"/>
                <w:sz w:val="20"/>
              </w:rPr>
            </w:pPr>
          </w:p>
        </w:tc>
      </w:tr>
      <w:tr w:rsidR="006460AB" w:rsidRPr="00623854" w14:paraId="49FE23D3" w14:textId="77777777" w:rsidTr="005610DA">
        <w:tc>
          <w:tcPr>
            <w:tcW w:w="1555" w:type="dxa"/>
          </w:tcPr>
          <w:p w14:paraId="7A2546D5" w14:textId="77777777" w:rsidR="006460AB" w:rsidRPr="00623854" w:rsidRDefault="006460AB" w:rsidP="005610DA">
            <w:pPr>
              <w:rPr>
                <w:rFonts w:ascii="Arial Narrow" w:hAnsi="Arial Narrow"/>
                <w:sz w:val="20"/>
              </w:rPr>
            </w:pPr>
            <w:r w:rsidRPr="00623854">
              <w:rPr>
                <w:rFonts w:ascii="Arial Narrow" w:hAnsi="Arial Narrow"/>
                <w:sz w:val="20"/>
              </w:rPr>
              <w:t>Briganti 2016</w:t>
            </w:r>
          </w:p>
        </w:tc>
        <w:tc>
          <w:tcPr>
            <w:tcW w:w="4961" w:type="dxa"/>
          </w:tcPr>
          <w:p w14:paraId="031B65F3" w14:textId="77777777" w:rsidR="006460AB" w:rsidRPr="00623854" w:rsidRDefault="006460AB" w:rsidP="00242873">
            <w:pPr>
              <w:spacing w:after="120"/>
              <w:rPr>
                <w:rFonts w:ascii="Arial Narrow" w:hAnsi="Arial Narrow"/>
                <w:sz w:val="20"/>
              </w:rPr>
            </w:pPr>
            <w:r w:rsidRPr="00623854">
              <w:rPr>
                <w:rFonts w:ascii="Arial Narrow" w:hAnsi="Arial Narrow"/>
                <w:sz w:val="20"/>
              </w:rPr>
              <w:t xml:space="preserve">Briganti, F., et al. (2016). Mid-term and long-term follow-up of intracranial aneurysms treated by the p64 Flow Modulation Device: A </w:t>
            </w:r>
            <w:proofErr w:type="spellStart"/>
            <w:r w:rsidRPr="00623854">
              <w:rPr>
                <w:rFonts w:ascii="Arial Narrow" w:hAnsi="Arial Narrow"/>
                <w:sz w:val="20"/>
              </w:rPr>
              <w:t>multicenter</w:t>
            </w:r>
            <w:proofErr w:type="spellEnd"/>
            <w:r w:rsidRPr="00623854">
              <w:rPr>
                <w:rFonts w:ascii="Arial Narrow" w:hAnsi="Arial Narrow"/>
                <w:sz w:val="20"/>
              </w:rPr>
              <w:t xml:space="preserve"> experience. Journal of </w:t>
            </w:r>
            <w:proofErr w:type="spellStart"/>
            <w:r w:rsidRPr="00623854">
              <w:rPr>
                <w:rFonts w:ascii="Arial Narrow" w:hAnsi="Arial Narrow"/>
                <w:sz w:val="20"/>
              </w:rPr>
              <w:t>NeuroInterventional</w:t>
            </w:r>
            <w:proofErr w:type="spellEnd"/>
            <w:r w:rsidRPr="00623854">
              <w:rPr>
                <w:rFonts w:ascii="Arial Narrow" w:hAnsi="Arial Narrow"/>
                <w:sz w:val="20"/>
              </w:rPr>
              <w:t xml:space="preserve"> Surgery 9(1): 70-76.</w:t>
            </w:r>
          </w:p>
        </w:tc>
        <w:tc>
          <w:tcPr>
            <w:tcW w:w="2500" w:type="dxa"/>
          </w:tcPr>
          <w:p w14:paraId="4D22C576" w14:textId="77777777" w:rsidR="006460AB" w:rsidRPr="00623854" w:rsidRDefault="006460AB" w:rsidP="005610DA">
            <w:pPr>
              <w:rPr>
                <w:rFonts w:ascii="Arial Narrow" w:hAnsi="Arial Narrow"/>
                <w:sz w:val="20"/>
              </w:rPr>
            </w:pPr>
            <w:r w:rsidRPr="00623854">
              <w:rPr>
                <w:rFonts w:ascii="Arial Narrow" w:hAnsi="Arial Narrow"/>
                <w:sz w:val="20"/>
              </w:rPr>
              <w:t xml:space="preserve">Aneurysms difficult to treat with other standard endovascular techniques </w:t>
            </w:r>
          </w:p>
        </w:tc>
      </w:tr>
      <w:tr w:rsidR="006460AB" w:rsidRPr="00623854" w14:paraId="4194DF88" w14:textId="77777777" w:rsidTr="005610DA">
        <w:tc>
          <w:tcPr>
            <w:tcW w:w="1555" w:type="dxa"/>
            <w:tcBorders>
              <w:bottom w:val="single" w:sz="4" w:space="0" w:color="auto"/>
            </w:tcBorders>
          </w:tcPr>
          <w:p w14:paraId="35B12BF8" w14:textId="77777777" w:rsidR="006460AB" w:rsidRPr="00623854" w:rsidRDefault="006460AB" w:rsidP="005610DA">
            <w:pPr>
              <w:rPr>
                <w:rFonts w:ascii="Arial Narrow" w:hAnsi="Arial Narrow"/>
                <w:sz w:val="20"/>
              </w:rPr>
            </w:pPr>
            <w:proofErr w:type="spellStart"/>
            <w:r w:rsidRPr="00623854">
              <w:rPr>
                <w:rFonts w:ascii="Arial Narrow" w:hAnsi="Arial Narrow"/>
                <w:sz w:val="20"/>
              </w:rPr>
              <w:t>Cirillo</w:t>
            </w:r>
            <w:proofErr w:type="spellEnd"/>
            <w:r w:rsidRPr="00623854">
              <w:rPr>
                <w:rFonts w:ascii="Arial Narrow" w:hAnsi="Arial Narrow"/>
                <w:sz w:val="20"/>
              </w:rPr>
              <w:t xml:space="preserve"> 2012</w:t>
            </w:r>
            <w:r w:rsidRPr="00623854">
              <w:rPr>
                <w:rFonts w:ascii="Arial Narrow" w:hAnsi="Arial Narrow"/>
                <w:sz w:val="20"/>
                <w:vertAlign w:val="superscript"/>
              </w:rPr>
              <w:t>a</w:t>
            </w:r>
          </w:p>
        </w:tc>
        <w:tc>
          <w:tcPr>
            <w:tcW w:w="4961" w:type="dxa"/>
            <w:tcBorders>
              <w:bottom w:val="single" w:sz="4" w:space="0" w:color="auto"/>
            </w:tcBorders>
          </w:tcPr>
          <w:p w14:paraId="68F0AC85" w14:textId="77777777" w:rsidR="006460AB" w:rsidRPr="00623854" w:rsidRDefault="006460AB" w:rsidP="005610DA">
            <w:pPr>
              <w:rPr>
                <w:rFonts w:ascii="Arial Narrow" w:hAnsi="Arial Narrow"/>
                <w:sz w:val="20"/>
              </w:rPr>
            </w:pPr>
            <w:proofErr w:type="spellStart"/>
            <w:r w:rsidRPr="00623854">
              <w:rPr>
                <w:rFonts w:ascii="Arial Narrow" w:hAnsi="Arial Narrow"/>
                <w:sz w:val="20"/>
              </w:rPr>
              <w:t>Cirillo</w:t>
            </w:r>
            <w:proofErr w:type="spellEnd"/>
            <w:r w:rsidRPr="00623854">
              <w:rPr>
                <w:rFonts w:ascii="Arial Narrow" w:hAnsi="Arial Narrow"/>
                <w:sz w:val="20"/>
              </w:rPr>
              <w:t>, L., et al. (2012). Complications in the treatment of intracranial aneurysms with silk stents: An analysis of 30 consecutive patients. Interventional Neuroradiology 18(4): 413-425.</w:t>
            </w:r>
          </w:p>
        </w:tc>
        <w:tc>
          <w:tcPr>
            <w:tcW w:w="2500" w:type="dxa"/>
            <w:tcBorders>
              <w:bottom w:val="single" w:sz="4" w:space="0" w:color="auto"/>
            </w:tcBorders>
          </w:tcPr>
          <w:p w14:paraId="74176BF1" w14:textId="77777777" w:rsidR="006460AB" w:rsidRPr="00623854" w:rsidRDefault="006460AB" w:rsidP="00242873">
            <w:pPr>
              <w:spacing w:after="120"/>
              <w:rPr>
                <w:rFonts w:ascii="Arial Narrow" w:hAnsi="Arial Narrow"/>
                <w:sz w:val="20"/>
              </w:rPr>
            </w:pPr>
            <w:r w:rsidRPr="00623854">
              <w:rPr>
                <w:rFonts w:ascii="Arial Narrow" w:hAnsi="Arial Narrow"/>
                <w:sz w:val="20"/>
              </w:rPr>
              <w:t>Included large aneurysms and lesions deemed unsuitable for traditional endovascular treatment with coils alone.</w:t>
            </w:r>
          </w:p>
        </w:tc>
      </w:tr>
      <w:tr w:rsidR="006460AB" w:rsidRPr="00623854" w14:paraId="178C8590" w14:textId="77777777" w:rsidTr="005610DA">
        <w:tc>
          <w:tcPr>
            <w:tcW w:w="1555" w:type="dxa"/>
            <w:tcBorders>
              <w:bottom w:val="single" w:sz="4" w:space="0" w:color="auto"/>
            </w:tcBorders>
          </w:tcPr>
          <w:p w14:paraId="07503C4D" w14:textId="77777777" w:rsidR="006460AB" w:rsidRPr="00623854" w:rsidRDefault="006460AB" w:rsidP="005610DA">
            <w:pPr>
              <w:rPr>
                <w:rFonts w:ascii="Arial Narrow" w:hAnsi="Arial Narrow"/>
                <w:sz w:val="20"/>
              </w:rPr>
            </w:pPr>
            <w:r w:rsidRPr="00623854">
              <w:rPr>
                <w:rFonts w:ascii="Arial Narrow" w:hAnsi="Arial Narrow"/>
                <w:sz w:val="20"/>
              </w:rPr>
              <w:t>Phillips 2012</w:t>
            </w:r>
          </w:p>
        </w:tc>
        <w:tc>
          <w:tcPr>
            <w:tcW w:w="4961" w:type="dxa"/>
            <w:tcBorders>
              <w:bottom w:val="single" w:sz="4" w:space="0" w:color="auto"/>
            </w:tcBorders>
          </w:tcPr>
          <w:p w14:paraId="2C260BEC" w14:textId="77777777" w:rsidR="006460AB" w:rsidRPr="00623854" w:rsidRDefault="006460AB" w:rsidP="005610DA">
            <w:pPr>
              <w:rPr>
                <w:rFonts w:ascii="Arial Narrow" w:hAnsi="Arial Narrow"/>
                <w:sz w:val="20"/>
              </w:rPr>
            </w:pPr>
            <w:r w:rsidRPr="00623854">
              <w:rPr>
                <w:rFonts w:ascii="Arial Narrow" w:hAnsi="Arial Narrow"/>
                <w:sz w:val="20"/>
              </w:rPr>
              <w:t>Phillips T.J. et al. (2012) Safety of the Pipeline Embolization Device in Treatment of Posterior Circulation Aneurysms</w:t>
            </w:r>
          </w:p>
        </w:tc>
        <w:tc>
          <w:tcPr>
            <w:tcW w:w="2500" w:type="dxa"/>
            <w:tcBorders>
              <w:bottom w:val="single" w:sz="4" w:space="0" w:color="auto"/>
            </w:tcBorders>
          </w:tcPr>
          <w:p w14:paraId="4AA42E2E" w14:textId="0EEF597C" w:rsidR="00242873" w:rsidRPr="00623854" w:rsidRDefault="006460AB" w:rsidP="00242873">
            <w:pPr>
              <w:spacing w:after="120"/>
              <w:rPr>
                <w:rFonts w:ascii="Arial Narrow" w:hAnsi="Arial Narrow"/>
                <w:sz w:val="20"/>
              </w:rPr>
            </w:pPr>
            <w:r w:rsidRPr="00623854">
              <w:rPr>
                <w:rFonts w:ascii="Arial Narrow" w:hAnsi="Arial Narrow"/>
                <w:sz w:val="20"/>
              </w:rPr>
              <w:t>Posterior circulation aneurysms deemed not satisfactorily treatable by standard endovascular or surgical techniques</w:t>
            </w:r>
          </w:p>
        </w:tc>
      </w:tr>
      <w:tr w:rsidR="006460AB" w:rsidRPr="00623854" w14:paraId="4DA32993" w14:textId="77777777" w:rsidTr="005610DA">
        <w:tc>
          <w:tcPr>
            <w:tcW w:w="1555" w:type="dxa"/>
            <w:tcBorders>
              <w:bottom w:val="single" w:sz="4" w:space="0" w:color="auto"/>
              <w:right w:val="nil"/>
            </w:tcBorders>
            <w:shd w:val="clear" w:color="auto" w:fill="D9D9D9" w:themeFill="background1" w:themeFillShade="D9"/>
          </w:tcPr>
          <w:p w14:paraId="04EC998B" w14:textId="77777777" w:rsidR="006460AB" w:rsidRPr="00623854" w:rsidRDefault="006460AB" w:rsidP="005610DA">
            <w:pPr>
              <w:rPr>
                <w:rFonts w:ascii="Arial Narrow" w:hAnsi="Arial Narrow"/>
                <w:sz w:val="20"/>
              </w:rPr>
            </w:pPr>
            <w:r w:rsidRPr="00623854">
              <w:rPr>
                <w:rFonts w:ascii="Arial Narrow" w:hAnsi="Arial Narrow"/>
                <w:b/>
                <w:sz w:val="20"/>
              </w:rPr>
              <w:lastRenderedPageBreak/>
              <w:t>Retreatment</w:t>
            </w:r>
          </w:p>
        </w:tc>
        <w:tc>
          <w:tcPr>
            <w:tcW w:w="4961" w:type="dxa"/>
            <w:tcBorders>
              <w:left w:val="nil"/>
              <w:bottom w:val="single" w:sz="4" w:space="0" w:color="auto"/>
              <w:right w:val="nil"/>
            </w:tcBorders>
            <w:shd w:val="clear" w:color="auto" w:fill="D9D9D9" w:themeFill="background1" w:themeFillShade="D9"/>
          </w:tcPr>
          <w:p w14:paraId="03CB0DC4" w14:textId="77777777" w:rsidR="006460AB" w:rsidRPr="00623854" w:rsidRDefault="006460AB" w:rsidP="005610DA">
            <w:pPr>
              <w:rPr>
                <w:rFonts w:ascii="Arial Narrow" w:hAnsi="Arial Narrow"/>
                <w:sz w:val="20"/>
              </w:rPr>
            </w:pPr>
          </w:p>
        </w:tc>
        <w:tc>
          <w:tcPr>
            <w:tcW w:w="2500" w:type="dxa"/>
            <w:tcBorders>
              <w:left w:val="nil"/>
              <w:bottom w:val="single" w:sz="4" w:space="0" w:color="auto"/>
            </w:tcBorders>
            <w:shd w:val="clear" w:color="auto" w:fill="D9D9D9" w:themeFill="background1" w:themeFillShade="D9"/>
          </w:tcPr>
          <w:p w14:paraId="1FDBC862" w14:textId="77777777" w:rsidR="006460AB" w:rsidRPr="00623854" w:rsidRDefault="006460AB" w:rsidP="005610DA">
            <w:pPr>
              <w:rPr>
                <w:rFonts w:ascii="Arial Narrow" w:hAnsi="Arial Narrow"/>
                <w:sz w:val="20"/>
              </w:rPr>
            </w:pPr>
          </w:p>
        </w:tc>
      </w:tr>
      <w:tr w:rsidR="006460AB" w:rsidRPr="00623854" w14:paraId="2F9C4571" w14:textId="77777777" w:rsidTr="005610DA">
        <w:tc>
          <w:tcPr>
            <w:tcW w:w="1555" w:type="dxa"/>
            <w:tcBorders>
              <w:bottom w:val="single" w:sz="4" w:space="0" w:color="auto"/>
            </w:tcBorders>
          </w:tcPr>
          <w:p w14:paraId="077EBB4E" w14:textId="77777777" w:rsidR="006460AB" w:rsidRPr="00623854" w:rsidRDefault="006460AB" w:rsidP="005610DA">
            <w:pPr>
              <w:rPr>
                <w:rFonts w:ascii="Arial Narrow" w:hAnsi="Arial Narrow"/>
                <w:sz w:val="20"/>
              </w:rPr>
            </w:pPr>
            <w:proofErr w:type="spellStart"/>
            <w:r w:rsidRPr="00623854">
              <w:rPr>
                <w:rFonts w:ascii="Arial Narrow" w:hAnsi="Arial Narrow"/>
                <w:sz w:val="20"/>
              </w:rPr>
              <w:t>Benaissa</w:t>
            </w:r>
            <w:proofErr w:type="spellEnd"/>
            <w:r w:rsidRPr="00623854">
              <w:rPr>
                <w:rFonts w:ascii="Arial Narrow" w:hAnsi="Arial Narrow"/>
                <w:sz w:val="20"/>
              </w:rPr>
              <w:t xml:space="preserve"> 2015</w:t>
            </w:r>
          </w:p>
        </w:tc>
        <w:tc>
          <w:tcPr>
            <w:tcW w:w="4961" w:type="dxa"/>
            <w:tcBorders>
              <w:bottom w:val="single" w:sz="4" w:space="0" w:color="auto"/>
            </w:tcBorders>
          </w:tcPr>
          <w:p w14:paraId="23E45D14" w14:textId="77777777" w:rsidR="006460AB" w:rsidRPr="00623854" w:rsidRDefault="006460AB" w:rsidP="005610DA">
            <w:pPr>
              <w:rPr>
                <w:rFonts w:ascii="Arial Narrow" w:hAnsi="Arial Narrow"/>
                <w:sz w:val="20"/>
              </w:rPr>
            </w:pPr>
            <w:proofErr w:type="spellStart"/>
            <w:r w:rsidRPr="00623854">
              <w:rPr>
                <w:rFonts w:ascii="Arial Narrow" w:hAnsi="Arial Narrow"/>
                <w:sz w:val="20"/>
              </w:rPr>
              <w:t>Benaissa</w:t>
            </w:r>
            <w:proofErr w:type="spellEnd"/>
            <w:r w:rsidRPr="00623854">
              <w:rPr>
                <w:rFonts w:ascii="Arial Narrow" w:hAnsi="Arial Narrow"/>
                <w:sz w:val="20"/>
              </w:rPr>
              <w:t xml:space="preserve"> A, </w:t>
            </w:r>
            <w:proofErr w:type="spellStart"/>
            <w:r w:rsidRPr="00623854">
              <w:rPr>
                <w:rFonts w:ascii="Arial Narrow" w:hAnsi="Arial Narrow"/>
                <w:sz w:val="20"/>
              </w:rPr>
              <w:t>Januel</w:t>
            </w:r>
            <w:proofErr w:type="spellEnd"/>
            <w:r w:rsidRPr="00623854">
              <w:rPr>
                <w:rFonts w:ascii="Arial Narrow" w:hAnsi="Arial Narrow"/>
                <w:sz w:val="20"/>
              </w:rPr>
              <w:t xml:space="preserve"> AC, </w:t>
            </w:r>
            <w:proofErr w:type="spellStart"/>
            <w:r w:rsidRPr="00623854">
              <w:rPr>
                <w:rFonts w:ascii="Arial Narrow" w:hAnsi="Arial Narrow"/>
                <w:sz w:val="20"/>
              </w:rPr>
              <w:t>Herbreteau</w:t>
            </w:r>
            <w:proofErr w:type="spellEnd"/>
            <w:r w:rsidRPr="00623854">
              <w:rPr>
                <w:rFonts w:ascii="Arial Narrow" w:hAnsi="Arial Narrow"/>
                <w:sz w:val="20"/>
              </w:rPr>
              <w:t xml:space="preserve"> D, et al. Endovascular treatment with flow diverters of </w:t>
            </w:r>
            <w:proofErr w:type="spellStart"/>
            <w:r w:rsidRPr="00623854">
              <w:rPr>
                <w:rFonts w:ascii="Arial Narrow" w:hAnsi="Arial Narrow"/>
                <w:sz w:val="20"/>
              </w:rPr>
              <w:t>recanalised</w:t>
            </w:r>
            <w:proofErr w:type="spellEnd"/>
            <w:r w:rsidRPr="00623854">
              <w:rPr>
                <w:rFonts w:ascii="Arial Narrow" w:hAnsi="Arial Narrow"/>
                <w:sz w:val="20"/>
              </w:rPr>
              <w:t xml:space="preserve"> and </w:t>
            </w:r>
            <w:proofErr w:type="spellStart"/>
            <w:r w:rsidRPr="00623854">
              <w:rPr>
                <w:rFonts w:ascii="Arial Narrow" w:hAnsi="Arial Narrow"/>
                <w:sz w:val="20"/>
              </w:rPr>
              <w:t>multitreated</w:t>
            </w:r>
            <w:proofErr w:type="spellEnd"/>
            <w:r w:rsidRPr="00623854">
              <w:rPr>
                <w:rFonts w:ascii="Arial Narrow" w:hAnsi="Arial Narrow"/>
                <w:sz w:val="20"/>
              </w:rPr>
              <w:t xml:space="preserve"> aneurysms initially treated by endovascular approach.</w:t>
            </w:r>
          </w:p>
          <w:p w14:paraId="0AD39585" w14:textId="77777777" w:rsidR="006460AB" w:rsidRPr="00623854" w:rsidRDefault="006460AB" w:rsidP="005610DA">
            <w:pPr>
              <w:rPr>
                <w:rFonts w:ascii="Arial Narrow" w:hAnsi="Arial Narrow"/>
                <w:sz w:val="20"/>
              </w:rPr>
            </w:pPr>
            <w:r w:rsidRPr="00623854">
              <w:rPr>
                <w:rFonts w:ascii="Arial Narrow" w:hAnsi="Arial Narrow"/>
                <w:sz w:val="20"/>
              </w:rPr>
              <w:t xml:space="preserve">J </w:t>
            </w:r>
            <w:proofErr w:type="spellStart"/>
            <w:r w:rsidRPr="00623854">
              <w:rPr>
                <w:rFonts w:ascii="Arial Narrow" w:hAnsi="Arial Narrow"/>
                <w:sz w:val="20"/>
              </w:rPr>
              <w:t>Neurointerv</w:t>
            </w:r>
            <w:proofErr w:type="spellEnd"/>
            <w:r w:rsidRPr="00623854">
              <w:rPr>
                <w:rFonts w:ascii="Arial Narrow" w:hAnsi="Arial Narrow"/>
                <w:sz w:val="20"/>
              </w:rPr>
              <w:t xml:space="preserve"> </w:t>
            </w:r>
            <w:proofErr w:type="spellStart"/>
            <w:r w:rsidRPr="00623854">
              <w:rPr>
                <w:rFonts w:ascii="Arial Narrow" w:hAnsi="Arial Narrow"/>
                <w:sz w:val="20"/>
              </w:rPr>
              <w:t>Surg</w:t>
            </w:r>
            <w:proofErr w:type="spellEnd"/>
            <w:r w:rsidRPr="00623854">
              <w:rPr>
                <w:rFonts w:ascii="Arial Narrow" w:hAnsi="Arial Narrow"/>
                <w:sz w:val="20"/>
              </w:rPr>
              <w:t xml:space="preserve"> 2015; 7:44–9.</w:t>
            </w:r>
          </w:p>
        </w:tc>
        <w:tc>
          <w:tcPr>
            <w:tcW w:w="2500" w:type="dxa"/>
            <w:tcBorders>
              <w:bottom w:val="single" w:sz="4" w:space="0" w:color="auto"/>
            </w:tcBorders>
          </w:tcPr>
          <w:p w14:paraId="721BCD34" w14:textId="77777777" w:rsidR="006460AB" w:rsidRPr="00623854" w:rsidRDefault="006460AB" w:rsidP="005610DA">
            <w:pPr>
              <w:rPr>
                <w:rFonts w:ascii="Arial Narrow" w:hAnsi="Arial Narrow"/>
                <w:sz w:val="20"/>
              </w:rPr>
            </w:pPr>
            <w:proofErr w:type="spellStart"/>
            <w:r w:rsidRPr="00623854">
              <w:rPr>
                <w:rFonts w:ascii="Arial Narrow" w:hAnsi="Arial Narrow"/>
                <w:sz w:val="20"/>
              </w:rPr>
              <w:t>Recanalised</w:t>
            </w:r>
            <w:proofErr w:type="spellEnd"/>
            <w:r w:rsidRPr="00623854">
              <w:rPr>
                <w:rFonts w:ascii="Arial Narrow" w:hAnsi="Arial Narrow"/>
                <w:sz w:val="20"/>
              </w:rPr>
              <w:t xml:space="preserve"> and </w:t>
            </w:r>
            <w:proofErr w:type="spellStart"/>
            <w:r w:rsidRPr="00623854">
              <w:rPr>
                <w:rFonts w:ascii="Arial Narrow" w:hAnsi="Arial Narrow"/>
                <w:sz w:val="20"/>
              </w:rPr>
              <w:t>multitreated</w:t>
            </w:r>
            <w:proofErr w:type="spellEnd"/>
            <w:r w:rsidRPr="00623854">
              <w:rPr>
                <w:rFonts w:ascii="Arial Narrow" w:hAnsi="Arial Narrow"/>
                <w:sz w:val="20"/>
              </w:rPr>
              <w:t xml:space="preserve"> aneurysms</w:t>
            </w:r>
          </w:p>
        </w:tc>
      </w:tr>
      <w:tr w:rsidR="006460AB" w:rsidRPr="00623854" w14:paraId="27E90323" w14:textId="77777777" w:rsidTr="005610DA">
        <w:tc>
          <w:tcPr>
            <w:tcW w:w="1555" w:type="dxa"/>
            <w:tcBorders>
              <w:bottom w:val="single" w:sz="4" w:space="0" w:color="auto"/>
            </w:tcBorders>
          </w:tcPr>
          <w:p w14:paraId="1920DC24" w14:textId="77777777" w:rsidR="006460AB" w:rsidRPr="00623854" w:rsidRDefault="006460AB" w:rsidP="005610DA">
            <w:pPr>
              <w:rPr>
                <w:rFonts w:ascii="Arial Narrow" w:hAnsi="Arial Narrow"/>
                <w:sz w:val="20"/>
              </w:rPr>
            </w:pPr>
            <w:proofErr w:type="spellStart"/>
            <w:r w:rsidRPr="00623854">
              <w:rPr>
                <w:rFonts w:ascii="Arial Narrow" w:hAnsi="Arial Narrow"/>
                <w:sz w:val="20"/>
              </w:rPr>
              <w:t>Kühn</w:t>
            </w:r>
            <w:proofErr w:type="spellEnd"/>
            <w:r w:rsidRPr="00623854">
              <w:rPr>
                <w:rFonts w:ascii="Arial Narrow" w:hAnsi="Arial Narrow"/>
                <w:sz w:val="20"/>
              </w:rPr>
              <w:t xml:space="preserve"> 2017</w:t>
            </w:r>
          </w:p>
        </w:tc>
        <w:tc>
          <w:tcPr>
            <w:tcW w:w="4961" w:type="dxa"/>
            <w:tcBorders>
              <w:bottom w:val="single" w:sz="4" w:space="0" w:color="auto"/>
            </w:tcBorders>
          </w:tcPr>
          <w:p w14:paraId="1CAA0D9F" w14:textId="77777777" w:rsidR="006460AB" w:rsidRPr="00623854" w:rsidRDefault="006460AB" w:rsidP="005610DA">
            <w:pPr>
              <w:rPr>
                <w:rFonts w:ascii="Arial Narrow" w:hAnsi="Arial Narrow"/>
                <w:sz w:val="20"/>
              </w:rPr>
            </w:pPr>
            <w:proofErr w:type="spellStart"/>
            <w:r w:rsidRPr="00623854">
              <w:rPr>
                <w:rFonts w:ascii="Arial Narrow" w:hAnsi="Arial Narrow"/>
                <w:sz w:val="20"/>
              </w:rPr>
              <w:t>Kühn</w:t>
            </w:r>
            <w:proofErr w:type="spellEnd"/>
            <w:r w:rsidRPr="00623854">
              <w:rPr>
                <w:rFonts w:ascii="Arial Narrow" w:hAnsi="Arial Narrow"/>
                <w:sz w:val="20"/>
              </w:rPr>
              <w:t xml:space="preserve">, A. L., et al. (2017). "Use of the Pipeline embolization device for recurrent and residual cerebral aneurysms: A safety and efficacy analysis with short-term follow-up." Journal of </w:t>
            </w:r>
            <w:proofErr w:type="spellStart"/>
            <w:r w:rsidRPr="00623854">
              <w:rPr>
                <w:rFonts w:ascii="Arial Narrow" w:hAnsi="Arial Narrow"/>
                <w:sz w:val="20"/>
              </w:rPr>
              <w:t>NeuroInterventional</w:t>
            </w:r>
            <w:proofErr w:type="spellEnd"/>
            <w:r w:rsidRPr="00623854">
              <w:rPr>
                <w:rFonts w:ascii="Arial Narrow" w:hAnsi="Arial Narrow"/>
                <w:sz w:val="20"/>
              </w:rPr>
              <w:t xml:space="preserve"> Surgery 9(12): 1208-1213.</w:t>
            </w:r>
          </w:p>
        </w:tc>
        <w:tc>
          <w:tcPr>
            <w:tcW w:w="2500" w:type="dxa"/>
            <w:tcBorders>
              <w:bottom w:val="single" w:sz="4" w:space="0" w:color="auto"/>
            </w:tcBorders>
          </w:tcPr>
          <w:p w14:paraId="42D95D9C" w14:textId="77777777" w:rsidR="006460AB" w:rsidRPr="00623854" w:rsidRDefault="006460AB" w:rsidP="005610DA">
            <w:pPr>
              <w:rPr>
                <w:rFonts w:ascii="Arial Narrow" w:hAnsi="Arial Narrow"/>
                <w:sz w:val="20"/>
              </w:rPr>
            </w:pPr>
            <w:r w:rsidRPr="00623854">
              <w:rPr>
                <w:rFonts w:ascii="Arial Narrow" w:hAnsi="Arial Narrow"/>
                <w:sz w:val="20"/>
              </w:rPr>
              <w:t>Recurrent and residual cerebral aneurysms</w:t>
            </w:r>
          </w:p>
        </w:tc>
      </w:tr>
      <w:tr w:rsidR="006460AB" w:rsidRPr="00623854" w14:paraId="4EB5ACCD" w14:textId="77777777" w:rsidTr="005610DA">
        <w:tc>
          <w:tcPr>
            <w:tcW w:w="1555" w:type="dxa"/>
            <w:tcBorders>
              <w:bottom w:val="single" w:sz="4" w:space="0" w:color="auto"/>
            </w:tcBorders>
          </w:tcPr>
          <w:p w14:paraId="312A2AE9" w14:textId="77777777" w:rsidR="006460AB" w:rsidRPr="00623854" w:rsidRDefault="006460AB" w:rsidP="005610DA">
            <w:pPr>
              <w:rPr>
                <w:rFonts w:ascii="Arial Narrow" w:hAnsi="Arial Narrow"/>
                <w:sz w:val="20"/>
              </w:rPr>
            </w:pPr>
            <w:r w:rsidRPr="00623854">
              <w:rPr>
                <w:rFonts w:ascii="Arial Narrow" w:hAnsi="Arial Narrow"/>
                <w:sz w:val="20"/>
              </w:rPr>
              <w:t>McAuliffe 2012</w:t>
            </w:r>
            <w:r w:rsidRPr="00623854">
              <w:rPr>
                <w:rFonts w:ascii="Arial Narrow" w:hAnsi="Arial Narrow"/>
                <w:sz w:val="20"/>
                <w:vertAlign w:val="superscript"/>
              </w:rPr>
              <w:t>a</w:t>
            </w:r>
          </w:p>
        </w:tc>
        <w:tc>
          <w:tcPr>
            <w:tcW w:w="4961" w:type="dxa"/>
            <w:tcBorders>
              <w:bottom w:val="single" w:sz="4" w:space="0" w:color="auto"/>
            </w:tcBorders>
          </w:tcPr>
          <w:p w14:paraId="39BCF447" w14:textId="77777777" w:rsidR="006460AB" w:rsidRPr="00623854" w:rsidRDefault="006460AB" w:rsidP="005610DA">
            <w:pPr>
              <w:rPr>
                <w:rFonts w:ascii="Arial Narrow" w:hAnsi="Arial Narrow"/>
                <w:sz w:val="20"/>
              </w:rPr>
            </w:pPr>
            <w:r w:rsidRPr="00623854">
              <w:rPr>
                <w:rFonts w:ascii="Arial Narrow" w:hAnsi="Arial Narrow"/>
                <w:sz w:val="20"/>
              </w:rPr>
              <w:t>McAuliffe, W., et al. (2012). Immediate and midterm results following treatment of unruptured intracranial aneurysms with the pipeline embolization device. American Journal of Neuroradiology 33(1): 164-170.</w:t>
            </w:r>
          </w:p>
        </w:tc>
        <w:tc>
          <w:tcPr>
            <w:tcW w:w="2500" w:type="dxa"/>
            <w:tcBorders>
              <w:bottom w:val="single" w:sz="4" w:space="0" w:color="auto"/>
            </w:tcBorders>
          </w:tcPr>
          <w:p w14:paraId="20F41426" w14:textId="77777777" w:rsidR="006460AB" w:rsidRPr="00623854" w:rsidRDefault="006460AB" w:rsidP="005610DA">
            <w:pPr>
              <w:rPr>
                <w:rFonts w:ascii="Arial Narrow" w:hAnsi="Arial Narrow"/>
                <w:sz w:val="20"/>
              </w:rPr>
            </w:pPr>
            <w:r w:rsidRPr="00623854">
              <w:rPr>
                <w:rFonts w:ascii="Arial Narrow" w:hAnsi="Arial Narrow"/>
                <w:sz w:val="20"/>
              </w:rPr>
              <w:t>Failed previous therapy</w:t>
            </w:r>
          </w:p>
        </w:tc>
      </w:tr>
      <w:tr w:rsidR="006460AB" w:rsidRPr="00623854" w14:paraId="3E4704D3" w14:textId="77777777" w:rsidTr="005610DA">
        <w:tc>
          <w:tcPr>
            <w:tcW w:w="1555" w:type="dxa"/>
            <w:tcBorders>
              <w:bottom w:val="single" w:sz="4" w:space="0" w:color="auto"/>
            </w:tcBorders>
          </w:tcPr>
          <w:p w14:paraId="2AB31AC0" w14:textId="77777777" w:rsidR="006460AB" w:rsidRPr="00623854" w:rsidRDefault="006460AB" w:rsidP="005610DA">
            <w:pPr>
              <w:rPr>
                <w:rFonts w:ascii="Arial Narrow" w:hAnsi="Arial Narrow"/>
                <w:sz w:val="20"/>
              </w:rPr>
            </w:pPr>
            <w:r w:rsidRPr="00623854">
              <w:rPr>
                <w:rFonts w:ascii="Arial Narrow" w:hAnsi="Arial Narrow"/>
                <w:sz w:val="20"/>
              </w:rPr>
              <w:t>Yu 2012</w:t>
            </w:r>
            <w:r w:rsidRPr="00623854">
              <w:rPr>
                <w:rFonts w:ascii="Arial Narrow" w:hAnsi="Arial Narrow"/>
                <w:sz w:val="20"/>
                <w:vertAlign w:val="superscript"/>
              </w:rPr>
              <w:t>a</w:t>
            </w:r>
          </w:p>
        </w:tc>
        <w:tc>
          <w:tcPr>
            <w:tcW w:w="4961" w:type="dxa"/>
            <w:tcBorders>
              <w:bottom w:val="single" w:sz="4" w:space="0" w:color="auto"/>
            </w:tcBorders>
          </w:tcPr>
          <w:p w14:paraId="34160F44" w14:textId="77777777" w:rsidR="006460AB" w:rsidRPr="00623854" w:rsidRDefault="006460AB" w:rsidP="005610DA">
            <w:pPr>
              <w:rPr>
                <w:rFonts w:ascii="Arial Narrow" w:hAnsi="Arial Narrow"/>
                <w:sz w:val="20"/>
              </w:rPr>
            </w:pPr>
            <w:r w:rsidRPr="00623854">
              <w:rPr>
                <w:rFonts w:ascii="Arial Narrow" w:hAnsi="Arial Narrow"/>
                <w:sz w:val="20"/>
              </w:rPr>
              <w:t>Yu, S. C. H., et al. (2012). Intracranial aneurysms: Midterm outcome of pipeline embolization device - A prospective study in 143 patients with 178 aneurysms. Radiology 265(3): 893-901.</w:t>
            </w:r>
          </w:p>
        </w:tc>
        <w:tc>
          <w:tcPr>
            <w:tcW w:w="2500" w:type="dxa"/>
            <w:tcBorders>
              <w:bottom w:val="single" w:sz="4" w:space="0" w:color="auto"/>
            </w:tcBorders>
          </w:tcPr>
          <w:p w14:paraId="4D548389" w14:textId="77777777" w:rsidR="006460AB" w:rsidRPr="00623854" w:rsidRDefault="006460AB" w:rsidP="005610DA">
            <w:pPr>
              <w:rPr>
                <w:rFonts w:ascii="Arial Narrow" w:hAnsi="Arial Narrow"/>
                <w:sz w:val="20"/>
              </w:rPr>
            </w:pPr>
            <w:r w:rsidRPr="00623854">
              <w:rPr>
                <w:rFonts w:ascii="Arial Narrow" w:hAnsi="Arial Narrow"/>
                <w:sz w:val="20"/>
              </w:rPr>
              <w:t>Recurrent aneurysms after previous treatment</w:t>
            </w:r>
          </w:p>
        </w:tc>
      </w:tr>
      <w:tr w:rsidR="006460AB" w:rsidRPr="00623854" w14:paraId="40352B34" w14:textId="77777777" w:rsidTr="005610DA">
        <w:tc>
          <w:tcPr>
            <w:tcW w:w="1555" w:type="dxa"/>
            <w:tcBorders>
              <w:right w:val="nil"/>
            </w:tcBorders>
            <w:shd w:val="clear" w:color="auto" w:fill="D9D9D9" w:themeFill="background1" w:themeFillShade="D9"/>
          </w:tcPr>
          <w:p w14:paraId="4590D543" w14:textId="77777777" w:rsidR="006460AB" w:rsidRPr="00623854" w:rsidRDefault="006460AB" w:rsidP="005610DA">
            <w:pPr>
              <w:rPr>
                <w:rFonts w:ascii="Arial Narrow" w:hAnsi="Arial Narrow"/>
                <w:b/>
                <w:sz w:val="20"/>
              </w:rPr>
            </w:pPr>
            <w:proofErr w:type="spellStart"/>
            <w:r w:rsidRPr="00623854">
              <w:rPr>
                <w:rFonts w:ascii="Arial Narrow" w:hAnsi="Arial Narrow"/>
                <w:b/>
                <w:sz w:val="20"/>
              </w:rPr>
              <w:t>Mixed</w:t>
            </w:r>
            <w:r w:rsidRPr="00623854">
              <w:rPr>
                <w:rFonts w:ascii="Arial Narrow" w:hAnsi="Arial Narrow"/>
                <w:b/>
                <w:sz w:val="20"/>
                <w:vertAlign w:val="superscript"/>
              </w:rPr>
              <w:t>c</w:t>
            </w:r>
            <w:proofErr w:type="spellEnd"/>
          </w:p>
        </w:tc>
        <w:tc>
          <w:tcPr>
            <w:tcW w:w="4961" w:type="dxa"/>
            <w:tcBorders>
              <w:left w:val="nil"/>
              <w:right w:val="nil"/>
            </w:tcBorders>
            <w:shd w:val="clear" w:color="auto" w:fill="D9D9D9" w:themeFill="background1" w:themeFillShade="D9"/>
          </w:tcPr>
          <w:p w14:paraId="60525789" w14:textId="77777777" w:rsidR="006460AB" w:rsidRPr="00623854" w:rsidRDefault="006460AB" w:rsidP="005610DA">
            <w:pPr>
              <w:rPr>
                <w:rFonts w:ascii="Arial Narrow" w:hAnsi="Arial Narrow"/>
                <w:sz w:val="20"/>
              </w:rPr>
            </w:pPr>
          </w:p>
        </w:tc>
        <w:tc>
          <w:tcPr>
            <w:tcW w:w="2500" w:type="dxa"/>
            <w:tcBorders>
              <w:left w:val="nil"/>
            </w:tcBorders>
            <w:shd w:val="clear" w:color="auto" w:fill="D9D9D9" w:themeFill="background1" w:themeFillShade="D9"/>
          </w:tcPr>
          <w:p w14:paraId="51F507B2" w14:textId="77777777" w:rsidR="006460AB" w:rsidRPr="00623854" w:rsidRDefault="006460AB" w:rsidP="005610DA">
            <w:pPr>
              <w:rPr>
                <w:rFonts w:ascii="Arial Narrow" w:hAnsi="Arial Narrow"/>
                <w:sz w:val="20"/>
              </w:rPr>
            </w:pPr>
          </w:p>
        </w:tc>
      </w:tr>
      <w:tr w:rsidR="006460AB" w:rsidRPr="00623854" w14:paraId="6F098A7D" w14:textId="77777777" w:rsidTr="005610DA">
        <w:tc>
          <w:tcPr>
            <w:tcW w:w="1555" w:type="dxa"/>
          </w:tcPr>
          <w:p w14:paraId="52C7472D" w14:textId="77777777" w:rsidR="006460AB" w:rsidRPr="00623854" w:rsidRDefault="006460AB" w:rsidP="005610DA">
            <w:pPr>
              <w:rPr>
                <w:rFonts w:ascii="Arial Narrow" w:hAnsi="Arial Narrow"/>
                <w:sz w:val="20"/>
              </w:rPr>
            </w:pPr>
            <w:r w:rsidRPr="00623854">
              <w:rPr>
                <w:rFonts w:ascii="Arial Narrow" w:hAnsi="Arial Narrow"/>
                <w:sz w:val="20"/>
              </w:rPr>
              <w:t xml:space="preserve">De </w:t>
            </w:r>
            <w:proofErr w:type="spellStart"/>
            <w:r w:rsidRPr="00623854">
              <w:rPr>
                <w:rFonts w:ascii="Arial Narrow" w:hAnsi="Arial Narrow"/>
                <w:sz w:val="20"/>
              </w:rPr>
              <w:t>Vries</w:t>
            </w:r>
            <w:proofErr w:type="spellEnd"/>
            <w:r w:rsidRPr="00623854">
              <w:rPr>
                <w:rFonts w:ascii="Arial Narrow" w:hAnsi="Arial Narrow"/>
                <w:sz w:val="20"/>
              </w:rPr>
              <w:t xml:space="preserve"> 2013</w:t>
            </w:r>
          </w:p>
        </w:tc>
        <w:tc>
          <w:tcPr>
            <w:tcW w:w="4961" w:type="dxa"/>
          </w:tcPr>
          <w:p w14:paraId="420268A8" w14:textId="77777777" w:rsidR="006460AB" w:rsidRPr="00623854" w:rsidRDefault="006460AB" w:rsidP="005610DA">
            <w:pPr>
              <w:rPr>
                <w:rFonts w:ascii="Arial Narrow" w:hAnsi="Arial Narrow"/>
                <w:sz w:val="20"/>
              </w:rPr>
            </w:pPr>
            <w:r w:rsidRPr="00623854">
              <w:rPr>
                <w:rFonts w:ascii="Arial Narrow" w:hAnsi="Arial Narrow"/>
                <w:sz w:val="20"/>
              </w:rPr>
              <w:t xml:space="preserve">De </w:t>
            </w:r>
            <w:proofErr w:type="spellStart"/>
            <w:r w:rsidRPr="00623854">
              <w:rPr>
                <w:rFonts w:ascii="Arial Narrow" w:hAnsi="Arial Narrow"/>
                <w:sz w:val="20"/>
              </w:rPr>
              <w:t>Vries</w:t>
            </w:r>
            <w:proofErr w:type="spellEnd"/>
            <w:r w:rsidRPr="00623854">
              <w:rPr>
                <w:rFonts w:ascii="Arial Narrow" w:hAnsi="Arial Narrow"/>
                <w:sz w:val="20"/>
              </w:rPr>
              <w:t>, J., et al. (2013). New generation of flow diverter (surpass) for unruptured intracranial aneurysms: A prospective single-</w:t>
            </w:r>
            <w:proofErr w:type="spellStart"/>
            <w:r w:rsidRPr="00623854">
              <w:rPr>
                <w:rFonts w:ascii="Arial Narrow" w:hAnsi="Arial Narrow"/>
                <w:sz w:val="20"/>
              </w:rPr>
              <w:t>center</w:t>
            </w:r>
            <w:proofErr w:type="spellEnd"/>
            <w:r w:rsidRPr="00623854">
              <w:rPr>
                <w:rFonts w:ascii="Arial Narrow" w:hAnsi="Arial Narrow"/>
                <w:sz w:val="20"/>
              </w:rPr>
              <w:t xml:space="preserve"> study in 37 patients. Stroke 44(6): 1567-1577.</w:t>
            </w:r>
          </w:p>
        </w:tc>
        <w:tc>
          <w:tcPr>
            <w:tcW w:w="2500" w:type="dxa"/>
          </w:tcPr>
          <w:p w14:paraId="7175D0AA" w14:textId="77777777" w:rsidR="006460AB" w:rsidRPr="00623854" w:rsidRDefault="006460AB" w:rsidP="005610DA">
            <w:pPr>
              <w:rPr>
                <w:rFonts w:ascii="Arial Narrow" w:hAnsi="Arial Narrow"/>
                <w:sz w:val="20"/>
              </w:rPr>
            </w:pPr>
            <w:r w:rsidRPr="00623854">
              <w:rPr>
                <w:rFonts w:ascii="Arial Narrow" w:hAnsi="Arial Narrow"/>
                <w:sz w:val="20"/>
              </w:rPr>
              <w:t>Difficult to treat with standard therapy. OR</w:t>
            </w:r>
          </w:p>
          <w:p w14:paraId="4FD30F94" w14:textId="77777777" w:rsidR="006460AB" w:rsidRPr="00623854" w:rsidRDefault="006460AB" w:rsidP="005610DA">
            <w:pPr>
              <w:rPr>
                <w:rFonts w:ascii="Arial Narrow" w:hAnsi="Arial Narrow"/>
                <w:sz w:val="20"/>
              </w:rPr>
            </w:pPr>
            <w:proofErr w:type="spellStart"/>
            <w:r w:rsidRPr="00623854">
              <w:rPr>
                <w:rFonts w:ascii="Arial Narrow" w:hAnsi="Arial Narrow"/>
                <w:sz w:val="20"/>
              </w:rPr>
              <w:t>Recanalisation</w:t>
            </w:r>
            <w:proofErr w:type="spellEnd"/>
            <w:r w:rsidRPr="00623854">
              <w:rPr>
                <w:rFonts w:ascii="Arial Narrow" w:hAnsi="Arial Narrow"/>
                <w:sz w:val="20"/>
              </w:rPr>
              <w:t xml:space="preserve"> after previous coiling or failed surgery</w:t>
            </w:r>
          </w:p>
        </w:tc>
      </w:tr>
      <w:tr w:rsidR="006460AB" w:rsidRPr="00623854" w14:paraId="1A04F240" w14:textId="77777777" w:rsidTr="005610DA">
        <w:tc>
          <w:tcPr>
            <w:tcW w:w="1555" w:type="dxa"/>
          </w:tcPr>
          <w:p w14:paraId="5C12C290" w14:textId="77777777" w:rsidR="006460AB" w:rsidRPr="00623854" w:rsidRDefault="006460AB" w:rsidP="005610DA">
            <w:pPr>
              <w:rPr>
                <w:rFonts w:ascii="Arial Narrow" w:hAnsi="Arial Narrow"/>
                <w:sz w:val="20"/>
              </w:rPr>
            </w:pPr>
            <w:proofErr w:type="spellStart"/>
            <w:r w:rsidRPr="00623854">
              <w:rPr>
                <w:rFonts w:ascii="Arial Narrow" w:hAnsi="Arial Narrow"/>
                <w:sz w:val="20"/>
              </w:rPr>
              <w:t>Lubicz</w:t>
            </w:r>
            <w:proofErr w:type="spellEnd"/>
            <w:r w:rsidRPr="00623854">
              <w:rPr>
                <w:rFonts w:ascii="Arial Narrow" w:hAnsi="Arial Narrow"/>
                <w:sz w:val="20"/>
              </w:rPr>
              <w:t xml:space="preserve"> 2011</w:t>
            </w:r>
          </w:p>
        </w:tc>
        <w:tc>
          <w:tcPr>
            <w:tcW w:w="4961" w:type="dxa"/>
          </w:tcPr>
          <w:p w14:paraId="56BEF08B" w14:textId="77777777" w:rsidR="006460AB" w:rsidRPr="00623854" w:rsidRDefault="006460AB" w:rsidP="005610DA">
            <w:pPr>
              <w:rPr>
                <w:rFonts w:ascii="Arial Narrow" w:hAnsi="Arial Narrow"/>
                <w:sz w:val="20"/>
              </w:rPr>
            </w:pPr>
            <w:proofErr w:type="spellStart"/>
            <w:r w:rsidRPr="00623854">
              <w:rPr>
                <w:rFonts w:ascii="Arial Narrow" w:hAnsi="Arial Narrow"/>
                <w:sz w:val="20"/>
              </w:rPr>
              <w:t>Lubicz</w:t>
            </w:r>
            <w:proofErr w:type="spellEnd"/>
            <w:r w:rsidRPr="00623854">
              <w:rPr>
                <w:rFonts w:ascii="Arial Narrow" w:hAnsi="Arial Narrow"/>
                <w:sz w:val="20"/>
              </w:rPr>
              <w:t>, B., et al. (2011). Pipeline flow-diverter stent for endovascular treatment of intracranial aneurysms: Preliminary experience in 20 patients with 27 aneurysms. World Neurosurgery 76(1-2): 114-119.</w:t>
            </w:r>
          </w:p>
        </w:tc>
        <w:tc>
          <w:tcPr>
            <w:tcW w:w="2500" w:type="dxa"/>
          </w:tcPr>
          <w:p w14:paraId="761EE35A" w14:textId="77777777" w:rsidR="006460AB" w:rsidRPr="00623854" w:rsidRDefault="006460AB" w:rsidP="005610DA">
            <w:pPr>
              <w:rPr>
                <w:rFonts w:ascii="Arial Narrow" w:hAnsi="Arial Narrow"/>
                <w:sz w:val="20"/>
              </w:rPr>
            </w:pPr>
            <w:r w:rsidRPr="00623854">
              <w:rPr>
                <w:rFonts w:ascii="Arial Narrow" w:hAnsi="Arial Narrow"/>
                <w:sz w:val="20"/>
              </w:rPr>
              <w:t>Aneurysms with a high likelihood of failure and/or recurrence with conventional endovascular techniques.</w:t>
            </w:r>
          </w:p>
        </w:tc>
      </w:tr>
    </w:tbl>
    <w:p w14:paraId="4ACE5325" w14:textId="77777777" w:rsidR="006460AB" w:rsidRPr="00623854" w:rsidRDefault="006460AB" w:rsidP="006460AB">
      <w:pPr>
        <w:rPr>
          <w:rFonts w:ascii="Arial Narrow" w:hAnsi="Arial Narrow"/>
          <w:sz w:val="20"/>
        </w:rPr>
      </w:pPr>
      <w:r w:rsidRPr="00623854">
        <w:rPr>
          <w:rFonts w:ascii="Arial Narrow" w:hAnsi="Arial Narrow"/>
          <w:sz w:val="20"/>
        </w:rPr>
        <w:t>Source: Table 19, pp64-65 of SBA</w:t>
      </w:r>
    </w:p>
    <w:p w14:paraId="2B1B3486" w14:textId="1907D585" w:rsidR="006460AB" w:rsidRDefault="006460AB" w:rsidP="00242873">
      <w:pPr>
        <w:spacing w:before="240"/>
      </w:pPr>
      <w:bookmarkStart w:id="13" w:name="_Hlk10195501"/>
      <w:r w:rsidRPr="00015A24">
        <w:t xml:space="preserve">Overall, the risk of bias in </w:t>
      </w:r>
      <w:r>
        <w:t xml:space="preserve">all </w:t>
      </w:r>
      <w:r w:rsidRPr="00015A24">
        <w:t xml:space="preserve">the identified publications </w:t>
      </w:r>
      <w:r>
        <w:t>was</w:t>
      </w:r>
      <w:r w:rsidRPr="00015A24">
        <w:t xml:space="preserve"> considered high and </w:t>
      </w:r>
      <w:r>
        <w:t>the</w:t>
      </w:r>
      <w:r w:rsidRPr="00015A24">
        <w:t xml:space="preserve"> evidence base</w:t>
      </w:r>
      <w:r>
        <w:t xml:space="preserve"> was considered to be of low to very low quality</w:t>
      </w:r>
      <w:r w:rsidRPr="00015A24">
        <w:t>.</w:t>
      </w:r>
    </w:p>
    <w:p w14:paraId="4DBAC58E" w14:textId="77777777" w:rsidR="006460AB" w:rsidRDefault="006460AB" w:rsidP="006460AB">
      <w:pPr>
        <w:pStyle w:val="ListParagraph"/>
        <w:numPr>
          <w:ilvl w:val="0"/>
          <w:numId w:val="8"/>
        </w:numPr>
      </w:pPr>
      <w:r>
        <w:t xml:space="preserve">Population 1 (small, complex UIAs): six comparative studies of FDD versus coiling (two versus coiling </w:t>
      </w:r>
      <w:r w:rsidRPr="00015A24">
        <w:rPr>
          <w:rFonts w:cs="Calibri"/>
        </w:rPr>
        <w:t>±</w:t>
      </w:r>
      <w:r>
        <w:t xml:space="preserve"> stent and four versus stent-assisted coiling [SAC]). All but one were retrospective and all but two were considered to be at serious risk of bias for confounding (given differences in baseline characteristics of patients treated with the different modalities). All but one also had differences in mean or median follow-up for the arms in the studies (with generally longer follow-up available for those treat</w:t>
      </w:r>
      <w:r w:rsidR="005610DA">
        <w:t>ed with coils).</w:t>
      </w:r>
    </w:p>
    <w:p w14:paraId="1139C05D" w14:textId="77777777" w:rsidR="006460AB" w:rsidRDefault="006460AB" w:rsidP="006460AB">
      <w:pPr>
        <w:pStyle w:val="ListParagraph"/>
        <w:numPr>
          <w:ilvl w:val="0"/>
          <w:numId w:val="8"/>
        </w:numPr>
      </w:pPr>
      <w:r>
        <w:t xml:space="preserve">Population 2 (large UIAs): three comparative studies of FDD versus coiling, one versus coiling </w:t>
      </w:r>
      <w:r w:rsidRPr="00015A24">
        <w:rPr>
          <w:rFonts w:cs="Calibri"/>
        </w:rPr>
        <w:t>±</w:t>
      </w:r>
      <w:r>
        <w:t xml:space="preserve"> stent, one versus SAC or coiling alone and one versus SAC. All were retrospective and one was considered to be at serious risk of bias for confounding (given differences in baseline characteristics of patients treated with the different modalities). All but one also had differences in mean or median follow-up for the arms in the studies (with generally longer follow-up available for those treated with coils).</w:t>
      </w:r>
    </w:p>
    <w:p w14:paraId="6F957936" w14:textId="05B54135" w:rsidR="006460AB" w:rsidRDefault="006460AB" w:rsidP="006460AB">
      <w:pPr>
        <w:pStyle w:val="ListParagraph"/>
        <w:numPr>
          <w:ilvl w:val="0"/>
          <w:numId w:val="8"/>
        </w:numPr>
      </w:pPr>
      <w:r>
        <w:t>Population 3 (</w:t>
      </w:r>
      <w:r w:rsidRPr="0026634C">
        <w:t>UIAs ≥10 mm, unsuitable for coiling, clipping or parent vessel occlusion</w:t>
      </w:r>
      <w:r>
        <w:t>): six non-comparative studies.</w:t>
      </w:r>
    </w:p>
    <w:p w14:paraId="54580D1E" w14:textId="77777777" w:rsidR="006460AB" w:rsidRDefault="006460AB" w:rsidP="006460AB">
      <w:pPr>
        <w:pStyle w:val="ListParagraph"/>
        <w:numPr>
          <w:ilvl w:val="0"/>
          <w:numId w:val="8"/>
        </w:numPr>
      </w:pPr>
      <w:r>
        <w:t xml:space="preserve">Population 4 (previously treated, </w:t>
      </w:r>
      <w:proofErr w:type="spellStart"/>
      <w:r>
        <w:t>recanalised</w:t>
      </w:r>
      <w:proofErr w:type="spellEnd"/>
      <w:r>
        <w:t xml:space="preserve"> UIAs): six non-comparative studies.</w:t>
      </w:r>
    </w:p>
    <w:p w14:paraId="2A773668" w14:textId="1E2646C5" w:rsidR="006460AB" w:rsidRDefault="006460AB" w:rsidP="00242873">
      <w:pPr>
        <w:spacing w:before="240" w:after="240"/>
      </w:pPr>
      <w:r>
        <w:t>For the comparative evidence</w:t>
      </w:r>
      <w:r w:rsidR="0093163F">
        <w:t>, the submission also conducted</w:t>
      </w:r>
      <w:r>
        <w:t xml:space="preserve"> meta-analyses of the studies representing</w:t>
      </w:r>
      <w:r w:rsidR="005610DA">
        <w:t xml:space="preserve"> Population 1 and Population 2.</w:t>
      </w:r>
    </w:p>
    <w:p w14:paraId="4D42CE49" w14:textId="3C175464" w:rsidR="006460AB" w:rsidRDefault="006460AB" w:rsidP="00242873">
      <w:pPr>
        <w:spacing w:after="240"/>
      </w:pPr>
      <w:r>
        <w:t xml:space="preserve">The submission’s pooled results for safety outcomes are presented for Populations 1 and 2 (see Table </w:t>
      </w:r>
      <w:r w:rsidR="0094624A">
        <w:t>6</w:t>
      </w:r>
      <w:r>
        <w:t xml:space="preserve">) and Populations 3 and 4 (see Table </w:t>
      </w:r>
      <w:r w:rsidR="0094624A">
        <w:t>7</w:t>
      </w:r>
      <w:r>
        <w:t>).</w:t>
      </w:r>
    </w:p>
    <w:p w14:paraId="16F0962C" w14:textId="77F30E70" w:rsidR="006460AB" w:rsidRPr="006460AB" w:rsidRDefault="006460AB" w:rsidP="00690FA3">
      <w:pPr>
        <w:spacing w:after="240"/>
      </w:pPr>
      <w:r>
        <w:t xml:space="preserve">The Critique stated that no statistically significant differences were observed between FDD and coils </w:t>
      </w:r>
      <w:r>
        <w:rPr>
          <w:rFonts w:cs="Calibri"/>
        </w:rPr>
        <w:t>±</w:t>
      </w:r>
      <w:r>
        <w:t xml:space="preserve"> stent in Populations 1</w:t>
      </w:r>
      <w:r w:rsidR="0094624A">
        <w:t xml:space="preserve"> and</w:t>
      </w:r>
      <w:r>
        <w:t xml:space="preserve"> 2  for the following safety outcomes: procedural </w:t>
      </w:r>
      <w:r>
        <w:lastRenderedPageBreak/>
        <w:t xml:space="preserve">complications (see Table </w:t>
      </w:r>
      <w:r w:rsidR="0094624A">
        <w:t>6</w:t>
      </w:r>
      <w:r>
        <w:t xml:space="preserve">, Table </w:t>
      </w:r>
      <w:r w:rsidR="0094624A">
        <w:t>7</w:t>
      </w:r>
      <w:r>
        <w:t>, and Figure 2 below); procedure-related death; haemorrhagic or ischaemic stroke; and intraoperative rupture, post-treatment rupture, permanent morbidity/neurological deficit and procedure success/device migration.</w:t>
      </w:r>
      <w:bookmarkEnd w:id="13"/>
    </w:p>
    <w:p w14:paraId="26BDCCAF" w14:textId="77777777" w:rsidR="006460AB" w:rsidRDefault="006460AB" w:rsidP="006460AB">
      <w:pPr>
        <w:keepNext/>
      </w:pPr>
      <w:r>
        <w:rPr>
          <w:noProof/>
        </w:rPr>
        <w:drawing>
          <wp:inline distT="0" distB="0" distL="0" distR="0" wp14:anchorId="7D1D4C47" wp14:editId="680448C2">
            <wp:extent cx="6505575" cy="2944302"/>
            <wp:effectExtent l="0" t="0" r="0" b="8890"/>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op comparison.tif"/>
                    <pic:cNvPicPr/>
                  </pic:nvPicPr>
                  <pic:blipFill>
                    <a:blip r:embed="rId12">
                      <a:extLst>
                        <a:ext uri="{28A0092B-C50C-407E-A947-70E740481C1C}">
                          <a14:useLocalDpi xmlns:a14="http://schemas.microsoft.com/office/drawing/2010/main" val="0"/>
                        </a:ext>
                      </a:extLst>
                    </a:blip>
                    <a:stretch>
                      <a:fillRect/>
                    </a:stretch>
                  </pic:blipFill>
                  <pic:spPr>
                    <a:xfrm>
                      <a:off x="0" y="0"/>
                      <a:ext cx="6513522" cy="2947899"/>
                    </a:xfrm>
                    <a:prstGeom prst="rect">
                      <a:avLst/>
                    </a:prstGeom>
                  </pic:spPr>
                </pic:pic>
              </a:graphicData>
            </a:graphic>
          </wp:inline>
        </w:drawing>
      </w:r>
    </w:p>
    <w:p w14:paraId="5A621FFA" w14:textId="77777777" w:rsidR="006460AB" w:rsidRPr="004B35C9" w:rsidRDefault="006460AB" w:rsidP="004B35C9">
      <w:pPr>
        <w:rPr>
          <w:rFonts w:ascii="Arial Narrow" w:hAnsi="Arial Narrow"/>
          <w:b/>
          <w:sz w:val="20"/>
        </w:rPr>
      </w:pPr>
      <w:bookmarkStart w:id="14" w:name="_Ref10629121"/>
      <w:bookmarkStart w:id="15" w:name="_Toc10710966"/>
      <w:r w:rsidRPr="004B35C9">
        <w:rPr>
          <w:rFonts w:ascii="Arial Narrow" w:hAnsi="Arial Narrow"/>
          <w:b/>
          <w:sz w:val="20"/>
        </w:rPr>
        <w:t xml:space="preserve">Figure </w:t>
      </w:r>
      <w:bookmarkEnd w:id="14"/>
      <w:r w:rsidRPr="004B35C9">
        <w:rPr>
          <w:rFonts w:ascii="Arial Narrow" w:hAnsi="Arial Narrow"/>
          <w:b/>
          <w:sz w:val="20"/>
        </w:rPr>
        <w:t>2</w:t>
      </w:r>
      <w:r w:rsidRPr="004B35C9">
        <w:rPr>
          <w:rFonts w:ascii="Arial Narrow" w:hAnsi="Arial Narrow"/>
          <w:b/>
          <w:sz w:val="20"/>
        </w:rPr>
        <w:tab/>
        <w:t>Naïve comparison of safety (A) and effectiveness (B) endpoints across populations</w:t>
      </w:r>
      <w:bookmarkEnd w:id="15"/>
      <w:r w:rsidRPr="004B35C9">
        <w:rPr>
          <w:rFonts w:ascii="Arial Narrow" w:hAnsi="Arial Narrow"/>
          <w:b/>
          <w:sz w:val="20"/>
        </w:rPr>
        <w:t xml:space="preserve"> </w:t>
      </w:r>
    </w:p>
    <w:p w14:paraId="0171A1D3" w14:textId="77777777" w:rsidR="006460AB" w:rsidRPr="000912D9" w:rsidRDefault="006460AB" w:rsidP="00242873">
      <w:pPr>
        <w:pStyle w:val="Tablenotes"/>
      </w:pPr>
      <w:r>
        <w:t>Error bars represent the range of proportions observed across the individual studies included for each population.</w:t>
      </w:r>
    </w:p>
    <w:p w14:paraId="34186EE7" w14:textId="7540C9AA" w:rsidR="005C7ACE" w:rsidRPr="0093163F" w:rsidRDefault="005C7ACE" w:rsidP="00242873">
      <w:pPr>
        <w:spacing w:before="240"/>
      </w:pPr>
      <w:r w:rsidRPr="0093163F">
        <w:t xml:space="preserve">The Critique stated it may also be reasonable to conclude the safety of FDD in </w:t>
      </w:r>
      <w:r w:rsidR="0093163F">
        <w:t>P</w:t>
      </w:r>
      <w:r w:rsidRPr="0093163F">
        <w:t xml:space="preserve">opulations 3 and 4 is comparable to </w:t>
      </w:r>
      <w:r w:rsidR="0093163F">
        <w:t>P</w:t>
      </w:r>
      <w:r w:rsidRPr="0093163F">
        <w:t xml:space="preserve">opulations 1 and 2, with the </w:t>
      </w:r>
      <w:r w:rsidRPr="005C7ACE">
        <w:t>ob</w:t>
      </w:r>
      <w:r>
        <w:t>s</w:t>
      </w:r>
      <w:r w:rsidRPr="005C7ACE">
        <w:t>erved increased procedural complication rate in difficult to treat aneurysms (</w:t>
      </w:r>
      <w:r w:rsidR="0093163F">
        <w:t>P</w:t>
      </w:r>
      <w:r w:rsidRPr="005C7ACE">
        <w:t>opulation 3) consistent with the complexity of these aneurysms</w:t>
      </w:r>
      <w:r>
        <w:t>.</w:t>
      </w:r>
    </w:p>
    <w:p w14:paraId="286367C4" w14:textId="77777777" w:rsidR="008A749F" w:rsidRPr="00F715D1" w:rsidRDefault="008A749F" w:rsidP="008A749F">
      <w:pPr>
        <w:pStyle w:val="Heading1"/>
      </w:pPr>
      <w:r w:rsidRPr="00F715D1">
        <w:t>Comparative effectiveness</w:t>
      </w:r>
    </w:p>
    <w:p w14:paraId="2BAADCF1" w14:textId="41EAF55F" w:rsidR="006460AB" w:rsidRDefault="006460AB" w:rsidP="006460AB">
      <w:r>
        <w:t xml:space="preserve">The </w:t>
      </w:r>
      <w:r w:rsidR="0093163F">
        <w:t>application’s</w:t>
      </w:r>
      <w:r>
        <w:t xml:space="preserve"> results for comparative effectiveness for Populations 1 and 2 and Populations 3 and 4 are presented in Table 6 and Table 7, respectively.</w:t>
      </w:r>
    </w:p>
    <w:p w14:paraId="54EAE02B" w14:textId="77777777" w:rsidR="006460AB" w:rsidRPr="004B35C9" w:rsidRDefault="006460AB" w:rsidP="004B35C9">
      <w:pPr>
        <w:keepNext/>
        <w:keepLines/>
        <w:rPr>
          <w:rFonts w:ascii="Arial Narrow" w:hAnsi="Arial Narrow"/>
          <w:b/>
          <w:sz w:val="20"/>
        </w:rPr>
      </w:pPr>
      <w:bookmarkStart w:id="16" w:name="_Ref10713270"/>
      <w:bookmarkStart w:id="17" w:name="_Toc10710796"/>
      <w:r w:rsidRPr="004B35C9" w:rsidDel="00A134DA">
        <w:rPr>
          <w:rFonts w:ascii="Arial Narrow" w:hAnsi="Arial Narrow"/>
          <w:b/>
          <w:sz w:val="20"/>
        </w:rPr>
        <w:lastRenderedPageBreak/>
        <w:t xml:space="preserve">Table </w:t>
      </w:r>
      <w:bookmarkEnd w:id="16"/>
      <w:r w:rsidRPr="004B35C9">
        <w:rPr>
          <w:rFonts w:ascii="Arial Narrow" w:hAnsi="Arial Narrow"/>
          <w:b/>
          <w:sz w:val="20"/>
        </w:rPr>
        <w:t>6</w:t>
      </w:r>
      <w:r w:rsidRPr="004B35C9" w:rsidDel="00A134DA">
        <w:rPr>
          <w:rFonts w:ascii="Arial Narrow" w:hAnsi="Arial Narrow"/>
          <w:b/>
          <w:sz w:val="20"/>
        </w:rPr>
        <w:tab/>
      </w:r>
      <w:r w:rsidRPr="004B35C9">
        <w:rPr>
          <w:rFonts w:ascii="Arial Narrow" w:hAnsi="Arial Narrow"/>
          <w:b/>
          <w:sz w:val="20"/>
        </w:rPr>
        <w:t>Balance of clinical benefits and harms of FD, relative to coil/SAC, and as measured by the critical patient-relevant outcomes in the key studies: Population 1 and 2</w:t>
      </w:r>
      <w:bookmarkEnd w:id="17"/>
    </w:p>
    <w:tbl>
      <w:tblPr>
        <w:tblStyle w:val="TableGrid1"/>
        <w:tblW w:w="0" w:type="auto"/>
        <w:tblLook w:val="04A0" w:firstRow="1" w:lastRow="0" w:firstColumn="1" w:lastColumn="0" w:noHBand="0" w:noVBand="1"/>
        <w:tblDescription w:val="Summary of findings table"/>
      </w:tblPr>
      <w:tblGrid>
        <w:gridCol w:w="1364"/>
        <w:gridCol w:w="1183"/>
        <w:gridCol w:w="303"/>
        <w:gridCol w:w="122"/>
        <w:gridCol w:w="1150"/>
        <w:gridCol w:w="1175"/>
        <w:gridCol w:w="1206"/>
        <w:gridCol w:w="1179"/>
        <w:gridCol w:w="1334"/>
      </w:tblGrid>
      <w:tr w:rsidR="006460AB" w14:paraId="6334C3DD" w14:textId="77777777" w:rsidTr="004B35C9">
        <w:trPr>
          <w:cnfStyle w:val="100000000000" w:firstRow="1" w:lastRow="0" w:firstColumn="0" w:lastColumn="0" w:oddVBand="0" w:evenVBand="0" w:oddHBand="0" w:evenHBand="0" w:firstRowFirstColumn="0" w:firstRowLastColumn="0" w:lastRowFirstColumn="0" w:lastRowLastColumn="0"/>
          <w:tblHeader/>
        </w:trPr>
        <w:tc>
          <w:tcPr>
            <w:tcW w:w="1364" w:type="dxa"/>
          </w:tcPr>
          <w:p w14:paraId="51A6AA8F" w14:textId="77777777" w:rsidR="006460AB" w:rsidRDefault="006460AB" w:rsidP="004B35C9">
            <w:pPr>
              <w:pStyle w:val="TableHeading"/>
              <w:keepLines/>
              <w:widowControl w:val="0"/>
              <w:ind w:left="0" w:firstLine="0"/>
            </w:pPr>
            <w:r w:rsidRPr="000A1599">
              <w:t>Outcomes</w:t>
            </w:r>
            <w:r>
              <w:t xml:space="preserve"> (units)</w:t>
            </w:r>
          </w:p>
          <w:p w14:paraId="01EA2118" w14:textId="77777777" w:rsidR="006460AB" w:rsidRPr="000A1599" w:rsidRDefault="006460AB" w:rsidP="004B35C9">
            <w:pPr>
              <w:pStyle w:val="TableHeading"/>
              <w:keepLines/>
              <w:widowControl w:val="0"/>
              <w:ind w:left="0" w:firstLine="0"/>
            </w:pPr>
            <w:r>
              <w:t>Follow-up</w:t>
            </w:r>
          </w:p>
        </w:tc>
        <w:tc>
          <w:tcPr>
            <w:tcW w:w="1486" w:type="dxa"/>
            <w:gridSpan w:val="2"/>
          </w:tcPr>
          <w:p w14:paraId="0E0453D6" w14:textId="77777777" w:rsidR="006460AB" w:rsidRDefault="006460AB" w:rsidP="004B35C9">
            <w:pPr>
              <w:pStyle w:val="TableHeading"/>
              <w:keepLines/>
              <w:widowControl w:val="0"/>
              <w:ind w:left="0" w:firstLine="0"/>
            </w:pPr>
            <w:r>
              <w:t>Participants FD/coiling</w:t>
            </w:r>
          </w:p>
          <w:p w14:paraId="57110279" w14:textId="77777777" w:rsidR="006460AB" w:rsidRPr="000A1599" w:rsidRDefault="006460AB" w:rsidP="004B35C9">
            <w:pPr>
              <w:pStyle w:val="TableHeading"/>
              <w:keepLines/>
              <w:widowControl w:val="0"/>
              <w:ind w:left="0" w:firstLine="0"/>
            </w:pPr>
            <w:r>
              <w:t>(studies)</w:t>
            </w:r>
          </w:p>
        </w:tc>
        <w:tc>
          <w:tcPr>
            <w:tcW w:w="1272" w:type="dxa"/>
            <w:gridSpan w:val="2"/>
          </w:tcPr>
          <w:p w14:paraId="4298C29C" w14:textId="77777777" w:rsidR="006460AB" w:rsidRPr="000A1599" w:rsidRDefault="006460AB" w:rsidP="004B35C9">
            <w:pPr>
              <w:pStyle w:val="TableHeading"/>
              <w:keepLines/>
              <w:widowControl w:val="0"/>
              <w:ind w:left="0" w:firstLine="0"/>
            </w:pPr>
            <w:r>
              <w:t>Quality of evidence (GRADE)</w:t>
            </w:r>
          </w:p>
        </w:tc>
        <w:tc>
          <w:tcPr>
            <w:tcW w:w="1175" w:type="dxa"/>
          </w:tcPr>
          <w:p w14:paraId="796EAEAA" w14:textId="77777777" w:rsidR="006460AB" w:rsidRPr="000A1599" w:rsidRDefault="006460AB" w:rsidP="004B35C9">
            <w:pPr>
              <w:pStyle w:val="TableHeading"/>
              <w:keepLines/>
              <w:widowControl w:val="0"/>
              <w:ind w:left="0" w:firstLine="0"/>
            </w:pPr>
            <w:r>
              <w:t>Relative effect OR (95%CI)</w:t>
            </w:r>
          </w:p>
        </w:tc>
        <w:tc>
          <w:tcPr>
            <w:tcW w:w="1206" w:type="dxa"/>
          </w:tcPr>
          <w:p w14:paraId="262FA15A" w14:textId="77777777" w:rsidR="006460AB" w:rsidRPr="000A1599" w:rsidRDefault="006460AB" w:rsidP="004B35C9">
            <w:pPr>
              <w:pStyle w:val="TableHeading"/>
              <w:keepLines/>
              <w:widowControl w:val="0"/>
              <w:ind w:left="0" w:firstLine="0"/>
            </w:pPr>
            <w:r>
              <w:t>Risk with coil/SAC % (range)</w:t>
            </w:r>
          </w:p>
        </w:tc>
        <w:tc>
          <w:tcPr>
            <w:tcW w:w="1179" w:type="dxa"/>
          </w:tcPr>
          <w:p w14:paraId="0C4DBB43" w14:textId="77777777" w:rsidR="006460AB" w:rsidRPr="000A1599" w:rsidRDefault="006460AB" w:rsidP="004B35C9">
            <w:pPr>
              <w:pStyle w:val="TableHeading"/>
              <w:keepLines/>
              <w:widowControl w:val="0"/>
              <w:ind w:left="0" w:firstLine="0"/>
            </w:pPr>
            <w:r>
              <w:t>Risk with FD</w:t>
            </w:r>
          </w:p>
        </w:tc>
        <w:tc>
          <w:tcPr>
            <w:tcW w:w="1334" w:type="dxa"/>
          </w:tcPr>
          <w:p w14:paraId="1D15AA58" w14:textId="77777777" w:rsidR="006460AB" w:rsidRPr="000A1599" w:rsidRDefault="006460AB" w:rsidP="004B35C9">
            <w:pPr>
              <w:pStyle w:val="TableHeading"/>
              <w:keepLines/>
              <w:widowControl w:val="0"/>
              <w:ind w:left="0" w:firstLine="0"/>
            </w:pPr>
            <w:r>
              <w:t>Comments</w:t>
            </w:r>
          </w:p>
        </w:tc>
      </w:tr>
      <w:tr w:rsidR="006460AB" w:rsidRPr="004D1B0C" w14:paraId="7C1BB5F1" w14:textId="77777777" w:rsidTr="004B35C9">
        <w:trPr>
          <w:trHeight w:val="263"/>
        </w:trPr>
        <w:tc>
          <w:tcPr>
            <w:tcW w:w="2547" w:type="dxa"/>
            <w:gridSpan w:val="2"/>
          </w:tcPr>
          <w:p w14:paraId="7A4AE394" w14:textId="77777777" w:rsidR="006460AB" w:rsidRPr="004D1B0C" w:rsidRDefault="006460AB" w:rsidP="005610DA">
            <w:pPr>
              <w:keepNext/>
              <w:keepLines/>
              <w:widowControl w:val="0"/>
              <w:spacing w:after="40"/>
              <w:rPr>
                <w:rFonts w:cs="Arial"/>
                <w:b/>
                <w:sz w:val="18"/>
                <w:szCs w:val="18"/>
              </w:rPr>
            </w:pPr>
            <w:r w:rsidRPr="004D1B0C">
              <w:rPr>
                <w:rFonts w:cs="Arial"/>
                <w:b/>
                <w:sz w:val="18"/>
                <w:szCs w:val="18"/>
              </w:rPr>
              <w:t xml:space="preserve">Pop 1: small, complex (&lt;10 mm) </w:t>
            </w:r>
          </w:p>
        </w:tc>
        <w:tc>
          <w:tcPr>
            <w:tcW w:w="303" w:type="dxa"/>
          </w:tcPr>
          <w:p w14:paraId="26098CFE" w14:textId="77777777" w:rsidR="006460AB" w:rsidRPr="004D1B0C" w:rsidRDefault="006460AB" w:rsidP="005610DA">
            <w:pPr>
              <w:keepNext/>
              <w:keepLines/>
              <w:widowControl w:val="0"/>
              <w:spacing w:after="40"/>
              <w:rPr>
                <w:rFonts w:cs="Arial"/>
                <w:b/>
                <w:sz w:val="18"/>
                <w:szCs w:val="18"/>
                <w:vertAlign w:val="superscript"/>
              </w:rPr>
            </w:pPr>
          </w:p>
        </w:tc>
        <w:tc>
          <w:tcPr>
            <w:tcW w:w="1272" w:type="dxa"/>
            <w:gridSpan w:val="2"/>
          </w:tcPr>
          <w:p w14:paraId="5772B939" w14:textId="77777777" w:rsidR="006460AB" w:rsidRPr="004D1B0C" w:rsidRDefault="006460AB" w:rsidP="005610DA">
            <w:pPr>
              <w:keepNext/>
              <w:keepLines/>
              <w:widowControl w:val="0"/>
              <w:spacing w:after="40"/>
              <w:rPr>
                <w:rFonts w:cs="Arial"/>
                <w:b/>
                <w:sz w:val="18"/>
                <w:szCs w:val="18"/>
                <w:vertAlign w:val="superscript"/>
              </w:rPr>
            </w:pPr>
          </w:p>
        </w:tc>
        <w:tc>
          <w:tcPr>
            <w:tcW w:w="1175" w:type="dxa"/>
          </w:tcPr>
          <w:p w14:paraId="6738AE73" w14:textId="77777777" w:rsidR="006460AB" w:rsidRPr="004D1B0C" w:rsidRDefault="006460AB" w:rsidP="005610DA">
            <w:pPr>
              <w:keepNext/>
              <w:keepLines/>
              <w:widowControl w:val="0"/>
              <w:spacing w:after="40"/>
              <w:rPr>
                <w:rFonts w:cs="Arial"/>
                <w:b/>
                <w:sz w:val="18"/>
                <w:szCs w:val="18"/>
                <w:vertAlign w:val="superscript"/>
              </w:rPr>
            </w:pPr>
          </w:p>
        </w:tc>
        <w:tc>
          <w:tcPr>
            <w:tcW w:w="1206" w:type="dxa"/>
          </w:tcPr>
          <w:p w14:paraId="04895D74" w14:textId="77777777" w:rsidR="006460AB" w:rsidRPr="004D1B0C" w:rsidRDefault="006460AB" w:rsidP="005610DA">
            <w:pPr>
              <w:keepNext/>
              <w:keepLines/>
              <w:widowControl w:val="0"/>
              <w:spacing w:after="40"/>
              <w:rPr>
                <w:rFonts w:cs="Arial"/>
                <w:b/>
                <w:sz w:val="18"/>
                <w:szCs w:val="18"/>
                <w:vertAlign w:val="superscript"/>
              </w:rPr>
            </w:pPr>
          </w:p>
        </w:tc>
        <w:tc>
          <w:tcPr>
            <w:tcW w:w="1179" w:type="dxa"/>
          </w:tcPr>
          <w:p w14:paraId="24D2DF4B" w14:textId="77777777" w:rsidR="006460AB" w:rsidRPr="004D1B0C" w:rsidRDefault="006460AB" w:rsidP="005610DA">
            <w:pPr>
              <w:keepNext/>
              <w:keepLines/>
              <w:widowControl w:val="0"/>
              <w:spacing w:after="40"/>
              <w:rPr>
                <w:rFonts w:cs="Arial"/>
                <w:b/>
                <w:sz w:val="18"/>
                <w:szCs w:val="18"/>
                <w:vertAlign w:val="superscript"/>
              </w:rPr>
            </w:pPr>
          </w:p>
        </w:tc>
        <w:tc>
          <w:tcPr>
            <w:tcW w:w="1334" w:type="dxa"/>
          </w:tcPr>
          <w:p w14:paraId="48CD03E8" w14:textId="77777777" w:rsidR="006460AB" w:rsidRPr="004D1B0C" w:rsidRDefault="006460AB" w:rsidP="005610DA">
            <w:pPr>
              <w:keepNext/>
              <w:keepLines/>
              <w:widowControl w:val="0"/>
              <w:spacing w:after="40"/>
              <w:rPr>
                <w:rFonts w:cs="Arial"/>
                <w:b/>
                <w:sz w:val="18"/>
                <w:szCs w:val="18"/>
                <w:vertAlign w:val="superscript"/>
              </w:rPr>
            </w:pPr>
          </w:p>
        </w:tc>
      </w:tr>
      <w:tr w:rsidR="006460AB" w14:paraId="1DE5031D" w14:textId="77777777" w:rsidTr="004B35C9">
        <w:trPr>
          <w:trHeight w:val="263"/>
        </w:trPr>
        <w:tc>
          <w:tcPr>
            <w:tcW w:w="1364" w:type="dxa"/>
          </w:tcPr>
          <w:p w14:paraId="4E1FD683" w14:textId="77777777" w:rsidR="006460AB" w:rsidRPr="00CA4B40" w:rsidRDefault="006460AB" w:rsidP="005610DA">
            <w:pPr>
              <w:keepNext/>
              <w:keepLines/>
              <w:widowControl w:val="0"/>
              <w:spacing w:after="40"/>
              <w:rPr>
                <w:rFonts w:cs="Arial"/>
                <w:sz w:val="18"/>
                <w:szCs w:val="18"/>
              </w:rPr>
            </w:pPr>
            <w:r w:rsidRPr="00CA4B40">
              <w:rPr>
                <w:rFonts w:cs="Arial"/>
                <w:sz w:val="18"/>
                <w:szCs w:val="18"/>
              </w:rPr>
              <w:t>Complete occlusion, at follow</w:t>
            </w:r>
            <w:r>
              <w:rPr>
                <w:rFonts w:cs="Arial"/>
                <w:sz w:val="18"/>
                <w:szCs w:val="18"/>
              </w:rPr>
              <w:t>-</w:t>
            </w:r>
            <w:r w:rsidRPr="00CA4B40">
              <w:rPr>
                <w:rFonts w:cs="Arial"/>
                <w:sz w:val="18"/>
                <w:szCs w:val="18"/>
              </w:rPr>
              <w:t>up</w:t>
            </w:r>
          </w:p>
        </w:tc>
        <w:tc>
          <w:tcPr>
            <w:tcW w:w="1486" w:type="dxa"/>
            <w:gridSpan w:val="2"/>
          </w:tcPr>
          <w:p w14:paraId="36753216" w14:textId="77777777" w:rsidR="006460AB" w:rsidRPr="00CA4B40" w:rsidRDefault="006460AB" w:rsidP="005610DA">
            <w:pPr>
              <w:keepNext/>
              <w:keepLines/>
              <w:widowControl w:val="0"/>
              <w:spacing w:after="40"/>
              <w:rPr>
                <w:rFonts w:cs="Arial"/>
                <w:sz w:val="18"/>
                <w:szCs w:val="18"/>
              </w:rPr>
            </w:pPr>
            <w:r>
              <w:rPr>
                <w:rFonts w:cs="Arial"/>
                <w:sz w:val="18"/>
                <w:szCs w:val="18"/>
              </w:rPr>
              <w:t>N=426 (155/</w:t>
            </w:r>
            <w:r w:rsidRPr="00CA4B40">
              <w:rPr>
                <w:rFonts w:cs="Arial"/>
                <w:sz w:val="18"/>
                <w:szCs w:val="18"/>
              </w:rPr>
              <w:t>2</w:t>
            </w:r>
            <w:r>
              <w:rPr>
                <w:rFonts w:cs="Arial"/>
                <w:sz w:val="18"/>
                <w:szCs w:val="18"/>
              </w:rPr>
              <w:t>71)</w:t>
            </w:r>
            <w:r w:rsidRPr="00CA4B40">
              <w:rPr>
                <w:rFonts w:cs="Arial"/>
                <w:sz w:val="18"/>
                <w:szCs w:val="18"/>
              </w:rPr>
              <w:t xml:space="preserve">; </w:t>
            </w:r>
            <w:r>
              <w:rPr>
                <w:rFonts w:cs="Arial"/>
                <w:sz w:val="18"/>
                <w:szCs w:val="18"/>
              </w:rPr>
              <w:t>k</w:t>
            </w:r>
            <w:r w:rsidRPr="00CA4B40">
              <w:rPr>
                <w:rFonts w:cs="Arial"/>
                <w:sz w:val="18"/>
                <w:szCs w:val="18"/>
              </w:rPr>
              <w:t>=</w:t>
            </w:r>
            <w:r>
              <w:rPr>
                <w:rFonts w:cs="Arial"/>
                <w:sz w:val="18"/>
                <w:szCs w:val="18"/>
              </w:rPr>
              <w:t>5</w:t>
            </w:r>
          </w:p>
        </w:tc>
        <w:tc>
          <w:tcPr>
            <w:tcW w:w="1272" w:type="dxa"/>
            <w:gridSpan w:val="2"/>
          </w:tcPr>
          <w:p w14:paraId="490F4F4E" w14:textId="77777777" w:rsidR="006460AB" w:rsidRPr="00CA4B40" w:rsidRDefault="006460AB" w:rsidP="005610DA">
            <w:pPr>
              <w:keepNext/>
              <w:keepLines/>
              <w:widowControl w:val="0"/>
              <w:spacing w:after="40"/>
              <w:rPr>
                <w:rFonts w:cs="Arial"/>
                <w:sz w:val="18"/>
                <w:szCs w:val="18"/>
              </w:rPr>
            </w:pPr>
            <w:r>
              <w:rPr>
                <w:rFonts w:ascii="Cambria Math" w:hAnsi="Cambria Math"/>
                <w:color w:val="00B050"/>
              </w:rPr>
              <w:t>⨁</w:t>
            </w:r>
            <w:r w:rsidRPr="00D4733A">
              <w:rPr>
                <w:rFonts w:ascii="Cambria Math" w:hAnsi="Cambria Math" w:cs="Cambria Math"/>
                <w:color w:val="C00000"/>
              </w:rPr>
              <w:t>⨀⨀⨀</w:t>
            </w:r>
          </w:p>
        </w:tc>
        <w:tc>
          <w:tcPr>
            <w:tcW w:w="1175" w:type="dxa"/>
          </w:tcPr>
          <w:p w14:paraId="6B6250F4" w14:textId="77777777" w:rsidR="006460AB" w:rsidRPr="00CA4B40" w:rsidRDefault="006460AB" w:rsidP="005610DA">
            <w:pPr>
              <w:keepNext/>
              <w:keepLines/>
              <w:widowControl w:val="0"/>
              <w:spacing w:after="40"/>
              <w:rPr>
                <w:rFonts w:cs="Arial"/>
                <w:sz w:val="18"/>
                <w:szCs w:val="18"/>
              </w:rPr>
            </w:pPr>
            <w:r w:rsidRPr="003E3A9C">
              <w:rPr>
                <w:rFonts w:cs="Arial"/>
                <w:sz w:val="18"/>
                <w:szCs w:val="18"/>
              </w:rPr>
              <w:t>2.50 [1.56, 4.03]</w:t>
            </w:r>
            <w:r>
              <w:rPr>
                <w:rFonts w:cs="Arial"/>
                <w:sz w:val="18"/>
                <w:szCs w:val="18"/>
              </w:rPr>
              <w:t>; p=0.0001</w:t>
            </w:r>
          </w:p>
        </w:tc>
        <w:tc>
          <w:tcPr>
            <w:tcW w:w="1206" w:type="dxa"/>
          </w:tcPr>
          <w:p w14:paraId="35C896E1" w14:textId="77777777" w:rsidR="006460AB" w:rsidRPr="00CA4B40" w:rsidRDefault="006460AB" w:rsidP="005610DA">
            <w:pPr>
              <w:keepNext/>
              <w:keepLines/>
              <w:widowControl w:val="0"/>
              <w:spacing w:after="40"/>
              <w:rPr>
                <w:rFonts w:cs="Arial"/>
                <w:sz w:val="18"/>
                <w:szCs w:val="18"/>
              </w:rPr>
            </w:pPr>
            <w:r>
              <w:rPr>
                <w:rFonts w:cs="Arial"/>
                <w:sz w:val="18"/>
                <w:szCs w:val="18"/>
              </w:rPr>
              <w:t>Pooled: 62.0% (47.4–70.1%)</w:t>
            </w:r>
          </w:p>
        </w:tc>
        <w:tc>
          <w:tcPr>
            <w:tcW w:w="1179" w:type="dxa"/>
          </w:tcPr>
          <w:p w14:paraId="6B51017D" w14:textId="77777777" w:rsidR="006460AB" w:rsidRDefault="006460AB" w:rsidP="005610DA">
            <w:pPr>
              <w:keepNext/>
              <w:keepLines/>
              <w:widowControl w:val="0"/>
              <w:spacing w:after="40"/>
              <w:rPr>
                <w:rFonts w:cs="Arial"/>
                <w:sz w:val="18"/>
                <w:szCs w:val="18"/>
              </w:rPr>
            </w:pPr>
            <w:r>
              <w:rPr>
                <w:rFonts w:cs="Arial"/>
                <w:sz w:val="18"/>
                <w:szCs w:val="18"/>
              </w:rPr>
              <w:t xml:space="preserve">Pooled: 77.4% </w:t>
            </w:r>
          </w:p>
          <w:p w14:paraId="1DB30AC1" w14:textId="77777777" w:rsidR="006460AB" w:rsidRPr="00CA4B40" w:rsidRDefault="006460AB" w:rsidP="005610DA">
            <w:pPr>
              <w:keepNext/>
              <w:keepLines/>
              <w:widowControl w:val="0"/>
              <w:spacing w:after="40"/>
              <w:rPr>
                <w:rFonts w:cs="Arial"/>
                <w:sz w:val="18"/>
                <w:szCs w:val="18"/>
              </w:rPr>
            </w:pPr>
            <w:r>
              <w:rPr>
                <w:rFonts w:cs="Arial"/>
                <w:sz w:val="18"/>
                <w:szCs w:val="18"/>
              </w:rPr>
              <w:t>(73.7–80%)</w:t>
            </w:r>
          </w:p>
        </w:tc>
        <w:tc>
          <w:tcPr>
            <w:tcW w:w="1334" w:type="dxa"/>
          </w:tcPr>
          <w:p w14:paraId="78B048C7" w14:textId="77777777" w:rsidR="006460AB" w:rsidRPr="00CA4B40" w:rsidRDefault="006460AB" w:rsidP="005610DA">
            <w:pPr>
              <w:keepNext/>
              <w:keepLines/>
              <w:widowControl w:val="0"/>
              <w:spacing w:after="40"/>
              <w:rPr>
                <w:rFonts w:cs="Arial"/>
                <w:sz w:val="18"/>
                <w:szCs w:val="18"/>
              </w:rPr>
            </w:pPr>
            <w:r>
              <w:rPr>
                <w:rFonts w:cs="Arial"/>
                <w:sz w:val="18"/>
                <w:szCs w:val="18"/>
              </w:rPr>
              <w:t>Statistically significantly in favour of FD</w:t>
            </w:r>
          </w:p>
        </w:tc>
      </w:tr>
      <w:tr w:rsidR="006460AB" w:rsidRPr="00A3465A" w14:paraId="7E3590B4" w14:textId="77777777" w:rsidTr="004B35C9">
        <w:trPr>
          <w:trHeight w:val="25"/>
        </w:trPr>
        <w:tc>
          <w:tcPr>
            <w:tcW w:w="1364" w:type="dxa"/>
          </w:tcPr>
          <w:p w14:paraId="75B53D15" w14:textId="77777777" w:rsidR="006460AB" w:rsidRPr="00A3465A" w:rsidRDefault="006460AB" w:rsidP="005610DA">
            <w:pPr>
              <w:keepNext/>
              <w:keepLines/>
              <w:widowControl w:val="0"/>
              <w:spacing w:after="40"/>
              <w:rPr>
                <w:rFonts w:cs="Arial"/>
                <w:sz w:val="18"/>
                <w:szCs w:val="18"/>
              </w:rPr>
            </w:pPr>
            <w:r w:rsidRPr="00A3465A">
              <w:rPr>
                <w:rFonts w:cs="Arial"/>
                <w:sz w:val="18"/>
                <w:szCs w:val="18"/>
              </w:rPr>
              <w:t>Retreatment, at follow</w:t>
            </w:r>
            <w:r>
              <w:rPr>
                <w:rFonts w:cs="Arial"/>
                <w:sz w:val="18"/>
                <w:szCs w:val="18"/>
              </w:rPr>
              <w:t>-</w:t>
            </w:r>
            <w:r w:rsidRPr="00A3465A">
              <w:rPr>
                <w:rFonts w:cs="Arial"/>
                <w:sz w:val="18"/>
                <w:szCs w:val="18"/>
              </w:rPr>
              <w:t>up</w:t>
            </w:r>
          </w:p>
        </w:tc>
        <w:tc>
          <w:tcPr>
            <w:tcW w:w="1486" w:type="dxa"/>
            <w:gridSpan w:val="2"/>
          </w:tcPr>
          <w:p w14:paraId="44F54EC2" w14:textId="77777777" w:rsidR="006460AB" w:rsidRPr="00A3465A" w:rsidRDefault="006460AB" w:rsidP="005610DA">
            <w:pPr>
              <w:keepNext/>
              <w:keepLines/>
              <w:widowControl w:val="0"/>
              <w:spacing w:after="40"/>
              <w:rPr>
                <w:rFonts w:cs="Arial"/>
                <w:sz w:val="18"/>
                <w:szCs w:val="18"/>
              </w:rPr>
            </w:pPr>
            <w:r w:rsidRPr="00A3465A">
              <w:rPr>
                <w:rFonts w:cs="Arial"/>
                <w:sz w:val="18"/>
                <w:szCs w:val="18"/>
              </w:rPr>
              <w:t>N= 484 (183/301); k=5</w:t>
            </w:r>
          </w:p>
        </w:tc>
        <w:tc>
          <w:tcPr>
            <w:tcW w:w="1272" w:type="dxa"/>
            <w:gridSpan w:val="2"/>
          </w:tcPr>
          <w:p w14:paraId="11DB3355" w14:textId="77777777" w:rsidR="006460AB" w:rsidRPr="00A3465A" w:rsidRDefault="006460AB" w:rsidP="005610DA">
            <w:pPr>
              <w:keepNext/>
              <w:keepLines/>
              <w:widowControl w:val="0"/>
              <w:spacing w:after="40"/>
              <w:rPr>
                <w:rFonts w:cs="Arial"/>
                <w:sz w:val="18"/>
                <w:szCs w:val="18"/>
              </w:rPr>
            </w:pPr>
            <w:r w:rsidRPr="00A3465A">
              <w:rPr>
                <w:rFonts w:ascii="Cambria Math" w:hAnsi="Cambria Math"/>
                <w:color w:val="00B050"/>
              </w:rPr>
              <w:t>⨁</w:t>
            </w:r>
            <w:r w:rsidRPr="00A3465A">
              <w:rPr>
                <w:rFonts w:ascii="Cambria Math" w:hAnsi="Cambria Math" w:cs="Cambria Math"/>
                <w:color w:val="C00000"/>
              </w:rPr>
              <w:t>⨀⨀⨀</w:t>
            </w:r>
          </w:p>
        </w:tc>
        <w:tc>
          <w:tcPr>
            <w:tcW w:w="1175" w:type="dxa"/>
          </w:tcPr>
          <w:p w14:paraId="214D08F7" w14:textId="77777777" w:rsidR="006460AB" w:rsidRPr="00A3465A" w:rsidRDefault="006460AB" w:rsidP="005610DA">
            <w:pPr>
              <w:keepNext/>
              <w:keepLines/>
              <w:widowControl w:val="0"/>
              <w:spacing w:after="40"/>
              <w:rPr>
                <w:rFonts w:cs="Arial"/>
                <w:sz w:val="18"/>
                <w:szCs w:val="18"/>
              </w:rPr>
            </w:pPr>
            <w:r w:rsidRPr="00A3465A">
              <w:rPr>
                <w:rFonts w:cs="Arial"/>
                <w:sz w:val="18"/>
                <w:szCs w:val="18"/>
              </w:rPr>
              <w:t>0.58 [0.28, 1.20]</w:t>
            </w:r>
            <w:r>
              <w:rPr>
                <w:rFonts w:cs="Arial"/>
                <w:sz w:val="18"/>
                <w:szCs w:val="18"/>
              </w:rPr>
              <w:t>; p=0.14</w:t>
            </w:r>
          </w:p>
        </w:tc>
        <w:tc>
          <w:tcPr>
            <w:tcW w:w="1206" w:type="dxa"/>
          </w:tcPr>
          <w:p w14:paraId="235DB157" w14:textId="77777777" w:rsidR="006460AB" w:rsidRPr="00A3465A" w:rsidRDefault="006460AB" w:rsidP="005610DA">
            <w:pPr>
              <w:keepNext/>
              <w:keepLines/>
              <w:widowControl w:val="0"/>
              <w:spacing w:after="40"/>
              <w:rPr>
                <w:rFonts w:cs="Arial"/>
                <w:sz w:val="18"/>
                <w:szCs w:val="18"/>
              </w:rPr>
            </w:pPr>
            <w:r w:rsidRPr="00A3465A">
              <w:rPr>
                <w:rFonts w:cs="Arial"/>
                <w:sz w:val="18"/>
                <w:szCs w:val="18"/>
              </w:rPr>
              <w:t>Pooled: 11.3% (8.8–28.6%)</w:t>
            </w:r>
          </w:p>
        </w:tc>
        <w:tc>
          <w:tcPr>
            <w:tcW w:w="1179" w:type="dxa"/>
          </w:tcPr>
          <w:p w14:paraId="5C6926A1" w14:textId="77777777" w:rsidR="006460AB" w:rsidRPr="00A3465A" w:rsidRDefault="006460AB" w:rsidP="005610DA">
            <w:pPr>
              <w:keepNext/>
              <w:keepLines/>
              <w:widowControl w:val="0"/>
              <w:spacing w:after="40"/>
              <w:rPr>
                <w:rFonts w:cs="Arial"/>
                <w:sz w:val="18"/>
                <w:szCs w:val="18"/>
              </w:rPr>
            </w:pPr>
            <w:r w:rsidRPr="00A3465A">
              <w:rPr>
                <w:rFonts w:cs="Arial"/>
                <w:sz w:val="18"/>
                <w:szCs w:val="18"/>
              </w:rPr>
              <w:t>Pooled 5.5% (0–10.5%)</w:t>
            </w:r>
          </w:p>
        </w:tc>
        <w:tc>
          <w:tcPr>
            <w:tcW w:w="1334" w:type="dxa"/>
          </w:tcPr>
          <w:p w14:paraId="48FBC807" w14:textId="77777777" w:rsidR="006460AB" w:rsidRPr="00A3465A" w:rsidRDefault="006460AB" w:rsidP="005610DA">
            <w:pPr>
              <w:keepNext/>
              <w:keepLines/>
              <w:widowControl w:val="0"/>
              <w:spacing w:after="40"/>
              <w:rPr>
                <w:rFonts w:cs="Arial"/>
                <w:sz w:val="18"/>
                <w:szCs w:val="18"/>
              </w:rPr>
            </w:pPr>
            <w:r w:rsidRPr="00A3465A">
              <w:rPr>
                <w:rFonts w:cs="Arial"/>
                <w:sz w:val="18"/>
                <w:szCs w:val="18"/>
              </w:rPr>
              <w:t xml:space="preserve">Numerically in favour of </w:t>
            </w:r>
            <w:r>
              <w:rPr>
                <w:rFonts w:cs="Arial"/>
                <w:sz w:val="18"/>
                <w:szCs w:val="18"/>
              </w:rPr>
              <w:t>FD</w:t>
            </w:r>
          </w:p>
        </w:tc>
      </w:tr>
      <w:tr w:rsidR="006460AB" w14:paraId="4D94A3E4" w14:textId="77777777" w:rsidTr="004B35C9">
        <w:tc>
          <w:tcPr>
            <w:tcW w:w="1364" w:type="dxa"/>
          </w:tcPr>
          <w:p w14:paraId="67FD3343" w14:textId="77777777" w:rsidR="006460AB" w:rsidRPr="00A3465A" w:rsidRDefault="006460AB" w:rsidP="005610DA">
            <w:pPr>
              <w:keepNext/>
              <w:keepLines/>
              <w:widowControl w:val="0"/>
              <w:spacing w:after="40"/>
              <w:rPr>
                <w:rFonts w:cs="Arial"/>
                <w:sz w:val="18"/>
                <w:szCs w:val="18"/>
              </w:rPr>
            </w:pPr>
            <w:proofErr w:type="spellStart"/>
            <w:r w:rsidRPr="00A3465A">
              <w:rPr>
                <w:rFonts w:cs="Arial"/>
                <w:sz w:val="18"/>
                <w:szCs w:val="18"/>
              </w:rPr>
              <w:t>mRS</w:t>
            </w:r>
            <w:proofErr w:type="spellEnd"/>
            <w:r w:rsidRPr="00A3465A">
              <w:rPr>
                <w:rFonts w:cs="Arial"/>
                <w:sz w:val="18"/>
                <w:szCs w:val="18"/>
              </w:rPr>
              <w:t>, at follow</w:t>
            </w:r>
            <w:r>
              <w:rPr>
                <w:rFonts w:cs="Arial"/>
                <w:sz w:val="18"/>
                <w:szCs w:val="18"/>
              </w:rPr>
              <w:t>-</w:t>
            </w:r>
            <w:r w:rsidRPr="00A3465A">
              <w:rPr>
                <w:rFonts w:cs="Arial"/>
                <w:sz w:val="18"/>
                <w:szCs w:val="18"/>
              </w:rPr>
              <w:t>up</w:t>
            </w:r>
          </w:p>
        </w:tc>
        <w:tc>
          <w:tcPr>
            <w:tcW w:w="1486" w:type="dxa"/>
            <w:gridSpan w:val="2"/>
          </w:tcPr>
          <w:p w14:paraId="77A48480" w14:textId="77777777" w:rsidR="006460AB" w:rsidRPr="00A3465A" w:rsidRDefault="006460AB" w:rsidP="005610DA">
            <w:pPr>
              <w:keepNext/>
              <w:keepLines/>
              <w:widowControl w:val="0"/>
              <w:spacing w:after="40"/>
              <w:rPr>
                <w:rFonts w:cs="Arial"/>
                <w:sz w:val="18"/>
                <w:szCs w:val="18"/>
              </w:rPr>
            </w:pPr>
            <w:r w:rsidRPr="00A3465A">
              <w:rPr>
                <w:rFonts w:cs="Arial"/>
                <w:sz w:val="18"/>
                <w:szCs w:val="18"/>
              </w:rPr>
              <w:t>N=452 (162/290); k=5</w:t>
            </w:r>
          </w:p>
        </w:tc>
        <w:tc>
          <w:tcPr>
            <w:tcW w:w="1272" w:type="dxa"/>
            <w:gridSpan w:val="2"/>
          </w:tcPr>
          <w:p w14:paraId="7D7C29AB" w14:textId="77777777" w:rsidR="006460AB" w:rsidRPr="00A3465A" w:rsidRDefault="006460AB" w:rsidP="005610DA">
            <w:pPr>
              <w:keepNext/>
              <w:keepLines/>
              <w:widowControl w:val="0"/>
              <w:spacing w:after="40"/>
              <w:rPr>
                <w:rFonts w:cs="Arial"/>
                <w:sz w:val="18"/>
                <w:szCs w:val="18"/>
              </w:rPr>
            </w:pPr>
            <w:r w:rsidRPr="00A3465A">
              <w:rPr>
                <w:rFonts w:ascii="Cambria Math" w:hAnsi="Cambria Math"/>
                <w:color w:val="00B050"/>
              </w:rPr>
              <w:t>⨁</w:t>
            </w:r>
            <w:r w:rsidRPr="00A3465A">
              <w:rPr>
                <w:rFonts w:ascii="Cambria Math" w:hAnsi="Cambria Math" w:cs="Cambria Math"/>
                <w:color w:val="C00000"/>
              </w:rPr>
              <w:t>⨀⨀⨀</w:t>
            </w:r>
          </w:p>
        </w:tc>
        <w:tc>
          <w:tcPr>
            <w:tcW w:w="1175" w:type="dxa"/>
          </w:tcPr>
          <w:p w14:paraId="1F57790A" w14:textId="77777777" w:rsidR="006460AB" w:rsidRPr="00A3465A" w:rsidRDefault="006460AB" w:rsidP="005610DA">
            <w:pPr>
              <w:keepNext/>
              <w:keepLines/>
              <w:widowControl w:val="0"/>
              <w:spacing w:after="40"/>
              <w:rPr>
                <w:rFonts w:cs="Arial"/>
                <w:sz w:val="18"/>
                <w:szCs w:val="18"/>
              </w:rPr>
            </w:pPr>
            <w:r w:rsidRPr="00A3465A">
              <w:rPr>
                <w:rFonts w:cs="Arial"/>
                <w:sz w:val="18"/>
                <w:szCs w:val="18"/>
              </w:rPr>
              <w:t>1.09 [0.35, 3.39]</w:t>
            </w:r>
            <w:r>
              <w:rPr>
                <w:rFonts w:cs="Arial"/>
                <w:sz w:val="18"/>
                <w:szCs w:val="18"/>
              </w:rPr>
              <w:t>; p=0.22</w:t>
            </w:r>
          </w:p>
        </w:tc>
        <w:tc>
          <w:tcPr>
            <w:tcW w:w="1206" w:type="dxa"/>
          </w:tcPr>
          <w:p w14:paraId="79CB281B" w14:textId="77777777" w:rsidR="006460AB" w:rsidRPr="00A3465A" w:rsidRDefault="006460AB" w:rsidP="005610DA">
            <w:pPr>
              <w:keepNext/>
              <w:keepLines/>
              <w:widowControl w:val="0"/>
              <w:spacing w:after="40"/>
              <w:rPr>
                <w:rFonts w:cs="Arial"/>
                <w:sz w:val="18"/>
                <w:szCs w:val="18"/>
              </w:rPr>
            </w:pPr>
            <w:r w:rsidRPr="00A3465A">
              <w:rPr>
                <w:rFonts w:cs="Arial"/>
                <w:sz w:val="18"/>
                <w:szCs w:val="18"/>
              </w:rPr>
              <w:t>Pooled: 97.2% (85.6–98.6)</w:t>
            </w:r>
          </w:p>
        </w:tc>
        <w:tc>
          <w:tcPr>
            <w:tcW w:w="1179" w:type="dxa"/>
          </w:tcPr>
          <w:p w14:paraId="01CE8BD9" w14:textId="77777777" w:rsidR="006460AB" w:rsidRPr="00A3465A" w:rsidRDefault="006460AB" w:rsidP="005610DA">
            <w:pPr>
              <w:keepNext/>
              <w:keepLines/>
              <w:widowControl w:val="0"/>
              <w:spacing w:after="40"/>
              <w:rPr>
                <w:rFonts w:cs="Arial"/>
                <w:sz w:val="18"/>
                <w:szCs w:val="18"/>
              </w:rPr>
            </w:pPr>
            <w:r w:rsidRPr="00A3465A">
              <w:rPr>
                <w:rFonts w:cs="Arial"/>
                <w:sz w:val="18"/>
                <w:szCs w:val="18"/>
              </w:rPr>
              <w:t>Pooled: 97.5% (89.5–100%)</w:t>
            </w:r>
          </w:p>
        </w:tc>
        <w:tc>
          <w:tcPr>
            <w:tcW w:w="1334" w:type="dxa"/>
          </w:tcPr>
          <w:p w14:paraId="6BD7B701" w14:textId="77777777" w:rsidR="006460AB" w:rsidRPr="00CA4B40" w:rsidRDefault="006460AB" w:rsidP="005610DA">
            <w:pPr>
              <w:keepNext/>
              <w:keepLines/>
              <w:widowControl w:val="0"/>
              <w:spacing w:after="40"/>
              <w:rPr>
                <w:rFonts w:cs="Arial"/>
                <w:sz w:val="18"/>
                <w:szCs w:val="18"/>
              </w:rPr>
            </w:pPr>
            <w:r w:rsidRPr="00A3465A">
              <w:rPr>
                <w:rFonts w:cs="Arial"/>
                <w:sz w:val="18"/>
                <w:szCs w:val="18"/>
              </w:rPr>
              <w:t xml:space="preserve">Majority of patients had </w:t>
            </w:r>
            <w:proofErr w:type="spellStart"/>
            <w:r w:rsidRPr="00A3465A">
              <w:rPr>
                <w:rFonts w:cs="Arial"/>
                <w:sz w:val="18"/>
                <w:szCs w:val="18"/>
              </w:rPr>
              <w:t>mRS</w:t>
            </w:r>
            <w:proofErr w:type="spellEnd"/>
            <w:r w:rsidRPr="00A3465A">
              <w:rPr>
                <w:rFonts w:cs="Arial"/>
                <w:sz w:val="18"/>
                <w:szCs w:val="18"/>
              </w:rPr>
              <w:t xml:space="preserve"> 0–2 at follow</w:t>
            </w:r>
            <w:r>
              <w:rPr>
                <w:rFonts w:cs="Arial"/>
                <w:sz w:val="18"/>
                <w:szCs w:val="18"/>
              </w:rPr>
              <w:t>-</w:t>
            </w:r>
            <w:r w:rsidRPr="00A3465A">
              <w:rPr>
                <w:rFonts w:cs="Arial"/>
                <w:sz w:val="18"/>
                <w:szCs w:val="18"/>
              </w:rPr>
              <w:t>up</w:t>
            </w:r>
          </w:p>
        </w:tc>
      </w:tr>
      <w:tr w:rsidR="006460AB" w14:paraId="5BCC9519" w14:textId="77777777" w:rsidTr="004B35C9">
        <w:tc>
          <w:tcPr>
            <w:tcW w:w="1364" w:type="dxa"/>
          </w:tcPr>
          <w:p w14:paraId="5A603C6A" w14:textId="77777777" w:rsidR="006460AB" w:rsidRDefault="006460AB" w:rsidP="005610DA">
            <w:pPr>
              <w:keepNext/>
              <w:keepLines/>
              <w:widowControl w:val="0"/>
              <w:spacing w:after="40"/>
              <w:rPr>
                <w:rFonts w:cs="Arial"/>
                <w:sz w:val="18"/>
                <w:szCs w:val="18"/>
              </w:rPr>
            </w:pPr>
            <w:r>
              <w:rPr>
                <w:rFonts w:cs="Arial"/>
                <w:sz w:val="18"/>
                <w:szCs w:val="18"/>
              </w:rPr>
              <w:t>Procedural complications</w:t>
            </w:r>
          </w:p>
        </w:tc>
        <w:tc>
          <w:tcPr>
            <w:tcW w:w="1486" w:type="dxa"/>
            <w:gridSpan w:val="2"/>
          </w:tcPr>
          <w:p w14:paraId="38FA9F80" w14:textId="77777777" w:rsidR="006460AB" w:rsidRDefault="006460AB" w:rsidP="005610DA">
            <w:pPr>
              <w:keepNext/>
              <w:keepLines/>
              <w:widowControl w:val="0"/>
              <w:spacing w:after="40"/>
              <w:rPr>
                <w:rFonts w:cs="Arial"/>
                <w:sz w:val="18"/>
                <w:szCs w:val="18"/>
              </w:rPr>
            </w:pPr>
            <w:r>
              <w:rPr>
                <w:rFonts w:cs="Arial"/>
                <w:sz w:val="18"/>
                <w:szCs w:val="18"/>
              </w:rPr>
              <w:t>N=435 (156/279); k=4</w:t>
            </w:r>
          </w:p>
        </w:tc>
        <w:tc>
          <w:tcPr>
            <w:tcW w:w="1272" w:type="dxa"/>
            <w:gridSpan w:val="2"/>
          </w:tcPr>
          <w:p w14:paraId="01C5C80C" w14:textId="77777777" w:rsidR="006460AB" w:rsidRDefault="006460AB" w:rsidP="005610DA">
            <w:pPr>
              <w:keepNext/>
              <w:keepLines/>
              <w:widowControl w:val="0"/>
              <w:spacing w:after="40"/>
              <w:rPr>
                <w:rFonts w:ascii="Cambria Math" w:hAnsi="Cambria Math"/>
                <w:color w:val="00B050"/>
              </w:rPr>
            </w:pPr>
            <w:r>
              <w:rPr>
                <w:rFonts w:ascii="Cambria Math" w:hAnsi="Cambria Math"/>
                <w:color w:val="00B050"/>
              </w:rPr>
              <w:t>⨁</w:t>
            </w:r>
            <w:r w:rsidRPr="00D4733A">
              <w:rPr>
                <w:rFonts w:ascii="Cambria Math" w:hAnsi="Cambria Math" w:cs="Cambria Math"/>
                <w:color w:val="C00000"/>
              </w:rPr>
              <w:t>⨀⨀⨀</w:t>
            </w:r>
          </w:p>
        </w:tc>
        <w:tc>
          <w:tcPr>
            <w:tcW w:w="1175" w:type="dxa"/>
          </w:tcPr>
          <w:p w14:paraId="1B981FF8" w14:textId="77777777" w:rsidR="006460AB" w:rsidRPr="007D6E46" w:rsidRDefault="006460AB" w:rsidP="005610DA">
            <w:pPr>
              <w:keepNext/>
              <w:keepLines/>
              <w:widowControl w:val="0"/>
              <w:spacing w:after="40"/>
              <w:rPr>
                <w:rFonts w:cs="Arial"/>
                <w:sz w:val="18"/>
                <w:szCs w:val="18"/>
              </w:rPr>
            </w:pPr>
            <w:r w:rsidRPr="007D6E46">
              <w:rPr>
                <w:rFonts w:cs="Arial"/>
                <w:sz w:val="18"/>
                <w:szCs w:val="18"/>
              </w:rPr>
              <w:t>1.42 [0.57, 3.54]</w:t>
            </w:r>
            <w:r>
              <w:rPr>
                <w:rFonts w:cs="Arial"/>
                <w:sz w:val="18"/>
                <w:szCs w:val="18"/>
              </w:rPr>
              <w:t>; p=0.46</w:t>
            </w:r>
          </w:p>
        </w:tc>
        <w:tc>
          <w:tcPr>
            <w:tcW w:w="1206" w:type="dxa"/>
          </w:tcPr>
          <w:p w14:paraId="360F3BFF" w14:textId="77777777" w:rsidR="006460AB" w:rsidRDefault="006460AB" w:rsidP="005610DA">
            <w:pPr>
              <w:keepNext/>
              <w:keepLines/>
              <w:widowControl w:val="0"/>
              <w:spacing w:after="40"/>
              <w:rPr>
                <w:rFonts w:cs="Arial"/>
                <w:sz w:val="18"/>
                <w:szCs w:val="18"/>
              </w:rPr>
            </w:pPr>
            <w:r>
              <w:rPr>
                <w:rFonts w:cs="Arial"/>
                <w:sz w:val="18"/>
                <w:szCs w:val="18"/>
              </w:rPr>
              <w:t>Pooled: 3.9% (3.1–6.6%)</w:t>
            </w:r>
          </w:p>
        </w:tc>
        <w:tc>
          <w:tcPr>
            <w:tcW w:w="1179" w:type="dxa"/>
          </w:tcPr>
          <w:p w14:paraId="017D7A62" w14:textId="77777777" w:rsidR="006460AB" w:rsidRDefault="006460AB" w:rsidP="005610DA">
            <w:pPr>
              <w:keepNext/>
              <w:keepLines/>
              <w:widowControl w:val="0"/>
              <w:spacing w:after="40"/>
              <w:rPr>
                <w:rFonts w:cs="Arial"/>
                <w:sz w:val="18"/>
                <w:szCs w:val="18"/>
              </w:rPr>
            </w:pPr>
            <w:r>
              <w:rPr>
                <w:rFonts w:cs="Arial"/>
                <w:sz w:val="18"/>
                <w:szCs w:val="18"/>
              </w:rPr>
              <w:t>Pooled 6.4% (0–10.5%)</w:t>
            </w:r>
          </w:p>
        </w:tc>
        <w:tc>
          <w:tcPr>
            <w:tcW w:w="1334" w:type="dxa"/>
          </w:tcPr>
          <w:p w14:paraId="45CCC5C9" w14:textId="77777777" w:rsidR="006460AB" w:rsidRDefault="006460AB" w:rsidP="005610DA">
            <w:pPr>
              <w:keepNext/>
              <w:keepLines/>
              <w:widowControl w:val="0"/>
              <w:spacing w:after="40"/>
              <w:rPr>
                <w:rFonts w:cs="Arial"/>
                <w:sz w:val="18"/>
                <w:szCs w:val="18"/>
              </w:rPr>
            </w:pPr>
            <w:r>
              <w:rPr>
                <w:rFonts w:cs="Arial"/>
                <w:sz w:val="18"/>
                <w:szCs w:val="18"/>
              </w:rPr>
              <w:t>Numerically in favour of coil/SAC</w:t>
            </w:r>
          </w:p>
        </w:tc>
      </w:tr>
      <w:tr w:rsidR="006460AB" w:rsidRPr="00D74AE1" w14:paraId="75BA557B" w14:textId="77777777" w:rsidTr="004B35C9">
        <w:trPr>
          <w:trHeight w:val="263"/>
        </w:trPr>
        <w:tc>
          <w:tcPr>
            <w:tcW w:w="2547" w:type="dxa"/>
            <w:gridSpan w:val="2"/>
          </w:tcPr>
          <w:p w14:paraId="5280C6A8" w14:textId="77777777" w:rsidR="006460AB" w:rsidRPr="00D74AE1" w:rsidRDefault="006460AB" w:rsidP="005610DA">
            <w:pPr>
              <w:keepNext/>
              <w:keepLines/>
              <w:widowControl w:val="0"/>
              <w:spacing w:after="40"/>
              <w:rPr>
                <w:rFonts w:cs="Arial"/>
                <w:b/>
                <w:sz w:val="18"/>
                <w:szCs w:val="18"/>
              </w:rPr>
            </w:pPr>
            <w:r>
              <w:rPr>
                <w:rFonts w:cs="Arial"/>
                <w:b/>
                <w:sz w:val="18"/>
                <w:szCs w:val="18"/>
              </w:rPr>
              <w:t>Pop 2: l</w:t>
            </w:r>
            <w:r w:rsidRPr="00D74AE1">
              <w:rPr>
                <w:rFonts w:cs="Arial"/>
                <w:b/>
                <w:sz w:val="18"/>
                <w:szCs w:val="18"/>
              </w:rPr>
              <w:t>arge (≥ 10 mm)</w:t>
            </w:r>
          </w:p>
        </w:tc>
        <w:tc>
          <w:tcPr>
            <w:tcW w:w="425" w:type="dxa"/>
            <w:gridSpan w:val="2"/>
          </w:tcPr>
          <w:p w14:paraId="31520E6C" w14:textId="77777777" w:rsidR="006460AB" w:rsidRPr="00D74AE1" w:rsidRDefault="006460AB" w:rsidP="005610DA">
            <w:pPr>
              <w:keepNext/>
              <w:keepLines/>
              <w:widowControl w:val="0"/>
              <w:spacing w:after="40"/>
              <w:rPr>
                <w:rFonts w:cs="Arial"/>
                <w:b/>
                <w:sz w:val="18"/>
                <w:szCs w:val="18"/>
                <w:vertAlign w:val="superscript"/>
              </w:rPr>
            </w:pPr>
          </w:p>
        </w:tc>
        <w:tc>
          <w:tcPr>
            <w:tcW w:w="1150" w:type="dxa"/>
          </w:tcPr>
          <w:p w14:paraId="34001496" w14:textId="77777777" w:rsidR="006460AB" w:rsidRPr="00D74AE1" w:rsidRDefault="006460AB" w:rsidP="005610DA">
            <w:pPr>
              <w:keepNext/>
              <w:keepLines/>
              <w:widowControl w:val="0"/>
              <w:spacing w:after="40"/>
              <w:rPr>
                <w:rFonts w:cs="Arial"/>
                <w:b/>
                <w:sz w:val="18"/>
                <w:szCs w:val="18"/>
                <w:vertAlign w:val="superscript"/>
              </w:rPr>
            </w:pPr>
          </w:p>
        </w:tc>
        <w:tc>
          <w:tcPr>
            <w:tcW w:w="1175" w:type="dxa"/>
          </w:tcPr>
          <w:p w14:paraId="02227FAF" w14:textId="77777777" w:rsidR="006460AB" w:rsidRPr="00D74AE1" w:rsidRDefault="006460AB" w:rsidP="005610DA">
            <w:pPr>
              <w:keepNext/>
              <w:keepLines/>
              <w:widowControl w:val="0"/>
              <w:spacing w:after="40"/>
              <w:rPr>
                <w:rFonts w:cs="Arial"/>
                <w:b/>
                <w:sz w:val="18"/>
                <w:szCs w:val="18"/>
                <w:vertAlign w:val="superscript"/>
              </w:rPr>
            </w:pPr>
          </w:p>
        </w:tc>
        <w:tc>
          <w:tcPr>
            <w:tcW w:w="1206" w:type="dxa"/>
          </w:tcPr>
          <w:p w14:paraId="0089111A" w14:textId="77777777" w:rsidR="006460AB" w:rsidRPr="00D74AE1" w:rsidRDefault="006460AB" w:rsidP="005610DA">
            <w:pPr>
              <w:keepNext/>
              <w:keepLines/>
              <w:widowControl w:val="0"/>
              <w:spacing w:after="40"/>
              <w:rPr>
                <w:rFonts w:cs="Arial"/>
                <w:b/>
                <w:sz w:val="18"/>
                <w:szCs w:val="18"/>
                <w:vertAlign w:val="superscript"/>
              </w:rPr>
            </w:pPr>
          </w:p>
        </w:tc>
        <w:tc>
          <w:tcPr>
            <w:tcW w:w="1179" w:type="dxa"/>
          </w:tcPr>
          <w:p w14:paraId="2561D297" w14:textId="77777777" w:rsidR="006460AB" w:rsidRPr="00D74AE1" w:rsidRDefault="006460AB" w:rsidP="005610DA">
            <w:pPr>
              <w:keepNext/>
              <w:keepLines/>
              <w:widowControl w:val="0"/>
              <w:spacing w:after="40"/>
              <w:rPr>
                <w:rFonts w:cs="Arial"/>
                <w:b/>
                <w:sz w:val="18"/>
                <w:szCs w:val="18"/>
                <w:vertAlign w:val="superscript"/>
              </w:rPr>
            </w:pPr>
          </w:p>
        </w:tc>
        <w:tc>
          <w:tcPr>
            <w:tcW w:w="1334" w:type="dxa"/>
          </w:tcPr>
          <w:p w14:paraId="34D8A18C" w14:textId="77777777" w:rsidR="006460AB" w:rsidRPr="00D74AE1" w:rsidRDefault="006460AB" w:rsidP="005610DA">
            <w:pPr>
              <w:keepNext/>
              <w:keepLines/>
              <w:widowControl w:val="0"/>
              <w:spacing w:after="40"/>
              <w:rPr>
                <w:rFonts w:cs="Arial"/>
                <w:b/>
                <w:sz w:val="18"/>
                <w:szCs w:val="18"/>
                <w:vertAlign w:val="superscript"/>
              </w:rPr>
            </w:pPr>
          </w:p>
        </w:tc>
      </w:tr>
      <w:tr w:rsidR="006460AB" w14:paraId="4A7C8A31" w14:textId="77777777" w:rsidTr="004B35C9">
        <w:trPr>
          <w:trHeight w:val="263"/>
        </w:trPr>
        <w:tc>
          <w:tcPr>
            <w:tcW w:w="1364" w:type="dxa"/>
          </w:tcPr>
          <w:p w14:paraId="086E3B2C" w14:textId="77777777" w:rsidR="006460AB" w:rsidRPr="00CA4B40" w:rsidRDefault="006460AB" w:rsidP="005610DA">
            <w:pPr>
              <w:keepNext/>
              <w:keepLines/>
              <w:widowControl w:val="0"/>
              <w:spacing w:after="40"/>
              <w:rPr>
                <w:rFonts w:cs="Arial"/>
                <w:sz w:val="18"/>
                <w:szCs w:val="18"/>
              </w:rPr>
            </w:pPr>
            <w:r w:rsidRPr="00CA4B40">
              <w:rPr>
                <w:rFonts w:cs="Arial"/>
                <w:sz w:val="18"/>
                <w:szCs w:val="18"/>
              </w:rPr>
              <w:t>Complete occlusion, at follow</w:t>
            </w:r>
            <w:r>
              <w:rPr>
                <w:rFonts w:cs="Arial"/>
                <w:sz w:val="18"/>
                <w:szCs w:val="18"/>
              </w:rPr>
              <w:t>-</w:t>
            </w:r>
            <w:r w:rsidRPr="00CA4B40">
              <w:rPr>
                <w:rFonts w:cs="Arial"/>
                <w:sz w:val="18"/>
                <w:szCs w:val="18"/>
              </w:rPr>
              <w:t>up</w:t>
            </w:r>
          </w:p>
        </w:tc>
        <w:tc>
          <w:tcPr>
            <w:tcW w:w="1486" w:type="dxa"/>
            <w:gridSpan w:val="2"/>
          </w:tcPr>
          <w:p w14:paraId="07E0BD03" w14:textId="77777777" w:rsidR="006460AB" w:rsidRPr="00CA4B40" w:rsidRDefault="006460AB" w:rsidP="005610DA">
            <w:pPr>
              <w:keepNext/>
              <w:keepLines/>
              <w:widowControl w:val="0"/>
              <w:spacing w:after="40"/>
              <w:rPr>
                <w:rFonts w:cs="Arial"/>
                <w:sz w:val="18"/>
                <w:szCs w:val="18"/>
              </w:rPr>
            </w:pPr>
            <w:r>
              <w:rPr>
                <w:rFonts w:cs="Arial"/>
                <w:sz w:val="18"/>
                <w:szCs w:val="18"/>
              </w:rPr>
              <w:t>N=349 (129/220)</w:t>
            </w:r>
            <w:r w:rsidRPr="00CA4B40">
              <w:rPr>
                <w:rFonts w:cs="Arial"/>
                <w:sz w:val="18"/>
                <w:szCs w:val="18"/>
              </w:rPr>
              <w:t>;</w:t>
            </w:r>
            <w:r>
              <w:rPr>
                <w:rFonts w:cs="Arial"/>
                <w:sz w:val="18"/>
                <w:szCs w:val="18"/>
              </w:rPr>
              <w:t xml:space="preserve"> k</w:t>
            </w:r>
            <w:r w:rsidRPr="00CA4B40">
              <w:rPr>
                <w:rFonts w:cs="Arial"/>
                <w:sz w:val="18"/>
                <w:szCs w:val="18"/>
              </w:rPr>
              <w:t xml:space="preserve"> =</w:t>
            </w:r>
            <w:r>
              <w:rPr>
                <w:rFonts w:cs="Arial"/>
                <w:sz w:val="18"/>
                <w:szCs w:val="18"/>
              </w:rPr>
              <w:t>3</w:t>
            </w:r>
          </w:p>
        </w:tc>
        <w:tc>
          <w:tcPr>
            <w:tcW w:w="1272" w:type="dxa"/>
            <w:gridSpan w:val="2"/>
          </w:tcPr>
          <w:p w14:paraId="53BFCE24" w14:textId="77777777" w:rsidR="006460AB" w:rsidRPr="00CA4B40" w:rsidRDefault="006460AB" w:rsidP="005610DA">
            <w:pPr>
              <w:keepNext/>
              <w:keepLines/>
              <w:widowControl w:val="0"/>
              <w:spacing w:after="40"/>
              <w:rPr>
                <w:rFonts w:cs="Arial"/>
                <w:sz w:val="18"/>
                <w:szCs w:val="18"/>
              </w:rPr>
            </w:pPr>
            <w:r>
              <w:rPr>
                <w:rFonts w:ascii="Cambria Math" w:hAnsi="Cambria Math"/>
                <w:color w:val="00B050"/>
              </w:rPr>
              <w:t>⨁</w:t>
            </w:r>
            <w:r w:rsidRPr="00D4733A">
              <w:rPr>
                <w:rFonts w:ascii="Cambria Math" w:hAnsi="Cambria Math" w:cs="Cambria Math"/>
                <w:color w:val="C00000"/>
              </w:rPr>
              <w:t>⨀⨀⨀</w:t>
            </w:r>
          </w:p>
        </w:tc>
        <w:tc>
          <w:tcPr>
            <w:tcW w:w="1175" w:type="dxa"/>
          </w:tcPr>
          <w:p w14:paraId="005421CF" w14:textId="77777777" w:rsidR="006460AB" w:rsidRPr="00CA4B40" w:rsidRDefault="006460AB" w:rsidP="005610DA">
            <w:pPr>
              <w:keepNext/>
              <w:keepLines/>
              <w:widowControl w:val="0"/>
              <w:spacing w:after="40"/>
              <w:rPr>
                <w:rFonts w:cs="Arial"/>
                <w:sz w:val="18"/>
                <w:szCs w:val="18"/>
              </w:rPr>
            </w:pPr>
            <w:r w:rsidRPr="00D74AE1">
              <w:rPr>
                <w:rFonts w:cs="Arial"/>
                <w:sz w:val="18"/>
                <w:szCs w:val="18"/>
              </w:rPr>
              <w:t>6.04 [3.55, 10.27]</w:t>
            </w:r>
            <w:r>
              <w:rPr>
                <w:rFonts w:cs="Arial"/>
                <w:sz w:val="18"/>
                <w:szCs w:val="18"/>
              </w:rPr>
              <w:t>; p&lt;0.00001</w:t>
            </w:r>
          </w:p>
        </w:tc>
        <w:tc>
          <w:tcPr>
            <w:tcW w:w="1206" w:type="dxa"/>
          </w:tcPr>
          <w:p w14:paraId="36A1B6CD" w14:textId="77777777" w:rsidR="006460AB" w:rsidRPr="00CA4B40" w:rsidRDefault="006460AB" w:rsidP="005610DA">
            <w:pPr>
              <w:keepNext/>
              <w:keepLines/>
              <w:widowControl w:val="0"/>
              <w:spacing w:after="40"/>
              <w:rPr>
                <w:rFonts w:cs="Arial"/>
                <w:sz w:val="18"/>
                <w:szCs w:val="18"/>
              </w:rPr>
            </w:pPr>
            <w:r>
              <w:rPr>
                <w:rFonts w:cs="Arial"/>
                <w:sz w:val="18"/>
                <w:szCs w:val="18"/>
              </w:rPr>
              <w:t>Pooled: 41.4% (24.3–48.4%)</w:t>
            </w:r>
          </w:p>
        </w:tc>
        <w:tc>
          <w:tcPr>
            <w:tcW w:w="1179" w:type="dxa"/>
          </w:tcPr>
          <w:p w14:paraId="74EE9D94" w14:textId="77777777" w:rsidR="006460AB" w:rsidRPr="00CA4B40" w:rsidRDefault="006460AB" w:rsidP="005610DA">
            <w:pPr>
              <w:keepNext/>
              <w:keepLines/>
              <w:widowControl w:val="0"/>
              <w:spacing w:after="40"/>
              <w:rPr>
                <w:rFonts w:cs="Arial"/>
                <w:sz w:val="18"/>
                <w:szCs w:val="18"/>
              </w:rPr>
            </w:pPr>
            <w:r>
              <w:rPr>
                <w:rFonts w:cs="Arial"/>
                <w:sz w:val="18"/>
                <w:szCs w:val="18"/>
              </w:rPr>
              <w:t>Pooled 79.1% (68.6–85.7%)</w:t>
            </w:r>
          </w:p>
        </w:tc>
        <w:tc>
          <w:tcPr>
            <w:tcW w:w="1334" w:type="dxa"/>
          </w:tcPr>
          <w:p w14:paraId="01202D75" w14:textId="77777777" w:rsidR="006460AB" w:rsidRPr="00CA4B40" w:rsidRDefault="006460AB" w:rsidP="005610DA">
            <w:pPr>
              <w:keepNext/>
              <w:keepLines/>
              <w:widowControl w:val="0"/>
              <w:spacing w:after="40"/>
              <w:rPr>
                <w:rFonts w:cs="Arial"/>
                <w:sz w:val="18"/>
                <w:szCs w:val="18"/>
              </w:rPr>
            </w:pPr>
            <w:r>
              <w:rPr>
                <w:rFonts w:cs="Arial"/>
                <w:sz w:val="18"/>
                <w:szCs w:val="18"/>
              </w:rPr>
              <w:t>Statistically significantly in favour of FD</w:t>
            </w:r>
          </w:p>
        </w:tc>
      </w:tr>
      <w:tr w:rsidR="006460AB" w14:paraId="3C2C7003" w14:textId="77777777" w:rsidTr="004B35C9">
        <w:tc>
          <w:tcPr>
            <w:tcW w:w="1364" w:type="dxa"/>
          </w:tcPr>
          <w:p w14:paraId="26CE457B" w14:textId="77777777" w:rsidR="006460AB" w:rsidRPr="00CA4B40" w:rsidRDefault="006460AB" w:rsidP="005610DA">
            <w:pPr>
              <w:keepNext/>
              <w:keepLines/>
              <w:widowControl w:val="0"/>
              <w:spacing w:after="40"/>
              <w:rPr>
                <w:rFonts w:cs="Arial"/>
                <w:sz w:val="18"/>
                <w:szCs w:val="18"/>
              </w:rPr>
            </w:pPr>
            <w:r>
              <w:rPr>
                <w:rFonts w:cs="Arial"/>
                <w:sz w:val="18"/>
                <w:szCs w:val="18"/>
              </w:rPr>
              <w:t>Retreatment, at follow-up</w:t>
            </w:r>
          </w:p>
        </w:tc>
        <w:tc>
          <w:tcPr>
            <w:tcW w:w="1486" w:type="dxa"/>
            <w:gridSpan w:val="2"/>
          </w:tcPr>
          <w:p w14:paraId="524C5028" w14:textId="77777777" w:rsidR="006460AB" w:rsidRPr="00CA4B40" w:rsidRDefault="006460AB" w:rsidP="005610DA">
            <w:pPr>
              <w:keepNext/>
              <w:keepLines/>
              <w:widowControl w:val="0"/>
              <w:spacing w:after="40"/>
              <w:rPr>
                <w:rFonts w:cs="Arial"/>
                <w:sz w:val="18"/>
                <w:szCs w:val="18"/>
              </w:rPr>
            </w:pPr>
            <w:r>
              <w:rPr>
                <w:rFonts w:cs="Arial"/>
                <w:sz w:val="18"/>
                <w:szCs w:val="18"/>
              </w:rPr>
              <w:t>N=277 (94/183); k=2</w:t>
            </w:r>
          </w:p>
        </w:tc>
        <w:tc>
          <w:tcPr>
            <w:tcW w:w="1272" w:type="dxa"/>
            <w:gridSpan w:val="2"/>
          </w:tcPr>
          <w:p w14:paraId="54ABEB84" w14:textId="77777777" w:rsidR="006460AB" w:rsidRPr="00CA4B40" w:rsidRDefault="006460AB" w:rsidP="005610DA">
            <w:pPr>
              <w:keepNext/>
              <w:keepLines/>
              <w:widowControl w:val="0"/>
              <w:spacing w:after="40"/>
              <w:rPr>
                <w:rFonts w:cs="Arial"/>
                <w:sz w:val="18"/>
                <w:szCs w:val="18"/>
              </w:rPr>
            </w:pPr>
            <w:r>
              <w:rPr>
                <w:rFonts w:ascii="Cambria Math" w:hAnsi="Cambria Math"/>
                <w:color w:val="00B050"/>
              </w:rPr>
              <w:t>⨁</w:t>
            </w:r>
            <w:r w:rsidRPr="00D4733A">
              <w:rPr>
                <w:rFonts w:ascii="Cambria Math" w:hAnsi="Cambria Math" w:cs="Cambria Math"/>
                <w:color w:val="C00000"/>
              </w:rPr>
              <w:t>⨀⨀⨀</w:t>
            </w:r>
          </w:p>
        </w:tc>
        <w:tc>
          <w:tcPr>
            <w:tcW w:w="1175" w:type="dxa"/>
          </w:tcPr>
          <w:p w14:paraId="627710C0" w14:textId="77777777" w:rsidR="006460AB" w:rsidRPr="00CA4B40" w:rsidRDefault="006460AB" w:rsidP="005610DA">
            <w:pPr>
              <w:keepNext/>
              <w:keepLines/>
              <w:widowControl w:val="0"/>
              <w:spacing w:after="40"/>
              <w:rPr>
                <w:rFonts w:cs="Arial"/>
                <w:sz w:val="18"/>
                <w:szCs w:val="18"/>
              </w:rPr>
            </w:pPr>
            <w:r w:rsidRPr="0006442E">
              <w:rPr>
                <w:rFonts w:cs="Arial"/>
                <w:sz w:val="18"/>
                <w:szCs w:val="18"/>
              </w:rPr>
              <w:t>0.12 [0.04, 0.37]</w:t>
            </w:r>
            <w:r>
              <w:rPr>
                <w:rFonts w:cs="Arial"/>
                <w:sz w:val="18"/>
                <w:szCs w:val="18"/>
              </w:rPr>
              <w:t>; p=0.0002</w:t>
            </w:r>
          </w:p>
        </w:tc>
        <w:tc>
          <w:tcPr>
            <w:tcW w:w="1206" w:type="dxa"/>
          </w:tcPr>
          <w:p w14:paraId="0CCA81E0" w14:textId="77777777" w:rsidR="006460AB" w:rsidRPr="00CA4B40" w:rsidRDefault="006460AB" w:rsidP="005610DA">
            <w:pPr>
              <w:keepNext/>
              <w:keepLines/>
              <w:widowControl w:val="0"/>
              <w:spacing w:after="40"/>
              <w:rPr>
                <w:rFonts w:cs="Arial"/>
                <w:sz w:val="18"/>
                <w:szCs w:val="18"/>
              </w:rPr>
            </w:pPr>
            <w:r>
              <w:rPr>
                <w:rFonts w:cs="Arial"/>
                <w:sz w:val="18"/>
                <w:szCs w:val="18"/>
              </w:rPr>
              <w:t>Pooled: 30.1% (23.7–36.7%)</w:t>
            </w:r>
          </w:p>
        </w:tc>
        <w:tc>
          <w:tcPr>
            <w:tcW w:w="1179" w:type="dxa"/>
          </w:tcPr>
          <w:p w14:paraId="4FE525F9" w14:textId="77777777" w:rsidR="006460AB" w:rsidRDefault="006460AB" w:rsidP="005610DA">
            <w:pPr>
              <w:keepNext/>
              <w:keepLines/>
              <w:widowControl w:val="0"/>
              <w:spacing w:after="40"/>
              <w:rPr>
                <w:rFonts w:cs="Arial"/>
                <w:sz w:val="18"/>
                <w:szCs w:val="18"/>
              </w:rPr>
            </w:pPr>
            <w:r>
              <w:rPr>
                <w:rFonts w:cs="Arial"/>
                <w:sz w:val="18"/>
                <w:szCs w:val="18"/>
              </w:rPr>
              <w:t xml:space="preserve">Pooled: 4.3% </w:t>
            </w:r>
          </w:p>
          <w:p w14:paraId="24EE92C2" w14:textId="77777777" w:rsidR="006460AB" w:rsidRPr="00CA4B40" w:rsidRDefault="006460AB" w:rsidP="005610DA">
            <w:pPr>
              <w:keepNext/>
              <w:keepLines/>
              <w:widowControl w:val="0"/>
              <w:spacing w:after="40"/>
              <w:rPr>
                <w:rFonts w:cs="Arial"/>
                <w:sz w:val="18"/>
                <w:szCs w:val="18"/>
              </w:rPr>
            </w:pPr>
            <w:r>
              <w:rPr>
                <w:rFonts w:cs="Arial"/>
                <w:sz w:val="18"/>
                <w:szCs w:val="18"/>
              </w:rPr>
              <w:t>(2.9–5.1%)</w:t>
            </w:r>
          </w:p>
        </w:tc>
        <w:tc>
          <w:tcPr>
            <w:tcW w:w="1334" w:type="dxa"/>
          </w:tcPr>
          <w:p w14:paraId="6F80D306" w14:textId="77777777" w:rsidR="006460AB" w:rsidRPr="00CA4B40" w:rsidRDefault="006460AB" w:rsidP="005610DA">
            <w:pPr>
              <w:keepNext/>
              <w:keepLines/>
              <w:widowControl w:val="0"/>
              <w:spacing w:after="40"/>
              <w:rPr>
                <w:rFonts w:cs="Arial"/>
                <w:sz w:val="18"/>
                <w:szCs w:val="18"/>
              </w:rPr>
            </w:pPr>
            <w:r>
              <w:rPr>
                <w:rFonts w:cs="Arial"/>
                <w:sz w:val="18"/>
                <w:szCs w:val="18"/>
              </w:rPr>
              <w:t>Statistically significantly in favour of FD</w:t>
            </w:r>
          </w:p>
        </w:tc>
      </w:tr>
      <w:tr w:rsidR="006460AB" w14:paraId="5F41EAF9" w14:textId="77777777" w:rsidTr="004B35C9">
        <w:tc>
          <w:tcPr>
            <w:tcW w:w="1364" w:type="dxa"/>
          </w:tcPr>
          <w:p w14:paraId="0FD1ED0C" w14:textId="77777777" w:rsidR="006460AB" w:rsidRPr="00CA4B40" w:rsidRDefault="006460AB" w:rsidP="005610DA">
            <w:pPr>
              <w:keepNext/>
              <w:keepLines/>
              <w:widowControl w:val="0"/>
              <w:spacing w:after="40"/>
              <w:rPr>
                <w:rFonts w:cs="Arial"/>
                <w:sz w:val="18"/>
                <w:szCs w:val="18"/>
              </w:rPr>
            </w:pPr>
            <w:proofErr w:type="spellStart"/>
            <w:r>
              <w:rPr>
                <w:rFonts w:cs="Arial"/>
                <w:sz w:val="18"/>
                <w:szCs w:val="18"/>
              </w:rPr>
              <w:t>mRS</w:t>
            </w:r>
            <w:proofErr w:type="spellEnd"/>
            <w:r>
              <w:rPr>
                <w:rFonts w:cs="Arial"/>
                <w:sz w:val="18"/>
                <w:szCs w:val="18"/>
              </w:rPr>
              <w:t>, at follow-up</w:t>
            </w:r>
          </w:p>
        </w:tc>
        <w:tc>
          <w:tcPr>
            <w:tcW w:w="1486" w:type="dxa"/>
            <w:gridSpan w:val="2"/>
          </w:tcPr>
          <w:p w14:paraId="037FA38E" w14:textId="77777777" w:rsidR="006460AB" w:rsidRPr="00CA4B40" w:rsidRDefault="006460AB" w:rsidP="005610DA">
            <w:pPr>
              <w:keepNext/>
              <w:keepLines/>
              <w:widowControl w:val="0"/>
              <w:spacing w:after="40"/>
              <w:rPr>
                <w:rFonts w:cs="Arial"/>
                <w:sz w:val="18"/>
                <w:szCs w:val="18"/>
              </w:rPr>
            </w:pPr>
            <w:r>
              <w:rPr>
                <w:rFonts w:cs="Arial"/>
                <w:sz w:val="18"/>
                <w:szCs w:val="18"/>
              </w:rPr>
              <w:t>N=219 (77/142); k=2</w:t>
            </w:r>
          </w:p>
        </w:tc>
        <w:tc>
          <w:tcPr>
            <w:tcW w:w="1272" w:type="dxa"/>
            <w:gridSpan w:val="2"/>
          </w:tcPr>
          <w:p w14:paraId="52B228EB" w14:textId="77777777" w:rsidR="006460AB" w:rsidRPr="00CA4B40" w:rsidRDefault="006460AB" w:rsidP="005610DA">
            <w:pPr>
              <w:keepNext/>
              <w:keepLines/>
              <w:widowControl w:val="0"/>
              <w:spacing w:after="40"/>
              <w:rPr>
                <w:rFonts w:cs="Arial"/>
                <w:sz w:val="18"/>
                <w:szCs w:val="18"/>
              </w:rPr>
            </w:pPr>
            <w:r>
              <w:rPr>
                <w:rFonts w:ascii="Cambria Math" w:hAnsi="Cambria Math"/>
                <w:color w:val="00B050"/>
              </w:rPr>
              <w:t>⨁</w:t>
            </w:r>
            <w:r w:rsidRPr="00D4733A">
              <w:rPr>
                <w:rFonts w:ascii="Cambria Math" w:hAnsi="Cambria Math" w:cs="Cambria Math"/>
                <w:color w:val="C00000"/>
              </w:rPr>
              <w:t>⨀⨀⨀</w:t>
            </w:r>
          </w:p>
        </w:tc>
        <w:tc>
          <w:tcPr>
            <w:tcW w:w="1175" w:type="dxa"/>
          </w:tcPr>
          <w:p w14:paraId="17D8B144" w14:textId="77777777" w:rsidR="006460AB" w:rsidRPr="00CA4B40" w:rsidRDefault="006460AB" w:rsidP="005610DA">
            <w:pPr>
              <w:keepNext/>
              <w:keepLines/>
              <w:widowControl w:val="0"/>
              <w:spacing w:after="40"/>
              <w:rPr>
                <w:rFonts w:cs="Arial"/>
                <w:sz w:val="18"/>
                <w:szCs w:val="18"/>
              </w:rPr>
            </w:pPr>
            <w:r w:rsidRPr="0006442E">
              <w:rPr>
                <w:rFonts w:cs="Arial"/>
                <w:sz w:val="18"/>
                <w:szCs w:val="18"/>
              </w:rPr>
              <w:t>0.72 [0.17, 3.04]</w:t>
            </w:r>
            <w:r>
              <w:rPr>
                <w:rFonts w:cs="Arial"/>
                <w:sz w:val="18"/>
                <w:szCs w:val="18"/>
              </w:rPr>
              <w:t>; p=0.66</w:t>
            </w:r>
          </w:p>
        </w:tc>
        <w:tc>
          <w:tcPr>
            <w:tcW w:w="1206" w:type="dxa"/>
          </w:tcPr>
          <w:p w14:paraId="6F1534C6" w14:textId="77777777" w:rsidR="006460AB" w:rsidRPr="00CA4B40" w:rsidRDefault="006460AB" w:rsidP="005610DA">
            <w:pPr>
              <w:keepNext/>
              <w:keepLines/>
              <w:widowControl w:val="0"/>
              <w:spacing w:after="40"/>
              <w:rPr>
                <w:rFonts w:cs="Arial"/>
                <w:sz w:val="18"/>
                <w:szCs w:val="18"/>
              </w:rPr>
            </w:pPr>
            <w:r>
              <w:rPr>
                <w:rFonts w:cs="Arial"/>
                <w:sz w:val="18"/>
                <w:szCs w:val="18"/>
              </w:rPr>
              <w:t>Pooled: 95.8% (94.2–100%)</w:t>
            </w:r>
          </w:p>
        </w:tc>
        <w:tc>
          <w:tcPr>
            <w:tcW w:w="1179" w:type="dxa"/>
          </w:tcPr>
          <w:p w14:paraId="1B967D2D" w14:textId="77777777" w:rsidR="006460AB" w:rsidRPr="00CA4B40" w:rsidRDefault="006460AB" w:rsidP="005610DA">
            <w:pPr>
              <w:keepNext/>
              <w:keepLines/>
              <w:widowControl w:val="0"/>
              <w:spacing w:after="40"/>
              <w:rPr>
                <w:rFonts w:cs="Arial"/>
                <w:sz w:val="18"/>
                <w:szCs w:val="18"/>
              </w:rPr>
            </w:pPr>
            <w:r>
              <w:rPr>
                <w:rFonts w:cs="Arial"/>
                <w:sz w:val="18"/>
                <w:szCs w:val="18"/>
              </w:rPr>
              <w:t>Pooled: 96.1% (92.1–100%)</w:t>
            </w:r>
          </w:p>
        </w:tc>
        <w:tc>
          <w:tcPr>
            <w:tcW w:w="1334" w:type="dxa"/>
          </w:tcPr>
          <w:p w14:paraId="774CFAE4" w14:textId="77777777" w:rsidR="006460AB" w:rsidRPr="00CA4B40" w:rsidRDefault="006460AB" w:rsidP="005610DA">
            <w:pPr>
              <w:keepNext/>
              <w:keepLines/>
              <w:widowControl w:val="0"/>
              <w:spacing w:after="40"/>
              <w:rPr>
                <w:rFonts w:cs="Arial"/>
                <w:sz w:val="18"/>
                <w:szCs w:val="18"/>
              </w:rPr>
            </w:pPr>
            <w:r>
              <w:rPr>
                <w:rFonts w:cs="Arial"/>
                <w:sz w:val="18"/>
                <w:szCs w:val="18"/>
              </w:rPr>
              <w:t>No statistically significant difference</w:t>
            </w:r>
          </w:p>
        </w:tc>
      </w:tr>
      <w:tr w:rsidR="006460AB" w14:paraId="35365869" w14:textId="77777777" w:rsidTr="004B35C9">
        <w:tc>
          <w:tcPr>
            <w:tcW w:w="1364" w:type="dxa"/>
          </w:tcPr>
          <w:p w14:paraId="7EE02CE4" w14:textId="77777777" w:rsidR="006460AB" w:rsidRPr="00CA4B40" w:rsidRDefault="006460AB" w:rsidP="005610DA">
            <w:pPr>
              <w:keepNext/>
              <w:keepLines/>
              <w:widowControl w:val="0"/>
              <w:spacing w:after="40"/>
              <w:rPr>
                <w:rFonts w:cs="Arial"/>
                <w:sz w:val="18"/>
                <w:szCs w:val="18"/>
              </w:rPr>
            </w:pPr>
            <w:r>
              <w:rPr>
                <w:rFonts w:cs="Arial"/>
                <w:sz w:val="18"/>
                <w:szCs w:val="18"/>
              </w:rPr>
              <w:t>Procedural complications</w:t>
            </w:r>
          </w:p>
        </w:tc>
        <w:tc>
          <w:tcPr>
            <w:tcW w:w="1486" w:type="dxa"/>
            <w:gridSpan w:val="2"/>
          </w:tcPr>
          <w:p w14:paraId="7927303E" w14:textId="77777777" w:rsidR="006460AB" w:rsidRPr="00CA4B40" w:rsidRDefault="006460AB" w:rsidP="005610DA">
            <w:pPr>
              <w:keepNext/>
              <w:keepLines/>
              <w:widowControl w:val="0"/>
              <w:spacing w:after="40"/>
              <w:rPr>
                <w:rFonts w:cs="Arial"/>
                <w:sz w:val="18"/>
                <w:szCs w:val="18"/>
              </w:rPr>
            </w:pPr>
            <w:r>
              <w:rPr>
                <w:rFonts w:cs="Arial"/>
                <w:sz w:val="18"/>
                <w:szCs w:val="18"/>
              </w:rPr>
              <w:t>N=402 (144/258); k=3</w:t>
            </w:r>
          </w:p>
        </w:tc>
        <w:tc>
          <w:tcPr>
            <w:tcW w:w="1272" w:type="dxa"/>
            <w:gridSpan w:val="2"/>
          </w:tcPr>
          <w:p w14:paraId="6F72BFD1" w14:textId="77777777" w:rsidR="006460AB" w:rsidRPr="00CA4B40" w:rsidRDefault="006460AB" w:rsidP="005610DA">
            <w:pPr>
              <w:keepNext/>
              <w:keepLines/>
              <w:widowControl w:val="0"/>
              <w:spacing w:after="40"/>
              <w:rPr>
                <w:rFonts w:cs="Arial"/>
                <w:sz w:val="18"/>
                <w:szCs w:val="18"/>
              </w:rPr>
            </w:pPr>
            <w:r>
              <w:rPr>
                <w:rFonts w:ascii="Cambria Math" w:hAnsi="Cambria Math"/>
                <w:color w:val="00B050"/>
              </w:rPr>
              <w:t>⨁</w:t>
            </w:r>
            <w:r w:rsidRPr="00D4733A">
              <w:rPr>
                <w:rFonts w:ascii="Cambria Math" w:hAnsi="Cambria Math" w:cs="Cambria Math"/>
                <w:color w:val="C00000"/>
              </w:rPr>
              <w:t>⨀⨀⨀</w:t>
            </w:r>
          </w:p>
        </w:tc>
        <w:tc>
          <w:tcPr>
            <w:tcW w:w="1175" w:type="dxa"/>
          </w:tcPr>
          <w:p w14:paraId="2035BA86" w14:textId="77777777" w:rsidR="006460AB" w:rsidRPr="00CA4B40" w:rsidRDefault="006460AB" w:rsidP="005610DA">
            <w:pPr>
              <w:keepNext/>
              <w:keepLines/>
              <w:widowControl w:val="0"/>
              <w:spacing w:after="40"/>
              <w:rPr>
                <w:rFonts w:cs="Arial"/>
                <w:sz w:val="18"/>
                <w:szCs w:val="18"/>
              </w:rPr>
            </w:pPr>
            <w:r w:rsidRPr="00A17BA9">
              <w:rPr>
                <w:rFonts w:cs="Arial"/>
                <w:sz w:val="18"/>
                <w:szCs w:val="18"/>
              </w:rPr>
              <w:t>0.73 [0.32, 1.68]</w:t>
            </w:r>
            <w:r>
              <w:rPr>
                <w:rFonts w:cs="Arial"/>
                <w:sz w:val="18"/>
                <w:szCs w:val="18"/>
              </w:rPr>
              <w:t>; p=0.46</w:t>
            </w:r>
          </w:p>
        </w:tc>
        <w:tc>
          <w:tcPr>
            <w:tcW w:w="1206" w:type="dxa"/>
          </w:tcPr>
          <w:p w14:paraId="48417B6C" w14:textId="77777777" w:rsidR="006460AB" w:rsidRPr="00CA4B40" w:rsidRDefault="006460AB" w:rsidP="005610DA">
            <w:pPr>
              <w:keepNext/>
              <w:keepLines/>
              <w:widowControl w:val="0"/>
              <w:spacing w:after="40"/>
              <w:rPr>
                <w:rFonts w:cs="Arial"/>
                <w:sz w:val="18"/>
                <w:szCs w:val="18"/>
              </w:rPr>
            </w:pPr>
            <w:r>
              <w:rPr>
                <w:rFonts w:cs="Arial"/>
                <w:sz w:val="18"/>
                <w:szCs w:val="18"/>
              </w:rPr>
              <w:t>Pooled: 8.1% (7.5–11.1%)</w:t>
            </w:r>
          </w:p>
        </w:tc>
        <w:tc>
          <w:tcPr>
            <w:tcW w:w="1179" w:type="dxa"/>
          </w:tcPr>
          <w:p w14:paraId="1328C8C9" w14:textId="77777777" w:rsidR="006460AB" w:rsidRPr="00CA4B40" w:rsidRDefault="006460AB" w:rsidP="005610DA">
            <w:pPr>
              <w:keepNext/>
              <w:keepLines/>
              <w:widowControl w:val="0"/>
              <w:spacing w:after="40"/>
              <w:rPr>
                <w:rFonts w:cs="Arial"/>
                <w:sz w:val="18"/>
                <w:szCs w:val="18"/>
              </w:rPr>
            </w:pPr>
            <w:r>
              <w:rPr>
                <w:rFonts w:cs="Arial"/>
                <w:sz w:val="18"/>
                <w:szCs w:val="18"/>
              </w:rPr>
              <w:t>Pooled: 6.3% (3.4–8.9%)</w:t>
            </w:r>
          </w:p>
        </w:tc>
        <w:tc>
          <w:tcPr>
            <w:tcW w:w="1334" w:type="dxa"/>
          </w:tcPr>
          <w:p w14:paraId="1EAB85BD" w14:textId="77777777" w:rsidR="006460AB" w:rsidRPr="00CA4B40" w:rsidRDefault="006460AB" w:rsidP="005610DA">
            <w:pPr>
              <w:keepNext/>
              <w:keepLines/>
              <w:widowControl w:val="0"/>
              <w:spacing w:after="40"/>
              <w:rPr>
                <w:rFonts w:cs="Arial"/>
                <w:sz w:val="18"/>
                <w:szCs w:val="18"/>
              </w:rPr>
            </w:pPr>
            <w:r>
              <w:rPr>
                <w:rFonts w:cs="Arial"/>
                <w:sz w:val="18"/>
                <w:szCs w:val="18"/>
              </w:rPr>
              <w:t xml:space="preserve">No statistically significant difference </w:t>
            </w:r>
          </w:p>
        </w:tc>
      </w:tr>
    </w:tbl>
    <w:p w14:paraId="409DD67F" w14:textId="4C378BD3" w:rsidR="006460AB" w:rsidRDefault="006460AB" w:rsidP="00242873">
      <w:pPr>
        <w:pStyle w:val="Tablenotes"/>
      </w:pPr>
      <w:proofErr w:type="gramStart"/>
      <w:r w:rsidRPr="00E10B76">
        <w:rPr>
          <w:vertAlign w:val="superscript"/>
        </w:rPr>
        <w:t>a</w:t>
      </w:r>
      <w:proofErr w:type="gramEnd"/>
      <w:r w:rsidRPr="00E10B76">
        <w:rPr>
          <w:vertAlign w:val="superscript"/>
        </w:rPr>
        <w:t xml:space="preserve"> </w:t>
      </w:r>
      <w:r w:rsidRPr="00E10B76">
        <w:t>GRADE Working Group grades of evidence</w:t>
      </w:r>
      <w:r>
        <w:t xml:space="preserve"> (</w:t>
      </w:r>
      <w:proofErr w:type="spellStart"/>
      <w:r>
        <w:t>Guyatt</w:t>
      </w:r>
      <w:proofErr w:type="spellEnd"/>
      <w:r>
        <w:t xml:space="preserve"> et al., 2013)</w:t>
      </w:r>
      <w:r w:rsidRPr="00E10B76">
        <w:br/>
      </w:r>
      <w:r w:rsidRPr="00D4733A">
        <w:rPr>
          <w:rFonts w:ascii="Cambria Math" w:hAnsi="Cambria Math"/>
          <w:color w:val="00B050"/>
        </w:rPr>
        <w:t>⨁⨁⨁⨁</w:t>
      </w:r>
      <w:r>
        <w:rPr>
          <w:rFonts w:ascii="Cambria Math" w:hAnsi="Cambria Math"/>
          <w:color w:val="00B050"/>
        </w:rPr>
        <w:t xml:space="preserve"> </w:t>
      </w:r>
      <w:r w:rsidRPr="00E10B76">
        <w:rPr>
          <w:b/>
          <w:bCs/>
        </w:rPr>
        <w:t>High quality:</w:t>
      </w:r>
      <w:r w:rsidRPr="00E10B76">
        <w:t xml:space="preserve"> </w:t>
      </w:r>
      <w:r>
        <w:t>We are very confident that the true effect lies close to that of the estimate of effect.</w:t>
      </w:r>
      <w:r w:rsidRPr="00E10B76">
        <w:t xml:space="preserve"> </w:t>
      </w:r>
      <w:r w:rsidRPr="00E10B76">
        <w:br/>
      </w:r>
      <w:r w:rsidRPr="00D4733A">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Moderate quality:</w:t>
      </w:r>
      <w:r w:rsidRPr="00E10B76">
        <w:t xml:space="preserve"> </w:t>
      </w:r>
      <w:r>
        <w:t xml:space="preserve">We are moderately confident in the effect estimate: The true effect is likely to be close to the estimate of the effect, but there is a possibility that it is substantially different. </w:t>
      </w:r>
      <w:r w:rsidRPr="00E10B76">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Low quality:</w:t>
      </w:r>
      <w:r w:rsidRPr="00E10B76">
        <w:t xml:space="preserve"> </w:t>
      </w:r>
      <w:r>
        <w:t>Our confidence in the effect estimate is limited: The true effect may be substantially different from the estimate of the effect.</w:t>
      </w:r>
      <w:r w:rsidRPr="00E10B76">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Very low quality:</w:t>
      </w:r>
      <w:r w:rsidRPr="00E10B76">
        <w:t xml:space="preserve"> </w:t>
      </w:r>
      <w:r>
        <w:t>We have very little confidence in the effect estimate: The true effect is likely to be substantially different from the estimate of effect.</w:t>
      </w:r>
    </w:p>
    <w:p w14:paraId="023A9ABC" w14:textId="77777777" w:rsidR="006460AB" w:rsidRPr="004B35C9" w:rsidRDefault="006460AB" w:rsidP="004B35C9">
      <w:pPr>
        <w:rPr>
          <w:rFonts w:ascii="Arial Narrow" w:hAnsi="Arial Narrow"/>
          <w:b/>
          <w:sz w:val="20"/>
        </w:rPr>
      </w:pPr>
      <w:bookmarkStart w:id="18" w:name="_Ref10713276"/>
      <w:bookmarkStart w:id="19" w:name="_Toc10710797"/>
      <w:r w:rsidRPr="004B35C9" w:rsidDel="00A134DA">
        <w:rPr>
          <w:rFonts w:ascii="Arial Narrow" w:hAnsi="Arial Narrow"/>
          <w:b/>
          <w:sz w:val="20"/>
        </w:rPr>
        <w:t xml:space="preserve">Table </w:t>
      </w:r>
      <w:bookmarkEnd w:id="18"/>
      <w:r w:rsidRPr="004B35C9">
        <w:rPr>
          <w:rFonts w:ascii="Arial Narrow" w:hAnsi="Arial Narrow"/>
          <w:b/>
          <w:sz w:val="20"/>
        </w:rPr>
        <w:t>7</w:t>
      </w:r>
      <w:r w:rsidRPr="004B35C9" w:rsidDel="00A134DA">
        <w:rPr>
          <w:rFonts w:ascii="Arial Narrow" w:hAnsi="Arial Narrow"/>
          <w:b/>
          <w:sz w:val="20"/>
        </w:rPr>
        <w:tab/>
      </w:r>
      <w:r w:rsidRPr="004B35C9">
        <w:rPr>
          <w:rFonts w:ascii="Arial Narrow" w:hAnsi="Arial Narrow"/>
          <w:b/>
          <w:sz w:val="20"/>
        </w:rPr>
        <w:t>Balance of clinical benefits and harms of FD as measured by the critical patient-relevant outcomes in the key studies: population 3 and 4</w:t>
      </w:r>
      <w:bookmarkEnd w:id="19"/>
    </w:p>
    <w:tbl>
      <w:tblPr>
        <w:tblStyle w:val="TableGrid1"/>
        <w:tblW w:w="0" w:type="auto"/>
        <w:tblLook w:val="04A0" w:firstRow="1" w:lastRow="0" w:firstColumn="1" w:lastColumn="0" w:noHBand="0" w:noVBand="1"/>
        <w:tblDescription w:val="Summary of findings table"/>
      </w:tblPr>
      <w:tblGrid>
        <w:gridCol w:w="1662"/>
        <w:gridCol w:w="1168"/>
        <w:gridCol w:w="672"/>
        <w:gridCol w:w="469"/>
        <w:gridCol w:w="1396"/>
        <w:gridCol w:w="1878"/>
        <w:gridCol w:w="1771"/>
      </w:tblGrid>
      <w:tr w:rsidR="006460AB" w14:paraId="29B5E89E" w14:textId="77777777" w:rsidTr="004B35C9">
        <w:trPr>
          <w:cnfStyle w:val="100000000000" w:firstRow="1" w:lastRow="0" w:firstColumn="0" w:lastColumn="0" w:oddVBand="0" w:evenVBand="0" w:oddHBand="0" w:evenHBand="0" w:firstRowFirstColumn="0" w:firstRowLastColumn="0" w:lastRowFirstColumn="0" w:lastRowLastColumn="0"/>
          <w:tblHeader/>
        </w:trPr>
        <w:tc>
          <w:tcPr>
            <w:tcW w:w="2372" w:type="dxa"/>
          </w:tcPr>
          <w:p w14:paraId="1D4EE003" w14:textId="77777777" w:rsidR="006460AB" w:rsidRDefault="006460AB" w:rsidP="005610DA">
            <w:pPr>
              <w:pStyle w:val="TableHeading"/>
              <w:keepLines/>
              <w:widowControl w:val="0"/>
            </w:pPr>
            <w:r w:rsidRPr="000A1599">
              <w:t>Outcomes</w:t>
            </w:r>
            <w:r>
              <w:t xml:space="preserve"> (units)</w:t>
            </w:r>
          </w:p>
          <w:p w14:paraId="75F49207" w14:textId="77777777" w:rsidR="006460AB" w:rsidRPr="000A1599" w:rsidRDefault="006460AB" w:rsidP="005610DA">
            <w:pPr>
              <w:pStyle w:val="TableHeading"/>
              <w:keepLines/>
              <w:widowControl w:val="0"/>
            </w:pPr>
            <w:r>
              <w:t>Follow-up</w:t>
            </w:r>
          </w:p>
        </w:tc>
        <w:tc>
          <w:tcPr>
            <w:tcW w:w="1167" w:type="dxa"/>
            <w:gridSpan w:val="2"/>
          </w:tcPr>
          <w:p w14:paraId="42931D90" w14:textId="77777777" w:rsidR="006460AB" w:rsidRPr="000A1599" w:rsidRDefault="006460AB" w:rsidP="005610DA">
            <w:pPr>
              <w:pStyle w:val="TableHeading"/>
              <w:keepLines/>
              <w:widowControl w:val="0"/>
            </w:pPr>
            <w:r>
              <w:t>Participants (studies)</w:t>
            </w:r>
          </w:p>
        </w:tc>
        <w:tc>
          <w:tcPr>
            <w:tcW w:w="1418" w:type="dxa"/>
            <w:gridSpan w:val="2"/>
          </w:tcPr>
          <w:p w14:paraId="20E20371" w14:textId="77777777" w:rsidR="006460AB" w:rsidRDefault="006460AB" w:rsidP="005610DA">
            <w:pPr>
              <w:pStyle w:val="TableHeading"/>
              <w:keepLines/>
              <w:widowControl w:val="0"/>
            </w:pPr>
            <w:r>
              <w:t>Level of evidence</w:t>
            </w:r>
          </w:p>
        </w:tc>
        <w:tc>
          <w:tcPr>
            <w:tcW w:w="1701" w:type="dxa"/>
          </w:tcPr>
          <w:p w14:paraId="19AACFA2" w14:textId="77777777" w:rsidR="006460AB" w:rsidRPr="000A1599" w:rsidRDefault="006460AB" w:rsidP="005610DA">
            <w:pPr>
              <w:pStyle w:val="TableHeading"/>
              <w:keepLines/>
              <w:widowControl w:val="0"/>
            </w:pPr>
            <w:r>
              <w:t>Quality of evidence (GRADE)</w:t>
            </w:r>
          </w:p>
        </w:tc>
        <w:tc>
          <w:tcPr>
            <w:tcW w:w="2358" w:type="dxa"/>
          </w:tcPr>
          <w:p w14:paraId="48EC3B90" w14:textId="77777777" w:rsidR="006460AB" w:rsidRPr="000A1599" w:rsidRDefault="006460AB" w:rsidP="005610DA">
            <w:pPr>
              <w:pStyle w:val="TableHeading"/>
              <w:keepLines/>
              <w:widowControl w:val="0"/>
            </w:pPr>
            <w:r>
              <w:t>% (n/N) [Range] with FD</w:t>
            </w:r>
          </w:p>
        </w:tc>
      </w:tr>
      <w:tr w:rsidR="006460AB" w:rsidRPr="004D1B0C" w14:paraId="0AEF28B1" w14:textId="77777777" w:rsidTr="004B35C9">
        <w:trPr>
          <w:trHeight w:val="263"/>
        </w:trPr>
        <w:tc>
          <w:tcPr>
            <w:tcW w:w="3539" w:type="dxa"/>
            <w:gridSpan w:val="3"/>
          </w:tcPr>
          <w:p w14:paraId="42A9BF0E" w14:textId="77777777" w:rsidR="006460AB" w:rsidRPr="004D1B0C" w:rsidRDefault="006460AB" w:rsidP="005610DA">
            <w:pPr>
              <w:keepNext/>
              <w:keepLines/>
              <w:widowControl w:val="0"/>
              <w:spacing w:after="40"/>
              <w:rPr>
                <w:rFonts w:cs="Arial"/>
                <w:b/>
                <w:sz w:val="18"/>
                <w:szCs w:val="18"/>
              </w:rPr>
            </w:pPr>
            <w:r w:rsidRPr="004D1B0C">
              <w:rPr>
                <w:rFonts w:cs="Arial"/>
                <w:b/>
                <w:sz w:val="18"/>
                <w:szCs w:val="18"/>
              </w:rPr>
              <w:t xml:space="preserve">Pop </w:t>
            </w:r>
            <w:r>
              <w:rPr>
                <w:rFonts w:cs="Arial"/>
                <w:b/>
                <w:sz w:val="18"/>
                <w:szCs w:val="18"/>
              </w:rPr>
              <w:t>3</w:t>
            </w:r>
            <w:r w:rsidRPr="004D1B0C">
              <w:rPr>
                <w:rFonts w:cs="Arial"/>
                <w:b/>
                <w:sz w:val="18"/>
                <w:szCs w:val="18"/>
              </w:rPr>
              <w:t xml:space="preserve">: </w:t>
            </w:r>
            <w:r>
              <w:rPr>
                <w:rFonts w:cs="Arial"/>
                <w:b/>
                <w:sz w:val="18"/>
                <w:szCs w:val="18"/>
              </w:rPr>
              <w:t>unsuitable for coiling, clipping, PVO</w:t>
            </w:r>
            <w:r w:rsidRPr="004D1B0C">
              <w:rPr>
                <w:rFonts w:cs="Arial"/>
                <w:b/>
                <w:sz w:val="18"/>
                <w:szCs w:val="18"/>
              </w:rPr>
              <w:t xml:space="preserve"> </w:t>
            </w:r>
          </w:p>
        </w:tc>
        <w:tc>
          <w:tcPr>
            <w:tcW w:w="236" w:type="dxa"/>
          </w:tcPr>
          <w:p w14:paraId="051344C5" w14:textId="77777777" w:rsidR="006460AB" w:rsidRPr="004D1B0C" w:rsidRDefault="006460AB" w:rsidP="005610DA">
            <w:pPr>
              <w:keepNext/>
              <w:keepLines/>
              <w:widowControl w:val="0"/>
              <w:spacing w:after="40"/>
              <w:rPr>
                <w:rFonts w:cs="Arial"/>
                <w:b/>
                <w:sz w:val="18"/>
                <w:szCs w:val="18"/>
                <w:vertAlign w:val="superscript"/>
              </w:rPr>
            </w:pPr>
          </w:p>
        </w:tc>
        <w:tc>
          <w:tcPr>
            <w:tcW w:w="1182" w:type="dxa"/>
          </w:tcPr>
          <w:p w14:paraId="4F41F462" w14:textId="77777777" w:rsidR="006460AB" w:rsidRPr="004D1B0C" w:rsidRDefault="006460AB" w:rsidP="005610DA">
            <w:pPr>
              <w:keepNext/>
              <w:keepLines/>
              <w:widowControl w:val="0"/>
              <w:spacing w:after="40"/>
              <w:rPr>
                <w:rFonts w:cs="Arial"/>
                <w:b/>
                <w:sz w:val="18"/>
                <w:szCs w:val="18"/>
                <w:vertAlign w:val="superscript"/>
              </w:rPr>
            </w:pPr>
          </w:p>
        </w:tc>
        <w:tc>
          <w:tcPr>
            <w:tcW w:w="1701" w:type="dxa"/>
          </w:tcPr>
          <w:p w14:paraId="304943FF" w14:textId="77777777" w:rsidR="006460AB" w:rsidRPr="004D1B0C" w:rsidRDefault="006460AB" w:rsidP="005610DA">
            <w:pPr>
              <w:keepNext/>
              <w:keepLines/>
              <w:widowControl w:val="0"/>
              <w:spacing w:after="40"/>
              <w:rPr>
                <w:rFonts w:cs="Arial"/>
                <w:b/>
                <w:sz w:val="18"/>
                <w:szCs w:val="18"/>
                <w:vertAlign w:val="superscript"/>
              </w:rPr>
            </w:pPr>
          </w:p>
        </w:tc>
        <w:tc>
          <w:tcPr>
            <w:tcW w:w="2358" w:type="dxa"/>
          </w:tcPr>
          <w:p w14:paraId="05C252CD" w14:textId="77777777" w:rsidR="006460AB" w:rsidRPr="004D1B0C" w:rsidRDefault="006460AB" w:rsidP="005610DA">
            <w:pPr>
              <w:keepNext/>
              <w:keepLines/>
              <w:widowControl w:val="0"/>
              <w:spacing w:after="40"/>
              <w:rPr>
                <w:rFonts w:cs="Arial"/>
                <w:b/>
                <w:sz w:val="18"/>
                <w:szCs w:val="18"/>
                <w:vertAlign w:val="superscript"/>
              </w:rPr>
            </w:pPr>
          </w:p>
        </w:tc>
      </w:tr>
      <w:tr w:rsidR="006460AB" w14:paraId="2AEAF8A4" w14:textId="77777777" w:rsidTr="004B35C9">
        <w:trPr>
          <w:trHeight w:val="263"/>
        </w:trPr>
        <w:tc>
          <w:tcPr>
            <w:tcW w:w="2372" w:type="dxa"/>
          </w:tcPr>
          <w:p w14:paraId="13F8B3D8" w14:textId="77777777" w:rsidR="006460AB" w:rsidRPr="00CA4B40" w:rsidRDefault="006460AB" w:rsidP="005610DA">
            <w:pPr>
              <w:keepNext/>
              <w:keepLines/>
              <w:widowControl w:val="0"/>
              <w:spacing w:after="40"/>
              <w:rPr>
                <w:rFonts w:cs="Arial"/>
                <w:sz w:val="18"/>
                <w:szCs w:val="18"/>
              </w:rPr>
            </w:pPr>
            <w:r w:rsidRPr="00CA4B40">
              <w:rPr>
                <w:rFonts w:cs="Arial"/>
                <w:sz w:val="18"/>
                <w:szCs w:val="18"/>
              </w:rPr>
              <w:t>Complete occlusion, at follow</w:t>
            </w:r>
            <w:r>
              <w:rPr>
                <w:rFonts w:cs="Arial"/>
                <w:sz w:val="18"/>
                <w:szCs w:val="18"/>
              </w:rPr>
              <w:t>-</w:t>
            </w:r>
            <w:r w:rsidRPr="00CA4B40">
              <w:rPr>
                <w:rFonts w:cs="Arial"/>
                <w:sz w:val="18"/>
                <w:szCs w:val="18"/>
              </w:rPr>
              <w:t>up</w:t>
            </w:r>
          </w:p>
        </w:tc>
        <w:tc>
          <w:tcPr>
            <w:tcW w:w="1167" w:type="dxa"/>
            <w:gridSpan w:val="2"/>
          </w:tcPr>
          <w:p w14:paraId="47181905" w14:textId="77777777" w:rsidR="006460AB" w:rsidRPr="00CA4B40" w:rsidRDefault="006460AB" w:rsidP="005610DA">
            <w:pPr>
              <w:keepNext/>
              <w:keepLines/>
              <w:widowControl w:val="0"/>
              <w:spacing w:after="40"/>
              <w:rPr>
                <w:rFonts w:cs="Arial"/>
                <w:sz w:val="18"/>
                <w:szCs w:val="18"/>
              </w:rPr>
            </w:pPr>
            <w:r>
              <w:rPr>
                <w:rFonts w:cs="Arial"/>
                <w:sz w:val="18"/>
                <w:szCs w:val="18"/>
              </w:rPr>
              <w:t>N=235; k=6</w:t>
            </w:r>
          </w:p>
        </w:tc>
        <w:tc>
          <w:tcPr>
            <w:tcW w:w="1418" w:type="dxa"/>
            <w:gridSpan w:val="2"/>
          </w:tcPr>
          <w:p w14:paraId="0284AD76" w14:textId="77777777" w:rsidR="006460AB" w:rsidRPr="0029230A" w:rsidRDefault="006460AB" w:rsidP="005610DA">
            <w:pPr>
              <w:keepNext/>
              <w:keepLines/>
              <w:widowControl w:val="0"/>
              <w:spacing w:after="40"/>
              <w:rPr>
                <w:rFonts w:cs="Arial"/>
                <w:sz w:val="18"/>
                <w:szCs w:val="18"/>
              </w:rPr>
            </w:pPr>
            <w:r>
              <w:rPr>
                <w:rFonts w:cs="Arial"/>
                <w:sz w:val="18"/>
                <w:szCs w:val="18"/>
              </w:rPr>
              <w:t xml:space="preserve">Level IV </w:t>
            </w:r>
          </w:p>
        </w:tc>
        <w:tc>
          <w:tcPr>
            <w:tcW w:w="1701" w:type="dxa"/>
          </w:tcPr>
          <w:p w14:paraId="36FF36C6" w14:textId="77777777" w:rsidR="006460AB" w:rsidRPr="00CA4B40" w:rsidRDefault="006460AB" w:rsidP="005610DA">
            <w:pPr>
              <w:keepNext/>
              <w:keepLines/>
              <w:widowControl w:val="0"/>
              <w:spacing w:after="40"/>
              <w:rPr>
                <w:rFonts w:cs="Arial"/>
                <w:sz w:val="18"/>
                <w:szCs w:val="18"/>
              </w:rPr>
            </w:pPr>
            <w:r>
              <w:rPr>
                <w:rFonts w:ascii="Cambria Math" w:hAnsi="Cambria Math"/>
                <w:color w:val="00B050"/>
              </w:rPr>
              <w:t>⨁</w:t>
            </w:r>
            <w:r w:rsidRPr="00D4733A">
              <w:rPr>
                <w:rFonts w:ascii="Cambria Math" w:hAnsi="Cambria Math" w:cs="Cambria Math"/>
                <w:color w:val="C00000"/>
              </w:rPr>
              <w:t>⨀⨀⨀</w:t>
            </w:r>
          </w:p>
        </w:tc>
        <w:tc>
          <w:tcPr>
            <w:tcW w:w="2358" w:type="dxa"/>
          </w:tcPr>
          <w:p w14:paraId="77E51887" w14:textId="77777777" w:rsidR="006460AB" w:rsidRPr="00CA4B40" w:rsidRDefault="006460AB" w:rsidP="005610DA">
            <w:pPr>
              <w:keepNext/>
              <w:keepLines/>
              <w:widowControl w:val="0"/>
              <w:spacing w:after="40"/>
              <w:rPr>
                <w:rFonts w:cs="Arial"/>
                <w:sz w:val="18"/>
                <w:szCs w:val="18"/>
              </w:rPr>
            </w:pPr>
            <w:r w:rsidRPr="0029230A">
              <w:rPr>
                <w:rFonts w:cs="Arial"/>
                <w:sz w:val="18"/>
                <w:szCs w:val="18"/>
              </w:rPr>
              <w:t xml:space="preserve">78.3% </w:t>
            </w:r>
            <w:r>
              <w:rPr>
                <w:rFonts w:cs="Arial"/>
                <w:sz w:val="18"/>
                <w:szCs w:val="18"/>
              </w:rPr>
              <w:t>(</w:t>
            </w:r>
            <w:r w:rsidRPr="0029230A">
              <w:rPr>
                <w:rFonts w:cs="Arial"/>
                <w:sz w:val="18"/>
                <w:szCs w:val="18"/>
              </w:rPr>
              <w:t>184/235</w:t>
            </w:r>
            <w:r>
              <w:rPr>
                <w:rFonts w:cs="Arial"/>
                <w:sz w:val="18"/>
                <w:szCs w:val="18"/>
              </w:rPr>
              <w:t xml:space="preserve">) </w:t>
            </w:r>
            <w:r w:rsidRPr="0029230A">
              <w:rPr>
                <w:rFonts w:cs="Arial"/>
                <w:sz w:val="18"/>
                <w:szCs w:val="18"/>
              </w:rPr>
              <w:t>[56.3</w:t>
            </w:r>
            <w:r>
              <w:rPr>
                <w:rFonts w:cs="Arial"/>
                <w:sz w:val="18"/>
                <w:szCs w:val="18"/>
              </w:rPr>
              <w:t>–</w:t>
            </w:r>
            <w:r w:rsidRPr="0029230A">
              <w:rPr>
                <w:rFonts w:cs="Arial"/>
                <w:sz w:val="18"/>
                <w:szCs w:val="18"/>
              </w:rPr>
              <w:t xml:space="preserve"> 93.3%]</w:t>
            </w:r>
          </w:p>
        </w:tc>
      </w:tr>
      <w:tr w:rsidR="006460AB" w14:paraId="3C5F476E" w14:textId="77777777" w:rsidTr="004B35C9">
        <w:tc>
          <w:tcPr>
            <w:tcW w:w="2372" w:type="dxa"/>
          </w:tcPr>
          <w:p w14:paraId="13518053" w14:textId="77777777" w:rsidR="006460AB" w:rsidRDefault="006460AB" w:rsidP="005610DA">
            <w:pPr>
              <w:keepNext/>
              <w:keepLines/>
              <w:widowControl w:val="0"/>
              <w:spacing w:after="40"/>
              <w:rPr>
                <w:rFonts w:cs="Arial"/>
                <w:sz w:val="18"/>
                <w:szCs w:val="18"/>
              </w:rPr>
            </w:pPr>
            <w:r>
              <w:rPr>
                <w:rFonts w:cs="Arial"/>
                <w:sz w:val="18"/>
                <w:szCs w:val="18"/>
              </w:rPr>
              <w:t>Complications</w:t>
            </w:r>
          </w:p>
        </w:tc>
        <w:tc>
          <w:tcPr>
            <w:tcW w:w="1167" w:type="dxa"/>
            <w:gridSpan w:val="2"/>
          </w:tcPr>
          <w:p w14:paraId="38B4B456" w14:textId="77777777" w:rsidR="006460AB" w:rsidRDefault="006460AB" w:rsidP="005610DA">
            <w:pPr>
              <w:keepNext/>
              <w:keepLines/>
              <w:widowControl w:val="0"/>
              <w:spacing w:after="40"/>
              <w:rPr>
                <w:rFonts w:cs="Arial"/>
                <w:sz w:val="18"/>
                <w:szCs w:val="18"/>
              </w:rPr>
            </w:pPr>
            <w:r>
              <w:rPr>
                <w:rFonts w:cs="Arial"/>
                <w:sz w:val="18"/>
                <w:szCs w:val="18"/>
              </w:rPr>
              <w:t>N=215; k=6</w:t>
            </w:r>
          </w:p>
        </w:tc>
        <w:tc>
          <w:tcPr>
            <w:tcW w:w="1418" w:type="dxa"/>
            <w:gridSpan w:val="2"/>
          </w:tcPr>
          <w:p w14:paraId="07772C53" w14:textId="77777777" w:rsidR="006460AB" w:rsidRPr="0029230A" w:rsidRDefault="006460AB" w:rsidP="005610DA">
            <w:pPr>
              <w:keepNext/>
              <w:keepLines/>
              <w:widowControl w:val="0"/>
              <w:spacing w:after="40"/>
              <w:rPr>
                <w:rFonts w:cs="Arial"/>
                <w:sz w:val="18"/>
                <w:szCs w:val="18"/>
              </w:rPr>
            </w:pPr>
            <w:r>
              <w:rPr>
                <w:rFonts w:cs="Arial"/>
                <w:sz w:val="18"/>
                <w:szCs w:val="18"/>
              </w:rPr>
              <w:t xml:space="preserve">Level IV </w:t>
            </w:r>
          </w:p>
        </w:tc>
        <w:tc>
          <w:tcPr>
            <w:tcW w:w="1701" w:type="dxa"/>
          </w:tcPr>
          <w:p w14:paraId="01EC20E8" w14:textId="77777777" w:rsidR="006460AB" w:rsidRDefault="006460AB" w:rsidP="005610DA">
            <w:pPr>
              <w:keepNext/>
              <w:keepLines/>
              <w:widowControl w:val="0"/>
              <w:spacing w:after="40"/>
              <w:rPr>
                <w:rFonts w:ascii="Cambria Math" w:hAnsi="Cambria Math"/>
                <w:color w:val="00B050"/>
              </w:rPr>
            </w:pPr>
            <w:r>
              <w:rPr>
                <w:rFonts w:ascii="Cambria Math" w:hAnsi="Cambria Math"/>
                <w:color w:val="00B050"/>
              </w:rPr>
              <w:t>⨁</w:t>
            </w:r>
            <w:r w:rsidRPr="00D4733A">
              <w:rPr>
                <w:rFonts w:ascii="Cambria Math" w:hAnsi="Cambria Math" w:cs="Cambria Math"/>
                <w:color w:val="C00000"/>
              </w:rPr>
              <w:t>⨀⨀⨀</w:t>
            </w:r>
          </w:p>
        </w:tc>
        <w:tc>
          <w:tcPr>
            <w:tcW w:w="2358" w:type="dxa"/>
          </w:tcPr>
          <w:p w14:paraId="5AB712F6" w14:textId="77777777" w:rsidR="006460AB" w:rsidRPr="007D6E46" w:rsidRDefault="006460AB" w:rsidP="005610DA">
            <w:pPr>
              <w:keepNext/>
              <w:keepLines/>
              <w:widowControl w:val="0"/>
              <w:spacing w:after="40"/>
              <w:rPr>
                <w:rFonts w:cs="Arial"/>
                <w:sz w:val="18"/>
                <w:szCs w:val="18"/>
              </w:rPr>
            </w:pPr>
            <w:r w:rsidRPr="00A56969">
              <w:rPr>
                <w:rFonts w:cs="Arial"/>
                <w:sz w:val="18"/>
                <w:szCs w:val="18"/>
              </w:rPr>
              <w:t>19.5%</w:t>
            </w:r>
            <w:r>
              <w:rPr>
                <w:rFonts w:cs="Arial"/>
                <w:sz w:val="18"/>
                <w:szCs w:val="18"/>
              </w:rPr>
              <w:t xml:space="preserve"> (</w:t>
            </w:r>
            <w:r w:rsidRPr="00A56969">
              <w:rPr>
                <w:rFonts w:cs="Arial"/>
                <w:sz w:val="18"/>
                <w:szCs w:val="18"/>
              </w:rPr>
              <w:t>42/215</w:t>
            </w:r>
            <w:r>
              <w:rPr>
                <w:rFonts w:cs="Arial"/>
                <w:sz w:val="18"/>
                <w:szCs w:val="18"/>
              </w:rPr>
              <w:t xml:space="preserve">) </w:t>
            </w:r>
            <w:r w:rsidRPr="00A56969">
              <w:rPr>
                <w:rFonts w:cs="Arial"/>
                <w:sz w:val="18"/>
                <w:szCs w:val="18"/>
              </w:rPr>
              <w:t>[16.0</w:t>
            </w:r>
            <w:r>
              <w:rPr>
                <w:rFonts w:cs="Arial"/>
                <w:sz w:val="18"/>
                <w:szCs w:val="18"/>
              </w:rPr>
              <w:t>–</w:t>
            </w:r>
            <w:r w:rsidRPr="00A56969">
              <w:rPr>
                <w:rFonts w:cs="Arial"/>
                <w:sz w:val="18"/>
                <w:szCs w:val="18"/>
              </w:rPr>
              <w:t xml:space="preserve"> 29.2%]</w:t>
            </w:r>
          </w:p>
        </w:tc>
      </w:tr>
      <w:tr w:rsidR="006460AB" w:rsidRPr="00D74AE1" w14:paraId="4D03DF64" w14:textId="77777777" w:rsidTr="004B35C9">
        <w:trPr>
          <w:trHeight w:val="263"/>
        </w:trPr>
        <w:tc>
          <w:tcPr>
            <w:tcW w:w="3256" w:type="dxa"/>
            <w:gridSpan w:val="2"/>
          </w:tcPr>
          <w:p w14:paraId="2E440C32" w14:textId="77777777" w:rsidR="006460AB" w:rsidRPr="00D74AE1" w:rsidRDefault="006460AB" w:rsidP="005610DA">
            <w:pPr>
              <w:keepNext/>
              <w:keepLines/>
              <w:widowControl w:val="0"/>
              <w:spacing w:after="40"/>
              <w:rPr>
                <w:rFonts w:cs="Arial"/>
                <w:b/>
                <w:sz w:val="18"/>
                <w:szCs w:val="18"/>
              </w:rPr>
            </w:pPr>
            <w:r>
              <w:rPr>
                <w:rFonts w:cs="Arial"/>
                <w:b/>
                <w:sz w:val="18"/>
                <w:szCs w:val="18"/>
              </w:rPr>
              <w:t xml:space="preserve">Pop 4: </w:t>
            </w:r>
            <w:proofErr w:type="spellStart"/>
            <w:r w:rsidRPr="00A56969">
              <w:rPr>
                <w:rFonts w:cs="Arial"/>
                <w:b/>
                <w:sz w:val="18"/>
                <w:szCs w:val="18"/>
              </w:rPr>
              <w:t>recanali</w:t>
            </w:r>
            <w:r>
              <w:rPr>
                <w:rFonts w:cs="Arial"/>
                <w:b/>
                <w:sz w:val="18"/>
                <w:szCs w:val="18"/>
              </w:rPr>
              <w:t>s</w:t>
            </w:r>
            <w:r w:rsidRPr="00A56969">
              <w:rPr>
                <w:rFonts w:cs="Arial"/>
                <w:b/>
                <w:sz w:val="18"/>
                <w:szCs w:val="18"/>
              </w:rPr>
              <w:t>ed</w:t>
            </w:r>
            <w:proofErr w:type="spellEnd"/>
            <w:r w:rsidRPr="00A56969">
              <w:rPr>
                <w:rFonts w:cs="Arial"/>
                <w:b/>
                <w:sz w:val="18"/>
                <w:szCs w:val="18"/>
              </w:rPr>
              <w:t>/retreatment aneurysms</w:t>
            </w:r>
          </w:p>
        </w:tc>
        <w:tc>
          <w:tcPr>
            <w:tcW w:w="283" w:type="dxa"/>
          </w:tcPr>
          <w:p w14:paraId="0394ADB7" w14:textId="77777777" w:rsidR="006460AB" w:rsidRPr="00D74AE1" w:rsidRDefault="006460AB" w:rsidP="005610DA">
            <w:pPr>
              <w:keepNext/>
              <w:keepLines/>
              <w:widowControl w:val="0"/>
              <w:spacing w:after="40"/>
              <w:rPr>
                <w:rFonts w:cs="Arial"/>
                <w:b/>
                <w:sz w:val="18"/>
                <w:szCs w:val="18"/>
                <w:vertAlign w:val="superscript"/>
              </w:rPr>
            </w:pPr>
          </w:p>
        </w:tc>
        <w:tc>
          <w:tcPr>
            <w:tcW w:w="1418" w:type="dxa"/>
            <w:gridSpan w:val="2"/>
          </w:tcPr>
          <w:p w14:paraId="79D8E6E5" w14:textId="77777777" w:rsidR="006460AB" w:rsidRPr="00D74AE1" w:rsidRDefault="006460AB" w:rsidP="005610DA">
            <w:pPr>
              <w:keepNext/>
              <w:keepLines/>
              <w:widowControl w:val="0"/>
              <w:spacing w:after="40"/>
              <w:rPr>
                <w:rFonts w:cs="Arial"/>
                <w:b/>
                <w:sz w:val="18"/>
                <w:szCs w:val="18"/>
                <w:vertAlign w:val="superscript"/>
              </w:rPr>
            </w:pPr>
          </w:p>
        </w:tc>
        <w:tc>
          <w:tcPr>
            <w:tcW w:w="1701" w:type="dxa"/>
          </w:tcPr>
          <w:p w14:paraId="111EDFD9" w14:textId="77777777" w:rsidR="006460AB" w:rsidRPr="00D74AE1" w:rsidRDefault="006460AB" w:rsidP="005610DA">
            <w:pPr>
              <w:keepNext/>
              <w:keepLines/>
              <w:widowControl w:val="0"/>
              <w:spacing w:after="40"/>
              <w:rPr>
                <w:rFonts w:cs="Arial"/>
                <w:b/>
                <w:sz w:val="18"/>
                <w:szCs w:val="18"/>
                <w:vertAlign w:val="superscript"/>
              </w:rPr>
            </w:pPr>
          </w:p>
        </w:tc>
        <w:tc>
          <w:tcPr>
            <w:tcW w:w="2358" w:type="dxa"/>
          </w:tcPr>
          <w:p w14:paraId="687E36A9" w14:textId="77777777" w:rsidR="006460AB" w:rsidRPr="00D74AE1" w:rsidRDefault="006460AB" w:rsidP="005610DA">
            <w:pPr>
              <w:keepNext/>
              <w:keepLines/>
              <w:widowControl w:val="0"/>
              <w:spacing w:after="40"/>
              <w:rPr>
                <w:rFonts w:cs="Arial"/>
                <w:b/>
                <w:sz w:val="18"/>
                <w:szCs w:val="18"/>
                <w:vertAlign w:val="superscript"/>
              </w:rPr>
            </w:pPr>
          </w:p>
        </w:tc>
      </w:tr>
      <w:tr w:rsidR="006460AB" w14:paraId="014C8AA8" w14:textId="77777777" w:rsidTr="004B35C9">
        <w:trPr>
          <w:trHeight w:val="263"/>
        </w:trPr>
        <w:tc>
          <w:tcPr>
            <w:tcW w:w="2372" w:type="dxa"/>
          </w:tcPr>
          <w:p w14:paraId="289DCBAF" w14:textId="77777777" w:rsidR="006460AB" w:rsidRPr="00CA4B40" w:rsidRDefault="006460AB" w:rsidP="005610DA">
            <w:pPr>
              <w:keepNext/>
              <w:keepLines/>
              <w:widowControl w:val="0"/>
              <w:spacing w:after="40"/>
              <w:rPr>
                <w:rFonts w:cs="Arial"/>
                <w:sz w:val="18"/>
                <w:szCs w:val="18"/>
              </w:rPr>
            </w:pPr>
            <w:r w:rsidRPr="00CA4B40">
              <w:rPr>
                <w:rFonts w:cs="Arial"/>
                <w:sz w:val="18"/>
                <w:szCs w:val="18"/>
              </w:rPr>
              <w:t>Complete occlusion, at follow</w:t>
            </w:r>
            <w:r>
              <w:rPr>
                <w:rFonts w:cs="Arial"/>
                <w:sz w:val="18"/>
                <w:szCs w:val="18"/>
              </w:rPr>
              <w:t>-</w:t>
            </w:r>
            <w:r w:rsidRPr="00CA4B40">
              <w:rPr>
                <w:rFonts w:cs="Arial"/>
                <w:sz w:val="18"/>
                <w:szCs w:val="18"/>
              </w:rPr>
              <w:t>up</w:t>
            </w:r>
          </w:p>
        </w:tc>
        <w:tc>
          <w:tcPr>
            <w:tcW w:w="1167" w:type="dxa"/>
            <w:gridSpan w:val="2"/>
          </w:tcPr>
          <w:p w14:paraId="489BAF92" w14:textId="77777777" w:rsidR="006460AB" w:rsidRPr="00CA4B40" w:rsidRDefault="006460AB" w:rsidP="005610DA">
            <w:pPr>
              <w:keepNext/>
              <w:keepLines/>
              <w:widowControl w:val="0"/>
              <w:spacing w:after="40"/>
              <w:rPr>
                <w:rFonts w:cs="Arial"/>
                <w:sz w:val="18"/>
                <w:szCs w:val="18"/>
              </w:rPr>
            </w:pPr>
            <w:r>
              <w:rPr>
                <w:rFonts w:cs="Arial"/>
                <w:sz w:val="18"/>
                <w:szCs w:val="18"/>
              </w:rPr>
              <w:t>N=106; K=6</w:t>
            </w:r>
          </w:p>
        </w:tc>
        <w:tc>
          <w:tcPr>
            <w:tcW w:w="1418" w:type="dxa"/>
            <w:gridSpan w:val="2"/>
          </w:tcPr>
          <w:p w14:paraId="17AB5A52" w14:textId="77777777" w:rsidR="006460AB" w:rsidRPr="0029230A" w:rsidRDefault="006460AB" w:rsidP="005610DA">
            <w:pPr>
              <w:keepNext/>
              <w:keepLines/>
              <w:widowControl w:val="0"/>
              <w:spacing w:after="40"/>
              <w:rPr>
                <w:rFonts w:cs="Arial"/>
                <w:sz w:val="18"/>
                <w:szCs w:val="18"/>
              </w:rPr>
            </w:pPr>
            <w:r>
              <w:rPr>
                <w:rFonts w:cs="Arial"/>
                <w:sz w:val="18"/>
                <w:szCs w:val="18"/>
              </w:rPr>
              <w:t>Level IV</w:t>
            </w:r>
          </w:p>
        </w:tc>
        <w:tc>
          <w:tcPr>
            <w:tcW w:w="1701" w:type="dxa"/>
          </w:tcPr>
          <w:p w14:paraId="23B4ACF2" w14:textId="77777777" w:rsidR="006460AB" w:rsidRPr="00CA4B40" w:rsidRDefault="006460AB" w:rsidP="005610DA">
            <w:pPr>
              <w:keepNext/>
              <w:keepLines/>
              <w:widowControl w:val="0"/>
              <w:spacing w:after="40"/>
              <w:rPr>
                <w:rFonts w:cs="Arial"/>
                <w:sz w:val="18"/>
                <w:szCs w:val="18"/>
              </w:rPr>
            </w:pPr>
            <w:r>
              <w:rPr>
                <w:rFonts w:ascii="Cambria Math" w:hAnsi="Cambria Math"/>
                <w:color w:val="00B050"/>
              </w:rPr>
              <w:t>⨁</w:t>
            </w:r>
            <w:r w:rsidRPr="00D4733A">
              <w:rPr>
                <w:rFonts w:ascii="Cambria Math" w:hAnsi="Cambria Math" w:cs="Cambria Math"/>
                <w:color w:val="C00000"/>
              </w:rPr>
              <w:t>⨀⨀⨀</w:t>
            </w:r>
          </w:p>
        </w:tc>
        <w:tc>
          <w:tcPr>
            <w:tcW w:w="2358" w:type="dxa"/>
          </w:tcPr>
          <w:p w14:paraId="655B7962" w14:textId="77777777" w:rsidR="006460AB" w:rsidRPr="00CA4B40" w:rsidRDefault="006460AB" w:rsidP="005610DA">
            <w:pPr>
              <w:keepNext/>
              <w:keepLines/>
              <w:widowControl w:val="0"/>
              <w:tabs>
                <w:tab w:val="left" w:pos="765"/>
              </w:tabs>
              <w:spacing w:after="40"/>
              <w:rPr>
                <w:rFonts w:cs="Arial"/>
                <w:sz w:val="18"/>
                <w:szCs w:val="18"/>
              </w:rPr>
            </w:pPr>
            <w:r w:rsidRPr="00A56969">
              <w:rPr>
                <w:rFonts w:cs="Arial"/>
                <w:sz w:val="18"/>
                <w:szCs w:val="18"/>
              </w:rPr>
              <w:t>67.0%</w:t>
            </w:r>
            <w:r>
              <w:rPr>
                <w:rFonts w:cs="Arial"/>
                <w:sz w:val="18"/>
                <w:szCs w:val="18"/>
              </w:rPr>
              <w:t xml:space="preserve"> (</w:t>
            </w:r>
            <w:r w:rsidRPr="00A56969">
              <w:rPr>
                <w:rFonts w:cs="Arial"/>
                <w:sz w:val="18"/>
                <w:szCs w:val="18"/>
              </w:rPr>
              <w:t>71/106</w:t>
            </w:r>
            <w:r>
              <w:rPr>
                <w:rFonts w:cs="Arial"/>
                <w:sz w:val="18"/>
                <w:szCs w:val="18"/>
              </w:rPr>
              <w:t xml:space="preserve">) </w:t>
            </w:r>
            <w:r w:rsidRPr="00A56969">
              <w:rPr>
                <w:rFonts w:cs="Arial"/>
                <w:sz w:val="18"/>
                <w:szCs w:val="18"/>
              </w:rPr>
              <w:t>[53.8</w:t>
            </w:r>
            <w:r>
              <w:rPr>
                <w:rFonts w:cs="Arial"/>
                <w:sz w:val="18"/>
                <w:szCs w:val="18"/>
              </w:rPr>
              <w:t>–</w:t>
            </w:r>
            <w:r w:rsidRPr="00A56969">
              <w:rPr>
                <w:rFonts w:cs="Arial"/>
                <w:sz w:val="18"/>
                <w:szCs w:val="18"/>
              </w:rPr>
              <w:t xml:space="preserve"> 94.4%]</w:t>
            </w:r>
          </w:p>
        </w:tc>
      </w:tr>
      <w:tr w:rsidR="006460AB" w14:paraId="09DAC9B0" w14:textId="77777777" w:rsidTr="004B35C9">
        <w:tc>
          <w:tcPr>
            <w:tcW w:w="2372" w:type="dxa"/>
          </w:tcPr>
          <w:p w14:paraId="707011A4" w14:textId="77777777" w:rsidR="006460AB" w:rsidRPr="00CA4B40" w:rsidRDefault="006460AB" w:rsidP="005610DA">
            <w:pPr>
              <w:keepNext/>
              <w:keepLines/>
              <w:widowControl w:val="0"/>
              <w:spacing w:after="40"/>
              <w:rPr>
                <w:rFonts w:cs="Arial"/>
                <w:sz w:val="18"/>
                <w:szCs w:val="18"/>
              </w:rPr>
            </w:pPr>
            <w:r>
              <w:rPr>
                <w:rFonts w:cs="Arial"/>
                <w:sz w:val="18"/>
                <w:szCs w:val="18"/>
              </w:rPr>
              <w:t>Procedural complications</w:t>
            </w:r>
          </w:p>
        </w:tc>
        <w:tc>
          <w:tcPr>
            <w:tcW w:w="1167" w:type="dxa"/>
            <w:gridSpan w:val="2"/>
          </w:tcPr>
          <w:p w14:paraId="1661ACC7" w14:textId="77777777" w:rsidR="006460AB" w:rsidRPr="00CA4B40" w:rsidRDefault="006460AB" w:rsidP="005610DA">
            <w:pPr>
              <w:keepNext/>
              <w:keepLines/>
              <w:widowControl w:val="0"/>
              <w:spacing w:after="40"/>
              <w:rPr>
                <w:rFonts w:cs="Arial"/>
                <w:sz w:val="18"/>
                <w:szCs w:val="18"/>
              </w:rPr>
            </w:pPr>
            <w:r>
              <w:rPr>
                <w:rFonts w:cs="Arial"/>
                <w:sz w:val="18"/>
                <w:szCs w:val="18"/>
              </w:rPr>
              <w:t>N=84; k=6</w:t>
            </w:r>
          </w:p>
        </w:tc>
        <w:tc>
          <w:tcPr>
            <w:tcW w:w="1418" w:type="dxa"/>
            <w:gridSpan w:val="2"/>
          </w:tcPr>
          <w:p w14:paraId="3C2E1866" w14:textId="77777777" w:rsidR="006460AB" w:rsidRPr="0029230A" w:rsidRDefault="006460AB" w:rsidP="005610DA">
            <w:pPr>
              <w:keepNext/>
              <w:keepLines/>
              <w:widowControl w:val="0"/>
              <w:spacing w:after="40"/>
              <w:rPr>
                <w:rFonts w:cs="Arial"/>
                <w:sz w:val="18"/>
                <w:szCs w:val="18"/>
              </w:rPr>
            </w:pPr>
            <w:r>
              <w:rPr>
                <w:rFonts w:cs="Arial"/>
                <w:sz w:val="18"/>
                <w:szCs w:val="18"/>
              </w:rPr>
              <w:t>Level IV)</w:t>
            </w:r>
          </w:p>
        </w:tc>
        <w:tc>
          <w:tcPr>
            <w:tcW w:w="1701" w:type="dxa"/>
          </w:tcPr>
          <w:p w14:paraId="4F6ACD2E" w14:textId="77777777" w:rsidR="006460AB" w:rsidRPr="00CA4B40" w:rsidRDefault="006460AB" w:rsidP="005610DA">
            <w:pPr>
              <w:keepNext/>
              <w:keepLines/>
              <w:widowControl w:val="0"/>
              <w:spacing w:after="40"/>
              <w:rPr>
                <w:rFonts w:cs="Arial"/>
                <w:sz w:val="18"/>
                <w:szCs w:val="18"/>
              </w:rPr>
            </w:pPr>
            <w:r>
              <w:rPr>
                <w:rFonts w:ascii="Cambria Math" w:hAnsi="Cambria Math"/>
                <w:color w:val="00B050"/>
              </w:rPr>
              <w:t>⨁</w:t>
            </w:r>
            <w:r w:rsidRPr="00D4733A">
              <w:rPr>
                <w:rFonts w:ascii="Cambria Math" w:hAnsi="Cambria Math" w:cs="Cambria Math"/>
                <w:color w:val="C00000"/>
              </w:rPr>
              <w:t>⨀⨀⨀</w:t>
            </w:r>
          </w:p>
        </w:tc>
        <w:tc>
          <w:tcPr>
            <w:tcW w:w="2358" w:type="dxa"/>
          </w:tcPr>
          <w:p w14:paraId="4F4E4C87" w14:textId="77777777" w:rsidR="006460AB" w:rsidRPr="00CA4B40" w:rsidRDefault="006460AB" w:rsidP="005610DA">
            <w:pPr>
              <w:keepNext/>
              <w:keepLines/>
              <w:widowControl w:val="0"/>
              <w:spacing w:after="40"/>
              <w:rPr>
                <w:rFonts w:cs="Arial"/>
                <w:sz w:val="18"/>
                <w:szCs w:val="18"/>
              </w:rPr>
            </w:pPr>
            <w:r w:rsidRPr="00A56969">
              <w:rPr>
                <w:rFonts w:cs="Arial"/>
                <w:sz w:val="18"/>
                <w:szCs w:val="18"/>
              </w:rPr>
              <w:t>7.1%</w:t>
            </w:r>
            <w:r>
              <w:rPr>
                <w:rFonts w:cs="Arial"/>
                <w:sz w:val="18"/>
                <w:szCs w:val="18"/>
              </w:rPr>
              <w:t xml:space="preserve"> (</w:t>
            </w:r>
            <w:r w:rsidRPr="00A56969">
              <w:rPr>
                <w:rFonts w:cs="Arial"/>
                <w:sz w:val="18"/>
                <w:szCs w:val="18"/>
              </w:rPr>
              <w:t>6/60</w:t>
            </w:r>
            <w:r>
              <w:rPr>
                <w:rFonts w:cs="Arial"/>
                <w:sz w:val="18"/>
                <w:szCs w:val="18"/>
              </w:rPr>
              <w:t xml:space="preserve">) </w:t>
            </w:r>
            <w:r w:rsidRPr="00A56969">
              <w:rPr>
                <w:rFonts w:cs="Arial"/>
                <w:sz w:val="18"/>
                <w:szCs w:val="18"/>
              </w:rPr>
              <w:t>[0%</w:t>
            </w:r>
            <w:r>
              <w:rPr>
                <w:rFonts w:cs="Arial"/>
                <w:sz w:val="18"/>
                <w:szCs w:val="18"/>
              </w:rPr>
              <w:t>–</w:t>
            </w:r>
            <w:r w:rsidRPr="00A56969">
              <w:rPr>
                <w:rFonts w:cs="Arial"/>
                <w:sz w:val="18"/>
                <w:szCs w:val="18"/>
              </w:rPr>
              <w:t xml:space="preserve"> 17.2%]</w:t>
            </w:r>
          </w:p>
        </w:tc>
      </w:tr>
    </w:tbl>
    <w:p w14:paraId="204E1EBB" w14:textId="76C485DE" w:rsidR="00242873" w:rsidRDefault="00242873">
      <w:pPr>
        <w:spacing w:after="160" w:line="259" w:lineRule="auto"/>
      </w:pPr>
      <w:r>
        <w:br w:type="page"/>
      </w:r>
    </w:p>
    <w:p w14:paraId="7EC93220" w14:textId="3C944CAB" w:rsidR="006460AB" w:rsidRPr="00242873" w:rsidRDefault="0093163F" w:rsidP="00242873">
      <w:pPr>
        <w:spacing w:after="120"/>
        <w:rPr>
          <w:b/>
        </w:rPr>
      </w:pPr>
      <w:r w:rsidRPr="00242873">
        <w:rPr>
          <w:b/>
        </w:rPr>
        <w:lastRenderedPageBreak/>
        <w:t>Clinical c</w:t>
      </w:r>
      <w:r w:rsidR="006460AB" w:rsidRPr="00242873">
        <w:rPr>
          <w:b/>
        </w:rPr>
        <w:t>laim</w:t>
      </w:r>
    </w:p>
    <w:p w14:paraId="0794F322" w14:textId="77777777" w:rsidR="006460AB" w:rsidRDefault="006460AB" w:rsidP="00242873">
      <w:pPr>
        <w:keepNext/>
        <w:keepLines/>
      </w:pPr>
      <w:r>
        <w:t xml:space="preserve">On the basis of the benefits and harms reported in the evidence base, the submission </w:t>
      </w:r>
      <w:r w:rsidRPr="007613A4">
        <w:t xml:space="preserve">proposes that, relative to </w:t>
      </w:r>
      <w:r>
        <w:t xml:space="preserve">coiling </w:t>
      </w:r>
      <w:r>
        <w:rPr>
          <w:rFonts w:cs="Calibri"/>
        </w:rPr>
        <w:t>±</w:t>
      </w:r>
      <w:r>
        <w:t xml:space="preserve"> stenting/SAC</w:t>
      </w:r>
      <w:r w:rsidRPr="007613A4">
        <w:t xml:space="preserve">, </w:t>
      </w:r>
      <w:r>
        <w:t>FD</w:t>
      </w:r>
      <w:r w:rsidRPr="007613A4">
        <w:t xml:space="preserve"> has</w:t>
      </w:r>
      <w:r>
        <w:t>:</w:t>
      </w:r>
    </w:p>
    <w:p w14:paraId="78401C6A" w14:textId="77777777" w:rsidR="006460AB" w:rsidRDefault="006460AB" w:rsidP="00242873">
      <w:pPr>
        <w:pStyle w:val="ListParagraph"/>
        <w:keepNext/>
        <w:keepLines/>
        <w:numPr>
          <w:ilvl w:val="0"/>
          <w:numId w:val="9"/>
        </w:numPr>
      </w:pPr>
      <w:r>
        <w:t>In Population 1 (small, complex aneurysm): non-inferior safety and superior effectiveness;</w:t>
      </w:r>
    </w:p>
    <w:p w14:paraId="4E8F1022" w14:textId="77777777" w:rsidR="006460AB" w:rsidRDefault="006460AB" w:rsidP="006460AB">
      <w:pPr>
        <w:pStyle w:val="ListParagraph"/>
        <w:numPr>
          <w:ilvl w:val="0"/>
          <w:numId w:val="9"/>
        </w:numPr>
      </w:pPr>
      <w:r>
        <w:t>In Population 2 (large aneurysms): non-inferior safety and superior effectiveness; and</w:t>
      </w:r>
    </w:p>
    <w:p w14:paraId="616ACB7B" w14:textId="77777777" w:rsidR="006460AB" w:rsidRDefault="006460AB" w:rsidP="006460AB">
      <w:pPr>
        <w:pStyle w:val="ListParagraph"/>
        <w:numPr>
          <w:ilvl w:val="0"/>
          <w:numId w:val="9"/>
        </w:numPr>
      </w:pPr>
      <w:r>
        <w:t>In Population 4 (</w:t>
      </w:r>
      <w:proofErr w:type="spellStart"/>
      <w:r>
        <w:t>recanalised</w:t>
      </w:r>
      <w:proofErr w:type="spellEnd"/>
      <w:r>
        <w:t>/recurrent aneurysms): non-inferior safety and superior effectiveness.</w:t>
      </w:r>
    </w:p>
    <w:p w14:paraId="65AF7CC9" w14:textId="4C581EFC" w:rsidR="006460AB" w:rsidRDefault="006460AB" w:rsidP="00242873">
      <w:pPr>
        <w:spacing w:before="240"/>
      </w:pPr>
      <w:r>
        <w:t>On the basis of the benefits and harms reported in the evidence base, the submission based assessment</w:t>
      </w:r>
      <w:r w:rsidRPr="007613A4">
        <w:t xml:space="preserve"> proposes that, relative to </w:t>
      </w:r>
      <w:r>
        <w:t>conservative management</w:t>
      </w:r>
      <w:r w:rsidRPr="007613A4">
        <w:t xml:space="preserve">, </w:t>
      </w:r>
      <w:r>
        <w:t>FD</w:t>
      </w:r>
      <w:r w:rsidRPr="007613A4">
        <w:t xml:space="preserve"> has</w:t>
      </w:r>
      <w:r>
        <w:t>:</w:t>
      </w:r>
    </w:p>
    <w:p w14:paraId="185327B4" w14:textId="77777777" w:rsidR="006460AB" w:rsidRDefault="006460AB" w:rsidP="006460AB">
      <w:pPr>
        <w:pStyle w:val="ListParagraph"/>
        <w:numPr>
          <w:ilvl w:val="0"/>
          <w:numId w:val="10"/>
        </w:numPr>
      </w:pPr>
      <w:r>
        <w:t>In Population 3 (unsuitable for coiling, clipping or parent vessel occlusion): likely inferior saf</w:t>
      </w:r>
      <w:r w:rsidR="005610DA">
        <w:t>ety and superior effectiveness.</w:t>
      </w:r>
    </w:p>
    <w:p w14:paraId="7A89E22E" w14:textId="14383752" w:rsidR="006460AB" w:rsidRDefault="006460AB" w:rsidP="00242873">
      <w:pPr>
        <w:spacing w:before="240" w:after="240"/>
      </w:pPr>
      <w:r>
        <w:t xml:space="preserve">The Critique stated that in Populations 1 and 2 </w:t>
      </w:r>
      <w:r w:rsidRPr="004654E4">
        <w:t>the non-inferior safety claims compared to coiling ± stenting/SAC are likely reasonable, though the level of evidence presented is low with a high risk of bias and poor exchangeability between studies. Claims of superior effectiveness may not be reasonable, as claims were based on meta-analyses of poorly exchangeable studies, with no predefined</w:t>
      </w:r>
      <w:r>
        <w:t xml:space="preserve"> minimum clinically important difference</w:t>
      </w:r>
      <w:r w:rsidRPr="004654E4">
        <w:t xml:space="preserve"> </w:t>
      </w:r>
      <w:r>
        <w:t>(</w:t>
      </w:r>
      <w:r w:rsidRPr="004654E4">
        <w:t>MCID</w:t>
      </w:r>
      <w:r>
        <w:t>)</w:t>
      </w:r>
      <w:r w:rsidRPr="004654E4">
        <w:t xml:space="preserve"> and in patient groups with significant heterogeneity issues.</w:t>
      </w:r>
    </w:p>
    <w:p w14:paraId="05136C1F" w14:textId="13E7D60E" w:rsidR="006460AB" w:rsidRDefault="006460AB" w:rsidP="00242873">
      <w:pPr>
        <w:spacing w:after="240"/>
      </w:pPr>
      <w:r>
        <w:t xml:space="preserve">The Critique stated it was </w:t>
      </w:r>
      <w:r w:rsidRPr="004654E4">
        <w:t xml:space="preserve">unreasonable to conclude any comparative efficacy or safety in Populations 3 and 4 as no comparative data </w:t>
      </w:r>
      <w:r>
        <w:t>were</w:t>
      </w:r>
      <w:r w:rsidRPr="004654E4">
        <w:t xml:space="preserve"> provided, and the efficacy and safety in the relevant comparators were unknown.</w:t>
      </w:r>
    </w:p>
    <w:p w14:paraId="55279350" w14:textId="77777777" w:rsidR="006460AB" w:rsidRDefault="006460AB" w:rsidP="006460AB">
      <w:r w:rsidRPr="004654E4">
        <w:t>The</w:t>
      </w:r>
      <w:r>
        <w:t xml:space="preserve"> Critique stated that the</w:t>
      </w:r>
      <w:r w:rsidRPr="004654E4">
        <w:t xml:space="preserve"> overall quality of evidence is very low, subject to serious risks of bias and likely high uncertainty.</w:t>
      </w:r>
    </w:p>
    <w:p w14:paraId="6A4B4AC9" w14:textId="77777777" w:rsidR="008A749F" w:rsidRPr="00F715D1" w:rsidRDefault="008A749F" w:rsidP="008A749F">
      <w:pPr>
        <w:pStyle w:val="Heading1"/>
      </w:pPr>
      <w:r w:rsidRPr="00F715D1">
        <w:t>Economic evaluation</w:t>
      </w:r>
    </w:p>
    <w:p w14:paraId="65810258" w14:textId="77777777" w:rsidR="006460AB" w:rsidRPr="006518D1" w:rsidRDefault="006460AB" w:rsidP="006460AB">
      <w:pPr>
        <w:pStyle w:val="ESNormal"/>
        <w:jc w:val="left"/>
        <w:rPr>
          <w:rFonts w:ascii="Times New Roman" w:hAnsi="Times New Roman" w:cs="Times New Roman"/>
          <w:sz w:val="24"/>
          <w:szCs w:val="24"/>
        </w:rPr>
      </w:pPr>
      <w:r w:rsidRPr="006518D1">
        <w:rPr>
          <w:rFonts w:ascii="Times New Roman" w:hAnsi="Times New Roman" w:cs="Times New Roman"/>
          <w:sz w:val="24"/>
          <w:szCs w:val="24"/>
        </w:rPr>
        <w:t xml:space="preserve">The </w:t>
      </w:r>
      <w:r>
        <w:rPr>
          <w:rFonts w:ascii="Times New Roman" w:hAnsi="Times New Roman" w:cs="Times New Roman"/>
          <w:sz w:val="24"/>
          <w:szCs w:val="24"/>
        </w:rPr>
        <w:t>key features of the modelled economic evaluations presented in the submission for Populations (1) and (2) are summarised in Table 8</w:t>
      </w:r>
      <w:r w:rsidRPr="006518D1">
        <w:rPr>
          <w:rFonts w:ascii="Times New Roman" w:hAnsi="Times New Roman" w:cs="Times New Roman"/>
          <w:sz w:val="24"/>
          <w:szCs w:val="24"/>
        </w:rPr>
        <w:t>.</w:t>
      </w:r>
    </w:p>
    <w:p w14:paraId="2143D771" w14:textId="77777777" w:rsidR="006460AB" w:rsidRPr="004B35C9" w:rsidRDefault="006460AB" w:rsidP="004B35C9">
      <w:pPr>
        <w:rPr>
          <w:rFonts w:ascii="Arial Narrow" w:hAnsi="Arial Narrow"/>
          <w:b/>
          <w:sz w:val="20"/>
        </w:rPr>
      </w:pPr>
      <w:bookmarkStart w:id="20" w:name="_Ref10710242"/>
      <w:bookmarkStart w:id="21" w:name="_Ref379404328"/>
      <w:bookmarkStart w:id="22" w:name="_Ref379483368"/>
      <w:bookmarkStart w:id="23" w:name="_Ref394419656"/>
      <w:bookmarkStart w:id="24" w:name="_Toc10710799"/>
      <w:r w:rsidRPr="004B35C9" w:rsidDel="00A134DA">
        <w:rPr>
          <w:rFonts w:ascii="Arial Narrow" w:hAnsi="Arial Narrow"/>
          <w:b/>
          <w:sz w:val="20"/>
        </w:rPr>
        <w:t xml:space="preserve">Table </w:t>
      </w:r>
      <w:bookmarkEnd w:id="20"/>
      <w:r w:rsidRPr="004B35C9">
        <w:rPr>
          <w:rFonts w:ascii="Arial Narrow" w:hAnsi="Arial Narrow"/>
          <w:b/>
          <w:sz w:val="20"/>
        </w:rPr>
        <w:t>8</w:t>
      </w:r>
      <w:r w:rsidRPr="004B35C9" w:rsidDel="00A134DA">
        <w:rPr>
          <w:rFonts w:ascii="Arial Narrow" w:hAnsi="Arial Narrow"/>
          <w:b/>
          <w:sz w:val="20"/>
        </w:rPr>
        <w:tab/>
      </w:r>
      <w:bookmarkEnd w:id="21"/>
      <w:bookmarkEnd w:id="22"/>
      <w:r w:rsidRPr="004B35C9">
        <w:rPr>
          <w:rFonts w:ascii="Arial Narrow" w:hAnsi="Arial Narrow"/>
          <w:b/>
          <w:sz w:val="20"/>
        </w:rPr>
        <w:t>Summary of the economic evaluation</w:t>
      </w:r>
      <w:bookmarkEnd w:id="23"/>
      <w:bookmarkEnd w:id="24"/>
      <w:r w:rsidRPr="004B35C9">
        <w:rPr>
          <w:rFonts w:ascii="Arial Narrow" w:hAnsi="Arial Narrow"/>
          <w:b/>
          <w:sz w:val="20"/>
        </w:rPr>
        <w:t xml:space="preserve"> </w:t>
      </w:r>
    </w:p>
    <w:tbl>
      <w:tblPr>
        <w:tblStyle w:val="TableGrid2"/>
        <w:tblW w:w="0" w:type="auto"/>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3070"/>
        <w:gridCol w:w="5838"/>
      </w:tblGrid>
      <w:tr w:rsidR="006460AB" w:rsidRPr="00A42510" w14:paraId="6530DBC4" w14:textId="77777777" w:rsidTr="006460AB">
        <w:trPr>
          <w:cnfStyle w:val="100000000000" w:firstRow="1" w:lastRow="0" w:firstColumn="0" w:lastColumn="0" w:oddVBand="0" w:evenVBand="0" w:oddHBand="0" w:evenHBand="0" w:firstRowFirstColumn="0" w:firstRowLastColumn="0" w:lastRowFirstColumn="0" w:lastRowLastColumn="0"/>
          <w:trHeight w:val="20"/>
          <w:tblHeader/>
        </w:trPr>
        <w:tc>
          <w:tcPr>
            <w:tcW w:w="3070" w:type="dxa"/>
          </w:tcPr>
          <w:p w14:paraId="42ACCBFD" w14:textId="77777777" w:rsidR="006460AB" w:rsidRPr="00A42510" w:rsidRDefault="006460AB" w:rsidP="005610DA">
            <w:pPr>
              <w:pStyle w:val="Tabletext"/>
              <w:rPr>
                <w:b/>
              </w:rPr>
            </w:pPr>
            <w:r w:rsidRPr="00A42510">
              <w:rPr>
                <w:b/>
              </w:rPr>
              <w:t>Perspective</w:t>
            </w:r>
          </w:p>
        </w:tc>
        <w:tc>
          <w:tcPr>
            <w:tcW w:w="5838" w:type="dxa"/>
          </w:tcPr>
          <w:p w14:paraId="7A1A7CC0" w14:textId="77777777" w:rsidR="006460AB" w:rsidRPr="00A42510" w:rsidRDefault="006460AB" w:rsidP="005610DA">
            <w:pPr>
              <w:pStyle w:val="Tabletext"/>
            </w:pPr>
            <w:r w:rsidRPr="00A42510">
              <w:t>Australian health care system</w:t>
            </w:r>
          </w:p>
        </w:tc>
      </w:tr>
      <w:tr w:rsidR="006460AB" w:rsidRPr="00A42510" w14:paraId="7CDDD3B5" w14:textId="77777777" w:rsidTr="005610DA">
        <w:trPr>
          <w:trHeight w:val="20"/>
        </w:trPr>
        <w:tc>
          <w:tcPr>
            <w:tcW w:w="3070" w:type="dxa"/>
          </w:tcPr>
          <w:p w14:paraId="1E6BDE86" w14:textId="77777777" w:rsidR="006460AB" w:rsidRPr="00A42510" w:rsidRDefault="006460AB" w:rsidP="005610DA">
            <w:pPr>
              <w:pStyle w:val="Tabletext"/>
              <w:rPr>
                <w:b/>
              </w:rPr>
            </w:pPr>
            <w:r w:rsidRPr="00A42510">
              <w:rPr>
                <w:b/>
              </w:rPr>
              <w:t>Comparator</w:t>
            </w:r>
          </w:p>
        </w:tc>
        <w:tc>
          <w:tcPr>
            <w:tcW w:w="5838" w:type="dxa"/>
          </w:tcPr>
          <w:p w14:paraId="2B4478DF" w14:textId="77777777" w:rsidR="006460AB" w:rsidRPr="00A42510" w:rsidRDefault="006460AB" w:rsidP="005610DA">
            <w:pPr>
              <w:pStyle w:val="Tabletext"/>
            </w:pPr>
            <w:r w:rsidRPr="00A42510">
              <w:t>Coiling +/- stent (CS)</w:t>
            </w:r>
          </w:p>
        </w:tc>
      </w:tr>
      <w:tr w:rsidR="006460AB" w:rsidRPr="00A42510" w14:paraId="485CA31F" w14:textId="77777777" w:rsidTr="005610DA">
        <w:trPr>
          <w:trHeight w:val="20"/>
        </w:trPr>
        <w:tc>
          <w:tcPr>
            <w:tcW w:w="3070" w:type="dxa"/>
          </w:tcPr>
          <w:p w14:paraId="650FB8A5" w14:textId="77777777" w:rsidR="006460AB" w:rsidRPr="00A42510" w:rsidRDefault="006460AB" w:rsidP="005610DA">
            <w:pPr>
              <w:pStyle w:val="Tabletext"/>
              <w:rPr>
                <w:b/>
              </w:rPr>
            </w:pPr>
            <w:r w:rsidRPr="00A42510">
              <w:rPr>
                <w:b/>
              </w:rPr>
              <w:t>Type of economic evaluation</w:t>
            </w:r>
          </w:p>
        </w:tc>
        <w:tc>
          <w:tcPr>
            <w:tcW w:w="5838" w:type="dxa"/>
          </w:tcPr>
          <w:p w14:paraId="272B6F61" w14:textId="77777777" w:rsidR="006460AB" w:rsidRPr="00A42510" w:rsidRDefault="006460AB" w:rsidP="005610DA">
            <w:pPr>
              <w:pStyle w:val="Tabletext"/>
            </w:pPr>
            <w:r w:rsidRPr="00A42510">
              <w:t>Cost-utility analysis</w:t>
            </w:r>
          </w:p>
        </w:tc>
      </w:tr>
      <w:tr w:rsidR="006460AB" w:rsidRPr="00A42510" w14:paraId="6E4D26B0" w14:textId="77777777" w:rsidTr="005610DA">
        <w:trPr>
          <w:trHeight w:val="20"/>
        </w:trPr>
        <w:tc>
          <w:tcPr>
            <w:tcW w:w="3070" w:type="dxa"/>
          </w:tcPr>
          <w:p w14:paraId="24EAAFA9" w14:textId="77777777" w:rsidR="006460AB" w:rsidRPr="00A42510" w:rsidRDefault="006460AB" w:rsidP="005610DA">
            <w:pPr>
              <w:pStyle w:val="Tabletext"/>
              <w:rPr>
                <w:b/>
              </w:rPr>
            </w:pPr>
            <w:r w:rsidRPr="00A42510">
              <w:rPr>
                <w:b/>
              </w:rPr>
              <w:t>Sources of evidence</w:t>
            </w:r>
          </w:p>
        </w:tc>
        <w:tc>
          <w:tcPr>
            <w:tcW w:w="5838" w:type="dxa"/>
          </w:tcPr>
          <w:p w14:paraId="5A61A03D" w14:textId="77777777" w:rsidR="006460AB" w:rsidRPr="00A42510" w:rsidRDefault="006460AB" w:rsidP="005610DA">
            <w:pPr>
              <w:pStyle w:val="Tabletext"/>
            </w:pPr>
            <w:r w:rsidRPr="00A42510">
              <w:t xml:space="preserve">Meta-analysis of FD vs CS comparative studies </w:t>
            </w:r>
          </w:p>
        </w:tc>
      </w:tr>
      <w:tr w:rsidR="006460AB" w:rsidRPr="00A42510" w14:paraId="75B8E8DC" w14:textId="77777777" w:rsidTr="005610DA">
        <w:trPr>
          <w:trHeight w:val="20"/>
        </w:trPr>
        <w:tc>
          <w:tcPr>
            <w:tcW w:w="3070" w:type="dxa"/>
            <w:hideMark/>
          </w:tcPr>
          <w:p w14:paraId="20D228AC" w14:textId="77777777" w:rsidR="006460AB" w:rsidRPr="00A42510" w:rsidRDefault="006460AB" w:rsidP="005610DA">
            <w:pPr>
              <w:pStyle w:val="Tabletext"/>
              <w:rPr>
                <w:b/>
              </w:rPr>
            </w:pPr>
            <w:r w:rsidRPr="00A42510">
              <w:rPr>
                <w:b/>
              </w:rPr>
              <w:t>Time horizon</w:t>
            </w:r>
          </w:p>
        </w:tc>
        <w:tc>
          <w:tcPr>
            <w:tcW w:w="5838" w:type="dxa"/>
            <w:hideMark/>
          </w:tcPr>
          <w:p w14:paraId="396F1657" w14:textId="77777777" w:rsidR="006460AB" w:rsidRPr="00A42510" w:rsidRDefault="006460AB" w:rsidP="005610DA">
            <w:pPr>
              <w:pStyle w:val="Tabletext"/>
            </w:pPr>
            <w:r w:rsidRPr="00A42510">
              <w:t>Lifetime</w:t>
            </w:r>
          </w:p>
        </w:tc>
      </w:tr>
      <w:tr w:rsidR="006460AB" w:rsidRPr="00A42510" w14:paraId="026696C6" w14:textId="77777777" w:rsidTr="005610DA">
        <w:trPr>
          <w:trHeight w:val="20"/>
        </w:trPr>
        <w:tc>
          <w:tcPr>
            <w:tcW w:w="3070" w:type="dxa"/>
            <w:hideMark/>
          </w:tcPr>
          <w:p w14:paraId="51CA3748" w14:textId="77777777" w:rsidR="006460AB" w:rsidRPr="00A42510" w:rsidRDefault="006460AB" w:rsidP="005610DA">
            <w:pPr>
              <w:pStyle w:val="Tabletext"/>
              <w:rPr>
                <w:b/>
              </w:rPr>
            </w:pPr>
            <w:r w:rsidRPr="00A42510">
              <w:rPr>
                <w:b/>
              </w:rPr>
              <w:t>Outcomes</w:t>
            </w:r>
          </w:p>
        </w:tc>
        <w:tc>
          <w:tcPr>
            <w:tcW w:w="5838" w:type="dxa"/>
          </w:tcPr>
          <w:p w14:paraId="55B7ACA2" w14:textId="77777777" w:rsidR="006460AB" w:rsidRPr="00A42510" w:rsidRDefault="006460AB" w:rsidP="005610DA">
            <w:pPr>
              <w:pStyle w:val="Tabletext"/>
            </w:pPr>
            <w:r w:rsidRPr="00A42510">
              <w:t>QALYs</w:t>
            </w:r>
            <w:r>
              <w:t xml:space="preserve">, </w:t>
            </w:r>
            <w:r w:rsidRPr="00A42510">
              <w:t>LYs</w:t>
            </w:r>
            <w:r>
              <w:t>, r</w:t>
            </w:r>
            <w:r w:rsidRPr="00A42510">
              <w:t>etreatments</w:t>
            </w:r>
            <w:r>
              <w:t xml:space="preserve"> and r</w:t>
            </w:r>
            <w:r w:rsidRPr="00A42510">
              <w:t>uptures</w:t>
            </w:r>
            <w:r>
              <w:t xml:space="preserve">, </w:t>
            </w:r>
          </w:p>
        </w:tc>
      </w:tr>
      <w:tr w:rsidR="006460AB" w:rsidRPr="00A42510" w14:paraId="79EEEA0A" w14:textId="77777777" w:rsidTr="005610DA">
        <w:trPr>
          <w:trHeight w:val="20"/>
        </w:trPr>
        <w:tc>
          <w:tcPr>
            <w:tcW w:w="3070" w:type="dxa"/>
            <w:hideMark/>
          </w:tcPr>
          <w:p w14:paraId="34B2EE31" w14:textId="77777777" w:rsidR="006460AB" w:rsidRPr="00A42510" w:rsidRDefault="006460AB" w:rsidP="005610DA">
            <w:pPr>
              <w:pStyle w:val="Tabletext"/>
              <w:rPr>
                <w:b/>
              </w:rPr>
            </w:pPr>
            <w:r w:rsidRPr="00A42510">
              <w:rPr>
                <w:b/>
              </w:rPr>
              <w:t>Methods used to generate results</w:t>
            </w:r>
          </w:p>
        </w:tc>
        <w:tc>
          <w:tcPr>
            <w:tcW w:w="5838" w:type="dxa"/>
          </w:tcPr>
          <w:p w14:paraId="4F68937C" w14:textId="77777777" w:rsidR="006460AB" w:rsidRPr="00A42510" w:rsidRDefault="006460AB" w:rsidP="005610DA">
            <w:pPr>
              <w:pStyle w:val="Tabletext"/>
            </w:pPr>
            <w:r w:rsidRPr="00A42510">
              <w:t>Markov cohort</w:t>
            </w:r>
          </w:p>
        </w:tc>
      </w:tr>
      <w:tr w:rsidR="006460AB" w:rsidRPr="00A42510" w14:paraId="343CE773" w14:textId="77777777" w:rsidTr="005610DA">
        <w:trPr>
          <w:trHeight w:val="20"/>
        </w:trPr>
        <w:tc>
          <w:tcPr>
            <w:tcW w:w="3070" w:type="dxa"/>
          </w:tcPr>
          <w:p w14:paraId="5D957459" w14:textId="77777777" w:rsidR="006460AB" w:rsidRPr="00A42510" w:rsidRDefault="006460AB" w:rsidP="005610DA">
            <w:pPr>
              <w:pStyle w:val="Tabletext"/>
              <w:rPr>
                <w:b/>
              </w:rPr>
            </w:pPr>
            <w:r w:rsidRPr="00A42510">
              <w:rPr>
                <w:b/>
              </w:rPr>
              <w:t>Health states</w:t>
            </w:r>
          </w:p>
        </w:tc>
        <w:tc>
          <w:tcPr>
            <w:tcW w:w="5838" w:type="dxa"/>
          </w:tcPr>
          <w:p w14:paraId="499D57C4" w14:textId="77777777" w:rsidR="006460AB" w:rsidRPr="00A42510" w:rsidRDefault="006460AB" w:rsidP="005610DA">
            <w:pPr>
              <w:pStyle w:val="Tabletext"/>
            </w:pPr>
            <w:r w:rsidRPr="00A42510">
              <w:t>UIA: complete occlusion</w:t>
            </w:r>
            <w:r>
              <w:t xml:space="preserve">, </w:t>
            </w:r>
            <w:r w:rsidRPr="00A42510">
              <w:t>UIA: incomplete occlusion</w:t>
            </w:r>
            <w:r>
              <w:t xml:space="preserve">, </w:t>
            </w:r>
            <w:r w:rsidRPr="00A42510">
              <w:t>RIA: non-disabling rupture (</w:t>
            </w:r>
            <w:proofErr w:type="spellStart"/>
            <w:r w:rsidRPr="00A42510">
              <w:t>mRS</w:t>
            </w:r>
            <w:proofErr w:type="spellEnd"/>
            <w:r w:rsidRPr="00A42510">
              <w:t xml:space="preserve"> 0-2)</w:t>
            </w:r>
            <w:r>
              <w:t xml:space="preserve">, </w:t>
            </w:r>
            <w:r w:rsidRPr="00A42510">
              <w:t>RIA: disabling rupture (</w:t>
            </w:r>
            <w:proofErr w:type="spellStart"/>
            <w:r w:rsidRPr="00A42510">
              <w:t>mRS</w:t>
            </w:r>
            <w:proofErr w:type="spellEnd"/>
            <w:r w:rsidRPr="00A42510">
              <w:t xml:space="preserve"> 3-5)</w:t>
            </w:r>
            <w:r>
              <w:t xml:space="preserve"> and </w:t>
            </w:r>
            <w:r w:rsidRPr="00A42510">
              <w:t>Death (underlying and perioperative mortality)</w:t>
            </w:r>
            <w:r w:rsidRPr="00217426">
              <w:rPr>
                <w:vertAlign w:val="superscript"/>
              </w:rPr>
              <w:t>a</w:t>
            </w:r>
          </w:p>
        </w:tc>
      </w:tr>
      <w:tr w:rsidR="006460AB" w:rsidRPr="00A42510" w14:paraId="004C1C56" w14:textId="77777777" w:rsidTr="005610DA">
        <w:trPr>
          <w:trHeight w:val="20"/>
        </w:trPr>
        <w:tc>
          <w:tcPr>
            <w:tcW w:w="3070" w:type="dxa"/>
            <w:hideMark/>
          </w:tcPr>
          <w:p w14:paraId="1F87FA2D" w14:textId="77777777" w:rsidR="006460AB" w:rsidRPr="00A42510" w:rsidRDefault="006460AB" w:rsidP="005610DA">
            <w:pPr>
              <w:pStyle w:val="Tabletext"/>
              <w:rPr>
                <w:b/>
              </w:rPr>
            </w:pPr>
            <w:r w:rsidRPr="00A42510">
              <w:rPr>
                <w:b/>
              </w:rPr>
              <w:t>Cycle length</w:t>
            </w:r>
          </w:p>
        </w:tc>
        <w:tc>
          <w:tcPr>
            <w:tcW w:w="5838" w:type="dxa"/>
          </w:tcPr>
          <w:p w14:paraId="3E954A31" w14:textId="77777777" w:rsidR="006460AB" w:rsidRPr="00A42510" w:rsidRDefault="006460AB" w:rsidP="005610DA">
            <w:pPr>
              <w:pStyle w:val="Tabletext"/>
            </w:pPr>
            <w:r w:rsidRPr="00A42510">
              <w:t>1 year</w:t>
            </w:r>
          </w:p>
        </w:tc>
      </w:tr>
      <w:tr w:rsidR="006460AB" w:rsidRPr="00A42510" w14:paraId="25C223B3" w14:textId="77777777" w:rsidTr="005610DA">
        <w:trPr>
          <w:trHeight w:val="20"/>
        </w:trPr>
        <w:tc>
          <w:tcPr>
            <w:tcW w:w="3070" w:type="dxa"/>
            <w:hideMark/>
          </w:tcPr>
          <w:p w14:paraId="02E7BD41" w14:textId="77777777" w:rsidR="006460AB" w:rsidRPr="00A42510" w:rsidRDefault="006460AB" w:rsidP="005610DA">
            <w:pPr>
              <w:pStyle w:val="Tabletext"/>
              <w:rPr>
                <w:b/>
              </w:rPr>
            </w:pPr>
            <w:r w:rsidRPr="00A42510">
              <w:rPr>
                <w:b/>
              </w:rPr>
              <w:t>Discount rate</w:t>
            </w:r>
          </w:p>
        </w:tc>
        <w:tc>
          <w:tcPr>
            <w:tcW w:w="5838" w:type="dxa"/>
          </w:tcPr>
          <w:p w14:paraId="0F5407F6" w14:textId="77777777" w:rsidR="006460AB" w:rsidRPr="00A42510" w:rsidRDefault="006460AB" w:rsidP="005610DA">
            <w:pPr>
              <w:pStyle w:val="Tabletext"/>
            </w:pPr>
            <w:r w:rsidRPr="00A42510">
              <w:t>5%</w:t>
            </w:r>
          </w:p>
        </w:tc>
      </w:tr>
      <w:tr w:rsidR="006460AB" w:rsidRPr="00A42510" w14:paraId="24FBB2E4" w14:textId="77777777" w:rsidTr="005610DA">
        <w:trPr>
          <w:trHeight w:val="20"/>
        </w:trPr>
        <w:tc>
          <w:tcPr>
            <w:tcW w:w="3070" w:type="dxa"/>
            <w:hideMark/>
          </w:tcPr>
          <w:p w14:paraId="23E05E96" w14:textId="77777777" w:rsidR="006460AB" w:rsidRPr="00A42510" w:rsidRDefault="006460AB" w:rsidP="005610DA">
            <w:pPr>
              <w:pStyle w:val="Tabletext"/>
              <w:rPr>
                <w:b/>
              </w:rPr>
            </w:pPr>
            <w:r w:rsidRPr="00A42510">
              <w:rPr>
                <w:b/>
              </w:rPr>
              <w:t>Software packages used</w:t>
            </w:r>
          </w:p>
        </w:tc>
        <w:tc>
          <w:tcPr>
            <w:tcW w:w="5838" w:type="dxa"/>
          </w:tcPr>
          <w:p w14:paraId="7199666F" w14:textId="77777777" w:rsidR="006460AB" w:rsidRPr="00A42510" w:rsidRDefault="006460AB" w:rsidP="005610DA">
            <w:pPr>
              <w:pStyle w:val="Tabletext"/>
            </w:pPr>
            <w:proofErr w:type="spellStart"/>
            <w:r w:rsidRPr="00A42510">
              <w:t>TreeAge</w:t>
            </w:r>
            <w:proofErr w:type="spellEnd"/>
            <w:r w:rsidRPr="00A42510">
              <w:t xml:space="preserve"> Pro 2019</w:t>
            </w:r>
          </w:p>
        </w:tc>
      </w:tr>
    </w:tbl>
    <w:p w14:paraId="670A88C0" w14:textId="77777777" w:rsidR="006460AB" w:rsidRDefault="006460AB" w:rsidP="00242873">
      <w:pPr>
        <w:pStyle w:val="Tablenotes"/>
      </w:pPr>
      <w:r w:rsidRPr="00183E4D">
        <w:t>See Table D.3.1 in the MSAC Therapeutic Guidelines.</w:t>
      </w:r>
      <w:r>
        <w:t xml:space="preserve"> RIA=ruptured intracranial aneurysms; </w:t>
      </w:r>
      <w:proofErr w:type="spellStart"/>
      <w:r>
        <w:t>mRS</w:t>
      </w:r>
      <w:proofErr w:type="spellEnd"/>
      <w:r>
        <w:t>=modified Rankin Scale.</w:t>
      </w:r>
    </w:p>
    <w:p w14:paraId="1A2D293C" w14:textId="77777777" w:rsidR="006460AB" w:rsidRPr="00217426" w:rsidRDefault="006460AB" w:rsidP="00242873">
      <w:pPr>
        <w:pStyle w:val="Tablenotes"/>
      </w:pPr>
      <w:bookmarkStart w:id="25" w:name="_Hlk10208244"/>
      <w:proofErr w:type="gramStart"/>
      <w:r w:rsidRPr="00217426">
        <w:rPr>
          <w:vertAlign w:val="superscript"/>
        </w:rPr>
        <w:t>a</w:t>
      </w:r>
      <w:proofErr w:type="gramEnd"/>
      <w:r>
        <w:t xml:space="preserve"> Death is split into two Markov health states in the economic model; perioperative mortality and underlying mortality. This approach provides transparency with regard to the source of mortality differences between modelled treatment arms.</w:t>
      </w:r>
    </w:p>
    <w:p w14:paraId="254A0498" w14:textId="038798AE" w:rsidR="00B11097" w:rsidRPr="004B35C9" w:rsidRDefault="00B11097" w:rsidP="004B35C9">
      <w:pPr>
        <w:keepNext/>
        <w:keepLines/>
        <w:rPr>
          <w:rFonts w:ascii="Arial Narrow" w:hAnsi="Arial Narrow"/>
          <w:b/>
          <w:sz w:val="20"/>
        </w:rPr>
      </w:pPr>
      <w:bookmarkStart w:id="26" w:name="_Ref9512586"/>
      <w:bookmarkStart w:id="27" w:name="_Toc10636685"/>
      <w:bookmarkStart w:id="28" w:name="_Toc10710903"/>
      <w:bookmarkStart w:id="29" w:name="_Ref10710252"/>
      <w:bookmarkStart w:id="30" w:name="_Ref10203843"/>
      <w:bookmarkStart w:id="31" w:name="_Toc10710800"/>
      <w:bookmarkEnd w:id="25"/>
      <w:r w:rsidRPr="004B35C9">
        <w:rPr>
          <w:rFonts w:ascii="Arial Narrow" w:hAnsi="Arial Narrow"/>
          <w:b/>
          <w:sz w:val="20"/>
        </w:rPr>
        <w:lastRenderedPageBreak/>
        <w:t>Table</w:t>
      </w:r>
      <w:bookmarkEnd w:id="26"/>
      <w:r w:rsidR="00584C7E" w:rsidRPr="004B35C9">
        <w:rPr>
          <w:rFonts w:ascii="Arial Narrow" w:hAnsi="Arial Narrow"/>
          <w:b/>
          <w:sz w:val="20"/>
        </w:rPr>
        <w:t xml:space="preserve"> 9</w:t>
      </w:r>
      <w:r w:rsidRPr="004B35C9">
        <w:rPr>
          <w:rFonts w:ascii="Arial Narrow" w:hAnsi="Arial Narrow"/>
          <w:b/>
          <w:sz w:val="20"/>
        </w:rPr>
        <w:tab/>
        <w:t>Model inputs: device utilisation</w:t>
      </w:r>
      <w:bookmarkEnd w:id="27"/>
      <w:bookmarkEnd w:id="28"/>
    </w:p>
    <w:tbl>
      <w:tblPr>
        <w:tblStyle w:val="TableGrid1"/>
        <w:tblW w:w="5000" w:type="pct"/>
        <w:tblLook w:val="04A0" w:firstRow="1" w:lastRow="0" w:firstColumn="1" w:lastColumn="0" w:noHBand="0" w:noVBand="1"/>
        <w:tblDescription w:val="Model inputs: device utilisation"/>
      </w:tblPr>
      <w:tblGrid>
        <w:gridCol w:w="1798"/>
        <w:gridCol w:w="1805"/>
        <w:gridCol w:w="1805"/>
        <w:gridCol w:w="1805"/>
        <w:gridCol w:w="1803"/>
      </w:tblGrid>
      <w:tr w:rsidR="00B11097" w:rsidRPr="00737C42" w14:paraId="3ADE32BD" w14:textId="77777777" w:rsidTr="004B35C9">
        <w:trPr>
          <w:cnfStyle w:val="100000000000" w:firstRow="1" w:lastRow="0" w:firstColumn="0" w:lastColumn="0" w:oddVBand="0" w:evenVBand="0" w:oddHBand="0" w:evenHBand="0" w:firstRowFirstColumn="0" w:firstRowLastColumn="0" w:lastRowFirstColumn="0" w:lastRowLastColumn="0"/>
          <w:tblHeader/>
        </w:trPr>
        <w:tc>
          <w:tcPr>
            <w:tcW w:w="997" w:type="pct"/>
            <w:tcBorders>
              <w:bottom w:val="single" w:sz="4" w:space="0" w:color="auto"/>
            </w:tcBorders>
          </w:tcPr>
          <w:p w14:paraId="239EFEA8" w14:textId="77777777" w:rsidR="00B11097" w:rsidRPr="00737C42" w:rsidRDefault="00B11097" w:rsidP="004B35C9">
            <w:pPr>
              <w:pStyle w:val="Tabletext"/>
              <w:keepNext/>
              <w:keepLines/>
            </w:pPr>
            <w:r w:rsidRPr="00737C42">
              <w:t>Parameter</w:t>
            </w:r>
          </w:p>
        </w:tc>
        <w:tc>
          <w:tcPr>
            <w:tcW w:w="1001" w:type="pct"/>
            <w:tcBorders>
              <w:bottom w:val="single" w:sz="4" w:space="0" w:color="auto"/>
            </w:tcBorders>
          </w:tcPr>
          <w:p w14:paraId="259C38CB" w14:textId="77777777" w:rsidR="00B11097" w:rsidRPr="00737C42" w:rsidRDefault="00B11097" w:rsidP="004B35C9">
            <w:pPr>
              <w:pStyle w:val="Tabletext"/>
              <w:keepNext/>
              <w:keepLines/>
            </w:pPr>
            <w:r>
              <w:t>Small complex: FD</w:t>
            </w:r>
          </w:p>
        </w:tc>
        <w:tc>
          <w:tcPr>
            <w:tcW w:w="1001" w:type="pct"/>
            <w:tcBorders>
              <w:bottom w:val="single" w:sz="4" w:space="0" w:color="auto"/>
            </w:tcBorders>
          </w:tcPr>
          <w:p w14:paraId="753B7B57" w14:textId="77777777" w:rsidR="00B11097" w:rsidRPr="00737C42" w:rsidRDefault="00B11097" w:rsidP="004B35C9">
            <w:pPr>
              <w:pStyle w:val="Tabletext"/>
              <w:keepNext/>
              <w:keepLines/>
            </w:pPr>
            <w:r>
              <w:t>Small complex: CS</w:t>
            </w:r>
          </w:p>
        </w:tc>
        <w:tc>
          <w:tcPr>
            <w:tcW w:w="1001" w:type="pct"/>
            <w:tcBorders>
              <w:bottom w:val="single" w:sz="4" w:space="0" w:color="auto"/>
            </w:tcBorders>
          </w:tcPr>
          <w:p w14:paraId="05F7B045" w14:textId="77777777" w:rsidR="00B11097" w:rsidRPr="00737C42" w:rsidRDefault="00B11097" w:rsidP="004B35C9">
            <w:pPr>
              <w:pStyle w:val="Tabletext"/>
              <w:keepNext/>
              <w:keepLines/>
            </w:pPr>
            <w:r>
              <w:t>Large: FD</w:t>
            </w:r>
          </w:p>
        </w:tc>
        <w:tc>
          <w:tcPr>
            <w:tcW w:w="1000" w:type="pct"/>
            <w:tcBorders>
              <w:bottom w:val="single" w:sz="4" w:space="0" w:color="auto"/>
            </w:tcBorders>
          </w:tcPr>
          <w:p w14:paraId="0A31FDB1" w14:textId="77777777" w:rsidR="00B11097" w:rsidRPr="00737C42" w:rsidRDefault="00B11097" w:rsidP="004B35C9">
            <w:pPr>
              <w:pStyle w:val="Tabletext"/>
              <w:keepNext/>
              <w:keepLines/>
            </w:pPr>
            <w:r>
              <w:t>Large: CS</w:t>
            </w:r>
          </w:p>
        </w:tc>
      </w:tr>
      <w:tr w:rsidR="00B11097" w:rsidRPr="00064745" w14:paraId="7C059F0E" w14:textId="77777777" w:rsidTr="00AE5A89">
        <w:tc>
          <w:tcPr>
            <w:tcW w:w="997" w:type="pct"/>
            <w:tcBorders>
              <w:right w:val="nil"/>
            </w:tcBorders>
          </w:tcPr>
          <w:p w14:paraId="794D426A" w14:textId="77777777" w:rsidR="00B11097" w:rsidRPr="001F394C" w:rsidRDefault="00B11097" w:rsidP="00AE5A89">
            <w:pPr>
              <w:pStyle w:val="Tabletext"/>
              <w:rPr>
                <w:b/>
              </w:rPr>
            </w:pPr>
            <w:r w:rsidRPr="001F394C">
              <w:rPr>
                <w:b/>
              </w:rPr>
              <w:t>Initial UIA treatment</w:t>
            </w:r>
          </w:p>
        </w:tc>
        <w:tc>
          <w:tcPr>
            <w:tcW w:w="1001" w:type="pct"/>
            <w:tcBorders>
              <w:left w:val="nil"/>
              <w:right w:val="nil"/>
            </w:tcBorders>
          </w:tcPr>
          <w:p w14:paraId="23F9E0D5" w14:textId="77777777" w:rsidR="00B11097" w:rsidRPr="001F394C" w:rsidRDefault="00B11097" w:rsidP="00AE5A89">
            <w:pPr>
              <w:pStyle w:val="Tabletext"/>
              <w:rPr>
                <w:b/>
              </w:rPr>
            </w:pPr>
          </w:p>
        </w:tc>
        <w:tc>
          <w:tcPr>
            <w:tcW w:w="1001" w:type="pct"/>
            <w:tcBorders>
              <w:left w:val="nil"/>
              <w:right w:val="nil"/>
            </w:tcBorders>
          </w:tcPr>
          <w:p w14:paraId="44331CD3" w14:textId="77777777" w:rsidR="00B11097" w:rsidRPr="001F394C" w:rsidRDefault="00B11097" w:rsidP="00AE5A89">
            <w:pPr>
              <w:pStyle w:val="Tabletext"/>
              <w:rPr>
                <w:b/>
              </w:rPr>
            </w:pPr>
          </w:p>
        </w:tc>
        <w:tc>
          <w:tcPr>
            <w:tcW w:w="1001" w:type="pct"/>
            <w:tcBorders>
              <w:left w:val="nil"/>
              <w:right w:val="nil"/>
            </w:tcBorders>
          </w:tcPr>
          <w:p w14:paraId="77E5B57F" w14:textId="77777777" w:rsidR="00B11097" w:rsidRPr="001F394C" w:rsidRDefault="00B11097" w:rsidP="00AE5A89">
            <w:pPr>
              <w:pStyle w:val="Tabletext"/>
              <w:rPr>
                <w:b/>
              </w:rPr>
            </w:pPr>
          </w:p>
        </w:tc>
        <w:tc>
          <w:tcPr>
            <w:tcW w:w="1000" w:type="pct"/>
            <w:tcBorders>
              <w:left w:val="nil"/>
            </w:tcBorders>
          </w:tcPr>
          <w:p w14:paraId="4270CA17" w14:textId="77777777" w:rsidR="00B11097" w:rsidRPr="001F394C" w:rsidRDefault="00B11097" w:rsidP="00AE5A89">
            <w:pPr>
              <w:pStyle w:val="Tabletext"/>
              <w:rPr>
                <w:b/>
              </w:rPr>
            </w:pPr>
          </w:p>
        </w:tc>
      </w:tr>
      <w:tr w:rsidR="00B11097" w:rsidRPr="00737C42" w14:paraId="22D05C35" w14:textId="77777777" w:rsidTr="00AE5A89">
        <w:tc>
          <w:tcPr>
            <w:tcW w:w="997" w:type="pct"/>
          </w:tcPr>
          <w:p w14:paraId="7EB3DFF5" w14:textId="77777777" w:rsidR="00B11097" w:rsidRPr="00737C42" w:rsidRDefault="00B11097" w:rsidP="00AE5A89">
            <w:pPr>
              <w:pStyle w:val="Tabletext"/>
            </w:pPr>
            <w:r w:rsidRPr="00D10CE4">
              <w:t>FDDs</w:t>
            </w:r>
          </w:p>
        </w:tc>
        <w:tc>
          <w:tcPr>
            <w:tcW w:w="1001" w:type="pct"/>
          </w:tcPr>
          <w:p w14:paraId="55A3AE37" w14:textId="77777777" w:rsidR="00B11097" w:rsidRPr="00737C42" w:rsidRDefault="00B11097" w:rsidP="00AE5A89">
            <w:pPr>
              <w:pStyle w:val="Tabletext"/>
            </w:pPr>
            <w:r w:rsidRPr="00D10CE4">
              <w:t>1.125</w:t>
            </w:r>
          </w:p>
        </w:tc>
        <w:tc>
          <w:tcPr>
            <w:tcW w:w="1001" w:type="pct"/>
          </w:tcPr>
          <w:p w14:paraId="035F69B2" w14:textId="77777777" w:rsidR="00B11097" w:rsidRPr="00737C42" w:rsidRDefault="00B11097" w:rsidP="00AE5A89">
            <w:pPr>
              <w:pStyle w:val="Tabletext"/>
            </w:pPr>
            <w:r w:rsidRPr="00D10CE4">
              <w:t>-</w:t>
            </w:r>
          </w:p>
        </w:tc>
        <w:tc>
          <w:tcPr>
            <w:tcW w:w="1001" w:type="pct"/>
          </w:tcPr>
          <w:p w14:paraId="7E6692D9" w14:textId="77777777" w:rsidR="00B11097" w:rsidRPr="00737C42" w:rsidRDefault="00B11097" w:rsidP="00AE5A89">
            <w:pPr>
              <w:pStyle w:val="Tabletext"/>
            </w:pPr>
            <w:r w:rsidRPr="00D10CE4">
              <w:t>1.46</w:t>
            </w:r>
          </w:p>
        </w:tc>
        <w:tc>
          <w:tcPr>
            <w:tcW w:w="1000" w:type="pct"/>
          </w:tcPr>
          <w:p w14:paraId="401C9015" w14:textId="77777777" w:rsidR="00B11097" w:rsidRPr="00737C42" w:rsidRDefault="00B11097" w:rsidP="00AE5A89">
            <w:pPr>
              <w:pStyle w:val="Tabletext"/>
            </w:pPr>
            <w:r w:rsidRPr="00D10CE4">
              <w:t>-</w:t>
            </w:r>
          </w:p>
        </w:tc>
      </w:tr>
      <w:tr w:rsidR="00B11097" w:rsidRPr="00737C42" w14:paraId="77DBE538" w14:textId="77777777" w:rsidTr="00AE5A89">
        <w:tc>
          <w:tcPr>
            <w:tcW w:w="997" w:type="pct"/>
          </w:tcPr>
          <w:p w14:paraId="2E6E2A48" w14:textId="77777777" w:rsidR="00B11097" w:rsidRPr="00737C42" w:rsidRDefault="00B11097" w:rsidP="00AE5A89">
            <w:pPr>
              <w:pStyle w:val="Tabletext"/>
            </w:pPr>
            <w:r w:rsidRPr="00D10CE4">
              <w:t>Coils</w:t>
            </w:r>
          </w:p>
        </w:tc>
        <w:tc>
          <w:tcPr>
            <w:tcW w:w="1001" w:type="pct"/>
          </w:tcPr>
          <w:p w14:paraId="5358DB81" w14:textId="77777777" w:rsidR="00B11097" w:rsidRPr="00064745" w:rsidRDefault="00B11097" w:rsidP="00AE5A89">
            <w:pPr>
              <w:pStyle w:val="Tabletext"/>
            </w:pPr>
            <w:r w:rsidRPr="00D10CE4">
              <w:t>-</w:t>
            </w:r>
          </w:p>
        </w:tc>
        <w:tc>
          <w:tcPr>
            <w:tcW w:w="1001" w:type="pct"/>
          </w:tcPr>
          <w:p w14:paraId="12E9CB6B" w14:textId="77777777" w:rsidR="00B11097" w:rsidRPr="00737C42" w:rsidRDefault="00B11097" w:rsidP="00AE5A89">
            <w:pPr>
              <w:pStyle w:val="Tabletext"/>
            </w:pPr>
            <w:r w:rsidRPr="00D10CE4">
              <w:t>5.3</w:t>
            </w:r>
          </w:p>
        </w:tc>
        <w:tc>
          <w:tcPr>
            <w:tcW w:w="1001" w:type="pct"/>
          </w:tcPr>
          <w:p w14:paraId="2E2D7C66" w14:textId="77777777" w:rsidR="00B11097" w:rsidRPr="00737C42" w:rsidRDefault="00B11097" w:rsidP="00AE5A89">
            <w:pPr>
              <w:pStyle w:val="Tabletext"/>
            </w:pPr>
            <w:r w:rsidRPr="00D10CE4">
              <w:t>-</w:t>
            </w:r>
          </w:p>
        </w:tc>
        <w:tc>
          <w:tcPr>
            <w:tcW w:w="1000" w:type="pct"/>
          </w:tcPr>
          <w:p w14:paraId="220A1532" w14:textId="77777777" w:rsidR="00B11097" w:rsidRPr="00737C42" w:rsidRDefault="00B11097" w:rsidP="00AE5A89">
            <w:pPr>
              <w:pStyle w:val="Tabletext"/>
            </w:pPr>
            <w:r w:rsidRPr="00D10CE4">
              <w:t>9.65</w:t>
            </w:r>
          </w:p>
        </w:tc>
      </w:tr>
      <w:tr w:rsidR="00B11097" w:rsidRPr="00737C42" w14:paraId="408C8316" w14:textId="77777777" w:rsidTr="00AE5A89">
        <w:tc>
          <w:tcPr>
            <w:tcW w:w="997" w:type="pct"/>
            <w:tcBorders>
              <w:bottom w:val="single" w:sz="4" w:space="0" w:color="auto"/>
            </w:tcBorders>
          </w:tcPr>
          <w:p w14:paraId="49F58F2D" w14:textId="77777777" w:rsidR="00B11097" w:rsidRPr="00737C42" w:rsidRDefault="00B11097" w:rsidP="00AE5A89">
            <w:pPr>
              <w:pStyle w:val="Tabletext"/>
            </w:pPr>
            <w:r w:rsidRPr="00D10CE4">
              <w:t xml:space="preserve">Stents </w:t>
            </w:r>
          </w:p>
        </w:tc>
        <w:tc>
          <w:tcPr>
            <w:tcW w:w="1001" w:type="pct"/>
            <w:tcBorders>
              <w:bottom w:val="single" w:sz="4" w:space="0" w:color="auto"/>
            </w:tcBorders>
          </w:tcPr>
          <w:p w14:paraId="6C8298AC" w14:textId="77777777" w:rsidR="00B11097" w:rsidRPr="00064745" w:rsidRDefault="00B11097" w:rsidP="00AE5A89">
            <w:pPr>
              <w:pStyle w:val="Tabletext"/>
            </w:pPr>
            <w:r w:rsidRPr="00D10CE4">
              <w:t>-</w:t>
            </w:r>
          </w:p>
        </w:tc>
        <w:tc>
          <w:tcPr>
            <w:tcW w:w="1001" w:type="pct"/>
            <w:tcBorders>
              <w:bottom w:val="single" w:sz="4" w:space="0" w:color="auto"/>
            </w:tcBorders>
          </w:tcPr>
          <w:p w14:paraId="6927EAD4" w14:textId="77777777" w:rsidR="00B11097" w:rsidRPr="00737C42" w:rsidRDefault="00B11097" w:rsidP="00AE5A89">
            <w:pPr>
              <w:pStyle w:val="Tabletext"/>
            </w:pPr>
            <w:r w:rsidRPr="00D10CE4">
              <w:t>0.55</w:t>
            </w:r>
          </w:p>
        </w:tc>
        <w:tc>
          <w:tcPr>
            <w:tcW w:w="1001" w:type="pct"/>
            <w:tcBorders>
              <w:bottom w:val="single" w:sz="4" w:space="0" w:color="auto"/>
            </w:tcBorders>
          </w:tcPr>
          <w:p w14:paraId="3B68BA08" w14:textId="77777777" w:rsidR="00B11097" w:rsidRPr="00737C42" w:rsidRDefault="00B11097" w:rsidP="00AE5A89">
            <w:pPr>
              <w:pStyle w:val="Tabletext"/>
            </w:pPr>
            <w:r w:rsidRPr="00D10CE4">
              <w:t>-</w:t>
            </w:r>
          </w:p>
        </w:tc>
        <w:tc>
          <w:tcPr>
            <w:tcW w:w="1000" w:type="pct"/>
            <w:tcBorders>
              <w:bottom w:val="single" w:sz="4" w:space="0" w:color="auto"/>
            </w:tcBorders>
          </w:tcPr>
          <w:p w14:paraId="3BB597C7" w14:textId="77777777" w:rsidR="00B11097" w:rsidRPr="00737C42" w:rsidRDefault="00B11097" w:rsidP="00AE5A89">
            <w:pPr>
              <w:pStyle w:val="Tabletext"/>
            </w:pPr>
            <w:r w:rsidRPr="00D10CE4">
              <w:t>0.74</w:t>
            </w:r>
          </w:p>
        </w:tc>
      </w:tr>
      <w:tr w:rsidR="00B11097" w:rsidRPr="00064745" w14:paraId="5A2E2601" w14:textId="77777777" w:rsidTr="00AE5A89">
        <w:tc>
          <w:tcPr>
            <w:tcW w:w="997" w:type="pct"/>
            <w:tcBorders>
              <w:bottom w:val="single" w:sz="4" w:space="0" w:color="auto"/>
              <w:right w:val="nil"/>
            </w:tcBorders>
          </w:tcPr>
          <w:p w14:paraId="698DBC01" w14:textId="77777777" w:rsidR="00B11097" w:rsidRPr="001F394C" w:rsidRDefault="00B11097" w:rsidP="00AE5A89">
            <w:pPr>
              <w:pStyle w:val="Tabletext"/>
              <w:rPr>
                <w:b/>
              </w:rPr>
            </w:pPr>
            <w:r w:rsidRPr="001F394C">
              <w:rPr>
                <w:b/>
              </w:rPr>
              <w:t>Retreatment of UIA</w:t>
            </w:r>
          </w:p>
        </w:tc>
        <w:tc>
          <w:tcPr>
            <w:tcW w:w="1001" w:type="pct"/>
            <w:tcBorders>
              <w:left w:val="nil"/>
              <w:bottom w:val="single" w:sz="4" w:space="0" w:color="auto"/>
              <w:right w:val="nil"/>
            </w:tcBorders>
          </w:tcPr>
          <w:p w14:paraId="7D726A78" w14:textId="77777777" w:rsidR="00B11097" w:rsidRPr="001F394C" w:rsidRDefault="00B11097" w:rsidP="00AE5A89">
            <w:pPr>
              <w:pStyle w:val="Tabletext"/>
              <w:rPr>
                <w:b/>
              </w:rPr>
            </w:pPr>
          </w:p>
        </w:tc>
        <w:tc>
          <w:tcPr>
            <w:tcW w:w="1001" w:type="pct"/>
            <w:tcBorders>
              <w:left w:val="nil"/>
              <w:bottom w:val="single" w:sz="4" w:space="0" w:color="auto"/>
              <w:right w:val="nil"/>
            </w:tcBorders>
          </w:tcPr>
          <w:p w14:paraId="296B8451" w14:textId="77777777" w:rsidR="00B11097" w:rsidRPr="001F394C" w:rsidRDefault="00B11097" w:rsidP="00AE5A89">
            <w:pPr>
              <w:pStyle w:val="Tabletext"/>
              <w:rPr>
                <w:b/>
              </w:rPr>
            </w:pPr>
          </w:p>
        </w:tc>
        <w:tc>
          <w:tcPr>
            <w:tcW w:w="1001" w:type="pct"/>
            <w:tcBorders>
              <w:left w:val="nil"/>
              <w:bottom w:val="single" w:sz="4" w:space="0" w:color="auto"/>
              <w:right w:val="nil"/>
            </w:tcBorders>
          </w:tcPr>
          <w:p w14:paraId="1CBFE1AF" w14:textId="77777777" w:rsidR="00B11097" w:rsidRPr="001F394C" w:rsidRDefault="00B11097" w:rsidP="00AE5A89">
            <w:pPr>
              <w:pStyle w:val="Tabletext"/>
              <w:rPr>
                <w:b/>
              </w:rPr>
            </w:pPr>
          </w:p>
        </w:tc>
        <w:tc>
          <w:tcPr>
            <w:tcW w:w="1000" w:type="pct"/>
            <w:tcBorders>
              <w:left w:val="nil"/>
              <w:bottom w:val="single" w:sz="4" w:space="0" w:color="auto"/>
            </w:tcBorders>
          </w:tcPr>
          <w:p w14:paraId="0841AA47" w14:textId="77777777" w:rsidR="00B11097" w:rsidRPr="001F394C" w:rsidRDefault="00B11097" w:rsidP="00AE5A89">
            <w:pPr>
              <w:pStyle w:val="Tabletext"/>
              <w:rPr>
                <w:b/>
              </w:rPr>
            </w:pPr>
          </w:p>
        </w:tc>
      </w:tr>
      <w:tr w:rsidR="00B11097" w:rsidRPr="00737C42" w14:paraId="477C2A3E" w14:textId="77777777" w:rsidTr="00AE5A89">
        <w:tc>
          <w:tcPr>
            <w:tcW w:w="997" w:type="pct"/>
            <w:tcBorders>
              <w:bottom w:val="single" w:sz="4" w:space="0" w:color="auto"/>
            </w:tcBorders>
          </w:tcPr>
          <w:p w14:paraId="3774E7C1" w14:textId="77777777" w:rsidR="00B11097" w:rsidRPr="00737C42" w:rsidRDefault="00B11097" w:rsidP="00AE5A89">
            <w:pPr>
              <w:pStyle w:val="Tabletext"/>
            </w:pPr>
            <w:r w:rsidRPr="00D10CE4">
              <w:t>FDDs</w:t>
            </w:r>
          </w:p>
        </w:tc>
        <w:tc>
          <w:tcPr>
            <w:tcW w:w="1001" w:type="pct"/>
            <w:tcBorders>
              <w:bottom w:val="single" w:sz="4" w:space="0" w:color="auto"/>
            </w:tcBorders>
          </w:tcPr>
          <w:p w14:paraId="1AEBA677" w14:textId="77777777" w:rsidR="00B11097" w:rsidRPr="00737C42" w:rsidRDefault="00B11097" w:rsidP="00AE5A89">
            <w:pPr>
              <w:pStyle w:val="Tabletext"/>
            </w:pPr>
            <w:r w:rsidRPr="00D10CE4">
              <w:t>1.04</w:t>
            </w:r>
          </w:p>
        </w:tc>
        <w:tc>
          <w:tcPr>
            <w:tcW w:w="1001" w:type="pct"/>
            <w:tcBorders>
              <w:bottom w:val="single" w:sz="4" w:space="0" w:color="auto"/>
            </w:tcBorders>
          </w:tcPr>
          <w:p w14:paraId="5D5DE46B" w14:textId="77777777" w:rsidR="00B11097" w:rsidRPr="00737C42" w:rsidRDefault="00B11097" w:rsidP="00AE5A89">
            <w:pPr>
              <w:pStyle w:val="Tabletext"/>
            </w:pPr>
            <w:r w:rsidRPr="00D10CE4">
              <w:t>-</w:t>
            </w:r>
          </w:p>
        </w:tc>
        <w:tc>
          <w:tcPr>
            <w:tcW w:w="1001" w:type="pct"/>
            <w:tcBorders>
              <w:bottom w:val="single" w:sz="4" w:space="0" w:color="auto"/>
            </w:tcBorders>
          </w:tcPr>
          <w:p w14:paraId="7610B7C2" w14:textId="77777777" w:rsidR="00B11097" w:rsidRPr="00737C42" w:rsidRDefault="00B11097" w:rsidP="00AE5A89">
            <w:pPr>
              <w:pStyle w:val="Tabletext"/>
            </w:pPr>
            <w:r w:rsidRPr="00D10CE4">
              <w:t>1.175</w:t>
            </w:r>
          </w:p>
        </w:tc>
        <w:tc>
          <w:tcPr>
            <w:tcW w:w="1000" w:type="pct"/>
            <w:tcBorders>
              <w:bottom w:val="single" w:sz="4" w:space="0" w:color="auto"/>
            </w:tcBorders>
          </w:tcPr>
          <w:p w14:paraId="7A6673FA" w14:textId="77777777" w:rsidR="00B11097" w:rsidRPr="00737C42" w:rsidRDefault="00B11097" w:rsidP="00AE5A89">
            <w:pPr>
              <w:pStyle w:val="Tabletext"/>
            </w:pPr>
            <w:r w:rsidRPr="00D10CE4">
              <w:t>-</w:t>
            </w:r>
          </w:p>
        </w:tc>
      </w:tr>
      <w:tr w:rsidR="00B11097" w:rsidRPr="00737C42" w14:paraId="5D8D5A3B" w14:textId="77777777" w:rsidTr="00AE5A89">
        <w:tc>
          <w:tcPr>
            <w:tcW w:w="997" w:type="pct"/>
            <w:tcBorders>
              <w:bottom w:val="single" w:sz="4" w:space="0" w:color="auto"/>
            </w:tcBorders>
          </w:tcPr>
          <w:p w14:paraId="016D6013" w14:textId="77777777" w:rsidR="00B11097" w:rsidRPr="00737C42" w:rsidRDefault="00B11097" w:rsidP="00AE5A89">
            <w:pPr>
              <w:pStyle w:val="Tabletext"/>
            </w:pPr>
            <w:r w:rsidRPr="00D10CE4">
              <w:t>Coils</w:t>
            </w:r>
          </w:p>
        </w:tc>
        <w:tc>
          <w:tcPr>
            <w:tcW w:w="1001" w:type="pct"/>
            <w:tcBorders>
              <w:bottom w:val="single" w:sz="4" w:space="0" w:color="auto"/>
            </w:tcBorders>
          </w:tcPr>
          <w:p w14:paraId="5C0B5A52" w14:textId="77777777" w:rsidR="00B11097" w:rsidRPr="00737C42" w:rsidRDefault="00B11097" w:rsidP="00AE5A89">
            <w:pPr>
              <w:pStyle w:val="Tabletext"/>
            </w:pPr>
            <w:r w:rsidRPr="00D10CE4">
              <w:t>-</w:t>
            </w:r>
          </w:p>
        </w:tc>
        <w:tc>
          <w:tcPr>
            <w:tcW w:w="1001" w:type="pct"/>
            <w:tcBorders>
              <w:bottom w:val="single" w:sz="4" w:space="0" w:color="auto"/>
            </w:tcBorders>
          </w:tcPr>
          <w:p w14:paraId="3A94D614" w14:textId="77777777" w:rsidR="00B11097" w:rsidRPr="00737C42" w:rsidRDefault="00B11097" w:rsidP="00AE5A89">
            <w:pPr>
              <w:pStyle w:val="Tabletext"/>
            </w:pPr>
            <w:r w:rsidRPr="00D10CE4">
              <w:t>5.3</w:t>
            </w:r>
          </w:p>
        </w:tc>
        <w:tc>
          <w:tcPr>
            <w:tcW w:w="1001" w:type="pct"/>
            <w:tcBorders>
              <w:bottom w:val="single" w:sz="4" w:space="0" w:color="auto"/>
            </w:tcBorders>
          </w:tcPr>
          <w:p w14:paraId="7AE59DD8" w14:textId="77777777" w:rsidR="00B11097" w:rsidRPr="00737C42" w:rsidRDefault="00B11097" w:rsidP="00AE5A89">
            <w:pPr>
              <w:pStyle w:val="Tabletext"/>
            </w:pPr>
            <w:r w:rsidRPr="00D10CE4">
              <w:t>-</w:t>
            </w:r>
          </w:p>
        </w:tc>
        <w:tc>
          <w:tcPr>
            <w:tcW w:w="1000" w:type="pct"/>
            <w:tcBorders>
              <w:bottom w:val="single" w:sz="4" w:space="0" w:color="auto"/>
            </w:tcBorders>
          </w:tcPr>
          <w:p w14:paraId="55E56CD7" w14:textId="77777777" w:rsidR="00B11097" w:rsidRPr="00737C42" w:rsidRDefault="00B11097" w:rsidP="00AE5A89">
            <w:pPr>
              <w:pStyle w:val="Tabletext"/>
            </w:pPr>
            <w:r w:rsidRPr="00D10CE4">
              <w:t>9.65</w:t>
            </w:r>
          </w:p>
        </w:tc>
      </w:tr>
      <w:tr w:rsidR="00B11097" w:rsidRPr="00737C42" w14:paraId="4DF95E36" w14:textId="77777777" w:rsidTr="00AE5A89">
        <w:tc>
          <w:tcPr>
            <w:tcW w:w="997" w:type="pct"/>
            <w:tcBorders>
              <w:bottom w:val="single" w:sz="4" w:space="0" w:color="auto"/>
            </w:tcBorders>
          </w:tcPr>
          <w:p w14:paraId="12CB7961" w14:textId="77777777" w:rsidR="00B11097" w:rsidRPr="00737C42" w:rsidRDefault="00B11097" w:rsidP="00AE5A89">
            <w:pPr>
              <w:pStyle w:val="Tabletext"/>
            </w:pPr>
            <w:r w:rsidRPr="00D10CE4">
              <w:t xml:space="preserve">Stents </w:t>
            </w:r>
          </w:p>
        </w:tc>
        <w:tc>
          <w:tcPr>
            <w:tcW w:w="1001" w:type="pct"/>
            <w:tcBorders>
              <w:bottom w:val="single" w:sz="4" w:space="0" w:color="auto"/>
            </w:tcBorders>
          </w:tcPr>
          <w:p w14:paraId="22FC3FF4" w14:textId="77777777" w:rsidR="00B11097" w:rsidRPr="00737C42" w:rsidRDefault="00B11097" w:rsidP="00AE5A89">
            <w:pPr>
              <w:pStyle w:val="Tabletext"/>
            </w:pPr>
            <w:r w:rsidRPr="00D10CE4">
              <w:t>-</w:t>
            </w:r>
          </w:p>
        </w:tc>
        <w:tc>
          <w:tcPr>
            <w:tcW w:w="1001" w:type="pct"/>
            <w:tcBorders>
              <w:bottom w:val="single" w:sz="4" w:space="0" w:color="auto"/>
            </w:tcBorders>
          </w:tcPr>
          <w:p w14:paraId="422E3295" w14:textId="77777777" w:rsidR="00B11097" w:rsidRPr="00737C42" w:rsidRDefault="00B11097" w:rsidP="00AE5A89">
            <w:pPr>
              <w:pStyle w:val="Tabletext"/>
            </w:pPr>
            <w:r>
              <w:t>0.485</w:t>
            </w:r>
          </w:p>
        </w:tc>
        <w:tc>
          <w:tcPr>
            <w:tcW w:w="1001" w:type="pct"/>
            <w:tcBorders>
              <w:bottom w:val="single" w:sz="4" w:space="0" w:color="auto"/>
            </w:tcBorders>
          </w:tcPr>
          <w:p w14:paraId="015747CA" w14:textId="77777777" w:rsidR="00B11097" w:rsidRPr="00737C42" w:rsidRDefault="00B11097" w:rsidP="00AE5A89">
            <w:pPr>
              <w:pStyle w:val="Tabletext"/>
            </w:pPr>
            <w:r w:rsidRPr="00D10CE4">
              <w:t>-</w:t>
            </w:r>
          </w:p>
        </w:tc>
        <w:tc>
          <w:tcPr>
            <w:tcW w:w="1000" w:type="pct"/>
            <w:tcBorders>
              <w:bottom w:val="single" w:sz="4" w:space="0" w:color="auto"/>
            </w:tcBorders>
          </w:tcPr>
          <w:p w14:paraId="0C69B2B4" w14:textId="77777777" w:rsidR="00B11097" w:rsidRPr="00737C42" w:rsidRDefault="00B11097" w:rsidP="00AE5A89">
            <w:pPr>
              <w:pStyle w:val="Tabletext"/>
            </w:pPr>
            <w:r w:rsidRPr="00D10CE4">
              <w:t>0.</w:t>
            </w:r>
            <w:r>
              <w:t>455</w:t>
            </w:r>
          </w:p>
        </w:tc>
      </w:tr>
    </w:tbl>
    <w:p w14:paraId="72A01325" w14:textId="77777777" w:rsidR="00B11097" w:rsidRPr="00737C42" w:rsidRDefault="00B11097" w:rsidP="00242873">
      <w:pPr>
        <w:pStyle w:val="Tablenotes"/>
      </w:pPr>
      <w:r>
        <w:t>Abbreviations: CS, coiling +/- stent; FD, flow diversion; FDD, flow diversion device</w:t>
      </w:r>
    </w:p>
    <w:p w14:paraId="0008A5DB" w14:textId="7C06160B" w:rsidR="00F0427A" w:rsidRPr="004B35C9" w:rsidRDefault="00B11097" w:rsidP="004B35C9">
      <w:pPr>
        <w:rPr>
          <w:i/>
        </w:rPr>
      </w:pPr>
      <w:r w:rsidRPr="004B35C9">
        <w:rPr>
          <w:i/>
        </w:rPr>
        <w:t>UIA procedure costs</w:t>
      </w:r>
    </w:p>
    <w:p w14:paraId="35F4A1CD" w14:textId="5DECD086" w:rsidR="00F0427A" w:rsidRDefault="00B11097" w:rsidP="00242873">
      <w:pPr>
        <w:spacing w:after="240"/>
      </w:pPr>
      <w:r w:rsidRPr="00F0427A">
        <w:t>The model applie</w:t>
      </w:r>
      <w:r w:rsidR="00F0427A">
        <w:t>s</w:t>
      </w:r>
      <w:r w:rsidRPr="00F0427A">
        <w:t xml:space="preserve"> FD and CS procedure costs calculated as a function of device use, medical service use and hospital admission length. The costs applied to these resources in the economic model are discussed below.</w:t>
      </w:r>
    </w:p>
    <w:p w14:paraId="5D5DEB2C" w14:textId="7791F86F" w:rsidR="00B11097" w:rsidRPr="004B35C9" w:rsidRDefault="00B11097" w:rsidP="004B35C9">
      <w:pPr>
        <w:rPr>
          <w:i/>
        </w:rPr>
      </w:pPr>
      <w:r w:rsidRPr="004B35C9">
        <w:rPr>
          <w:i/>
        </w:rPr>
        <w:t>Device costs</w:t>
      </w:r>
    </w:p>
    <w:p w14:paraId="7713E234" w14:textId="7952E9A0" w:rsidR="00B11097" w:rsidRPr="00737C42" w:rsidRDefault="00B11097" w:rsidP="00242873">
      <w:pPr>
        <w:spacing w:after="240"/>
      </w:pPr>
      <w:r w:rsidRPr="00737C42">
        <w:t xml:space="preserve">The price of devices used for </w:t>
      </w:r>
      <w:r>
        <w:t xml:space="preserve">CS </w:t>
      </w:r>
      <w:r w:rsidRPr="00737C42">
        <w:t xml:space="preserve">are derived from the Prostheses List (March 2019), presented in </w:t>
      </w:r>
      <w:r w:rsidRPr="00737C42">
        <w:fldChar w:fldCharType="begin"/>
      </w:r>
      <w:r w:rsidRPr="00737C42">
        <w:instrText xml:space="preserve"> REF _Ref8813254 \h </w:instrText>
      </w:r>
      <w:r w:rsidRPr="00737C42">
        <w:fldChar w:fldCharType="separate"/>
      </w:r>
      <w:r w:rsidRPr="00737C42">
        <w:t xml:space="preserve">Table </w:t>
      </w:r>
      <w:r w:rsidR="00584C7E">
        <w:t>10</w:t>
      </w:r>
      <w:r w:rsidRPr="00737C42">
        <w:fldChar w:fldCharType="end"/>
      </w:r>
      <w:r w:rsidR="00690FA3">
        <w:t>.</w:t>
      </w:r>
    </w:p>
    <w:p w14:paraId="50D9E252" w14:textId="74E75C3A" w:rsidR="00B11097" w:rsidRPr="00F92483" w:rsidRDefault="00F92483" w:rsidP="00F92483">
      <w:pPr>
        <w:rPr>
          <w:rFonts w:ascii="Arial Narrow" w:hAnsi="Arial Narrow"/>
          <w:b/>
          <w:sz w:val="20"/>
        </w:rPr>
      </w:pPr>
      <w:bookmarkStart w:id="32" w:name="_Toc10636686"/>
      <w:bookmarkStart w:id="33" w:name="_Toc10710904"/>
      <w:r w:rsidRPr="00F92483">
        <w:rPr>
          <w:rFonts w:ascii="Arial Narrow" w:hAnsi="Arial Narrow"/>
          <w:b/>
          <w:sz w:val="20"/>
        </w:rPr>
        <w:t xml:space="preserve">Table 10 </w:t>
      </w:r>
      <w:r w:rsidR="00B11097" w:rsidRPr="00F92483">
        <w:rPr>
          <w:rFonts w:ascii="Arial Narrow" w:hAnsi="Arial Narrow"/>
          <w:b/>
          <w:sz w:val="20"/>
        </w:rPr>
        <w:t xml:space="preserve">Device cost inputs for flow </w:t>
      </w:r>
      <w:proofErr w:type="spellStart"/>
      <w:r w:rsidR="00B11097" w:rsidRPr="00F92483">
        <w:rPr>
          <w:rFonts w:ascii="Arial Narrow" w:hAnsi="Arial Narrow"/>
          <w:b/>
          <w:sz w:val="20"/>
        </w:rPr>
        <w:t>divertors</w:t>
      </w:r>
      <w:proofErr w:type="spellEnd"/>
      <w:r w:rsidR="00B11097" w:rsidRPr="00F92483">
        <w:rPr>
          <w:rFonts w:ascii="Arial Narrow" w:hAnsi="Arial Narrow"/>
          <w:b/>
          <w:sz w:val="20"/>
        </w:rPr>
        <w:t>, coils and stents</w:t>
      </w:r>
      <w:bookmarkEnd w:id="32"/>
      <w:bookmarkEnd w:id="33"/>
    </w:p>
    <w:tbl>
      <w:tblPr>
        <w:tblStyle w:val="TableGrid1"/>
        <w:tblW w:w="5000" w:type="pct"/>
        <w:tblLook w:val="04A0" w:firstRow="1" w:lastRow="0" w:firstColumn="1" w:lastColumn="0" w:noHBand="0" w:noVBand="1"/>
        <w:tblDescription w:val="Device cost inputs for flow divertors, coils and stents"/>
      </w:tblPr>
      <w:tblGrid>
        <w:gridCol w:w="2546"/>
        <w:gridCol w:w="1985"/>
        <w:gridCol w:w="4485"/>
      </w:tblGrid>
      <w:tr w:rsidR="00B11097" w:rsidRPr="00737C42" w14:paraId="4DBE7F0B" w14:textId="77777777" w:rsidTr="004B35C9">
        <w:trPr>
          <w:cnfStyle w:val="100000000000" w:firstRow="1" w:lastRow="0" w:firstColumn="0" w:lastColumn="0" w:oddVBand="0" w:evenVBand="0" w:oddHBand="0" w:evenHBand="0" w:firstRowFirstColumn="0" w:firstRowLastColumn="0" w:lastRowFirstColumn="0" w:lastRowLastColumn="0"/>
          <w:tblHeader/>
        </w:trPr>
        <w:tc>
          <w:tcPr>
            <w:tcW w:w="1412" w:type="pct"/>
            <w:tcBorders>
              <w:bottom w:val="single" w:sz="4" w:space="0" w:color="auto"/>
            </w:tcBorders>
          </w:tcPr>
          <w:p w14:paraId="51CC4053" w14:textId="77777777" w:rsidR="00B11097" w:rsidRPr="00737C42" w:rsidRDefault="00B11097" w:rsidP="00AE5A89">
            <w:pPr>
              <w:pStyle w:val="Tabletext"/>
            </w:pPr>
            <w:r w:rsidRPr="00737C42">
              <w:t>Parameter</w:t>
            </w:r>
          </w:p>
        </w:tc>
        <w:tc>
          <w:tcPr>
            <w:tcW w:w="1101" w:type="pct"/>
            <w:tcBorders>
              <w:bottom w:val="single" w:sz="4" w:space="0" w:color="auto"/>
            </w:tcBorders>
          </w:tcPr>
          <w:p w14:paraId="23CC9682" w14:textId="77777777" w:rsidR="00B11097" w:rsidRPr="00737C42" w:rsidRDefault="00B11097" w:rsidP="00AE5A89">
            <w:pPr>
              <w:pStyle w:val="Tabletext"/>
            </w:pPr>
            <w:r w:rsidRPr="00737C42">
              <w:t>Input</w:t>
            </w:r>
          </w:p>
        </w:tc>
        <w:tc>
          <w:tcPr>
            <w:tcW w:w="2487" w:type="pct"/>
            <w:tcBorders>
              <w:bottom w:val="single" w:sz="4" w:space="0" w:color="auto"/>
            </w:tcBorders>
          </w:tcPr>
          <w:p w14:paraId="7AB6B158" w14:textId="77777777" w:rsidR="00B11097" w:rsidRPr="00737C42" w:rsidRDefault="00B11097" w:rsidP="00AE5A89">
            <w:pPr>
              <w:pStyle w:val="Tabletext"/>
            </w:pPr>
            <w:r w:rsidRPr="00737C42">
              <w:t>Source</w:t>
            </w:r>
          </w:p>
        </w:tc>
      </w:tr>
      <w:tr w:rsidR="00B11097" w:rsidRPr="00737C42" w14:paraId="3E6A3BD8" w14:textId="77777777" w:rsidTr="00AE5A89">
        <w:tc>
          <w:tcPr>
            <w:tcW w:w="1412" w:type="pct"/>
          </w:tcPr>
          <w:p w14:paraId="201CAF6D" w14:textId="77777777" w:rsidR="00B11097" w:rsidRPr="00737C42" w:rsidRDefault="00B11097" w:rsidP="00AE5A89">
            <w:pPr>
              <w:pStyle w:val="Tabletext"/>
            </w:pPr>
            <w:r w:rsidRPr="00737C42">
              <w:t xml:space="preserve">Flow </w:t>
            </w:r>
            <w:proofErr w:type="spellStart"/>
            <w:r w:rsidRPr="00737C42">
              <w:t>divertor</w:t>
            </w:r>
            <w:proofErr w:type="spellEnd"/>
            <w:r w:rsidRPr="00737C42">
              <w:t xml:space="preserve"> device cost</w:t>
            </w:r>
          </w:p>
        </w:tc>
        <w:tc>
          <w:tcPr>
            <w:tcW w:w="1101" w:type="pct"/>
          </w:tcPr>
          <w:p w14:paraId="0782A7B1" w14:textId="31FA9F03" w:rsidR="00B11097" w:rsidRPr="00737C42" w:rsidRDefault="00B11097" w:rsidP="00C574D4">
            <w:pPr>
              <w:pStyle w:val="Tabletext"/>
            </w:pPr>
            <w:r w:rsidRPr="00737C42">
              <w:t>$</w:t>
            </w:r>
            <w:r w:rsidR="00C574D4">
              <w:t>redacted</w:t>
            </w:r>
          </w:p>
        </w:tc>
        <w:tc>
          <w:tcPr>
            <w:tcW w:w="2487" w:type="pct"/>
          </w:tcPr>
          <w:p w14:paraId="3A67E288" w14:textId="77777777" w:rsidR="00B11097" w:rsidRPr="00737C42" w:rsidRDefault="00B11097" w:rsidP="00AE5A89">
            <w:pPr>
              <w:pStyle w:val="Tabletext"/>
            </w:pPr>
            <w:r w:rsidRPr="00737C42">
              <w:t>Applicant</w:t>
            </w:r>
          </w:p>
        </w:tc>
      </w:tr>
      <w:tr w:rsidR="00B11097" w:rsidRPr="00737C42" w14:paraId="4CCE8B0C" w14:textId="77777777" w:rsidTr="00AE5A89">
        <w:tc>
          <w:tcPr>
            <w:tcW w:w="1412" w:type="pct"/>
          </w:tcPr>
          <w:p w14:paraId="0C86AF67" w14:textId="77777777" w:rsidR="00B11097" w:rsidRPr="00737C42" w:rsidRDefault="00B11097" w:rsidP="00AE5A89">
            <w:pPr>
              <w:pStyle w:val="Tabletext"/>
            </w:pPr>
            <w:r w:rsidRPr="00737C42">
              <w:t>Coil device cost</w:t>
            </w:r>
          </w:p>
        </w:tc>
        <w:tc>
          <w:tcPr>
            <w:tcW w:w="1101" w:type="pct"/>
          </w:tcPr>
          <w:p w14:paraId="2603C568" w14:textId="77777777" w:rsidR="00B11097" w:rsidRPr="00737C42" w:rsidRDefault="00B11097" w:rsidP="00AE5A89">
            <w:pPr>
              <w:pStyle w:val="Tabletext"/>
            </w:pPr>
            <w:r w:rsidRPr="00737C42">
              <w:t>$1,430</w:t>
            </w:r>
          </w:p>
        </w:tc>
        <w:tc>
          <w:tcPr>
            <w:tcW w:w="2487" w:type="pct"/>
          </w:tcPr>
          <w:p w14:paraId="79B8E917" w14:textId="77777777" w:rsidR="00B11097" w:rsidRPr="00737C42" w:rsidRDefault="00B11097" w:rsidP="00AE5A89">
            <w:pPr>
              <w:pStyle w:val="Tabletext"/>
            </w:pPr>
            <w:r w:rsidRPr="00737C42">
              <w:t>Prostheses List March 2019</w:t>
            </w:r>
            <w:r w:rsidRPr="00737C42">
              <w:rPr>
                <w:rStyle w:val="FootnoteReference"/>
              </w:rPr>
              <w:footnoteReference w:id="1"/>
            </w:r>
          </w:p>
          <w:p w14:paraId="45D30E0B" w14:textId="77777777" w:rsidR="00B11097" w:rsidRPr="00737C42" w:rsidRDefault="00B11097" w:rsidP="00AE5A89">
            <w:pPr>
              <w:pStyle w:val="Tabletext"/>
            </w:pPr>
            <w:r w:rsidRPr="00737C42">
              <w:t>(Billing code: JJ960, ARTG codes: 219194, 219195)</w:t>
            </w:r>
          </w:p>
        </w:tc>
      </w:tr>
      <w:tr w:rsidR="00B11097" w:rsidRPr="00737C42" w14:paraId="22943199" w14:textId="77777777" w:rsidTr="00AE5A89">
        <w:tc>
          <w:tcPr>
            <w:tcW w:w="1412" w:type="pct"/>
          </w:tcPr>
          <w:p w14:paraId="2AB9170A" w14:textId="77777777" w:rsidR="00B11097" w:rsidRPr="00737C42" w:rsidRDefault="00B11097" w:rsidP="00AE5A89">
            <w:pPr>
              <w:pStyle w:val="Tabletext"/>
            </w:pPr>
            <w:r w:rsidRPr="00737C42">
              <w:t>Stent device cost</w:t>
            </w:r>
          </w:p>
        </w:tc>
        <w:tc>
          <w:tcPr>
            <w:tcW w:w="1101" w:type="pct"/>
          </w:tcPr>
          <w:p w14:paraId="19B59FA5" w14:textId="77777777" w:rsidR="00B11097" w:rsidRPr="00737C42" w:rsidRDefault="00B11097" w:rsidP="00AE5A89">
            <w:pPr>
              <w:pStyle w:val="Tabletext"/>
            </w:pPr>
            <w:r w:rsidRPr="00737C42">
              <w:t>$7,125</w:t>
            </w:r>
          </w:p>
        </w:tc>
        <w:tc>
          <w:tcPr>
            <w:tcW w:w="2487" w:type="pct"/>
          </w:tcPr>
          <w:p w14:paraId="67BA3B94" w14:textId="77777777" w:rsidR="00B11097" w:rsidRPr="00737C42" w:rsidRDefault="00B11097" w:rsidP="00AE5A89">
            <w:pPr>
              <w:pStyle w:val="Tabletext"/>
            </w:pPr>
            <w:r w:rsidRPr="00737C42">
              <w:t xml:space="preserve">Prostheses List March 2019 </w:t>
            </w:r>
          </w:p>
          <w:p w14:paraId="6E8C9745" w14:textId="77777777" w:rsidR="00B11097" w:rsidRPr="00737C42" w:rsidRDefault="00B11097" w:rsidP="00AE5A89">
            <w:pPr>
              <w:pStyle w:val="Tabletext"/>
            </w:pPr>
            <w:r w:rsidRPr="00737C42">
              <w:t>(Billing code: ME209, ARTG code: 197947)</w:t>
            </w:r>
          </w:p>
        </w:tc>
      </w:tr>
    </w:tbl>
    <w:p w14:paraId="299C2A1E" w14:textId="6AB73B7C" w:rsidR="000965CC" w:rsidRDefault="000965CC" w:rsidP="00242873">
      <w:pPr>
        <w:spacing w:before="240" w:after="240"/>
      </w:pPr>
      <w:bookmarkStart w:id="34" w:name="_Toc10636690"/>
      <w:bookmarkStart w:id="35" w:name="_Toc10710908"/>
      <w:r>
        <w:rPr>
          <w:lang w:eastAsia="en-US"/>
        </w:rPr>
        <w:t xml:space="preserve">The </w:t>
      </w:r>
      <w:r w:rsidRPr="004A169D">
        <w:rPr>
          <w:lang w:eastAsia="en-US"/>
        </w:rPr>
        <w:t>critique calculate</w:t>
      </w:r>
      <w:r w:rsidR="004A169D">
        <w:rPr>
          <w:lang w:eastAsia="en-US"/>
        </w:rPr>
        <w:t>d</w:t>
      </w:r>
      <w:r w:rsidR="004E4810">
        <w:rPr>
          <w:lang w:eastAsia="en-US"/>
        </w:rPr>
        <w:t xml:space="preserve"> the total cost per UIA </w:t>
      </w:r>
      <w:r>
        <w:rPr>
          <w:lang w:eastAsia="en-US"/>
        </w:rPr>
        <w:t>procedure based on the model inputs (cost of device, num</w:t>
      </w:r>
      <w:bookmarkStart w:id="36" w:name="_GoBack"/>
      <w:bookmarkEnd w:id="36"/>
      <w:r>
        <w:rPr>
          <w:lang w:eastAsia="en-US"/>
        </w:rPr>
        <w:t>ber of devices, clinical</w:t>
      </w:r>
      <w:r w:rsidR="0093163F">
        <w:rPr>
          <w:lang w:eastAsia="en-US"/>
        </w:rPr>
        <w:t xml:space="preserve"> and </w:t>
      </w:r>
      <w:r w:rsidR="0093163F" w:rsidRPr="004A169D">
        <w:rPr>
          <w:lang w:eastAsia="en-US"/>
        </w:rPr>
        <w:t>hospital costs</w:t>
      </w:r>
      <w:r w:rsidR="004A169D">
        <w:rPr>
          <w:lang w:eastAsia="en-US"/>
        </w:rPr>
        <w:t>)</w:t>
      </w:r>
      <w:r w:rsidR="0093163F">
        <w:rPr>
          <w:lang w:eastAsia="en-US"/>
        </w:rPr>
        <w:t xml:space="preserve"> as follows:</w:t>
      </w:r>
    </w:p>
    <w:p w14:paraId="67087F76" w14:textId="52AF8BB8" w:rsidR="000965CC" w:rsidRPr="004B35C9" w:rsidRDefault="000965CC" w:rsidP="004B35C9">
      <w:pPr>
        <w:rPr>
          <w:rFonts w:ascii="Arial Narrow" w:hAnsi="Arial Narrow"/>
          <w:b/>
          <w:sz w:val="20"/>
        </w:rPr>
      </w:pPr>
      <w:r w:rsidRPr="004B35C9">
        <w:rPr>
          <w:rFonts w:ascii="Arial Narrow" w:hAnsi="Arial Narrow"/>
          <w:b/>
          <w:sz w:val="20"/>
        </w:rPr>
        <w:t xml:space="preserve">Table </w:t>
      </w:r>
      <w:r w:rsidR="00584C7E" w:rsidRPr="004B35C9">
        <w:rPr>
          <w:rFonts w:ascii="Arial Narrow" w:hAnsi="Arial Narrow"/>
          <w:b/>
          <w:sz w:val="20"/>
        </w:rPr>
        <w:t>11</w:t>
      </w:r>
      <w:r w:rsidRPr="004B35C9">
        <w:rPr>
          <w:rFonts w:ascii="Arial Narrow" w:hAnsi="Arial Narrow"/>
          <w:b/>
          <w:sz w:val="20"/>
        </w:rPr>
        <w:tab/>
        <w:t>Cost per UIA procedure, stratified by population</w:t>
      </w:r>
      <w:bookmarkEnd w:id="34"/>
      <w:bookmarkEnd w:id="35"/>
    </w:p>
    <w:tbl>
      <w:tblPr>
        <w:tblStyle w:val="TableGrid1"/>
        <w:tblW w:w="5000" w:type="pct"/>
        <w:tblLook w:val="04A0" w:firstRow="1" w:lastRow="0" w:firstColumn="1" w:lastColumn="0" w:noHBand="0" w:noVBand="1"/>
        <w:tblDescription w:val="Cost per UIA procedure, stratified by population"/>
      </w:tblPr>
      <w:tblGrid>
        <w:gridCol w:w="3000"/>
        <w:gridCol w:w="3008"/>
        <w:gridCol w:w="3008"/>
      </w:tblGrid>
      <w:tr w:rsidR="000965CC" w:rsidRPr="00737C42" w14:paraId="360A73AF" w14:textId="77777777" w:rsidTr="004B35C9">
        <w:trPr>
          <w:cnfStyle w:val="100000000000" w:firstRow="1" w:lastRow="0" w:firstColumn="0" w:lastColumn="0" w:oddVBand="0" w:evenVBand="0" w:oddHBand="0" w:evenHBand="0" w:firstRowFirstColumn="0" w:firstRowLastColumn="0" w:lastRowFirstColumn="0" w:lastRowLastColumn="0"/>
          <w:tblHeader/>
        </w:trPr>
        <w:tc>
          <w:tcPr>
            <w:tcW w:w="1664" w:type="pct"/>
            <w:tcBorders>
              <w:bottom w:val="single" w:sz="4" w:space="0" w:color="auto"/>
            </w:tcBorders>
          </w:tcPr>
          <w:p w14:paraId="4C0EC568" w14:textId="77777777" w:rsidR="000965CC" w:rsidRPr="00737C42" w:rsidRDefault="000965CC" w:rsidP="00AE5A89">
            <w:pPr>
              <w:pStyle w:val="Tabletext"/>
            </w:pPr>
          </w:p>
        </w:tc>
        <w:tc>
          <w:tcPr>
            <w:tcW w:w="1668" w:type="pct"/>
            <w:tcBorders>
              <w:bottom w:val="single" w:sz="4" w:space="0" w:color="auto"/>
            </w:tcBorders>
          </w:tcPr>
          <w:p w14:paraId="6DB80411" w14:textId="77777777" w:rsidR="000965CC" w:rsidRPr="00737C42" w:rsidRDefault="000965CC" w:rsidP="00AE5A89">
            <w:pPr>
              <w:pStyle w:val="Tabletext"/>
            </w:pPr>
            <w:r w:rsidRPr="00D05A89">
              <w:t>FD</w:t>
            </w:r>
            <w:r>
              <w:t xml:space="preserve"> arm</w:t>
            </w:r>
          </w:p>
        </w:tc>
        <w:tc>
          <w:tcPr>
            <w:tcW w:w="1668" w:type="pct"/>
            <w:tcBorders>
              <w:bottom w:val="single" w:sz="4" w:space="0" w:color="auto"/>
            </w:tcBorders>
          </w:tcPr>
          <w:p w14:paraId="4780DF7C" w14:textId="77777777" w:rsidR="000965CC" w:rsidRPr="00737C42" w:rsidRDefault="000965CC" w:rsidP="00AE5A89">
            <w:pPr>
              <w:pStyle w:val="Tabletext"/>
            </w:pPr>
            <w:r w:rsidRPr="00D05A89">
              <w:t>CS</w:t>
            </w:r>
            <w:r>
              <w:t xml:space="preserve"> arm</w:t>
            </w:r>
          </w:p>
        </w:tc>
      </w:tr>
      <w:tr w:rsidR="000965CC" w:rsidRPr="00737C42" w14:paraId="07A1CEE2" w14:textId="77777777" w:rsidTr="00AE5A89">
        <w:tc>
          <w:tcPr>
            <w:tcW w:w="1664" w:type="pct"/>
            <w:tcBorders>
              <w:right w:val="nil"/>
            </w:tcBorders>
          </w:tcPr>
          <w:p w14:paraId="4A04E008" w14:textId="77777777" w:rsidR="000965CC" w:rsidRPr="00697F08" w:rsidRDefault="000965CC" w:rsidP="00AE5A89">
            <w:pPr>
              <w:pStyle w:val="Tabletext"/>
              <w:rPr>
                <w:b/>
              </w:rPr>
            </w:pPr>
            <w:r w:rsidRPr="00697F08">
              <w:rPr>
                <w:b/>
              </w:rPr>
              <w:t>Population 1: small, complex</w:t>
            </w:r>
          </w:p>
        </w:tc>
        <w:tc>
          <w:tcPr>
            <w:tcW w:w="1668" w:type="pct"/>
            <w:tcBorders>
              <w:left w:val="nil"/>
              <w:right w:val="nil"/>
            </w:tcBorders>
          </w:tcPr>
          <w:p w14:paraId="38137C7B" w14:textId="77777777" w:rsidR="000965CC" w:rsidRPr="00697F08" w:rsidRDefault="000965CC" w:rsidP="00AE5A89">
            <w:pPr>
              <w:pStyle w:val="Tabletext"/>
              <w:rPr>
                <w:b/>
              </w:rPr>
            </w:pPr>
          </w:p>
        </w:tc>
        <w:tc>
          <w:tcPr>
            <w:tcW w:w="1668" w:type="pct"/>
            <w:tcBorders>
              <w:left w:val="nil"/>
            </w:tcBorders>
          </w:tcPr>
          <w:p w14:paraId="5E9B51E6" w14:textId="77777777" w:rsidR="000965CC" w:rsidRPr="00697F08" w:rsidRDefault="000965CC" w:rsidP="00AE5A89">
            <w:pPr>
              <w:pStyle w:val="Tabletext"/>
              <w:rPr>
                <w:b/>
              </w:rPr>
            </w:pPr>
          </w:p>
        </w:tc>
      </w:tr>
      <w:tr w:rsidR="000965CC" w:rsidRPr="00737C42" w14:paraId="18547756" w14:textId="77777777" w:rsidTr="00AE5A89">
        <w:tc>
          <w:tcPr>
            <w:tcW w:w="1664" w:type="pct"/>
          </w:tcPr>
          <w:p w14:paraId="658A5DE9" w14:textId="77777777" w:rsidR="000965CC" w:rsidRPr="00737C42" w:rsidRDefault="000965CC" w:rsidP="00AE5A89">
            <w:pPr>
              <w:pStyle w:val="Tabletext"/>
              <w:rPr>
                <w:b/>
              </w:rPr>
            </w:pPr>
            <w:r w:rsidRPr="00D05A89">
              <w:t>Initial treatment of UIA</w:t>
            </w:r>
          </w:p>
        </w:tc>
        <w:tc>
          <w:tcPr>
            <w:tcW w:w="1668" w:type="pct"/>
          </w:tcPr>
          <w:p w14:paraId="08419B20" w14:textId="0C841E54" w:rsidR="000965CC" w:rsidRPr="00737C42" w:rsidRDefault="000965CC" w:rsidP="00C574D4">
            <w:pPr>
              <w:pStyle w:val="Tabletext"/>
              <w:rPr>
                <w:b/>
              </w:rPr>
            </w:pPr>
            <w:r w:rsidRPr="008128AF">
              <w:t>$</w:t>
            </w:r>
            <w:r w:rsidR="00C574D4">
              <w:t>redacted</w:t>
            </w:r>
          </w:p>
        </w:tc>
        <w:tc>
          <w:tcPr>
            <w:tcW w:w="1668" w:type="pct"/>
          </w:tcPr>
          <w:p w14:paraId="57E8C82E" w14:textId="77777777" w:rsidR="000965CC" w:rsidRPr="00737C42" w:rsidRDefault="000965CC" w:rsidP="00AE5A89">
            <w:pPr>
              <w:pStyle w:val="Tabletext"/>
              <w:rPr>
                <w:b/>
              </w:rPr>
            </w:pPr>
            <w:r w:rsidRPr="008128AF">
              <w:t>$19,053</w:t>
            </w:r>
          </w:p>
        </w:tc>
      </w:tr>
      <w:tr w:rsidR="000965CC" w:rsidRPr="00737C42" w14:paraId="0F5E1557" w14:textId="77777777" w:rsidTr="00AE5A89">
        <w:tc>
          <w:tcPr>
            <w:tcW w:w="1664" w:type="pct"/>
          </w:tcPr>
          <w:p w14:paraId="7B72E3EC" w14:textId="77777777" w:rsidR="000965CC" w:rsidRPr="00737C42" w:rsidRDefault="000965CC" w:rsidP="00AE5A89">
            <w:pPr>
              <w:pStyle w:val="Tabletext"/>
              <w:rPr>
                <w:b/>
              </w:rPr>
            </w:pPr>
            <w:r w:rsidRPr="00D05A89">
              <w:t>Retreatment of UIA</w:t>
            </w:r>
          </w:p>
        </w:tc>
        <w:tc>
          <w:tcPr>
            <w:tcW w:w="1668" w:type="pct"/>
          </w:tcPr>
          <w:p w14:paraId="019ED218" w14:textId="438C40A0" w:rsidR="000965CC" w:rsidRPr="00737C42" w:rsidRDefault="000965CC" w:rsidP="00C574D4">
            <w:pPr>
              <w:pStyle w:val="Tabletext"/>
              <w:rPr>
                <w:b/>
              </w:rPr>
            </w:pPr>
            <w:r w:rsidRPr="00C00556">
              <w:t>$</w:t>
            </w:r>
            <w:r w:rsidR="00C574D4">
              <w:t>redacted</w:t>
            </w:r>
          </w:p>
        </w:tc>
        <w:tc>
          <w:tcPr>
            <w:tcW w:w="1668" w:type="pct"/>
          </w:tcPr>
          <w:p w14:paraId="44EE91D9" w14:textId="77777777" w:rsidR="000965CC" w:rsidRPr="00737C42" w:rsidRDefault="000965CC" w:rsidP="00AE5A89">
            <w:pPr>
              <w:pStyle w:val="Tabletext"/>
              <w:rPr>
                <w:b/>
              </w:rPr>
            </w:pPr>
            <w:r w:rsidRPr="00C00556">
              <w:t>$18,590</w:t>
            </w:r>
          </w:p>
        </w:tc>
      </w:tr>
      <w:tr w:rsidR="000965CC" w:rsidRPr="00737C42" w14:paraId="3DF67FE5" w14:textId="77777777" w:rsidTr="00AE5A89">
        <w:tc>
          <w:tcPr>
            <w:tcW w:w="1664" w:type="pct"/>
            <w:tcBorders>
              <w:right w:val="nil"/>
            </w:tcBorders>
          </w:tcPr>
          <w:p w14:paraId="276571F0" w14:textId="77777777" w:rsidR="000965CC" w:rsidRPr="00697F08" w:rsidRDefault="000965CC" w:rsidP="00AE5A89">
            <w:pPr>
              <w:pStyle w:val="Tabletext"/>
              <w:rPr>
                <w:b/>
              </w:rPr>
            </w:pPr>
            <w:r w:rsidRPr="00697F08">
              <w:rPr>
                <w:b/>
              </w:rPr>
              <w:t>Population 2: large</w:t>
            </w:r>
          </w:p>
        </w:tc>
        <w:tc>
          <w:tcPr>
            <w:tcW w:w="1668" w:type="pct"/>
            <w:tcBorders>
              <w:left w:val="nil"/>
              <w:right w:val="nil"/>
            </w:tcBorders>
          </w:tcPr>
          <w:p w14:paraId="79D0DB07" w14:textId="77777777" w:rsidR="000965CC" w:rsidRPr="00697F08" w:rsidRDefault="000965CC" w:rsidP="00AE5A89">
            <w:pPr>
              <w:pStyle w:val="Tabletext"/>
              <w:rPr>
                <w:b/>
              </w:rPr>
            </w:pPr>
          </w:p>
        </w:tc>
        <w:tc>
          <w:tcPr>
            <w:tcW w:w="1668" w:type="pct"/>
            <w:tcBorders>
              <w:left w:val="nil"/>
            </w:tcBorders>
          </w:tcPr>
          <w:p w14:paraId="5C6F8963" w14:textId="77777777" w:rsidR="000965CC" w:rsidRPr="00697F08" w:rsidRDefault="000965CC" w:rsidP="00AE5A89">
            <w:pPr>
              <w:pStyle w:val="Tabletext"/>
              <w:rPr>
                <w:b/>
              </w:rPr>
            </w:pPr>
          </w:p>
        </w:tc>
      </w:tr>
      <w:tr w:rsidR="000965CC" w:rsidRPr="00737C42" w14:paraId="05450F7E" w14:textId="77777777" w:rsidTr="00AE5A89">
        <w:tc>
          <w:tcPr>
            <w:tcW w:w="1664" w:type="pct"/>
          </w:tcPr>
          <w:p w14:paraId="3495415E" w14:textId="77777777" w:rsidR="000965CC" w:rsidRPr="00737C42" w:rsidRDefault="000965CC" w:rsidP="00AE5A89">
            <w:pPr>
              <w:pStyle w:val="Tabletext"/>
            </w:pPr>
            <w:r w:rsidRPr="00D05A89">
              <w:t>Initial treatment of UIA</w:t>
            </w:r>
          </w:p>
        </w:tc>
        <w:tc>
          <w:tcPr>
            <w:tcW w:w="1668" w:type="pct"/>
          </w:tcPr>
          <w:p w14:paraId="5CF9906F" w14:textId="7698183B" w:rsidR="000965CC" w:rsidRPr="00737C42" w:rsidRDefault="000965CC" w:rsidP="00C574D4">
            <w:pPr>
              <w:pStyle w:val="Tabletext"/>
              <w:rPr>
                <w:b/>
              </w:rPr>
            </w:pPr>
            <w:r w:rsidRPr="00262C33">
              <w:t>$</w:t>
            </w:r>
            <w:r w:rsidR="00C574D4">
              <w:t>redacted</w:t>
            </w:r>
          </w:p>
        </w:tc>
        <w:tc>
          <w:tcPr>
            <w:tcW w:w="1668" w:type="pct"/>
          </w:tcPr>
          <w:p w14:paraId="6D26D1A1" w14:textId="77777777" w:rsidR="000965CC" w:rsidRPr="00737C42" w:rsidRDefault="000965CC" w:rsidP="00AE5A89">
            <w:pPr>
              <w:pStyle w:val="Tabletext"/>
            </w:pPr>
            <w:r w:rsidRPr="00262C33">
              <w:t>$26,627</w:t>
            </w:r>
          </w:p>
        </w:tc>
      </w:tr>
      <w:tr w:rsidR="000965CC" w:rsidRPr="00737C42" w14:paraId="7F373455" w14:textId="77777777" w:rsidTr="00AE5A89">
        <w:tc>
          <w:tcPr>
            <w:tcW w:w="1664" w:type="pct"/>
          </w:tcPr>
          <w:p w14:paraId="45700DF2" w14:textId="77777777" w:rsidR="000965CC" w:rsidRPr="00737C42" w:rsidRDefault="000965CC" w:rsidP="00AE5A89">
            <w:pPr>
              <w:pStyle w:val="Tabletext"/>
            </w:pPr>
            <w:r w:rsidRPr="00D05A89">
              <w:t>Retreatment of UIA</w:t>
            </w:r>
          </w:p>
        </w:tc>
        <w:tc>
          <w:tcPr>
            <w:tcW w:w="1668" w:type="pct"/>
          </w:tcPr>
          <w:p w14:paraId="76D3C717" w14:textId="43E69508" w:rsidR="000965CC" w:rsidRPr="00737C42" w:rsidRDefault="000965CC" w:rsidP="00C574D4">
            <w:pPr>
              <w:pStyle w:val="Tabletext"/>
              <w:rPr>
                <w:b/>
              </w:rPr>
            </w:pPr>
            <w:r w:rsidRPr="001540B3">
              <w:t>$</w:t>
            </w:r>
            <w:r w:rsidR="00C574D4">
              <w:t>redacted</w:t>
            </w:r>
          </w:p>
        </w:tc>
        <w:tc>
          <w:tcPr>
            <w:tcW w:w="1668" w:type="pct"/>
          </w:tcPr>
          <w:p w14:paraId="3589B6D1" w14:textId="77777777" w:rsidR="000965CC" w:rsidRPr="00737C42" w:rsidRDefault="000965CC" w:rsidP="00AE5A89">
            <w:pPr>
              <w:pStyle w:val="Tabletext"/>
            </w:pPr>
            <w:r w:rsidRPr="001540B3">
              <w:t>$24,596</w:t>
            </w:r>
          </w:p>
        </w:tc>
      </w:tr>
    </w:tbl>
    <w:p w14:paraId="03DF9ADE" w14:textId="77777777" w:rsidR="000965CC" w:rsidRDefault="000965CC" w:rsidP="00242873">
      <w:pPr>
        <w:pStyle w:val="Tablenotes"/>
      </w:pPr>
      <w:r>
        <w:t>Abbreviations: CS, coiling +/- stent; FD, flow diversion; RIA, ruptured intracranial aneurysm; UIA, unruptured intracranial aneurysm</w:t>
      </w:r>
    </w:p>
    <w:p w14:paraId="05CDD037" w14:textId="77777777" w:rsidR="006460AB" w:rsidRPr="003B345D" w:rsidRDefault="006460AB" w:rsidP="006460AB">
      <w:pPr>
        <w:pStyle w:val="Heading2"/>
      </w:pPr>
      <w:r w:rsidRPr="003B345D">
        <w:t>Population 1 (small, complex aneurysms)</w:t>
      </w:r>
    </w:p>
    <w:p w14:paraId="43B9867A" w14:textId="057DF109" w:rsidR="006460AB" w:rsidRPr="003251D4" w:rsidRDefault="006460AB" w:rsidP="006460AB">
      <w:pPr>
        <w:pStyle w:val="ESNormal"/>
        <w:jc w:val="left"/>
        <w:rPr>
          <w:rFonts w:ascii="Times New Roman" w:hAnsi="Times New Roman" w:cs="Times New Roman"/>
          <w:sz w:val="24"/>
          <w:szCs w:val="24"/>
        </w:rPr>
      </w:pPr>
      <w:r w:rsidRPr="008D6F02">
        <w:rPr>
          <w:rFonts w:ascii="Times New Roman" w:hAnsi="Times New Roman" w:cs="Times New Roman"/>
          <w:sz w:val="24"/>
        </w:rPr>
        <w:t xml:space="preserve">The Critique’s </w:t>
      </w:r>
      <w:r w:rsidRPr="004A169D">
        <w:rPr>
          <w:rFonts w:ascii="Times New Roman" w:hAnsi="Times New Roman" w:cs="Times New Roman"/>
          <w:sz w:val="24"/>
        </w:rPr>
        <w:t>results</w:t>
      </w:r>
      <w:r w:rsidRPr="003251D4">
        <w:rPr>
          <w:rFonts w:ascii="Times New Roman" w:hAnsi="Times New Roman" w:cs="Times New Roman"/>
          <w:sz w:val="24"/>
        </w:rPr>
        <w:t xml:space="preserve"> for Population 1 with the base case assumptions, are summarised in Table </w:t>
      </w:r>
      <w:r w:rsidR="00584C7E">
        <w:rPr>
          <w:rFonts w:ascii="Times New Roman" w:hAnsi="Times New Roman" w:cs="Times New Roman"/>
          <w:sz w:val="24"/>
        </w:rPr>
        <w:t>12</w:t>
      </w:r>
      <w:r w:rsidRPr="003251D4">
        <w:rPr>
          <w:rFonts w:ascii="Times New Roman" w:hAnsi="Times New Roman" w:cs="Times New Roman"/>
          <w:sz w:val="24"/>
        </w:rPr>
        <w:t>.</w:t>
      </w:r>
      <w:r w:rsidRPr="003251D4">
        <w:rPr>
          <w:sz w:val="24"/>
        </w:rPr>
        <w:t xml:space="preserve"> </w:t>
      </w:r>
      <w:r w:rsidRPr="00EA282C">
        <w:rPr>
          <w:rFonts w:ascii="Times New Roman" w:hAnsi="Times New Roman" w:cs="Times New Roman"/>
          <w:sz w:val="24"/>
          <w:szCs w:val="24"/>
        </w:rPr>
        <w:t xml:space="preserve">The </w:t>
      </w:r>
      <w:r>
        <w:rPr>
          <w:rFonts w:ascii="Times New Roman" w:hAnsi="Times New Roman" w:cs="Times New Roman"/>
          <w:sz w:val="24"/>
          <w:szCs w:val="24"/>
        </w:rPr>
        <w:t xml:space="preserve">submission stated that the </w:t>
      </w:r>
      <w:r w:rsidRPr="00EA282C">
        <w:rPr>
          <w:rFonts w:ascii="Times New Roman" w:hAnsi="Times New Roman" w:cs="Times New Roman"/>
          <w:sz w:val="24"/>
          <w:szCs w:val="24"/>
        </w:rPr>
        <w:t xml:space="preserve">model results for </w:t>
      </w:r>
      <w:r>
        <w:rPr>
          <w:rFonts w:ascii="Times New Roman" w:hAnsi="Times New Roman" w:cs="Times New Roman"/>
          <w:sz w:val="24"/>
          <w:szCs w:val="24"/>
        </w:rPr>
        <w:t>P</w:t>
      </w:r>
      <w:r w:rsidRPr="00EA282C">
        <w:rPr>
          <w:rFonts w:ascii="Times New Roman" w:hAnsi="Times New Roman" w:cs="Times New Roman"/>
          <w:sz w:val="24"/>
          <w:szCs w:val="24"/>
        </w:rPr>
        <w:t>opulation 1 are most sensitive to device utilisation per procedure, m</w:t>
      </w:r>
      <w:r>
        <w:rPr>
          <w:rFonts w:ascii="Times New Roman" w:hAnsi="Times New Roman" w:cs="Times New Roman"/>
          <w:sz w:val="24"/>
          <w:szCs w:val="24"/>
        </w:rPr>
        <w:t>odel duration and rupture rates.</w:t>
      </w:r>
    </w:p>
    <w:p w14:paraId="3F68CE83" w14:textId="2DD80A24" w:rsidR="006460AB" w:rsidRPr="004B35C9" w:rsidRDefault="006460AB" w:rsidP="004B35C9">
      <w:pPr>
        <w:rPr>
          <w:rFonts w:ascii="Arial Narrow" w:hAnsi="Arial Narrow"/>
          <w:b/>
          <w:sz w:val="20"/>
        </w:rPr>
      </w:pPr>
      <w:bookmarkStart w:id="37" w:name="_Ref15821516"/>
      <w:bookmarkEnd w:id="29"/>
      <w:bookmarkEnd w:id="30"/>
      <w:bookmarkEnd w:id="31"/>
      <w:r w:rsidRPr="004B35C9">
        <w:rPr>
          <w:rFonts w:ascii="Arial Narrow" w:hAnsi="Arial Narrow"/>
          <w:b/>
          <w:sz w:val="20"/>
        </w:rPr>
        <w:lastRenderedPageBreak/>
        <w:t xml:space="preserve">Table </w:t>
      </w:r>
      <w:bookmarkEnd w:id="37"/>
      <w:r w:rsidR="00584C7E" w:rsidRPr="004B35C9">
        <w:rPr>
          <w:rFonts w:ascii="Arial Narrow" w:hAnsi="Arial Narrow"/>
          <w:b/>
          <w:sz w:val="20"/>
        </w:rPr>
        <w:t>12</w:t>
      </w:r>
      <w:r w:rsidRPr="004B35C9">
        <w:rPr>
          <w:rFonts w:ascii="Arial Narrow" w:hAnsi="Arial Narrow"/>
          <w:b/>
          <w:sz w:val="20"/>
        </w:rPr>
        <w:tab/>
        <w:t>Disaggregated and aggregated summary of discounted costs and discounted outcomes generated by the model presented in the SBA for Population 1</w:t>
      </w:r>
    </w:p>
    <w:tbl>
      <w:tblPr>
        <w:tblStyle w:val="TableGrid2"/>
        <w:tblW w:w="8931" w:type="dxa"/>
        <w:tblInd w:w="-5" w:type="dxa"/>
        <w:tblLayout w:type="fixed"/>
        <w:tblLook w:val="04A0" w:firstRow="1" w:lastRow="0" w:firstColumn="1" w:lastColumn="0" w:noHBand="0" w:noVBand="1"/>
        <w:tblCaption w:val="Disaggregated and aggregated summary of discounted costs and discounted outcomes generated by the model presented in the SBA for Population 1"/>
        <w:tblDescription w:val="Disaggregated and aggregated summary of discounted costs and discounted outcomes generated by the model presented in the SBA for Population 1"/>
      </w:tblPr>
      <w:tblGrid>
        <w:gridCol w:w="3969"/>
        <w:gridCol w:w="1654"/>
        <w:gridCol w:w="1654"/>
        <w:gridCol w:w="1654"/>
      </w:tblGrid>
      <w:tr w:rsidR="006460AB" w:rsidRPr="0035691E" w14:paraId="36570705" w14:textId="77777777" w:rsidTr="005610DA">
        <w:trPr>
          <w:cnfStyle w:val="100000000000" w:firstRow="1" w:lastRow="0" w:firstColumn="0" w:lastColumn="0" w:oddVBand="0" w:evenVBand="0" w:oddHBand="0" w:evenHBand="0" w:firstRowFirstColumn="0" w:firstRowLastColumn="0" w:lastRowFirstColumn="0" w:lastRowLastColumn="0"/>
          <w:tblHeader/>
        </w:trPr>
        <w:tc>
          <w:tcPr>
            <w:tcW w:w="3969" w:type="dxa"/>
          </w:tcPr>
          <w:p w14:paraId="32C7496A" w14:textId="77777777" w:rsidR="006460AB" w:rsidRPr="0035691E" w:rsidRDefault="006460AB" w:rsidP="005610DA">
            <w:pPr>
              <w:keepNext/>
              <w:spacing w:after="40"/>
              <w:jc w:val="both"/>
              <w:rPr>
                <w:rFonts w:ascii="Arial Narrow" w:hAnsi="Arial Narrow"/>
                <w:b/>
              </w:rPr>
            </w:pPr>
          </w:p>
        </w:tc>
        <w:tc>
          <w:tcPr>
            <w:tcW w:w="1654" w:type="dxa"/>
          </w:tcPr>
          <w:p w14:paraId="22582879" w14:textId="77777777" w:rsidR="006460AB" w:rsidRPr="0035691E" w:rsidRDefault="006460AB" w:rsidP="005610DA">
            <w:pPr>
              <w:keepNext/>
              <w:spacing w:after="40"/>
              <w:jc w:val="center"/>
              <w:rPr>
                <w:rFonts w:ascii="Arial Narrow" w:hAnsi="Arial Narrow"/>
                <w:b/>
              </w:rPr>
            </w:pPr>
            <w:r>
              <w:rPr>
                <w:rFonts w:ascii="Arial Narrow" w:hAnsi="Arial Narrow"/>
                <w:b/>
              </w:rPr>
              <w:t>FD arm</w:t>
            </w:r>
          </w:p>
        </w:tc>
        <w:tc>
          <w:tcPr>
            <w:tcW w:w="1654" w:type="dxa"/>
          </w:tcPr>
          <w:p w14:paraId="2B156FF1" w14:textId="77777777" w:rsidR="006460AB" w:rsidRPr="0035691E" w:rsidRDefault="006460AB" w:rsidP="005610DA">
            <w:pPr>
              <w:keepNext/>
              <w:spacing w:after="40"/>
              <w:jc w:val="center"/>
              <w:rPr>
                <w:rFonts w:ascii="Arial Narrow" w:hAnsi="Arial Narrow"/>
                <w:b/>
              </w:rPr>
            </w:pPr>
            <w:r>
              <w:rPr>
                <w:rFonts w:ascii="Arial Narrow" w:hAnsi="Arial Narrow"/>
                <w:b/>
              </w:rPr>
              <w:t>CS arm</w:t>
            </w:r>
          </w:p>
        </w:tc>
        <w:tc>
          <w:tcPr>
            <w:tcW w:w="1654" w:type="dxa"/>
          </w:tcPr>
          <w:p w14:paraId="70743D0D" w14:textId="77777777" w:rsidR="006460AB" w:rsidRPr="0035691E" w:rsidRDefault="006460AB" w:rsidP="005610DA">
            <w:pPr>
              <w:keepNext/>
              <w:spacing w:after="40"/>
              <w:jc w:val="center"/>
              <w:rPr>
                <w:rFonts w:ascii="Arial Narrow" w:hAnsi="Arial Narrow"/>
                <w:b/>
              </w:rPr>
            </w:pPr>
            <w:r>
              <w:rPr>
                <w:rFonts w:ascii="Arial Narrow" w:hAnsi="Arial Narrow"/>
                <w:b/>
              </w:rPr>
              <w:t>Increment</w:t>
            </w:r>
          </w:p>
        </w:tc>
      </w:tr>
      <w:tr w:rsidR="006460AB" w:rsidRPr="0035691E" w14:paraId="6525F084" w14:textId="77777777" w:rsidTr="005610DA">
        <w:tc>
          <w:tcPr>
            <w:tcW w:w="3969" w:type="dxa"/>
          </w:tcPr>
          <w:p w14:paraId="43B528DA" w14:textId="77777777" w:rsidR="006460AB" w:rsidRPr="00187204" w:rsidRDefault="006460AB" w:rsidP="005610DA">
            <w:pPr>
              <w:spacing w:after="40"/>
              <w:jc w:val="both"/>
              <w:rPr>
                <w:b/>
              </w:rPr>
            </w:pPr>
            <w:r w:rsidRPr="00187204">
              <w:rPr>
                <w:b/>
              </w:rPr>
              <w:t>Costs</w:t>
            </w:r>
          </w:p>
        </w:tc>
        <w:tc>
          <w:tcPr>
            <w:tcW w:w="1654" w:type="dxa"/>
          </w:tcPr>
          <w:p w14:paraId="17ED0B77" w14:textId="77777777" w:rsidR="006460AB" w:rsidRPr="0035691E" w:rsidRDefault="006460AB" w:rsidP="005610DA">
            <w:pPr>
              <w:spacing w:after="40"/>
              <w:jc w:val="center"/>
            </w:pPr>
          </w:p>
        </w:tc>
        <w:tc>
          <w:tcPr>
            <w:tcW w:w="1654" w:type="dxa"/>
          </w:tcPr>
          <w:p w14:paraId="7BDD86A7" w14:textId="77777777" w:rsidR="006460AB" w:rsidRPr="0035691E" w:rsidRDefault="006460AB" w:rsidP="005610DA">
            <w:pPr>
              <w:spacing w:after="40"/>
              <w:jc w:val="center"/>
            </w:pPr>
          </w:p>
        </w:tc>
        <w:tc>
          <w:tcPr>
            <w:tcW w:w="1654" w:type="dxa"/>
          </w:tcPr>
          <w:p w14:paraId="7C83BE3C" w14:textId="77777777" w:rsidR="006460AB" w:rsidRPr="0035691E" w:rsidRDefault="006460AB" w:rsidP="005610DA">
            <w:pPr>
              <w:spacing w:after="40"/>
              <w:jc w:val="center"/>
            </w:pPr>
          </w:p>
        </w:tc>
      </w:tr>
      <w:tr w:rsidR="006460AB" w:rsidRPr="00183E4D" w14:paraId="7FCF607A" w14:textId="77777777" w:rsidTr="005610DA">
        <w:tc>
          <w:tcPr>
            <w:tcW w:w="3969" w:type="dxa"/>
          </w:tcPr>
          <w:p w14:paraId="7B88E75E" w14:textId="77777777" w:rsidR="006460AB" w:rsidRPr="0035691E" w:rsidRDefault="006460AB" w:rsidP="005610DA">
            <w:pPr>
              <w:spacing w:after="40"/>
              <w:ind w:left="320"/>
            </w:pPr>
            <w:r>
              <w:t>Costs of initial device (including placement)</w:t>
            </w:r>
          </w:p>
        </w:tc>
        <w:tc>
          <w:tcPr>
            <w:tcW w:w="1654" w:type="dxa"/>
          </w:tcPr>
          <w:p w14:paraId="4E21052C" w14:textId="44552B62" w:rsidR="006460AB" w:rsidRPr="00183E4D" w:rsidRDefault="006460AB" w:rsidP="00C574D4">
            <w:pPr>
              <w:spacing w:after="40"/>
              <w:jc w:val="center"/>
            </w:pPr>
            <w:r w:rsidRPr="007463E8">
              <w:rPr>
                <w:i/>
              </w:rPr>
              <w:t>$</w:t>
            </w:r>
            <w:r w:rsidR="00C574D4">
              <w:rPr>
                <w:i/>
              </w:rPr>
              <w:t>redacted</w:t>
            </w:r>
          </w:p>
        </w:tc>
        <w:tc>
          <w:tcPr>
            <w:tcW w:w="1654" w:type="dxa"/>
          </w:tcPr>
          <w:p w14:paraId="63D044EB" w14:textId="126E316F" w:rsidR="006460AB" w:rsidRPr="00183E4D" w:rsidRDefault="006460AB" w:rsidP="00C574D4">
            <w:pPr>
              <w:spacing w:after="40"/>
              <w:jc w:val="center"/>
            </w:pPr>
            <w:r w:rsidRPr="007463E8">
              <w:rPr>
                <w:i/>
              </w:rPr>
              <w:t>$</w:t>
            </w:r>
            <w:r w:rsidR="00C574D4">
              <w:rPr>
                <w:i/>
              </w:rPr>
              <w:t>redacted</w:t>
            </w:r>
          </w:p>
        </w:tc>
        <w:tc>
          <w:tcPr>
            <w:tcW w:w="1654" w:type="dxa"/>
          </w:tcPr>
          <w:p w14:paraId="47F0E6B4" w14:textId="286B3935" w:rsidR="006460AB" w:rsidRPr="00183E4D" w:rsidRDefault="00C574D4" w:rsidP="00513B8C">
            <w:pPr>
              <w:spacing w:after="40"/>
              <w:jc w:val="center"/>
            </w:pPr>
            <w:r w:rsidRPr="007463E8">
              <w:rPr>
                <w:i/>
              </w:rPr>
              <w:t>$</w:t>
            </w:r>
            <w:r>
              <w:rPr>
                <w:i/>
              </w:rPr>
              <w:t>redacted</w:t>
            </w:r>
          </w:p>
        </w:tc>
      </w:tr>
      <w:tr w:rsidR="006460AB" w:rsidRPr="00183E4D" w14:paraId="38DBAF90" w14:textId="77777777" w:rsidTr="005610DA">
        <w:tc>
          <w:tcPr>
            <w:tcW w:w="3969" w:type="dxa"/>
          </w:tcPr>
          <w:p w14:paraId="51B52766" w14:textId="77777777" w:rsidR="006460AB" w:rsidRPr="0035691E" w:rsidRDefault="006460AB" w:rsidP="005610DA">
            <w:pPr>
              <w:spacing w:after="40"/>
              <w:ind w:left="320"/>
            </w:pPr>
            <w:r>
              <w:t>Costs of retreatment in patients with UIA</w:t>
            </w:r>
          </w:p>
        </w:tc>
        <w:tc>
          <w:tcPr>
            <w:tcW w:w="1654" w:type="dxa"/>
          </w:tcPr>
          <w:p w14:paraId="2DB5504B" w14:textId="347E5D7A" w:rsidR="006460AB" w:rsidRPr="00183E4D" w:rsidRDefault="006460AB" w:rsidP="00C574D4">
            <w:pPr>
              <w:spacing w:after="40"/>
              <w:jc w:val="center"/>
            </w:pPr>
            <w:r w:rsidRPr="007463E8">
              <w:rPr>
                <w:i/>
              </w:rPr>
              <w:t>$</w:t>
            </w:r>
            <w:r w:rsidR="00C574D4">
              <w:rPr>
                <w:i/>
              </w:rPr>
              <w:t>redacted</w:t>
            </w:r>
          </w:p>
        </w:tc>
        <w:tc>
          <w:tcPr>
            <w:tcW w:w="1654" w:type="dxa"/>
          </w:tcPr>
          <w:p w14:paraId="1FD617BA" w14:textId="6ED4E623" w:rsidR="006460AB" w:rsidRPr="00183E4D" w:rsidRDefault="006460AB" w:rsidP="005610DA">
            <w:pPr>
              <w:spacing w:after="40"/>
              <w:jc w:val="center"/>
            </w:pPr>
            <w:r w:rsidRPr="007463E8">
              <w:rPr>
                <w:i/>
              </w:rPr>
              <w:t>$</w:t>
            </w:r>
            <w:r w:rsidR="00C574D4">
              <w:rPr>
                <w:i/>
              </w:rPr>
              <w:t>redacted</w:t>
            </w:r>
          </w:p>
        </w:tc>
        <w:tc>
          <w:tcPr>
            <w:tcW w:w="1654" w:type="dxa"/>
          </w:tcPr>
          <w:p w14:paraId="7359032C" w14:textId="788DBE3A" w:rsidR="006460AB" w:rsidRPr="00183E4D" w:rsidRDefault="00C574D4" w:rsidP="005610DA">
            <w:pPr>
              <w:spacing w:after="40"/>
              <w:jc w:val="center"/>
            </w:pPr>
            <w:r w:rsidRPr="007463E8">
              <w:rPr>
                <w:i/>
              </w:rPr>
              <w:t>$</w:t>
            </w:r>
            <w:r>
              <w:rPr>
                <w:i/>
              </w:rPr>
              <w:t>redacted</w:t>
            </w:r>
          </w:p>
        </w:tc>
      </w:tr>
      <w:tr w:rsidR="006460AB" w:rsidRPr="00183E4D" w14:paraId="020692D9" w14:textId="77777777" w:rsidTr="005610DA">
        <w:tc>
          <w:tcPr>
            <w:tcW w:w="3969" w:type="dxa"/>
          </w:tcPr>
          <w:p w14:paraId="5EEAF576" w14:textId="77777777" w:rsidR="006460AB" w:rsidRPr="0035691E" w:rsidRDefault="006460AB" w:rsidP="005610DA">
            <w:pPr>
              <w:spacing w:after="40"/>
              <w:ind w:left="320"/>
              <w:jc w:val="both"/>
            </w:pPr>
            <w:r>
              <w:t>Costs of treating RIA</w:t>
            </w:r>
          </w:p>
        </w:tc>
        <w:tc>
          <w:tcPr>
            <w:tcW w:w="1654" w:type="dxa"/>
          </w:tcPr>
          <w:p w14:paraId="76D79B03" w14:textId="70C7BE77" w:rsidR="006460AB" w:rsidRPr="00183E4D" w:rsidRDefault="006460AB" w:rsidP="005610DA">
            <w:pPr>
              <w:spacing w:after="40"/>
              <w:jc w:val="center"/>
            </w:pPr>
            <w:r w:rsidRPr="007463E8">
              <w:rPr>
                <w:i/>
              </w:rPr>
              <w:t>$</w:t>
            </w:r>
            <w:r w:rsidR="00C574D4">
              <w:rPr>
                <w:i/>
              </w:rPr>
              <w:t>redacted</w:t>
            </w:r>
          </w:p>
        </w:tc>
        <w:tc>
          <w:tcPr>
            <w:tcW w:w="1654" w:type="dxa"/>
          </w:tcPr>
          <w:p w14:paraId="4862B88D" w14:textId="39E2BDC3" w:rsidR="006460AB" w:rsidRPr="00183E4D" w:rsidRDefault="006460AB" w:rsidP="00C574D4">
            <w:pPr>
              <w:spacing w:after="40"/>
              <w:jc w:val="center"/>
            </w:pPr>
            <w:r w:rsidRPr="007463E8">
              <w:rPr>
                <w:i/>
              </w:rPr>
              <w:t>$</w:t>
            </w:r>
            <w:r w:rsidR="00C574D4">
              <w:rPr>
                <w:i/>
              </w:rPr>
              <w:t>redacted</w:t>
            </w:r>
          </w:p>
        </w:tc>
        <w:tc>
          <w:tcPr>
            <w:tcW w:w="1654" w:type="dxa"/>
          </w:tcPr>
          <w:p w14:paraId="0E4ED9CF" w14:textId="4A96B649" w:rsidR="006460AB" w:rsidRPr="00D762D5" w:rsidRDefault="00C574D4" w:rsidP="005610DA">
            <w:pPr>
              <w:spacing w:after="40"/>
              <w:jc w:val="center"/>
              <w:rPr>
                <w:color w:val="FF0000"/>
              </w:rPr>
            </w:pPr>
            <w:r w:rsidRPr="007463E8">
              <w:rPr>
                <w:i/>
              </w:rPr>
              <w:t>$</w:t>
            </w:r>
            <w:r>
              <w:rPr>
                <w:i/>
              </w:rPr>
              <w:t>redacted</w:t>
            </w:r>
          </w:p>
        </w:tc>
      </w:tr>
      <w:tr w:rsidR="006460AB" w:rsidRPr="00183E4D" w14:paraId="080F2F26" w14:textId="77777777" w:rsidTr="005610DA">
        <w:tc>
          <w:tcPr>
            <w:tcW w:w="3969" w:type="dxa"/>
          </w:tcPr>
          <w:p w14:paraId="513C4E98" w14:textId="77777777" w:rsidR="006460AB" w:rsidRPr="0035691E" w:rsidRDefault="006460AB" w:rsidP="005610DA">
            <w:pPr>
              <w:spacing w:after="40"/>
              <w:ind w:left="320"/>
              <w:jc w:val="both"/>
            </w:pPr>
            <w:r>
              <w:t>Costs of retreating RIA</w:t>
            </w:r>
          </w:p>
        </w:tc>
        <w:tc>
          <w:tcPr>
            <w:tcW w:w="1654" w:type="dxa"/>
          </w:tcPr>
          <w:p w14:paraId="11A00D2B" w14:textId="12DBDD33" w:rsidR="006460AB" w:rsidRPr="00183E4D" w:rsidRDefault="006460AB" w:rsidP="005610DA">
            <w:pPr>
              <w:spacing w:after="40"/>
              <w:jc w:val="center"/>
            </w:pPr>
            <w:r w:rsidRPr="007463E8">
              <w:rPr>
                <w:i/>
              </w:rPr>
              <w:t>$</w:t>
            </w:r>
            <w:r w:rsidR="00C574D4">
              <w:rPr>
                <w:i/>
              </w:rPr>
              <w:t>redacted</w:t>
            </w:r>
          </w:p>
        </w:tc>
        <w:tc>
          <w:tcPr>
            <w:tcW w:w="1654" w:type="dxa"/>
          </w:tcPr>
          <w:p w14:paraId="4425DCF9" w14:textId="17C1965E" w:rsidR="006460AB" w:rsidRPr="00183E4D" w:rsidRDefault="006460AB" w:rsidP="00C574D4">
            <w:pPr>
              <w:spacing w:after="40"/>
              <w:jc w:val="center"/>
            </w:pPr>
            <w:r w:rsidRPr="007463E8">
              <w:rPr>
                <w:i/>
              </w:rPr>
              <w:t>$</w:t>
            </w:r>
            <w:r w:rsidR="00C574D4">
              <w:rPr>
                <w:i/>
              </w:rPr>
              <w:t>redacted</w:t>
            </w:r>
          </w:p>
        </w:tc>
        <w:tc>
          <w:tcPr>
            <w:tcW w:w="1654" w:type="dxa"/>
          </w:tcPr>
          <w:p w14:paraId="7B9B18B1" w14:textId="78B24765" w:rsidR="006460AB" w:rsidRPr="00D762D5" w:rsidRDefault="00C574D4" w:rsidP="005610DA">
            <w:pPr>
              <w:spacing w:after="40"/>
              <w:jc w:val="center"/>
              <w:rPr>
                <w:color w:val="FF0000"/>
              </w:rPr>
            </w:pPr>
            <w:r w:rsidRPr="007463E8">
              <w:rPr>
                <w:i/>
              </w:rPr>
              <w:t>$</w:t>
            </w:r>
            <w:r>
              <w:rPr>
                <w:i/>
              </w:rPr>
              <w:t>redacted</w:t>
            </w:r>
          </w:p>
        </w:tc>
      </w:tr>
      <w:tr w:rsidR="006460AB" w:rsidRPr="00183E4D" w14:paraId="556BA959" w14:textId="77777777" w:rsidTr="005610DA">
        <w:tc>
          <w:tcPr>
            <w:tcW w:w="3969" w:type="dxa"/>
          </w:tcPr>
          <w:p w14:paraId="49906732" w14:textId="77777777" w:rsidR="006460AB" w:rsidRDefault="006460AB" w:rsidP="005610DA">
            <w:pPr>
              <w:spacing w:after="40"/>
              <w:ind w:left="320"/>
              <w:jc w:val="both"/>
            </w:pPr>
            <w:r>
              <w:t xml:space="preserve">Costs of treating </w:t>
            </w:r>
            <w:proofErr w:type="spellStart"/>
            <w:r>
              <w:t>rerupture</w:t>
            </w:r>
            <w:proofErr w:type="spellEnd"/>
          </w:p>
        </w:tc>
        <w:tc>
          <w:tcPr>
            <w:tcW w:w="1654" w:type="dxa"/>
          </w:tcPr>
          <w:p w14:paraId="43D3D151" w14:textId="6A69F72F" w:rsidR="006460AB" w:rsidRDefault="006460AB" w:rsidP="005610DA">
            <w:pPr>
              <w:spacing w:after="40"/>
              <w:jc w:val="center"/>
            </w:pPr>
            <w:r w:rsidRPr="007463E8">
              <w:rPr>
                <w:i/>
              </w:rPr>
              <w:t>$</w:t>
            </w:r>
            <w:r w:rsidR="00C574D4">
              <w:rPr>
                <w:i/>
              </w:rPr>
              <w:t>redacted</w:t>
            </w:r>
          </w:p>
        </w:tc>
        <w:tc>
          <w:tcPr>
            <w:tcW w:w="1654" w:type="dxa"/>
          </w:tcPr>
          <w:p w14:paraId="3011D656" w14:textId="7E3CABE6" w:rsidR="006460AB" w:rsidRDefault="006460AB" w:rsidP="005610DA">
            <w:pPr>
              <w:spacing w:after="40"/>
              <w:jc w:val="center"/>
            </w:pPr>
            <w:r w:rsidRPr="007463E8">
              <w:rPr>
                <w:i/>
              </w:rPr>
              <w:t>$</w:t>
            </w:r>
            <w:r w:rsidR="00C574D4">
              <w:rPr>
                <w:i/>
              </w:rPr>
              <w:t>redacted</w:t>
            </w:r>
          </w:p>
        </w:tc>
        <w:tc>
          <w:tcPr>
            <w:tcW w:w="1654" w:type="dxa"/>
          </w:tcPr>
          <w:p w14:paraId="375866C7" w14:textId="789B90FC" w:rsidR="006460AB" w:rsidRPr="00D762D5" w:rsidRDefault="00C574D4" w:rsidP="005610DA">
            <w:pPr>
              <w:spacing w:after="40"/>
              <w:jc w:val="center"/>
              <w:rPr>
                <w:color w:val="FF0000"/>
              </w:rPr>
            </w:pPr>
            <w:r w:rsidRPr="007463E8">
              <w:rPr>
                <w:i/>
              </w:rPr>
              <w:t>$</w:t>
            </w:r>
            <w:r>
              <w:rPr>
                <w:i/>
              </w:rPr>
              <w:t>redacted</w:t>
            </w:r>
          </w:p>
        </w:tc>
      </w:tr>
      <w:tr w:rsidR="006460AB" w:rsidRPr="006F37C1" w14:paraId="5A69B370" w14:textId="77777777" w:rsidTr="005610DA">
        <w:tc>
          <w:tcPr>
            <w:tcW w:w="3969" w:type="dxa"/>
          </w:tcPr>
          <w:p w14:paraId="1E4C98FF" w14:textId="77777777" w:rsidR="006460AB" w:rsidRDefault="006460AB" w:rsidP="005610DA">
            <w:pPr>
              <w:spacing w:after="40"/>
              <w:ind w:left="320"/>
              <w:jc w:val="both"/>
            </w:pPr>
            <w:r>
              <w:t>Costs associated with management of patients in the UIA: complete occlusion health state</w:t>
            </w:r>
          </w:p>
        </w:tc>
        <w:tc>
          <w:tcPr>
            <w:tcW w:w="1654" w:type="dxa"/>
            <w:vAlign w:val="center"/>
          </w:tcPr>
          <w:p w14:paraId="7B96240F" w14:textId="03160C43" w:rsidR="006460AB" w:rsidRDefault="006460AB" w:rsidP="00C574D4">
            <w:pPr>
              <w:spacing w:after="40"/>
              <w:jc w:val="center"/>
            </w:pPr>
            <w:r w:rsidRPr="007463E8">
              <w:rPr>
                <w:i/>
              </w:rPr>
              <w:t>$</w:t>
            </w:r>
            <w:r w:rsidR="00C574D4">
              <w:rPr>
                <w:i/>
              </w:rPr>
              <w:t>redacted</w:t>
            </w:r>
          </w:p>
        </w:tc>
        <w:tc>
          <w:tcPr>
            <w:tcW w:w="1654" w:type="dxa"/>
            <w:vAlign w:val="center"/>
          </w:tcPr>
          <w:p w14:paraId="49F240D8" w14:textId="7FE10B6D" w:rsidR="006460AB" w:rsidRDefault="006460AB" w:rsidP="005610DA">
            <w:pPr>
              <w:spacing w:after="40"/>
              <w:jc w:val="center"/>
            </w:pPr>
            <w:r w:rsidRPr="007463E8">
              <w:rPr>
                <w:i/>
              </w:rPr>
              <w:t>$</w:t>
            </w:r>
            <w:r w:rsidR="00C574D4">
              <w:rPr>
                <w:i/>
              </w:rPr>
              <w:t>redacted</w:t>
            </w:r>
          </w:p>
        </w:tc>
        <w:tc>
          <w:tcPr>
            <w:tcW w:w="1654" w:type="dxa"/>
            <w:vAlign w:val="center"/>
          </w:tcPr>
          <w:p w14:paraId="6DAE7FCC" w14:textId="7780516D" w:rsidR="006460AB" w:rsidRPr="006F37C1" w:rsidRDefault="006460AB" w:rsidP="005610DA">
            <w:pPr>
              <w:spacing w:after="40"/>
              <w:jc w:val="center"/>
              <w:rPr>
                <w:color w:val="000000" w:themeColor="text1"/>
              </w:rPr>
            </w:pPr>
            <w:r w:rsidRPr="007463E8">
              <w:rPr>
                <w:i/>
                <w:color w:val="000000" w:themeColor="text1"/>
              </w:rPr>
              <w:t>$</w:t>
            </w:r>
            <w:r w:rsidR="00C574D4">
              <w:rPr>
                <w:i/>
              </w:rPr>
              <w:t>redacted</w:t>
            </w:r>
          </w:p>
        </w:tc>
      </w:tr>
      <w:tr w:rsidR="006460AB" w:rsidRPr="00183E4D" w14:paraId="3A079617" w14:textId="77777777" w:rsidTr="005610DA">
        <w:tc>
          <w:tcPr>
            <w:tcW w:w="3969" w:type="dxa"/>
          </w:tcPr>
          <w:p w14:paraId="2415B31F" w14:textId="77777777" w:rsidR="006460AB" w:rsidRDefault="006460AB" w:rsidP="005610DA">
            <w:pPr>
              <w:spacing w:after="40"/>
              <w:ind w:left="320"/>
              <w:jc w:val="both"/>
            </w:pPr>
            <w:r>
              <w:t>Costs associated with management of patients in the UIA: complete occlusion health state</w:t>
            </w:r>
          </w:p>
        </w:tc>
        <w:tc>
          <w:tcPr>
            <w:tcW w:w="1654" w:type="dxa"/>
            <w:vAlign w:val="center"/>
          </w:tcPr>
          <w:p w14:paraId="6F856129" w14:textId="10C0CB0C" w:rsidR="006460AB" w:rsidRDefault="006460AB" w:rsidP="00C574D4">
            <w:pPr>
              <w:spacing w:after="40"/>
              <w:jc w:val="center"/>
            </w:pPr>
            <w:r w:rsidRPr="007463E8">
              <w:rPr>
                <w:i/>
              </w:rPr>
              <w:t>$</w:t>
            </w:r>
            <w:r w:rsidR="00C574D4">
              <w:rPr>
                <w:i/>
              </w:rPr>
              <w:t>redacted</w:t>
            </w:r>
          </w:p>
        </w:tc>
        <w:tc>
          <w:tcPr>
            <w:tcW w:w="1654" w:type="dxa"/>
            <w:vAlign w:val="center"/>
          </w:tcPr>
          <w:p w14:paraId="6AED44DF" w14:textId="4F3A35FE" w:rsidR="006460AB" w:rsidRDefault="006460AB" w:rsidP="00513B8C">
            <w:pPr>
              <w:spacing w:after="40"/>
              <w:jc w:val="center"/>
            </w:pPr>
            <w:r w:rsidRPr="007463E8">
              <w:rPr>
                <w:i/>
              </w:rPr>
              <w:t>$</w:t>
            </w:r>
            <w:r w:rsidR="00C574D4">
              <w:rPr>
                <w:i/>
              </w:rPr>
              <w:t>redacted</w:t>
            </w:r>
          </w:p>
        </w:tc>
        <w:tc>
          <w:tcPr>
            <w:tcW w:w="1654" w:type="dxa"/>
            <w:vAlign w:val="center"/>
          </w:tcPr>
          <w:p w14:paraId="2B781D44" w14:textId="073638AE" w:rsidR="006460AB" w:rsidRPr="00D762D5" w:rsidRDefault="00C574D4" w:rsidP="005610DA">
            <w:pPr>
              <w:spacing w:after="40"/>
              <w:jc w:val="center"/>
              <w:rPr>
                <w:color w:val="FF0000"/>
              </w:rPr>
            </w:pPr>
            <w:r w:rsidRPr="007463E8">
              <w:rPr>
                <w:i/>
              </w:rPr>
              <w:t>$</w:t>
            </w:r>
            <w:r>
              <w:rPr>
                <w:i/>
              </w:rPr>
              <w:t>redacted</w:t>
            </w:r>
          </w:p>
        </w:tc>
      </w:tr>
      <w:tr w:rsidR="006460AB" w:rsidRPr="00183E4D" w14:paraId="57CE4353" w14:textId="77777777" w:rsidTr="005610DA">
        <w:tc>
          <w:tcPr>
            <w:tcW w:w="3969" w:type="dxa"/>
          </w:tcPr>
          <w:p w14:paraId="5015C8C5" w14:textId="77777777" w:rsidR="006460AB" w:rsidRDefault="006460AB" w:rsidP="005610DA">
            <w:pPr>
              <w:spacing w:after="40"/>
              <w:ind w:left="320"/>
              <w:jc w:val="both"/>
            </w:pPr>
            <w:r>
              <w:t>Costs associated with management of patients in the RIA: non-disabling rupture health state</w:t>
            </w:r>
          </w:p>
        </w:tc>
        <w:tc>
          <w:tcPr>
            <w:tcW w:w="1654" w:type="dxa"/>
            <w:vAlign w:val="center"/>
          </w:tcPr>
          <w:p w14:paraId="6EC4144A" w14:textId="462911CD" w:rsidR="006460AB" w:rsidRDefault="006460AB" w:rsidP="005610DA">
            <w:pPr>
              <w:spacing w:after="40"/>
              <w:jc w:val="center"/>
            </w:pPr>
            <w:r w:rsidRPr="007463E8">
              <w:rPr>
                <w:i/>
              </w:rPr>
              <w:t>$</w:t>
            </w:r>
            <w:r w:rsidR="00C574D4">
              <w:rPr>
                <w:i/>
              </w:rPr>
              <w:t>redacted</w:t>
            </w:r>
          </w:p>
        </w:tc>
        <w:tc>
          <w:tcPr>
            <w:tcW w:w="1654" w:type="dxa"/>
            <w:vAlign w:val="center"/>
          </w:tcPr>
          <w:p w14:paraId="734B5C35" w14:textId="309CADDB" w:rsidR="006460AB" w:rsidRDefault="006460AB" w:rsidP="00C574D4">
            <w:pPr>
              <w:spacing w:after="40"/>
              <w:jc w:val="center"/>
            </w:pPr>
            <w:r w:rsidRPr="007463E8">
              <w:rPr>
                <w:i/>
              </w:rPr>
              <w:t>$</w:t>
            </w:r>
            <w:r w:rsidR="00C574D4">
              <w:rPr>
                <w:i/>
              </w:rPr>
              <w:t>redacted</w:t>
            </w:r>
          </w:p>
        </w:tc>
        <w:tc>
          <w:tcPr>
            <w:tcW w:w="1654" w:type="dxa"/>
            <w:vAlign w:val="center"/>
          </w:tcPr>
          <w:p w14:paraId="2D1D4AE0" w14:textId="05C66FDF" w:rsidR="006460AB" w:rsidRPr="00D762D5" w:rsidRDefault="00C574D4" w:rsidP="005610DA">
            <w:pPr>
              <w:spacing w:after="40"/>
              <w:jc w:val="center"/>
              <w:rPr>
                <w:color w:val="FF0000"/>
              </w:rPr>
            </w:pPr>
            <w:r w:rsidRPr="007463E8">
              <w:rPr>
                <w:i/>
              </w:rPr>
              <w:t>$</w:t>
            </w:r>
            <w:r>
              <w:rPr>
                <w:i/>
              </w:rPr>
              <w:t>redacted</w:t>
            </w:r>
          </w:p>
        </w:tc>
      </w:tr>
      <w:tr w:rsidR="006460AB" w:rsidRPr="00183E4D" w14:paraId="45B55546" w14:textId="77777777" w:rsidTr="005610DA">
        <w:tc>
          <w:tcPr>
            <w:tcW w:w="3969" w:type="dxa"/>
          </w:tcPr>
          <w:p w14:paraId="1EF999BA" w14:textId="77777777" w:rsidR="006460AB" w:rsidRDefault="006460AB" w:rsidP="005610DA">
            <w:pPr>
              <w:spacing w:after="40"/>
              <w:ind w:left="320"/>
              <w:jc w:val="both"/>
            </w:pPr>
            <w:r>
              <w:t>Costs associated with management of patients in the RIA: disabling rupture health state</w:t>
            </w:r>
          </w:p>
        </w:tc>
        <w:tc>
          <w:tcPr>
            <w:tcW w:w="1654" w:type="dxa"/>
            <w:vAlign w:val="center"/>
          </w:tcPr>
          <w:p w14:paraId="688B2E7D" w14:textId="28BE722A" w:rsidR="006460AB" w:rsidRDefault="006460AB" w:rsidP="005610DA">
            <w:pPr>
              <w:spacing w:after="40"/>
              <w:jc w:val="center"/>
            </w:pPr>
            <w:r w:rsidRPr="007463E8">
              <w:rPr>
                <w:i/>
              </w:rPr>
              <w:t>$</w:t>
            </w:r>
            <w:r w:rsidR="00C574D4">
              <w:rPr>
                <w:i/>
              </w:rPr>
              <w:t>redacted</w:t>
            </w:r>
          </w:p>
        </w:tc>
        <w:tc>
          <w:tcPr>
            <w:tcW w:w="1654" w:type="dxa"/>
            <w:vAlign w:val="center"/>
          </w:tcPr>
          <w:p w14:paraId="3E835AE9" w14:textId="2D2E78EB" w:rsidR="006460AB" w:rsidRDefault="006460AB" w:rsidP="005610DA">
            <w:pPr>
              <w:spacing w:after="40"/>
              <w:jc w:val="center"/>
            </w:pPr>
            <w:r w:rsidRPr="007463E8">
              <w:rPr>
                <w:i/>
              </w:rPr>
              <w:t>$</w:t>
            </w:r>
            <w:r w:rsidR="00C574D4">
              <w:rPr>
                <w:i/>
              </w:rPr>
              <w:t>redacted</w:t>
            </w:r>
          </w:p>
        </w:tc>
        <w:tc>
          <w:tcPr>
            <w:tcW w:w="1654" w:type="dxa"/>
            <w:vAlign w:val="center"/>
          </w:tcPr>
          <w:p w14:paraId="50436CE4" w14:textId="6AE1AA08" w:rsidR="006460AB" w:rsidRPr="00D762D5" w:rsidRDefault="00C574D4" w:rsidP="005610DA">
            <w:pPr>
              <w:spacing w:after="40"/>
              <w:jc w:val="center"/>
              <w:rPr>
                <w:color w:val="FF0000"/>
              </w:rPr>
            </w:pPr>
            <w:r w:rsidRPr="007463E8">
              <w:rPr>
                <w:i/>
              </w:rPr>
              <w:t>$</w:t>
            </w:r>
            <w:r>
              <w:rPr>
                <w:i/>
              </w:rPr>
              <w:t>redacted</w:t>
            </w:r>
          </w:p>
        </w:tc>
      </w:tr>
      <w:tr w:rsidR="006460AB" w:rsidRPr="00183E4D" w14:paraId="26BD2675" w14:textId="77777777" w:rsidTr="005610DA">
        <w:tc>
          <w:tcPr>
            <w:tcW w:w="3969" w:type="dxa"/>
          </w:tcPr>
          <w:p w14:paraId="58952E3A" w14:textId="77777777" w:rsidR="006460AB" w:rsidRPr="00F344D6" w:rsidRDefault="006460AB" w:rsidP="005610DA">
            <w:pPr>
              <w:spacing w:after="40"/>
              <w:ind w:left="567"/>
              <w:jc w:val="right"/>
              <w:rPr>
                <w:b/>
              </w:rPr>
            </w:pPr>
            <w:r w:rsidRPr="00F344D6">
              <w:rPr>
                <w:b/>
              </w:rPr>
              <w:t xml:space="preserve">Total </w:t>
            </w:r>
            <w:r>
              <w:rPr>
                <w:b/>
              </w:rPr>
              <w:t xml:space="preserve">discounted </w:t>
            </w:r>
            <w:r w:rsidRPr="00F344D6">
              <w:rPr>
                <w:b/>
              </w:rPr>
              <w:t>costs</w:t>
            </w:r>
            <w:r>
              <w:rPr>
                <w:b/>
              </w:rPr>
              <w:t xml:space="preserve"> over 43 years</w:t>
            </w:r>
          </w:p>
        </w:tc>
        <w:tc>
          <w:tcPr>
            <w:tcW w:w="1654" w:type="dxa"/>
            <w:vAlign w:val="center"/>
          </w:tcPr>
          <w:p w14:paraId="6E1B5211" w14:textId="6E44ECDD" w:rsidR="006460AB" w:rsidRPr="00187204" w:rsidRDefault="006460AB" w:rsidP="005610DA">
            <w:pPr>
              <w:spacing w:after="40"/>
              <w:jc w:val="center"/>
              <w:rPr>
                <w:b/>
              </w:rPr>
            </w:pPr>
            <w:r w:rsidRPr="007463E8">
              <w:rPr>
                <w:b/>
                <w:i/>
              </w:rPr>
              <w:t>$</w:t>
            </w:r>
            <w:r w:rsidR="00C574D4">
              <w:rPr>
                <w:b/>
                <w:i/>
                <w:color w:val="000000" w:themeColor="text1"/>
              </w:rPr>
              <w:t>redacted</w:t>
            </w:r>
          </w:p>
        </w:tc>
        <w:tc>
          <w:tcPr>
            <w:tcW w:w="1654" w:type="dxa"/>
            <w:vAlign w:val="center"/>
          </w:tcPr>
          <w:p w14:paraId="29283EB4" w14:textId="653FD324" w:rsidR="006460AB" w:rsidRPr="00187204" w:rsidRDefault="006460AB" w:rsidP="00C574D4">
            <w:pPr>
              <w:spacing w:after="40"/>
              <w:jc w:val="center"/>
              <w:rPr>
                <w:b/>
              </w:rPr>
            </w:pPr>
            <w:r w:rsidRPr="007463E8">
              <w:rPr>
                <w:b/>
                <w:i/>
              </w:rPr>
              <w:t>$</w:t>
            </w:r>
            <w:r w:rsidR="00C574D4">
              <w:rPr>
                <w:b/>
                <w:i/>
                <w:color w:val="000000" w:themeColor="text1"/>
              </w:rPr>
              <w:t>redacted</w:t>
            </w:r>
          </w:p>
        </w:tc>
        <w:tc>
          <w:tcPr>
            <w:tcW w:w="1654" w:type="dxa"/>
            <w:vAlign w:val="center"/>
          </w:tcPr>
          <w:p w14:paraId="07FA41DB" w14:textId="5C940BD4" w:rsidR="006460AB" w:rsidRPr="00187204" w:rsidRDefault="006460AB" w:rsidP="00513B8C">
            <w:pPr>
              <w:spacing w:after="40"/>
              <w:jc w:val="center"/>
              <w:rPr>
                <w:b/>
                <w:color w:val="000000" w:themeColor="text1"/>
              </w:rPr>
            </w:pPr>
            <w:r w:rsidRPr="007463E8">
              <w:rPr>
                <w:b/>
                <w:i/>
                <w:color w:val="000000" w:themeColor="text1"/>
              </w:rPr>
              <w:t>$</w:t>
            </w:r>
            <w:r w:rsidR="00C574D4">
              <w:rPr>
                <w:b/>
                <w:i/>
                <w:color w:val="000000" w:themeColor="text1"/>
              </w:rPr>
              <w:t>redacted</w:t>
            </w:r>
          </w:p>
        </w:tc>
      </w:tr>
      <w:tr w:rsidR="006460AB" w:rsidRPr="0035691E" w14:paraId="3A227ED1" w14:textId="77777777" w:rsidTr="005610DA">
        <w:tc>
          <w:tcPr>
            <w:tcW w:w="3969" w:type="dxa"/>
          </w:tcPr>
          <w:p w14:paraId="41791D50" w14:textId="77777777" w:rsidR="006460AB" w:rsidRPr="00187204" w:rsidRDefault="006460AB" w:rsidP="005610DA">
            <w:pPr>
              <w:spacing w:after="40"/>
              <w:jc w:val="both"/>
              <w:rPr>
                <w:b/>
              </w:rPr>
            </w:pPr>
            <w:r>
              <w:rPr>
                <w:b/>
              </w:rPr>
              <w:t>Outcomes</w:t>
            </w:r>
          </w:p>
        </w:tc>
        <w:tc>
          <w:tcPr>
            <w:tcW w:w="1654" w:type="dxa"/>
          </w:tcPr>
          <w:p w14:paraId="5E66527D" w14:textId="77777777" w:rsidR="006460AB" w:rsidRPr="0035691E" w:rsidRDefault="006460AB" w:rsidP="005610DA">
            <w:pPr>
              <w:spacing w:after="40"/>
              <w:jc w:val="center"/>
            </w:pPr>
          </w:p>
        </w:tc>
        <w:tc>
          <w:tcPr>
            <w:tcW w:w="1654" w:type="dxa"/>
          </w:tcPr>
          <w:p w14:paraId="167769BE" w14:textId="77777777" w:rsidR="006460AB" w:rsidRPr="0035691E" w:rsidRDefault="006460AB" w:rsidP="005610DA">
            <w:pPr>
              <w:spacing w:after="40"/>
              <w:jc w:val="center"/>
            </w:pPr>
          </w:p>
        </w:tc>
        <w:tc>
          <w:tcPr>
            <w:tcW w:w="1654" w:type="dxa"/>
          </w:tcPr>
          <w:p w14:paraId="7E2059D0" w14:textId="77777777" w:rsidR="006460AB" w:rsidRPr="0035691E" w:rsidRDefault="006460AB" w:rsidP="005610DA">
            <w:pPr>
              <w:spacing w:after="40"/>
              <w:jc w:val="center"/>
            </w:pPr>
          </w:p>
        </w:tc>
      </w:tr>
      <w:tr w:rsidR="006460AB" w:rsidRPr="00183E4D" w14:paraId="7B532642" w14:textId="77777777" w:rsidTr="005610DA">
        <w:tc>
          <w:tcPr>
            <w:tcW w:w="3969" w:type="dxa"/>
          </w:tcPr>
          <w:p w14:paraId="5867F450" w14:textId="77777777" w:rsidR="006460AB" w:rsidRPr="0035691E" w:rsidRDefault="006460AB" w:rsidP="005610DA">
            <w:pPr>
              <w:spacing w:after="40"/>
              <w:ind w:left="320"/>
            </w:pPr>
            <w:r>
              <w:t>Total discounted life-years over 43 years</w:t>
            </w:r>
          </w:p>
        </w:tc>
        <w:tc>
          <w:tcPr>
            <w:tcW w:w="1654" w:type="dxa"/>
          </w:tcPr>
          <w:p w14:paraId="2714797B" w14:textId="3696B89B" w:rsidR="006460AB" w:rsidRPr="00183E4D" w:rsidRDefault="00C574D4" w:rsidP="005610DA">
            <w:pPr>
              <w:spacing w:after="40"/>
              <w:jc w:val="center"/>
            </w:pPr>
            <w:r>
              <w:rPr>
                <w:i/>
              </w:rPr>
              <w:t>redacted</w:t>
            </w:r>
          </w:p>
        </w:tc>
        <w:tc>
          <w:tcPr>
            <w:tcW w:w="1654" w:type="dxa"/>
          </w:tcPr>
          <w:p w14:paraId="5785240C" w14:textId="4F34DE0F" w:rsidR="006460AB" w:rsidRPr="00183E4D" w:rsidRDefault="00C574D4" w:rsidP="005610DA">
            <w:pPr>
              <w:spacing w:after="40"/>
              <w:jc w:val="center"/>
            </w:pPr>
            <w:r>
              <w:rPr>
                <w:i/>
              </w:rPr>
              <w:t>redacted</w:t>
            </w:r>
          </w:p>
        </w:tc>
        <w:tc>
          <w:tcPr>
            <w:tcW w:w="1654" w:type="dxa"/>
          </w:tcPr>
          <w:p w14:paraId="29C4BB53" w14:textId="3A37D7CA" w:rsidR="006460AB" w:rsidRPr="00183E4D" w:rsidRDefault="00C574D4" w:rsidP="005610DA">
            <w:pPr>
              <w:spacing w:after="40"/>
              <w:jc w:val="center"/>
            </w:pPr>
            <w:r>
              <w:rPr>
                <w:i/>
              </w:rPr>
              <w:t>redacted</w:t>
            </w:r>
          </w:p>
        </w:tc>
      </w:tr>
      <w:tr w:rsidR="006460AB" w:rsidRPr="00183E4D" w14:paraId="6C2775DE" w14:textId="77777777" w:rsidTr="005610DA">
        <w:tc>
          <w:tcPr>
            <w:tcW w:w="7277" w:type="dxa"/>
            <w:gridSpan w:val="3"/>
            <w:vAlign w:val="center"/>
          </w:tcPr>
          <w:p w14:paraId="3FEF9A47" w14:textId="77777777" w:rsidR="006460AB" w:rsidRPr="00187204" w:rsidRDefault="006460AB" w:rsidP="005610DA">
            <w:pPr>
              <w:spacing w:after="40"/>
              <w:jc w:val="right"/>
              <w:rPr>
                <w:b/>
              </w:rPr>
            </w:pPr>
            <w:r>
              <w:rPr>
                <w:b/>
              </w:rPr>
              <w:t>Incremental cost per life-year gained over 43 years</w:t>
            </w:r>
          </w:p>
        </w:tc>
        <w:tc>
          <w:tcPr>
            <w:tcW w:w="1654" w:type="dxa"/>
            <w:vAlign w:val="center"/>
          </w:tcPr>
          <w:p w14:paraId="65FE69A3" w14:textId="0B5E4145" w:rsidR="006460AB" w:rsidRPr="00187204" w:rsidRDefault="006460AB" w:rsidP="00C574D4">
            <w:pPr>
              <w:spacing w:after="40"/>
              <w:jc w:val="center"/>
              <w:rPr>
                <w:b/>
                <w:color w:val="000000" w:themeColor="text1"/>
              </w:rPr>
            </w:pPr>
            <w:r w:rsidRPr="007463E8">
              <w:rPr>
                <w:b/>
                <w:i/>
                <w:color w:val="000000" w:themeColor="text1"/>
              </w:rPr>
              <w:t>$</w:t>
            </w:r>
            <w:r w:rsidR="00C574D4">
              <w:rPr>
                <w:b/>
                <w:i/>
                <w:color w:val="000000" w:themeColor="text1"/>
              </w:rPr>
              <w:t>redacted</w:t>
            </w:r>
          </w:p>
        </w:tc>
      </w:tr>
      <w:tr w:rsidR="006460AB" w:rsidRPr="00183E4D" w14:paraId="0059D2EB" w14:textId="77777777" w:rsidTr="005610DA">
        <w:tc>
          <w:tcPr>
            <w:tcW w:w="3969" w:type="dxa"/>
          </w:tcPr>
          <w:p w14:paraId="40E1B5D1" w14:textId="77777777" w:rsidR="006460AB" w:rsidRPr="0035691E" w:rsidRDefault="006460AB" w:rsidP="005610DA">
            <w:pPr>
              <w:spacing w:after="40"/>
              <w:ind w:left="320"/>
            </w:pPr>
            <w:r>
              <w:t>Total discounted QALYs over 43 years</w:t>
            </w:r>
          </w:p>
        </w:tc>
        <w:tc>
          <w:tcPr>
            <w:tcW w:w="1654" w:type="dxa"/>
          </w:tcPr>
          <w:p w14:paraId="2E08E99F" w14:textId="39FAA239" w:rsidR="006460AB" w:rsidRPr="00183E4D" w:rsidRDefault="00C574D4" w:rsidP="005610DA">
            <w:pPr>
              <w:spacing w:after="40"/>
              <w:jc w:val="center"/>
            </w:pPr>
            <w:r>
              <w:rPr>
                <w:i/>
              </w:rPr>
              <w:t>redacted</w:t>
            </w:r>
          </w:p>
        </w:tc>
        <w:tc>
          <w:tcPr>
            <w:tcW w:w="1654" w:type="dxa"/>
          </w:tcPr>
          <w:p w14:paraId="26F7324F" w14:textId="5F2E3A59" w:rsidR="006460AB" w:rsidRPr="00183E4D" w:rsidRDefault="00C574D4" w:rsidP="005610DA">
            <w:pPr>
              <w:spacing w:after="40"/>
              <w:jc w:val="center"/>
            </w:pPr>
            <w:r>
              <w:rPr>
                <w:i/>
              </w:rPr>
              <w:t>redacted</w:t>
            </w:r>
          </w:p>
        </w:tc>
        <w:tc>
          <w:tcPr>
            <w:tcW w:w="1654" w:type="dxa"/>
          </w:tcPr>
          <w:p w14:paraId="7451C75B" w14:textId="0B8159C7" w:rsidR="006460AB" w:rsidRPr="00183E4D" w:rsidRDefault="00C574D4" w:rsidP="005610DA">
            <w:pPr>
              <w:spacing w:after="40"/>
              <w:jc w:val="center"/>
            </w:pPr>
            <w:r>
              <w:rPr>
                <w:i/>
              </w:rPr>
              <w:t>redacted</w:t>
            </w:r>
          </w:p>
        </w:tc>
      </w:tr>
      <w:tr w:rsidR="006460AB" w:rsidRPr="00183E4D" w14:paraId="480AC30C" w14:textId="77777777" w:rsidTr="005610DA">
        <w:tc>
          <w:tcPr>
            <w:tcW w:w="7277" w:type="dxa"/>
            <w:gridSpan w:val="3"/>
            <w:vAlign w:val="center"/>
          </w:tcPr>
          <w:p w14:paraId="10FD215E" w14:textId="77777777" w:rsidR="006460AB" w:rsidRPr="00187204" w:rsidRDefault="006460AB" w:rsidP="005610DA">
            <w:pPr>
              <w:spacing w:after="40"/>
              <w:jc w:val="right"/>
              <w:rPr>
                <w:b/>
              </w:rPr>
            </w:pPr>
            <w:r>
              <w:rPr>
                <w:b/>
              </w:rPr>
              <w:t>Incremental cost per QALY gained over 43 years</w:t>
            </w:r>
          </w:p>
        </w:tc>
        <w:tc>
          <w:tcPr>
            <w:tcW w:w="1654" w:type="dxa"/>
            <w:vAlign w:val="center"/>
          </w:tcPr>
          <w:p w14:paraId="59F5DC21" w14:textId="7C5DDAEA" w:rsidR="006460AB" w:rsidRPr="00187204" w:rsidRDefault="006460AB" w:rsidP="00C574D4">
            <w:pPr>
              <w:spacing w:after="40"/>
              <w:jc w:val="center"/>
              <w:rPr>
                <w:b/>
                <w:color w:val="000000" w:themeColor="text1"/>
              </w:rPr>
            </w:pPr>
            <w:r w:rsidRPr="007463E8">
              <w:rPr>
                <w:b/>
                <w:i/>
                <w:color w:val="000000" w:themeColor="text1"/>
              </w:rPr>
              <w:t>$</w:t>
            </w:r>
            <w:r w:rsidR="00C574D4">
              <w:rPr>
                <w:b/>
                <w:i/>
                <w:color w:val="000000" w:themeColor="text1"/>
              </w:rPr>
              <w:t>redacted</w:t>
            </w:r>
          </w:p>
        </w:tc>
      </w:tr>
    </w:tbl>
    <w:p w14:paraId="5FE98657" w14:textId="77777777" w:rsidR="006460AB" w:rsidRPr="000C32E6" w:rsidRDefault="006460AB" w:rsidP="006460AB">
      <w:pPr>
        <w:pStyle w:val="TFAbbrevs0"/>
      </w:pPr>
      <w:r w:rsidRPr="00586712">
        <w:t xml:space="preserve">Source: </w:t>
      </w:r>
      <w:r w:rsidRPr="00586712">
        <w:rPr>
          <w:i/>
        </w:rPr>
        <w:t>Recalculated</w:t>
      </w:r>
      <w:r w:rsidRPr="000C32E6">
        <w:rPr>
          <w:i/>
        </w:rPr>
        <w:t xml:space="preserve"> during the evaluation incorporating the updated fee for insertion of devices</w:t>
      </w:r>
      <w:r>
        <w:rPr>
          <w:i/>
        </w:rPr>
        <w:t>, applying complete occlusion rates and retreatment rates that are not reweighted,</w:t>
      </w:r>
      <w:r w:rsidRPr="000C32E6">
        <w:rPr>
          <w:i/>
        </w:rPr>
        <w:t xml:space="preserve"> and </w:t>
      </w:r>
      <w:r>
        <w:rPr>
          <w:i/>
        </w:rPr>
        <w:t>applying the corrected cost of treatment of acute rupture a</w:t>
      </w:r>
      <w:r w:rsidRPr="00DC6A22">
        <w:rPr>
          <w:i/>
        </w:rPr>
        <w:t xml:space="preserve">t the chance node where patients in post-RIA health states have been at risk of </w:t>
      </w:r>
      <w:proofErr w:type="spellStart"/>
      <w:r w:rsidRPr="00DC6A22">
        <w:rPr>
          <w:i/>
        </w:rPr>
        <w:t>rerupture</w:t>
      </w:r>
      <w:proofErr w:type="spellEnd"/>
      <w:r w:rsidRPr="00DC6A22">
        <w:rPr>
          <w:i/>
        </w:rPr>
        <w:t>, have survived the rupture and “Receive treatment” for the rupture</w:t>
      </w:r>
      <w:r>
        <w:rPr>
          <w:i/>
        </w:rPr>
        <w:t>.</w:t>
      </w:r>
    </w:p>
    <w:p w14:paraId="1CD38F6D" w14:textId="77777777" w:rsidR="006460AB" w:rsidRDefault="006460AB" w:rsidP="006460AB">
      <w:pPr>
        <w:jc w:val="both"/>
        <w:rPr>
          <w:rFonts w:ascii="Arial Narrow" w:hAnsi="Arial Narrow"/>
          <w:sz w:val="18"/>
        </w:rPr>
      </w:pPr>
      <w:r w:rsidRPr="000C32E6">
        <w:rPr>
          <w:rFonts w:ascii="Arial Narrow" w:hAnsi="Arial Narrow"/>
          <w:sz w:val="18"/>
        </w:rPr>
        <w:t>Abbreviations: CS = coiling ± stenting; FD = flow diversion; QALY = quality-adjusted life-year; RIA = ruptured intracranial aneurysm; SBA = submission-based assessment; UIA = rup</w:t>
      </w:r>
      <w:r>
        <w:rPr>
          <w:rFonts w:ascii="Arial Narrow" w:hAnsi="Arial Narrow"/>
          <w:sz w:val="18"/>
        </w:rPr>
        <w:t>tured intracranial aneurysm</w:t>
      </w:r>
    </w:p>
    <w:p w14:paraId="46F3BE55" w14:textId="6803A0A2" w:rsidR="006460AB" w:rsidRPr="003B345D" w:rsidRDefault="006460AB" w:rsidP="00242873">
      <w:pPr>
        <w:pStyle w:val="Heading2"/>
      </w:pPr>
      <w:r w:rsidRPr="003B345D">
        <w:t xml:space="preserve">Population 2 (large aneurysms) </w:t>
      </w:r>
    </w:p>
    <w:p w14:paraId="3DDB75BA" w14:textId="122A199D" w:rsidR="003854D6" w:rsidRPr="00242873" w:rsidRDefault="006460AB" w:rsidP="00242873">
      <w:r>
        <w:t xml:space="preserve">The Critique’s results for Population 2 </w:t>
      </w:r>
      <w:r w:rsidRPr="00183E4D">
        <w:t xml:space="preserve">with the base case assumptions, are </w:t>
      </w:r>
      <w:r>
        <w:t xml:space="preserve">summarised in Table </w:t>
      </w:r>
      <w:r w:rsidR="00584C7E">
        <w:t>13</w:t>
      </w:r>
      <w:r>
        <w:t>.</w:t>
      </w:r>
      <w:r w:rsidRPr="003251D4">
        <w:rPr>
          <w:szCs w:val="24"/>
        </w:rPr>
        <w:t xml:space="preserve"> </w:t>
      </w:r>
      <w:r>
        <w:rPr>
          <w:szCs w:val="24"/>
        </w:rPr>
        <w:t>The submission stated that the m</w:t>
      </w:r>
      <w:r w:rsidRPr="00EA282C">
        <w:rPr>
          <w:szCs w:val="24"/>
        </w:rPr>
        <w:t xml:space="preserve">odel results for </w:t>
      </w:r>
      <w:r>
        <w:rPr>
          <w:szCs w:val="24"/>
        </w:rPr>
        <w:t>P</w:t>
      </w:r>
      <w:r w:rsidRPr="00EA282C">
        <w:rPr>
          <w:szCs w:val="24"/>
        </w:rPr>
        <w:t>opulation 2 remain dominant or highly cost-effective across most conducte</w:t>
      </w:r>
      <w:r>
        <w:rPr>
          <w:szCs w:val="24"/>
        </w:rPr>
        <w:t>d sensitivity analyses.</w:t>
      </w:r>
      <w:bookmarkStart w:id="38" w:name="_Ref15821668"/>
      <w:r w:rsidR="003854D6">
        <w:br w:type="page"/>
      </w:r>
    </w:p>
    <w:p w14:paraId="734918D9" w14:textId="09CDF923" w:rsidR="006460AB" w:rsidRPr="004B35C9" w:rsidRDefault="006460AB" w:rsidP="004B35C9">
      <w:pPr>
        <w:rPr>
          <w:rFonts w:ascii="Arial Narrow" w:hAnsi="Arial Narrow"/>
          <w:b/>
          <w:sz w:val="20"/>
        </w:rPr>
      </w:pPr>
      <w:r w:rsidRPr="004B35C9">
        <w:rPr>
          <w:rFonts w:ascii="Arial Narrow" w:hAnsi="Arial Narrow"/>
          <w:b/>
          <w:sz w:val="20"/>
        </w:rPr>
        <w:lastRenderedPageBreak/>
        <w:t>Table 1</w:t>
      </w:r>
      <w:bookmarkEnd w:id="38"/>
      <w:r w:rsidR="00584C7E" w:rsidRPr="004B35C9">
        <w:rPr>
          <w:rFonts w:ascii="Arial Narrow" w:hAnsi="Arial Narrow"/>
          <w:b/>
          <w:sz w:val="20"/>
        </w:rPr>
        <w:t>3</w:t>
      </w:r>
      <w:r w:rsidRPr="004B35C9">
        <w:rPr>
          <w:rFonts w:ascii="Arial Narrow" w:hAnsi="Arial Narrow"/>
          <w:b/>
          <w:sz w:val="20"/>
        </w:rPr>
        <w:t xml:space="preserve"> </w:t>
      </w:r>
      <w:r w:rsidRPr="004B35C9">
        <w:rPr>
          <w:rFonts w:ascii="Arial Narrow" w:hAnsi="Arial Narrow"/>
          <w:b/>
          <w:sz w:val="20"/>
        </w:rPr>
        <w:tab/>
        <w:t>Disaggregated and aggregated summary of discounted costs and discounted outcomes generated by the model presented in the SBA for Population 2</w:t>
      </w:r>
    </w:p>
    <w:tbl>
      <w:tblPr>
        <w:tblStyle w:val="TableGrid2"/>
        <w:tblW w:w="8931" w:type="dxa"/>
        <w:tblInd w:w="-5" w:type="dxa"/>
        <w:tblLayout w:type="fixed"/>
        <w:tblLook w:val="04A0" w:firstRow="1" w:lastRow="0" w:firstColumn="1" w:lastColumn="0" w:noHBand="0" w:noVBand="1"/>
        <w:tblCaption w:val="Disaggregated and aggregated summary of discounted costs and discounted outcomes generated by the model presented in the SBA for Population 2"/>
        <w:tblDescription w:val="Disaggregated and aggregated summary of discounted costs and discounted outcomes generated by the model presented in the SBA for Population 2"/>
      </w:tblPr>
      <w:tblGrid>
        <w:gridCol w:w="3969"/>
        <w:gridCol w:w="1654"/>
        <w:gridCol w:w="1654"/>
        <w:gridCol w:w="1654"/>
      </w:tblGrid>
      <w:tr w:rsidR="006460AB" w:rsidRPr="0035691E" w14:paraId="4FDE1F59" w14:textId="77777777" w:rsidTr="005610DA">
        <w:trPr>
          <w:cnfStyle w:val="100000000000" w:firstRow="1" w:lastRow="0" w:firstColumn="0" w:lastColumn="0" w:oddVBand="0" w:evenVBand="0" w:oddHBand="0" w:evenHBand="0" w:firstRowFirstColumn="0" w:firstRowLastColumn="0" w:lastRowFirstColumn="0" w:lastRowLastColumn="0"/>
          <w:tblHeader/>
        </w:trPr>
        <w:tc>
          <w:tcPr>
            <w:tcW w:w="3969" w:type="dxa"/>
          </w:tcPr>
          <w:p w14:paraId="564B389D" w14:textId="77777777" w:rsidR="006460AB" w:rsidRPr="0035691E" w:rsidRDefault="006460AB" w:rsidP="005610DA">
            <w:pPr>
              <w:keepNext/>
              <w:spacing w:after="40"/>
              <w:jc w:val="both"/>
              <w:rPr>
                <w:rFonts w:ascii="Arial Narrow" w:hAnsi="Arial Narrow"/>
                <w:b/>
              </w:rPr>
            </w:pPr>
          </w:p>
        </w:tc>
        <w:tc>
          <w:tcPr>
            <w:tcW w:w="1654" w:type="dxa"/>
          </w:tcPr>
          <w:p w14:paraId="1EC7BB93" w14:textId="77777777" w:rsidR="006460AB" w:rsidRPr="0035691E" w:rsidRDefault="006460AB" w:rsidP="005610DA">
            <w:pPr>
              <w:keepNext/>
              <w:spacing w:after="40"/>
              <w:jc w:val="center"/>
              <w:rPr>
                <w:rFonts w:ascii="Arial Narrow" w:hAnsi="Arial Narrow"/>
                <w:b/>
              </w:rPr>
            </w:pPr>
            <w:r>
              <w:rPr>
                <w:rFonts w:ascii="Arial Narrow" w:hAnsi="Arial Narrow"/>
                <w:b/>
              </w:rPr>
              <w:t>FD arm</w:t>
            </w:r>
          </w:p>
        </w:tc>
        <w:tc>
          <w:tcPr>
            <w:tcW w:w="1654" w:type="dxa"/>
          </w:tcPr>
          <w:p w14:paraId="6F73B663" w14:textId="77777777" w:rsidR="006460AB" w:rsidRPr="0035691E" w:rsidRDefault="006460AB" w:rsidP="005610DA">
            <w:pPr>
              <w:keepNext/>
              <w:spacing w:after="40"/>
              <w:jc w:val="center"/>
              <w:rPr>
                <w:rFonts w:ascii="Arial Narrow" w:hAnsi="Arial Narrow"/>
                <w:b/>
              </w:rPr>
            </w:pPr>
            <w:r>
              <w:rPr>
                <w:rFonts w:ascii="Arial Narrow" w:hAnsi="Arial Narrow"/>
                <w:b/>
              </w:rPr>
              <w:t>CS arm</w:t>
            </w:r>
          </w:p>
        </w:tc>
        <w:tc>
          <w:tcPr>
            <w:tcW w:w="1654" w:type="dxa"/>
          </w:tcPr>
          <w:p w14:paraId="4528F8D0" w14:textId="77777777" w:rsidR="006460AB" w:rsidRPr="0035691E" w:rsidRDefault="006460AB" w:rsidP="005610DA">
            <w:pPr>
              <w:keepNext/>
              <w:spacing w:after="40"/>
              <w:jc w:val="center"/>
              <w:rPr>
                <w:rFonts w:ascii="Arial Narrow" w:hAnsi="Arial Narrow"/>
                <w:b/>
              </w:rPr>
            </w:pPr>
            <w:r>
              <w:rPr>
                <w:rFonts w:ascii="Arial Narrow" w:hAnsi="Arial Narrow"/>
                <w:b/>
              </w:rPr>
              <w:t>Increment</w:t>
            </w:r>
          </w:p>
        </w:tc>
      </w:tr>
      <w:tr w:rsidR="006460AB" w:rsidRPr="0035691E" w14:paraId="68F99CED" w14:textId="77777777" w:rsidTr="005610DA">
        <w:tc>
          <w:tcPr>
            <w:tcW w:w="3969" w:type="dxa"/>
          </w:tcPr>
          <w:p w14:paraId="176586BB" w14:textId="77777777" w:rsidR="006460AB" w:rsidRPr="00187204" w:rsidRDefault="006460AB" w:rsidP="005610DA">
            <w:pPr>
              <w:spacing w:after="40"/>
              <w:jc w:val="both"/>
              <w:rPr>
                <w:b/>
              </w:rPr>
            </w:pPr>
            <w:r w:rsidRPr="00187204">
              <w:rPr>
                <w:b/>
              </w:rPr>
              <w:t>Costs</w:t>
            </w:r>
          </w:p>
        </w:tc>
        <w:tc>
          <w:tcPr>
            <w:tcW w:w="1654" w:type="dxa"/>
          </w:tcPr>
          <w:p w14:paraId="2CEE6EE7" w14:textId="77777777" w:rsidR="006460AB" w:rsidRPr="0035691E" w:rsidRDefault="006460AB" w:rsidP="005610DA">
            <w:pPr>
              <w:spacing w:after="40"/>
              <w:jc w:val="center"/>
            </w:pPr>
          </w:p>
        </w:tc>
        <w:tc>
          <w:tcPr>
            <w:tcW w:w="1654" w:type="dxa"/>
          </w:tcPr>
          <w:p w14:paraId="52216BE2" w14:textId="77777777" w:rsidR="006460AB" w:rsidRPr="0035691E" w:rsidRDefault="006460AB" w:rsidP="005610DA">
            <w:pPr>
              <w:spacing w:after="40"/>
              <w:jc w:val="center"/>
            </w:pPr>
          </w:p>
        </w:tc>
        <w:tc>
          <w:tcPr>
            <w:tcW w:w="1654" w:type="dxa"/>
          </w:tcPr>
          <w:p w14:paraId="6734A061" w14:textId="77777777" w:rsidR="006460AB" w:rsidRPr="0035691E" w:rsidRDefault="006460AB" w:rsidP="005610DA">
            <w:pPr>
              <w:spacing w:after="40"/>
              <w:jc w:val="center"/>
            </w:pPr>
          </w:p>
        </w:tc>
      </w:tr>
      <w:tr w:rsidR="006460AB" w:rsidRPr="00183E4D" w14:paraId="0605293F" w14:textId="77777777" w:rsidTr="005610DA">
        <w:tc>
          <w:tcPr>
            <w:tcW w:w="3969" w:type="dxa"/>
          </w:tcPr>
          <w:p w14:paraId="4B061B52" w14:textId="77777777" w:rsidR="006460AB" w:rsidRPr="0035691E" w:rsidRDefault="006460AB" w:rsidP="005610DA">
            <w:pPr>
              <w:spacing w:after="40"/>
              <w:ind w:left="320"/>
            </w:pPr>
            <w:r>
              <w:t>Costs of initial device (including placement)</w:t>
            </w:r>
          </w:p>
        </w:tc>
        <w:tc>
          <w:tcPr>
            <w:tcW w:w="1654" w:type="dxa"/>
          </w:tcPr>
          <w:p w14:paraId="4452EFDB" w14:textId="34909655" w:rsidR="006460AB" w:rsidRPr="005D236A" w:rsidRDefault="006460AB" w:rsidP="00513B8C">
            <w:pPr>
              <w:spacing w:after="40"/>
              <w:jc w:val="center"/>
              <w:rPr>
                <w:i/>
              </w:rPr>
            </w:pPr>
            <w:r w:rsidRPr="005D236A">
              <w:rPr>
                <w:i/>
              </w:rPr>
              <w:t>$</w:t>
            </w:r>
            <w:r w:rsidR="00C574D4">
              <w:rPr>
                <w:i/>
              </w:rPr>
              <w:t>redacted</w:t>
            </w:r>
          </w:p>
        </w:tc>
        <w:tc>
          <w:tcPr>
            <w:tcW w:w="1654" w:type="dxa"/>
          </w:tcPr>
          <w:p w14:paraId="3CC880F2" w14:textId="2C5ADB45" w:rsidR="006460AB" w:rsidRPr="005D236A" w:rsidRDefault="006460AB" w:rsidP="005610DA">
            <w:pPr>
              <w:spacing w:after="40"/>
              <w:jc w:val="center"/>
              <w:rPr>
                <w:i/>
              </w:rPr>
            </w:pPr>
            <w:r w:rsidRPr="005D236A">
              <w:rPr>
                <w:i/>
              </w:rPr>
              <w:t>$</w:t>
            </w:r>
            <w:r w:rsidR="00C574D4">
              <w:rPr>
                <w:i/>
              </w:rPr>
              <w:t>redacted</w:t>
            </w:r>
          </w:p>
        </w:tc>
        <w:tc>
          <w:tcPr>
            <w:tcW w:w="1654" w:type="dxa"/>
          </w:tcPr>
          <w:p w14:paraId="73079C54" w14:textId="349AAF33" w:rsidR="006460AB" w:rsidRPr="005D236A" w:rsidRDefault="006460AB" w:rsidP="005610DA">
            <w:pPr>
              <w:spacing w:after="40"/>
              <w:jc w:val="center"/>
              <w:rPr>
                <w:i/>
              </w:rPr>
            </w:pPr>
            <w:r w:rsidRPr="005D236A">
              <w:rPr>
                <w:i/>
              </w:rPr>
              <w:t>$</w:t>
            </w:r>
            <w:r w:rsidR="00C574D4">
              <w:rPr>
                <w:i/>
              </w:rPr>
              <w:t>redacted</w:t>
            </w:r>
          </w:p>
        </w:tc>
      </w:tr>
      <w:tr w:rsidR="006460AB" w:rsidRPr="00183E4D" w14:paraId="3D19D487" w14:textId="77777777" w:rsidTr="005610DA">
        <w:tc>
          <w:tcPr>
            <w:tcW w:w="3969" w:type="dxa"/>
          </w:tcPr>
          <w:p w14:paraId="0F0C0A91" w14:textId="77777777" w:rsidR="006460AB" w:rsidRPr="0035691E" w:rsidRDefault="006460AB" w:rsidP="005610DA">
            <w:pPr>
              <w:spacing w:after="40"/>
              <w:ind w:left="320"/>
            </w:pPr>
            <w:r>
              <w:t>Costs of retreatment in patients with UIA</w:t>
            </w:r>
          </w:p>
        </w:tc>
        <w:tc>
          <w:tcPr>
            <w:tcW w:w="1654" w:type="dxa"/>
          </w:tcPr>
          <w:p w14:paraId="5BFE0463" w14:textId="09C5446A" w:rsidR="006460AB" w:rsidRPr="005D236A" w:rsidRDefault="006460AB" w:rsidP="00513B8C">
            <w:pPr>
              <w:spacing w:after="40"/>
              <w:jc w:val="center"/>
              <w:rPr>
                <w:i/>
              </w:rPr>
            </w:pPr>
            <w:r w:rsidRPr="005D236A">
              <w:rPr>
                <w:i/>
              </w:rPr>
              <w:t>$</w:t>
            </w:r>
            <w:r w:rsidR="00C574D4">
              <w:rPr>
                <w:i/>
              </w:rPr>
              <w:t>redacted</w:t>
            </w:r>
          </w:p>
        </w:tc>
        <w:tc>
          <w:tcPr>
            <w:tcW w:w="1654" w:type="dxa"/>
          </w:tcPr>
          <w:p w14:paraId="3AFB2E25" w14:textId="6FDE5DE9" w:rsidR="006460AB" w:rsidRPr="005D236A" w:rsidRDefault="006460AB">
            <w:pPr>
              <w:spacing w:after="40"/>
              <w:jc w:val="center"/>
              <w:rPr>
                <w:i/>
              </w:rPr>
            </w:pPr>
            <w:r w:rsidRPr="005D236A">
              <w:rPr>
                <w:i/>
              </w:rPr>
              <w:t>$</w:t>
            </w:r>
            <w:r w:rsidR="00C574D4">
              <w:rPr>
                <w:i/>
              </w:rPr>
              <w:t>redacted</w:t>
            </w:r>
          </w:p>
        </w:tc>
        <w:tc>
          <w:tcPr>
            <w:tcW w:w="1654" w:type="dxa"/>
          </w:tcPr>
          <w:p w14:paraId="512615A9" w14:textId="7C29B6A5" w:rsidR="006460AB" w:rsidRPr="005D236A" w:rsidRDefault="00C574D4" w:rsidP="005610DA">
            <w:pPr>
              <w:spacing w:after="40"/>
              <w:jc w:val="center"/>
              <w:rPr>
                <w:i/>
              </w:rPr>
            </w:pPr>
            <w:r w:rsidRPr="005D236A">
              <w:rPr>
                <w:i/>
              </w:rPr>
              <w:t>$</w:t>
            </w:r>
            <w:r>
              <w:rPr>
                <w:i/>
              </w:rPr>
              <w:t>redacted</w:t>
            </w:r>
          </w:p>
        </w:tc>
      </w:tr>
      <w:tr w:rsidR="006460AB" w:rsidRPr="00183E4D" w14:paraId="0C09E6B2" w14:textId="77777777" w:rsidTr="005610DA">
        <w:tc>
          <w:tcPr>
            <w:tcW w:w="3969" w:type="dxa"/>
          </w:tcPr>
          <w:p w14:paraId="22FB1A9C" w14:textId="77777777" w:rsidR="006460AB" w:rsidRPr="0035691E" w:rsidRDefault="006460AB" w:rsidP="005610DA">
            <w:pPr>
              <w:spacing w:after="40"/>
              <w:ind w:left="320"/>
              <w:jc w:val="both"/>
            </w:pPr>
            <w:r>
              <w:t>Costs of treating RIA</w:t>
            </w:r>
          </w:p>
        </w:tc>
        <w:tc>
          <w:tcPr>
            <w:tcW w:w="1654" w:type="dxa"/>
          </w:tcPr>
          <w:p w14:paraId="163884CD" w14:textId="2532E1BD" w:rsidR="006460AB" w:rsidRPr="005D236A" w:rsidRDefault="006460AB" w:rsidP="00513B8C">
            <w:pPr>
              <w:spacing w:after="40"/>
              <w:jc w:val="center"/>
              <w:rPr>
                <w:i/>
              </w:rPr>
            </w:pPr>
            <w:r w:rsidRPr="005D236A">
              <w:rPr>
                <w:i/>
              </w:rPr>
              <w:t>$</w:t>
            </w:r>
            <w:r w:rsidR="00C574D4">
              <w:rPr>
                <w:i/>
              </w:rPr>
              <w:t>redacted</w:t>
            </w:r>
          </w:p>
        </w:tc>
        <w:tc>
          <w:tcPr>
            <w:tcW w:w="1654" w:type="dxa"/>
          </w:tcPr>
          <w:p w14:paraId="114B73CF" w14:textId="34AD7EB9" w:rsidR="006460AB" w:rsidRPr="005D236A" w:rsidRDefault="006460AB" w:rsidP="005610DA">
            <w:pPr>
              <w:spacing w:after="40"/>
              <w:jc w:val="center"/>
              <w:rPr>
                <w:i/>
              </w:rPr>
            </w:pPr>
            <w:r w:rsidRPr="005D236A">
              <w:rPr>
                <w:i/>
              </w:rPr>
              <w:t>$</w:t>
            </w:r>
            <w:r w:rsidR="00C574D4">
              <w:rPr>
                <w:i/>
              </w:rPr>
              <w:t>redacted</w:t>
            </w:r>
          </w:p>
        </w:tc>
        <w:tc>
          <w:tcPr>
            <w:tcW w:w="1654" w:type="dxa"/>
          </w:tcPr>
          <w:p w14:paraId="16A67CAE" w14:textId="71A860DE" w:rsidR="006460AB" w:rsidRPr="005D236A" w:rsidRDefault="00C574D4" w:rsidP="005610DA">
            <w:pPr>
              <w:spacing w:after="40"/>
              <w:jc w:val="center"/>
              <w:rPr>
                <w:i/>
                <w:color w:val="FF0000"/>
              </w:rPr>
            </w:pPr>
            <w:r w:rsidRPr="005D236A">
              <w:rPr>
                <w:i/>
              </w:rPr>
              <w:t>$</w:t>
            </w:r>
            <w:r>
              <w:rPr>
                <w:i/>
              </w:rPr>
              <w:t>redacted</w:t>
            </w:r>
          </w:p>
        </w:tc>
      </w:tr>
      <w:tr w:rsidR="006460AB" w:rsidRPr="00183E4D" w14:paraId="1F7509F7" w14:textId="77777777" w:rsidTr="005610DA">
        <w:tc>
          <w:tcPr>
            <w:tcW w:w="3969" w:type="dxa"/>
          </w:tcPr>
          <w:p w14:paraId="72E3F914" w14:textId="77777777" w:rsidR="006460AB" w:rsidRPr="0035691E" w:rsidRDefault="006460AB" w:rsidP="005610DA">
            <w:pPr>
              <w:spacing w:after="40"/>
              <w:ind w:left="320"/>
              <w:jc w:val="both"/>
            </w:pPr>
            <w:r>
              <w:t>Costs of retreating RIA</w:t>
            </w:r>
          </w:p>
        </w:tc>
        <w:tc>
          <w:tcPr>
            <w:tcW w:w="1654" w:type="dxa"/>
          </w:tcPr>
          <w:p w14:paraId="2ED759DF" w14:textId="0230B317" w:rsidR="006460AB" w:rsidRPr="005D236A" w:rsidRDefault="006460AB" w:rsidP="00513B8C">
            <w:pPr>
              <w:spacing w:after="40"/>
              <w:jc w:val="center"/>
              <w:rPr>
                <w:i/>
              </w:rPr>
            </w:pPr>
            <w:r w:rsidRPr="005D236A">
              <w:rPr>
                <w:i/>
              </w:rPr>
              <w:t>$</w:t>
            </w:r>
            <w:r w:rsidR="00C574D4">
              <w:rPr>
                <w:i/>
              </w:rPr>
              <w:t>redacted</w:t>
            </w:r>
          </w:p>
        </w:tc>
        <w:tc>
          <w:tcPr>
            <w:tcW w:w="1654" w:type="dxa"/>
          </w:tcPr>
          <w:p w14:paraId="169F7F2E" w14:textId="0C36F839" w:rsidR="006460AB" w:rsidRPr="005D236A" w:rsidRDefault="006460AB" w:rsidP="005610DA">
            <w:pPr>
              <w:spacing w:after="40"/>
              <w:jc w:val="center"/>
              <w:rPr>
                <w:i/>
              </w:rPr>
            </w:pPr>
            <w:r w:rsidRPr="005D236A">
              <w:rPr>
                <w:i/>
              </w:rPr>
              <w:t>$</w:t>
            </w:r>
            <w:r w:rsidR="00C574D4">
              <w:rPr>
                <w:i/>
              </w:rPr>
              <w:t>redacted</w:t>
            </w:r>
          </w:p>
        </w:tc>
        <w:tc>
          <w:tcPr>
            <w:tcW w:w="1654" w:type="dxa"/>
          </w:tcPr>
          <w:p w14:paraId="7FDEBFE7" w14:textId="4FFD7B31" w:rsidR="006460AB" w:rsidRPr="005D236A" w:rsidRDefault="00C574D4" w:rsidP="005610DA">
            <w:pPr>
              <w:spacing w:after="40"/>
              <w:jc w:val="center"/>
              <w:rPr>
                <w:i/>
                <w:color w:val="FF0000"/>
              </w:rPr>
            </w:pPr>
            <w:r w:rsidRPr="005D236A">
              <w:rPr>
                <w:i/>
              </w:rPr>
              <w:t>$</w:t>
            </w:r>
            <w:r>
              <w:rPr>
                <w:i/>
              </w:rPr>
              <w:t>redacted</w:t>
            </w:r>
          </w:p>
        </w:tc>
      </w:tr>
      <w:tr w:rsidR="006460AB" w:rsidRPr="00183E4D" w14:paraId="71567108" w14:textId="77777777" w:rsidTr="005610DA">
        <w:tc>
          <w:tcPr>
            <w:tcW w:w="3969" w:type="dxa"/>
          </w:tcPr>
          <w:p w14:paraId="680C04BF" w14:textId="77777777" w:rsidR="006460AB" w:rsidRDefault="006460AB" w:rsidP="005610DA">
            <w:pPr>
              <w:spacing w:after="40"/>
              <w:ind w:left="320"/>
              <w:jc w:val="both"/>
            </w:pPr>
            <w:r>
              <w:t xml:space="preserve">Costs of treating </w:t>
            </w:r>
            <w:proofErr w:type="spellStart"/>
            <w:r>
              <w:t>rerupture</w:t>
            </w:r>
            <w:proofErr w:type="spellEnd"/>
          </w:p>
        </w:tc>
        <w:tc>
          <w:tcPr>
            <w:tcW w:w="1654" w:type="dxa"/>
          </w:tcPr>
          <w:p w14:paraId="301F002F" w14:textId="264E13FF" w:rsidR="006460AB" w:rsidRPr="005D236A" w:rsidRDefault="006460AB" w:rsidP="005610DA">
            <w:pPr>
              <w:spacing w:after="40"/>
              <w:jc w:val="center"/>
              <w:rPr>
                <w:i/>
              </w:rPr>
            </w:pPr>
            <w:r w:rsidRPr="005D236A">
              <w:rPr>
                <w:i/>
              </w:rPr>
              <w:t>$</w:t>
            </w:r>
            <w:r w:rsidR="00C574D4">
              <w:rPr>
                <w:i/>
              </w:rPr>
              <w:t>redacted</w:t>
            </w:r>
          </w:p>
        </w:tc>
        <w:tc>
          <w:tcPr>
            <w:tcW w:w="1654" w:type="dxa"/>
          </w:tcPr>
          <w:p w14:paraId="3056DB06" w14:textId="1C61DA1B" w:rsidR="006460AB" w:rsidRPr="005D236A" w:rsidRDefault="006460AB" w:rsidP="005610DA">
            <w:pPr>
              <w:spacing w:after="40"/>
              <w:jc w:val="center"/>
              <w:rPr>
                <w:i/>
              </w:rPr>
            </w:pPr>
            <w:r w:rsidRPr="005D236A">
              <w:rPr>
                <w:i/>
              </w:rPr>
              <w:t>$</w:t>
            </w:r>
            <w:r w:rsidR="00C574D4">
              <w:rPr>
                <w:i/>
              </w:rPr>
              <w:t>redacted</w:t>
            </w:r>
          </w:p>
        </w:tc>
        <w:tc>
          <w:tcPr>
            <w:tcW w:w="1654" w:type="dxa"/>
          </w:tcPr>
          <w:p w14:paraId="0F1D47C1" w14:textId="1CA8C887" w:rsidR="006460AB" w:rsidRPr="005D236A" w:rsidRDefault="00C574D4" w:rsidP="005610DA">
            <w:pPr>
              <w:spacing w:after="40"/>
              <w:jc w:val="center"/>
              <w:rPr>
                <w:i/>
                <w:color w:val="FF0000"/>
              </w:rPr>
            </w:pPr>
            <w:r w:rsidRPr="005D236A">
              <w:rPr>
                <w:i/>
              </w:rPr>
              <w:t>$</w:t>
            </w:r>
            <w:r>
              <w:rPr>
                <w:i/>
              </w:rPr>
              <w:t>redacted</w:t>
            </w:r>
          </w:p>
        </w:tc>
      </w:tr>
      <w:tr w:rsidR="006460AB" w:rsidRPr="006F37C1" w14:paraId="5CA000C0" w14:textId="77777777" w:rsidTr="005610DA">
        <w:tc>
          <w:tcPr>
            <w:tcW w:w="3969" w:type="dxa"/>
          </w:tcPr>
          <w:p w14:paraId="1C3B2968" w14:textId="77777777" w:rsidR="006460AB" w:rsidRDefault="006460AB" w:rsidP="005610DA">
            <w:pPr>
              <w:spacing w:after="40"/>
              <w:ind w:left="320"/>
              <w:jc w:val="both"/>
            </w:pPr>
            <w:r>
              <w:t>Costs associated with management of patients in the UIA: complete occlusion health state</w:t>
            </w:r>
          </w:p>
        </w:tc>
        <w:tc>
          <w:tcPr>
            <w:tcW w:w="1654" w:type="dxa"/>
            <w:vAlign w:val="center"/>
          </w:tcPr>
          <w:p w14:paraId="24B04B08" w14:textId="2CDA8686" w:rsidR="006460AB" w:rsidRPr="005D236A" w:rsidRDefault="006460AB" w:rsidP="00513B8C">
            <w:pPr>
              <w:spacing w:after="40"/>
              <w:jc w:val="center"/>
              <w:rPr>
                <w:i/>
              </w:rPr>
            </w:pPr>
            <w:r w:rsidRPr="005D236A">
              <w:rPr>
                <w:i/>
              </w:rPr>
              <w:t>$</w:t>
            </w:r>
            <w:r w:rsidR="00C574D4">
              <w:rPr>
                <w:i/>
              </w:rPr>
              <w:t>redacted</w:t>
            </w:r>
          </w:p>
        </w:tc>
        <w:tc>
          <w:tcPr>
            <w:tcW w:w="1654" w:type="dxa"/>
            <w:vAlign w:val="center"/>
          </w:tcPr>
          <w:p w14:paraId="1A3B39FD" w14:textId="56679F84" w:rsidR="006460AB" w:rsidRPr="005D236A" w:rsidRDefault="006460AB" w:rsidP="005610DA">
            <w:pPr>
              <w:spacing w:after="40"/>
              <w:jc w:val="center"/>
              <w:rPr>
                <w:i/>
              </w:rPr>
            </w:pPr>
            <w:r w:rsidRPr="005D236A">
              <w:rPr>
                <w:i/>
              </w:rPr>
              <w:t>$</w:t>
            </w:r>
            <w:r w:rsidR="00C574D4">
              <w:rPr>
                <w:i/>
              </w:rPr>
              <w:t>redacted</w:t>
            </w:r>
          </w:p>
        </w:tc>
        <w:tc>
          <w:tcPr>
            <w:tcW w:w="1654" w:type="dxa"/>
            <w:vAlign w:val="center"/>
          </w:tcPr>
          <w:p w14:paraId="6D2C6EB5" w14:textId="605F66D0" w:rsidR="006460AB" w:rsidRPr="005D236A" w:rsidRDefault="006460AB" w:rsidP="005610DA">
            <w:pPr>
              <w:spacing w:after="40"/>
              <w:jc w:val="center"/>
              <w:rPr>
                <w:i/>
                <w:color w:val="000000" w:themeColor="text1"/>
              </w:rPr>
            </w:pPr>
            <w:r w:rsidRPr="005D236A">
              <w:rPr>
                <w:i/>
                <w:color w:val="000000" w:themeColor="text1"/>
              </w:rPr>
              <w:t>$</w:t>
            </w:r>
            <w:r w:rsidR="00C574D4">
              <w:rPr>
                <w:i/>
              </w:rPr>
              <w:t>redacted</w:t>
            </w:r>
          </w:p>
        </w:tc>
      </w:tr>
      <w:tr w:rsidR="006460AB" w:rsidRPr="00183E4D" w14:paraId="47E36372" w14:textId="77777777" w:rsidTr="005610DA">
        <w:tc>
          <w:tcPr>
            <w:tcW w:w="3969" w:type="dxa"/>
          </w:tcPr>
          <w:p w14:paraId="0149AE47" w14:textId="77777777" w:rsidR="006460AB" w:rsidRDefault="006460AB" w:rsidP="005610DA">
            <w:pPr>
              <w:spacing w:after="40"/>
              <w:ind w:left="320"/>
              <w:jc w:val="both"/>
            </w:pPr>
            <w:r>
              <w:t>Costs associated with management of patients in the UIA: complete occlusion health state</w:t>
            </w:r>
          </w:p>
        </w:tc>
        <w:tc>
          <w:tcPr>
            <w:tcW w:w="1654" w:type="dxa"/>
            <w:vAlign w:val="center"/>
          </w:tcPr>
          <w:p w14:paraId="02AF9C2F" w14:textId="3A06BA4F" w:rsidR="006460AB" w:rsidRPr="005D236A" w:rsidRDefault="006460AB" w:rsidP="005610DA">
            <w:pPr>
              <w:spacing w:after="40"/>
              <w:jc w:val="center"/>
              <w:rPr>
                <w:i/>
              </w:rPr>
            </w:pPr>
            <w:r w:rsidRPr="005D236A">
              <w:rPr>
                <w:i/>
              </w:rPr>
              <w:t>$</w:t>
            </w:r>
            <w:r w:rsidR="00C574D4">
              <w:rPr>
                <w:i/>
              </w:rPr>
              <w:t>redacted</w:t>
            </w:r>
          </w:p>
        </w:tc>
        <w:tc>
          <w:tcPr>
            <w:tcW w:w="1654" w:type="dxa"/>
            <w:vAlign w:val="center"/>
          </w:tcPr>
          <w:p w14:paraId="26076801" w14:textId="6999FC64" w:rsidR="006460AB" w:rsidRPr="005D236A" w:rsidRDefault="006460AB" w:rsidP="005610DA">
            <w:pPr>
              <w:spacing w:after="40"/>
              <w:jc w:val="center"/>
              <w:rPr>
                <w:i/>
              </w:rPr>
            </w:pPr>
            <w:r w:rsidRPr="005D236A">
              <w:rPr>
                <w:i/>
              </w:rPr>
              <w:t>$</w:t>
            </w:r>
            <w:r w:rsidR="00C574D4">
              <w:rPr>
                <w:i/>
              </w:rPr>
              <w:t>redacted</w:t>
            </w:r>
          </w:p>
        </w:tc>
        <w:tc>
          <w:tcPr>
            <w:tcW w:w="1654" w:type="dxa"/>
            <w:vAlign w:val="center"/>
          </w:tcPr>
          <w:p w14:paraId="052DC4CB" w14:textId="33B0143E" w:rsidR="006460AB" w:rsidRPr="005D236A" w:rsidRDefault="00C574D4" w:rsidP="005610DA">
            <w:pPr>
              <w:spacing w:after="40"/>
              <w:jc w:val="center"/>
              <w:rPr>
                <w:i/>
                <w:color w:val="FF0000"/>
              </w:rPr>
            </w:pPr>
            <w:r w:rsidRPr="005D236A">
              <w:rPr>
                <w:i/>
              </w:rPr>
              <w:t>$</w:t>
            </w:r>
            <w:r>
              <w:rPr>
                <w:i/>
              </w:rPr>
              <w:t>redacted</w:t>
            </w:r>
          </w:p>
        </w:tc>
      </w:tr>
      <w:tr w:rsidR="006460AB" w:rsidRPr="00183E4D" w14:paraId="3E5A6DE7" w14:textId="77777777" w:rsidTr="005610DA">
        <w:tc>
          <w:tcPr>
            <w:tcW w:w="3969" w:type="dxa"/>
          </w:tcPr>
          <w:p w14:paraId="796AD760" w14:textId="77777777" w:rsidR="006460AB" w:rsidRDefault="006460AB" w:rsidP="005610DA">
            <w:pPr>
              <w:spacing w:after="40"/>
              <w:ind w:left="320"/>
              <w:jc w:val="both"/>
            </w:pPr>
            <w:r>
              <w:t>Costs associated with management of patients in the RIA: non-disabling rupture health state</w:t>
            </w:r>
          </w:p>
        </w:tc>
        <w:tc>
          <w:tcPr>
            <w:tcW w:w="1654" w:type="dxa"/>
            <w:vAlign w:val="center"/>
          </w:tcPr>
          <w:p w14:paraId="12D586FF" w14:textId="3873ACA2" w:rsidR="006460AB" w:rsidRPr="005D236A" w:rsidRDefault="006460AB" w:rsidP="005610DA">
            <w:pPr>
              <w:spacing w:after="40"/>
              <w:jc w:val="center"/>
              <w:rPr>
                <w:i/>
              </w:rPr>
            </w:pPr>
            <w:r w:rsidRPr="005D236A">
              <w:rPr>
                <w:i/>
              </w:rPr>
              <w:t>$</w:t>
            </w:r>
            <w:r w:rsidR="00C574D4">
              <w:rPr>
                <w:i/>
              </w:rPr>
              <w:t>redacted</w:t>
            </w:r>
          </w:p>
        </w:tc>
        <w:tc>
          <w:tcPr>
            <w:tcW w:w="1654" w:type="dxa"/>
            <w:vAlign w:val="center"/>
          </w:tcPr>
          <w:p w14:paraId="24A8A7B3" w14:textId="0862B645" w:rsidR="006460AB" w:rsidRPr="005D236A" w:rsidRDefault="006460AB" w:rsidP="005610DA">
            <w:pPr>
              <w:spacing w:after="40"/>
              <w:jc w:val="center"/>
              <w:rPr>
                <w:i/>
              </w:rPr>
            </w:pPr>
            <w:r w:rsidRPr="005D236A">
              <w:rPr>
                <w:i/>
              </w:rPr>
              <w:t>$</w:t>
            </w:r>
            <w:r w:rsidR="00C574D4">
              <w:rPr>
                <w:i/>
              </w:rPr>
              <w:t>redacted</w:t>
            </w:r>
          </w:p>
        </w:tc>
        <w:tc>
          <w:tcPr>
            <w:tcW w:w="1654" w:type="dxa"/>
            <w:vAlign w:val="center"/>
          </w:tcPr>
          <w:p w14:paraId="7536474E" w14:textId="1B90C88E" w:rsidR="006460AB" w:rsidRPr="005D236A" w:rsidRDefault="00C574D4" w:rsidP="005610DA">
            <w:pPr>
              <w:spacing w:after="40"/>
              <w:jc w:val="center"/>
              <w:rPr>
                <w:i/>
                <w:color w:val="FF0000"/>
              </w:rPr>
            </w:pPr>
            <w:r w:rsidRPr="005D236A">
              <w:rPr>
                <w:i/>
              </w:rPr>
              <w:t>$</w:t>
            </w:r>
            <w:r>
              <w:rPr>
                <w:i/>
              </w:rPr>
              <w:t>redacted</w:t>
            </w:r>
          </w:p>
        </w:tc>
      </w:tr>
      <w:tr w:rsidR="006460AB" w:rsidRPr="00183E4D" w14:paraId="1992F229" w14:textId="77777777" w:rsidTr="005610DA">
        <w:tc>
          <w:tcPr>
            <w:tcW w:w="3969" w:type="dxa"/>
          </w:tcPr>
          <w:p w14:paraId="2E37066B" w14:textId="77777777" w:rsidR="006460AB" w:rsidRDefault="006460AB" w:rsidP="005610DA">
            <w:pPr>
              <w:spacing w:after="40"/>
              <w:ind w:left="320"/>
              <w:jc w:val="both"/>
            </w:pPr>
            <w:r>
              <w:t>Costs associated with management of patients in the RIA: disabling rupture health state</w:t>
            </w:r>
          </w:p>
        </w:tc>
        <w:tc>
          <w:tcPr>
            <w:tcW w:w="1654" w:type="dxa"/>
            <w:vAlign w:val="center"/>
          </w:tcPr>
          <w:p w14:paraId="0FFE0600" w14:textId="416EB4F3" w:rsidR="006460AB" w:rsidRPr="005D236A" w:rsidRDefault="006460AB" w:rsidP="00513B8C">
            <w:pPr>
              <w:spacing w:after="40"/>
              <w:jc w:val="center"/>
              <w:rPr>
                <w:i/>
              </w:rPr>
            </w:pPr>
            <w:r w:rsidRPr="005D236A">
              <w:rPr>
                <w:i/>
              </w:rPr>
              <w:t>$</w:t>
            </w:r>
            <w:r w:rsidR="00C574D4">
              <w:rPr>
                <w:i/>
              </w:rPr>
              <w:t>redacted</w:t>
            </w:r>
          </w:p>
        </w:tc>
        <w:tc>
          <w:tcPr>
            <w:tcW w:w="1654" w:type="dxa"/>
            <w:vAlign w:val="center"/>
          </w:tcPr>
          <w:p w14:paraId="1F38DA49" w14:textId="34EF40C6" w:rsidR="006460AB" w:rsidRPr="005D236A" w:rsidRDefault="006460AB" w:rsidP="005610DA">
            <w:pPr>
              <w:spacing w:after="40"/>
              <w:jc w:val="center"/>
              <w:rPr>
                <w:i/>
              </w:rPr>
            </w:pPr>
            <w:r w:rsidRPr="005D236A">
              <w:rPr>
                <w:i/>
              </w:rPr>
              <w:t>$</w:t>
            </w:r>
            <w:r w:rsidR="00C574D4">
              <w:rPr>
                <w:i/>
              </w:rPr>
              <w:t>redacted</w:t>
            </w:r>
          </w:p>
        </w:tc>
        <w:tc>
          <w:tcPr>
            <w:tcW w:w="1654" w:type="dxa"/>
            <w:vAlign w:val="center"/>
          </w:tcPr>
          <w:p w14:paraId="631AE368" w14:textId="3CBB997F" w:rsidR="006460AB" w:rsidRPr="005D236A" w:rsidRDefault="00C574D4" w:rsidP="005610DA">
            <w:pPr>
              <w:spacing w:after="40"/>
              <w:jc w:val="center"/>
              <w:rPr>
                <w:i/>
                <w:color w:val="FF0000"/>
              </w:rPr>
            </w:pPr>
            <w:r w:rsidRPr="005D236A">
              <w:rPr>
                <w:i/>
              </w:rPr>
              <w:t>$</w:t>
            </w:r>
            <w:r>
              <w:rPr>
                <w:i/>
              </w:rPr>
              <w:t>redacted</w:t>
            </w:r>
          </w:p>
        </w:tc>
      </w:tr>
      <w:tr w:rsidR="006460AB" w:rsidRPr="00B271DD" w14:paraId="184E79CC" w14:textId="77777777" w:rsidTr="005610DA">
        <w:tc>
          <w:tcPr>
            <w:tcW w:w="3969" w:type="dxa"/>
          </w:tcPr>
          <w:p w14:paraId="3560DF85" w14:textId="77777777" w:rsidR="006460AB" w:rsidRPr="00F344D6" w:rsidRDefault="006460AB" w:rsidP="005610DA">
            <w:pPr>
              <w:spacing w:after="40"/>
              <w:ind w:left="567"/>
              <w:jc w:val="right"/>
              <w:rPr>
                <w:b/>
              </w:rPr>
            </w:pPr>
            <w:r w:rsidRPr="00F344D6">
              <w:rPr>
                <w:b/>
              </w:rPr>
              <w:t xml:space="preserve">Total </w:t>
            </w:r>
            <w:r>
              <w:rPr>
                <w:b/>
              </w:rPr>
              <w:t xml:space="preserve">discounted </w:t>
            </w:r>
            <w:r w:rsidRPr="00F344D6">
              <w:rPr>
                <w:b/>
              </w:rPr>
              <w:t>costs</w:t>
            </w:r>
            <w:r>
              <w:rPr>
                <w:b/>
              </w:rPr>
              <w:t xml:space="preserve"> over 43 years</w:t>
            </w:r>
          </w:p>
        </w:tc>
        <w:tc>
          <w:tcPr>
            <w:tcW w:w="1654" w:type="dxa"/>
            <w:vAlign w:val="center"/>
          </w:tcPr>
          <w:p w14:paraId="606BB5E0" w14:textId="05F1B791" w:rsidR="006460AB" w:rsidRPr="005D236A" w:rsidRDefault="006460AB" w:rsidP="00513B8C">
            <w:pPr>
              <w:spacing w:after="40"/>
              <w:jc w:val="center"/>
              <w:rPr>
                <w:b/>
                <w:i/>
              </w:rPr>
            </w:pPr>
            <w:r w:rsidRPr="005D236A">
              <w:rPr>
                <w:b/>
                <w:i/>
              </w:rPr>
              <w:t>$</w:t>
            </w:r>
            <w:r w:rsidR="00C574D4">
              <w:rPr>
                <w:b/>
                <w:i/>
              </w:rPr>
              <w:t>redacted</w:t>
            </w:r>
          </w:p>
        </w:tc>
        <w:tc>
          <w:tcPr>
            <w:tcW w:w="1654" w:type="dxa"/>
            <w:vAlign w:val="center"/>
          </w:tcPr>
          <w:p w14:paraId="1F2D33EF" w14:textId="3BC383B8" w:rsidR="006460AB" w:rsidRPr="005D236A" w:rsidRDefault="006460AB" w:rsidP="005610DA">
            <w:pPr>
              <w:spacing w:after="40"/>
              <w:jc w:val="center"/>
              <w:rPr>
                <w:b/>
                <w:i/>
              </w:rPr>
            </w:pPr>
            <w:r w:rsidRPr="005D236A">
              <w:rPr>
                <w:b/>
                <w:i/>
              </w:rPr>
              <w:t>$</w:t>
            </w:r>
            <w:r w:rsidR="00C574D4">
              <w:rPr>
                <w:b/>
                <w:i/>
              </w:rPr>
              <w:t>redacted</w:t>
            </w:r>
          </w:p>
        </w:tc>
        <w:tc>
          <w:tcPr>
            <w:tcW w:w="1654" w:type="dxa"/>
            <w:vAlign w:val="center"/>
          </w:tcPr>
          <w:p w14:paraId="242E1E55" w14:textId="78A732CC" w:rsidR="006460AB" w:rsidRPr="005D236A" w:rsidRDefault="00C574D4" w:rsidP="005610DA">
            <w:pPr>
              <w:spacing w:after="40"/>
              <w:jc w:val="center"/>
              <w:rPr>
                <w:b/>
                <w:i/>
                <w:color w:val="FF0000"/>
              </w:rPr>
            </w:pPr>
            <w:r w:rsidRPr="005D236A">
              <w:rPr>
                <w:b/>
                <w:i/>
              </w:rPr>
              <w:t>$</w:t>
            </w:r>
            <w:r>
              <w:rPr>
                <w:b/>
                <w:i/>
              </w:rPr>
              <w:t>redacted</w:t>
            </w:r>
          </w:p>
        </w:tc>
      </w:tr>
      <w:tr w:rsidR="006460AB" w:rsidRPr="0035691E" w14:paraId="771859FF" w14:textId="77777777" w:rsidTr="005610DA">
        <w:tc>
          <w:tcPr>
            <w:tcW w:w="3969" w:type="dxa"/>
          </w:tcPr>
          <w:p w14:paraId="15A35590" w14:textId="77777777" w:rsidR="006460AB" w:rsidRPr="00187204" w:rsidRDefault="006460AB" w:rsidP="005610DA">
            <w:pPr>
              <w:spacing w:after="40"/>
              <w:jc w:val="both"/>
              <w:rPr>
                <w:b/>
              </w:rPr>
            </w:pPr>
            <w:r>
              <w:rPr>
                <w:b/>
              </w:rPr>
              <w:t>Outcomes</w:t>
            </w:r>
          </w:p>
        </w:tc>
        <w:tc>
          <w:tcPr>
            <w:tcW w:w="1654" w:type="dxa"/>
          </w:tcPr>
          <w:p w14:paraId="36162F9C" w14:textId="77777777" w:rsidR="006460AB" w:rsidRPr="005D236A" w:rsidRDefault="006460AB" w:rsidP="005610DA">
            <w:pPr>
              <w:spacing w:after="40"/>
              <w:jc w:val="center"/>
              <w:rPr>
                <w:i/>
              </w:rPr>
            </w:pPr>
          </w:p>
        </w:tc>
        <w:tc>
          <w:tcPr>
            <w:tcW w:w="1654" w:type="dxa"/>
          </w:tcPr>
          <w:p w14:paraId="0C2D334A" w14:textId="77777777" w:rsidR="006460AB" w:rsidRPr="005D236A" w:rsidRDefault="006460AB" w:rsidP="005610DA">
            <w:pPr>
              <w:spacing w:after="40"/>
              <w:jc w:val="center"/>
              <w:rPr>
                <w:i/>
              </w:rPr>
            </w:pPr>
          </w:p>
        </w:tc>
        <w:tc>
          <w:tcPr>
            <w:tcW w:w="1654" w:type="dxa"/>
          </w:tcPr>
          <w:p w14:paraId="3D155987" w14:textId="77777777" w:rsidR="006460AB" w:rsidRPr="005D236A" w:rsidRDefault="006460AB" w:rsidP="005610DA">
            <w:pPr>
              <w:spacing w:after="40"/>
              <w:jc w:val="center"/>
              <w:rPr>
                <w:i/>
              </w:rPr>
            </w:pPr>
          </w:p>
        </w:tc>
      </w:tr>
      <w:tr w:rsidR="006460AB" w:rsidRPr="00183E4D" w14:paraId="6686753B" w14:textId="77777777" w:rsidTr="005610DA">
        <w:tc>
          <w:tcPr>
            <w:tcW w:w="3969" w:type="dxa"/>
          </w:tcPr>
          <w:p w14:paraId="7C417030" w14:textId="77777777" w:rsidR="006460AB" w:rsidRPr="0035691E" w:rsidRDefault="006460AB" w:rsidP="005610DA">
            <w:pPr>
              <w:spacing w:after="40"/>
              <w:ind w:left="320"/>
            </w:pPr>
            <w:r>
              <w:t>Total discounted life-years over 43 years</w:t>
            </w:r>
          </w:p>
        </w:tc>
        <w:tc>
          <w:tcPr>
            <w:tcW w:w="1654" w:type="dxa"/>
          </w:tcPr>
          <w:p w14:paraId="7579D8A5" w14:textId="6947EC23" w:rsidR="006460AB" w:rsidRPr="005D236A" w:rsidRDefault="00C574D4" w:rsidP="005610DA">
            <w:pPr>
              <w:spacing w:after="40"/>
              <w:jc w:val="center"/>
              <w:rPr>
                <w:i/>
              </w:rPr>
            </w:pPr>
            <w:r>
              <w:rPr>
                <w:i/>
              </w:rPr>
              <w:t>redacted</w:t>
            </w:r>
          </w:p>
        </w:tc>
        <w:tc>
          <w:tcPr>
            <w:tcW w:w="1654" w:type="dxa"/>
          </w:tcPr>
          <w:p w14:paraId="5E7931D8" w14:textId="7A37D7E1" w:rsidR="006460AB" w:rsidRPr="005D236A" w:rsidRDefault="00C574D4" w:rsidP="005610DA">
            <w:pPr>
              <w:spacing w:after="40"/>
              <w:jc w:val="center"/>
              <w:rPr>
                <w:i/>
              </w:rPr>
            </w:pPr>
            <w:r>
              <w:rPr>
                <w:i/>
              </w:rPr>
              <w:t>redacted</w:t>
            </w:r>
          </w:p>
        </w:tc>
        <w:tc>
          <w:tcPr>
            <w:tcW w:w="1654" w:type="dxa"/>
          </w:tcPr>
          <w:p w14:paraId="6A7A07B4" w14:textId="0292DD21" w:rsidR="006460AB" w:rsidRPr="005D236A" w:rsidRDefault="00C574D4" w:rsidP="005610DA">
            <w:pPr>
              <w:spacing w:after="40"/>
              <w:jc w:val="center"/>
              <w:rPr>
                <w:i/>
              </w:rPr>
            </w:pPr>
            <w:r>
              <w:rPr>
                <w:i/>
              </w:rPr>
              <w:t>redacted</w:t>
            </w:r>
          </w:p>
        </w:tc>
      </w:tr>
      <w:tr w:rsidR="006460AB" w:rsidRPr="00183E4D" w14:paraId="33905901" w14:textId="77777777" w:rsidTr="005610DA">
        <w:tc>
          <w:tcPr>
            <w:tcW w:w="7277" w:type="dxa"/>
            <w:gridSpan w:val="3"/>
            <w:vAlign w:val="center"/>
          </w:tcPr>
          <w:p w14:paraId="4F4C4767" w14:textId="77777777" w:rsidR="006460AB" w:rsidRPr="00187204" w:rsidRDefault="006460AB" w:rsidP="005610DA">
            <w:pPr>
              <w:spacing w:after="40"/>
              <w:jc w:val="right"/>
              <w:rPr>
                <w:b/>
              </w:rPr>
            </w:pPr>
            <w:r>
              <w:rPr>
                <w:b/>
              </w:rPr>
              <w:t>Incremental cost per life-year gained over 43 years</w:t>
            </w:r>
          </w:p>
        </w:tc>
        <w:tc>
          <w:tcPr>
            <w:tcW w:w="1654" w:type="dxa"/>
            <w:vAlign w:val="center"/>
          </w:tcPr>
          <w:p w14:paraId="3C5C14A2" w14:textId="77777777" w:rsidR="006460AB" w:rsidRPr="00187204" w:rsidRDefault="006460AB" w:rsidP="005610DA">
            <w:pPr>
              <w:spacing w:after="40"/>
              <w:jc w:val="center"/>
              <w:rPr>
                <w:b/>
                <w:color w:val="000000" w:themeColor="text1"/>
              </w:rPr>
            </w:pPr>
            <w:r>
              <w:rPr>
                <w:b/>
                <w:color w:val="000000" w:themeColor="text1"/>
              </w:rPr>
              <w:t>DOMINANT</w:t>
            </w:r>
          </w:p>
        </w:tc>
      </w:tr>
      <w:tr w:rsidR="006460AB" w:rsidRPr="00183E4D" w14:paraId="66F86389" w14:textId="77777777" w:rsidTr="005610DA">
        <w:tc>
          <w:tcPr>
            <w:tcW w:w="3969" w:type="dxa"/>
            <w:tcBorders>
              <w:bottom w:val="single" w:sz="4" w:space="0" w:color="auto"/>
            </w:tcBorders>
          </w:tcPr>
          <w:p w14:paraId="43B34026" w14:textId="77777777" w:rsidR="006460AB" w:rsidRPr="0035691E" w:rsidRDefault="006460AB" w:rsidP="005610DA">
            <w:pPr>
              <w:spacing w:after="40"/>
              <w:ind w:left="320"/>
            </w:pPr>
            <w:r>
              <w:t>Total discounted QALYs over 43 years</w:t>
            </w:r>
          </w:p>
        </w:tc>
        <w:tc>
          <w:tcPr>
            <w:tcW w:w="1654" w:type="dxa"/>
            <w:tcBorders>
              <w:bottom w:val="single" w:sz="4" w:space="0" w:color="auto"/>
            </w:tcBorders>
          </w:tcPr>
          <w:p w14:paraId="4EB0C1E7" w14:textId="616D6035" w:rsidR="006460AB" w:rsidRPr="005D236A" w:rsidRDefault="00C574D4" w:rsidP="005610DA">
            <w:pPr>
              <w:spacing w:after="40"/>
              <w:jc w:val="center"/>
              <w:rPr>
                <w:i/>
              </w:rPr>
            </w:pPr>
            <w:r>
              <w:rPr>
                <w:i/>
              </w:rPr>
              <w:t>redacted</w:t>
            </w:r>
          </w:p>
        </w:tc>
        <w:tc>
          <w:tcPr>
            <w:tcW w:w="1654" w:type="dxa"/>
            <w:tcBorders>
              <w:bottom w:val="single" w:sz="4" w:space="0" w:color="auto"/>
            </w:tcBorders>
          </w:tcPr>
          <w:p w14:paraId="6E0B9B6C" w14:textId="6BC1CCDD" w:rsidR="006460AB" w:rsidRPr="005D236A" w:rsidRDefault="00C574D4" w:rsidP="005610DA">
            <w:pPr>
              <w:spacing w:after="40"/>
              <w:jc w:val="center"/>
              <w:rPr>
                <w:i/>
              </w:rPr>
            </w:pPr>
            <w:r>
              <w:rPr>
                <w:i/>
              </w:rPr>
              <w:t>redacted</w:t>
            </w:r>
          </w:p>
        </w:tc>
        <w:tc>
          <w:tcPr>
            <w:tcW w:w="1654" w:type="dxa"/>
            <w:tcBorders>
              <w:bottom w:val="single" w:sz="4" w:space="0" w:color="auto"/>
            </w:tcBorders>
          </w:tcPr>
          <w:p w14:paraId="4E567CA3" w14:textId="3475F20A" w:rsidR="006460AB" w:rsidRPr="005D236A" w:rsidRDefault="00C574D4" w:rsidP="005610DA">
            <w:pPr>
              <w:spacing w:after="40"/>
              <w:jc w:val="center"/>
              <w:rPr>
                <w:i/>
              </w:rPr>
            </w:pPr>
            <w:r>
              <w:rPr>
                <w:i/>
              </w:rPr>
              <w:t>redacted</w:t>
            </w:r>
          </w:p>
        </w:tc>
      </w:tr>
      <w:tr w:rsidR="006460AB" w:rsidRPr="00183E4D" w14:paraId="0573D44F" w14:textId="77777777" w:rsidTr="005610DA">
        <w:tc>
          <w:tcPr>
            <w:tcW w:w="7277" w:type="dxa"/>
            <w:gridSpan w:val="3"/>
            <w:tcBorders>
              <w:bottom w:val="single" w:sz="4" w:space="0" w:color="auto"/>
            </w:tcBorders>
            <w:vAlign w:val="center"/>
          </w:tcPr>
          <w:p w14:paraId="620F754E" w14:textId="77777777" w:rsidR="006460AB" w:rsidRPr="00187204" w:rsidRDefault="006460AB" w:rsidP="005610DA">
            <w:pPr>
              <w:spacing w:after="40"/>
              <w:jc w:val="right"/>
              <w:rPr>
                <w:b/>
              </w:rPr>
            </w:pPr>
            <w:r>
              <w:rPr>
                <w:b/>
              </w:rPr>
              <w:t>Incremental cost per QALY gained over 43 years</w:t>
            </w:r>
          </w:p>
        </w:tc>
        <w:tc>
          <w:tcPr>
            <w:tcW w:w="1654" w:type="dxa"/>
            <w:tcBorders>
              <w:bottom w:val="single" w:sz="4" w:space="0" w:color="auto"/>
            </w:tcBorders>
            <w:vAlign w:val="center"/>
          </w:tcPr>
          <w:p w14:paraId="061418D1" w14:textId="77777777" w:rsidR="006460AB" w:rsidRDefault="006460AB" w:rsidP="005610DA">
            <w:pPr>
              <w:spacing w:after="40"/>
              <w:jc w:val="center"/>
              <w:rPr>
                <w:b/>
                <w:color w:val="000000" w:themeColor="text1"/>
              </w:rPr>
            </w:pPr>
            <w:r>
              <w:rPr>
                <w:b/>
                <w:color w:val="000000" w:themeColor="text1"/>
              </w:rPr>
              <w:t>DOMINANT</w:t>
            </w:r>
          </w:p>
          <w:p w14:paraId="4C08B77B" w14:textId="77777777" w:rsidR="006460AB" w:rsidRPr="00187204" w:rsidRDefault="006460AB" w:rsidP="005610DA">
            <w:pPr>
              <w:spacing w:after="40"/>
              <w:jc w:val="center"/>
              <w:rPr>
                <w:b/>
                <w:color w:val="000000" w:themeColor="text1"/>
              </w:rPr>
            </w:pPr>
            <w:r>
              <w:rPr>
                <w:b/>
                <w:color w:val="000000" w:themeColor="text1"/>
              </w:rPr>
              <w:t>(Less costly and more effective)</w:t>
            </w:r>
          </w:p>
        </w:tc>
      </w:tr>
    </w:tbl>
    <w:p w14:paraId="47A4A062" w14:textId="77777777" w:rsidR="006460AB" w:rsidRPr="00F65CE0" w:rsidRDefault="006460AB" w:rsidP="006460AB">
      <w:pPr>
        <w:pStyle w:val="TFAbbrevs0"/>
      </w:pPr>
      <w:r w:rsidRPr="00F65CE0">
        <w:t xml:space="preserve">Source: </w:t>
      </w:r>
      <w:r>
        <w:rPr>
          <w:i/>
        </w:rPr>
        <w:t>Rec</w:t>
      </w:r>
      <w:r w:rsidRPr="000C32E6">
        <w:rPr>
          <w:i/>
        </w:rPr>
        <w:t>alculated during the evaluation incorporating the updated fee for insertion of devices</w:t>
      </w:r>
      <w:r>
        <w:rPr>
          <w:i/>
        </w:rPr>
        <w:t>, applying complete occlusion rates and retreatment rates that are not reweighted,</w:t>
      </w:r>
      <w:r w:rsidRPr="000C32E6">
        <w:rPr>
          <w:i/>
        </w:rPr>
        <w:t xml:space="preserve"> and </w:t>
      </w:r>
      <w:r>
        <w:rPr>
          <w:i/>
        </w:rPr>
        <w:t>applying the corrected cost of treatment of acute rupture a</w:t>
      </w:r>
      <w:r w:rsidRPr="00DC6A22">
        <w:rPr>
          <w:i/>
        </w:rPr>
        <w:t xml:space="preserve">t the chance node where patients in post-RIA health states have been at risk of </w:t>
      </w:r>
      <w:proofErr w:type="spellStart"/>
      <w:r w:rsidRPr="00DC6A22">
        <w:rPr>
          <w:i/>
        </w:rPr>
        <w:t>rerupture</w:t>
      </w:r>
      <w:proofErr w:type="spellEnd"/>
      <w:r w:rsidRPr="00DC6A22">
        <w:rPr>
          <w:i/>
        </w:rPr>
        <w:t>, have survived the rupture and “Receive treatment” for the rupture</w:t>
      </w:r>
      <w:r>
        <w:rPr>
          <w:i/>
        </w:rPr>
        <w:t>.</w:t>
      </w:r>
      <w:r w:rsidDel="00CF0DD4">
        <w:rPr>
          <w:rStyle w:val="CommentReference"/>
          <w:rFonts w:ascii="Calibri" w:hAnsi="Calibri" w:cs="Tahoma"/>
          <w:color w:val="auto"/>
          <w:szCs w:val="22"/>
        </w:rPr>
        <w:t xml:space="preserve"> </w:t>
      </w:r>
    </w:p>
    <w:p w14:paraId="3468EAA3" w14:textId="7A61A6EB" w:rsidR="006460AB" w:rsidRPr="0093163F" w:rsidRDefault="006460AB" w:rsidP="0093163F">
      <w:pPr>
        <w:contextualSpacing/>
        <w:jc w:val="both"/>
        <w:rPr>
          <w:rFonts w:ascii="Arial Narrow" w:hAnsi="Arial Narrow"/>
          <w:sz w:val="18"/>
        </w:rPr>
      </w:pPr>
      <w:r w:rsidRPr="00F65CE0">
        <w:rPr>
          <w:rFonts w:ascii="Arial Narrow" w:hAnsi="Arial Narrow"/>
          <w:sz w:val="18"/>
        </w:rPr>
        <w:t>Abbreviations: CS = coiling ± stenting; FD = flow diversion; QALY = quality-adjusted life-year; RIA = ruptured intracranial aneurysm; SBA = submission-based assessment; UIA =</w:t>
      </w:r>
      <w:r w:rsidR="0093163F">
        <w:rPr>
          <w:rFonts w:ascii="Arial Narrow" w:hAnsi="Arial Narrow"/>
          <w:sz w:val="18"/>
        </w:rPr>
        <w:t xml:space="preserve"> ruptured intracranial aneurysm</w:t>
      </w:r>
    </w:p>
    <w:p w14:paraId="37FE4BC1" w14:textId="77777777" w:rsidR="006460AB" w:rsidRDefault="006460AB" w:rsidP="006460AB">
      <w:pPr>
        <w:pStyle w:val="Heading2"/>
      </w:pPr>
      <w:r>
        <w:t xml:space="preserve">Populations 3 and 4 (difficult to treat and </w:t>
      </w:r>
      <w:proofErr w:type="spellStart"/>
      <w:r>
        <w:t>recanalised</w:t>
      </w:r>
      <w:proofErr w:type="spellEnd"/>
      <w:r>
        <w:t>/recurrent aneurysms)</w:t>
      </w:r>
    </w:p>
    <w:p w14:paraId="31ACEB1A" w14:textId="77777777" w:rsidR="006460AB" w:rsidRDefault="006460AB" w:rsidP="006460AB">
      <w:pPr>
        <w:rPr>
          <w:rStyle w:val="Heading2Char"/>
          <w:rFonts w:cs="Times New Roman"/>
          <w:bCs/>
          <w:i w:val="0"/>
        </w:rPr>
      </w:pPr>
      <w:r w:rsidRPr="003251D4">
        <w:t>No economic evaluations are provided for Populations 3 or 4.</w:t>
      </w:r>
    </w:p>
    <w:p w14:paraId="0DB0DE6A" w14:textId="376024F8" w:rsidR="006460AB" w:rsidRPr="0093163F" w:rsidRDefault="006460AB" w:rsidP="00242873">
      <w:pPr>
        <w:spacing w:before="240" w:after="240"/>
        <w:rPr>
          <w:rStyle w:val="Emphasis"/>
          <w:rFonts w:ascii="Times New Roman" w:hAnsi="Times New Roman"/>
          <w:i w:val="0"/>
        </w:rPr>
      </w:pPr>
      <w:r w:rsidRPr="0093163F">
        <w:rPr>
          <w:rStyle w:val="Emphasis"/>
          <w:rFonts w:ascii="Times New Roman" w:hAnsi="Times New Roman"/>
          <w:i w:val="0"/>
        </w:rPr>
        <w:t xml:space="preserve">The </w:t>
      </w:r>
      <w:r w:rsidR="0093163F" w:rsidRPr="0093163F">
        <w:rPr>
          <w:rStyle w:val="Emphasis"/>
          <w:rFonts w:ascii="Times New Roman" w:hAnsi="Times New Roman"/>
          <w:i w:val="0"/>
        </w:rPr>
        <w:t>application</w:t>
      </w:r>
      <w:r w:rsidRPr="0093163F">
        <w:rPr>
          <w:rStyle w:val="Emphasis"/>
          <w:rFonts w:ascii="Times New Roman" w:hAnsi="Times New Roman"/>
          <w:i w:val="0"/>
        </w:rPr>
        <w:t xml:space="preserve"> considers that there is insufficient clinical evidence to support modelling of the cost-effectiveness of FD in Populations 3 and 4. The submission noted that the proportion of patients with complete occlusion in Populations 3 and 4 were 73.8% (56.3% - 93.3%) and 67% (range 53.8% - 94.4%) respectively. It claims that these estimates are reasonably comparable to those observed in the FD treated patients in Populations 1 and 2 (</w:t>
      </w:r>
      <w:r w:rsidR="00242873">
        <w:rPr>
          <w:rStyle w:val="Emphasis"/>
          <w:rFonts w:ascii="Times New Roman" w:hAnsi="Times New Roman"/>
          <w:i w:val="0"/>
        </w:rPr>
        <w:t>77.6% and 78.8%, respectively).</w:t>
      </w:r>
    </w:p>
    <w:p w14:paraId="2A37700C" w14:textId="3A4B717F" w:rsidR="006460AB" w:rsidRDefault="006460AB" w:rsidP="00242873">
      <w:pPr>
        <w:spacing w:before="240" w:after="240"/>
      </w:pPr>
      <w:r w:rsidRPr="0093163F">
        <w:rPr>
          <w:rStyle w:val="Emphasis"/>
          <w:rFonts w:ascii="Times New Roman" w:hAnsi="Times New Roman"/>
          <w:i w:val="0"/>
        </w:rPr>
        <w:t xml:space="preserve">Thus, the </w:t>
      </w:r>
      <w:r w:rsidR="0093163F" w:rsidRPr="0093163F">
        <w:rPr>
          <w:rStyle w:val="Emphasis"/>
          <w:rFonts w:ascii="Times New Roman" w:hAnsi="Times New Roman"/>
          <w:i w:val="0"/>
        </w:rPr>
        <w:t>application</w:t>
      </w:r>
      <w:r w:rsidRPr="0093163F">
        <w:rPr>
          <w:rStyle w:val="Emphasis"/>
          <w:rFonts w:ascii="Times New Roman" w:hAnsi="Times New Roman"/>
          <w:i w:val="0"/>
        </w:rPr>
        <w:t xml:space="preserve"> asserts it might</w:t>
      </w:r>
      <w:r>
        <w:rPr>
          <w:rStyle w:val="Emphasis"/>
        </w:rPr>
        <w:t xml:space="preserve"> </w:t>
      </w:r>
      <w:r w:rsidRPr="003251D4">
        <w:t xml:space="preserve">be reasonable to assume results for the Populations 1 and 2 are applicable given that the proportion of patients with complete occlusion in Populations 3 and 4 are similar to those observed in the FD treated patients in </w:t>
      </w:r>
      <w:r>
        <w:t>P</w:t>
      </w:r>
      <w:r w:rsidR="005610DA">
        <w:t>opulations 1 and 2.</w:t>
      </w:r>
    </w:p>
    <w:p w14:paraId="2BD238AE" w14:textId="77777777" w:rsidR="006460AB" w:rsidRDefault="006460AB" w:rsidP="006460AB">
      <w:pPr>
        <w:rPr>
          <w:i/>
        </w:rPr>
      </w:pPr>
      <w:r w:rsidRPr="003251D4">
        <w:t xml:space="preserve">However, </w:t>
      </w:r>
      <w:r>
        <w:t xml:space="preserve">the Critique stated this </w:t>
      </w:r>
      <w:r w:rsidRPr="003251D4">
        <w:t>claim is not valid because background risks of rupture vary from population to population and because the comparator will be different or could perform differently in the different populations.</w:t>
      </w:r>
    </w:p>
    <w:p w14:paraId="1E4BE8FF" w14:textId="77777777" w:rsidR="008A749F" w:rsidRPr="00F715D1" w:rsidRDefault="008A749F" w:rsidP="008A749F">
      <w:pPr>
        <w:pStyle w:val="Heading1"/>
      </w:pPr>
      <w:r w:rsidRPr="00F715D1">
        <w:lastRenderedPageBreak/>
        <w:t>Financial/budgetary impacts</w:t>
      </w:r>
    </w:p>
    <w:p w14:paraId="613652B4" w14:textId="75702F2E" w:rsidR="006460AB" w:rsidRDefault="006460AB" w:rsidP="006460AB">
      <w:pPr>
        <w:spacing w:after="240"/>
      </w:pPr>
      <w:r w:rsidRPr="00104574">
        <w:rPr>
          <w:szCs w:val="24"/>
        </w:rPr>
        <w:t xml:space="preserve">A market share approach has been used to estimate the financial implications of MBS listing FD for the treatment of UIAs. The expected MBS market is based on current utilisation of coiling (35412) and clipping (39800) services summarised in </w:t>
      </w:r>
      <w:r>
        <w:rPr>
          <w:szCs w:val="24"/>
        </w:rPr>
        <w:t>Table 1</w:t>
      </w:r>
      <w:r w:rsidR="00584C7E">
        <w:rPr>
          <w:szCs w:val="24"/>
        </w:rPr>
        <w:t>4</w:t>
      </w:r>
      <w:r>
        <w:rPr>
          <w:szCs w:val="24"/>
        </w:rPr>
        <w:t>.</w:t>
      </w:r>
      <w:r w:rsidRPr="00104574">
        <w:rPr>
          <w:szCs w:val="24"/>
        </w:rPr>
        <w:t xml:space="preserve"> </w:t>
      </w:r>
      <w:r>
        <w:rPr>
          <w:szCs w:val="24"/>
        </w:rPr>
        <w:t xml:space="preserve">The </w:t>
      </w:r>
      <w:r w:rsidR="0093163F">
        <w:rPr>
          <w:szCs w:val="24"/>
        </w:rPr>
        <w:t>application</w:t>
      </w:r>
      <w:r>
        <w:rPr>
          <w:szCs w:val="24"/>
        </w:rPr>
        <w:t xml:space="preserve"> stated a</w:t>
      </w:r>
      <w:r w:rsidRPr="00DE6B00">
        <w:rPr>
          <w:szCs w:val="24"/>
        </w:rPr>
        <w:t>s all these services have the same MBS fee, FD listing is not expected to result in fi</w:t>
      </w:r>
      <w:r>
        <w:rPr>
          <w:szCs w:val="24"/>
        </w:rPr>
        <w:t>nancial impl</w:t>
      </w:r>
      <w:r w:rsidR="005610DA">
        <w:rPr>
          <w:szCs w:val="24"/>
        </w:rPr>
        <w:t>ications to the MBS (Table 1</w:t>
      </w:r>
      <w:r w:rsidR="00584C7E">
        <w:rPr>
          <w:szCs w:val="24"/>
        </w:rPr>
        <w:t>4</w:t>
      </w:r>
      <w:r w:rsidR="005610DA">
        <w:rPr>
          <w:szCs w:val="24"/>
        </w:rPr>
        <w:t>).</w:t>
      </w:r>
    </w:p>
    <w:p w14:paraId="7C0FBBF2" w14:textId="29C46DC3" w:rsidR="006460AB" w:rsidRPr="004B35C9" w:rsidRDefault="006460AB" w:rsidP="004B35C9">
      <w:pPr>
        <w:rPr>
          <w:rFonts w:ascii="Arial Narrow" w:hAnsi="Arial Narrow"/>
          <w:b/>
          <w:sz w:val="20"/>
        </w:rPr>
      </w:pPr>
      <w:bookmarkStart w:id="39" w:name="_Ref404372077"/>
      <w:bookmarkStart w:id="40" w:name="_Toc393197779"/>
      <w:bookmarkStart w:id="41" w:name="_Toc393378192"/>
      <w:bookmarkStart w:id="42" w:name="_Toc399251128"/>
      <w:r w:rsidRPr="004B35C9">
        <w:rPr>
          <w:rFonts w:ascii="Arial Narrow" w:hAnsi="Arial Narrow"/>
          <w:b/>
          <w:sz w:val="20"/>
        </w:rPr>
        <w:t xml:space="preserve">Table </w:t>
      </w:r>
      <w:bookmarkEnd w:id="39"/>
      <w:r w:rsidRPr="004B35C9">
        <w:rPr>
          <w:rFonts w:ascii="Arial Narrow" w:hAnsi="Arial Narrow"/>
          <w:b/>
          <w:sz w:val="20"/>
        </w:rPr>
        <w:t>1</w:t>
      </w:r>
      <w:r w:rsidR="00584C7E" w:rsidRPr="004B35C9">
        <w:rPr>
          <w:rFonts w:ascii="Arial Narrow" w:hAnsi="Arial Narrow"/>
          <w:b/>
          <w:sz w:val="20"/>
        </w:rPr>
        <w:t>4</w:t>
      </w:r>
      <w:r w:rsidRPr="004B35C9">
        <w:rPr>
          <w:rFonts w:ascii="Arial Narrow" w:hAnsi="Arial Narrow"/>
          <w:b/>
          <w:sz w:val="20"/>
        </w:rPr>
        <w:tab/>
        <w:t xml:space="preserve">Total costs to the MBS associated with </w:t>
      </w:r>
      <w:bookmarkEnd w:id="40"/>
      <w:bookmarkEnd w:id="41"/>
      <w:bookmarkEnd w:id="42"/>
      <w:r w:rsidRPr="004B35C9">
        <w:rPr>
          <w:rFonts w:ascii="Arial Narrow" w:hAnsi="Arial Narrow"/>
          <w:b/>
          <w:sz w:val="20"/>
        </w:rPr>
        <w:t xml:space="preserve">insertion of FDD </w:t>
      </w:r>
    </w:p>
    <w:tbl>
      <w:tblPr>
        <w:tblStyle w:val="TableGrid1"/>
        <w:tblW w:w="5000" w:type="pct"/>
        <w:tblLook w:val="04A0" w:firstRow="1" w:lastRow="0" w:firstColumn="1" w:lastColumn="0" w:noHBand="0" w:noVBand="1"/>
        <w:tblCaption w:val="Table 9 Total costs to the MBS associated with XXX"/>
        <w:tblDescription w:val="This table provides a summary of the financial impact of the proposed new medical service over the next five years."/>
      </w:tblPr>
      <w:tblGrid>
        <w:gridCol w:w="2377"/>
        <w:gridCol w:w="1325"/>
        <w:gridCol w:w="1327"/>
        <w:gridCol w:w="1329"/>
        <w:gridCol w:w="1329"/>
        <w:gridCol w:w="1329"/>
      </w:tblGrid>
      <w:tr w:rsidR="006460AB" w:rsidRPr="00183E4D" w14:paraId="14DC691F" w14:textId="77777777" w:rsidTr="004B35C9">
        <w:trPr>
          <w:cnfStyle w:val="100000000000" w:firstRow="1" w:lastRow="0" w:firstColumn="0" w:lastColumn="0" w:oddVBand="0" w:evenVBand="0" w:oddHBand="0" w:evenHBand="0" w:firstRowFirstColumn="0" w:firstRowLastColumn="0" w:lastRowFirstColumn="0" w:lastRowLastColumn="0"/>
          <w:trHeight w:val="300"/>
          <w:tblHeader/>
        </w:trPr>
        <w:tc>
          <w:tcPr>
            <w:tcW w:w="1318" w:type="pct"/>
          </w:tcPr>
          <w:p w14:paraId="02AA3D16" w14:textId="77777777" w:rsidR="006460AB" w:rsidRPr="00183E4D" w:rsidRDefault="006460AB" w:rsidP="005610DA">
            <w:pPr>
              <w:keepNext/>
              <w:tabs>
                <w:tab w:val="left" w:pos="851"/>
              </w:tabs>
              <w:spacing w:after="40"/>
              <w:ind w:left="851" w:hanging="851"/>
              <w:rPr>
                <w:b w:val="0"/>
              </w:rPr>
            </w:pPr>
            <w:r w:rsidRPr="00183E4D">
              <w:rPr>
                <w:b w:val="0"/>
                <w:color w:val="FFFFFF" w:themeColor="background1"/>
              </w:rPr>
              <w:t>-</w:t>
            </w:r>
          </w:p>
        </w:tc>
        <w:tc>
          <w:tcPr>
            <w:tcW w:w="735" w:type="pct"/>
          </w:tcPr>
          <w:p w14:paraId="57F6265E" w14:textId="77777777" w:rsidR="006460AB" w:rsidRPr="00183E4D" w:rsidRDefault="006460AB" w:rsidP="005610DA">
            <w:pPr>
              <w:keepNext/>
              <w:tabs>
                <w:tab w:val="left" w:pos="851"/>
              </w:tabs>
              <w:spacing w:after="40"/>
              <w:ind w:left="851" w:hanging="851"/>
              <w:jc w:val="center"/>
              <w:rPr>
                <w:b w:val="0"/>
              </w:rPr>
            </w:pPr>
            <w:r w:rsidRPr="00183E4D">
              <w:rPr>
                <w:b w:val="0"/>
              </w:rPr>
              <w:t>2015-16</w:t>
            </w:r>
          </w:p>
        </w:tc>
        <w:tc>
          <w:tcPr>
            <w:tcW w:w="736" w:type="pct"/>
          </w:tcPr>
          <w:p w14:paraId="192AD8E4" w14:textId="77777777" w:rsidR="006460AB" w:rsidRPr="00183E4D" w:rsidRDefault="006460AB" w:rsidP="005610DA">
            <w:pPr>
              <w:keepNext/>
              <w:tabs>
                <w:tab w:val="left" w:pos="851"/>
              </w:tabs>
              <w:spacing w:after="40"/>
              <w:ind w:left="851" w:hanging="851"/>
              <w:jc w:val="center"/>
              <w:rPr>
                <w:b w:val="0"/>
              </w:rPr>
            </w:pPr>
            <w:r w:rsidRPr="00183E4D">
              <w:rPr>
                <w:b w:val="0"/>
              </w:rPr>
              <w:t>2016-17</w:t>
            </w:r>
          </w:p>
        </w:tc>
        <w:tc>
          <w:tcPr>
            <w:tcW w:w="737" w:type="pct"/>
          </w:tcPr>
          <w:p w14:paraId="1BCF6D29" w14:textId="77777777" w:rsidR="006460AB" w:rsidRPr="00183E4D" w:rsidRDefault="006460AB" w:rsidP="005610DA">
            <w:pPr>
              <w:keepNext/>
              <w:tabs>
                <w:tab w:val="left" w:pos="851"/>
              </w:tabs>
              <w:spacing w:after="40"/>
              <w:ind w:left="851" w:hanging="851"/>
              <w:jc w:val="center"/>
              <w:rPr>
                <w:b w:val="0"/>
              </w:rPr>
            </w:pPr>
            <w:r w:rsidRPr="00183E4D">
              <w:rPr>
                <w:b w:val="0"/>
              </w:rPr>
              <w:t>2017-18</w:t>
            </w:r>
          </w:p>
        </w:tc>
        <w:tc>
          <w:tcPr>
            <w:tcW w:w="737" w:type="pct"/>
          </w:tcPr>
          <w:p w14:paraId="7F9B788F" w14:textId="77777777" w:rsidR="006460AB" w:rsidRPr="00183E4D" w:rsidRDefault="006460AB" w:rsidP="005610DA">
            <w:pPr>
              <w:keepNext/>
              <w:tabs>
                <w:tab w:val="left" w:pos="851"/>
              </w:tabs>
              <w:spacing w:after="40"/>
              <w:ind w:left="851" w:hanging="851"/>
              <w:jc w:val="center"/>
              <w:rPr>
                <w:b w:val="0"/>
              </w:rPr>
            </w:pPr>
            <w:r w:rsidRPr="00183E4D">
              <w:rPr>
                <w:b w:val="0"/>
              </w:rPr>
              <w:t>2018-19</w:t>
            </w:r>
          </w:p>
        </w:tc>
        <w:tc>
          <w:tcPr>
            <w:tcW w:w="737" w:type="pct"/>
          </w:tcPr>
          <w:p w14:paraId="0A6D0EC6" w14:textId="77777777" w:rsidR="006460AB" w:rsidRPr="00183E4D" w:rsidRDefault="006460AB" w:rsidP="005610DA">
            <w:pPr>
              <w:keepNext/>
              <w:tabs>
                <w:tab w:val="left" w:pos="851"/>
              </w:tabs>
              <w:spacing w:after="40"/>
              <w:ind w:left="851" w:hanging="851"/>
              <w:jc w:val="center"/>
              <w:rPr>
                <w:b w:val="0"/>
              </w:rPr>
            </w:pPr>
            <w:r w:rsidRPr="00183E4D">
              <w:rPr>
                <w:b w:val="0"/>
              </w:rPr>
              <w:t>2019-20</w:t>
            </w:r>
          </w:p>
        </w:tc>
      </w:tr>
      <w:tr w:rsidR="006460AB" w:rsidRPr="00AD2492" w14:paraId="61A897D8" w14:textId="77777777" w:rsidTr="004B35C9">
        <w:trPr>
          <w:trHeight w:val="300"/>
        </w:trPr>
        <w:tc>
          <w:tcPr>
            <w:tcW w:w="1318" w:type="pct"/>
          </w:tcPr>
          <w:p w14:paraId="66B97DA9" w14:textId="77777777" w:rsidR="006460AB" w:rsidRPr="00AD2492" w:rsidRDefault="006460AB" w:rsidP="005610DA">
            <w:pPr>
              <w:widowControl w:val="0"/>
              <w:tabs>
                <w:tab w:val="left" w:pos="851"/>
              </w:tabs>
              <w:spacing w:after="40"/>
              <w:jc w:val="both"/>
              <w:rPr>
                <w:b/>
              </w:rPr>
            </w:pPr>
            <w:r>
              <w:rPr>
                <w:b/>
              </w:rPr>
              <w:t>FDD insertion</w:t>
            </w:r>
          </w:p>
        </w:tc>
        <w:tc>
          <w:tcPr>
            <w:tcW w:w="735" w:type="pct"/>
          </w:tcPr>
          <w:p w14:paraId="7516AD75" w14:textId="77777777" w:rsidR="006460AB" w:rsidRPr="00AD2492" w:rsidRDefault="006460AB" w:rsidP="005610DA">
            <w:pPr>
              <w:widowControl w:val="0"/>
              <w:spacing w:after="40"/>
              <w:jc w:val="right"/>
              <w:rPr>
                <w:b/>
                <w:color w:val="FFFFFF" w:themeColor="background1"/>
              </w:rPr>
            </w:pPr>
            <w:r w:rsidRPr="00AD2492">
              <w:rPr>
                <w:b/>
                <w:color w:val="FFFFFF" w:themeColor="background1"/>
              </w:rPr>
              <w:t>-</w:t>
            </w:r>
          </w:p>
        </w:tc>
        <w:tc>
          <w:tcPr>
            <w:tcW w:w="736" w:type="pct"/>
          </w:tcPr>
          <w:p w14:paraId="02096562" w14:textId="77777777" w:rsidR="006460AB" w:rsidRPr="00AD2492" w:rsidRDefault="006460AB" w:rsidP="005610DA">
            <w:pPr>
              <w:widowControl w:val="0"/>
              <w:spacing w:after="40"/>
              <w:jc w:val="right"/>
              <w:rPr>
                <w:b/>
                <w:color w:val="FFFFFF" w:themeColor="background1"/>
              </w:rPr>
            </w:pPr>
            <w:r w:rsidRPr="00AD2492">
              <w:rPr>
                <w:b/>
                <w:color w:val="FFFFFF" w:themeColor="background1"/>
              </w:rPr>
              <w:t>-</w:t>
            </w:r>
          </w:p>
        </w:tc>
        <w:tc>
          <w:tcPr>
            <w:tcW w:w="737" w:type="pct"/>
          </w:tcPr>
          <w:p w14:paraId="3D830817" w14:textId="77777777" w:rsidR="006460AB" w:rsidRPr="00AD2492" w:rsidRDefault="006460AB" w:rsidP="005610DA">
            <w:pPr>
              <w:widowControl w:val="0"/>
              <w:spacing w:after="40"/>
              <w:jc w:val="right"/>
              <w:rPr>
                <w:b/>
                <w:color w:val="FFFFFF" w:themeColor="background1"/>
              </w:rPr>
            </w:pPr>
            <w:r w:rsidRPr="00AD2492">
              <w:rPr>
                <w:b/>
                <w:color w:val="FFFFFF" w:themeColor="background1"/>
              </w:rPr>
              <w:t>-</w:t>
            </w:r>
          </w:p>
        </w:tc>
        <w:tc>
          <w:tcPr>
            <w:tcW w:w="737" w:type="pct"/>
          </w:tcPr>
          <w:p w14:paraId="66DA29A1" w14:textId="77777777" w:rsidR="006460AB" w:rsidRPr="00AD2492" w:rsidRDefault="006460AB" w:rsidP="005610DA">
            <w:pPr>
              <w:widowControl w:val="0"/>
              <w:spacing w:after="40"/>
              <w:jc w:val="right"/>
              <w:rPr>
                <w:b/>
                <w:color w:val="FFFFFF" w:themeColor="background1"/>
              </w:rPr>
            </w:pPr>
            <w:r w:rsidRPr="00AD2492">
              <w:rPr>
                <w:b/>
                <w:color w:val="FFFFFF" w:themeColor="background1"/>
              </w:rPr>
              <w:t>-</w:t>
            </w:r>
          </w:p>
        </w:tc>
        <w:tc>
          <w:tcPr>
            <w:tcW w:w="737" w:type="pct"/>
          </w:tcPr>
          <w:p w14:paraId="5A7BFD13" w14:textId="77777777" w:rsidR="006460AB" w:rsidRPr="00AD2492" w:rsidRDefault="006460AB" w:rsidP="005610DA">
            <w:pPr>
              <w:widowControl w:val="0"/>
              <w:spacing w:after="40"/>
              <w:jc w:val="right"/>
              <w:rPr>
                <w:b/>
                <w:color w:val="FFFFFF" w:themeColor="background1"/>
              </w:rPr>
            </w:pPr>
            <w:r w:rsidRPr="00AD2492">
              <w:rPr>
                <w:b/>
                <w:color w:val="FFFFFF" w:themeColor="background1"/>
              </w:rPr>
              <w:t>-</w:t>
            </w:r>
          </w:p>
        </w:tc>
      </w:tr>
      <w:tr w:rsidR="006460AB" w:rsidRPr="00AD2492" w14:paraId="11DF6438" w14:textId="77777777" w:rsidTr="004B35C9">
        <w:trPr>
          <w:trHeight w:val="315"/>
        </w:trPr>
        <w:tc>
          <w:tcPr>
            <w:tcW w:w="1318" w:type="pct"/>
          </w:tcPr>
          <w:p w14:paraId="1BD6206C" w14:textId="77777777" w:rsidR="006460AB" w:rsidRPr="000F4987" w:rsidRDefault="006460AB" w:rsidP="005610DA">
            <w:pPr>
              <w:widowControl w:val="0"/>
              <w:spacing w:after="40"/>
            </w:pPr>
            <w:r w:rsidRPr="000F4987">
              <w:t>Population 1</w:t>
            </w:r>
          </w:p>
        </w:tc>
        <w:tc>
          <w:tcPr>
            <w:tcW w:w="735" w:type="pct"/>
          </w:tcPr>
          <w:p w14:paraId="00A698BE" w14:textId="77777777" w:rsidR="006460AB" w:rsidRPr="000F4987" w:rsidRDefault="006460AB" w:rsidP="005610DA">
            <w:pPr>
              <w:widowControl w:val="0"/>
              <w:spacing w:after="40"/>
              <w:jc w:val="center"/>
            </w:pPr>
            <w:r w:rsidRPr="00F37630">
              <w:t>38</w:t>
            </w:r>
          </w:p>
        </w:tc>
        <w:tc>
          <w:tcPr>
            <w:tcW w:w="736" w:type="pct"/>
          </w:tcPr>
          <w:p w14:paraId="123E6BC5" w14:textId="77777777" w:rsidR="006460AB" w:rsidRPr="000F4987" w:rsidRDefault="006460AB" w:rsidP="005610DA">
            <w:pPr>
              <w:widowControl w:val="0"/>
              <w:spacing w:after="40"/>
              <w:jc w:val="center"/>
            </w:pPr>
            <w:r w:rsidRPr="00F37630">
              <w:t>50</w:t>
            </w:r>
          </w:p>
        </w:tc>
        <w:tc>
          <w:tcPr>
            <w:tcW w:w="737" w:type="pct"/>
          </w:tcPr>
          <w:p w14:paraId="7FB927A0" w14:textId="77777777" w:rsidR="006460AB" w:rsidRPr="000F4987" w:rsidRDefault="006460AB" w:rsidP="005610DA">
            <w:pPr>
              <w:widowControl w:val="0"/>
              <w:spacing w:after="40"/>
              <w:jc w:val="center"/>
            </w:pPr>
            <w:r w:rsidRPr="00F37630">
              <w:t>62</w:t>
            </w:r>
          </w:p>
        </w:tc>
        <w:tc>
          <w:tcPr>
            <w:tcW w:w="737" w:type="pct"/>
          </w:tcPr>
          <w:p w14:paraId="7D322044" w14:textId="77777777" w:rsidR="006460AB" w:rsidRPr="000F4987" w:rsidRDefault="006460AB" w:rsidP="005610DA">
            <w:pPr>
              <w:widowControl w:val="0"/>
              <w:spacing w:after="40"/>
              <w:jc w:val="center"/>
            </w:pPr>
            <w:r w:rsidRPr="00F37630">
              <w:t>75</w:t>
            </w:r>
          </w:p>
        </w:tc>
        <w:tc>
          <w:tcPr>
            <w:tcW w:w="737" w:type="pct"/>
          </w:tcPr>
          <w:p w14:paraId="070CD1F5" w14:textId="77777777" w:rsidR="006460AB" w:rsidRPr="000F4987" w:rsidRDefault="006460AB" w:rsidP="005610DA">
            <w:pPr>
              <w:widowControl w:val="0"/>
              <w:spacing w:after="40"/>
              <w:jc w:val="center"/>
            </w:pPr>
            <w:r w:rsidRPr="00F37630">
              <w:t>89</w:t>
            </w:r>
          </w:p>
        </w:tc>
      </w:tr>
      <w:tr w:rsidR="006460AB" w:rsidRPr="00AD2492" w14:paraId="062A246D" w14:textId="77777777" w:rsidTr="004B35C9">
        <w:trPr>
          <w:trHeight w:val="315"/>
        </w:trPr>
        <w:tc>
          <w:tcPr>
            <w:tcW w:w="1318" w:type="pct"/>
          </w:tcPr>
          <w:p w14:paraId="4214855F" w14:textId="77777777" w:rsidR="006460AB" w:rsidRPr="000F4987" w:rsidRDefault="006460AB" w:rsidP="005610DA">
            <w:pPr>
              <w:widowControl w:val="0"/>
              <w:spacing w:after="40"/>
            </w:pPr>
            <w:r>
              <w:t>Population 2</w:t>
            </w:r>
          </w:p>
        </w:tc>
        <w:tc>
          <w:tcPr>
            <w:tcW w:w="735" w:type="pct"/>
          </w:tcPr>
          <w:p w14:paraId="284D5CDD" w14:textId="77777777" w:rsidR="006460AB" w:rsidRPr="000F4987" w:rsidRDefault="006460AB" w:rsidP="005610DA">
            <w:pPr>
              <w:widowControl w:val="0"/>
              <w:spacing w:after="40"/>
              <w:jc w:val="center"/>
            </w:pPr>
            <w:r w:rsidRPr="00F37630">
              <w:t>78</w:t>
            </w:r>
          </w:p>
        </w:tc>
        <w:tc>
          <w:tcPr>
            <w:tcW w:w="736" w:type="pct"/>
          </w:tcPr>
          <w:p w14:paraId="3AF04B79" w14:textId="77777777" w:rsidR="006460AB" w:rsidRPr="000F4987" w:rsidRDefault="006460AB" w:rsidP="005610DA">
            <w:pPr>
              <w:widowControl w:val="0"/>
              <w:spacing w:after="40"/>
              <w:jc w:val="center"/>
            </w:pPr>
            <w:r w:rsidRPr="00F37630">
              <w:t>102</w:t>
            </w:r>
          </w:p>
        </w:tc>
        <w:tc>
          <w:tcPr>
            <w:tcW w:w="737" w:type="pct"/>
          </w:tcPr>
          <w:p w14:paraId="2F8C3BD9" w14:textId="77777777" w:rsidR="006460AB" w:rsidRPr="000F4987" w:rsidRDefault="006460AB" w:rsidP="005610DA">
            <w:pPr>
              <w:widowControl w:val="0"/>
              <w:spacing w:after="40"/>
              <w:jc w:val="center"/>
            </w:pPr>
            <w:r w:rsidRPr="00F37630">
              <w:t>127</w:t>
            </w:r>
          </w:p>
        </w:tc>
        <w:tc>
          <w:tcPr>
            <w:tcW w:w="737" w:type="pct"/>
          </w:tcPr>
          <w:p w14:paraId="31E0B3F9" w14:textId="77777777" w:rsidR="006460AB" w:rsidRPr="000F4987" w:rsidRDefault="006460AB" w:rsidP="005610DA">
            <w:pPr>
              <w:widowControl w:val="0"/>
              <w:spacing w:after="40"/>
              <w:jc w:val="center"/>
            </w:pPr>
            <w:r w:rsidRPr="00F37630">
              <w:t>153</w:t>
            </w:r>
          </w:p>
        </w:tc>
        <w:tc>
          <w:tcPr>
            <w:tcW w:w="737" w:type="pct"/>
          </w:tcPr>
          <w:p w14:paraId="14651D85" w14:textId="77777777" w:rsidR="006460AB" w:rsidRPr="000F4987" w:rsidRDefault="006460AB" w:rsidP="005610DA">
            <w:pPr>
              <w:widowControl w:val="0"/>
              <w:spacing w:after="40"/>
              <w:jc w:val="center"/>
            </w:pPr>
            <w:r w:rsidRPr="00F37630">
              <w:t>182</w:t>
            </w:r>
          </w:p>
        </w:tc>
      </w:tr>
      <w:tr w:rsidR="006460AB" w:rsidRPr="00AD2492" w14:paraId="5AE5EA98" w14:textId="77777777" w:rsidTr="004B35C9">
        <w:trPr>
          <w:trHeight w:val="315"/>
        </w:trPr>
        <w:tc>
          <w:tcPr>
            <w:tcW w:w="1318" w:type="pct"/>
          </w:tcPr>
          <w:p w14:paraId="19C42A6A" w14:textId="77777777" w:rsidR="006460AB" w:rsidRPr="000F4987" w:rsidRDefault="006460AB" w:rsidP="005610DA">
            <w:pPr>
              <w:widowControl w:val="0"/>
              <w:spacing w:after="40"/>
            </w:pPr>
            <w:r>
              <w:t>Population 3</w:t>
            </w:r>
          </w:p>
        </w:tc>
        <w:tc>
          <w:tcPr>
            <w:tcW w:w="735" w:type="pct"/>
          </w:tcPr>
          <w:p w14:paraId="159BDC8F" w14:textId="77777777" w:rsidR="006460AB" w:rsidRPr="000F4987" w:rsidRDefault="006460AB" w:rsidP="005610DA">
            <w:pPr>
              <w:widowControl w:val="0"/>
              <w:spacing w:after="40"/>
              <w:jc w:val="center"/>
            </w:pPr>
          </w:p>
        </w:tc>
        <w:tc>
          <w:tcPr>
            <w:tcW w:w="736" w:type="pct"/>
          </w:tcPr>
          <w:p w14:paraId="17690855" w14:textId="77777777" w:rsidR="006460AB" w:rsidRPr="000F4987" w:rsidRDefault="006460AB" w:rsidP="005610DA">
            <w:pPr>
              <w:widowControl w:val="0"/>
              <w:spacing w:after="40"/>
              <w:jc w:val="center"/>
            </w:pPr>
          </w:p>
        </w:tc>
        <w:tc>
          <w:tcPr>
            <w:tcW w:w="737" w:type="pct"/>
          </w:tcPr>
          <w:p w14:paraId="33716911" w14:textId="77777777" w:rsidR="006460AB" w:rsidRPr="000F4987" w:rsidRDefault="006460AB" w:rsidP="005610DA">
            <w:pPr>
              <w:widowControl w:val="0"/>
              <w:spacing w:after="40"/>
              <w:jc w:val="center"/>
            </w:pPr>
            <w:r>
              <w:t>Not estimated</w:t>
            </w:r>
          </w:p>
        </w:tc>
        <w:tc>
          <w:tcPr>
            <w:tcW w:w="737" w:type="pct"/>
          </w:tcPr>
          <w:p w14:paraId="20D86FE5" w14:textId="77777777" w:rsidR="006460AB" w:rsidRPr="000F4987" w:rsidRDefault="006460AB" w:rsidP="005610DA">
            <w:pPr>
              <w:widowControl w:val="0"/>
              <w:spacing w:after="40"/>
              <w:jc w:val="center"/>
            </w:pPr>
          </w:p>
        </w:tc>
        <w:tc>
          <w:tcPr>
            <w:tcW w:w="737" w:type="pct"/>
          </w:tcPr>
          <w:p w14:paraId="2A4958F1" w14:textId="77777777" w:rsidR="006460AB" w:rsidRPr="000F4987" w:rsidRDefault="006460AB" w:rsidP="005610DA">
            <w:pPr>
              <w:widowControl w:val="0"/>
              <w:spacing w:after="40"/>
              <w:jc w:val="center"/>
            </w:pPr>
          </w:p>
        </w:tc>
      </w:tr>
      <w:tr w:rsidR="006460AB" w:rsidRPr="00AD2492" w14:paraId="2407DB6C" w14:textId="77777777" w:rsidTr="004B35C9">
        <w:trPr>
          <w:trHeight w:val="315"/>
        </w:trPr>
        <w:tc>
          <w:tcPr>
            <w:tcW w:w="1318" w:type="pct"/>
          </w:tcPr>
          <w:p w14:paraId="4165A947" w14:textId="77777777" w:rsidR="006460AB" w:rsidRPr="000F4987" w:rsidRDefault="006460AB" w:rsidP="005610DA">
            <w:pPr>
              <w:widowControl w:val="0"/>
              <w:spacing w:after="40"/>
            </w:pPr>
            <w:r>
              <w:t>Population 4</w:t>
            </w:r>
          </w:p>
        </w:tc>
        <w:tc>
          <w:tcPr>
            <w:tcW w:w="735" w:type="pct"/>
          </w:tcPr>
          <w:p w14:paraId="741BDD62" w14:textId="77777777" w:rsidR="006460AB" w:rsidRPr="000F4987" w:rsidRDefault="006460AB" w:rsidP="005610DA">
            <w:pPr>
              <w:widowControl w:val="0"/>
              <w:spacing w:after="40"/>
              <w:jc w:val="center"/>
            </w:pPr>
          </w:p>
        </w:tc>
        <w:tc>
          <w:tcPr>
            <w:tcW w:w="736" w:type="pct"/>
          </w:tcPr>
          <w:p w14:paraId="6C08FB93" w14:textId="77777777" w:rsidR="006460AB" w:rsidRPr="000F4987" w:rsidRDefault="006460AB" w:rsidP="005610DA">
            <w:pPr>
              <w:widowControl w:val="0"/>
              <w:spacing w:after="40"/>
              <w:jc w:val="center"/>
            </w:pPr>
          </w:p>
        </w:tc>
        <w:tc>
          <w:tcPr>
            <w:tcW w:w="737" w:type="pct"/>
          </w:tcPr>
          <w:p w14:paraId="2FA823B9" w14:textId="77777777" w:rsidR="006460AB" w:rsidRPr="000F4987" w:rsidRDefault="006460AB" w:rsidP="005610DA">
            <w:pPr>
              <w:widowControl w:val="0"/>
              <w:spacing w:after="40"/>
              <w:jc w:val="center"/>
            </w:pPr>
          </w:p>
        </w:tc>
        <w:tc>
          <w:tcPr>
            <w:tcW w:w="737" w:type="pct"/>
          </w:tcPr>
          <w:p w14:paraId="606F4AA5" w14:textId="77777777" w:rsidR="006460AB" w:rsidRPr="000F4987" w:rsidRDefault="006460AB" w:rsidP="005610DA">
            <w:pPr>
              <w:widowControl w:val="0"/>
              <w:spacing w:after="40"/>
              <w:jc w:val="center"/>
            </w:pPr>
          </w:p>
        </w:tc>
        <w:tc>
          <w:tcPr>
            <w:tcW w:w="737" w:type="pct"/>
          </w:tcPr>
          <w:p w14:paraId="288F7F00" w14:textId="77777777" w:rsidR="006460AB" w:rsidRPr="000F4987" w:rsidRDefault="006460AB" w:rsidP="005610DA">
            <w:pPr>
              <w:widowControl w:val="0"/>
              <w:spacing w:after="40"/>
              <w:jc w:val="center"/>
            </w:pPr>
          </w:p>
        </w:tc>
      </w:tr>
      <w:tr w:rsidR="006460AB" w:rsidRPr="00AD2492" w14:paraId="5E4178A2" w14:textId="77777777" w:rsidTr="004B35C9">
        <w:trPr>
          <w:trHeight w:val="300"/>
        </w:trPr>
        <w:tc>
          <w:tcPr>
            <w:tcW w:w="1318" w:type="pct"/>
          </w:tcPr>
          <w:p w14:paraId="5C798F75" w14:textId="77777777" w:rsidR="006460AB" w:rsidRPr="00AD2492" w:rsidRDefault="006460AB" w:rsidP="005610DA">
            <w:pPr>
              <w:widowControl w:val="0"/>
              <w:tabs>
                <w:tab w:val="left" w:pos="851"/>
              </w:tabs>
              <w:spacing w:after="40"/>
              <w:ind w:left="851" w:hanging="851"/>
              <w:jc w:val="right"/>
            </w:pPr>
            <w:r>
              <w:t>Total n</w:t>
            </w:r>
            <w:r w:rsidRPr="00AD2492">
              <w:t>umber of services</w:t>
            </w:r>
          </w:p>
        </w:tc>
        <w:tc>
          <w:tcPr>
            <w:tcW w:w="735" w:type="pct"/>
          </w:tcPr>
          <w:p w14:paraId="3E815172" w14:textId="77777777" w:rsidR="006460AB" w:rsidRPr="00AD2492" w:rsidRDefault="006460AB" w:rsidP="005610DA">
            <w:pPr>
              <w:widowControl w:val="0"/>
              <w:spacing w:after="40"/>
              <w:jc w:val="center"/>
            </w:pPr>
            <w:r w:rsidRPr="00F37630">
              <w:t>116</w:t>
            </w:r>
          </w:p>
        </w:tc>
        <w:tc>
          <w:tcPr>
            <w:tcW w:w="736" w:type="pct"/>
          </w:tcPr>
          <w:p w14:paraId="021E695F" w14:textId="77777777" w:rsidR="006460AB" w:rsidRPr="00AD2492" w:rsidRDefault="006460AB" w:rsidP="005610DA">
            <w:pPr>
              <w:widowControl w:val="0"/>
              <w:spacing w:after="40"/>
              <w:jc w:val="center"/>
            </w:pPr>
            <w:r w:rsidRPr="00F37630">
              <w:t>151</w:t>
            </w:r>
          </w:p>
        </w:tc>
        <w:tc>
          <w:tcPr>
            <w:tcW w:w="737" w:type="pct"/>
          </w:tcPr>
          <w:p w14:paraId="63BD04A7" w14:textId="77777777" w:rsidR="006460AB" w:rsidRPr="00AD2492" w:rsidRDefault="006460AB" w:rsidP="005610DA">
            <w:pPr>
              <w:widowControl w:val="0"/>
              <w:spacing w:after="40"/>
              <w:jc w:val="center"/>
            </w:pPr>
            <w:r w:rsidRPr="00F37630">
              <w:t>189</w:t>
            </w:r>
          </w:p>
        </w:tc>
        <w:tc>
          <w:tcPr>
            <w:tcW w:w="737" w:type="pct"/>
          </w:tcPr>
          <w:p w14:paraId="65685BC7" w14:textId="77777777" w:rsidR="006460AB" w:rsidRPr="00AD2492" w:rsidRDefault="006460AB" w:rsidP="005610DA">
            <w:pPr>
              <w:widowControl w:val="0"/>
              <w:spacing w:after="40"/>
              <w:jc w:val="center"/>
            </w:pPr>
            <w:r w:rsidRPr="00F37630">
              <w:t>228</w:t>
            </w:r>
          </w:p>
        </w:tc>
        <w:tc>
          <w:tcPr>
            <w:tcW w:w="737" w:type="pct"/>
          </w:tcPr>
          <w:p w14:paraId="6F95BB5B" w14:textId="77777777" w:rsidR="006460AB" w:rsidRPr="00AD2492" w:rsidRDefault="006460AB" w:rsidP="005610DA">
            <w:pPr>
              <w:widowControl w:val="0"/>
              <w:spacing w:after="40"/>
              <w:jc w:val="center"/>
            </w:pPr>
            <w:r w:rsidRPr="00F37630">
              <w:t>270</w:t>
            </w:r>
          </w:p>
        </w:tc>
      </w:tr>
      <w:tr w:rsidR="006460AB" w:rsidRPr="00AD2492" w14:paraId="6217965B" w14:textId="77777777" w:rsidTr="004B35C9">
        <w:trPr>
          <w:trHeight w:val="315"/>
        </w:trPr>
        <w:tc>
          <w:tcPr>
            <w:tcW w:w="1318" w:type="pct"/>
          </w:tcPr>
          <w:p w14:paraId="10BDD252" w14:textId="77777777" w:rsidR="006460AB" w:rsidRPr="007C6AFC" w:rsidRDefault="006460AB" w:rsidP="005610DA">
            <w:pPr>
              <w:widowControl w:val="0"/>
              <w:spacing w:after="40"/>
              <w:rPr>
                <w:vertAlign w:val="superscript"/>
              </w:rPr>
            </w:pPr>
            <w:r w:rsidRPr="00183E4D">
              <w:rPr>
                <w:b/>
              </w:rPr>
              <w:t>Total cost</w:t>
            </w:r>
            <w:r>
              <w:rPr>
                <w:b/>
              </w:rPr>
              <w:t xml:space="preserve"> (75% rebate)</w:t>
            </w:r>
            <w:r>
              <w:rPr>
                <w:b/>
                <w:vertAlign w:val="superscript"/>
              </w:rPr>
              <w:t>a</w:t>
            </w:r>
          </w:p>
        </w:tc>
        <w:tc>
          <w:tcPr>
            <w:tcW w:w="735" w:type="pct"/>
          </w:tcPr>
          <w:p w14:paraId="5D3A43BE" w14:textId="77777777" w:rsidR="006460AB" w:rsidRPr="00AD2492" w:rsidRDefault="006460AB" w:rsidP="005610DA">
            <w:pPr>
              <w:widowControl w:val="0"/>
              <w:spacing w:after="40"/>
              <w:jc w:val="center"/>
            </w:pPr>
            <w:r w:rsidRPr="00BE6C1A">
              <w:rPr>
                <w:i/>
              </w:rPr>
              <w:t>$253,273</w:t>
            </w:r>
          </w:p>
        </w:tc>
        <w:tc>
          <w:tcPr>
            <w:tcW w:w="736" w:type="pct"/>
          </w:tcPr>
          <w:p w14:paraId="1F45B375" w14:textId="77777777" w:rsidR="006460AB" w:rsidRPr="00AD2492" w:rsidRDefault="006460AB" w:rsidP="005610DA">
            <w:pPr>
              <w:widowControl w:val="0"/>
              <w:spacing w:after="40"/>
              <w:jc w:val="center"/>
            </w:pPr>
            <w:r w:rsidRPr="00BE6C1A">
              <w:rPr>
                <w:i/>
              </w:rPr>
              <w:t>$329,451</w:t>
            </w:r>
          </w:p>
        </w:tc>
        <w:tc>
          <w:tcPr>
            <w:tcW w:w="737" w:type="pct"/>
          </w:tcPr>
          <w:p w14:paraId="50024467" w14:textId="77777777" w:rsidR="006460AB" w:rsidRPr="00AD2492" w:rsidRDefault="006460AB" w:rsidP="005610DA">
            <w:pPr>
              <w:widowControl w:val="0"/>
              <w:spacing w:after="40"/>
              <w:jc w:val="center"/>
            </w:pPr>
            <w:r w:rsidRPr="00BE6C1A">
              <w:rPr>
                <w:i/>
              </w:rPr>
              <w:t>$410,773</w:t>
            </w:r>
          </w:p>
        </w:tc>
        <w:tc>
          <w:tcPr>
            <w:tcW w:w="737" w:type="pct"/>
          </w:tcPr>
          <w:p w14:paraId="02070667" w14:textId="77777777" w:rsidR="006460AB" w:rsidRPr="00AD2492" w:rsidRDefault="006460AB" w:rsidP="005610DA">
            <w:pPr>
              <w:widowControl w:val="0"/>
              <w:spacing w:after="40"/>
              <w:jc w:val="center"/>
            </w:pPr>
            <w:r w:rsidRPr="00BE6C1A">
              <w:rPr>
                <w:i/>
              </w:rPr>
              <w:t>$497,238</w:t>
            </w:r>
          </w:p>
        </w:tc>
        <w:tc>
          <w:tcPr>
            <w:tcW w:w="737" w:type="pct"/>
          </w:tcPr>
          <w:p w14:paraId="628D4EDE" w14:textId="77777777" w:rsidR="006460AB" w:rsidRPr="00AD2492" w:rsidRDefault="006460AB" w:rsidP="005610DA">
            <w:pPr>
              <w:widowControl w:val="0"/>
              <w:spacing w:after="40"/>
              <w:jc w:val="center"/>
            </w:pPr>
            <w:r w:rsidRPr="00BE6C1A">
              <w:rPr>
                <w:i/>
              </w:rPr>
              <w:t>$588,848</w:t>
            </w:r>
          </w:p>
        </w:tc>
      </w:tr>
      <w:tr w:rsidR="006460AB" w:rsidRPr="00AD2492" w14:paraId="07DF0F53" w14:textId="77777777" w:rsidTr="004B35C9">
        <w:trPr>
          <w:trHeight w:val="315"/>
        </w:trPr>
        <w:tc>
          <w:tcPr>
            <w:tcW w:w="1318" w:type="pct"/>
          </w:tcPr>
          <w:p w14:paraId="3DF00DA1" w14:textId="77777777" w:rsidR="006460AB" w:rsidRPr="00183E4D" w:rsidRDefault="006460AB" w:rsidP="005610DA">
            <w:pPr>
              <w:widowControl w:val="0"/>
              <w:spacing w:after="40"/>
              <w:rPr>
                <w:b/>
              </w:rPr>
            </w:pPr>
            <w:r>
              <w:rPr>
                <w:b/>
              </w:rPr>
              <w:t>Financial implications</w:t>
            </w:r>
          </w:p>
        </w:tc>
        <w:tc>
          <w:tcPr>
            <w:tcW w:w="735" w:type="pct"/>
          </w:tcPr>
          <w:p w14:paraId="3D47BAE5" w14:textId="77777777" w:rsidR="006460AB" w:rsidRPr="00BE6C1A" w:rsidRDefault="006460AB" w:rsidP="005610DA">
            <w:pPr>
              <w:widowControl w:val="0"/>
              <w:spacing w:after="40"/>
              <w:jc w:val="center"/>
              <w:rPr>
                <w:i/>
              </w:rPr>
            </w:pPr>
          </w:p>
        </w:tc>
        <w:tc>
          <w:tcPr>
            <w:tcW w:w="736" w:type="pct"/>
          </w:tcPr>
          <w:p w14:paraId="03D9C221" w14:textId="77777777" w:rsidR="006460AB" w:rsidRPr="00BE6C1A" w:rsidRDefault="006460AB" w:rsidP="005610DA">
            <w:pPr>
              <w:widowControl w:val="0"/>
              <w:spacing w:after="40"/>
              <w:jc w:val="center"/>
              <w:rPr>
                <w:i/>
              </w:rPr>
            </w:pPr>
          </w:p>
        </w:tc>
        <w:tc>
          <w:tcPr>
            <w:tcW w:w="737" w:type="pct"/>
          </w:tcPr>
          <w:p w14:paraId="53F924C8" w14:textId="77777777" w:rsidR="006460AB" w:rsidRPr="00BE6C1A" w:rsidRDefault="006460AB" w:rsidP="005610DA">
            <w:pPr>
              <w:widowControl w:val="0"/>
              <w:spacing w:after="40"/>
              <w:jc w:val="center"/>
              <w:rPr>
                <w:i/>
              </w:rPr>
            </w:pPr>
          </w:p>
        </w:tc>
        <w:tc>
          <w:tcPr>
            <w:tcW w:w="737" w:type="pct"/>
          </w:tcPr>
          <w:p w14:paraId="180500B9" w14:textId="77777777" w:rsidR="006460AB" w:rsidRPr="00BE6C1A" w:rsidRDefault="006460AB" w:rsidP="005610DA">
            <w:pPr>
              <w:widowControl w:val="0"/>
              <w:spacing w:after="40"/>
              <w:jc w:val="center"/>
              <w:rPr>
                <w:i/>
              </w:rPr>
            </w:pPr>
          </w:p>
        </w:tc>
        <w:tc>
          <w:tcPr>
            <w:tcW w:w="737" w:type="pct"/>
          </w:tcPr>
          <w:p w14:paraId="12F97A8C" w14:textId="77777777" w:rsidR="006460AB" w:rsidRPr="00BE6C1A" w:rsidRDefault="006460AB" w:rsidP="005610DA">
            <w:pPr>
              <w:widowControl w:val="0"/>
              <w:spacing w:after="40"/>
              <w:jc w:val="center"/>
              <w:rPr>
                <w:i/>
              </w:rPr>
            </w:pPr>
          </w:p>
        </w:tc>
      </w:tr>
      <w:tr w:rsidR="006460AB" w:rsidRPr="00AD2492" w14:paraId="6594D714" w14:textId="77777777" w:rsidTr="004B35C9">
        <w:trPr>
          <w:trHeight w:val="315"/>
        </w:trPr>
        <w:tc>
          <w:tcPr>
            <w:tcW w:w="1318" w:type="pct"/>
          </w:tcPr>
          <w:p w14:paraId="135B9B0D" w14:textId="77777777" w:rsidR="006460AB" w:rsidRDefault="006460AB" w:rsidP="005610DA">
            <w:pPr>
              <w:pStyle w:val="Tabletext"/>
              <w:rPr>
                <w:b/>
              </w:rPr>
            </w:pPr>
            <w:r>
              <w:t>Net impact to the MBS</w:t>
            </w:r>
          </w:p>
        </w:tc>
        <w:tc>
          <w:tcPr>
            <w:tcW w:w="735" w:type="pct"/>
          </w:tcPr>
          <w:p w14:paraId="3C580888" w14:textId="77777777" w:rsidR="006460AB" w:rsidRPr="00BE6C1A" w:rsidRDefault="006460AB" w:rsidP="005610DA">
            <w:pPr>
              <w:pStyle w:val="Tabletext"/>
              <w:jc w:val="center"/>
              <w:rPr>
                <w:i/>
              </w:rPr>
            </w:pPr>
            <w:r w:rsidRPr="00F0624C">
              <w:t>$0</w:t>
            </w:r>
          </w:p>
        </w:tc>
        <w:tc>
          <w:tcPr>
            <w:tcW w:w="736" w:type="pct"/>
          </w:tcPr>
          <w:p w14:paraId="184C15D6" w14:textId="77777777" w:rsidR="006460AB" w:rsidRPr="00BE6C1A" w:rsidRDefault="006460AB" w:rsidP="005610DA">
            <w:pPr>
              <w:pStyle w:val="Tabletext"/>
              <w:jc w:val="center"/>
              <w:rPr>
                <w:i/>
              </w:rPr>
            </w:pPr>
            <w:r w:rsidRPr="00F0624C">
              <w:t>$0</w:t>
            </w:r>
          </w:p>
        </w:tc>
        <w:tc>
          <w:tcPr>
            <w:tcW w:w="737" w:type="pct"/>
          </w:tcPr>
          <w:p w14:paraId="39EE70B5" w14:textId="77777777" w:rsidR="006460AB" w:rsidRPr="00BE6C1A" w:rsidRDefault="006460AB" w:rsidP="005610DA">
            <w:pPr>
              <w:pStyle w:val="Tabletext"/>
              <w:jc w:val="center"/>
              <w:rPr>
                <w:i/>
              </w:rPr>
            </w:pPr>
            <w:r w:rsidRPr="00F0624C">
              <w:t>$0</w:t>
            </w:r>
          </w:p>
        </w:tc>
        <w:tc>
          <w:tcPr>
            <w:tcW w:w="737" w:type="pct"/>
          </w:tcPr>
          <w:p w14:paraId="0B66B1EA" w14:textId="77777777" w:rsidR="006460AB" w:rsidRPr="00BE6C1A" w:rsidRDefault="006460AB" w:rsidP="005610DA">
            <w:pPr>
              <w:pStyle w:val="Tabletext"/>
              <w:jc w:val="center"/>
              <w:rPr>
                <w:i/>
              </w:rPr>
            </w:pPr>
            <w:r w:rsidRPr="00F0624C">
              <w:t>$0</w:t>
            </w:r>
          </w:p>
        </w:tc>
        <w:tc>
          <w:tcPr>
            <w:tcW w:w="737" w:type="pct"/>
          </w:tcPr>
          <w:p w14:paraId="7DC40F88" w14:textId="77777777" w:rsidR="006460AB" w:rsidRPr="00BE6C1A" w:rsidRDefault="006460AB" w:rsidP="005610DA">
            <w:pPr>
              <w:pStyle w:val="Tabletext"/>
              <w:jc w:val="center"/>
              <w:rPr>
                <w:i/>
              </w:rPr>
            </w:pPr>
            <w:r w:rsidRPr="00F0624C">
              <w:t>$0</w:t>
            </w:r>
          </w:p>
        </w:tc>
      </w:tr>
    </w:tbl>
    <w:p w14:paraId="1A0C1214" w14:textId="77777777" w:rsidR="006460AB" w:rsidRPr="00C01CAF" w:rsidRDefault="006460AB" w:rsidP="003854D6">
      <w:pPr>
        <w:widowControl w:val="0"/>
        <w:tabs>
          <w:tab w:val="left" w:pos="284"/>
        </w:tabs>
        <w:rPr>
          <w:rFonts w:ascii="Arial Narrow" w:hAnsi="Arial Narrow"/>
          <w:sz w:val="18"/>
          <w:lang w:eastAsia="en-US"/>
        </w:rPr>
      </w:pPr>
      <w:r w:rsidRPr="00C01CAF">
        <w:rPr>
          <w:rFonts w:ascii="Arial Narrow" w:hAnsi="Arial Narrow"/>
          <w:sz w:val="18"/>
          <w:lang w:eastAsia="en-US"/>
        </w:rPr>
        <w:t xml:space="preserve">Source: </w:t>
      </w:r>
      <w:r>
        <w:rPr>
          <w:rFonts w:ascii="Arial Narrow" w:hAnsi="Arial Narrow"/>
          <w:sz w:val="18"/>
          <w:lang w:eastAsia="en-US"/>
        </w:rPr>
        <w:t>compiled from Table 10 of the SBA and Table 12 of the Critique</w:t>
      </w:r>
    </w:p>
    <w:p w14:paraId="5C1E4DC0" w14:textId="77777777" w:rsidR="006460AB" w:rsidRPr="009A7002" w:rsidRDefault="006460AB" w:rsidP="003854D6">
      <w:pPr>
        <w:widowControl w:val="0"/>
        <w:tabs>
          <w:tab w:val="left" w:pos="284"/>
        </w:tabs>
        <w:rPr>
          <w:rFonts w:ascii="Arial Narrow" w:hAnsi="Arial Narrow"/>
          <w:i/>
          <w:sz w:val="18"/>
          <w:lang w:eastAsia="en-US"/>
        </w:rPr>
      </w:pPr>
      <w:proofErr w:type="spellStart"/>
      <w:proofErr w:type="gramStart"/>
      <w:r w:rsidRPr="009A7002">
        <w:rPr>
          <w:rFonts w:ascii="Arial Narrow" w:hAnsi="Arial Narrow"/>
          <w:i/>
          <w:sz w:val="18"/>
          <w:vertAlign w:val="superscript"/>
          <w:lang w:eastAsia="en-US"/>
        </w:rPr>
        <w:t>a</w:t>
      </w:r>
      <w:proofErr w:type="spellEnd"/>
      <w:proofErr w:type="gramEnd"/>
      <w:r w:rsidRPr="009A7002">
        <w:rPr>
          <w:rFonts w:ascii="Arial Narrow" w:hAnsi="Arial Narrow"/>
          <w:i/>
          <w:sz w:val="18"/>
          <w:lang w:eastAsia="en-US"/>
        </w:rPr>
        <w:tab/>
        <w:t>assuming an MBS fee of $2,903.25</w:t>
      </w:r>
    </w:p>
    <w:p w14:paraId="277DF957" w14:textId="3CBB3785" w:rsidR="006460AB" w:rsidRDefault="006460AB" w:rsidP="00242873">
      <w:pPr>
        <w:spacing w:before="240" w:after="240"/>
      </w:pPr>
      <w:r>
        <w:t>In terms of number of FDD insertions, the submission assumed that FD would be used as a substitute for 20% of the proportion of CS and neurosurgical clipping (NC) procedures eligible for FD in Year 1, increasing to 40% in Year 5. However, the Critique stated that n</w:t>
      </w:r>
      <w:r w:rsidRPr="00E3040F">
        <w:t>o justification for the uptake rates was provided or for the proposed 80%/2</w:t>
      </w:r>
      <w:r w:rsidR="005610DA">
        <w:t>0% CS to NC substitution split.</w:t>
      </w:r>
    </w:p>
    <w:p w14:paraId="13C70CAB" w14:textId="138AF5D0" w:rsidR="006460AB" w:rsidRPr="00242873" w:rsidRDefault="006460AB" w:rsidP="00242873">
      <w:pPr>
        <w:spacing w:after="240"/>
        <w:rPr>
          <w:i/>
        </w:rPr>
      </w:pPr>
      <w:r>
        <w:t xml:space="preserve">Thus, </w:t>
      </w:r>
      <w:r w:rsidRPr="00E3040F">
        <w:t>the</w:t>
      </w:r>
      <w:r>
        <w:t xml:space="preserve"> Critique considered the</w:t>
      </w:r>
      <w:r w:rsidRPr="00E3040F">
        <w:t xml:space="preserve"> estimates highly uncertain. </w:t>
      </w:r>
      <w:r>
        <w:t xml:space="preserve">In addition, the Critique said no estimates were provided for Populations 3 and 4 and </w:t>
      </w:r>
      <w:r w:rsidRPr="00E3040F">
        <w:t xml:space="preserve">that neurosurgical clipping procedures are </w:t>
      </w:r>
      <w:r w:rsidRPr="008B4AD6">
        <w:t>assumed to be substituted (but this procedure has not been nominated as a relevant comparator).</w:t>
      </w:r>
    </w:p>
    <w:p w14:paraId="563DB9DC" w14:textId="00B7EAB6" w:rsidR="00F43568" w:rsidRPr="008B4AD6" w:rsidRDefault="00F43568" w:rsidP="006460AB">
      <w:pPr>
        <w:tabs>
          <w:tab w:val="left" w:pos="720"/>
          <w:tab w:val="left" w:pos="1140"/>
        </w:tabs>
        <w:rPr>
          <w:szCs w:val="24"/>
        </w:rPr>
      </w:pPr>
      <w:r w:rsidRPr="008B4AD6">
        <w:rPr>
          <w:szCs w:val="24"/>
        </w:rPr>
        <w:t>The applicant estimate of the number of FDD that will be used is presented in Table 1</w:t>
      </w:r>
      <w:r w:rsidR="00584C7E">
        <w:rPr>
          <w:szCs w:val="24"/>
        </w:rPr>
        <w:t>5</w:t>
      </w:r>
      <w:r w:rsidRPr="008B4AD6">
        <w:rPr>
          <w:szCs w:val="24"/>
        </w:rPr>
        <w:t>.</w:t>
      </w:r>
    </w:p>
    <w:p w14:paraId="1ABD0C07" w14:textId="04A1BC0D" w:rsidR="00F43568" w:rsidRPr="004B35C9" w:rsidRDefault="00F43568" w:rsidP="004B35C9">
      <w:pPr>
        <w:spacing w:before="240"/>
        <w:rPr>
          <w:rFonts w:ascii="Arial Narrow" w:hAnsi="Arial Narrow"/>
          <w:b/>
          <w:sz w:val="20"/>
        </w:rPr>
      </w:pPr>
      <w:r w:rsidRPr="004B35C9">
        <w:rPr>
          <w:rFonts w:ascii="Arial Narrow" w:hAnsi="Arial Narrow"/>
          <w:b/>
          <w:sz w:val="20"/>
        </w:rPr>
        <w:t>Table 1</w:t>
      </w:r>
      <w:r w:rsidR="00584C7E" w:rsidRPr="004B35C9">
        <w:rPr>
          <w:rFonts w:ascii="Arial Narrow" w:hAnsi="Arial Narrow"/>
          <w:b/>
          <w:sz w:val="20"/>
        </w:rPr>
        <w:t>5</w:t>
      </w:r>
      <w:r w:rsidRPr="004B35C9">
        <w:rPr>
          <w:rFonts w:ascii="Arial Narrow" w:hAnsi="Arial Narrow"/>
          <w:b/>
          <w:sz w:val="20"/>
        </w:rPr>
        <w:t>: Estimated number of FDD used</w:t>
      </w:r>
    </w:p>
    <w:tbl>
      <w:tblPr>
        <w:tblStyle w:val="TableGrid2"/>
        <w:tblW w:w="5000" w:type="pct"/>
        <w:tblLook w:val="04A0" w:firstRow="1" w:lastRow="0" w:firstColumn="1" w:lastColumn="0" w:noHBand="0" w:noVBand="1"/>
        <w:tblCaption w:val="Table 9 Total costs to the MBS associated with XXX"/>
        <w:tblDescription w:val="This table provides a summary of the financial impact of the proposed new medical service over the next five years."/>
      </w:tblPr>
      <w:tblGrid>
        <w:gridCol w:w="2377"/>
        <w:gridCol w:w="1325"/>
        <w:gridCol w:w="1327"/>
        <w:gridCol w:w="1329"/>
        <w:gridCol w:w="1329"/>
        <w:gridCol w:w="1329"/>
      </w:tblGrid>
      <w:tr w:rsidR="008B4AD6" w:rsidRPr="008B4AD6" w14:paraId="5C0611C2" w14:textId="77777777" w:rsidTr="004B35C9">
        <w:trPr>
          <w:cnfStyle w:val="100000000000" w:firstRow="1" w:lastRow="0" w:firstColumn="0" w:lastColumn="0" w:oddVBand="0" w:evenVBand="0" w:oddHBand="0" w:evenHBand="0" w:firstRowFirstColumn="0" w:firstRowLastColumn="0" w:lastRowFirstColumn="0" w:lastRowLastColumn="0"/>
          <w:trHeight w:val="300"/>
          <w:tblHeader/>
        </w:trPr>
        <w:tc>
          <w:tcPr>
            <w:tcW w:w="1318" w:type="pct"/>
          </w:tcPr>
          <w:p w14:paraId="61831D5E" w14:textId="77777777" w:rsidR="00F43568" w:rsidRPr="008B4AD6" w:rsidRDefault="00F43568" w:rsidP="00AE5A89">
            <w:pPr>
              <w:keepNext/>
              <w:tabs>
                <w:tab w:val="left" w:pos="851"/>
              </w:tabs>
              <w:spacing w:after="40"/>
              <w:ind w:left="851" w:hanging="851"/>
              <w:rPr>
                <w:rFonts w:ascii="Arial Narrow" w:hAnsi="Arial Narrow"/>
                <w:b/>
              </w:rPr>
            </w:pPr>
            <w:r w:rsidRPr="008B4AD6">
              <w:rPr>
                <w:rFonts w:ascii="Arial Narrow" w:hAnsi="Arial Narrow"/>
                <w:b/>
              </w:rPr>
              <w:t>-</w:t>
            </w:r>
          </w:p>
        </w:tc>
        <w:tc>
          <w:tcPr>
            <w:tcW w:w="735" w:type="pct"/>
          </w:tcPr>
          <w:p w14:paraId="7E0A7B28" w14:textId="77777777" w:rsidR="00F43568" w:rsidRPr="008B4AD6" w:rsidRDefault="00F43568" w:rsidP="00AE5A89">
            <w:pPr>
              <w:keepNext/>
              <w:tabs>
                <w:tab w:val="left" w:pos="851"/>
              </w:tabs>
              <w:spacing w:after="40"/>
              <w:ind w:left="851" w:hanging="851"/>
              <w:jc w:val="center"/>
              <w:rPr>
                <w:rFonts w:ascii="Arial Narrow" w:hAnsi="Arial Narrow"/>
                <w:b/>
              </w:rPr>
            </w:pPr>
            <w:r w:rsidRPr="008B4AD6">
              <w:rPr>
                <w:rFonts w:ascii="Arial Narrow" w:hAnsi="Arial Narrow"/>
                <w:b/>
              </w:rPr>
              <w:t>2015-16</w:t>
            </w:r>
          </w:p>
        </w:tc>
        <w:tc>
          <w:tcPr>
            <w:tcW w:w="736" w:type="pct"/>
          </w:tcPr>
          <w:p w14:paraId="7323AFD4" w14:textId="77777777" w:rsidR="00F43568" w:rsidRPr="008B4AD6" w:rsidRDefault="00F43568" w:rsidP="00AE5A89">
            <w:pPr>
              <w:keepNext/>
              <w:tabs>
                <w:tab w:val="left" w:pos="851"/>
              </w:tabs>
              <w:spacing w:after="40"/>
              <w:ind w:left="851" w:hanging="851"/>
              <w:jc w:val="center"/>
              <w:rPr>
                <w:rFonts w:ascii="Arial Narrow" w:hAnsi="Arial Narrow"/>
                <w:b/>
              </w:rPr>
            </w:pPr>
            <w:r w:rsidRPr="008B4AD6">
              <w:rPr>
                <w:rFonts w:ascii="Arial Narrow" w:hAnsi="Arial Narrow"/>
                <w:b/>
              </w:rPr>
              <w:t>2016-17</w:t>
            </w:r>
          </w:p>
        </w:tc>
        <w:tc>
          <w:tcPr>
            <w:tcW w:w="737" w:type="pct"/>
          </w:tcPr>
          <w:p w14:paraId="3B1D536C" w14:textId="77777777" w:rsidR="00F43568" w:rsidRPr="008B4AD6" w:rsidRDefault="00F43568" w:rsidP="00AE5A89">
            <w:pPr>
              <w:keepNext/>
              <w:tabs>
                <w:tab w:val="left" w:pos="851"/>
              </w:tabs>
              <w:spacing w:after="40"/>
              <w:ind w:left="851" w:hanging="851"/>
              <w:jc w:val="center"/>
              <w:rPr>
                <w:rFonts w:ascii="Arial Narrow" w:hAnsi="Arial Narrow"/>
                <w:b/>
              </w:rPr>
            </w:pPr>
            <w:r w:rsidRPr="008B4AD6">
              <w:rPr>
                <w:rFonts w:ascii="Arial Narrow" w:hAnsi="Arial Narrow"/>
                <w:b/>
              </w:rPr>
              <w:t>2017-18</w:t>
            </w:r>
          </w:p>
        </w:tc>
        <w:tc>
          <w:tcPr>
            <w:tcW w:w="737" w:type="pct"/>
          </w:tcPr>
          <w:p w14:paraId="6F16365D" w14:textId="77777777" w:rsidR="00F43568" w:rsidRPr="008B4AD6" w:rsidRDefault="00F43568" w:rsidP="00AE5A89">
            <w:pPr>
              <w:keepNext/>
              <w:tabs>
                <w:tab w:val="left" w:pos="851"/>
              </w:tabs>
              <w:spacing w:after="40"/>
              <w:ind w:left="851" w:hanging="851"/>
              <w:jc w:val="center"/>
              <w:rPr>
                <w:rFonts w:ascii="Arial Narrow" w:hAnsi="Arial Narrow"/>
                <w:b/>
              </w:rPr>
            </w:pPr>
            <w:r w:rsidRPr="008B4AD6">
              <w:rPr>
                <w:rFonts w:ascii="Arial Narrow" w:hAnsi="Arial Narrow"/>
                <w:b/>
              </w:rPr>
              <w:t>2018-19</w:t>
            </w:r>
          </w:p>
        </w:tc>
        <w:tc>
          <w:tcPr>
            <w:tcW w:w="737" w:type="pct"/>
          </w:tcPr>
          <w:p w14:paraId="42308FB6" w14:textId="77777777" w:rsidR="00F43568" w:rsidRPr="008B4AD6" w:rsidRDefault="00F43568" w:rsidP="00AE5A89">
            <w:pPr>
              <w:keepNext/>
              <w:tabs>
                <w:tab w:val="left" w:pos="851"/>
              </w:tabs>
              <w:spacing w:after="40"/>
              <w:ind w:left="851" w:hanging="851"/>
              <w:jc w:val="center"/>
              <w:rPr>
                <w:rFonts w:ascii="Arial Narrow" w:hAnsi="Arial Narrow"/>
                <w:b/>
              </w:rPr>
            </w:pPr>
            <w:r w:rsidRPr="008B4AD6">
              <w:rPr>
                <w:rFonts w:ascii="Arial Narrow" w:hAnsi="Arial Narrow"/>
                <w:b/>
              </w:rPr>
              <w:t>2019-20</w:t>
            </w:r>
          </w:p>
        </w:tc>
      </w:tr>
      <w:tr w:rsidR="008B4AD6" w:rsidRPr="008B4AD6" w14:paraId="536F5F1A" w14:textId="77777777" w:rsidTr="004B35C9">
        <w:trPr>
          <w:trHeight w:val="315"/>
        </w:trPr>
        <w:tc>
          <w:tcPr>
            <w:tcW w:w="1318" w:type="pct"/>
          </w:tcPr>
          <w:p w14:paraId="6FE414BE" w14:textId="3638FE7B" w:rsidR="00F43568" w:rsidRPr="008B4AD6" w:rsidRDefault="00F43568" w:rsidP="00F43568">
            <w:pPr>
              <w:widowControl w:val="0"/>
              <w:spacing w:after="40"/>
            </w:pPr>
            <w:r w:rsidRPr="008B4AD6">
              <w:t>No of services (From Table 1</w:t>
            </w:r>
            <w:r w:rsidR="00F0427A">
              <w:t>4</w:t>
            </w:r>
            <w:r w:rsidRPr="008B4AD6">
              <w:t>)</w:t>
            </w:r>
          </w:p>
        </w:tc>
        <w:tc>
          <w:tcPr>
            <w:tcW w:w="735" w:type="pct"/>
          </w:tcPr>
          <w:p w14:paraId="1BFCB1FD" w14:textId="2BD33DDB" w:rsidR="00F43568" w:rsidRPr="008B4AD6" w:rsidRDefault="00513B8C" w:rsidP="00F43568">
            <w:pPr>
              <w:widowControl w:val="0"/>
              <w:spacing w:after="40"/>
              <w:jc w:val="center"/>
            </w:pPr>
            <w:r>
              <w:t>redacted</w:t>
            </w:r>
          </w:p>
        </w:tc>
        <w:tc>
          <w:tcPr>
            <w:tcW w:w="736" w:type="pct"/>
          </w:tcPr>
          <w:p w14:paraId="4844FF37" w14:textId="61F8B454" w:rsidR="00F43568" w:rsidRPr="008B4AD6" w:rsidRDefault="00513B8C" w:rsidP="00F43568">
            <w:pPr>
              <w:widowControl w:val="0"/>
              <w:spacing w:after="40"/>
              <w:jc w:val="center"/>
            </w:pPr>
            <w:r>
              <w:t>redacted</w:t>
            </w:r>
          </w:p>
        </w:tc>
        <w:tc>
          <w:tcPr>
            <w:tcW w:w="737" w:type="pct"/>
          </w:tcPr>
          <w:p w14:paraId="19FFC5B0" w14:textId="1D2AD615" w:rsidR="00F43568" w:rsidRPr="008B4AD6" w:rsidRDefault="00513B8C" w:rsidP="00F43568">
            <w:pPr>
              <w:widowControl w:val="0"/>
              <w:spacing w:after="40"/>
              <w:jc w:val="center"/>
            </w:pPr>
            <w:r>
              <w:t>redacted</w:t>
            </w:r>
          </w:p>
        </w:tc>
        <w:tc>
          <w:tcPr>
            <w:tcW w:w="737" w:type="pct"/>
          </w:tcPr>
          <w:p w14:paraId="044FA936" w14:textId="0F6395C2" w:rsidR="00F43568" w:rsidRPr="008B4AD6" w:rsidRDefault="00513B8C" w:rsidP="00F43568">
            <w:pPr>
              <w:widowControl w:val="0"/>
              <w:spacing w:after="40"/>
              <w:jc w:val="center"/>
            </w:pPr>
            <w:r>
              <w:t>redacted</w:t>
            </w:r>
          </w:p>
        </w:tc>
        <w:tc>
          <w:tcPr>
            <w:tcW w:w="737" w:type="pct"/>
          </w:tcPr>
          <w:p w14:paraId="7F1B3FE6" w14:textId="7A74FACE" w:rsidR="00F43568" w:rsidRPr="008B4AD6" w:rsidRDefault="00513B8C" w:rsidP="00F43568">
            <w:pPr>
              <w:widowControl w:val="0"/>
              <w:spacing w:after="40"/>
              <w:jc w:val="center"/>
            </w:pPr>
            <w:r>
              <w:t>redacted</w:t>
            </w:r>
          </w:p>
        </w:tc>
      </w:tr>
      <w:tr w:rsidR="008B4AD6" w:rsidRPr="008B4AD6" w14:paraId="7EB94AE2" w14:textId="77777777" w:rsidTr="004B35C9">
        <w:trPr>
          <w:trHeight w:val="315"/>
        </w:trPr>
        <w:tc>
          <w:tcPr>
            <w:tcW w:w="1318" w:type="pct"/>
          </w:tcPr>
          <w:p w14:paraId="72A04EB8" w14:textId="77777777" w:rsidR="00F43568" w:rsidRPr="008B4AD6" w:rsidRDefault="00F43568" w:rsidP="00F43568">
            <w:pPr>
              <w:widowControl w:val="0"/>
              <w:spacing w:after="40"/>
            </w:pPr>
            <w:r w:rsidRPr="008B4AD6">
              <w:t xml:space="preserve">No of devices </w:t>
            </w:r>
          </w:p>
        </w:tc>
        <w:tc>
          <w:tcPr>
            <w:tcW w:w="735" w:type="pct"/>
          </w:tcPr>
          <w:p w14:paraId="0AF8E6BA" w14:textId="74C6AE0A" w:rsidR="00F43568" w:rsidRPr="008B4AD6" w:rsidRDefault="00513B8C" w:rsidP="00F43568">
            <w:pPr>
              <w:widowControl w:val="0"/>
              <w:spacing w:after="40"/>
              <w:jc w:val="center"/>
            </w:pPr>
            <w:r>
              <w:t>redacted</w:t>
            </w:r>
          </w:p>
        </w:tc>
        <w:tc>
          <w:tcPr>
            <w:tcW w:w="736" w:type="pct"/>
          </w:tcPr>
          <w:p w14:paraId="09B8270B" w14:textId="050FA38E" w:rsidR="00F43568" w:rsidRPr="008B4AD6" w:rsidRDefault="00513B8C" w:rsidP="00F43568">
            <w:pPr>
              <w:widowControl w:val="0"/>
              <w:spacing w:after="40"/>
              <w:jc w:val="center"/>
            </w:pPr>
            <w:r>
              <w:t>redacted</w:t>
            </w:r>
          </w:p>
        </w:tc>
        <w:tc>
          <w:tcPr>
            <w:tcW w:w="737" w:type="pct"/>
          </w:tcPr>
          <w:p w14:paraId="78BE90AF" w14:textId="4402440B" w:rsidR="00F43568" w:rsidRPr="008B4AD6" w:rsidRDefault="00513B8C" w:rsidP="00F43568">
            <w:pPr>
              <w:widowControl w:val="0"/>
              <w:spacing w:after="40"/>
              <w:jc w:val="center"/>
            </w:pPr>
            <w:r>
              <w:t>redacted</w:t>
            </w:r>
          </w:p>
        </w:tc>
        <w:tc>
          <w:tcPr>
            <w:tcW w:w="737" w:type="pct"/>
          </w:tcPr>
          <w:p w14:paraId="41C1728D" w14:textId="25F94273" w:rsidR="00F43568" w:rsidRPr="008B4AD6" w:rsidRDefault="00513B8C" w:rsidP="00F43568">
            <w:pPr>
              <w:widowControl w:val="0"/>
              <w:spacing w:after="40"/>
              <w:jc w:val="center"/>
            </w:pPr>
            <w:r>
              <w:t>redacted</w:t>
            </w:r>
          </w:p>
        </w:tc>
        <w:tc>
          <w:tcPr>
            <w:tcW w:w="737" w:type="pct"/>
          </w:tcPr>
          <w:p w14:paraId="35545122" w14:textId="6676F132" w:rsidR="00F43568" w:rsidRPr="008B4AD6" w:rsidRDefault="00513B8C" w:rsidP="00F43568">
            <w:pPr>
              <w:widowControl w:val="0"/>
              <w:spacing w:after="40"/>
              <w:jc w:val="center"/>
            </w:pPr>
            <w:r>
              <w:t>redacted</w:t>
            </w:r>
          </w:p>
        </w:tc>
      </w:tr>
    </w:tbl>
    <w:p w14:paraId="257AAF86" w14:textId="77777777" w:rsidR="00F43568" w:rsidRPr="008B4AD6" w:rsidRDefault="00F43568" w:rsidP="00F43568">
      <w:pPr>
        <w:widowControl w:val="0"/>
        <w:tabs>
          <w:tab w:val="left" w:pos="284"/>
        </w:tabs>
        <w:spacing w:before="40"/>
        <w:rPr>
          <w:rFonts w:ascii="Arial Narrow" w:hAnsi="Arial Narrow"/>
          <w:sz w:val="18"/>
          <w:lang w:eastAsia="en-US"/>
        </w:rPr>
      </w:pPr>
      <w:r w:rsidRPr="008B4AD6">
        <w:rPr>
          <w:rFonts w:ascii="Arial Narrow" w:hAnsi="Arial Narrow"/>
          <w:sz w:val="18"/>
          <w:lang w:eastAsia="en-US"/>
        </w:rPr>
        <w:t xml:space="preserve">Source: compiled from Table 152 of the SBA </w:t>
      </w:r>
    </w:p>
    <w:p w14:paraId="2B9A29BF" w14:textId="46575FB6" w:rsidR="00F43568" w:rsidRPr="008B4AD6" w:rsidRDefault="00F43568" w:rsidP="00242873">
      <w:pPr>
        <w:tabs>
          <w:tab w:val="left" w:pos="720"/>
          <w:tab w:val="left" w:pos="1140"/>
        </w:tabs>
        <w:spacing w:before="240" w:after="240"/>
        <w:rPr>
          <w:szCs w:val="24"/>
        </w:rPr>
      </w:pPr>
      <w:r w:rsidRPr="008B4AD6">
        <w:rPr>
          <w:szCs w:val="24"/>
        </w:rPr>
        <w:t>The applicant’s estimate of the number of coils and stents that w</w:t>
      </w:r>
      <w:r w:rsidR="0093163F">
        <w:rPr>
          <w:szCs w:val="24"/>
        </w:rPr>
        <w:t>ill be substituted is given in T</w:t>
      </w:r>
      <w:r w:rsidRPr="008B4AD6">
        <w:rPr>
          <w:szCs w:val="24"/>
        </w:rPr>
        <w:t>able 1</w:t>
      </w:r>
      <w:r w:rsidR="00584C7E">
        <w:rPr>
          <w:szCs w:val="24"/>
        </w:rPr>
        <w:t>6</w:t>
      </w:r>
      <w:r w:rsidRPr="008B4AD6">
        <w:rPr>
          <w:szCs w:val="24"/>
        </w:rPr>
        <w:t>.</w:t>
      </w:r>
    </w:p>
    <w:p w14:paraId="54404DAA" w14:textId="7B003872" w:rsidR="00F43568" w:rsidRPr="004B35C9" w:rsidRDefault="00F43568" w:rsidP="004B35C9">
      <w:pPr>
        <w:rPr>
          <w:rFonts w:ascii="Arial Narrow" w:hAnsi="Arial Narrow"/>
          <w:b/>
          <w:sz w:val="20"/>
        </w:rPr>
      </w:pPr>
      <w:r w:rsidRPr="004B35C9">
        <w:rPr>
          <w:rFonts w:ascii="Arial Narrow" w:hAnsi="Arial Narrow"/>
          <w:b/>
          <w:sz w:val="20"/>
        </w:rPr>
        <w:t>Table 1</w:t>
      </w:r>
      <w:r w:rsidR="00584C7E" w:rsidRPr="004B35C9">
        <w:rPr>
          <w:rFonts w:ascii="Arial Narrow" w:hAnsi="Arial Narrow"/>
          <w:b/>
          <w:sz w:val="20"/>
        </w:rPr>
        <w:t>6</w:t>
      </w:r>
      <w:r w:rsidRPr="004B35C9">
        <w:rPr>
          <w:rFonts w:ascii="Arial Narrow" w:hAnsi="Arial Narrow"/>
          <w:b/>
          <w:sz w:val="20"/>
        </w:rPr>
        <w:t xml:space="preserve">: Estimated number of substituted coils and stents </w:t>
      </w:r>
    </w:p>
    <w:tbl>
      <w:tblPr>
        <w:tblStyle w:val="TableGrid2"/>
        <w:tblW w:w="5000" w:type="pct"/>
        <w:tblLook w:val="04A0" w:firstRow="1" w:lastRow="0" w:firstColumn="1" w:lastColumn="0" w:noHBand="0" w:noVBand="1"/>
        <w:tblCaption w:val="Table 9 Total costs to the MBS associated with XXX"/>
        <w:tblDescription w:val="This table provides a summary of the financial impact of the proposed new medical service over the next five years."/>
      </w:tblPr>
      <w:tblGrid>
        <w:gridCol w:w="2377"/>
        <w:gridCol w:w="1325"/>
        <w:gridCol w:w="1327"/>
        <w:gridCol w:w="1329"/>
        <w:gridCol w:w="1329"/>
        <w:gridCol w:w="1329"/>
      </w:tblGrid>
      <w:tr w:rsidR="008B4AD6" w:rsidRPr="008B4AD6" w14:paraId="3AC38629" w14:textId="77777777" w:rsidTr="004B35C9">
        <w:trPr>
          <w:cnfStyle w:val="100000000000" w:firstRow="1" w:lastRow="0" w:firstColumn="0" w:lastColumn="0" w:oddVBand="0" w:evenVBand="0" w:oddHBand="0" w:evenHBand="0" w:firstRowFirstColumn="0" w:firstRowLastColumn="0" w:lastRowFirstColumn="0" w:lastRowLastColumn="0"/>
          <w:trHeight w:val="300"/>
          <w:tblHeader/>
        </w:trPr>
        <w:tc>
          <w:tcPr>
            <w:tcW w:w="1318" w:type="pct"/>
          </w:tcPr>
          <w:p w14:paraId="41F06553" w14:textId="77777777" w:rsidR="00F43568" w:rsidRPr="008B4AD6" w:rsidRDefault="00F43568" w:rsidP="00AE5A89">
            <w:pPr>
              <w:keepNext/>
              <w:tabs>
                <w:tab w:val="left" w:pos="851"/>
              </w:tabs>
              <w:spacing w:after="40"/>
              <w:ind w:left="851" w:hanging="851"/>
              <w:rPr>
                <w:rFonts w:ascii="Arial Narrow" w:hAnsi="Arial Narrow"/>
                <w:b/>
              </w:rPr>
            </w:pPr>
            <w:r w:rsidRPr="008B4AD6">
              <w:rPr>
                <w:rFonts w:ascii="Arial Narrow" w:hAnsi="Arial Narrow"/>
                <w:b/>
              </w:rPr>
              <w:t>-</w:t>
            </w:r>
          </w:p>
        </w:tc>
        <w:tc>
          <w:tcPr>
            <w:tcW w:w="735" w:type="pct"/>
          </w:tcPr>
          <w:p w14:paraId="3E6BF094" w14:textId="77777777" w:rsidR="00F43568" w:rsidRPr="008B4AD6" w:rsidRDefault="00F43568" w:rsidP="00AE5A89">
            <w:pPr>
              <w:keepNext/>
              <w:tabs>
                <w:tab w:val="left" w:pos="851"/>
              </w:tabs>
              <w:spacing w:after="40"/>
              <w:ind w:left="851" w:hanging="851"/>
              <w:jc w:val="center"/>
              <w:rPr>
                <w:rFonts w:ascii="Arial Narrow" w:hAnsi="Arial Narrow"/>
                <w:b/>
              </w:rPr>
            </w:pPr>
            <w:r w:rsidRPr="008B4AD6">
              <w:rPr>
                <w:rFonts w:ascii="Arial Narrow" w:hAnsi="Arial Narrow"/>
                <w:b/>
              </w:rPr>
              <w:t>2015-16</w:t>
            </w:r>
          </w:p>
        </w:tc>
        <w:tc>
          <w:tcPr>
            <w:tcW w:w="736" w:type="pct"/>
          </w:tcPr>
          <w:p w14:paraId="4DF925EC" w14:textId="77777777" w:rsidR="00F43568" w:rsidRPr="008B4AD6" w:rsidRDefault="00F43568" w:rsidP="00AE5A89">
            <w:pPr>
              <w:keepNext/>
              <w:tabs>
                <w:tab w:val="left" w:pos="851"/>
              </w:tabs>
              <w:spacing w:after="40"/>
              <w:ind w:left="851" w:hanging="851"/>
              <w:jc w:val="center"/>
              <w:rPr>
                <w:rFonts w:ascii="Arial Narrow" w:hAnsi="Arial Narrow"/>
                <w:b/>
              </w:rPr>
            </w:pPr>
            <w:r w:rsidRPr="008B4AD6">
              <w:rPr>
                <w:rFonts w:ascii="Arial Narrow" w:hAnsi="Arial Narrow"/>
                <w:b/>
              </w:rPr>
              <w:t>2016-17</w:t>
            </w:r>
          </w:p>
        </w:tc>
        <w:tc>
          <w:tcPr>
            <w:tcW w:w="737" w:type="pct"/>
          </w:tcPr>
          <w:p w14:paraId="6A30A580" w14:textId="77777777" w:rsidR="00F43568" w:rsidRPr="008B4AD6" w:rsidRDefault="00F43568" w:rsidP="00AE5A89">
            <w:pPr>
              <w:keepNext/>
              <w:tabs>
                <w:tab w:val="left" w:pos="851"/>
              </w:tabs>
              <w:spacing w:after="40"/>
              <w:ind w:left="851" w:hanging="851"/>
              <w:jc w:val="center"/>
              <w:rPr>
                <w:rFonts w:ascii="Arial Narrow" w:hAnsi="Arial Narrow"/>
                <w:b/>
              </w:rPr>
            </w:pPr>
            <w:r w:rsidRPr="008B4AD6">
              <w:rPr>
                <w:rFonts w:ascii="Arial Narrow" w:hAnsi="Arial Narrow"/>
                <w:b/>
              </w:rPr>
              <w:t>2017-18</w:t>
            </w:r>
          </w:p>
        </w:tc>
        <w:tc>
          <w:tcPr>
            <w:tcW w:w="737" w:type="pct"/>
          </w:tcPr>
          <w:p w14:paraId="674A0660" w14:textId="77777777" w:rsidR="00F43568" w:rsidRPr="008B4AD6" w:rsidRDefault="00F43568" w:rsidP="00AE5A89">
            <w:pPr>
              <w:keepNext/>
              <w:tabs>
                <w:tab w:val="left" w:pos="851"/>
              </w:tabs>
              <w:spacing w:after="40"/>
              <w:ind w:left="851" w:hanging="851"/>
              <w:jc w:val="center"/>
              <w:rPr>
                <w:rFonts w:ascii="Arial Narrow" w:hAnsi="Arial Narrow"/>
                <w:b/>
              </w:rPr>
            </w:pPr>
            <w:r w:rsidRPr="008B4AD6">
              <w:rPr>
                <w:rFonts w:ascii="Arial Narrow" w:hAnsi="Arial Narrow"/>
                <w:b/>
              </w:rPr>
              <w:t>2018-19</w:t>
            </w:r>
          </w:p>
        </w:tc>
        <w:tc>
          <w:tcPr>
            <w:tcW w:w="737" w:type="pct"/>
          </w:tcPr>
          <w:p w14:paraId="1DE379C7" w14:textId="77777777" w:rsidR="00F43568" w:rsidRPr="008B4AD6" w:rsidRDefault="00F43568" w:rsidP="00AE5A89">
            <w:pPr>
              <w:keepNext/>
              <w:tabs>
                <w:tab w:val="left" w:pos="851"/>
              </w:tabs>
              <w:spacing w:after="40"/>
              <w:ind w:left="851" w:hanging="851"/>
              <w:jc w:val="center"/>
              <w:rPr>
                <w:rFonts w:ascii="Arial Narrow" w:hAnsi="Arial Narrow"/>
                <w:b/>
              </w:rPr>
            </w:pPr>
            <w:r w:rsidRPr="008B4AD6">
              <w:rPr>
                <w:rFonts w:ascii="Arial Narrow" w:hAnsi="Arial Narrow"/>
                <w:b/>
              </w:rPr>
              <w:t>2019-20</w:t>
            </w:r>
          </w:p>
        </w:tc>
      </w:tr>
      <w:tr w:rsidR="008B4AD6" w:rsidRPr="008B4AD6" w14:paraId="064B8E40" w14:textId="77777777" w:rsidTr="004B35C9">
        <w:trPr>
          <w:trHeight w:val="315"/>
        </w:trPr>
        <w:tc>
          <w:tcPr>
            <w:tcW w:w="1318" w:type="pct"/>
          </w:tcPr>
          <w:p w14:paraId="79FE9594" w14:textId="37E7E9C8" w:rsidR="005A52A2" w:rsidRPr="008B4AD6" w:rsidRDefault="005A52A2" w:rsidP="00F0427A">
            <w:pPr>
              <w:widowControl w:val="0"/>
              <w:spacing w:after="40"/>
            </w:pPr>
            <w:r w:rsidRPr="008B4AD6">
              <w:t>No of FDDs (From Table 1</w:t>
            </w:r>
            <w:r w:rsidR="00F0427A">
              <w:t>5</w:t>
            </w:r>
            <w:r w:rsidRPr="008B4AD6">
              <w:t>)</w:t>
            </w:r>
          </w:p>
        </w:tc>
        <w:tc>
          <w:tcPr>
            <w:tcW w:w="735" w:type="pct"/>
          </w:tcPr>
          <w:p w14:paraId="36BD41EE" w14:textId="7C0FE693" w:rsidR="005A52A2" w:rsidRPr="008B4AD6" w:rsidRDefault="00513B8C" w:rsidP="005A52A2">
            <w:pPr>
              <w:widowControl w:val="0"/>
              <w:spacing w:after="40"/>
              <w:jc w:val="center"/>
            </w:pPr>
            <w:r>
              <w:t>redacted</w:t>
            </w:r>
          </w:p>
        </w:tc>
        <w:tc>
          <w:tcPr>
            <w:tcW w:w="736" w:type="pct"/>
          </w:tcPr>
          <w:p w14:paraId="15972859" w14:textId="090D8653" w:rsidR="005A52A2" w:rsidRPr="008B4AD6" w:rsidRDefault="00513B8C" w:rsidP="005A52A2">
            <w:pPr>
              <w:widowControl w:val="0"/>
              <w:spacing w:after="40"/>
              <w:jc w:val="center"/>
            </w:pPr>
            <w:r>
              <w:t>redacted</w:t>
            </w:r>
          </w:p>
        </w:tc>
        <w:tc>
          <w:tcPr>
            <w:tcW w:w="737" w:type="pct"/>
          </w:tcPr>
          <w:p w14:paraId="62F38C7C" w14:textId="66E6C770" w:rsidR="005A52A2" w:rsidRPr="008B4AD6" w:rsidRDefault="00513B8C" w:rsidP="005A52A2">
            <w:pPr>
              <w:widowControl w:val="0"/>
              <w:spacing w:after="40"/>
              <w:jc w:val="center"/>
            </w:pPr>
            <w:r>
              <w:t>redacted</w:t>
            </w:r>
          </w:p>
        </w:tc>
        <w:tc>
          <w:tcPr>
            <w:tcW w:w="737" w:type="pct"/>
          </w:tcPr>
          <w:p w14:paraId="34616D0E" w14:textId="3E7DF0C0" w:rsidR="005A52A2" w:rsidRPr="008B4AD6" w:rsidRDefault="00513B8C" w:rsidP="005A52A2">
            <w:pPr>
              <w:widowControl w:val="0"/>
              <w:spacing w:after="40"/>
              <w:jc w:val="center"/>
            </w:pPr>
            <w:r>
              <w:t>redacted</w:t>
            </w:r>
          </w:p>
        </w:tc>
        <w:tc>
          <w:tcPr>
            <w:tcW w:w="737" w:type="pct"/>
          </w:tcPr>
          <w:p w14:paraId="18A17D2B" w14:textId="0089C028" w:rsidR="005A52A2" w:rsidRPr="008B4AD6" w:rsidRDefault="00513B8C" w:rsidP="005A52A2">
            <w:pPr>
              <w:widowControl w:val="0"/>
              <w:spacing w:after="40"/>
              <w:jc w:val="center"/>
            </w:pPr>
            <w:r>
              <w:t>redacted</w:t>
            </w:r>
          </w:p>
        </w:tc>
      </w:tr>
      <w:tr w:rsidR="008B4AD6" w:rsidRPr="008B4AD6" w14:paraId="593486B5" w14:textId="77777777" w:rsidTr="004B35C9">
        <w:trPr>
          <w:trHeight w:val="315"/>
        </w:trPr>
        <w:tc>
          <w:tcPr>
            <w:tcW w:w="1318" w:type="pct"/>
          </w:tcPr>
          <w:p w14:paraId="1B9CE67F" w14:textId="77777777" w:rsidR="005A52A2" w:rsidRPr="008B4AD6" w:rsidRDefault="005A52A2" w:rsidP="005A52A2">
            <w:pPr>
              <w:widowControl w:val="0"/>
              <w:spacing w:after="40"/>
            </w:pPr>
            <w:r w:rsidRPr="008B4AD6">
              <w:t xml:space="preserve">No of coils substituted </w:t>
            </w:r>
          </w:p>
        </w:tc>
        <w:tc>
          <w:tcPr>
            <w:tcW w:w="735" w:type="pct"/>
          </w:tcPr>
          <w:p w14:paraId="6D436748" w14:textId="3F9D802B" w:rsidR="005A52A2" w:rsidRPr="008B4AD6" w:rsidRDefault="00513B8C" w:rsidP="005A52A2">
            <w:pPr>
              <w:widowControl w:val="0"/>
              <w:spacing w:after="40"/>
              <w:jc w:val="center"/>
            </w:pPr>
            <w:r>
              <w:t>redacted</w:t>
            </w:r>
          </w:p>
        </w:tc>
        <w:tc>
          <w:tcPr>
            <w:tcW w:w="736" w:type="pct"/>
          </w:tcPr>
          <w:p w14:paraId="4DDE2A7E" w14:textId="184ACFF6" w:rsidR="005A52A2" w:rsidRPr="008B4AD6" w:rsidRDefault="00513B8C" w:rsidP="005A52A2">
            <w:pPr>
              <w:widowControl w:val="0"/>
              <w:spacing w:after="40"/>
              <w:jc w:val="center"/>
            </w:pPr>
            <w:r>
              <w:t>redacted</w:t>
            </w:r>
          </w:p>
        </w:tc>
        <w:tc>
          <w:tcPr>
            <w:tcW w:w="737" w:type="pct"/>
          </w:tcPr>
          <w:p w14:paraId="5F110EFF" w14:textId="0918C33F" w:rsidR="005A52A2" w:rsidRPr="008B4AD6" w:rsidRDefault="00513B8C" w:rsidP="005A52A2">
            <w:pPr>
              <w:widowControl w:val="0"/>
              <w:spacing w:after="40"/>
              <w:jc w:val="center"/>
            </w:pPr>
            <w:r>
              <w:t>redacted</w:t>
            </w:r>
          </w:p>
        </w:tc>
        <w:tc>
          <w:tcPr>
            <w:tcW w:w="737" w:type="pct"/>
          </w:tcPr>
          <w:p w14:paraId="2C7923B4" w14:textId="1607082E" w:rsidR="005A52A2" w:rsidRPr="008B4AD6" w:rsidRDefault="00513B8C" w:rsidP="005A52A2">
            <w:pPr>
              <w:widowControl w:val="0"/>
              <w:spacing w:after="40"/>
              <w:jc w:val="center"/>
            </w:pPr>
            <w:r>
              <w:t>redacted</w:t>
            </w:r>
          </w:p>
        </w:tc>
        <w:tc>
          <w:tcPr>
            <w:tcW w:w="737" w:type="pct"/>
          </w:tcPr>
          <w:p w14:paraId="3E5B8CC7" w14:textId="26D17A58" w:rsidR="005A52A2" w:rsidRPr="008B4AD6" w:rsidRDefault="00513B8C" w:rsidP="005A52A2">
            <w:pPr>
              <w:widowControl w:val="0"/>
              <w:spacing w:after="40"/>
              <w:jc w:val="center"/>
            </w:pPr>
            <w:r>
              <w:t>redacted</w:t>
            </w:r>
          </w:p>
        </w:tc>
      </w:tr>
      <w:tr w:rsidR="008B4AD6" w:rsidRPr="008B4AD6" w14:paraId="521800A8" w14:textId="77777777" w:rsidTr="004B35C9">
        <w:trPr>
          <w:trHeight w:val="315"/>
        </w:trPr>
        <w:tc>
          <w:tcPr>
            <w:tcW w:w="1318" w:type="pct"/>
          </w:tcPr>
          <w:p w14:paraId="4F20B47B" w14:textId="77777777" w:rsidR="005A52A2" w:rsidRPr="008B4AD6" w:rsidRDefault="005A52A2" w:rsidP="005A52A2">
            <w:pPr>
              <w:widowControl w:val="0"/>
              <w:spacing w:after="40"/>
            </w:pPr>
            <w:r w:rsidRPr="008B4AD6">
              <w:t>No of stents substituted</w:t>
            </w:r>
          </w:p>
        </w:tc>
        <w:tc>
          <w:tcPr>
            <w:tcW w:w="735" w:type="pct"/>
          </w:tcPr>
          <w:p w14:paraId="34B8ADA6" w14:textId="4D4F4D32" w:rsidR="005A52A2" w:rsidRPr="008B4AD6" w:rsidRDefault="00513B8C" w:rsidP="005A52A2">
            <w:pPr>
              <w:widowControl w:val="0"/>
              <w:spacing w:after="40"/>
              <w:jc w:val="center"/>
            </w:pPr>
            <w:r>
              <w:t>redacted</w:t>
            </w:r>
          </w:p>
        </w:tc>
        <w:tc>
          <w:tcPr>
            <w:tcW w:w="736" w:type="pct"/>
          </w:tcPr>
          <w:p w14:paraId="2BEA806A" w14:textId="76515F16" w:rsidR="005A52A2" w:rsidRPr="008B4AD6" w:rsidRDefault="00513B8C" w:rsidP="005A52A2">
            <w:pPr>
              <w:widowControl w:val="0"/>
              <w:spacing w:after="40"/>
              <w:jc w:val="center"/>
            </w:pPr>
            <w:r>
              <w:t>redacted</w:t>
            </w:r>
          </w:p>
        </w:tc>
        <w:tc>
          <w:tcPr>
            <w:tcW w:w="737" w:type="pct"/>
          </w:tcPr>
          <w:p w14:paraId="5E4D2471" w14:textId="2AB9CCB9" w:rsidR="005A52A2" w:rsidRPr="008B4AD6" w:rsidRDefault="00513B8C" w:rsidP="005A52A2">
            <w:pPr>
              <w:widowControl w:val="0"/>
              <w:spacing w:after="40"/>
              <w:jc w:val="center"/>
            </w:pPr>
            <w:r>
              <w:t>redacted</w:t>
            </w:r>
          </w:p>
        </w:tc>
        <w:tc>
          <w:tcPr>
            <w:tcW w:w="737" w:type="pct"/>
          </w:tcPr>
          <w:p w14:paraId="507BFD42" w14:textId="34EFA741" w:rsidR="005A52A2" w:rsidRPr="008B4AD6" w:rsidRDefault="00513B8C" w:rsidP="005A52A2">
            <w:pPr>
              <w:widowControl w:val="0"/>
              <w:spacing w:after="40"/>
              <w:jc w:val="center"/>
            </w:pPr>
            <w:r>
              <w:t>redacted</w:t>
            </w:r>
          </w:p>
        </w:tc>
        <w:tc>
          <w:tcPr>
            <w:tcW w:w="737" w:type="pct"/>
          </w:tcPr>
          <w:p w14:paraId="3FAFB0A2" w14:textId="68F03E7B" w:rsidR="005A52A2" w:rsidRPr="008B4AD6" w:rsidRDefault="00513B8C" w:rsidP="005A52A2">
            <w:pPr>
              <w:widowControl w:val="0"/>
              <w:spacing w:after="40"/>
              <w:jc w:val="center"/>
            </w:pPr>
            <w:r>
              <w:t>redacted</w:t>
            </w:r>
          </w:p>
        </w:tc>
      </w:tr>
    </w:tbl>
    <w:p w14:paraId="493ED03F" w14:textId="4C100B3D" w:rsidR="00F43568" w:rsidRPr="003854D6" w:rsidRDefault="00F43568" w:rsidP="003854D6">
      <w:pPr>
        <w:widowControl w:val="0"/>
        <w:tabs>
          <w:tab w:val="left" w:pos="284"/>
        </w:tabs>
        <w:spacing w:before="40"/>
        <w:rPr>
          <w:rFonts w:ascii="Arial Narrow" w:hAnsi="Arial Narrow"/>
          <w:sz w:val="18"/>
          <w:lang w:eastAsia="en-US"/>
        </w:rPr>
      </w:pPr>
      <w:r w:rsidRPr="008B4AD6">
        <w:rPr>
          <w:rFonts w:ascii="Arial Narrow" w:hAnsi="Arial Narrow"/>
          <w:sz w:val="18"/>
          <w:lang w:eastAsia="en-US"/>
        </w:rPr>
        <w:t>Source: compiled from Table 15</w:t>
      </w:r>
      <w:r w:rsidR="005A52A2" w:rsidRPr="008B4AD6">
        <w:rPr>
          <w:rFonts w:ascii="Arial Narrow" w:hAnsi="Arial Narrow"/>
          <w:sz w:val="18"/>
          <w:lang w:eastAsia="en-US"/>
        </w:rPr>
        <w:t>4</w:t>
      </w:r>
      <w:r w:rsidRPr="008B4AD6">
        <w:rPr>
          <w:rFonts w:ascii="Arial Narrow" w:hAnsi="Arial Narrow"/>
          <w:sz w:val="18"/>
          <w:lang w:eastAsia="en-US"/>
        </w:rPr>
        <w:t xml:space="preserve"> of the SBA</w:t>
      </w:r>
    </w:p>
    <w:p w14:paraId="50DFFD1B" w14:textId="3907585C" w:rsidR="005A52A2" w:rsidRPr="008B4AD6" w:rsidRDefault="005A52A2" w:rsidP="00242873">
      <w:pPr>
        <w:tabs>
          <w:tab w:val="left" w:pos="720"/>
          <w:tab w:val="left" w:pos="1140"/>
        </w:tabs>
        <w:spacing w:after="240"/>
        <w:rPr>
          <w:szCs w:val="24"/>
        </w:rPr>
      </w:pPr>
      <w:r w:rsidRPr="008B4AD6">
        <w:rPr>
          <w:szCs w:val="24"/>
        </w:rPr>
        <w:lastRenderedPageBreak/>
        <w:t>The applicant’s estimate of the cost to the prosthesis list of th</w:t>
      </w:r>
      <w:r w:rsidR="0093163F">
        <w:rPr>
          <w:szCs w:val="24"/>
        </w:rPr>
        <w:t>e inclusion of FDD is given in T</w:t>
      </w:r>
      <w:r w:rsidRPr="008B4AD6">
        <w:rPr>
          <w:szCs w:val="24"/>
        </w:rPr>
        <w:t>able 1</w:t>
      </w:r>
      <w:r w:rsidR="00584C7E">
        <w:rPr>
          <w:szCs w:val="24"/>
        </w:rPr>
        <w:t>7</w:t>
      </w:r>
      <w:r w:rsidRPr="008B4AD6">
        <w:rPr>
          <w:szCs w:val="24"/>
        </w:rPr>
        <w:t>.</w:t>
      </w:r>
    </w:p>
    <w:p w14:paraId="3BFDE0C8" w14:textId="11DADB6B" w:rsidR="005A52A2" w:rsidRPr="004B35C9" w:rsidRDefault="005A52A2" w:rsidP="004B35C9">
      <w:pPr>
        <w:rPr>
          <w:rFonts w:ascii="Arial Narrow" w:hAnsi="Arial Narrow"/>
          <w:b/>
          <w:sz w:val="20"/>
        </w:rPr>
      </w:pPr>
      <w:r w:rsidRPr="004B35C9">
        <w:rPr>
          <w:rFonts w:ascii="Arial Narrow" w:hAnsi="Arial Narrow"/>
          <w:b/>
          <w:sz w:val="20"/>
        </w:rPr>
        <w:t>Table 1</w:t>
      </w:r>
      <w:r w:rsidR="00584C7E" w:rsidRPr="004B35C9">
        <w:rPr>
          <w:rFonts w:ascii="Arial Narrow" w:hAnsi="Arial Narrow"/>
          <w:b/>
          <w:sz w:val="20"/>
        </w:rPr>
        <w:t>7</w:t>
      </w:r>
      <w:r w:rsidRPr="004B35C9">
        <w:rPr>
          <w:rFonts w:ascii="Arial Narrow" w:hAnsi="Arial Narrow"/>
          <w:b/>
          <w:sz w:val="20"/>
        </w:rPr>
        <w:t xml:space="preserve">: Estimated cost to private health insurers </w:t>
      </w:r>
    </w:p>
    <w:tbl>
      <w:tblPr>
        <w:tblStyle w:val="TableGrid2"/>
        <w:tblW w:w="5000" w:type="pct"/>
        <w:tblLook w:val="04A0" w:firstRow="1" w:lastRow="0" w:firstColumn="1" w:lastColumn="0" w:noHBand="0" w:noVBand="1"/>
        <w:tblDescription w:val="Estimated cost to private health insurers "/>
      </w:tblPr>
      <w:tblGrid>
        <w:gridCol w:w="2377"/>
        <w:gridCol w:w="1325"/>
        <w:gridCol w:w="1327"/>
        <w:gridCol w:w="1329"/>
        <w:gridCol w:w="1329"/>
        <w:gridCol w:w="1329"/>
      </w:tblGrid>
      <w:tr w:rsidR="008B4AD6" w:rsidRPr="008B4AD6" w14:paraId="7CF172D1" w14:textId="77777777" w:rsidTr="004B35C9">
        <w:trPr>
          <w:cnfStyle w:val="100000000000" w:firstRow="1" w:lastRow="0" w:firstColumn="0" w:lastColumn="0" w:oddVBand="0" w:evenVBand="0" w:oddHBand="0" w:evenHBand="0" w:firstRowFirstColumn="0" w:firstRowLastColumn="0" w:lastRowFirstColumn="0" w:lastRowLastColumn="0"/>
          <w:trHeight w:val="300"/>
          <w:tblHeader/>
        </w:trPr>
        <w:tc>
          <w:tcPr>
            <w:tcW w:w="1318" w:type="pct"/>
          </w:tcPr>
          <w:p w14:paraId="15A528AF" w14:textId="77777777" w:rsidR="005A52A2" w:rsidRPr="008B4AD6" w:rsidRDefault="005A52A2" w:rsidP="00AE5A89">
            <w:pPr>
              <w:keepNext/>
              <w:tabs>
                <w:tab w:val="left" w:pos="851"/>
              </w:tabs>
              <w:spacing w:after="40"/>
              <w:ind w:left="851" w:hanging="851"/>
              <w:rPr>
                <w:rFonts w:ascii="Arial Narrow" w:hAnsi="Arial Narrow"/>
                <w:b/>
              </w:rPr>
            </w:pPr>
            <w:r w:rsidRPr="008B4AD6">
              <w:rPr>
                <w:rFonts w:ascii="Arial Narrow" w:hAnsi="Arial Narrow"/>
                <w:b/>
              </w:rPr>
              <w:t>-</w:t>
            </w:r>
          </w:p>
        </w:tc>
        <w:tc>
          <w:tcPr>
            <w:tcW w:w="735" w:type="pct"/>
          </w:tcPr>
          <w:p w14:paraId="7C1674BF" w14:textId="77777777" w:rsidR="005A52A2" w:rsidRPr="008B4AD6" w:rsidRDefault="005A52A2" w:rsidP="00AE5A89">
            <w:pPr>
              <w:keepNext/>
              <w:tabs>
                <w:tab w:val="left" w:pos="851"/>
              </w:tabs>
              <w:spacing w:after="40"/>
              <w:ind w:left="851" w:hanging="851"/>
              <w:jc w:val="center"/>
              <w:rPr>
                <w:rFonts w:ascii="Arial Narrow" w:hAnsi="Arial Narrow"/>
                <w:b/>
              </w:rPr>
            </w:pPr>
            <w:r w:rsidRPr="008B4AD6">
              <w:rPr>
                <w:rFonts w:ascii="Arial Narrow" w:hAnsi="Arial Narrow"/>
                <w:b/>
              </w:rPr>
              <w:t>2015-16</w:t>
            </w:r>
          </w:p>
        </w:tc>
        <w:tc>
          <w:tcPr>
            <w:tcW w:w="736" w:type="pct"/>
          </w:tcPr>
          <w:p w14:paraId="0489C5EA" w14:textId="77777777" w:rsidR="005A52A2" w:rsidRPr="008B4AD6" w:rsidRDefault="005A52A2" w:rsidP="00AE5A89">
            <w:pPr>
              <w:keepNext/>
              <w:tabs>
                <w:tab w:val="left" w:pos="851"/>
              </w:tabs>
              <w:spacing w:after="40"/>
              <w:ind w:left="851" w:hanging="851"/>
              <w:jc w:val="center"/>
              <w:rPr>
                <w:rFonts w:ascii="Arial Narrow" w:hAnsi="Arial Narrow"/>
                <w:b/>
              </w:rPr>
            </w:pPr>
            <w:r w:rsidRPr="008B4AD6">
              <w:rPr>
                <w:rFonts w:ascii="Arial Narrow" w:hAnsi="Arial Narrow"/>
                <w:b/>
              </w:rPr>
              <w:t>2016-17</w:t>
            </w:r>
          </w:p>
        </w:tc>
        <w:tc>
          <w:tcPr>
            <w:tcW w:w="737" w:type="pct"/>
          </w:tcPr>
          <w:p w14:paraId="347A65AB" w14:textId="77777777" w:rsidR="005A52A2" w:rsidRPr="008B4AD6" w:rsidRDefault="005A52A2" w:rsidP="00AE5A89">
            <w:pPr>
              <w:keepNext/>
              <w:tabs>
                <w:tab w:val="left" w:pos="851"/>
              </w:tabs>
              <w:spacing w:after="40"/>
              <w:ind w:left="851" w:hanging="851"/>
              <w:jc w:val="center"/>
              <w:rPr>
                <w:rFonts w:ascii="Arial Narrow" w:hAnsi="Arial Narrow"/>
                <w:b/>
              </w:rPr>
            </w:pPr>
            <w:r w:rsidRPr="008B4AD6">
              <w:rPr>
                <w:rFonts w:ascii="Arial Narrow" w:hAnsi="Arial Narrow"/>
                <w:b/>
              </w:rPr>
              <w:t>2017-18</w:t>
            </w:r>
          </w:p>
        </w:tc>
        <w:tc>
          <w:tcPr>
            <w:tcW w:w="737" w:type="pct"/>
          </w:tcPr>
          <w:p w14:paraId="569B2BC9" w14:textId="77777777" w:rsidR="005A52A2" w:rsidRPr="008B4AD6" w:rsidRDefault="005A52A2" w:rsidP="00AE5A89">
            <w:pPr>
              <w:keepNext/>
              <w:tabs>
                <w:tab w:val="left" w:pos="851"/>
              </w:tabs>
              <w:spacing w:after="40"/>
              <w:ind w:left="851" w:hanging="851"/>
              <w:jc w:val="center"/>
              <w:rPr>
                <w:rFonts w:ascii="Arial Narrow" w:hAnsi="Arial Narrow"/>
                <w:b/>
              </w:rPr>
            </w:pPr>
            <w:r w:rsidRPr="008B4AD6">
              <w:rPr>
                <w:rFonts w:ascii="Arial Narrow" w:hAnsi="Arial Narrow"/>
                <w:b/>
              </w:rPr>
              <w:t>2018-19</w:t>
            </w:r>
          </w:p>
        </w:tc>
        <w:tc>
          <w:tcPr>
            <w:tcW w:w="737" w:type="pct"/>
          </w:tcPr>
          <w:p w14:paraId="19EB8F9E" w14:textId="77777777" w:rsidR="005A52A2" w:rsidRPr="008B4AD6" w:rsidRDefault="005A52A2" w:rsidP="00AE5A89">
            <w:pPr>
              <w:keepNext/>
              <w:tabs>
                <w:tab w:val="left" w:pos="851"/>
              </w:tabs>
              <w:spacing w:after="40"/>
              <w:ind w:left="851" w:hanging="851"/>
              <w:jc w:val="center"/>
              <w:rPr>
                <w:rFonts w:ascii="Arial Narrow" w:hAnsi="Arial Narrow"/>
                <w:b/>
              </w:rPr>
            </w:pPr>
            <w:r w:rsidRPr="008B4AD6">
              <w:rPr>
                <w:rFonts w:ascii="Arial Narrow" w:hAnsi="Arial Narrow"/>
                <w:b/>
              </w:rPr>
              <w:t>2019-20</w:t>
            </w:r>
          </w:p>
        </w:tc>
      </w:tr>
      <w:tr w:rsidR="008B4AD6" w:rsidRPr="008B4AD6" w14:paraId="49E70B69" w14:textId="77777777" w:rsidTr="004B35C9">
        <w:trPr>
          <w:trHeight w:val="315"/>
        </w:trPr>
        <w:tc>
          <w:tcPr>
            <w:tcW w:w="1318" w:type="pct"/>
          </w:tcPr>
          <w:p w14:paraId="55CEB4A2" w14:textId="77777777" w:rsidR="005A52A2" w:rsidRPr="008B4AD6" w:rsidRDefault="005A52A2" w:rsidP="005A52A2">
            <w:pPr>
              <w:widowControl w:val="0"/>
              <w:spacing w:after="40"/>
            </w:pPr>
            <w:r w:rsidRPr="008B4AD6">
              <w:t>FDD costs</w:t>
            </w:r>
          </w:p>
        </w:tc>
        <w:tc>
          <w:tcPr>
            <w:tcW w:w="735" w:type="pct"/>
          </w:tcPr>
          <w:p w14:paraId="75F49CAA" w14:textId="6399D4AA" w:rsidR="005A52A2" w:rsidRPr="008B4AD6" w:rsidRDefault="005A52A2" w:rsidP="00513B8C">
            <w:pPr>
              <w:widowControl w:val="0"/>
              <w:spacing w:after="40"/>
              <w:jc w:val="center"/>
            </w:pPr>
            <w:r w:rsidRPr="008B4AD6">
              <w:t>$</w:t>
            </w:r>
            <w:r w:rsidR="00513B8C">
              <w:t>redacted</w:t>
            </w:r>
          </w:p>
        </w:tc>
        <w:tc>
          <w:tcPr>
            <w:tcW w:w="736" w:type="pct"/>
          </w:tcPr>
          <w:p w14:paraId="442B2297" w14:textId="1F8071C0" w:rsidR="005A52A2" w:rsidRPr="008B4AD6" w:rsidRDefault="005A52A2" w:rsidP="00513B8C">
            <w:pPr>
              <w:widowControl w:val="0"/>
              <w:spacing w:after="40"/>
              <w:jc w:val="center"/>
            </w:pPr>
            <w:r w:rsidRPr="008B4AD6">
              <w:t>$</w:t>
            </w:r>
            <w:r w:rsidR="00513B8C">
              <w:t>redacted</w:t>
            </w:r>
          </w:p>
        </w:tc>
        <w:tc>
          <w:tcPr>
            <w:tcW w:w="737" w:type="pct"/>
          </w:tcPr>
          <w:p w14:paraId="45DAC602" w14:textId="1D988D1F" w:rsidR="005A52A2" w:rsidRPr="008B4AD6" w:rsidRDefault="005A52A2" w:rsidP="005A52A2">
            <w:pPr>
              <w:widowControl w:val="0"/>
              <w:spacing w:after="40"/>
              <w:jc w:val="center"/>
            </w:pPr>
            <w:r w:rsidRPr="008B4AD6">
              <w:t>$</w:t>
            </w:r>
            <w:r w:rsidR="00513B8C">
              <w:t>redacted</w:t>
            </w:r>
          </w:p>
        </w:tc>
        <w:tc>
          <w:tcPr>
            <w:tcW w:w="737" w:type="pct"/>
          </w:tcPr>
          <w:p w14:paraId="74EB1BAE" w14:textId="006AA4D9" w:rsidR="005A52A2" w:rsidRPr="008B4AD6" w:rsidRDefault="005A52A2" w:rsidP="00513B8C">
            <w:pPr>
              <w:widowControl w:val="0"/>
              <w:spacing w:after="40"/>
              <w:jc w:val="center"/>
            </w:pPr>
            <w:r w:rsidRPr="008B4AD6">
              <w:t>$</w:t>
            </w:r>
            <w:r w:rsidR="00513B8C">
              <w:t>redacted</w:t>
            </w:r>
          </w:p>
        </w:tc>
        <w:tc>
          <w:tcPr>
            <w:tcW w:w="737" w:type="pct"/>
          </w:tcPr>
          <w:p w14:paraId="7A91E40F" w14:textId="1642D05B" w:rsidR="005A52A2" w:rsidRPr="008B4AD6" w:rsidRDefault="005A52A2" w:rsidP="005A52A2">
            <w:pPr>
              <w:widowControl w:val="0"/>
              <w:spacing w:after="40"/>
              <w:jc w:val="center"/>
            </w:pPr>
            <w:r w:rsidRPr="008B4AD6">
              <w:t>$</w:t>
            </w:r>
            <w:r w:rsidR="00513B8C">
              <w:t>redacted</w:t>
            </w:r>
          </w:p>
        </w:tc>
      </w:tr>
      <w:tr w:rsidR="008B4AD6" w:rsidRPr="008B4AD6" w14:paraId="3A9D30BA" w14:textId="77777777" w:rsidTr="004B35C9">
        <w:trPr>
          <w:trHeight w:val="315"/>
        </w:trPr>
        <w:tc>
          <w:tcPr>
            <w:tcW w:w="1318" w:type="pct"/>
          </w:tcPr>
          <w:p w14:paraId="3FAD8DA4" w14:textId="77777777" w:rsidR="005A52A2" w:rsidRPr="008B4AD6" w:rsidRDefault="005A52A2" w:rsidP="005A52A2">
            <w:pPr>
              <w:widowControl w:val="0"/>
              <w:spacing w:after="40"/>
            </w:pPr>
            <w:r w:rsidRPr="008B4AD6">
              <w:t xml:space="preserve">Substituted device costs </w:t>
            </w:r>
          </w:p>
        </w:tc>
        <w:tc>
          <w:tcPr>
            <w:tcW w:w="735" w:type="pct"/>
          </w:tcPr>
          <w:p w14:paraId="001FA5E6" w14:textId="1C3FFD64" w:rsidR="005A52A2" w:rsidRPr="008B4AD6" w:rsidRDefault="005A52A2" w:rsidP="005A52A2">
            <w:pPr>
              <w:widowControl w:val="0"/>
              <w:spacing w:after="40"/>
              <w:jc w:val="center"/>
            </w:pPr>
            <w:r w:rsidRPr="008B4AD6">
              <w:t>$</w:t>
            </w:r>
            <w:r w:rsidR="00513B8C">
              <w:t>redacted</w:t>
            </w:r>
          </w:p>
        </w:tc>
        <w:tc>
          <w:tcPr>
            <w:tcW w:w="736" w:type="pct"/>
          </w:tcPr>
          <w:p w14:paraId="592C0972" w14:textId="5DE8AB7F" w:rsidR="005A52A2" w:rsidRPr="008B4AD6" w:rsidRDefault="005A52A2" w:rsidP="005A52A2">
            <w:pPr>
              <w:widowControl w:val="0"/>
              <w:spacing w:after="40"/>
              <w:jc w:val="center"/>
            </w:pPr>
            <w:r w:rsidRPr="008B4AD6">
              <w:t>$</w:t>
            </w:r>
            <w:r w:rsidR="00513B8C">
              <w:t>redacted</w:t>
            </w:r>
          </w:p>
        </w:tc>
        <w:tc>
          <w:tcPr>
            <w:tcW w:w="737" w:type="pct"/>
          </w:tcPr>
          <w:p w14:paraId="097350A8" w14:textId="4208183E" w:rsidR="005A52A2" w:rsidRPr="008B4AD6" w:rsidRDefault="005A52A2" w:rsidP="005A52A2">
            <w:pPr>
              <w:widowControl w:val="0"/>
              <w:spacing w:after="40"/>
              <w:jc w:val="center"/>
            </w:pPr>
            <w:r w:rsidRPr="008B4AD6">
              <w:t>$</w:t>
            </w:r>
            <w:r w:rsidR="00513B8C">
              <w:t>redacted</w:t>
            </w:r>
          </w:p>
        </w:tc>
        <w:tc>
          <w:tcPr>
            <w:tcW w:w="737" w:type="pct"/>
          </w:tcPr>
          <w:p w14:paraId="27E9F0A9" w14:textId="4B96D04C" w:rsidR="005A52A2" w:rsidRPr="008B4AD6" w:rsidRDefault="005A52A2" w:rsidP="005A52A2">
            <w:pPr>
              <w:widowControl w:val="0"/>
              <w:spacing w:after="40"/>
              <w:jc w:val="center"/>
            </w:pPr>
            <w:r w:rsidRPr="008B4AD6">
              <w:t>$</w:t>
            </w:r>
            <w:r w:rsidR="00513B8C">
              <w:t>redacted</w:t>
            </w:r>
          </w:p>
        </w:tc>
        <w:tc>
          <w:tcPr>
            <w:tcW w:w="737" w:type="pct"/>
          </w:tcPr>
          <w:p w14:paraId="54C23CA4" w14:textId="73C1E247" w:rsidR="005A52A2" w:rsidRPr="008B4AD6" w:rsidRDefault="005A52A2" w:rsidP="00513B8C">
            <w:pPr>
              <w:widowControl w:val="0"/>
              <w:spacing w:after="40"/>
              <w:jc w:val="center"/>
            </w:pPr>
            <w:r w:rsidRPr="008B4AD6">
              <w:t>$</w:t>
            </w:r>
            <w:r w:rsidR="00513B8C">
              <w:t>redacted</w:t>
            </w:r>
          </w:p>
        </w:tc>
      </w:tr>
      <w:tr w:rsidR="008B4AD6" w:rsidRPr="008B4AD6" w14:paraId="02F38D2F" w14:textId="77777777" w:rsidTr="004B35C9">
        <w:trPr>
          <w:trHeight w:val="315"/>
        </w:trPr>
        <w:tc>
          <w:tcPr>
            <w:tcW w:w="1318" w:type="pct"/>
          </w:tcPr>
          <w:p w14:paraId="3B631E8C" w14:textId="77777777" w:rsidR="005A52A2" w:rsidRPr="008B4AD6" w:rsidRDefault="005A52A2" w:rsidP="005A52A2">
            <w:pPr>
              <w:widowControl w:val="0"/>
              <w:spacing w:after="40"/>
            </w:pPr>
            <w:r w:rsidRPr="008B4AD6">
              <w:t>Net cost to private health</w:t>
            </w:r>
          </w:p>
        </w:tc>
        <w:tc>
          <w:tcPr>
            <w:tcW w:w="735" w:type="pct"/>
          </w:tcPr>
          <w:p w14:paraId="6497A591" w14:textId="7012A27E" w:rsidR="005A52A2" w:rsidRPr="008B4AD6" w:rsidRDefault="005A52A2" w:rsidP="005A52A2">
            <w:pPr>
              <w:widowControl w:val="0"/>
              <w:spacing w:after="40"/>
              <w:jc w:val="center"/>
            </w:pPr>
            <w:r w:rsidRPr="008B4AD6">
              <w:t>$</w:t>
            </w:r>
            <w:r w:rsidR="00513B8C">
              <w:t>redacted</w:t>
            </w:r>
          </w:p>
        </w:tc>
        <w:tc>
          <w:tcPr>
            <w:tcW w:w="736" w:type="pct"/>
          </w:tcPr>
          <w:p w14:paraId="28B79B2C" w14:textId="15F0C0C6" w:rsidR="005A52A2" w:rsidRPr="008B4AD6" w:rsidRDefault="005A52A2" w:rsidP="005A52A2">
            <w:pPr>
              <w:widowControl w:val="0"/>
              <w:spacing w:after="40"/>
              <w:jc w:val="center"/>
            </w:pPr>
            <w:r w:rsidRPr="008B4AD6">
              <w:t>$</w:t>
            </w:r>
            <w:r w:rsidR="00513B8C">
              <w:t>redacted</w:t>
            </w:r>
          </w:p>
        </w:tc>
        <w:tc>
          <w:tcPr>
            <w:tcW w:w="737" w:type="pct"/>
          </w:tcPr>
          <w:p w14:paraId="26C8A540" w14:textId="50202F4A" w:rsidR="005A52A2" w:rsidRPr="008B4AD6" w:rsidRDefault="005A52A2" w:rsidP="005A52A2">
            <w:pPr>
              <w:widowControl w:val="0"/>
              <w:spacing w:after="40"/>
              <w:jc w:val="center"/>
            </w:pPr>
            <w:r w:rsidRPr="008B4AD6">
              <w:t>$</w:t>
            </w:r>
            <w:r w:rsidR="00513B8C">
              <w:t>redacted</w:t>
            </w:r>
          </w:p>
        </w:tc>
        <w:tc>
          <w:tcPr>
            <w:tcW w:w="737" w:type="pct"/>
          </w:tcPr>
          <w:p w14:paraId="7A785FEA" w14:textId="7DC30F08" w:rsidR="005A52A2" w:rsidRPr="008B4AD6" w:rsidRDefault="005A52A2" w:rsidP="005A52A2">
            <w:pPr>
              <w:widowControl w:val="0"/>
              <w:spacing w:after="40"/>
              <w:jc w:val="center"/>
            </w:pPr>
            <w:r w:rsidRPr="008B4AD6">
              <w:t>$</w:t>
            </w:r>
            <w:r w:rsidR="00513B8C">
              <w:t>redacted</w:t>
            </w:r>
          </w:p>
        </w:tc>
        <w:tc>
          <w:tcPr>
            <w:tcW w:w="737" w:type="pct"/>
          </w:tcPr>
          <w:p w14:paraId="770481C6" w14:textId="3F24AE5A" w:rsidR="005A52A2" w:rsidRPr="008B4AD6" w:rsidRDefault="005A52A2" w:rsidP="00513B8C">
            <w:pPr>
              <w:widowControl w:val="0"/>
              <w:spacing w:after="40"/>
              <w:jc w:val="center"/>
            </w:pPr>
            <w:r w:rsidRPr="008B4AD6">
              <w:t>$</w:t>
            </w:r>
            <w:r w:rsidR="00513B8C">
              <w:t>redacted</w:t>
            </w:r>
          </w:p>
        </w:tc>
      </w:tr>
    </w:tbl>
    <w:p w14:paraId="547BE81D" w14:textId="77777777" w:rsidR="005A52A2" w:rsidRPr="008B4AD6" w:rsidRDefault="005A52A2" w:rsidP="008B4AD6">
      <w:pPr>
        <w:widowControl w:val="0"/>
        <w:tabs>
          <w:tab w:val="left" w:pos="284"/>
        </w:tabs>
        <w:spacing w:before="40"/>
        <w:rPr>
          <w:rFonts w:ascii="Arial Narrow" w:hAnsi="Arial Narrow"/>
          <w:sz w:val="18"/>
          <w:lang w:eastAsia="en-US"/>
        </w:rPr>
      </w:pPr>
      <w:r w:rsidRPr="008B4AD6">
        <w:rPr>
          <w:rFonts w:ascii="Arial Narrow" w:hAnsi="Arial Narrow"/>
          <w:sz w:val="18"/>
          <w:lang w:eastAsia="en-US"/>
        </w:rPr>
        <w:t>Source: Table 155 of SBA</w:t>
      </w:r>
    </w:p>
    <w:p w14:paraId="574027E1" w14:textId="714A69C6" w:rsidR="005A52A2" w:rsidRPr="008B4AD6" w:rsidRDefault="0093163F" w:rsidP="00242873">
      <w:pPr>
        <w:tabs>
          <w:tab w:val="left" w:pos="720"/>
          <w:tab w:val="left" w:pos="1140"/>
        </w:tabs>
        <w:spacing w:before="240" w:after="240"/>
        <w:rPr>
          <w:szCs w:val="24"/>
        </w:rPr>
      </w:pPr>
      <w:r>
        <w:rPr>
          <w:szCs w:val="24"/>
        </w:rPr>
        <w:t>The applicant estimated</w:t>
      </w:r>
      <w:r w:rsidR="005A52A2" w:rsidRPr="008B4AD6">
        <w:rPr>
          <w:szCs w:val="24"/>
        </w:rPr>
        <w:t xml:space="preserve"> that around 400 FDD insertion procedures were conducted in Australia in 2017, with the majority of procedures currently performed in a public. The applicant examined a scenario in which 35% of these procedures are conducted in the private setting following an MBS and prosthesis list listing. When added to the projected uptake of FDD in the current MBS market (see Table 1</w:t>
      </w:r>
      <w:r w:rsidR="00584C7E">
        <w:rPr>
          <w:szCs w:val="24"/>
        </w:rPr>
        <w:t>5</w:t>
      </w:r>
      <w:r w:rsidR="005A52A2" w:rsidRPr="008B4AD6">
        <w:rPr>
          <w:szCs w:val="24"/>
        </w:rPr>
        <w:t>), the applicant estimates a total of 257 and 411 FDD procedures will be performed under the MBS in Years 1 and 5 respectively (see Table 1</w:t>
      </w:r>
      <w:r w:rsidR="00584C7E">
        <w:rPr>
          <w:szCs w:val="24"/>
        </w:rPr>
        <w:t>8</w:t>
      </w:r>
      <w:r w:rsidR="005A52A2" w:rsidRPr="008B4AD6">
        <w:rPr>
          <w:szCs w:val="24"/>
        </w:rPr>
        <w:t>).</w:t>
      </w:r>
    </w:p>
    <w:p w14:paraId="5346D23B" w14:textId="4AE2ECAB" w:rsidR="005A52A2" w:rsidRPr="004B35C9" w:rsidRDefault="005A52A2" w:rsidP="004B35C9">
      <w:pPr>
        <w:rPr>
          <w:rFonts w:ascii="Arial Narrow" w:hAnsi="Arial Narrow"/>
          <w:b/>
          <w:sz w:val="20"/>
        </w:rPr>
      </w:pPr>
      <w:r w:rsidRPr="004B35C9">
        <w:rPr>
          <w:rFonts w:ascii="Arial Narrow" w:hAnsi="Arial Narrow"/>
          <w:b/>
          <w:sz w:val="20"/>
        </w:rPr>
        <w:t>Table 1</w:t>
      </w:r>
      <w:r w:rsidR="00584C7E" w:rsidRPr="004B35C9">
        <w:rPr>
          <w:rFonts w:ascii="Arial Narrow" w:hAnsi="Arial Narrow"/>
          <w:b/>
          <w:sz w:val="20"/>
        </w:rPr>
        <w:t>8</w:t>
      </w:r>
      <w:r w:rsidRPr="004B35C9">
        <w:rPr>
          <w:rFonts w:ascii="Arial Narrow" w:hAnsi="Arial Narrow"/>
          <w:b/>
          <w:sz w:val="20"/>
        </w:rPr>
        <w:t xml:space="preserve">: Estimated </w:t>
      </w:r>
      <w:r w:rsidR="002E75E1" w:rsidRPr="004B35C9">
        <w:rPr>
          <w:rFonts w:ascii="Arial Narrow" w:hAnsi="Arial Narrow"/>
          <w:b/>
          <w:sz w:val="20"/>
        </w:rPr>
        <w:t>additional utilisation of FDD procedures in private setting</w:t>
      </w:r>
      <w:r w:rsidRPr="004B35C9">
        <w:rPr>
          <w:rFonts w:ascii="Arial Narrow" w:hAnsi="Arial Narrow"/>
          <w:b/>
          <w:sz w:val="20"/>
        </w:rPr>
        <w:t xml:space="preserve"> </w:t>
      </w:r>
    </w:p>
    <w:tbl>
      <w:tblPr>
        <w:tblStyle w:val="TableGrid2"/>
        <w:tblW w:w="5000" w:type="pct"/>
        <w:tblLook w:val="04A0" w:firstRow="1" w:lastRow="0" w:firstColumn="1" w:lastColumn="0" w:noHBand="0" w:noVBand="1"/>
        <w:tblDescription w:val="Estimated additional utilisation of FDD procedures in private setting "/>
      </w:tblPr>
      <w:tblGrid>
        <w:gridCol w:w="2377"/>
        <w:gridCol w:w="1325"/>
        <w:gridCol w:w="1327"/>
        <w:gridCol w:w="1329"/>
        <w:gridCol w:w="1329"/>
        <w:gridCol w:w="1329"/>
      </w:tblGrid>
      <w:tr w:rsidR="008B4AD6" w:rsidRPr="008B4AD6" w14:paraId="3DA18853" w14:textId="77777777" w:rsidTr="009F385A">
        <w:trPr>
          <w:cnfStyle w:val="100000000000" w:firstRow="1" w:lastRow="0" w:firstColumn="0" w:lastColumn="0" w:oddVBand="0" w:evenVBand="0" w:oddHBand="0" w:evenHBand="0" w:firstRowFirstColumn="0" w:firstRowLastColumn="0" w:lastRowFirstColumn="0" w:lastRowLastColumn="0"/>
          <w:trHeight w:val="300"/>
          <w:tblHeader/>
        </w:trPr>
        <w:tc>
          <w:tcPr>
            <w:tcW w:w="1318" w:type="pct"/>
          </w:tcPr>
          <w:p w14:paraId="5EFC0610" w14:textId="77777777" w:rsidR="005A52A2" w:rsidRPr="008B4AD6" w:rsidRDefault="005A52A2" w:rsidP="00AE5A89">
            <w:pPr>
              <w:keepNext/>
              <w:tabs>
                <w:tab w:val="left" w:pos="851"/>
              </w:tabs>
              <w:spacing w:after="40"/>
              <w:ind w:left="851" w:hanging="851"/>
              <w:rPr>
                <w:rFonts w:ascii="Arial Narrow" w:hAnsi="Arial Narrow"/>
                <w:b/>
              </w:rPr>
            </w:pPr>
            <w:r w:rsidRPr="008B4AD6">
              <w:rPr>
                <w:rFonts w:ascii="Arial Narrow" w:hAnsi="Arial Narrow"/>
                <w:b/>
              </w:rPr>
              <w:t>-</w:t>
            </w:r>
          </w:p>
        </w:tc>
        <w:tc>
          <w:tcPr>
            <w:tcW w:w="735" w:type="pct"/>
          </w:tcPr>
          <w:p w14:paraId="05816B7C" w14:textId="77777777" w:rsidR="005A52A2" w:rsidRPr="008B4AD6" w:rsidRDefault="005A52A2" w:rsidP="00AE5A89">
            <w:pPr>
              <w:keepNext/>
              <w:tabs>
                <w:tab w:val="left" w:pos="851"/>
              </w:tabs>
              <w:spacing w:after="40"/>
              <w:ind w:left="851" w:hanging="851"/>
              <w:jc w:val="center"/>
              <w:rPr>
                <w:rFonts w:ascii="Arial Narrow" w:hAnsi="Arial Narrow"/>
                <w:b/>
              </w:rPr>
            </w:pPr>
            <w:r w:rsidRPr="008B4AD6">
              <w:rPr>
                <w:rFonts w:ascii="Arial Narrow" w:hAnsi="Arial Narrow"/>
                <w:b/>
              </w:rPr>
              <w:t>2015-16</w:t>
            </w:r>
          </w:p>
        </w:tc>
        <w:tc>
          <w:tcPr>
            <w:tcW w:w="736" w:type="pct"/>
          </w:tcPr>
          <w:p w14:paraId="51051517" w14:textId="77777777" w:rsidR="005A52A2" w:rsidRPr="008B4AD6" w:rsidRDefault="005A52A2" w:rsidP="00AE5A89">
            <w:pPr>
              <w:keepNext/>
              <w:tabs>
                <w:tab w:val="left" w:pos="851"/>
              </w:tabs>
              <w:spacing w:after="40"/>
              <w:ind w:left="851" w:hanging="851"/>
              <w:jc w:val="center"/>
              <w:rPr>
                <w:rFonts w:ascii="Arial Narrow" w:hAnsi="Arial Narrow"/>
                <w:b/>
              </w:rPr>
            </w:pPr>
            <w:r w:rsidRPr="008B4AD6">
              <w:rPr>
                <w:rFonts w:ascii="Arial Narrow" w:hAnsi="Arial Narrow"/>
                <w:b/>
              </w:rPr>
              <w:t>2016-17</w:t>
            </w:r>
          </w:p>
        </w:tc>
        <w:tc>
          <w:tcPr>
            <w:tcW w:w="737" w:type="pct"/>
          </w:tcPr>
          <w:p w14:paraId="4B06F12A" w14:textId="77777777" w:rsidR="005A52A2" w:rsidRPr="008B4AD6" w:rsidRDefault="005A52A2" w:rsidP="00AE5A89">
            <w:pPr>
              <w:keepNext/>
              <w:tabs>
                <w:tab w:val="left" w:pos="851"/>
              </w:tabs>
              <w:spacing w:after="40"/>
              <w:ind w:left="851" w:hanging="851"/>
              <w:jc w:val="center"/>
              <w:rPr>
                <w:rFonts w:ascii="Arial Narrow" w:hAnsi="Arial Narrow"/>
                <w:b/>
              </w:rPr>
            </w:pPr>
            <w:r w:rsidRPr="008B4AD6">
              <w:rPr>
                <w:rFonts w:ascii="Arial Narrow" w:hAnsi="Arial Narrow"/>
                <w:b/>
              </w:rPr>
              <w:t>2017-18</w:t>
            </w:r>
          </w:p>
        </w:tc>
        <w:tc>
          <w:tcPr>
            <w:tcW w:w="737" w:type="pct"/>
          </w:tcPr>
          <w:p w14:paraId="645EC1FB" w14:textId="77777777" w:rsidR="005A52A2" w:rsidRPr="008B4AD6" w:rsidRDefault="005A52A2" w:rsidP="00AE5A89">
            <w:pPr>
              <w:keepNext/>
              <w:tabs>
                <w:tab w:val="left" w:pos="851"/>
              </w:tabs>
              <w:spacing w:after="40"/>
              <w:ind w:left="851" w:hanging="851"/>
              <w:jc w:val="center"/>
              <w:rPr>
                <w:rFonts w:ascii="Arial Narrow" w:hAnsi="Arial Narrow"/>
                <w:b/>
              </w:rPr>
            </w:pPr>
            <w:r w:rsidRPr="008B4AD6">
              <w:rPr>
                <w:rFonts w:ascii="Arial Narrow" w:hAnsi="Arial Narrow"/>
                <w:b/>
              </w:rPr>
              <w:t>2018-19</w:t>
            </w:r>
          </w:p>
        </w:tc>
        <w:tc>
          <w:tcPr>
            <w:tcW w:w="737" w:type="pct"/>
          </w:tcPr>
          <w:p w14:paraId="22449F57" w14:textId="77777777" w:rsidR="005A52A2" w:rsidRPr="008B4AD6" w:rsidRDefault="005A52A2" w:rsidP="00AE5A89">
            <w:pPr>
              <w:keepNext/>
              <w:tabs>
                <w:tab w:val="left" w:pos="851"/>
              </w:tabs>
              <w:spacing w:after="40"/>
              <w:ind w:left="851" w:hanging="851"/>
              <w:jc w:val="center"/>
              <w:rPr>
                <w:rFonts w:ascii="Arial Narrow" w:hAnsi="Arial Narrow"/>
                <w:b/>
              </w:rPr>
            </w:pPr>
            <w:r w:rsidRPr="008B4AD6">
              <w:rPr>
                <w:rFonts w:ascii="Arial Narrow" w:hAnsi="Arial Narrow"/>
                <w:b/>
              </w:rPr>
              <w:t>2019-20</w:t>
            </w:r>
          </w:p>
        </w:tc>
      </w:tr>
      <w:tr w:rsidR="008B4AD6" w:rsidRPr="008B4AD6" w14:paraId="6D934F09" w14:textId="77777777" w:rsidTr="004B35C9">
        <w:trPr>
          <w:trHeight w:val="315"/>
        </w:trPr>
        <w:tc>
          <w:tcPr>
            <w:tcW w:w="1318" w:type="pct"/>
          </w:tcPr>
          <w:p w14:paraId="78F7A912" w14:textId="08D9FD6F" w:rsidR="002E75E1" w:rsidRPr="008B4AD6" w:rsidRDefault="002E75E1" w:rsidP="00584C7E">
            <w:pPr>
              <w:widowControl w:val="0"/>
              <w:spacing w:after="40"/>
            </w:pPr>
            <w:r w:rsidRPr="008B4AD6">
              <w:t>MBS FD services from substitution (from table 1</w:t>
            </w:r>
            <w:r w:rsidR="00584C7E">
              <w:t>4</w:t>
            </w:r>
            <w:r w:rsidRPr="008B4AD6">
              <w:t>)</w:t>
            </w:r>
          </w:p>
        </w:tc>
        <w:tc>
          <w:tcPr>
            <w:tcW w:w="735" w:type="pct"/>
          </w:tcPr>
          <w:p w14:paraId="501E1E56" w14:textId="77777777" w:rsidR="002E75E1" w:rsidRPr="008B4AD6" w:rsidRDefault="002E75E1" w:rsidP="002E75E1">
            <w:pPr>
              <w:widowControl w:val="0"/>
              <w:spacing w:after="40"/>
              <w:jc w:val="center"/>
            </w:pPr>
            <w:r w:rsidRPr="008B4AD6">
              <w:t>116</w:t>
            </w:r>
          </w:p>
        </w:tc>
        <w:tc>
          <w:tcPr>
            <w:tcW w:w="736" w:type="pct"/>
          </w:tcPr>
          <w:p w14:paraId="2E7E9A64" w14:textId="77777777" w:rsidR="002E75E1" w:rsidRPr="008B4AD6" w:rsidRDefault="002E75E1" w:rsidP="002E75E1">
            <w:pPr>
              <w:widowControl w:val="0"/>
              <w:spacing w:after="40"/>
              <w:jc w:val="center"/>
            </w:pPr>
            <w:r w:rsidRPr="008B4AD6">
              <w:t>151</w:t>
            </w:r>
          </w:p>
        </w:tc>
        <w:tc>
          <w:tcPr>
            <w:tcW w:w="737" w:type="pct"/>
          </w:tcPr>
          <w:p w14:paraId="49F5BD4D" w14:textId="77777777" w:rsidR="002E75E1" w:rsidRPr="008B4AD6" w:rsidRDefault="002E75E1" w:rsidP="002E75E1">
            <w:pPr>
              <w:widowControl w:val="0"/>
              <w:spacing w:after="40"/>
              <w:jc w:val="center"/>
            </w:pPr>
            <w:r w:rsidRPr="008B4AD6">
              <w:t>189</w:t>
            </w:r>
          </w:p>
        </w:tc>
        <w:tc>
          <w:tcPr>
            <w:tcW w:w="737" w:type="pct"/>
          </w:tcPr>
          <w:p w14:paraId="736C1E0B" w14:textId="77777777" w:rsidR="002E75E1" w:rsidRPr="008B4AD6" w:rsidRDefault="002E75E1" w:rsidP="002E75E1">
            <w:pPr>
              <w:widowControl w:val="0"/>
              <w:spacing w:after="40"/>
              <w:jc w:val="center"/>
            </w:pPr>
            <w:r w:rsidRPr="008B4AD6">
              <w:t>228</w:t>
            </w:r>
          </w:p>
        </w:tc>
        <w:tc>
          <w:tcPr>
            <w:tcW w:w="737" w:type="pct"/>
          </w:tcPr>
          <w:p w14:paraId="15C97B7E" w14:textId="77777777" w:rsidR="002E75E1" w:rsidRPr="008B4AD6" w:rsidRDefault="002E75E1" w:rsidP="002E75E1">
            <w:pPr>
              <w:widowControl w:val="0"/>
              <w:spacing w:after="40"/>
              <w:jc w:val="center"/>
            </w:pPr>
            <w:r w:rsidRPr="008B4AD6">
              <w:t>270</w:t>
            </w:r>
          </w:p>
        </w:tc>
      </w:tr>
      <w:tr w:rsidR="008B4AD6" w:rsidRPr="008B4AD6" w14:paraId="72B25165" w14:textId="77777777" w:rsidTr="004B35C9">
        <w:trPr>
          <w:trHeight w:val="315"/>
        </w:trPr>
        <w:tc>
          <w:tcPr>
            <w:tcW w:w="1318" w:type="pct"/>
          </w:tcPr>
          <w:p w14:paraId="474C0A4C" w14:textId="77777777" w:rsidR="002E75E1" w:rsidRPr="008B4AD6" w:rsidRDefault="002E75E1" w:rsidP="002E75E1">
            <w:pPr>
              <w:widowControl w:val="0"/>
              <w:spacing w:after="40"/>
            </w:pPr>
            <w:r w:rsidRPr="008B4AD6">
              <w:t xml:space="preserve">MBS New FD services </w:t>
            </w:r>
          </w:p>
        </w:tc>
        <w:tc>
          <w:tcPr>
            <w:tcW w:w="735" w:type="pct"/>
          </w:tcPr>
          <w:p w14:paraId="4B33F387" w14:textId="77777777" w:rsidR="002E75E1" w:rsidRPr="008B4AD6" w:rsidRDefault="002E75E1" w:rsidP="002E75E1">
            <w:pPr>
              <w:widowControl w:val="0"/>
              <w:spacing w:after="40"/>
              <w:jc w:val="center"/>
            </w:pPr>
            <w:r w:rsidRPr="008B4AD6">
              <w:t>141</w:t>
            </w:r>
          </w:p>
        </w:tc>
        <w:tc>
          <w:tcPr>
            <w:tcW w:w="736" w:type="pct"/>
          </w:tcPr>
          <w:p w14:paraId="23126DCB" w14:textId="77777777" w:rsidR="002E75E1" w:rsidRPr="008B4AD6" w:rsidRDefault="002E75E1" w:rsidP="002E75E1">
            <w:pPr>
              <w:widowControl w:val="0"/>
              <w:spacing w:after="40"/>
              <w:jc w:val="center"/>
            </w:pPr>
            <w:r w:rsidRPr="008B4AD6">
              <w:t>141</w:t>
            </w:r>
          </w:p>
        </w:tc>
        <w:tc>
          <w:tcPr>
            <w:tcW w:w="737" w:type="pct"/>
          </w:tcPr>
          <w:p w14:paraId="150ABFDE" w14:textId="77777777" w:rsidR="002E75E1" w:rsidRPr="008B4AD6" w:rsidRDefault="002E75E1" w:rsidP="002E75E1">
            <w:pPr>
              <w:widowControl w:val="0"/>
              <w:spacing w:after="40"/>
              <w:jc w:val="center"/>
            </w:pPr>
            <w:r w:rsidRPr="008B4AD6">
              <w:t>141</w:t>
            </w:r>
          </w:p>
        </w:tc>
        <w:tc>
          <w:tcPr>
            <w:tcW w:w="737" w:type="pct"/>
          </w:tcPr>
          <w:p w14:paraId="586F6730" w14:textId="77777777" w:rsidR="002E75E1" w:rsidRPr="008B4AD6" w:rsidRDefault="002E75E1" w:rsidP="002E75E1">
            <w:pPr>
              <w:widowControl w:val="0"/>
              <w:spacing w:after="40"/>
              <w:jc w:val="center"/>
            </w:pPr>
            <w:r w:rsidRPr="008B4AD6">
              <w:t>141</w:t>
            </w:r>
          </w:p>
        </w:tc>
        <w:tc>
          <w:tcPr>
            <w:tcW w:w="737" w:type="pct"/>
          </w:tcPr>
          <w:p w14:paraId="44D6777A" w14:textId="77777777" w:rsidR="002E75E1" w:rsidRPr="008B4AD6" w:rsidRDefault="002E75E1" w:rsidP="002E75E1">
            <w:pPr>
              <w:widowControl w:val="0"/>
              <w:spacing w:after="40"/>
              <w:jc w:val="center"/>
            </w:pPr>
            <w:r w:rsidRPr="008B4AD6">
              <w:t>141</w:t>
            </w:r>
          </w:p>
        </w:tc>
      </w:tr>
      <w:tr w:rsidR="008B4AD6" w:rsidRPr="008B4AD6" w14:paraId="32A06E7E" w14:textId="77777777" w:rsidTr="004B35C9">
        <w:trPr>
          <w:trHeight w:val="315"/>
        </w:trPr>
        <w:tc>
          <w:tcPr>
            <w:tcW w:w="1318" w:type="pct"/>
          </w:tcPr>
          <w:p w14:paraId="3DE973DF" w14:textId="77777777" w:rsidR="002E75E1" w:rsidRPr="008B4AD6" w:rsidRDefault="002E75E1" w:rsidP="002E75E1">
            <w:pPr>
              <w:widowControl w:val="0"/>
              <w:spacing w:after="40"/>
            </w:pPr>
            <w:r w:rsidRPr="008B4AD6">
              <w:t>Net cost to private health</w:t>
            </w:r>
          </w:p>
        </w:tc>
        <w:tc>
          <w:tcPr>
            <w:tcW w:w="735" w:type="pct"/>
          </w:tcPr>
          <w:p w14:paraId="400F064E" w14:textId="77777777" w:rsidR="002E75E1" w:rsidRPr="008B4AD6" w:rsidRDefault="002E75E1" w:rsidP="002E75E1">
            <w:pPr>
              <w:widowControl w:val="0"/>
              <w:spacing w:after="40"/>
              <w:jc w:val="center"/>
            </w:pPr>
            <w:r w:rsidRPr="008B4AD6">
              <w:t>257</w:t>
            </w:r>
          </w:p>
        </w:tc>
        <w:tc>
          <w:tcPr>
            <w:tcW w:w="736" w:type="pct"/>
          </w:tcPr>
          <w:p w14:paraId="1B71C571" w14:textId="77777777" w:rsidR="002E75E1" w:rsidRPr="008B4AD6" w:rsidRDefault="002E75E1" w:rsidP="002E75E1">
            <w:pPr>
              <w:widowControl w:val="0"/>
              <w:spacing w:after="40"/>
              <w:jc w:val="center"/>
            </w:pPr>
            <w:r w:rsidRPr="008B4AD6">
              <w:t>292</w:t>
            </w:r>
          </w:p>
        </w:tc>
        <w:tc>
          <w:tcPr>
            <w:tcW w:w="737" w:type="pct"/>
          </w:tcPr>
          <w:p w14:paraId="76B03120" w14:textId="77777777" w:rsidR="002E75E1" w:rsidRPr="008B4AD6" w:rsidRDefault="002E75E1" w:rsidP="002E75E1">
            <w:pPr>
              <w:widowControl w:val="0"/>
              <w:spacing w:after="40"/>
              <w:jc w:val="center"/>
            </w:pPr>
            <w:r w:rsidRPr="008B4AD6">
              <w:t>329</w:t>
            </w:r>
          </w:p>
        </w:tc>
        <w:tc>
          <w:tcPr>
            <w:tcW w:w="737" w:type="pct"/>
          </w:tcPr>
          <w:p w14:paraId="605997DA" w14:textId="77777777" w:rsidR="002E75E1" w:rsidRPr="008B4AD6" w:rsidRDefault="002E75E1" w:rsidP="002E75E1">
            <w:pPr>
              <w:widowControl w:val="0"/>
              <w:spacing w:after="40"/>
              <w:jc w:val="center"/>
            </w:pPr>
            <w:r w:rsidRPr="008B4AD6">
              <w:t>369</w:t>
            </w:r>
          </w:p>
        </w:tc>
        <w:tc>
          <w:tcPr>
            <w:tcW w:w="737" w:type="pct"/>
          </w:tcPr>
          <w:p w14:paraId="68237084" w14:textId="77777777" w:rsidR="002E75E1" w:rsidRPr="008B4AD6" w:rsidRDefault="002E75E1" w:rsidP="002E75E1">
            <w:pPr>
              <w:widowControl w:val="0"/>
              <w:spacing w:after="40"/>
              <w:jc w:val="center"/>
            </w:pPr>
            <w:r w:rsidRPr="008B4AD6">
              <w:t>411</w:t>
            </w:r>
          </w:p>
        </w:tc>
      </w:tr>
    </w:tbl>
    <w:p w14:paraId="6AE51062" w14:textId="6EB9759C" w:rsidR="005A52A2" w:rsidRPr="00242873" w:rsidRDefault="005A52A2" w:rsidP="008B4AD6">
      <w:pPr>
        <w:widowControl w:val="0"/>
        <w:tabs>
          <w:tab w:val="left" w:pos="284"/>
        </w:tabs>
        <w:spacing w:before="40"/>
        <w:rPr>
          <w:rFonts w:ascii="Arial Narrow" w:hAnsi="Arial Narrow"/>
          <w:sz w:val="18"/>
          <w:lang w:eastAsia="en-US"/>
        </w:rPr>
      </w:pPr>
      <w:r w:rsidRPr="008B4AD6">
        <w:rPr>
          <w:rFonts w:ascii="Arial Narrow" w:hAnsi="Arial Narrow"/>
          <w:sz w:val="18"/>
          <w:lang w:eastAsia="en-US"/>
        </w:rPr>
        <w:t>Source: Table 15</w:t>
      </w:r>
      <w:r w:rsidR="002E75E1" w:rsidRPr="008B4AD6">
        <w:rPr>
          <w:rFonts w:ascii="Arial Narrow" w:hAnsi="Arial Narrow"/>
          <w:sz w:val="18"/>
          <w:lang w:eastAsia="en-US"/>
        </w:rPr>
        <w:t>7</w:t>
      </w:r>
      <w:r w:rsidRPr="008B4AD6">
        <w:rPr>
          <w:rFonts w:ascii="Arial Narrow" w:hAnsi="Arial Narrow"/>
          <w:sz w:val="18"/>
          <w:lang w:eastAsia="en-US"/>
        </w:rPr>
        <w:t xml:space="preserve"> of SBA</w:t>
      </w:r>
    </w:p>
    <w:p w14:paraId="70B26A39" w14:textId="77777777" w:rsidR="005610DA" w:rsidRPr="00F715D1" w:rsidRDefault="005610DA" w:rsidP="005610DA">
      <w:pPr>
        <w:pStyle w:val="Heading1"/>
      </w:pPr>
      <w:r w:rsidRPr="00F715D1">
        <w:lastRenderedPageBreak/>
        <w:t>Key issues from ESC for MSAC</w:t>
      </w:r>
    </w:p>
    <w:tbl>
      <w:tblPr>
        <w:tblStyle w:val="TableGrid3"/>
        <w:tblW w:w="0" w:type="auto"/>
        <w:tblLook w:val="04A0" w:firstRow="1" w:lastRow="0" w:firstColumn="1" w:lastColumn="0" w:noHBand="0" w:noVBand="1"/>
        <w:tblCaption w:val="Key issues from ESC for MSAC"/>
        <w:tblDescription w:val="Summary of ESC issues"/>
      </w:tblPr>
      <w:tblGrid>
        <w:gridCol w:w="1809"/>
        <w:gridCol w:w="7207"/>
      </w:tblGrid>
      <w:tr w:rsidR="005610DA" w:rsidRPr="0093163F" w14:paraId="34BBB9FD" w14:textId="77777777" w:rsidTr="005610DA">
        <w:trPr>
          <w:tblHeader/>
        </w:trPr>
        <w:tc>
          <w:tcPr>
            <w:tcW w:w="1809" w:type="dxa"/>
          </w:tcPr>
          <w:p w14:paraId="07A1F8D5" w14:textId="77777777" w:rsidR="005610DA" w:rsidRPr="0093163F" w:rsidRDefault="005610DA" w:rsidP="005610DA">
            <w:pPr>
              <w:keepNext/>
              <w:rPr>
                <w:rFonts w:ascii="Arial Narrow" w:hAnsi="Arial Narrow"/>
                <w:b/>
                <w:bCs/>
                <w:color w:val="000000"/>
              </w:rPr>
            </w:pPr>
            <w:r w:rsidRPr="0093163F">
              <w:rPr>
                <w:rFonts w:ascii="Arial Narrow" w:hAnsi="Arial Narrow"/>
                <w:b/>
                <w:bCs/>
                <w:color w:val="000000"/>
              </w:rPr>
              <w:t>ESC key issue</w:t>
            </w:r>
          </w:p>
        </w:tc>
        <w:tc>
          <w:tcPr>
            <w:tcW w:w="7207" w:type="dxa"/>
          </w:tcPr>
          <w:p w14:paraId="6BD3BB0C" w14:textId="77777777" w:rsidR="005610DA" w:rsidRPr="0093163F" w:rsidRDefault="005610DA" w:rsidP="005610DA">
            <w:pPr>
              <w:keepNext/>
              <w:rPr>
                <w:rFonts w:ascii="Arial Narrow" w:hAnsi="Arial Narrow"/>
                <w:b/>
                <w:bCs/>
                <w:color w:val="000000"/>
              </w:rPr>
            </w:pPr>
            <w:r w:rsidRPr="0093163F">
              <w:rPr>
                <w:rFonts w:ascii="Arial Narrow" w:hAnsi="Arial Narrow"/>
                <w:b/>
                <w:bCs/>
                <w:color w:val="000000"/>
              </w:rPr>
              <w:t>ESC advice to MSAC</w:t>
            </w:r>
          </w:p>
        </w:tc>
      </w:tr>
      <w:tr w:rsidR="005610DA" w:rsidRPr="0093163F" w14:paraId="421B3103" w14:textId="77777777" w:rsidTr="005610DA">
        <w:trPr>
          <w:trHeight w:val="960"/>
        </w:trPr>
        <w:tc>
          <w:tcPr>
            <w:tcW w:w="1809" w:type="dxa"/>
            <w:hideMark/>
          </w:tcPr>
          <w:p w14:paraId="20DAF7DA" w14:textId="77777777" w:rsidR="005610DA" w:rsidRPr="0093163F" w:rsidRDefault="005610DA" w:rsidP="005610DA">
            <w:pPr>
              <w:keepNext/>
              <w:rPr>
                <w:rFonts w:ascii="Arial Narrow" w:hAnsi="Arial Narrow"/>
                <w:color w:val="000000"/>
              </w:rPr>
            </w:pPr>
            <w:r w:rsidRPr="0093163F">
              <w:rPr>
                <w:rFonts w:ascii="Arial Narrow" w:hAnsi="Arial Narrow"/>
                <w:color w:val="000000"/>
              </w:rPr>
              <w:t>Poor evidence base</w:t>
            </w:r>
          </w:p>
        </w:tc>
        <w:tc>
          <w:tcPr>
            <w:tcW w:w="7207" w:type="dxa"/>
            <w:hideMark/>
          </w:tcPr>
          <w:p w14:paraId="0B6330FA" w14:textId="77777777" w:rsidR="005610DA" w:rsidRPr="0093163F" w:rsidRDefault="005610DA" w:rsidP="005610DA">
            <w:pPr>
              <w:keepNext/>
              <w:rPr>
                <w:rFonts w:ascii="Arial Narrow" w:hAnsi="Arial Narrow"/>
                <w:color w:val="000000"/>
              </w:rPr>
            </w:pPr>
            <w:r w:rsidRPr="0093163F">
              <w:rPr>
                <w:rFonts w:ascii="Arial Narrow" w:hAnsi="Arial Narrow"/>
                <w:color w:val="000000"/>
              </w:rPr>
              <w:t>Very low quality evidence for populations 1 and 2, at moderate-to-high risk of bias</w:t>
            </w:r>
          </w:p>
          <w:p w14:paraId="775AA4EF" w14:textId="77777777" w:rsidR="005610DA" w:rsidRPr="0093163F" w:rsidRDefault="005610DA" w:rsidP="005610DA">
            <w:pPr>
              <w:keepNext/>
              <w:rPr>
                <w:rFonts w:ascii="Arial Narrow" w:hAnsi="Arial Narrow"/>
                <w:color w:val="000000"/>
              </w:rPr>
            </w:pPr>
            <w:r w:rsidRPr="0093163F">
              <w:rPr>
                <w:rFonts w:ascii="Arial Narrow" w:hAnsi="Arial Narrow"/>
                <w:color w:val="000000"/>
              </w:rPr>
              <w:t xml:space="preserve">Predominantly for Medtronic devices; unclear whether </w:t>
            </w:r>
            <w:proofErr w:type="spellStart"/>
            <w:r w:rsidRPr="0093163F">
              <w:rPr>
                <w:rFonts w:ascii="Arial Narrow" w:hAnsi="Arial Narrow"/>
                <w:color w:val="000000"/>
              </w:rPr>
              <w:t>generalisable</w:t>
            </w:r>
            <w:proofErr w:type="spellEnd"/>
            <w:r w:rsidRPr="0093163F">
              <w:rPr>
                <w:rFonts w:ascii="Arial Narrow" w:hAnsi="Arial Narrow"/>
                <w:color w:val="000000"/>
              </w:rPr>
              <w:t xml:space="preserve"> to other devices </w:t>
            </w:r>
          </w:p>
          <w:p w14:paraId="6B7654EA" w14:textId="77777777" w:rsidR="005610DA" w:rsidRPr="0093163F" w:rsidRDefault="005610DA" w:rsidP="005610DA">
            <w:pPr>
              <w:keepNext/>
              <w:rPr>
                <w:rFonts w:ascii="Arial Narrow" w:hAnsi="Arial Narrow"/>
                <w:color w:val="000000"/>
              </w:rPr>
            </w:pPr>
            <w:r w:rsidRPr="0093163F">
              <w:rPr>
                <w:rFonts w:ascii="Arial Narrow" w:hAnsi="Arial Narrow"/>
                <w:color w:val="000000"/>
              </w:rPr>
              <w:t>Even more limited for posterior circulation UIAs – reflects FDA approval</w:t>
            </w:r>
          </w:p>
          <w:p w14:paraId="35A48B05" w14:textId="77777777" w:rsidR="005610DA" w:rsidRPr="0093163F" w:rsidRDefault="005610DA" w:rsidP="005610DA">
            <w:pPr>
              <w:keepNext/>
              <w:rPr>
                <w:rFonts w:ascii="Arial Narrow" w:hAnsi="Arial Narrow"/>
                <w:color w:val="000000"/>
              </w:rPr>
            </w:pPr>
            <w:r w:rsidRPr="0093163F">
              <w:rPr>
                <w:rFonts w:ascii="Arial Narrow" w:hAnsi="Arial Narrow"/>
                <w:color w:val="000000"/>
              </w:rPr>
              <w:t>Limited follow-up duration relative to comparators</w:t>
            </w:r>
          </w:p>
          <w:p w14:paraId="04761BF5" w14:textId="77777777" w:rsidR="005610DA" w:rsidRPr="0093163F" w:rsidRDefault="005610DA" w:rsidP="005610DA">
            <w:pPr>
              <w:keepNext/>
              <w:rPr>
                <w:rFonts w:ascii="Arial Narrow" w:hAnsi="Arial Narrow"/>
                <w:color w:val="000000"/>
              </w:rPr>
            </w:pPr>
            <w:r w:rsidRPr="0093163F">
              <w:rPr>
                <w:rFonts w:ascii="Arial Narrow" w:hAnsi="Arial Narrow"/>
                <w:color w:val="000000"/>
              </w:rPr>
              <w:t>No comparative data for populations 3 and 4</w:t>
            </w:r>
          </w:p>
        </w:tc>
      </w:tr>
      <w:tr w:rsidR="005610DA" w:rsidRPr="0093163F" w14:paraId="663FD751" w14:textId="77777777" w:rsidTr="005610DA">
        <w:trPr>
          <w:trHeight w:val="89"/>
        </w:trPr>
        <w:tc>
          <w:tcPr>
            <w:tcW w:w="1809" w:type="dxa"/>
            <w:hideMark/>
          </w:tcPr>
          <w:p w14:paraId="283423F9" w14:textId="77777777" w:rsidR="005610DA" w:rsidRPr="0093163F" w:rsidRDefault="005610DA" w:rsidP="005610DA">
            <w:pPr>
              <w:keepNext/>
              <w:rPr>
                <w:rFonts w:ascii="Arial Narrow" w:hAnsi="Arial Narrow"/>
                <w:color w:val="000000"/>
              </w:rPr>
            </w:pPr>
            <w:r w:rsidRPr="0093163F">
              <w:rPr>
                <w:rFonts w:ascii="Arial Narrow" w:hAnsi="Arial Narrow"/>
                <w:color w:val="000000"/>
              </w:rPr>
              <w:t>Safety</w:t>
            </w:r>
          </w:p>
        </w:tc>
        <w:tc>
          <w:tcPr>
            <w:tcW w:w="7207" w:type="dxa"/>
            <w:hideMark/>
          </w:tcPr>
          <w:p w14:paraId="7354BFCD" w14:textId="77777777" w:rsidR="005610DA" w:rsidRPr="0093163F" w:rsidRDefault="005610DA" w:rsidP="005610DA">
            <w:pPr>
              <w:keepNext/>
              <w:rPr>
                <w:rFonts w:ascii="Arial Narrow" w:hAnsi="Arial Narrow"/>
                <w:color w:val="000000"/>
              </w:rPr>
            </w:pPr>
            <w:r w:rsidRPr="0093163F">
              <w:rPr>
                <w:rFonts w:ascii="Arial Narrow" w:hAnsi="Arial Narrow"/>
                <w:i/>
                <w:iCs/>
                <w:color w:val="000000"/>
              </w:rPr>
              <w:t>Probably</w:t>
            </w:r>
            <w:r w:rsidRPr="0093163F">
              <w:rPr>
                <w:rFonts w:ascii="Arial Narrow" w:hAnsi="Arial Narrow"/>
                <w:color w:val="000000"/>
              </w:rPr>
              <w:t xml:space="preserve"> non-inferior to comparators for populations 1 and 2 – short to intermediate term</w:t>
            </w:r>
          </w:p>
          <w:p w14:paraId="154F0C18" w14:textId="77777777" w:rsidR="005610DA" w:rsidRPr="0093163F" w:rsidRDefault="005610DA" w:rsidP="005610DA">
            <w:pPr>
              <w:keepNext/>
              <w:rPr>
                <w:rFonts w:ascii="Arial Narrow" w:hAnsi="Arial Narrow"/>
                <w:color w:val="000000"/>
              </w:rPr>
            </w:pPr>
            <w:r w:rsidRPr="0093163F">
              <w:rPr>
                <w:rFonts w:ascii="Arial Narrow" w:hAnsi="Arial Narrow"/>
                <w:color w:val="000000"/>
              </w:rPr>
              <w:t>Long-term safety to be established</w:t>
            </w:r>
          </w:p>
          <w:p w14:paraId="148FA87F" w14:textId="77777777" w:rsidR="005610DA" w:rsidRPr="0093163F" w:rsidRDefault="005610DA" w:rsidP="005610DA">
            <w:pPr>
              <w:keepNext/>
              <w:rPr>
                <w:rFonts w:ascii="Arial Narrow" w:hAnsi="Arial Narrow"/>
                <w:color w:val="000000"/>
              </w:rPr>
            </w:pPr>
            <w:r w:rsidRPr="0093163F">
              <w:rPr>
                <w:rFonts w:ascii="Arial Narrow" w:hAnsi="Arial Narrow"/>
                <w:color w:val="000000"/>
              </w:rPr>
              <w:t>No comparative data for populations 3 and 4</w:t>
            </w:r>
          </w:p>
        </w:tc>
      </w:tr>
      <w:tr w:rsidR="005610DA" w:rsidRPr="0093163F" w14:paraId="14258518" w14:textId="77777777" w:rsidTr="005610DA">
        <w:trPr>
          <w:trHeight w:val="275"/>
        </w:trPr>
        <w:tc>
          <w:tcPr>
            <w:tcW w:w="1809" w:type="dxa"/>
            <w:hideMark/>
          </w:tcPr>
          <w:p w14:paraId="3A342DB2" w14:textId="77777777" w:rsidR="005610DA" w:rsidRPr="0093163F" w:rsidRDefault="005610DA" w:rsidP="005610DA">
            <w:pPr>
              <w:keepNext/>
              <w:rPr>
                <w:rFonts w:ascii="Arial Narrow" w:hAnsi="Arial Narrow"/>
                <w:color w:val="000000"/>
              </w:rPr>
            </w:pPr>
            <w:r w:rsidRPr="0093163F">
              <w:rPr>
                <w:rFonts w:ascii="Arial Narrow" w:hAnsi="Arial Narrow"/>
                <w:color w:val="000000"/>
              </w:rPr>
              <w:t>Effectiveness</w:t>
            </w:r>
          </w:p>
        </w:tc>
        <w:tc>
          <w:tcPr>
            <w:tcW w:w="7207" w:type="dxa"/>
            <w:hideMark/>
          </w:tcPr>
          <w:p w14:paraId="7EC9D562" w14:textId="77777777" w:rsidR="005610DA" w:rsidRPr="0093163F" w:rsidRDefault="005610DA" w:rsidP="005610DA">
            <w:pPr>
              <w:keepNext/>
              <w:rPr>
                <w:rFonts w:ascii="Arial Narrow" w:hAnsi="Arial Narrow"/>
                <w:color w:val="000000"/>
              </w:rPr>
            </w:pPr>
            <w:r w:rsidRPr="0093163F">
              <w:rPr>
                <w:rFonts w:ascii="Arial Narrow" w:hAnsi="Arial Narrow"/>
                <w:color w:val="000000"/>
              </w:rPr>
              <w:t>C</w:t>
            </w:r>
            <w:r w:rsidRPr="0093163F">
              <w:rPr>
                <w:rFonts w:ascii="Arial Narrow" w:hAnsi="Arial Narrow"/>
              </w:rPr>
              <w:t>laim of superior effectiveness may not be reasonable</w:t>
            </w:r>
          </w:p>
          <w:p w14:paraId="200C1AFF" w14:textId="77777777" w:rsidR="005610DA" w:rsidRPr="0093163F" w:rsidRDefault="005610DA" w:rsidP="005610DA">
            <w:pPr>
              <w:keepNext/>
              <w:rPr>
                <w:rFonts w:ascii="Arial Narrow" w:hAnsi="Arial Narrow"/>
                <w:color w:val="000000"/>
              </w:rPr>
            </w:pPr>
            <w:r w:rsidRPr="0093163F">
              <w:rPr>
                <w:rFonts w:ascii="Arial Narrow" w:hAnsi="Arial Narrow"/>
                <w:color w:val="000000"/>
              </w:rPr>
              <w:t>Marginally superior for population 1 – occlusion rate only</w:t>
            </w:r>
          </w:p>
          <w:p w14:paraId="0B746EFF" w14:textId="77777777" w:rsidR="005610DA" w:rsidRPr="0093163F" w:rsidRDefault="005610DA" w:rsidP="005610DA">
            <w:pPr>
              <w:keepNext/>
              <w:rPr>
                <w:rFonts w:ascii="Arial Narrow" w:hAnsi="Arial Narrow"/>
                <w:color w:val="000000"/>
              </w:rPr>
            </w:pPr>
            <w:r w:rsidRPr="0093163F">
              <w:rPr>
                <w:rFonts w:ascii="Arial Narrow" w:hAnsi="Arial Narrow"/>
                <w:i/>
                <w:iCs/>
                <w:color w:val="000000"/>
              </w:rPr>
              <w:t xml:space="preserve">Probably </w:t>
            </w:r>
            <w:r w:rsidRPr="0093163F">
              <w:rPr>
                <w:rFonts w:ascii="Arial Narrow" w:hAnsi="Arial Narrow"/>
                <w:color w:val="000000"/>
              </w:rPr>
              <w:t>superior for population 2 – occlusion and retreatment rate only</w:t>
            </w:r>
          </w:p>
          <w:p w14:paraId="0CD2F59F" w14:textId="77777777" w:rsidR="005610DA" w:rsidRPr="0093163F" w:rsidRDefault="005610DA" w:rsidP="005610DA">
            <w:pPr>
              <w:keepNext/>
              <w:rPr>
                <w:rFonts w:ascii="Arial Narrow" w:hAnsi="Arial Narrow"/>
                <w:color w:val="000000"/>
              </w:rPr>
            </w:pPr>
            <w:r w:rsidRPr="0093163F">
              <w:rPr>
                <w:rFonts w:ascii="Arial Narrow" w:hAnsi="Arial Narrow"/>
                <w:color w:val="000000"/>
              </w:rPr>
              <w:t>No comparative data for populations 3 and 4 – no or limited other options</w:t>
            </w:r>
          </w:p>
        </w:tc>
      </w:tr>
      <w:tr w:rsidR="005610DA" w:rsidRPr="0093163F" w14:paraId="74889DDE" w14:textId="77777777" w:rsidTr="005610DA">
        <w:trPr>
          <w:trHeight w:val="275"/>
        </w:trPr>
        <w:tc>
          <w:tcPr>
            <w:tcW w:w="1809" w:type="dxa"/>
          </w:tcPr>
          <w:p w14:paraId="7E6FA343" w14:textId="77777777" w:rsidR="005610DA" w:rsidRPr="0093163F" w:rsidRDefault="005610DA" w:rsidP="005610DA">
            <w:pPr>
              <w:keepNext/>
              <w:rPr>
                <w:rFonts w:ascii="Arial Narrow" w:hAnsi="Arial Narrow"/>
                <w:color w:val="000000"/>
              </w:rPr>
            </w:pPr>
            <w:r w:rsidRPr="0093163F">
              <w:rPr>
                <w:rFonts w:ascii="Arial Narrow" w:hAnsi="Arial Narrow"/>
                <w:color w:val="000000"/>
              </w:rPr>
              <w:t>Cost-effectiveness</w:t>
            </w:r>
          </w:p>
        </w:tc>
        <w:tc>
          <w:tcPr>
            <w:tcW w:w="7207" w:type="dxa"/>
          </w:tcPr>
          <w:p w14:paraId="1BD72E5D" w14:textId="77777777" w:rsidR="005610DA" w:rsidRPr="0093163F" w:rsidRDefault="005610DA" w:rsidP="005610DA">
            <w:pPr>
              <w:keepNext/>
              <w:rPr>
                <w:rFonts w:ascii="Arial Narrow" w:hAnsi="Arial Narrow"/>
                <w:color w:val="000000"/>
              </w:rPr>
            </w:pPr>
            <w:r w:rsidRPr="0093163F">
              <w:rPr>
                <w:rFonts w:ascii="Arial Narrow" w:hAnsi="Arial Narrow"/>
                <w:color w:val="000000"/>
              </w:rPr>
              <w:t>Cost-utility approach for populations 1 and 2 may not be justified on basis of clinical data.  MSAC may wish to consider if a cost-minimisation approach is more reasonable for populations 1 and 2.</w:t>
            </w:r>
          </w:p>
          <w:p w14:paraId="291A645A" w14:textId="77777777" w:rsidR="005610DA" w:rsidRPr="0093163F" w:rsidRDefault="005610DA" w:rsidP="005610DA">
            <w:pPr>
              <w:keepNext/>
              <w:rPr>
                <w:rFonts w:ascii="Arial Narrow" w:hAnsi="Arial Narrow"/>
                <w:color w:val="000000"/>
              </w:rPr>
            </w:pPr>
            <w:r w:rsidRPr="0093163F">
              <w:rPr>
                <w:rFonts w:ascii="Arial Narrow" w:hAnsi="Arial Narrow"/>
                <w:color w:val="000000"/>
              </w:rPr>
              <w:t>No cost-effectiveness information provided for populations 3 or 4. MSAC may wish to consider if a cost-effectiveness analysis should be conducted in these populations.</w:t>
            </w:r>
          </w:p>
        </w:tc>
      </w:tr>
      <w:tr w:rsidR="005610DA" w:rsidRPr="0093163F" w14:paraId="06538C8D" w14:textId="77777777" w:rsidTr="005610DA">
        <w:trPr>
          <w:trHeight w:val="275"/>
        </w:trPr>
        <w:tc>
          <w:tcPr>
            <w:tcW w:w="1809" w:type="dxa"/>
          </w:tcPr>
          <w:p w14:paraId="381D514C" w14:textId="77777777" w:rsidR="005610DA" w:rsidRPr="0093163F" w:rsidRDefault="005610DA" w:rsidP="005610DA">
            <w:pPr>
              <w:keepNext/>
              <w:rPr>
                <w:rFonts w:ascii="Arial Narrow" w:hAnsi="Arial Narrow"/>
                <w:color w:val="000000"/>
              </w:rPr>
            </w:pPr>
            <w:r w:rsidRPr="0093163F">
              <w:rPr>
                <w:rFonts w:ascii="Arial Narrow" w:hAnsi="Arial Narrow"/>
                <w:color w:val="000000"/>
              </w:rPr>
              <w:t>Financial impact</w:t>
            </w:r>
          </w:p>
        </w:tc>
        <w:tc>
          <w:tcPr>
            <w:tcW w:w="7207" w:type="dxa"/>
          </w:tcPr>
          <w:p w14:paraId="57C4AFFE" w14:textId="77777777" w:rsidR="005610DA" w:rsidRPr="0093163F" w:rsidRDefault="005610DA" w:rsidP="005610DA">
            <w:pPr>
              <w:keepNext/>
              <w:rPr>
                <w:rFonts w:ascii="Arial Narrow" w:hAnsi="Arial Narrow"/>
                <w:color w:val="000000"/>
              </w:rPr>
            </w:pPr>
            <w:r w:rsidRPr="0093163F">
              <w:rPr>
                <w:rFonts w:ascii="Arial Narrow" w:hAnsi="Arial Narrow"/>
                <w:color w:val="000000"/>
              </w:rPr>
              <w:t>Claim that inclusion on MBS will be cost neutral may not be reasonable because of:</w:t>
            </w:r>
          </w:p>
          <w:p w14:paraId="2FA085E1" w14:textId="77777777" w:rsidR="005610DA" w:rsidRPr="0093163F" w:rsidRDefault="005610DA" w:rsidP="005610DA">
            <w:pPr>
              <w:pStyle w:val="ListParagraph"/>
              <w:keepNext/>
              <w:numPr>
                <w:ilvl w:val="0"/>
                <w:numId w:val="4"/>
              </w:numPr>
              <w:ind w:left="353" w:hanging="283"/>
              <w:rPr>
                <w:rFonts w:ascii="Arial Narrow" w:hAnsi="Arial Narrow"/>
                <w:color w:val="000000"/>
              </w:rPr>
            </w:pPr>
            <w:r w:rsidRPr="0093163F">
              <w:rPr>
                <w:rFonts w:ascii="Arial Narrow" w:hAnsi="Arial Narrow"/>
                <w:color w:val="000000"/>
              </w:rPr>
              <w:t xml:space="preserve">Risk of leakage to small, non-complex UIAs </w:t>
            </w:r>
          </w:p>
          <w:p w14:paraId="3C3CE414" w14:textId="4F30427B" w:rsidR="005610DA" w:rsidRPr="0093163F" w:rsidRDefault="005610DA" w:rsidP="005610DA">
            <w:pPr>
              <w:pStyle w:val="ListParagraph"/>
              <w:keepNext/>
              <w:numPr>
                <w:ilvl w:val="0"/>
                <w:numId w:val="4"/>
              </w:numPr>
              <w:ind w:left="353" w:hanging="283"/>
              <w:rPr>
                <w:rFonts w:ascii="Arial Narrow" w:hAnsi="Arial Narrow"/>
                <w:color w:val="000000"/>
              </w:rPr>
            </w:pPr>
            <w:r w:rsidRPr="0093163F">
              <w:rPr>
                <w:rFonts w:ascii="Arial Narrow" w:hAnsi="Arial Narrow"/>
                <w:color w:val="000000"/>
              </w:rPr>
              <w:t>Submission states there will be an increase in the proportion of patients in populations 1 and 2 who will be treated</w:t>
            </w:r>
          </w:p>
          <w:p w14:paraId="070696DB" w14:textId="77777777" w:rsidR="005610DA" w:rsidRPr="0093163F" w:rsidRDefault="005610DA" w:rsidP="005610DA">
            <w:pPr>
              <w:pStyle w:val="ListParagraph"/>
              <w:keepNext/>
              <w:numPr>
                <w:ilvl w:val="0"/>
                <w:numId w:val="4"/>
              </w:numPr>
              <w:ind w:left="353" w:hanging="283"/>
              <w:rPr>
                <w:rFonts w:ascii="Arial Narrow" w:hAnsi="Arial Narrow"/>
                <w:color w:val="000000"/>
              </w:rPr>
            </w:pPr>
            <w:r w:rsidRPr="0093163F">
              <w:rPr>
                <w:rFonts w:ascii="Arial Narrow" w:hAnsi="Arial Narrow"/>
                <w:color w:val="000000"/>
              </w:rPr>
              <w:t>Submission provides no information on size of population 3 which currently has no available treatment options, or population 4.</w:t>
            </w:r>
          </w:p>
          <w:p w14:paraId="22D5FCE4" w14:textId="77777777" w:rsidR="005610DA" w:rsidRPr="0093163F" w:rsidRDefault="005610DA" w:rsidP="005610DA">
            <w:pPr>
              <w:pStyle w:val="ListParagraph"/>
              <w:keepNext/>
              <w:numPr>
                <w:ilvl w:val="0"/>
                <w:numId w:val="4"/>
              </w:numPr>
              <w:ind w:left="353" w:hanging="283"/>
              <w:rPr>
                <w:rFonts w:ascii="Arial Narrow" w:hAnsi="Arial Narrow"/>
                <w:color w:val="000000"/>
              </w:rPr>
            </w:pPr>
            <w:r w:rsidRPr="0093163F">
              <w:rPr>
                <w:rFonts w:ascii="Arial Narrow" w:hAnsi="Arial Narrow"/>
                <w:color w:val="000000"/>
              </w:rPr>
              <w:t>Submission does not address potential for patient out-of-pocket expenses if cost of FDD is higher than amount reimbursed by Private Health Insurer.</w:t>
            </w:r>
          </w:p>
        </w:tc>
      </w:tr>
      <w:tr w:rsidR="005610DA" w:rsidRPr="0093163F" w14:paraId="1D6D12FB" w14:textId="77777777" w:rsidTr="0093163F">
        <w:trPr>
          <w:trHeight w:val="1485"/>
        </w:trPr>
        <w:tc>
          <w:tcPr>
            <w:tcW w:w="1809" w:type="dxa"/>
            <w:hideMark/>
          </w:tcPr>
          <w:p w14:paraId="4E43A8E8" w14:textId="77777777" w:rsidR="005610DA" w:rsidRPr="0093163F" w:rsidRDefault="005610DA" w:rsidP="005610DA">
            <w:pPr>
              <w:keepNext/>
              <w:rPr>
                <w:rFonts w:ascii="Arial Narrow" w:hAnsi="Arial Narrow"/>
                <w:color w:val="000000"/>
              </w:rPr>
            </w:pPr>
            <w:r w:rsidRPr="0093163F">
              <w:rPr>
                <w:rFonts w:ascii="Arial Narrow" w:hAnsi="Arial Narrow"/>
                <w:color w:val="000000"/>
              </w:rPr>
              <w:t>Descriptor</w:t>
            </w:r>
          </w:p>
        </w:tc>
        <w:tc>
          <w:tcPr>
            <w:tcW w:w="7207" w:type="dxa"/>
            <w:hideMark/>
          </w:tcPr>
          <w:p w14:paraId="14B3A227" w14:textId="77777777" w:rsidR="005610DA" w:rsidRPr="0093163F" w:rsidRDefault="005610DA" w:rsidP="005610DA">
            <w:pPr>
              <w:keepNext/>
              <w:rPr>
                <w:rFonts w:ascii="Arial Narrow" w:hAnsi="Arial Narrow"/>
                <w:color w:val="000000"/>
              </w:rPr>
            </w:pPr>
            <w:r w:rsidRPr="0093163F">
              <w:rPr>
                <w:rFonts w:ascii="Arial Narrow" w:hAnsi="Arial Narrow"/>
                <w:color w:val="000000"/>
              </w:rPr>
              <w:t xml:space="preserve">Descriptor should be updated to: </w:t>
            </w:r>
          </w:p>
          <w:p w14:paraId="4A606BCA" w14:textId="77777777" w:rsidR="005610DA" w:rsidRPr="0093163F" w:rsidRDefault="005610DA" w:rsidP="005610DA">
            <w:pPr>
              <w:pStyle w:val="ListParagraph"/>
              <w:keepNext/>
              <w:numPr>
                <w:ilvl w:val="0"/>
                <w:numId w:val="4"/>
              </w:numPr>
              <w:ind w:left="353" w:hanging="283"/>
              <w:rPr>
                <w:rFonts w:ascii="Arial Narrow" w:hAnsi="Arial Narrow"/>
                <w:color w:val="000000"/>
              </w:rPr>
            </w:pPr>
            <w:r w:rsidRPr="0093163F">
              <w:rPr>
                <w:rFonts w:ascii="Arial Narrow" w:hAnsi="Arial Narrow"/>
                <w:color w:val="000000"/>
              </w:rPr>
              <w:t>prevent potential for leakage to small (&lt;10 mm) non-complex UIAs</w:t>
            </w:r>
          </w:p>
          <w:p w14:paraId="7013F202" w14:textId="77777777" w:rsidR="005610DA" w:rsidRPr="0093163F" w:rsidRDefault="005610DA" w:rsidP="005610DA">
            <w:pPr>
              <w:pStyle w:val="ListParagraph"/>
              <w:keepNext/>
              <w:numPr>
                <w:ilvl w:val="0"/>
                <w:numId w:val="4"/>
              </w:numPr>
              <w:ind w:left="353" w:hanging="283"/>
              <w:rPr>
                <w:rFonts w:ascii="Arial Narrow" w:hAnsi="Arial Narrow"/>
                <w:color w:val="000000"/>
              </w:rPr>
            </w:pPr>
            <w:proofErr w:type="gramStart"/>
            <w:r w:rsidRPr="0093163F">
              <w:rPr>
                <w:rFonts w:ascii="Arial Narrow" w:hAnsi="Arial Narrow"/>
                <w:color w:val="000000"/>
              </w:rPr>
              <w:t>include</w:t>
            </w:r>
            <w:proofErr w:type="gramEnd"/>
            <w:r w:rsidRPr="0093163F">
              <w:rPr>
                <w:rFonts w:ascii="Arial Narrow" w:hAnsi="Arial Narrow"/>
                <w:color w:val="000000"/>
              </w:rPr>
              <w:t xml:space="preserve"> insertion of a FD device OR FD devices recognising that &gt;1 is used on average. </w:t>
            </w:r>
          </w:p>
          <w:p w14:paraId="48381775" w14:textId="77777777" w:rsidR="005610DA" w:rsidRPr="0093163F" w:rsidRDefault="005610DA" w:rsidP="005610DA">
            <w:pPr>
              <w:pStyle w:val="ListParagraph"/>
              <w:keepNext/>
              <w:numPr>
                <w:ilvl w:val="0"/>
                <w:numId w:val="4"/>
              </w:numPr>
              <w:ind w:left="353" w:hanging="283"/>
              <w:rPr>
                <w:rFonts w:ascii="Arial Narrow" w:hAnsi="Arial Narrow"/>
                <w:color w:val="000000"/>
              </w:rPr>
            </w:pPr>
            <w:r w:rsidRPr="0093163F">
              <w:rPr>
                <w:rFonts w:ascii="Arial Narrow" w:hAnsi="Arial Narrow"/>
                <w:color w:val="000000"/>
              </w:rPr>
              <w:t xml:space="preserve">include specialist accreditation </w:t>
            </w:r>
          </w:p>
          <w:p w14:paraId="2AE8D087" w14:textId="77777777" w:rsidR="005610DA" w:rsidRPr="0093163F" w:rsidRDefault="005610DA" w:rsidP="005610DA">
            <w:pPr>
              <w:pStyle w:val="ListParagraph"/>
              <w:keepNext/>
              <w:numPr>
                <w:ilvl w:val="0"/>
                <w:numId w:val="4"/>
              </w:numPr>
              <w:ind w:left="353" w:hanging="283"/>
              <w:rPr>
                <w:rFonts w:ascii="Arial Narrow" w:hAnsi="Arial Narrow"/>
                <w:color w:val="000000"/>
              </w:rPr>
            </w:pPr>
            <w:proofErr w:type="gramStart"/>
            <w:r w:rsidRPr="0093163F">
              <w:rPr>
                <w:rFonts w:ascii="Arial Narrow" w:hAnsi="Arial Narrow"/>
                <w:color w:val="000000"/>
              </w:rPr>
              <w:t>include</w:t>
            </w:r>
            <w:proofErr w:type="gramEnd"/>
            <w:r w:rsidRPr="0093163F">
              <w:rPr>
                <w:rFonts w:ascii="Arial Narrow" w:hAnsi="Arial Narrow"/>
                <w:color w:val="000000"/>
              </w:rPr>
              <w:t xml:space="preserve"> 85% rebate, although this is redundant if it is only an in-hospital procedure.</w:t>
            </w:r>
          </w:p>
          <w:p w14:paraId="40948989" w14:textId="77777777" w:rsidR="005610DA" w:rsidRPr="0093163F" w:rsidRDefault="005610DA" w:rsidP="005610DA">
            <w:pPr>
              <w:pStyle w:val="ListParagraph"/>
              <w:keepNext/>
              <w:numPr>
                <w:ilvl w:val="0"/>
                <w:numId w:val="4"/>
              </w:numPr>
              <w:ind w:left="353" w:hanging="283"/>
              <w:rPr>
                <w:rFonts w:ascii="Arial Narrow" w:hAnsi="Arial Narrow"/>
                <w:color w:val="000000"/>
              </w:rPr>
            </w:pPr>
            <w:r w:rsidRPr="0093163F">
              <w:rPr>
                <w:rFonts w:ascii="Arial Narrow" w:hAnsi="Arial Narrow"/>
                <w:color w:val="000000"/>
              </w:rPr>
              <w:t>Separate MBS items for multidisciplinary teams</w:t>
            </w:r>
          </w:p>
        </w:tc>
      </w:tr>
    </w:tbl>
    <w:p w14:paraId="7C7DE239" w14:textId="77777777" w:rsidR="005610DA" w:rsidRPr="0093163F" w:rsidRDefault="005610DA" w:rsidP="0093163F">
      <w:pPr>
        <w:pStyle w:val="Heading2"/>
        <w:spacing w:before="240" w:after="120"/>
        <w:rPr>
          <w:b/>
          <w:i w:val="0"/>
        </w:rPr>
      </w:pPr>
      <w:r w:rsidRPr="0093163F">
        <w:rPr>
          <w:b/>
          <w:i w:val="0"/>
        </w:rPr>
        <w:t>ESC Discussion</w:t>
      </w:r>
    </w:p>
    <w:p w14:paraId="045CAA02" w14:textId="77777777" w:rsidR="005610DA" w:rsidRPr="000F266F" w:rsidRDefault="005610DA" w:rsidP="005610DA">
      <w:pPr>
        <w:spacing w:after="240"/>
        <w:rPr>
          <w:color w:val="000000"/>
        </w:rPr>
      </w:pPr>
      <w:r w:rsidRPr="000F266F">
        <w:rPr>
          <w:color w:val="000000"/>
        </w:rPr>
        <w:t>ESC noted that the MBS Review recommended amending item number 35412 to replace ‘detachable coils’ with ‘endovascular technique’; however, 35412 applies to ruptured or unruptured aneurysms, whereas the proposed service is restricted to unruptured aneurysms. Therefore, a new descriptor (plus explanatory note) is preferred by PASC and the Department (as detailed in the ESC Report).</w:t>
      </w:r>
    </w:p>
    <w:p w14:paraId="71F2C798" w14:textId="77777777" w:rsidR="005610DA" w:rsidRPr="000F266F" w:rsidRDefault="005610DA" w:rsidP="005610DA">
      <w:pPr>
        <w:spacing w:after="240"/>
        <w:rPr>
          <w:color w:val="000000"/>
        </w:rPr>
      </w:pPr>
      <w:r w:rsidRPr="000F266F">
        <w:rPr>
          <w:color w:val="000000"/>
        </w:rPr>
        <w:t xml:space="preserve">ESC </w:t>
      </w:r>
      <w:r>
        <w:rPr>
          <w:color w:val="000000"/>
        </w:rPr>
        <w:t>considered</w:t>
      </w:r>
      <w:r w:rsidRPr="000F266F">
        <w:rPr>
          <w:color w:val="000000"/>
        </w:rPr>
        <w:t xml:space="preserve"> it was reasonable to specify </w:t>
      </w:r>
      <w:r>
        <w:rPr>
          <w:color w:val="000000"/>
        </w:rPr>
        <w:t>appropriate</w:t>
      </w:r>
      <w:r w:rsidRPr="000F266F">
        <w:rPr>
          <w:color w:val="000000"/>
        </w:rPr>
        <w:t xml:space="preserve"> accreditation for people </w:t>
      </w:r>
      <w:r>
        <w:rPr>
          <w:color w:val="000000"/>
        </w:rPr>
        <w:t>inserting</w:t>
      </w:r>
      <w:r w:rsidRPr="000F266F">
        <w:rPr>
          <w:color w:val="000000"/>
        </w:rPr>
        <w:t xml:space="preserve"> flow diversion </w:t>
      </w:r>
      <w:r>
        <w:rPr>
          <w:color w:val="000000"/>
        </w:rPr>
        <w:t xml:space="preserve">devices </w:t>
      </w:r>
      <w:r w:rsidRPr="000F266F">
        <w:rPr>
          <w:color w:val="000000"/>
        </w:rPr>
        <w:t>(F</w:t>
      </w:r>
      <w:r>
        <w:rPr>
          <w:color w:val="000000"/>
        </w:rPr>
        <w:t>D</w:t>
      </w:r>
      <w:r w:rsidRPr="000F266F">
        <w:rPr>
          <w:color w:val="000000"/>
        </w:rPr>
        <w:t>D).</w:t>
      </w:r>
    </w:p>
    <w:p w14:paraId="09E00D41" w14:textId="77777777" w:rsidR="005610DA" w:rsidRPr="000F266F" w:rsidRDefault="005610DA" w:rsidP="005610DA">
      <w:pPr>
        <w:spacing w:after="240"/>
        <w:rPr>
          <w:color w:val="000000"/>
        </w:rPr>
      </w:pPr>
      <w:r w:rsidRPr="000F266F">
        <w:rPr>
          <w:color w:val="000000"/>
        </w:rPr>
        <w:t>ESC noted that the application indicates that most patients will be admitted overnight (Type A procedure) which means the 85% Medicare benefit is not relevant.</w:t>
      </w:r>
    </w:p>
    <w:p w14:paraId="736933FA" w14:textId="77777777" w:rsidR="005610DA" w:rsidRPr="000F266F" w:rsidRDefault="005610DA" w:rsidP="005610DA">
      <w:pPr>
        <w:spacing w:after="240"/>
        <w:rPr>
          <w:color w:val="000000"/>
        </w:rPr>
      </w:pPr>
      <w:r w:rsidRPr="000F266F">
        <w:rPr>
          <w:color w:val="000000"/>
        </w:rPr>
        <w:t xml:space="preserve">ESC noted that there are several </w:t>
      </w:r>
      <w:r>
        <w:rPr>
          <w:color w:val="000000"/>
        </w:rPr>
        <w:t xml:space="preserve">FD </w:t>
      </w:r>
      <w:r w:rsidRPr="000F266F">
        <w:rPr>
          <w:color w:val="000000"/>
        </w:rPr>
        <w:t xml:space="preserve">devices on the Australian Register of Therapeutic Goods, most of which are from Medtronic. ESC also noted that </w:t>
      </w:r>
      <w:r>
        <w:rPr>
          <w:color w:val="000000"/>
        </w:rPr>
        <w:t>the only restriction placed</w:t>
      </w:r>
      <w:r w:rsidRPr="000F266F">
        <w:rPr>
          <w:color w:val="000000"/>
        </w:rPr>
        <w:t xml:space="preserve"> on their use by the TGA</w:t>
      </w:r>
      <w:r>
        <w:rPr>
          <w:color w:val="000000"/>
        </w:rPr>
        <w:t xml:space="preserve"> related to the Surpass device (ARTG no. 283662: “</w:t>
      </w:r>
      <w:r w:rsidRPr="009948CD">
        <w:rPr>
          <w:color w:val="000000"/>
        </w:rPr>
        <w:t xml:space="preserve">for the treatment of saccular or fusiform intracranial aneurysm arising from a parent vessel with a diameter of </w:t>
      </w:r>
      <w:r w:rsidRPr="009948CD">
        <w:rPr>
          <w:color w:val="000000"/>
          <w:u w:val="single"/>
        </w:rPr>
        <w:t>&gt;</w:t>
      </w:r>
      <w:r w:rsidRPr="009948CD">
        <w:rPr>
          <w:color w:val="000000"/>
        </w:rPr>
        <w:t xml:space="preserve">2.5mm and </w:t>
      </w:r>
      <w:r w:rsidRPr="009948CD">
        <w:rPr>
          <w:color w:val="000000"/>
          <w:u w:val="single"/>
        </w:rPr>
        <w:t>&lt;</w:t>
      </w:r>
      <w:r w:rsidRPr="009948CD">
        <w:rPr>
          <w:color w:val="000000"/>
        </w:rPr>
        <w:t>5.3mm</w:t>
      </w:r>
      <w:r>
        <w:rPr>
          <w:color w:val="000000"/>
        </w:rPr>
        <w:t>”)</w:t>
      </w:r>
      <w:r w:rsidRPr="000F266F">
        <w:rPr>
          <w:color w:val="000000"/>
        </w:rPr>
        <w:t xml:space="preserve">; however, the US Food and Drug Administration (FDA) does have </w:t>
      </w:r>
      <w:r>
        <w:rPr>
          <w:color w:val="000000"/>
        </w:rPr>
        <w:t>several</w:t>
      </w:r>
      <w:r w:rsidRPr="000F266F">
        <w:rPr>
          <w:color w:val="000000"/>
        </w:rPr>
        <w:t xml:space="preserve"> restrictions in place</w:t>
      </w:r>
      <w:r>
        <w:rPr>
          <w:color w:val="000000"/>
        </w:rPr>
        <w:t>.</w:t>
      </w:r>
    </w:p>
    <w:p w14:paraId="4DF12DA6" w14:textId="78BDC356" w:rsidR="005610DA" w:rsidRDefault="005610DA" w:rsidP="00242873">
      <w:pPr>
        <w:pStyle w:val="NormalWeb"/>
        <w:spacing w:before="0" w:beforeAutospacing="0" w:after="240" w:afterAutospacing="0"/>
        <w:rPr>
          <w:rFonts w:eastAsiaTheme="minorEastAsia"/>
          <w:color w:val="000000" w:themeColor="dark1"/>
          <w:kern w:val="24"/>
        </w:rPr>
      </w:pPr>
      <w:r w:rsidRPr="000F266F">
        <w:rPr>
          <w:color w:val="000000"/>
        </w:rPr>
        <w:t xml:space="preserve">ESC noted that </w:t>
      </w:r>
      <w:r>
        <w:rPr>
          <w:color w:val="000000"/>
        </w:rPr>
        <w:t xml:space="preserve">the </w:t>
      </w:r>
      <w:r w:rsidRPr="00B07581">
        <w:rPr>
          <w:color w:val="000000"/>
        </w:rPr>
        <w:t xml:space="preserve">safety and effectiveness data were of poor quality, with no comparative data available for </w:t>
      </w:r>
      <w:r>
        <w:rPr>
          <w:color w:val="000000"/>
        </w:rPr>
        <w:t>P</w:t>
      </w:r>
      <w:r w:rsidRPr="00B07581">
        <w:rPr>
          <w:color w:val="000000"/>
        </w:rPr>
        <w:t xml:space="preserve">opulation 3 (patients with aneurysms ≥ 10 mm, unsuitable for current </w:t>
      </w:r>
      <w:r w:rsidRPr="00B07581">
        <w:rPr>
          <w:color w:val="000000"/>
        </w:rPr>
        <w:lastRenderedPageBreak/>
        <w:t xml:space="preserve">treatments) or </w:t>
      </w:r>
      <w:r>
        <w:rPr>
          <w:color w:val="000000"/>
        </w:rPr>
        <w:t>P</w:t>
      </w:r>
      <w:r w:rsidRPr="00B07581">
        <w:rPr>
          <w:color w:val="000000"/>
        </w:rPr>
        <w:t>opulation 4</w:t>
      </w:r>
      <w:r>
        <w:rPr>
          <w:color w:val="000000"/>
        </w:rPr>
        <w:t xml:space="preserve"> (p</w:t>
      </w:r>
      <w:r w:rsidRPr="00623854">
        <w:rPr>
          <w:rFonts w:eastAsiaTheme="minorEastAsia"/>
          <w:color w:val="000000" w:themeColor="dark1"/>
          <w:kern w:val="24"/>
        </w:rPr>
        <w:t xml:space="preserve">atients with previously treated intracranial aneurysms that require </w:t>
      </w:r>
      <w:r>
        <w:rPr>
          <w:rFonts w:eastAsiaTheme="minorEastAsia"/>
          <w:color w:val="000000" w:themeColor="dark1"/>
          <w:kern w:val="24"/>
        </w:rPr>
        <w:t>re</w:t>
      </w:r>
      <w:r w:rsidRPr="00623854">
        <w:rPr>
          <w:rFonts w:eastAsiaTheme="minorEastAsia"/>
          <w:color w:val="000000" w:themeColor="dark1"/>
          <w:kern w:val="24"/>
        </w:rPr>
        <w:t>treatment</w:t>
      </w:r>
      <w:r>
        <w:rPr>
          <w:rFonts w:eastAsiaTheme="minorEastAsia"/>
          <w:color w:val="000000" w:themeColor="dark1"/>
          <w:kern w:val="24"/>
        </w:rPr>
        <w:t>).</w:t>
      </w:r>
    </w:p>
    <w:p w14:paraId="3871208F" w14:textId="77777777" w:rsidR="005610DA" w:rsidRDefault="005610DA" w:rsidP="005610DA">
      <w:pPr>
        <w:spacing w:after="240"/>
        <w:rPr>
          <w:color w:val="000000"/>
        </w:rPr>
      </w:pPr>
      <w:r w:rsidRPr="000F266F">
        <w:rPr>
          <w:color w:val="000000"/>
        </w:rPr>
        <w:t>ESC noted that the follow-up period for FD</w:t>
      </w:r>
      <w:r>
        <w:rPr>
          <w:color w:val="000000"/>
        </w:rPr>
        <w:t>D</w:t>
      </w:r>
      <w:r w:rsidRPr="000F266F">
        <w:rPr>
          <w:color w:val="000000"/>
        </w:rPr>
        <w:t xml:space="preserve"> in the majority of studies was significantly shorter than follow-up for coiling ± stenting (CS)/stenting</w:t>
      </w:r>
      <w:r>
        <w:rPr>
          <w:color w:val="000000"/>
        </w:rPr>
        <w:t>-</w:t>
      </w:r>
      <w:r w:rsidRPr="000F266F">
        <w:rPr>
          <w:color w:val="000000"/>
        </w:rPr>
        <w:t>assisted coiling (SAC), which biases long-term safety in favour of FD</w:t>
      </w:r>
      <w:r>
        <w:rPr>
          <w:color w:val="000000"/>
        </w:rPr>
        <w:t>D</w:t>
      </w:r>
      <w:r w:rsidRPr="000F266F">
        <w:rPr>
          <w:color w:val="000000"/>
        </w:rPr>
        <w:t>.</w:t>
      </w:r>
      <w:r>
        <w:rPr>
          <w:color w:val="000000"/>
        </w:rPr>
        <w:t xml:space="preserve"> However, ESC noted the sponsor contends the shorter follow up biases effectiveness in favour of the comparators </w:t>
      </w:r>
      <w:r w:rsidRPr="001F61E3">
        <w:rPr>
          <w:color w:val="000000"/>
        </w:rPr>
        <w:t>since complete occlusion increases over time with FD</w:t>
      </w:r>
      <w:r>
        <w:rPr>
          <w:color w:val="000000"/>
        </w:rPr>
        <w:t>D.</w:t>
      </w:r>
    </w:p>
    <w:p w14:paraId="3E95F05B" w14:textId="739397F4" w:rsidR="005610DA" w:rsidRPr="00242873" w:rsidRDefault="005610DA" w:rsidP="00242873">
      <w:pPr>
        <w:spacing w:before="240" w:after="240"/>
      </w:pPr>
      <w:r w:rsidRPr="00B339FE">
        <w:rPr>
          <w:color w:val="000000"/>
        </w:rPr>
        <w:t xml:space="preserve">Overall, the evidence for </w:t>
      </w:r>
      <w:r>
        <w:rPr>
          <w:color w:val="000000"/>
        </w:rPr>
        <w:t xml:space="preserve">superior efficacy of </w:t>
      </w:r>
      <w:r w:rsidRPr="00B339FE">
        <w:rPr>
          <w:color w:val="000000"/>
        </w:rPr>
        <w:t>FD</w:t>
      </w:r>
      <w:r>
        <w:rPr>
          <w:color w:val="000000"/>
        </w:rPr>
        <w:t>D</w:t>
      </w:r>
      <w:r w:rsidRPr="00B339FE">
        <w:rPr>
          <w:color w:val="000000"/>
        </w:rPr>
        <w:t xml:space="preserve"> </w:t>
      </w:r>
      <w:r>
        <w:rPr>
          <w:color w:val="000000"/>
        </w:rPr>
        <w:t>relative</w:t>
      </w:r>
      <w:r w:rsidRPr="00B339FE">
        <w:rPr>
          <w:color w:val="000000"/>
        </w:rPr>
        <w:t xml:space="preserve"> to coiling with or without stenting was considered by the ESC to be weak for Populations 1 and 2.  These</w:t>
      </w:r>
      <w:r w:rsidRPr="00623854">
        <w:t xml:space="preserve"> claims were based on meta-analyses of poorly exchangeable studies and in patient groups with si</w:t>
      </w:r>
      <w:r>
        <w:t>gnificant heterogeneity issues.</w:t>
      </w:r>
    </w:p>
    <w:p w14:paraId="44EF69F5" w14:textId="36D35606" w:rsidR="005610DA" w:rsidRPr="000F266F" w:rsidRDefault="005610DA" w:rsidP="00242873">
      <w:pPr>
        <w:spacing w:after="240"/>
        <w:rPr>
          <w:color w:val="000000"/>
        </w:rPr>
      </w:pPr>
      <w:r w:rsidRPr="00986A72">
        <w:rPr>
          <w:color w:val="000000"/>
        </w:rPr>
        <w:t xml:space="preserve">ESC </w:t>
      </w:r>
      <w:r>
        <w:rPr>
          <w:color w:val="000000"/>
        </w:rPr>
        <w:t xml:space="preserve">also </w:t>
      </w:r>
      <w:r w:rsidRPr="00986A72">
        <w:rPr>
          <w:color w:val="000000"/>
        </w:rPr>
        <w:t xml:space="preserve">noted the lack of clinical evidence to support </w:t>
      </w:r>
      <w:r>
        <w:rPr>
          <w:color w:val="000000"/>
        </w:rPr>
        <w:t>of the clinical claims for</w:t>
      </w:r>
      <w:r w:rsidRPr="00986A72">
        <w:rPr>
          <w:color w:val="000000"/>
        </w:rPr>
        <w:t xml:space="preserve"> F</w:t>
      </w:r>
      <w:r>
        <w:rPr>
          <w:color w:val="000000"/>
        </w:rPr>
        <w:t>D</w:t>
      </w:r>
      <w:r w:rsidRPr="00986A72">
        <w:rPr>
          <w:color w:val="000000"/>
        </w:rPr>
        <w:t xml:space="preserve">D in </w:t>
      </w:r>
      <w:r>
        <w:rPr>
          <w:color w:val="000000"/>
        </w:rPr>
        <w:t>P</w:t>
      </w:r>
      <w:r w:rsidRPr="00986A72">
        <w:rPr>
          <w:color w:val="000000"/>
        </w:rPr>
        <w:t xml:space="preserve">opulations 3 and 4. </w:t>
      </w:r>
      <w:r>
        <w:rPr>
          <w:color w:val="000000"/>
        </w:rPr>
        <w:t xml:space="preserve">Although, </w:t>
      </w:r>
      <w:r w:rsidRPr="00986A72">
        <w:rPr>
          <w:color w:val="000000"/>
        </w:rPr>
        <w:t xml:space="preserve">ESC noted </w:t>
      </w:r>
      <w:r>
        <w:rPr>
          <w:color w:val="000000"/>
        </w:rPr>
        <w:t>P</w:t>
      </w:r>
      <w:r w:rsidRPr="00986A72">
        <w:rPr>
          <w:color w:val="000000"/>
        </w:rPr>
        <w:t>opulation 3</w:t>
      </w:r>
      <w:r>
        <w:rPr>
          <w:color w:val="000000"/>
        </w:rPr>
        <w:t xml:space="preserve"> currently has no treatment options and P</w:t>
      </w:r>
      <w:r w:rsidRPr="00986A72">
        <w:rPr>
          <w:color w:val="000000"/>
        </w:rPr>
        <w:t xml:space="preserve">opulation 4 </w:t>
      </w:r>
      <w:r>
        <w:rPr>
          <w:color w:val="000000"/>
        </w:rPr>
        <w:t xml:space="preserve">only </w:t>
      </w:r>
      <w:r w:rsidRPr="00986A72">
        <w:rPr>
          <w:color w:val="000000"/>
        </w:rPr>
        <w:t>has limited options</w:t>
      </w:r>
      <w:r>
        <w:rPr>
          <w:color w:val="000000"/>
        </w:rPr>
        <w:t xml:space="preserve">, the ESC did not accept the sponsor’s argument that the safety and effectiveness of FD in these populations could be inferred from the results seen in Populations 1 and 2.  The ESC noted this </w:t>
      </w:r>
      <w:r w:rsidRPr="00E14BBC">
        <w:rPr>
          <w:color w:val="000000"/>
        </w:rPr>
        <w:t xml:space="preserve">claim </w:t>
      </w:r>
      <w:r>
        <w:rPr>
          <w:color w:val="000000"/>
        </w:rPr>
        <w:t>is in</w:t>
      </w:r>
      <w:r w:rsidRPr="00E14BBC">
        <w:rPr>
          <w:color w:val="000000"/>
        </w:rPr>
        <w:t xml:space="preserve">valid because background risks of rupture vary from population to population and because the comparator </w:t>
      </w:r>
      <w:r>
        <w:rPr>
          <w:color w:val="000000"/>
        </w:rPr>
        <w:t>is</w:t>
      </w:r>
      <w:r w:rsidRPr="00E14BBC">
        <w:rPr>
          <w:color w:val="000000"/>
        </w:rPr>
        <w:t xml:space="preserve"> different or could perform differently in the different populations.</w:t>
      </w:r>
    </w:p>
    <w:p w14:paraId="0C275283" w14:textId="51B7250B" w:rsidR="005610DA" w:rsidRPr="00242873" w:rsidRDefault="005610DA" w:rsidP="00242873">
      <w:pPr>
        <w:pStyle w:val="NormalWeb"/>
        <w:spacing w:before="0" w:beforeAutospacing="0" w:after="240" w:afterAutospacing="0"/>
        <w:rPr>
          <w:rFonts w:eastAsiaTheme="minorEastAsia"/>
          <w:color w:val="000000" w:themeColor="dark1"/>
          <w:kern w:val="24"/>
        </w:rPr>
      </w:pPr>
      <w:r>
        <w:rPr>
          <w:rFonts w:eastAsiaTheme="minorEastAsia"/>
          <w:color w:val="000000" w:themeColor="dark1"/>
          <w:kern w:val="24"/>
        </w:rPr>
        <w:t>ESC also noted the</w:t>
      </w:r>
      <w:r w:rsidRPr="00986A72">
        <w:t xml:space="preserve"> </w:t>
      </w:r>
      <w:r w:rsidRPr="00986A72">
        <w:rPr>
          <w:rFonts w:eastAsiaTheme="minorEastAsia"/>
          <w:color w:val="000000" w:themeColor="dark1"/>
          <w:kern w:val="24"/>
        </w:rPr>
        <w:t>Flow Diversion in Aneurysms Trial</w:t>
      </w:r>
      <w:r>
        <w:rPr>
          <w:rFonts w:eastAsiaTheme="minorEastAsia"/>
          <w:color w:val="000000" w:themeColor="dark1"/>
          <w:kern w:val="24"/>
        </w:rPr>
        <w:t xml:space="preserve"> study (FIAT; </w:t>
      </w:r>
      <w:r w:rsidRPr="00B07581">
        <w:rPr>
          <w:rFonts w:eastAsiaTheme="minorEastAsia"/>
          <w:color w:val="000000" w:themeColor="dark1"/>
          <w:kern w:val="24"/>
        </w:rPr>
        <w:t xml:space="preserve">Raymond J </w:t>
      </w:r>
      <w:r w:rsidRPr="0026634C">
        <w:rPr>
          <w:rFonts w:eastAsiaTheme="minorEastAsia"/>
          <w:i/>
          <w:iCs/>
          <w:color w:val="000000" w:themeColor="dark1"/>
          <w:kern w:val="24"/>
        </w:rPr>
        <w:t xml:space="preserve">et al: J </w:t>
      </w:r>
      <w:proofErr w:type="spellStart"/>
      <w:r w:rsidRPr="0026634C">
        <w:rPr>
          <w:rFonts w:eastAsiaTheme="minorEastAsia"/>
          <w:i/>
          <w:iCs/>
          <w:color w:val="000000" w:themeColor="dark1"/>
          <w:kern w:val="24"/>
        </w:rPr>
        <w:t>Neurosurg</w:t>
      </w:r>
      <w:proofErr w:type="spellEnd"/>
      <w:r w:rsidRPr="00B07581">
        <w:rPr>
          <w:rFonts w:eastAsiaTheme="minorEastAsia"/>
          <w:color w:val="000000" w:themeColor="dark1"/>
          <w:kern w:val="24"/>
        </w:rPr>
        <w:t xml:space="preserve"> 2017</w:t>
      </w:r>
      <w:proofErr w:type="gramStart"/>
      <w:r w:rsidRPr="00B07581">
        <w:rPr>
          <w:rFonts w:eastAsiaTheme="minorEastAsia"/>
          <w:color w:val="000000" w:themeColor="dark1"/>
          <w:kern w:val="24"/>
        </w:rPr>
        <w:t>;127:454</w:t>
      </w:r>
      <w:proofErr w:type="gramEnd"/>
      <w:r w:rsidRPr="00B07581">
        <w:rPr>
          <w:rFonts w:eastAsiaTheme="minorEastAsia"/>
          <w:color w:val="000000" w:themeColor="dark1"/>
          <w:kern w:val="24"/>
        </w:rPr>
        <w:t>-462; doi:10.3171/2016.4.JNS152662</w:t>
      </w:r>
      <w:r>
        <w:rPr>
          <w:rFonts w:eastAsiaTheme="minorEastAsia"/>
          <w:color w:val="000000" w:themeColor="dark1"/>
          <w:kern w:val="24"/>
        </w:rPr>
        <w:t>)</w:t>
      </w:r>
      <w:r w:rsidRPr="00986A72">
        <w:t xml:space="preserve"> </w:t>
      </w:r>
      <w:r>
        <w:t>which was designed to examine the safety and efficacy of flow diversion compared with other means of aneurysm treatment, study was halted due to failure to demonstrate superior safety or efficacy targets compared to best standard care on interim analysis.</w:t>
      </w:r>
    </w:p>
    <w:p w14:paraId="0120B482" w14:textId="6D7024AA" w:rsidR="005610DA" w:rsidRDefault="005610DA" w:rsidP="00242873">
      <w:pPr>
        <w:spacing w:after="240"/>
        <w:rPr>
          <w:rFonts w:eastAsiaTheme="minorEastAsia"/>
          <w:color w:val="000000" w:themeColor="dark1"/>
          <w:kern w:val="24"/>
          <w:szCs w:val="24"/>
        </w:rPr>
      </w:pPr>
      <w:r w:rsidRPr="00623854">
        <w:rPr>
          <w:rFonts w:eastAsiaTheme="minorEastAsia"/>
          <w:color w:val="000000" w:themeColor="dark1"/>
          <w:kern w:val="24"/>
          <w:szCs w:val="24"/>
        </w:rPr>
        <w:t>The ESC noted the cost-utility analysis presented for Populations 1 and 2 is only valid if the MSAC accepts the clinical claim of superior effectiveness in these populations. If the clinical claim is not accepted, then a cost-minimisation analysis would be more appropriate.</w:t>
      </w:r>
    </w:p>
    <w:p w14:paraId="120F801E" w14:textId="1314F509" w:rsidR="005610DA" w:rsidRPr="00623854" w:rsidRDefault="005610DA" w:rsidP="00242873">
      <w:pPr>
        <w:spacing w:after="240"/>
        <w:jc w:val="both"/>
        <w:rPr>
          <w:rFonts w:eastAsiaTheme="minorEastAsia"/>
          <w:color w:val="000000" w:themeColor="dark1"/>
          <w:kern w:val="24"/>
          <w:szCs w:val="24"/>
        </w:rPr>
      </w:pPr>
      <w:r w:rsidRPr="00623854">
        <w:rPr>
          <w:rFonts w:eastAsiaTheme="minorEastAsia"/>
          <w:color w:val="000000" w:themeColor="dark1"/>
          <w:kern w:val="24"/>
          <w:szCs w:val="24"/>
        </w:rPr>
        <w:t xml:space="preserve">The ESC noted that the submission states the model adopts a health care system perspective, however </w:t>
      </w:r>
      <w:r>
        <w:rPr>
          <w:rFonts w:eastAsiaTheme="minorEastAsia"/>
          <w:color w:val="000000" w:themeColor="dark1"/>
          <w:kern w:val="24"/>
          <w:szCs w:val="24"/>
        </w:rPr>
        <w:t xml:space="preserve">it </w:t>
      </w:r>
      <w:r w:rsidRPr="00623854">
        <w:rPr>
          <w:rFonts w:eastAsiaTheme="minorEastAsia"/>
          <w:color w:val="000000" w:themeColor="dark1"/>
          <w:kern w:val="24"/>
          <w:szCs w:val="24"/>
        </w:rPr>
        <w:t>does not include patient out-of-pocket costs (</w:t>
      </w:r>
      <w:r>
        <w:rPr>
          <w:rFonts w:eastAsiaTheme="minorEastAsia"/>
          <w:color w:val="000000" w:themeColor="dark1"/>
          <w:kern w:val="24"/>
          <w:szCs w:val="24"/>
        </w:rPr>
        <w:t>f</w:t>
      </w:r>
      <w:r w:rsidRPr="00623854">
        <w:rPr>
          <w:rFonts w:eastAsiaTheme="minorEastAsia"/>
          <w:color w:val="000000" w:themeColor="dark1"/>
          <w:kern w:val="24"/>
          <w:szCs w:val="24"/>
        </w:rPr>
        <w:t xml:space="preserve">or example, only the minimum benefit payable by the private health insurer </w:t>
      </w:r>
      <w:r>
        <w:rPr>
          <w:rFonts w:eastAsiaTheme="minorEastAsia"/>
          <w:color w:val="000000" w:themeColor="dark1"/>
          <w:kern w:val="24"/>
          <w:szCs w:val="24"/>
        </w:rPr>
        <w:t>[</w:t>
      </w:r>
      <w:r w:rsidRPr="00623854">
        <w:rPr>
          <w:rFonts w:eastAsiaTheme="minorEastAsia"/>
          <w:color w:val="000000" w:themeColor="dark1"/>
          <w:kern w:val="24"/>
          <w:szCs w:val="24"/>
        </w:rPr>
        <w:t>as per the Prostheses List</w:t>
      </w:r>
      <w:r>
        <w:rPr>
          <w:rFonts w:eastAsiaTheme="minorEastAsia"/>
          <w:color w:val="000000" w:themeColor="dark1"/>
          <w:kern w:val="24"/>
          <w:szCs w:val="24"/>
        </w:rPr>
        <w:t>]</w:t>
      </w:r>
      <w:r w:rsidRPr="00623854">
        <w:rPr>
          <w:rFonts w:eastAsiaTheme="minorEastAsia"/>
          <w:color w:val="000000" w:themeColor="dark1"/>
          <w:kern w:val="24"/>
          <w:szCs w:val="24"/>
        </w:rPr>
        <w:t xml:space="preserve"> is included in the analysis rather than the total price of the device. Similarly, in relation to MBS costs, only the MBS fee is included where the total fee charged to patients can be greater than the MBS fee). In this regard, the economic analysis is incomplete and the costs of treatment from a health care perspective appear to have been underestimated in the economic analysis.</w:t>
      </w:r>
    </w:p>
    <w:p w14:paraId="1CC8462E" w14:textId="51EF5BAA" w:rsidR="005610DA" w:rsidRPr="00242873" w:rsidRDefault="005610DA" w:rsidP="00242873">
      <w:pPr>
        <w:spacing w:after="240"/>
        <w:rPr>
          <w:color w:val="000000"/>
        </w:rPr>
      </w:pPr>
      <w:r w:rsidRPr="00623854">
        <w:rPr>
          <w:rFonts w:eastAsiaTheme="minorEastAsia"/>
          <w:color w:val="000000" w:themeColor="dark1"/>
          <w:kern w:val="24"/>
          <w:szCs w:val="24"/>
        </w:rPr>
        <w:t>The ESC noted the differences in rates of complete occlusion and retreatment rates are the primary driver</w:t>
      </w:r>
      <w:r>
        <w:rPr>
          <w:rFonts w:eastAsiaTheme="minorEastAsia"/>
          <w:color w:val="000000" w:themeColor="dark1"/>
          <w:kern w:val="24"/>
          <w:szCs w:val="24"/>
        </w:rPr>
        <w:t>s</w:t>
      </w:r>
      <w:r w:rsidRPr="00623854">
        <w:rPr>
          <w:rFonts w:eastAsiaTheme="minorEastAsia"/>
          <w:color w:val="000000" w:themeColor="dark1"/>
          <w:kern w:val="24"/>
          <w:szCs w:val="24"/>
        </w:rPr>
        <w:t xml:space="preserve"> of differences in outcomes across the two arms in the model (i.e., are the sources of treatment</w:t>
      </w:r>
      <w:r w:rsidRPr="007B1AD6">
        <w:rPr>
          <w:color w:val="000000"/>
        </w:rPr>
        <w:t xml:space="preserve"> effect captured in the model). </w:t>
      </w:r>
      <w:r>
        <w:rPr>
          <w:color w:val="000000"/>
        </w:rPr>
        <w:t xml:space="preserve"> Although the results of the modelled analysis are not highly sensitive to the re-treatment rate, the </w:t>
      </w:r>
      <w:r w:rsidRPr="007B1AD6">
        <w:rPr>
          <w:color w:val="000000"/>
        </w:rPr>
        <w:t>application of a difference in retreatment rates in the model which was not statistically significant (see Table 34 of the Critique) is inappropriate</w:t>
      </w:r>
      <w:r>
        <w:rPr>
          <w:color w:val="000000"/>
        </w:rPr>
        <w:t>.</w:t>
      </w:r>
      <w:r w:rsidRPr="007B1AD6">
        <w:rPr>
          <w:color w:val="000000"/>
        </w:rPr>
        <w:t xml:space="preserve"> </w:t>
      </w:r>
      <w:r>
        <w:rPr>
          <w:color w:val="000000"/>
        </w:rPr>
        <w:t xml:space="preserve"> However </w:t>
      </w:r>
      <w:r w:rsidRPr="007B1AD6">
        <w:rPr>
          <w:color w:val="000000"/>
        </w:rPr>
        <w:t>the results of the modelled analysis are highly sensitive to assumed differences in complete occlusion rates for FD</w:t>
      </w:r>
      <w:r>
        <w:rPr>
          <w:color w:val="000000"/>
        </w:rPr>
        <w:t>D</w:t>
      </w:r>
      <w:r w:rsidRPr="007B1AD6">
        <w:rPr>
          <w:color w:val="000000"/>
        </w:rPr>
        <w:t xml:space="preserve"> vs CS</w:t>
      </w:r>
      <w:r>
        <w:rPr>
          <w:color w:val="000000"/>
        </w:rPr>
        <w:t>, and the evidence for this difference is weak.</w:t>
      </w:r>
    </w:p>
    <w:p w14:paraId="4A3912C6" w14:textId="77777777" w:rsidR="005610DA" w:rsidRDefault="005610DA" w:rsidP="005610DA">
      <w:pPr>
        <w:spacing w:before="20" w:after="20"/>
        <w:rPr>
          <w:color w:val="000000"/>
          <w:szCs w:val="24"/>
        </w:rPr>
      </w:pPr>
      <w:r w:rsidRPr="000F266F">
        <w:rPr>
          <w:color w:val="000000"/>
          <w:szCs w:val="24"/>
        </w:rPr>
        <w:t xml:space="preserve">ESC noted that the model was most sensitive to device utilisation, </w:t>
      </w:r>
      <w:r>
        <w:rPr>
          <w:color w:val="000000"/>
          <w:szCs w:val="24"/>
        </w:rPr>
        <w:t>rupture rates and time horizon.</w:t>
      </w:r>
    </w:p>
    <w:p w14:paraId="59C47C9A" w14:textId="59130FA5" w:rsidR="005610DA" w:rsidRDefault="005610DA" w:rsidP="00242873">
      <w:pPr>
        <w:spacing w:after="240"/>
        <w:rPr>
          <w:color w:val="000000"/>
          <w:szCs w:val="24"/>
        </w:rPr>
      </w:pPr>
      <w:r>
        <w:rPr>
          <w:color w:val="000000"/>
          <w:szCs w:val="24"/>
        </w:rPr>
        <w:lastRenderedPageBreak/>
        <w:t xml:space="preserve">In Population 1, </w:t>
      </w:r>
      <w:r w:rsidRPr="00044A47">
        <w:rPr>
          <w:color w:val="000000"/>
          <w:szCs w:val="24"/>
        </w:rPr>
        <w:t>the incremental costs over a lifetime as estimated by the model are relatively low ($</w:t>
      </w:r>
      <w:r w:rsidR="00513B8C" w:rsidRPr="00F854B8">
        <w:rPr>
          <w:b/>
          <w:color w:val="000000"/>
          <w:szCs w:val="24"/>
        </w:rPr>
        <w:t>redacted</w:t>
      </w:r>
      <w:r w:rsidRPr="00044A47">
        <w:rPr>
          <w:color w:val="000000"/>
          <w:szCs w:val="24"/>
        </w:rPr>
        <w:t>). However, the magnitude of life-years and QALYs gained over 43 years is also small (</w:t>
      </w:r>
      <w:r w:rsidR="00513B8C" w:rsidRPr="00A44C82">
        <w:rPr>
          <w:b/>
          <w:color w:val="000000"/>
          <w:szCs w:val="24"/>
        </w:rPr>
        <w:t>redacted</w:t>
      </w:r>
      <w:r w:rsidR="00513B8C" w:rsidRPr="00044A47" w:rsidDel="00513B8C">
        <w:rPr>
          <w:color w:val="000000"/>
          <w:szCs w:val="24"/>
        </w:rPr>
        <w:t xml:space="preserve"> </w:t>
      </w:r>
      <w:r w:rsidRPr="00044A47">
        <w:rPr>
          <w:color w:val="000000"/>
          <w:szCs w:val="24"/>
        </w:rPr>
        <w:t xml:space="preserve">life-years &amp; </w:t>
      </w:r>
      <w:r w:rsidR="00513B8C" w:rsidRPr="00A44C82">
        <w:rPr>
          <w:b/>
          <w:color w:val="000000"/>
          <w:szCs w:val="24"/>
        </w:rPr>
        <w:t>redacted</w:t>
      </w:r>
      <w:r w:rsidR="00513B8C" w:rsidRPr="00044A47" w:rsidDel="00513B8C">
        <w:rPr>
          <w:color w:val="000000"/>
          <w:szCs w:val="24"/>
        </w:rPr>
        <w:t xml:space="preserve"> </w:t>
      </w:r>
      <w:r w:rsidRPr="00044A47">
        <w:rPr>
          <w:color w:val="000000"/>
          <w:szCs w:val="24"/>
        </w:rPr>
        <w:t>QALYs).</w:t>
      </w:r>
    </w:p>
    <w:p w14:paraId="5C6DD7B9" w14:textId="1F7B1766" w:rsidR="005610DA" w:rsidRPr="000F266F" w:rsidRDefault="005610DA" w:rsidP="00242873">
      <w:pPr>
        <w:spacing w:after="240"/>
        <w:rPr>
          <w:color w:val="000000"/>
          <w:szCs w:val="24"/>
        </w:rPr>
      </w:pPr>
      <w:r w:rsidRPr="00B339FE">
        <w:rPr>
          <w:color w:val="000000"/>
          <w:szCs w:val="24"/>
        </w:rPr>
        <w:t xml:space="preserve">In </w:t>
      </w:r>
      <w:r>
        <w:rPr>
          <w:color w:val="000000"/>
          <w:szCs w:val="24"/>
        </w:rPr>
        <w:t>P</w:t>
      </w:r>
      <w:r w:rsidRPr="00B339FE">
        <w:rPr>
          <w:color w:val="000000"/>
          <w:szCs w:val="24"/>
        </w:rPr>
        <w:t xml:space="preserve">opulation 2, </w:t>
      </w:r>
      <w:r w:rsidRPr="00623854">
        <w:rPr>
          <w:color w:val="000000"/>
        </w:rPr>
        <w:t xml:space="preserve">the results of the modelled analysis are most sensitive to </w:t>
      </w:r>
      <w:r>
        <w:rPr>
          <w:color w:val="000000"/>
        </w:rPr>
        <w:t xml:space="preserve">the </w:t>
      </w:r>
      <w:r w:rsidRPr="00623854">
        <w:rPr>
          <w:color w:val="000000"/>
        </w:rPr>
        <w:t>number of devices used in the procedure. The relative increase in the number of coils assumed to be required to treat large UIAs compared with small UIAs (9.65 vs 5.3 in the base case) is larger than the relative increase in the number of FDDs required for large UIAs compared with small UIAs (1.46 vs 1.125 in the SBA’s base case). Thus, lower cost due to lower device use is a key driver of the economic dominance of FD over CS in the submission</w:t>
      </w:r>
      <w:r>
        <w:rPr>
          <w:color w:val="000000"/>
        </w:rPr>
        <w:t>’</w:t>
      </w:r>
      <w:r w:rsidRPr="00623854">
        <w:rPr>
          <w:color w:val="000000"/>
        </w:rPr>
        <w:t>s analyses.</w:t>
      </w:r>
    </w:p>
    <w:p w14:paraId="13CFFA6D" w14:textId="4E743AD5" w:rsidR="005610DA" w:rsidRPr="00242873" w:rsidRDefault="005610DA" w:rsidP="00242873">
      <w:pPr>
        <w:spacing w:after="240"/>
        <w:rPr>
          <w:color w:val="000000"/>
        </w:rPr>
      </w:pPr>
      <w:r w:rsidRPr="000F266F">
        <w:rPr>
          <w:color w:val="000000"/>
          <w:szCs w:val="24"/>
        </w:rPr>
        <w:t>ESC noted th</w:t>
      </w:r>
      <w:r>
        <w:rPr>
          <w:color w:val="000000"/>
          <w:szCs w:val="24"/>
        </w:rPr>
        <w:t xml:space="preserve">e submission’s claim that </w:t>
      </w:r>
      <w:r w:rsidRPr="000F266F">
        <w:rPr>
          <w:color w:val="000000"/>
          <w:szCs w:val="24"/>
        </w:rPr>
        <w:t>FD listing is not expected to result in financial implications to the MBS</w:t>
      </w:r>
      <w:r>
        <w:rPr>
          <w:color w:val="000000"/>
          <w:szCs w:val="24"/>
        </w:rPr>
        <w:t xml:space="preserve">. ESC considered this claim to be implausible as it does not take account of the larger proportions of Populations 1 and 2 the submission claims will be treated with FD compared to CS, it does not include any patients for Populations 3 and 4 and it does not take account of the potential for leakage into less complex aneurysms. Although </w:t>
      </w:r>
      <w:r w:rsidRPr="000F266F">
        <w:rPr>
          <w:color w:val="000000"/>
        </w:rPr>
        <w:t>th</w:t>
      </w:r>
      <w:r>
        <w:rPr>
          <w:color w:val="000000"/>
        </w:rPr>
        <w:t>e submission stated</w:t>
      </w:r>
      <w:r w:rsidRPr="000F266F">
        <w:rPr>
          <w:color w:val="000000"/>
        </w:rPr>
        <w:t xml:space="preserve"> FD </w:t>
      </w:r>
      <w:r>
        <w:rPr>
          <w:color w:val="000000"/>
        </w:rPr>
        <w:t>will</w:t>
      </w:r>
      <w:r w:rsidRPr="000F266F">
        <w:rPr>
          <w:color w:val="000000"/>
        </w:rPr>
        <w:t xml:space="preserve"> substitute for clipping</w:t>
      </w:r>
      <w:r>
        <w:rPr>
          <w:color w:val="000000"/>
        </w:rPr>
        <w:t xml:space="preserve"> in these populations</w:t>
      </w:r>
      <w:r w:rsidRPr="000F266F">
        <w:rPr>
          <w:color w:val="000000"/>
        </w:rPr>
        <w:t xml:space="preserve">, clipping </w:t>
      </w:r>
      <w:r>
        <w:rPr>
          <w:color w:val="000000"/>
        </w:rPr>
        <w:t>was</w:t>
      </w:r>
      <w:r w:rsidRPr="000F266F">
        <w:rPr>
          <w:color w:val="000000"/>
        </w:rPr>
        <w:t xml:space="preserve"> not </w:t>
      </w:r>
      <w:r>
        <w:rPr>
          <w:color w:val="000000"/>
        </w:rPr>
        <w:t xml:space="preserve">considered </w:t>
      </w:r>
      <w:r w:rsidRPr="000F266F">
        <w:rPr>
          <w:color w:val="000000"/>
        </w:rPr>
        <w:t>an appropriate comparator</w:t>
      </w:r>
      <w:r>
        <w:rPr>
          <w:color w:val="000000"/>
        </w:rPr>
        <w:t xml:space="preserve"> (by PASC or the submission)</w:t>
      </w:r>
      <w:r w:rsidRPr="000F266F">
        <w:rPr>
          <w:color w:val="000000"/>
        </w:rPr>
        <w:t>.</w:t>
      </w:r>
    </w:p>
    <w:p w14:paraId="67F109FB" w14:textId="545D6E26" w:rsidR="005610DA" w:rsidRPr="00242873" w:rsidRDefault="005610DA" w:rsidP="00242873">
      <w:pPr>
        <w:spacing w:after="240"/>
        <w:rPr>
          <w:color w:val="000000"/>
          <w:szCs w:val="24"/>
        </w:rPr>
      </w:pPr>
      <w:r>
        <w:rPr>
          <w:color w:val="000000"/>
          <w:szCs w:val="24"/>
        </w:rPr>
        <w:t>The ESC also noted recent MBS data that show an average 20% per year increase in the number of coiling procedures since 2011, even though data from the Australian Institute of Health and Welfare report only a 7.2% per year increase in separations for UIAs over this period. The impact of the inclusion of FD procedures on the MBS on this rate of increase is not known.</w:t>
      </w:r>
    </w:p>
    <w:p w14:paraId="2518CD8F" w14:textId="77777777" w:rsidR="005610DA" w:rsidRPr="006460AB" w:rsidRDefault="005610DA" w:rsidP="005610DA">
      <w:pPr>
        <w:rPr>
          <w:color w:val="000000"/>
        </w:rPr>
      </w:pPr>
      <w:r>
        <w:rPr>
          <w:color w:val="000000"/>
        </w:rPr>
        <w:t>ESC noted the inclusion of this procedure on the MBS may result in additional out-of-pocket costs for patients.</w:t>
      </w:r>
    </w:p>
    <w:p w14:paraId="4392A597" w14:textId="77777777" w:rsidR="005610DA" w:rsidRPr="00F715D1" w:rsidRDefault="005610DA" w:rsidP="005610DA">
      <w:pPr>
        <w:pStyle w:val="Heading1"/>
      </w:pPr>
      <w:r w:rsidRPr="00F715D1">
        <w:t>Other significant factors</w:t>
      </w:r>
    </w:p>
    <w:p w14:paraId="6BE765FF" w14:textId="77777777" w:rsidR="005610DA" w:rsidRPr="005A4362" w:rsidRDefault="005610DA" w:rsidP="005610DA">
      <w:r>
        <w:t>Nil.</w:t>
      </w:r>
    </w:p>
    <w:p w14:paraId="2740E72B" w14:textId="77777777" w:rsidR="005610DA" w:rsidRPr="00F715D1" w:rsidRDefault="005610DA" w:rsidP="005610DA">
      <w:pPr>
        <w:pStyle w:val="Heading1"/>
      </w:pPr>
      <w:r w:rsidRPr="00F715D1">
        <w:t>Applicant’s comments on MSAC’s Public Summary Document</w:t>
      </w:r>
    </w:p>
    <w:p w14:paraId="5F202EBD" w14:textId="5EACB20C" w:rsidR="00513B8C" w:rsidRDefault="00513B8C" w:rsidP="00406951">
      <w:pPr>
        <w:rPr>
          <w:szCs w:val="24"/>
        </w:rPr>
      </w:pPr>
      <w:r>
        <w:t>The Applicant is disappointed with MSAC’s decision to not support public funding for insertion of a flow diversion device to treat unruptured brain aneurysms. However, the Applicant is pleased that MSAC acknowledged the clinical need for flow diversion in a small population currently untreated and at risk of aneurysm rupture. The Applicant will continue to work with MSAC and all relevant stakeholders to ensure flow diversion therapy becomes available on the MBS to patients with unruptured intracranial aneurysms.</w:t>
      </w:r>
    </w:p>
    <w:p w14:paraId="5EE95668" w14:textId="78171614" w:rsidR="005610DA" w:rsidRPr="00F715D1" w:rsidRDefault="005610DA" w:rsidP="005610DA">
      <w:pPr>
        <w:pStyle w:val="Heading1"/>
      </w:pPr>
      <w:r w:rsidRPr="00F715D1">
        <w:t>Further information on MSAC</w:t>
      </w:r>
    </w:p>
    <w:p w14:paraId="38A4BCE8" w14:textId="77777777" w:rsidR="005610DA" w:rsidRPr="006460AB" w:rsidRDefault="005610DA" w:rsidP="005610DA">
      <w:pPr>
        <w:spacing w:after="240"/>
        <w:rPr>
          <w:szCs w:val="24"/>
        </w:rPr>
      </w:pPr>
      <w:r w:rsidRPr="00F715D1">
        <w:rPr>
          <w:szCs w:val="24"/>
        </w:rPr>
        <w:t xml:space="preserve">MSAC Terms of Reference and other information are available on the MSAC Website: </w:t>
      </w:r>
      <w:r>
        <w:rPr>
          <w:szCs w:val="24"/>
        </w:rPr>
        <w:br/>
      </w:r>
      <w:hyperlink r:id="rId13" w:tooltip="Link to Medical Services Advisory Committee website" w:history="1">
        <w:r w:rsidRPr="00F715D1">
          <w:rPr>
            <w:rStyle w:val="Hyperlink"/>
            <w:szCs w:val="24"/>
          </w:rPr>
          <w:t>visit the MSAC website</w:t>
        </w:r>
      </w:hyperlink>
    </w:p>
    <w:p w14:paraId="22EFE40E" w14:textId="77777777" w:rsidR="005610DA" w:rsidRPr="00B02E35" w:rsidRDefault="005610DA" w:rsidP="006460AB">
      <w:pPr>
        <w:tabs>
          <w:tab w:val="left" w:pos="720"/>
          <w:tab w:val="left" w:pos="1140"/>
        </w:tabs>
        <w:rPr>
          <w:color w:val="0066FF"/>
          <w:szCs w:val="24"/>
        </w:rPr>
      </w:pPr>
    </w:p>
    <w:sectPr w:rsidR="005610DA" w:rsidRPr="00B02E35" w:rsidSect="005610DA">
      <w:headerReference w:type="even" r:id="rId14"/>
      <w:headerReference w:type="default" r:id="rId15"/>
      <w:footerReference w:type="even" r:id="rId16"/>
      <w:footerReference w:type="default" r:id="rId17"/>
      <w:headerReference w:type="first" r:id="rId18"/>
      <w:footerReference w:type="first" r:id="rId19"/>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25610" w14:textId="77777777" w:rsidR="00242873" w:rsidRDefault="00242873">
      <w:r>
        <w:separator/>
      </w:r>
    </w:p>
  </w:endnote>
  <w:endnote w:type="continuationSeparator" w:id="0">
    <w:p w14:paraId="03B4A7E2" w14:textId="77777777" w:rsidR="00242873" w:rsidRDefault="0024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F1EB1" w14:textId="77777777" w:rsidR="00242873" w:rsidRDefault="00242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4B19F0B0" w14:textId="37BDD7EC" w:rsidR="00242873" w:rsidRDefault="00242873">
        <w:pPr>
          <w:pStyle w:val="Footer"/>
          <w:jc w:val="right"/>
        </w:pPr>
        <w:r>
          <w:fldChar w:fldCharType="begin"/>
        </w:r>
        <w:r>
          <w:instrText xml:space="preserve"> PAGE   \* MERGEFORMAT </w:instrText>
        </w:r>
        <w:r>
          <w:fldChar w:fldCharType="separate"/>
        </w:r>
        <w:r w:rsidR="00F92483">
          <w:rPr>
            <w:noProof/>
          </w:rPr>
          <w:t>21</w:t>
        </w:r>
        <w:r>
          <w:rPr>
            <w:noProof/>
          </w:rPr>
          <w:fldChar w:fldCharType="end"/>
        </w:r>
      </w:p>
    </w:sdtContent>
  </w:sdt>
  <w:p w14:paraId="3D33788A" w14:textId="77777777" w:rsidR="00242873" w:rsidRDefault="002428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A5F8B" w14:textId="77777777" w:rsidR="00242873" w:rsidRDefault="00242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118B8" w14:textId="77777777" w:rsidR="00242873" w:rsidRDefault="00242873">
      <w:r>
        <w:separator/>
      </w:r>
    </w:p>
  </w:footnote>
  <w:footnote w:type="continuationSeparator" w:id="0">
    <w:p w14:paraId="0BACC52F" w14:textId="77777777" w:rsidR="00242873" w:rsidRDefault="00242873">
      <w:r>
        <w:continuationSeparator/>
      </w:r>
    </w:p>
  </w:footnote>
  <w:footnote w:id="1">
    <w:p w14:paraId="3F907C95" w14:textId="68D00FAE" w:rsidR="00242873" w:rsidRDefault="00242873" w:rsidP="00B11097">
      <w:pPr>
        <w:pStyle w:val="FootnoteText"/>
      </w:pPr>
      <w:r>
        <w:rPr>
          <w:rStyle w:val="FootnoteReference"/>
        </w:rPr>
        <w:footnoteRef/>
      </w:r>
      <w:r>
        <w:t xml:space="preserve"> </w:t>
      </w:r>
      <w:hyperlink r:id="rId1" w:tooltip="Link to Dept of Health website, The Prostheses List webpage" w:history="1">
        <w:r>
          <w:rPr>
            <w:rStyle w:val="Hyperlink"/>
          </w:rPr>
          <w:t>http://www.health.gov.au/internet/main/publishing.nsf/Content/health-privatehealth-prostheseslist.htm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60586" w14:textId="77777777" w:rsidR="00242873" w:rsidRDefault="00242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74D68" w14:textId="77777777" w:rsidR="00242873" w:rsidRDefault="002428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935D2" w14:textId="77777777" w:rsidR="00242873" w:rsidRDefault="00242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004C"/>
    <w:multiLevelType w:val="hybridMultilevel"/>
    <w:tmpl w:val="4B8A3A36"/>
    <w:lvl w:ilvl="0" w:tplc="DBFA83DC">
      <w:start w:val="1"/>
      <w:numFmt w:val="bullet"/>
      <w:lvlText w:val=""/>
      <w:lvlJc w:val="left"/>
      <w:pPr>
        <w:tabs>
          <w:tab w:val="num" w:pos="1080"/>
        </w:tabs>
        <w:ind w:left="1080" w:hanging="360"/>
      </w:pPr>
      <w:rPr>
        <w:rFonts w:ascii="Symbol" w:hAnsi="Symbol" w:hint="default"/>
        <w:color w:val="auto"/>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284986"/>
    <w:multiLevelType w:val="hybridMultilevel"/>
    <w:tmpl w:val="AEF0D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6E4B4B"/>
    <w:multiLevelType w:val="hybridMultilevel"/>
    <w:tmpl w:val="8F3A2E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9A202B"/>
    <w:multiLevelType w:val="multilevel"/>
    <w:tmpl w:val="7A48911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CA6C56"/>
    <w:multiLevelType w:val="hybridMultilevel"/>
    <w:tmpl w:val="3B327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90597F"/>
    <w:multiLevelType w:val="hybridMultilevel"/>
    <w:tmpl w:val="69F2D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74522D"/>
    <w:multiLevelType w:val="hybridMultilevel"/>
    <w:tmpl w:val="1FCC3052"/>
    <w:lvl w:ilvl="0" w:tplc="24D0C2DC">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C245E3"/>
    <w:multiLevelType w:val="hybridMultilevel"/>
    <w:tmpl w:val="C9CAD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D45838"/>
    <w:multiLevelType w:val="hybridMultilevel"/>
    <w:tmpl w:val="4FF4C942"/>
    <w:lvl w:ilvl="0" w:tplc="808E58E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6"/>
  </w:num>
  <w:num w:numId="5">
    <w:abstractNumId w:val="0"/>
  </w:num>
  <w:num w:numId="6">
    <w:abstractNumId w:val="5"/>
  </w:num>
  <w:num w:numId="7">
    <w:abstractNumId w:val="9"/>
  </w:num>
  <w:num w:numId="8">
    <w:abstractNumId w:val="2"/>
  </w:num>
  <w:num w:numId="9">
    <w:abstractNumId w:val="11"/>
  </w:num>
  <w:num w:numId="10">
    <w:abstractNumId w:val="8"/>
  </w:num>
  <w:num w:numId="11">
    <w:abstractNumId w:val="1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9F"/>
    <w:rsid w:val="000417FF"/>
    <w:rsid w:val="00061868"/>
    <w:rsid w:val="000778CF"/>
    <w:rsid w:val="000965CC"/>
    <w:rsid w:val="000B7908"/>
    <w:rsid w:val="001027F3"/>
    <w:rsid w:val="00136D52"/>
    <w:rsid w:val="001A0494"/>
    <w:rsid w:val="001A770D"/>
    <w:rsid w:val="001B52C6"/>
    <w:rsid w:val="001B5532"/>
    <w:rsid w:val="001D32CC"/>
    <w:rsid w:val="00220FB9"/>
    <w:rsid w:val="00242873"/>
    <w:rsid w:val="00280050"/>
    <w:rsid w:val="002C4760"/>
    <w:rsid w:val="002D7F71"/>
    <w:rsid w:val="002E75E1"/>
    <w:rsid w:val="00341027"/>
    <w:rsid w:val="00363AA3"/>
    <w:rsid w:val="003854B2"/>
    <w:rsid w:val="003854D6"/>
    <w:rsid w:val="003E6651"/>
    <w:rsid w:val="00406951"/>
    <w:rsid w:val="00452065"/>
    <w:rsid w:val="0045303E"/>
    <w:rsid w:val="00496683"/>
    <w:rsid w:val="004A169D"/>
    <w:rsid w:val="004B35C9"/>
    <w:rsid w:val="004E4810"/>
    <w:rsid w:val="00513B8C"/>
    <w:rsid w:val="00523E38"/>
    <w:rsid w:val="005610DA"/>
    <w:rsid w:val="00575366"/>
    <w:rsid w:val="00584C7E"/>
    <w:rsid w:val="005A03D6"/>
    <w:rsid w:val="005A52A2"/>
    <w:rsid w:val="005C7ACE"/>
    <w:rsid w:val="006321CE"/>
    <w:rsid w:val="006460AB"/>
    <w:rsid w:val="006629A6"/>
    <w:rsid w:val="00690FA3"/>
    <w:rsid w:val="006B60EC"/>
    <w:rsid w:val="006D7897"/>
    <w:rsid w:val="006E081E"/>
    <w:rsid w:val="007264D7"/>
    <w:rsid w:val="00732A99"/>
    <w:rsid w:val="00751C81"/>
    <w:rsid w:val="00754967"/>
    <w:rsid w:val="00756EA7"/>
    <w:rsid w:val="007875BC"/>
    <w:rsid w:val="008477AC"/>
    <w:rsid w:val="00851FCB"/>
    <w:rsid w:val="008566B7"/>
    <w:rsid w:val="008612BE"/>
    <w:rsid w:val="00895C48"/>
    <w:rsid w:val="008A749F"/>
    <w:rsid w:val="008B4AD6"/>
    <w:rsid w:val="008D2748"/>
    <w:rsid w:val="008D4CB3"/>
    <w:rsid w:val="008D6F02"/>
    <w:rsid w:val="009053C3"/>
    <w:rsid w:val="00927FC7"/>
    <w:rsid w:val="0093163F"/>
    <w:rsid w:val="0094624A"/>
    <w:rsid w:val="009637A4"/>
    <w:rsid w:val="00964A76"/>
    <w:rsid w:val="009F385A"/>
    <w:rsid w:val="00A94558"/>
    <w:rsid w:val="00A9711C"/>
    <w:rsid w:val="00AE5A89"/>
    <w:rsid w:val="00B076AC"/>
    <w:rsid w:val="00B11097"/>
    <w:rsid w:val="00B272BE"/>
    <w:rsid w:val="00BB0CDA"/>
    <w:rsid w:val="00BC07C5"/>
    <w:rsid w:val="00BC5153"/>
    <w:rsid w:val="00BF7048"/>
    <w:rsid w:val="00C574D4"/>
    <w:rsid w:val="00C8395A"/>
    <w:rsid w:val="00CC0C68"/>
    <w:rsid w:val="00CD0AE7"/>
    <w:rsid w:val="00D02315"/>
    <w:rsid w:val="00D02700"/>
    <w:rsid w:val="00D11A3E"/>
    <w:rsid w:val="00D336B7"/>
    <w:rsid w:val="00DA1906"/>
    <w:rsid w:val="00DA7B67"/>
    <w:rsid w:val="00DB6674"/>
    <w:rsid w:val="00DC2666"/>
    <w:rsid w:val="00DD14DD"/>
    <w:rsid w:val="00DF2C23"/>
    <w:rsid w:val="00E00736"/>
    <w:rsid w:val="00E347E7"/>
    <w:rsid w:val="00EF144B"/>
    <w:rsid w:val="00F0427A"/>
    <w:rsid w:val="00F14D6C"/>
    <w:rsid w:val="00F273AD"/>
    <w:rsid w:val="00F43568"/>
    <w:rsid w:val="00F854B8"/>
    <w:rsid w:val="00F87176"/>
    <w:rsid w:val="00F92483"/>
    <w:rsid w:val="00FA18A4"/>
    <w:rsid w:val="00FF1F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860A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2A2"/>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8A749F"/>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unhideWhenUsed/>
    <w:qFormat/>
    <w:rsid w:val="006460AB"/>
    <w:pPr>
      <w:keepNext/>
      <w:keepLines/>
      <w:spacing w:before="200"/>
      <w:outlineLvl w:val="1"/>
    </w:pPr>
    <w:rPr>
      <w:rFonts w:eastAsiaTheme="majorEastAsia" w:cstheme="majorBidi"/>
      <w:i/>
      <w:szCs w:val="26"/>
    </w:rPr>
  </w:style>
  <w:style w:type="paragraph" w:styleId="Heading4">
    <w:name w:val="heading 4"/>
    <w:basedOn w:val="Heading5"/>
    <w:next w:val="Normal"/>
    <w:link w:val="Heading4Char"/>
    <w:uiPriority w:val="9"/>
    <w:unhideWhenUsed/>
    <w:qFormat/>
    <w:rsid w:val="004B35C9"/>
    <w:pPr>
      <w:spacing w:before="0"/>
      <w:outlineLvl w:val="3"/>
    </w:pPr>
    <w:rPr>
      <w:rFonts w:ascii="Times New Roman" w:hAnsi="Times New Roman" w:cs="Times New Roman"/>
      <w:i/>
      <w:color w:val="auto"/>
    </w:rPr>
  </w:style>
  <w:style w:type="paragraph" w:styleId="Heading5">
    <w:name w:val="heading 5"/>
    <w:basedOn w:val="Normal"/>
    <w:next w:val="Normal"/>
    <w:link w:val="Heading5Char"/>
    <w:uiPriority w:val="9"/>
    <w:semiHidden/>
    <w:unhideWhenUsed/>
    <w:qFormat/>
    <w:rsid w:val="00B1109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749F"/>
    <w:rPr>
      <w:rFonts w:ascii="Arial" w:eastAsia="Times New Roman" w:hAnsi="Arial"/>
      <w:b/>
      <w:bCs/>
      <w:szCs w:val="28"/>
      <w:lang w:eastAsia="en-AU"/>
    </w:rPr>
  </w:style>
  <w:style w:type="character" w:styleId="Hyperlink">
    <w:name w:val="Hyperlink"/>
    <w:basedOn w:val="DefaultParagraphFont"/>
    <w:uiPriority w:val="99"/>
    <w:rsid w:val="008A749F"/>
    <w:rPr>
      <w:rFonts w:cs="Times New Roman"/>
      <w:color w:val="0000FF"/>
      <w:u w:val="single"/>
    </w:rPr>
  </w:style>
  <w:style w:type="paragraph" w:styleId="ListParagraph">
    <w:name w:val="List Paragraph"/>
    <w:aliases w:val="Styl moj,Akapit z listą1,Akapit z listą11"/>
    <w:basedOn w:val="Normal"/>
    <w:link w:val="ListParagraphChar"/>
    <w:uiPriority w:val="34"/>
    <w:qFormat/>
    <w:rsid w:val="008A749F"/>
    <w:pPr>
      <w:ind w:left="720"/>
      <w:contextualSpacing/>
    </w:pPr>
  </w:style>
  <w:style w:type="paragraph" w:styleId="Footer">
    <w:name w:val="footer"/>
    <w:basedOn w:val="Normal"/>
    <w:link w:val="FooterChar"/>
    <w:uiPriority w:val="99"/>
    <w:rsid w:val="008A749F"/>
    <w:pPr>
      <w:tabs>
        <w:tab w:val="center" w:pos="4513"/>
        <w:tab w:val="right" w:pos="9026"/>
      </w:tabs>
    </w:pPr>
  </w:style>
  <w:style w:type="character" w:customStyle="1" w:styleId="FooterChar">
    <w:name w:val="Footer Char"/>
    <w:basedOn w:val="DefaultParagraphFont"/>
    <w:link w:val="Footer"/>
    <w:uiPriority w:val="99"/>
    <w:rsid w:val="008A749F"/>
    <w:rPr>
      <w:rFonts w:eastAsia="Times New Roman"/>
      <w:szCs w:val="20"/>
      <w:lang w:eastAsia="en-AU"/>
    </w:rPr>
  </w:style>
  <w:style w:type="paragraph" w:customStyle="1" w:styleId="Default">
    <w:name w:val="Default"/>
    <w:rsid w:val="008A749F"/>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8A749F"/>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8A749F"/>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8A749F"/>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8A749F"/>
    <w:rPr>
      <w:rFonts w:ascii="Arial" w:eastAsia="Times New Roman" w:hAnsi="Arial" w:cs="Arial"/>
      <w:b/>
      <w:bCs/>
      <w:i/>
      <w:color w:val="000080"/>
      <w:sz w:val="28"/>
      <w:szCs w:val="28"/>
      <w:lang w:eastAsia="en-AU"/>
    </w:rPr>
  </w:style>
  <w:style w:type="character" w:customStyle="1" w:styleId="Heading2Char">
    <w:name w:val="Heading 2 Char"/>
    <w:basedOn w:val="DefaultParagraphFont"/>
    <w:link w:val="Heading2"/>
    <w:uiPriority w:val="9"/>
    <w:rsid w:val="006460AB"/>
    <w:rPr>
      <w:rFonts w:eastAsiaTheme="majorEastAsia" w:cstheme="majorBidi"/>
      <w:i/>
      <w:szCs w:val="26"/>
      <w:lang w:eastAsia="en-AU"/>
    </w:rPr>
  </w:style>
  <w:style w:type="table" w:styleId="TableGrid">
    <w:name w:val="Table Grid"/>
    <w:aliases w:val="Summary box,Table Gridbeth,RTI AMCP Table,new style,ASD Table"/>
    <w:basedOn w:val="TableNormal"/>
    <w:uiPriority w:val="59"/>
    <w:rsid w:val="003E665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
    <w:link w:val="ListParagraph"/>
    <w:uiPriority w:val="34"/>
    <w:rsid w:val="006460AB"/>
    <w:rPr>
      <w:rFonts w:eastAsia="Times New Roman"/>
      <w:szCs w:val="20"/>
      <w:lang w:eastAsia="en-AU"/>
    </w:rPr>
  </w:style>
  <w:style w:type="table" w:customStyle="1" w:styleId="TableGrid3">
    <w:name w:val="Table Grid3"/>
    <w:basedOn w:val="TableNormal"/>
    <w:next w:val="TableGrid"/>
    <w:uiPriority w:val="59"/>
    <w:rsid w:val="006460AB"/>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60AB"/>
    <w:pPr>
      <w:spacing w:before="100" w:beforeAutospacing="1" w:after="100" w:afterAutospacing="1"/>
    </w:pPr>
    <w:rPr>
      <w:szCs w:val="24"/>
    </w:rPr>
  </w:style>
  <w:style w:type="paragraph" w:customStyle="1" w:styleId="Tabletext">
    <w:name w:val="Table text"/>
    <w:basedOn w:val="Normal"/>
    <w:link w:val="TabletextChar"/>
    <w:qFormat/>
    <w:rsid w:val="006460AB"/>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rsid w:val="006460AB"/>
    <w:rPr>
      <w:rFonts w:ascii="Arial Narrow" w:eastAsia="Times New Roman" w:hAnsi="Arial Narrow"/>
      <w:sz w:val="20"/>
    </w:rPr>
  </w:style>
  <w:style w:type="paragraph" w:customStyle="1" w:styleId="Tablecaption">
    <w:name w:val="Table caption"/>
    <w:basedOn w:val="Normal"/>
    <w:link w:val="TablecaptionChar"/>
    <w:qFormat/>
    <w:rsid w:val="006460AB"/>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6460AB"/>
    <w:rPr>
      <w:rFonts w:ascii="Arial Narrow" w:eastAsia="Times New Roman" w:hAnsi="Arial Narrow" w:cs="Arial"/>
      <w:sz w:val="20"/>
      <w:szCs w:val="20"/>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rsid w:val="006460AB"/>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6460AB"/>
    <w:rPr>
      <w:rFonts w:ascii="Arial Narrow" w:eastAsia="Times New Roman" w:hAnsi="Arial Narrow" w:cs="Arial"/>
      <w:b/>
      <w:bCs/>
      <w:iCs/>
      <w:sz w:val="20"/>
      <w:szCs w:val="20"/>
    </w:rPr>
  </w:style>
  <w:style w:type="paragraph" w:customStyle="1" w:styleId="Tabletextright">
    <w:name w:val="Table text right"/>
    <w:basedOn w:val="Normal"/>
    <w:link w:val="TabletextrightChar"/>
    <w:qFormat/>
    <w:rsid w:val="006460AB"/>
    <w:pPr>
      <w:keepNext/>
      <w:jc w:val="right"/>
    </w:pPr>
    <w:rPr>
      <w:rFonts w:ascii="Arial Narrow" w:hAnsi="Arial Narrow" w:cs="Arial"/>
      <w:sz w:val="20"/>
      <w:lang w:eastAsia="en-US"/>
    </w:rPr>
  </w:style>
  <w:style w:type="character" w:customStyle="1" w:styleId="TabletextrightChar">
    <w:name w:val="Table text right Char"/>
    <w:basedOn w:val="DefaultParagraphFont"/>
    <w:link w:val="Tabletextright"/>
    <w:rsid w:val="006460AB"/>
    <w:rPr>
      <w:rFonts w:ascii="Arial Narrow" w:eastAsia="Times New Roman" w:hAnsi="Arial Narrow" w:cs="Arial"/>
      <w:sz w:val="20"/>
      <w:szCs w:val="20"/>
    </w:rPr>
  </w:style>
  <w:style w:type="paragraph" w:customStyle="1" w:styleId="Tablenotes">
    <w:name w:val="Tablenotes"/>
    <w:basedOn w:val="Normal"/>
    <w:link w:val="TablenotesChar"/>
    <w:autoRedefine/>
    <w:qFormat/>
    <w:rsid w:val="00242873"/>
    <w:pPr>
      <w:widowControl w:val="0"/>
      <w:spacing w:before="60" w:after="24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242873"/>
    <w:rPr>
      <w:rFonts w:ascii="Arial Narrow" w:eastAsia="Times New Roman" w:hAnsi="Arial Narrow" w:cs="Arial"/>
      <w:snapToGrid w:val="0"/>
      <w:sz w:val="18"/>
      <w:szCs w:val="20"/>
    </w:rPr>
  </w:style>
  <w:style w:type="paragraph" w:customStyle="1" w:styleId="TableHeading">
    <w:name w:val="TableHeading"/>
    <w:basedOn w:val="Normal"/>
    <w:link w:val="TableHeadingChar"/>
    <w:qFormat/>
    <w:rsid w:val="006460AB"/>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6460AB"/>
    <w:rPr>
      <w:rFonts w:ascii="Arial Narrow" w:eastAsia="Times New Roman" w:hAnsi="Arial Narrow" w:cs="Tahoma"/>
      <w:b/>
      <w:noProof/>
      <w:sz w:val="20"/>
      <w:szCs w:val="20"/>
      <w:lang w:eastAsia="en-AU"/>
    </w:rPr>
  </w:style>
  <w:style w:type="character" w:styleId="Emphasis">
    <w:name w:val="Emphasis"/>
    <w:uiPriority w:val="20"/>
    <w:qFormat/>
    <w:rsid w:val="006460AB"/>
    <w:rPr>
      <w:rFonts w:ascii="Garamond" w:eastAsia="Times New Roman" w:hAnsi="Garamond" w:cs="Times New Roman"/>
      <w:i/>
      <w:sz w:val="24"/>
      <w:szCs w:val="24"/>
    </w:rPr>
  </w:style>
  <w:style w:type="character" w:styleId="CommentReference">
    <w:name w:val="annotation reference"/>
    <w:basedOn w:val="DefaultParagraphFont"/>
    <w:uiPriority w:val="99"/>
    <w:unhideWhenUsed/>
    <w:rsid w:val="006460AB"/>
    <w:rPr>
      <w:sz w:val="16"/>
      <w:szCs w:val="16"/>
    </w:rPr>
  </w:style>
  <w:style w:type="table" w:customStyle="1" w:styleId="TableGrid2">
    <w:name w:val="Table Grid2"/>
    <w:basedOn w:val="TableNormal"/>
    <w:next w:val="TableGrid"/>
    <w:rsid w:val="006460AB"/>
    <w:pPr>
      <w:spacing w:before="40" w:after="40" w:line="240" w:lineRule="auto"/>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paragraph" w:customStyle="1" w:styleId="ESNormal">
    <w:name w:val="ES_Normal"/>
    <w:basedOn w:val="Normal"/>
    <w:link w:val="ESNormalChar"/>
    <w:qFormat/>
    <w:rsid w:val="006460AB"/>
    <w:pPr>
      <w:spacing w:after="240"/>
      <w:jc w:val="both"/>
    </w:pPr>
    <w:rPr>
      <w:rFonts w:ascii="Calibri" w:hAnsi="Calibri" w:cs="Tahoma"/>
      <w:sz w:val="22"/>
      <w:szCs w:val="22"/>
    </w:rPr>
  </w:style>
  <w:style w:type="character" w:customStyle="1" w:styleId="ESNormalChar">
    <w:name w:val="ES_Normal Char"/>
    <w:basedOn w:val="DefaultParagraphFont"/>
    <w:link w:val="ESNormal"/>
    <w:rsid w:val="006460AB"/>
    <w:rPr>
      <w:rFonts w:ascii="Calibri" w:eastAsia="Times New Roman" w:hAnsi="Calibri" w:cs="Tahoma"/>
      <w:sz w:val="22"/>
      <w:szCs w:val="22"/>
      <w:lang w:eastAsia="en-AU"/>
    </w:rPr>
  </w:style>
  <w:style w:type="paragraph" w:customStyle="1" w:styleId="TFAbbrevs0">
    <w:name w:val="TFAbbrevs+0"/>
    <w:basedOn w:val="Normal"/>
    <w:qFormat/>
    <w:rsid w:val="006460AB"/>
    <w:pPr>
      <w:keepNext/>
      <w:keepLines/>
    </w:pPr>
    <w:rPr>
      <w:rFonts w:ascii="Arial Narrow" w:hAnsi="Arial Narrow"/>
      <w:color w:val="000000"/>
      <w:sz w:val="18"/>
      <w:szCs w:val="18"/>
    </w:rPr>
  </w:style>
  <w:style w:type="paragraph" w:customStyle="1" w:styleId="BulletBeforeDash">
    <w:name w:val="BulletBeforeDash"/>
    <w:basedOn w:val="Normal"/>
    <w:rsid w:val="001B52C6"/>
    <w:pPr>
      <w:numPr>
        <w:numId w:val="11"/>
      </w:numPr>
      <w:ind w:left="720"/>
    </w:pPr>
    <w:rPr>
      <w:color w:val="000000"/>
    </w:rPr>
  </w:style>
  <w:style w:type="paragraph" w:customStyle="1" w:styleId="Bullet">
    <w:name w:val="Bullet"/>
    <w:basedOn w:val="BulletBeforeDash"/>
    <w:qFormat/>
    <w:rsid w:val="001B52C6"/>
    <w:pPr>
      <w:spacing w:after="120"/>
    </w:pPr>
  </w:style>
  <w:style w:type="paragraph" w:customStyle="1" w:styleId="BulletLast">
    <w:name w:val="BulletLast"/>
    <w:basedOn w:val="Bullet"/>
    <w:qFormat/>
    <w:rsid w:val="001B52C6"/>
    <w:pPr>
      <w:spacing w:after="240"/>
    </w:pPr>
  </w:style>
  <w:style w:type="paragraph" w:customStyle="1" w:styleId="NormalBeforeBullet">
    <w:name w:val="NormalBeforeBullet"/>
    <w:basedOn w:val="Normal"/>
    <w:qFormat/>
    <w:rsid w:val="001B52C6"/>
    <w:pPr>
      <w:keepNext/>
      <w:spacing w:after="120"/>
    </w:pPr>
    <w:rPr>
      <w:color w:val="000000"/>
    </w:rPr>
  </w:style>
  <w:style w:type="paragraph" w:styleId="BalloonText">
    <w:name w:val="Balloon Text"/>
    <w:basedOn w:val="Normal"/>
    <w:link w:val="BalloonTextChar"/>
    <w:uiPriority w:val="99"/>
    <w:semiHidden/>
    <w:unhideWhenUsed/>
    <w:rsid w:val="001D32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2CC"/>
    <w:rPr>
      <w:rFonts w:ascii="Segoe UI" w:eastAsia="Times New Roman" w:hAnsi="Segoe UI" w:cs="Segoe UI"/>
      <w:sz w:val="18"/>
      <w:szCs w:val="18"/>
      <w:lang w:eastAsia="en-AU"/>
    </w:rPr>
  </w:style>
  <w:style w:type="paragraph" w:styleId="Revision">
    <w:name w:val="Revision"/>
    <w:hidden/>
    <w:uiPriority w:val="99"/>
    <w:semiHidden/>
    <w:rsid w:val="000417FF"/>
    <w:pPr>
      <w:spacing w:after="0" w:line="240" w:lineRule="auto"/>
    </w:pPr>
    <w:rPr>
      <w:rFonts w:eastAsia="Times New Roman"/>
      <w:szCs w:val="20"/>
      <w:lang w:eastAsia="en-AU"/>
    </w:rPr>
  </w:style>
  <w:style w:type="character" w:customStyle="1" w:styleId="Heading4Char">
    <w:name w:val="Heading 4 Char"/>
    <w:basedOn w:val="DefaultParagraphFont"/>
    <w:link w:val="Heading4"/>
    <w:uiPriority w:val="9"/>
    <w:rsid w:val="004B35C9"/>
    <w:rPr>
      <w:rFonts w:eastAsiaTheme="majorEastAsia"/>
      <w:i/>
      <w:szCs w:val="20"/>
      <w:lang w:eastAsia="en-AU"/>
    </w:rPr>
  </w:style>
  <w:style w:type="character" w:customStyle="1" w:styleId="Heading5Char">
    <w:name w:val="Heading 5 Char"/>
    <w:basedOn w:val="DefaultParagraphFont"/>
    <w:link w:val="Heading5"/>
    <w:uiPriority w:val="9"/>
    <w:semiHidden/>
    <w:rsid w:val="00B11097"/>
    <w:rPr>
      <w:rFonts w:asciiTheme="majorHAnsi" w:eastAsiaTheme="majorEastAsia" w:hAnsiTheme="majorHAnsi" w:cstheme="majorBidi"/>
      <w:color w:val="2E74B5" w:themeColor="accent1" w:themeShade="BF"/>
      <w:szCs w:val="20"/>
      <w:lang w:eastAsia="en-AU"/>
    </w:rPr>
  </w:style>
  <w:style w:type="character" w:styleId="FootnoteReference">
    <w:name w:val="footnote reference"/>
    <w:semiHidden/>
    <w:rsid w:val="00B11097"/>
    <w:rPr>
      <w:vertAlign w:val="superscript"/>
    </w:rPr>
  </w:style>
  <w:style w:type="paragraph" w:styleId="FootnoteText">
    <w:name w:val="footnote text"/>
    <w:basedOn w:val="Normal"/>
    <w:link w:val="FootnoteTextChar"/>
    <w:semiHidden/>
    <w:rsid w:val="00B11097"/>
    <w:pPr>
      <w:spacing w:after="240" w:line="312" w:lineRule="auto"/>
    </w:pPr>
    <w:rPr>
      <w:rFonts w:ascii="Calibri" w:hAnsi="Calibri" w:cs="Tahoma"/>
      <w:sz w:val="20"/>
      <w:szCs w:val="22"/>
    </w:rPr>
  </w:style>
  <w:style w:type="character" w:customStyle="1" w:styleId="FootnoteTextChar">
    <w:name w:val="Footnote Text Char"/>
    <w:basedOn w:val="DefaultParagraphFont"/>
    <w:link w:val="FootnoteText"/>
    <w:semiHidden/>
    <w:rsid w:val="00B11097"/>
    <w:rPr>
      <w:rFonts w:ascii="Calibri" w:eastAsia="Times New Roman" w:hAnsi="Calibri" w:cs="Tahoma"/>
      <w:sz w:val="20"/>
      <w:szCs w:val="22"/>
      <w:lang w:eastAsia="en-AU"/>
    </w:rPr>
  </w:style>
  <w:style w:type="table" w:customStyle="1" w:styleId="TableGrid1">
    <w:name w:val="Table Grid1"/>
    <w:basedOn w:val="TableNormal"/>
    <w:next w:val="TableGrid"/>
    <w:rsid w:val="00B11097"/>
    <w:pPr>
      <w:spacing w:before="40" w:after="40" w:line="240" w:lineRule="auto"/>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sz w:val="20"/>
      </w:rPr>
    </w:tblStylePr>
  </w:style>
  <w:style w:type="paragraph" w:styleId="CommentText">
    <w:name w:val="annotation text"/>
    <w:basedOn w:val="Normal"/>
    <w:link w:val="CommentTextChar"/>
    <w:uiPriority w:val="99"/>
    <w:semiHidden/>
    <w:unhideWhenUsed/>
    <w:rsid w:val="00136D52"/>
    <w:rPr>
      <w:sz w:val="20"/>
    </w:rPr>
  </w:style>
  <w:style w:type="character" w:customStyle="1" w:styleId="CommentTextChar">
    <w:name w:val="Comment Text Char"/>
    <w:basedOn w:val="DefaultParagraphFont"/>
    <w:link w:val="CommentText"/>
    <w:uiPriority w:val="99"/>
    <w:semiHidden/>
    <w:rsid w:val="00136D52"/>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36D52"/>
    <w:rPr>
      <w:b/>
      <w:bCs/>
    </w:rPr>
  </w:style>
  <w:style w:type="character" w:customStyle="1" w:styleId="CommentSubjectChar">
    <w:name w:val="Comment Subject Char"/>
    <w:basedOn w:val="CommentTextChar"/>
    <w:link w:val="CommentSubject"/>
    <w:uiPriority w:val="99"/>
    <w:semiHidden/>
    <w:rsid w:val="00136D52"/>
    <w:rPr>
      <w:rFonts w:eastAsia="Times New Roman"/>
      <w:b/>
      <w:bCs/>
      <w:sz w:val="20"/>
      <w:szCs w:val="20"/>
      <w:lang w:eastAsia="en-AU"/>
    </w:rPr>
  </w:style>
  <w:style w:type="paragraph" w:styleId="Header">
    <w:name w:val="header"/>
    <w:basedOn w:val="Normal"/>
    <w:link w:val="HeaderChar"/>
    <w:uiPriority w:val="99"/>
    <w:unhideWhenUsed/>
    <w:rsid w:val="00BB0CDA"/>
    <w:pPr>
      <w:tabs>
        <w:tab w:val="center" w:pos="4513"/>
        <w:tab w:val="right" w:pos="9026"/>
      </w:tabs>
    </w:pPr>
  </w:style>
  <w:style w:type="character" w:customStyle="1" w:styleId="HeaderChar">
    <w:name w:val="Header Char"/>
    <w:basedOn w:val="DefaultParagraphFont"/>
    <w:link w:val="Header"/>
    <w:uiPriority w:val="99"/>
    <w:rsid w:val="00BB0CDA"/>
    <w:rPr>
      <w:rFonts w:eastAsia="Times New Roman"/>
      <w:szCs w:val="20"/>
      <w:lang w:eastAsia="en-AU"/>
    </w:rPr>
  </w:style>
  <w:style w:type="character" w:styleId="FollowedHyperlink">
    <w:name w:val="FollowedHyperlink"/>
    <w:basedOn w:val="DefaultParagraphFont"/>
    <w:uiPriority w:val="99"/>
    <w:semiHidden/>
    <w:unhideWhenUsed/>
    <w:rsid w:val="004B35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0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c.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ti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1.health.gov.au/internet/main/publishing.nsf/Content/health-privatehealth-prostheseslist.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au/internet/main/publishing.nsf/Content/health-privatehealth-prosthesesli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24022-6D10-4A2C-9E37-63ACC399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9204</Words>
  <Characters>51269</Characters>
  <Application>Microsoft Office Word</Application>
  <DocSecurity>0</DocSecurity>
  <Lines>1507</Lines>
  <Paragraphs>944</Paragraphs>
  <ScaleCrop>false</ScaleCrop>
  <Company/>
  <LinksUpToDate>false</LinksUpToDate>
  <CharactersWithSpaces>59529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2020-03-12T03:18:00Z</dcterms:created>
  <dcterms:modified xsi:type="dcterms:W3CDTF">2020-03-12T03:32:00Z</dcterms:modified>
</cp:coreProperties>
</file>