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343CF" w14:textId="77777777" w:rsidR="00E44B80" w:rsidRPr="00F637B3" w:rsidRDefault="00E44B80" w:rsidP="00E44B80">
      <w:pPr>
        <w:jc w:val="center"/>
        <w:rPr>
          <w:b/>
          <w:szCs w:val="20"/>
        </w:rPr>
      </w:pPr>
      <w:r w:rsidRPr="00F637B3">
        <w:rPr>
          <w:b/>
          <w:noProof/>
          <w:szCs w:val="20"/>
          <w:lang w:eastAsia="en-AU"/>
        </w:rPr>
        <w:drawing>
          <wp:inline distT="0" distB="0" distL="0" distR="0" wp14:anchorId="40F9AD2E" wp14:editId="457592E8">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572D0A21" w14:textId="77777777" w:rsidR="008B2610" w:rsidRPr="006F20CF" w:rsidRDefault="008B2610" w:rsidP="00F971CC">
      <w:pPr>
        <w:pStyle w:val="Title"/>
        <w:spacing w:before="2600"/>
      </w:pPr>
      <w:r w:rsidRPr="001906CD">
        <w:t>Application Form</w:t>
      </w:r>
    </w:p>
    <w:p w14:paraId="75EA7B16" w14:textId="77777777" w:rsidR="001906CD" w:rsidRPr="00D73646" w:rsidRDefault="00E44B80" w:rsidP="00D73646">
      <w:pPr>
        <w:pStyle w:val="Title"/>
        <w:spacing w:before="240"/>
        <w:rPr>
          <w:sz w:val="28"/>
          <w:szCs w:val="28"/>
        </w:rPr>
      </w:pPr>
      <w:r w:rsidRPr="00D73646">
        <w:rPr>
          <w:sz w:val="28"/>
          <w:szCs w:val="28"/>
        </w:rPr>
        <w:t>(</w:t>
      </w:r>
      <w:r w:rsidR="001906CD" w:rsidRPr="00D73646">
        <w:rPr>
          <w:sz w:val="28"/>
          <w:szCs w:val="28"/>
        </w:rPr>
        <w:t>New and Amended</w:t>
      </w:r>
    </w:p>
    <w:p w14:paraId="3F80F8CC" w14:textId="77777777" w:rsidR="00E44B80" w:rsidRPr="00D73646" w:rsidRDefault="003433D1" w:rsidP="00D73646">
      <w:pPr>
        <w:pStyle w:val="Title"/>
        <w:spacing w:before="240"/>
        <w:rPr>
          <w:sz w:val="28"/>
          <w:szCs w:val="28"/>
        </w:rPr>
      </w:pPr>
      <w:r w:rsidRPr="00D73646">
        <w:rPr>
          <w:sz w:val="28"/>
          <w:szCs w:val="28"/>
        </w:rPr>
        <w:t>Requests for Public Funding</w:t>
      </w:r>
      <w:r w:rsidR="008B2610" w:rsidRPr="00D73646">
        <w:rPr>
          <w:sz w:val="28"/>
          <w:szCs w:val="28"/>
        </w:rPr>
        <w:t>)</w:t>
      </w:r>
    </w:p>
    <w:p w14:paraId="51D5830C" w14:textId="77777777" w:rsidR="003013A9" w:rsidRPr="00D73646" w:rsidRDefault="003013A9" w:rsidP="00F971CC">
      <w:pPr>
        <w:pStyle w:val="Title"/>
        <w:spacing w:before="240" w:after="2600"/>
        <w:rPr>
          <w:sz w:val="28"/>
          <w:szCs w:val="28"/>
        </w:rPr>
      </w:pPr>
      <w:r w:rsidRPr="00D73646">
        <w:rPr>
          <w:sz w:val="28"/>
          <w:szCs w:val="28"/>
        </w:rPr>
        <w:t xml:space="preserve">(Version </w:t>
      </w:r>
      <w:r w:rsidR="0005089D">
        <w:rPr>
          <w:sz w:val="28"/>
          <w:szCs w:val="28"/>
        </w:rPr>
        <w:t>2.4</w:t>
      </w:r>
      <w:r w:rsidRPr="00D73646">
        <w:rPr>
          <w:sz w:val="28"/>
          <w:szCs w:val="28"/>
        </w:rPr>
        <w:t>)</w:t>
      </w:r>
    </w:p>
    <w:p w14:paraId="07115481"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3EE396FB"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3C23E4EA"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4811B4A8" w14:textId="77777777" w:rsidR="008B2610" w:rsidRPr="00154B00" w:rsidRDefault="009F5758" w:rsidP="003F7CB9">
      <w:pPr>
        <w:spacing w:before="0" w:after="0"/>
      </w:pPr>
      <w:r w:rsidRPr="00154B00">
        <w:t>Phone:  +61 2 6289 7550</w:t>
      </w:r>
    </w:p>
    <w:p w14:paraId="6A4C6E17" w14:textId="77777777" w:rsidR="009F5758" w:rsidRPr="00154B00" w:rsidRDefault="009F5758" w:rsidP="003F7CB9">
      <w:pPr>
        <w:spacing w:before="0" w:after="0"/>
      </w:pPr>
      <w:r w:rsidRPr="00154B00">
        <w:t>Fax:  +61 2 6289 5540</w:t>
      </w:r>
    </w:p>
    <w:p w14:paraId="11285920" w14:textId="77777777" w:rsidR="009F5758" w:rsidRPr="00154B00" w:rsidRDefault="009F5758" w:rsidP="003F7CB9">
      <w:pPr>
        <w:spacing w:before="0" w:after="0"/>
      </w:pPr>
      <w:r w:rsidRPr="00154B00">
        <w:t xml:space="preserve">Email:  </w:t>
      </w:r>
      <w:hyperlink r:id="rId11" w:tooltip="click here to email the Department of Health HTA Team" w:history="1">
        <w:r w:rsidRPr="00154B00">
          <w:rPr>
            <w:rStyle w:val="Hyperlink"/>
            <w:szCs w:val="20"/>
          </w:rPr>
          <w:t>hta@health.gov.au</w:t>
        </w:r>
      </w:hyperlink>
    </w:p>
    <w:p w14:paraId="53EFE243" w14:textId="77777777" w:rsidR="009F5758" w:rsidRPr="00154B00" w:rsidRDefault="009F5758" w:rsidP="003F7CB9">
      <w:pPr>
        <w:spacing w:before="0" w:after="0"/>
      </w:pPr>
      <w:r w:rsidRPr="00154B00">
        <w:t xml:space="preserve">Website:  </w:t>
      </w:r>
      <w:hyperlink r:id="rId12"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34C802AD" w14:textId="77777777" w:rsidR="00E04FB3" w:rsidRPr="00C776B1" w:rsidRDefault="00D73646" w:rsidP="00415C74">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781B749F"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5055E66E" w14:textId="7A807013"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CF7C2B" w:rsidRPr="003E06AB">
        <w:rPr>
          <w:color w:val="4F81BD" w:themeColor="accent1"/>
        </w:rPr>
        <w:t>Medtronic Australasia Pty Ltd</w:t>
      </w:r>
    </w:p>
    <w:p w14:paraId="0A75EEBE" w14:textId="2C5878B2"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CF7C2B" w:rsidRPr="003E06AB">
        <w:rPr>
          <w:color w:val="4F81BD" w:themeColor="accent1"/>
        </w:rPr>
        <w:t>Medtronic Australasia Pty Ltd</w:t>
      </w:r>
    </w:p>
    <w:p w14:paraId="61AF283B" w14:textId="607FDAA8" w:rsidR="00CF7C2B" w:rsidRDefault="00C171FB" w:rsidP="00C171FB">
      <w:pPr>
        <w:pBdr>
          <w:top w:val="single" w:sz="4" w:space="1" w:color="auto"/>
          <w:left w:val="single" w:sz="4" w:space="4" w:color="auto"/>
          <w:bottom w:val="single" w:sz="4" w:space="1" w:color="auto"/>
          <w:right w:val="single" w:sz="4" w:space="4" w:color="auto"/>
        </w:pBdr>
        <w:rPr>
          <w:b/>
        </w:rPr>
      </w:pPr>
      <w:r>
        <w:t>ABN:</w:t>
      </w:r>
      <w:r w:rsidRPr="00905881">
        <w:rPr>
          <w:color w:val="4F81BD" w:themeColor="accent1"/>
        </w:rPr>
        <w:t xml:space="preserve"> </w:t>
      </w:r>
      <w:r w:rsidR="00905881" w:rsidRPr="00905881">
        <w:rPr>
          <w:color w:val="4F81BD" w:themeColor="accent1"/>
        </w:rPr>
        <w:t>REDACTED</w:t>
      </w:r>
      <w:bookmarkStart w:id="1" w:name="_GoBack"/>
      <w:bookmarkEnd w:id="1"/>
    </w:p>
    <w:p w14:paraId="70AE25DD" w14:textId="65DCC645"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CF7C2B" w:rsidRPr="003E06AB">
        <w:rPr>
          <w:color w:val="4F81BD" w:themeColor="accent1"/>
        </w:rPr>
        <w:t>Medtronic Australasia Pty Ltd</w:t>
      </w:r>
    </w:p>
    <w:p w14:paraId="63EF9435" w14:textId="77777777" w:rsidR="00C171FB" w:rsidRPr="00C171FB" w:rsidRDefault="00C171FB" w:rsidP="00C171FB"/>
    <w:p w14:paraId="79159815" w14:textId="25E5539E" w:rsidR="00C171FB" w:rsidRPr="00C171FB" w:rsidRDefault="00C171FB" w:rsidP="00C171FB">
      <w:pPr>
        <w:rPr>
          <w:b/>
        </w:rPr>
      </w:pPr>
      <w:r>
        <w:rPr>
          <w:b/>
        </w:rPr>
        <w:t xml:space="preserve">Primary contact name: </w:t>
      </w:r>
      <w:r w:rsidR="00905881" w:rsidRPr="00905881">
        <w:rPr>
          <w:color w:val="4F81BD" w:themeColor="accent1"/>
        </w:rPr>
        <w:t>REDACTED</w:t>
      </w:r>
    </w:p>
    <w:p w14:paraId="4C784DDF"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3E5041BF" w14:textId="6CAA1D5F"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905881" w:rsidRPr="00905881">
        <w:rPr>
          <w:color w:val="4F81BD" w:themeColor="accent1"/>
        </w:rPr>
        <w:t>REDACTED</w:t>
      </w:r>
    </w:p>
    <w:p w14:paraId="27F71F25" w14:textId="0D3E597A"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905881" w:rsidRPr="00905881">
        <w:rPr>
          <w:color w:val="4F81BD" w:themeColor="accent1"/>
        </w:rPr>
        <w:t>REDACTED</w:t>
      </w:r>
    </w:p>
    <w:p w14:paraId="4E72915A" w14:textId="6DCC0A62"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905881" w:rsidRPr="00905881">
        <w:rPr>
          <w:color w:val="4F81BD" w:themeColor="accent1"/>
        </w:rPr>
        <w:t>REDACTED</w:t>
      </w:r>
    </w:p>
    <w:p w14:paraId="1C3F0B68" w14:textId="77777777" w:rsidR="00C171FB" w:rsidRDefault="00C171FB" w:rsidP="00C171FB">
      <w:pPr>
        <w:rPr>
          <w:b/>
        </w:rPr>
      </w:pPr>
    </w:p>
    <w:p w14:paraId="39A542DD" w14:textId="5EDB5CCE" w:rsidR="00C171FB" w:rsidRPr="00C171FB" w:rsidRDefault="00C171FB" w:rsidP="00C171FB">
      <w:pPr>
        <w:rPr>
          <w:b/>
        </w:rPr>
      </w:pPr>
      <w:r>
        <w:rPr>
          <w:b/>
        </w:rPr>
        <w:t xml:space="preserve">Alternative contact name: </w:t>
      </w:r>
      <w:r w:rsidR="00345E2B">
        <w:t xml:space="preserve"> </w:t>
      </w:r>
      <w:r w:rsidR="00905881" w:rsidRPr="00905881">
        <w:rPr>
          <w:color w:val="4F81BD" w:themeColor="accent1"/>
        </w:rPr>
        <w:t>REDACTED</w:t>
      </w:r>
    </w:p>
    <w:p w14:paraId="1402E6F6"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4E633A91" w14:textId="0AB9564C"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905881" w:rsidRPr="00905881">
        <w:rPr>
          <w:color w:val="4F81BD" w:themeColor="accent1"/>
        </w:rPr>
        <w:t>REDACTED</w:t>
      </w:r>
    </w:p>
    <w:p w14:paraId="4FCAA64A" w14:textId="22E6DFF8"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905881" w:rsidRPr="00905881">
        <w:rPr>
          <w:color w:val="4F81BD" w:themeColor="accent1"/>
        </w:rPr>
        <w:t>REDACTED</w:t>
      </w:r>
    </w:p>
    <w:p w14:paraId="2C5A4804" w14:textId="1FE75C57" w:rsidR="00C171FB" w:rsidRDefault="00C171FB" w:rsidP="00C171FB">
      <w:pPr>
        <w:pBdr>
          <w:top w:val="single" w:sz="4" w:space="1" w:color="auto"/>
          <w:left w:val="single" w:sz="4" w:space="4" w:color="auto"/>
          <w:bottom w:val="single" w:sz="4" w:space="1" w:color="auto"/>
          <w:right w:val="single" w:sz="4" w:space="4" w:color="auto"/>
        </w:pBdr>
      </w:pPr>
      <w:r>
        <w:t>Email:</w:t>
      </w:r>
      <w:r w:rsidR="00345E2B">
        <w:t xml:space="preserve"> </w:t>
      </w:r>
      <w:r w:rsidR="00905881" w:rsidRPr="00905881">
        <w:rPr>
          <w:color w:val="4F81BD" w:themeColor="accent1"/>
        </w:rPr>
        <w:t>REDACTED</w:t>
      </w:r>
    </w:p>
    <w:p w14:paraId="1E8980D8" w14:textId="77777777" w:rsidR="00C171FB" w:rsidRPr="00C171FB" w:rsidRDefault="00C171FB" w:rsidP="00C171FB"/>
    <w:p w14:paraId="7871E0DD" w14:textId="77777777" w:rsidR="009A4D3E" w:rsidRDefault="009A4D3E" w:rsidP="009A4D3E">
      <w:pPr>
        <w:pStyle w:val="Heading2"/>
        <w:numPr>
          <w:ilvl w:val="0"/>
          <w:numId w:val="5"/>
        </w:numPr>
      </w:pPr>
      <w:r>
        <w:t>(a) Are you a consultant acting on behalf of an Applicant?</w:t>
      </w:r>
    </w:p>
    <w:p w14:paraId="43CC7E90" w14:textId="6A1D15F3" w:rsidR="009A4D3E" w:rsidRDefault="00345E2B" w:rsidP="009A4D3E">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905881">
        <w:rPr>
          <w:szCs w:val="20"/>
        </w:rPr>
      </w:r>
      <w:r w:rsidR="00905881">
        <w:rPr>
          <w:szCs w:val="20"/>
        </w:rPr>
        <w:fldChar w:fldCharType="separate"/>
      </w:r>
      <w:r>
        <w:rPr>
          <w:szCs w:val="20"/>
        </w:rPr>
        <w:fldChar w:fldCharType="end"/>
      </w:r>
      <w:r w:rsidR="009A4D3E">
        <w:rPr>
          <w:szCs w:val="20"/>
        </w:rPr>
        <w:t xml:space="preserve"> Yes</w:t>
      </w:r>
      <w:r w:rsidR="009A4D3E">
        <w:t xml:space="preserve"> </w:t>
      </w:r>
    </w:p>
    <w:p w14:paraId="172032F5" w14:textId="78DFF440" w:rsidR="009A4D3E" w:rsidRPr="003E06AB" w:rsidRDefault="00345E2B" w:rsidP="009A4D3E">
      <w:pPr>
        <w:spacing w:before="0" w:after="0"/>
        <w:ind w:left="426"/>
        <w:rPr>
          <w:color w:val="4F81BD" w:themeColor="accent1"/>
          <w:szCs w:val="20"/>
        </w:rPr>
      </w:pPr>
      <w:r w:rsidRPr="003E06AB">
        <w:rPr>
          <w:color w:val="4F81BD" w:themeColor="accent1"/>
          <w:szCs w:val="20"/>
        </w:rPr>
        <w:fldChar w:fldCharType="begin">
          <w:ffData>
            <w:name w:val=""/>
            <w:enabled/>
            <w:calcOnExit w:val="0"/>
            <w:checkBox>
              <w:sizeAuto/>
              <w:default w:val="1"/>
            </w:checkBox>
          </w:ffData>
        </w:fldChar>
      </w:r>
      <w:r w:rsidRPr="003E06AB">
        <w:rPr>
          <w:color w:val="4F81BD" w:themeColor="accent1"/>
          <w:szCs w:val="20"/>
        </w:rPr>
        <w:instrText xml:space="preserve"> FORMCHECKBOX </w:instrText>
      </w:r>
      <w:r w:rsidR="00905881" w:rsidRPr="003E06AB">
        <w:rPr>
          <w:color w:val="4F81BD" w:themeColor="accent1"/>
          <w:szCs w:val="20"/>
        </w:rPr>
      </w:r>
      <w:r w:rsidR="00905881" w:rsidRPr="003E06AB">
        <w:rPr>
          <w:color w:val="4F81BD" w:themeColor="accent1"/>
          <w:szCs w:val="20"/>
        </w:rPr>
        <w:fldChar w:fldCharType="separate"/>
      </w:r>
      <w:r w:rsidRPr="003E06AB">
        <w:rPr>
          <w:color w:val="4F81BD" w:themeColor="accent1"/>
          <w:szCs w:val="20"/>
        </w:rPr>
        <w:fldChar w:fldCharType="end"/>
      </w:r>
      <w:r w:rsidR="009A4D3E" w:rsidRPr="003E06AB">
        <w:rPr>
          <w:color w:val="4F81BD" w:themeColor="accent1"/>
          <w:szCs w:val="20"/>
        </w:rPr>
        <w:t xml:space="preserve"> No</w:t>
      </w:r>
    </w:p>
    <w:p w14:paraId="494F8FE9" w14:textId="77777777" w:rsidR="009A4D3E" w:rsidRDefault="009A4D3E" w:rsidP="009A4D3E">
      <w:pPr>
        <w:spacing w:before="0" w:after="0"/>
        <w:ind w:left="426"/>
        <w:rPr>
          <w:szCs w:val="20"/>
        </w:rPr>
      </w:pPr>
    </w:p>
    <w:p w14:paraId="0C50AC3F" w14:textId="77777777" w:rsidR="009A4D3E" w:rsidRDefault="009A4D3E" w:rsidP="009A4D3E">
      <w:pPr>
        <w:ind w:firstLine="360"/>
        <w:rPr>
          <w:b/>
        </w:rPr>
      </w:pPr>
      <w:r>
        <w:rPr>
          <w:b/>
        </w:rPr>
        <w:t>(b) If yes, what is the Applicant(s) name that you are acting on behalf of?</w:t>
      </w:r>
    </w:p>
    <w:p w14:paraId="150AAC0A" w14:textId="77777777" w:rsidR="009A4D3E" w:rsidRDefault="009A4D3E" w:rsidP="009A4D3E">
      <w:pPr>
        <w:spacing w:before="0" w:after="0"/>
        <w:ind w:left="426"/>
      </w:pPr>
    </w:p>
    <w:p w14:paraId="1C20AB93" w14:textId="40F513F0" w:rsidR="00534C5F" w:rsidRPr="00154B00" w:rsidRDefault="00494011" w:rsidP="004A0BF4">
      <w:pPr>
        <w:pStyle w:val="Heading2"/>
      </w:pPr>
      <w:r>
        <w:t xml:space="preserve">(a) </w:t>
      </w:r>
      <w:r w:rsidR="00534C5F">
        <w:t>Are you a lobbyist acting on behalf of an Applicant?</w:t>
      </w:r>
    </w:p>
    <w:p w14:paraId="2C62D65C" w14:textId="14B82558" w:rsidR="00A6491A" w:rsidRDefault="00345E2B" w:rsidP="00A6491A">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905881">
        <w:rPr>
          <w:szCs w:val="20"/>
        </w:rPr>
      </w:r>
      <w:r w:rsidR="00905881">
        <w:rPr>
          <w:szCs w:val="20"/>
        </w:rPr>
        <w:fldChar w:fldCharType="separate"/>
      </w:r>
      <w:r>
        <w:rPr>
          <w:szCs w:val="20"/>
        </w:rPr>
        <w:fldChar w:fldCharType="end"/>
      </w:r>
      <w:r w:rsidR="00A6491A">
        <w:rPr>
          <w:szCs w:val="20"/>
        </w:rPr>
        <w:t xml:space="preserve"> Yes</w:t>
      </w:r>
    </w:p>
    <w:p w14:paraId="66C6447D" w14:textId="777D6E24" w:rsidR="00A6491A" w:rsidRPr="003E06AB" w:rsidRDefault="00345E2B" w:rsidP="00A6491A">
      <w:pPr>
        <w:spacing w:before="0" w:after="0"/>
        <w:ind w:left="426"/>
        <w:rPr>
          <w:color w:val="4F81BD" w:themeColor="accent1"/>
          <w:szCs w:val="20"/>
        </w:rPr>
      </w:pPr>
      <w:r w:rsidRPr="003E06AB">
        <w:rPr>
          <w:color w:val="4F81BD" w:themeColor="accent1"/>
          <w:szCs w:val="20"/>
        </w:rPr>
        <w:fldChar w:fldCharType="begin">
          <w:ffData>
            <w:name w:val=""/>
            <w:enabled/>
            <w:calcOnExit w:val="0"/>
            <w:checkBox>
              <w:sizeAuto/>
              <w:default w:val="1"/>
            </w:checkBox>
          </w:ffData>
        </w:fldChar>
      </w:r>
      <w:r w:rsidRPr="003E06AB">
        <w:rPr>
          <w:color w:val="4F81BD" w:themeColor="accent1"/>
          <w:szCs w:val="20"/>
        </w:rPr>
        <w:instrText xml:space="preserve"> FORMCHECKBOX </w:instrText>
      </w:r>
      <w:r w:rsidR="00905881" w:rsidRPr="003E06AB">
        <w:rPr>
          <w:color w:val="4F81BD" w:themeColor="accent1"/>
          <w:szCs w:val="20"/>
        </w:rPr>
      </w:r>
      <w:r w:rsidR="00905881" w:rsidRPr="003E06AB">
        <w:rPr>
          <w:color w:val="4F81BD" w:themeColor="accent1"/>
          <w:szCs w:val="20"/>
        </w:rPr>
        <w:fldChar w:fldCharType="separate"/>
      </w:r>
      <w:r w:rsidRPr="003E06AB">
        <w:rPr>
          <w:color w:val="4F81BD" w:themeColor="accent1"/>
          <w:szCs w:val="20"/>
        </w:rPr>
        <w:fldChar w:fldCharType="end"/>
      </w:r>
      <w:r w:rsidR="00A6491A" w:rsidRPr="003E06AB">
        <w:rPr>
          <w:color w:val="4F81BD" w:themeColor="accent1"/>
          <w:szCs w:val="20"/>
        </w:rPr>
        <w:t xml:space="preserve"> No  </w:t>
      </w:r>
    </w:p>
    <w:p w14:paraId="5F3E4AAC"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73C38B76" w14:textId="21F75EBB" w:rsidR="00A6491A" w:rsidRDefault="00345E2B" w:rsidP="00A6491A">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905881">
        <w:rPr>
          <w:szCs w:val="20"/>
        </w:rPr>
      </w:r>
      <w:r w:rsidR="00905881">
        <w:rPr>
          <w:szCs w:val="20"/>
        </w:rPr>
        <w:fldChar w:fldCharType="separate"/>
      </w:r>
      <w:r>
        <w:rPr>
          <w:szCs w:val="20"/>
        </w:rPr>
        <w:fldChar w:fldCharType="end"/>
      </w:r>
      <w:r w:rsidR="00A6491A">
        <w:rPr>
          <w:szCs w:val="20"/>
        </w:rPr>
        <w:t xml:space="preserve"> Yes</w:t>
      </w:r>
    </w:p>
    <w:p w14:paraId="2FCA2C0C" w14:textId="29F9E4F5" w:rsidR="00A6491A" w:rsidRPr="003E06AB" w:rsidRDefault="00345E2B" w:rsidP="00A6491A">
      <w:pPr>
        <w:spacing w:before="0" w:after="0"/>
        <w:ind w:left="426"/>
        <w:rPr>
          <w:color w:val="4F81BD" w:themeColor="accent1"/>
          <w:szCs w:val="20"/>
        </w:rPr>
      </w:pPr>
      <w:r w:rsidRPr="003E06AB">
        <w:rPr>
          <w:color w:val="4F81BD" w:themeColor="accent1"/>
          <w:szCs w:val="20"/>
        </w:rPr>
        <w:fldChar w:fldCharType="begin">
          <w:ffData>
            <w:name w:val=""/>
            <w:enabled/>
            <w:calcOnExit w:val="0"/>
            <w:checkBox>
              <w:sizeAuto/>
              <w:default w:val="1"/>
            </w:checkBox>
          </w:ffData>
        </w:fldChar>
      </w:r>
      <w:r w:rsidRPr="003E06AB">
        <w:rPr>
          <w:color w:val="4F81BD" w:themeColor="accent1"/>
          <w:szCs w:val="20"/>
        </w:rPr>
        <w:instrText xml:space="preserve"> FORMCHECKBOX </w:instrText>
      </w:r>
      <w:r w:rsidR="00905881" w:rsidRPr="003E06AB">
        <w:rPr>
          <w:color w:val="4F81BD" w:themeColor="accent1"/>
          <w:szCs w:val="20"/>
        </w:rPr>
      </w:r>
      <w:r w:rsidR="00905881" w:rsidRPr="003E06AB">
        <w:rPr>
          <w:color w:val="4F81BD" w:themeColor="accent1"/>
          <w:szCs w:val="20"/>
        </w:rPr>
        <w:fldChar w:fldCharType="separate"/>
      </w:r>
      <w:r w:rsidRPr="003E06AB">
        <w:rPr>
          <w:color w:val="4F81BD" w:themeColor="accent1"/>
          <w:szCs w:val="20"/>
        </w:rPr>
        <w:fldChar w:fldCharType="end"/>
      </w:r>
      <w:r w:rsidR="00A6491A" w:rsidRPr="003E06AB">
        <w:rPr>
          <w:color w:val="4F81BD" w:themeColor="accent1"/>
          <w:szCs w:val="20"/>
        </w:rPr>
        <w:t xml:space="preserve"> No  </w:t>
      </w:r>
    </w:p>
    <w:p w14:paraId="7A089DB3" w14:textId="77777777" w:rsidR="00E04FB3" w:rsidRDefault="00E04FB3" w:rsidP="005C333E">
      <w:pPr>
        <w:spacing w:before="0" w:after="0"/>
        <w:ind w:left="426"/>
        <w:rPr>
          <w:b/>
          <w:szCs w:val="20"/>
        </w:rPr>
      </w:pPr>
      <w:r w:rsidRPr="00154B00">
        <w:rPr>
          <w:b/>
          <w:szCs w:val="20"/>
        </w:rPr>
        <w:br w:type="page"/>
      </w:r>
    </w:p>
    <w:p w14:paraId="3796D7F6"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30E7BCA1" w14:textId="77777777" w:rsidR="000B3CD0" w:rsidRDefault="000B3CD0" w:rsidP="00730C04">
      <w:pPr>
        <w:pStyle w:val="Heading2"/>
      </w:pPr>
      <w:r w:rsidRPr="00154B00">
        <w:t>Application title</w:t>
      </w:r>
      <w:r w:rsidR="00A8732C">
        <w:t xml:space="preserve"> </w:t>
      </w:r>
    </w:p>
    <w:p w14:paraId="453C322C" w14:textId="07F73E8C" w:rsidR="009056C5" w:rsidRPr="00905881" w:rsidRDefault="00E63DD6" w:rsidP="00A6491A">
      <w:pPr>
        <w:ind w:left="284"/>
        <w:rPr>
          <w:color w:val="4F81BD" w:themeColor="accent1"/>
        </w:rPr>
      </w:pPr>
      <w:bookmarkStart w:id="2" w:name="_Hlk517274333"/>
      <w:r w:rsidRPr="00905881">
        <w:rPr>
          <w:color w:val="4F81BD" w:themeColor="accent1"/>
        </w:rPr>
        <w:t xml:space="preserve">Endovascular insertion of flow diversion device (FDD) for the treatment of </w:t>
      </w:r>
      <w:proofErr w:type="spellStart"/>
      <w:r w:rsidR="00652E08" w:rsidRPr="00905881">
        <w:rPr>
          <w:color w:val="4F81BD" w:themeColor="accent1"/>
        </w:rPr>
        <w:t>unruptured</w:t>
      </w:r>
      <w:proofErr w:type="spellEnd"/>
      <w:r w:rsidR="00652E08" w:rsidRPr="00905881">
        <w:rPr>
          <w:color w:val="4F81BD" w:themeColor="accent1"/>
        </w:rPr>
        <w:t xml:space="preserve"> </w:t>
      </w:r>
      <w:r w:rsidRPr="00905881">
        <w:rPr>
          <w:color w:val="4F81BD" w:themeColor="accent1"/>
        </w:rPr>
        <w:t>intracranial aneurysms</w:t>
      </w:r>
      <w:r w:rsidR="00652E08" w:rsidRPr="00905881">
        <w:rPr>
          <w:color w:val="4F81BD" w:themeColor="accent1"/>
        </w:rPr>
        <w:t xml:space="preserve"> (UIAs</w:t>
      </w:r>
      <w:bookmarkEnd w:id="2"/>
      <w:r w:rsidR="00652E08" w:rsidRPr="00905881">
        <w:rPr>
          <w:color w:val="4F81BD" w:themeColor="accent1"/>
        </w:rPr>
        <w:t>)</w:t>
      </w:r>
    </w:p>
    <w:p w14:paraId="315D98FA"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7DD5316D" w14:textId="40A13A7D" w:rsidR="00486AB6" w:rsidRPr="00905881" w:rsidRDefault="003F2A25" w:rsidP="00A60B21">
      <w:pPr>
        <w:ind w:left="284"/>
        <w:rPr>
          <w:color w:val="4F81BD" w:themeColor="accent1"/>
        </w:rPr>
      </w:pPr>
      <w:r w:rsidRPr="00905881">
        <w:rPr>
          <w:color w:val="4F81BD" w:themeColor="accent1"/>
        </w:rPr>
        <w:t xml:space="preserve">An intracranial aneurysm, also known as a cerebral or brain aneurysm, is an abnormal, localised dilation that balloons or bulges from an artery that supplies blood to the brain. The aneurysm occurs when </w:t>
      </w:r>
      <w:r w:rsidR="006A2D3B" w:rsidRPr="00905881">
        <w:rPr>
          <w:color w:val="4F81BD" w:themeColor="accent1"/>
        </w:rPr>
        <w:t xml:space="preserve">a weakness develops in the wall of an artery supplying blood to the brain. </w:t>
      </w:r>
    </w:p>
    <w:p w14:paraId="64D25C2A" w14:textId="79A972BD" w:rsidR="00A60B21" w:rsidRPr="00905881" w:rsidRDefault="00652E08" w:rsidP="00A60B21">
      <w:pPr>
        <w:ind w:left="284"/>
        <w:rPr>
          <w:color w:val="4F81BD" w:themeColor="accent1"/>
        </w:rPr>
      </w:pPr>
      <w:r w:rsidRPr="00905881">
        <w:rPr>
          <w:color w:val="4F81BD" w:themeColor="accent1"/>
        </w:rPr>
        <w:t>UIAs are often</w:t>
      </w:r>
      <w:r w:rsidR="00486AB6" w:rsidRPr="00905881">
        <w:rPr>
          <w:color w:val="4F81BD" w:themeColor="accent1"/>
        </w:rPr>
        <w:t xml:space="preserve"> asymptomatic and are</w:t>
      </w:r>
      <w:r w:rsidRPr="00905881">
        <w:rPr>
          <w:color w:val="4F81BD" w:themeColor="accent1"/>
        </w:rPr>
        <w:t xml:space="preserve"> identified incidentally through imaging for symptoms unrelated to the UIA.</w:t>
      </w:r>
      <w:r w:rsidR="00A60B21" w:rsidRPr="00905881">
        <w:rPr>
          <w:color w:val="4F81BD" w:themeColor="accent1"/>
        </w:rPr>
        <w:t xml:space="preserve"> </w:t>
      </w:r>
      <w:r w:rsidR="00486AB6" w:rsidRPr="00905881">
        <w:rPr>
          <w:color w:val="4F81BD" w:themeColor="accent1"/>
        </w:rPr>
        <w:t>L</w:t>
      </w:r>
      <w:r w:rsidR="00A60B21" w:rsidRPr="00905881">
        <w:rPr>
          <w:color w:val="4F81BD" w:themeColor="accent1"/>
        </w:rPr>
        <w:t>arge or giant aneurysms frequently present with symptoms of mass effect on the cranial nerves (</w:t>
      </w:r>
      <w:proofErr w:type="spellStart"/>
      <w:r w:rsidR="00A60B21" w:rsidRPr="00905881">
        <w:rPr>
          <w:color w:val="4F81BD" w:themeColor="accent1"/>
        </w:rPr>
        <w:t>Rooij</w:t>
      </w:r>
      <w:proofErr w:type="spellEnd"/>
      <w:r w:rsidR="00A60B21" w:rsidRPr="00905881">
        <w:rPr>
          <w:color w:val="4F81BD" w:themeColor="accent1"/>
        </w:rPr>
        <w:t xml:space="preserve"> &amp; </w:t>
      </w:r>
      <w:proofErr w:type="spellStart"/>
      <w:r w:rsidR="00A60B21" w:rsidRPr="00905881">
        <w:rPr>
          <w:color w:val="4F81BD" w:themeColor="accent1"/>
        </w:rPr>
        <w:t>Sluzewski</w:t>
      </w:r>
      <w:proofErr w:type="spellEnd"/>
      <w:r w:rsidR="00A60B21" w:rsidRPr="00905881">
        <w:rPr>
          <w:color w:val="4F81BD" w:themeColor="accent1"/>
        </w:rPr>
        <w:t xml:space="preserve"> 2008)</w:t>
      </w:r>
      <w:r w:rsidR="00486AB6" w:rsidRPr="00905881">
        <w:rPr>
          <w:color w:val="4F81BD" w:themeColor="accent1"/>
        </w:rPr>
        <w:t xml:space="preserve">, such as </w:t>
      </w:r>
      <w:r w:rsidR="00A60B21" w:rsidRPr="00905881">
        <w:rPr>
          <w:color w:val="4F81BD" w:themeColor="accent1"/>
        </w:rPr>
        <w:t>headache, nausea/vomiting, visual disturbances or loss of consciousness (</w:t>
      </w:r>
      <w:proofErr w:type="spellStart"/>
      <w:r w:rsidR="00A60B21" w:rsidRPr="00905881">
        <w:rPr>
          <w:color w:val="4F81BD" w:themeColor="accent1"/>
        </w:rPr>
        <w:t>Brisman</w:t>
      </w:r>
      <w:proofErr w:type="spellEnd"/>
      <w:r w:rsidR="00A60B21" w:rsidRPr="00905881">
        <w:rPr>
          <w:color w:val="4F81BD" w:themeColor="accent1"/>
        </w:rPr>
        <w:t xml:space="preserve"> et al., 2006). </w:t>
      </w:r>
      <w:r w:rsidR="00DB78AE" w:rsidRPr="00905881">
        <w:rPr>
          <w:color w:val="4F81BD" w:themeColor="accent1"/>
        </w:rPr>
        <w:t xml:space="preserve"> </w:t>
      </w:r>
    </w:p>
    <w:p w14:paraId="3BE2EB28" w14:textId="752C9F5C" w:rsidR="00652E08" w:rsidRPr="00905881" w:rsidRDefault="00486AB6" w:rsidP="00A6491A">
      <w:pPr>
        <w:ind w:left="284"/>
        <w:rPr>
          <w:color w:val="4F81BD" w:themeColor="accent1"/>
          <w:highlight w:val="yellow"/>
        </w:rPr>
      </w:pPr>
      <w:r w:rsidRPr="00905881">
        <w:rPr>
          <w:color w:val="4F81BD" w:themeColor="accent1"/>
        </w:rPr>
        <w:t xml:space="preserve">The prevalence of UIAs in a population without comorbidities is estimated as 3.2%. </w:t>
      </w:r>
      <w:r w:rsidR="00652E08" w:rsidRPr="00905881">
        <w:rPr>
          <w:color w:val="4F81BD" w:themeColor="accent1"/>
        </w:rPr>
        <w:t xml:space="preserve">The majority of UIAs remain </w:t>
      </w:r>
      <w:proofErr w:type="gramStart"/>
      <w:r w:rsidR="00652E08" w:rsidRPr="00905881">
        <w:rPr>
          <w:color w:val="4F81BD" w:themeColor="accent1"/>
        </w:rPr>
        <w:t>stable,</w:t>
      </w:r>
      <w:proofErr w:type="gramEnd"/>
      <w:r w:rsidR="00652E08" w:rsidRPr="00905881">
        <w:rPr>
          <w:color w:val="4F81BD" w:themeColor="accent1"/>
        </w:rPr>
        <w:t xml:space="preserve"> however, a small proportion will eventually rupture causing aneurysmal bleeding in the brain. </w:t>
      </w:r>
      <w:r w:rsidR="0025329F" w:rsidRPr="00905881">
        <w:rPr>
          <w:color w:val="4F81BD" w:themeColor="accent1"/>
        </w:rPr>
        <w:t>The</w:t>
      </w:r>
      <w:r w:rsidR="00652E08" w:rsidRPr="00905881">
        <w:rPr>
          <w:color w:val="4F81BD" w:themeColor="accent1"/>
        </w:rPr>
        <w:t xml:space="preserve"> clinical consequences</w:t>
      </w:r>
      <w:r w:rsidR="0025329F" w:rsidRPr="00905881">
        <w:rPr>
          <w:color w:val="4F81BD" w:themeColor="accent1"/>
        </w:rPr>
        <w:t xml:space="preserve"> of a ruptured aneurysm </w:t>
      </w:r>
      <w:r w:rsidR="00652E08" w:rsidRPr="00905881">
        <w:rPr>
          <w:color w:val="4F81BD" w:themeColor="accent1"/>
        </w:rPr>
        <w:t>are serious</w:t>
      </w:r>
      <w:r w:rsidRPr="00905881">
        <w:rPr>
          <w:color w:val="4F81BD" w:themeColor="accent1"/>
        </w:rPr>
        <w:t xml:space="preserve"> </w:t>
      </w:r>
      <w:r w:rsidR="008924C7" w:rsidRPr="00905881">
        <w:rPr>
          <w:color w:val="4F81BD" w:themeColor="accent1"/>
        </w:rPr>
        <w:t>and associated with significant morbidity and mortality</w:t>
      </w:r>
      <w:r w:rsidRPr="00905881">
        <w:rPr>
          <w:color w:val="4F81BD" w:themeColor="accent1"/>
        </w:rPr>
        <w:t xml:space="preserve"> </w:t>
      </w:r>
      <w:r w:rsidR="00652E08" w:rsidRPr="00905881">
        <w:rPr>
          <w:color w:val="4F81BD" w:themeColor="accent1"/>
        </w:rPr>
        <w:t>(</w:t>
      </w:r>
      <w:proofErr w:type="spellStart"/>
      <w:r w:rsidR="00652E08" w:rsidRPr="00905881">
        <w:rPr>
          <w:color w:val="4F81BD" w:themeColor="accent1"/>
        </w:rPr>
        <w:t>Vlak</w:t>
      </w:r>
      <w:proofErr w:type="spellEnd"/>
      <w:r w:rsidR="00652E08" w:rsidRPr="00905881">
        <w:rPr>
          <w:color w:val="4F81BD" w:themeColor="accent1"/>
        </w:rPr>
        <w:t xml:space="preserve"> et </w:t>
      </w:r>
      <w:proofErr w:type="gramStart"/>
      <w:r w:rsidR="00652E08" w:rsidRPr="00905881">
        <w:rPr>
          <w:color w:val="4F81BD" w:themeColor="accent1"/>
        </w:rPr>
        <w:t xml:space="preserve">al </w:t>
      </w:r>
      <w:r w:rsidR="00EA7F46" w:rsidRPr="00905881">
        <w:rPr>
          <w:color w:val="4F81BD" w:themeColor="accent1"/>
        </w:rPr>
        <w:t>.</w:t>
      </w:r>
      <w:proofErr w:type="gramEnd"/>
      <w:r w:rsidR="00652E08" w:rsidRPr="00905881">
        <w:rPr>
          <w:color w:val="4F81BD" w:themeColor="accent1"/>
        </w:rPr>
        <w:t xml:space="preserve">, 2011). </w:t>
      </w:r>
    </w:p>
    <w:p w14:paraId="3757F4B3" w14:textId="77777777" w:rsidR="000955E7" w:rsidRDefault="000955E7" w:rsidP="004A0BF4">
      <w:pPr>
        <w:pStyle w:val="Heading2"/>
      </w:pPr>
      <w:r w:rsidRPr="00A60B21">
        <w:t>Prov</w:t>
      </w:r>
      <w:r w:rsidR="00D11EB1" w:rsidRPr="00A60B21">
        <w:t>i</w:t>
      </w:r>
      <w:r w:rsidRPr="00A60B21">
        <w:t>de a succinct description of the proposed medical service (no more than 150 words</w:t>
      </w:r>
      <w:r w:rsidR="00C847AE" w:rsidRPr="00A60B21">
        <w:t xml:space="preserve"> </w:t>
      </w:r>
      <w:r w:rsidR="00F93784" w:rsidRPr="00A60B21">
        <w:t xml:space="preserve">– </w:t>
      </w:r>
      <w:r w:rsidR="00C847AE" w:rsidRPr="00A60B21">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6B8BF310" w14:textId="27185140" w:rsidR="00AA190A" w:rsidRPr="00905881" w:rsidRDefault="006A2D3B" w:rsidP="00AA190A">
      <w:pPr>
        <w:ind w:left="284"/>
        <w:rPr>
          <w:color w:val="4F81BD" w:themeColor="accent1"/>
        </w:rPr>
      </w:pPr>
      <w:r w:rsidRPr="00905881">
        <w:rPr>
          <w:color w:val="4F81BD" w:themeColor="accent1"/>
        </w:rPr>
        <w:t>The proposed medical service is the endovascular insertion of a FDD within the parent vessel spanning the neck of the UIA</w:t>
      </w:r>
      <w:r w:rsidR="00AA190A" w:rsidRPr="00905881">
        <w:rPr>
          <w:color w:val="4F81BD" w:themeColor="accent1"/>
        </w:rPr>
        <w:t xml:space="preserve">. </w:t>
      </w:r>
      <w:r w:rsidRPr="00905881">
        <w:rPr>
          <w:color w:val="4F81BD" w:themeColor="accent1"/>
        </w:rPr>
        <w:t xml:space="preserve">The </w:t>
      </w:r>
      <w:r w:rsidR="00CB204E" w:rsidRPr="00905881">
        <w:rPr>
          <w:color w:val="4F81BD" w:themeColor="accent1"/>
        </w:rPr>
        <w:t>FDD</w:t>
      </w:r>
      <w:r w:rsidR="00332742" w:rsidRPr="00905881">
        <w:rPr>
          <w:color w:val="4F81BD" w:themeColor="accent1"/>
        </w:rPr>
        <w:t xml:space="preserve"> functions by reducing blood flow from the parent artery into the aneurysm - as a result blood in the aneurysm stagnates and undergoes thrombosis – i.e. </w:t>
      </w:r>
      <w:proofErr w:type="spellStart"/>
      <w:r w:rsidR="00332742" w:rsidRPr="00905881">
        <w:rPr>
          <w:color w:val="4F81BD" w:themeColor="accent1"/>
        </w:rPr>
        <w:t>embolizes</w:t>
      </w:r>
      <w:proofErr w:type="spellEnd"/>
      <w:r w:rsidR="00332742" w:rsidRPr="00905881">
        <w:rPr>
          <w:color w:val="4F81BD" w:themeColor="accent1"/>
        </w:rPr>
        <w:t xml:space="preserve"> – and the aneurysm resolves. </w:t>
      </w:r>
      <w:r w:rsidR="00FC4736" w:rsidRPr="00905881">
        <w:rPr>
          <w:color w:val="4F81BD" w:themeColor="accent1"/>
        </w:rPr>
        <w:t xml:space="preserve"> </w:t>
      </w:r>
    </w:p>
    <w:p w14:paraId="11FFCEE7" w14:textId="6AF1BE18" w:rsidR="006625FE" w:rsidRPr="00905881" w:rsidRDefault="006625FE" w:rsidP="00AA190A">
      <w:pPr>
        <w:ind w:left="284"/>
        <w:rPr>
          <w:color w:val="4F81BD" w:themeColor="accent1"/>
        </w:rPr>
      </w:pPr>
      <w:r w:rsidRPr="00905881">
        <w:rPr>
          <w:color w:val="4F81BD" w:themeColor="accent1"/>
        </w:rPr>
        <w:t>FDD was originally developed to treat intracranial aneurysms with complex morphologies</w:t>
      </w:r>
      <w:r w:rsidR="00332742" w:rsidRPr="00905881">
        <w:rPr>
          <w:color w:val="4F81BD" w:themeColor="accent1"/>
        </w:rPr>
        <w:t>. T</w:t>
      </w:r>
      <w:r w:rsidRPr="00905881">
        <w:rPr>
          <w:color w:val="4F81BD" w:themeColor="accent1"/>
        </w:rPr>
        <w:t>hese are challenging to treat</w:t>
      </w:r>
      <w:r w:rsidR="00332742" w:rsidRPr="00905881">
        <w:rPr>
          <w:color w:val="4F81BD" w:themeColor="accent1"/>
        </w:rPr>
        <w:t xml:space="preserve"> </w:t>
      </w:r>
      <w:r w:rsidRPr="00905881">
        <w:rPr>
          <w:color w:val="4F81BD" w:themeColor="accent1"/>
        </w:rPr>
        <w:t>with endovascular coiling</w:t>
      </w:r>
      <w:r w:rsidR="00332742" w:rsidRPr="00905881">
        <w:rPr>
          <w:color w:val="4F81BD" w:themeColor="accent1"/>
        </w:rPr>
        <w:t>:</w:t>
      </w:r>
      <w:r w:rsidRPr="00905881">
        <w:rPr>
          <w:color w:val="4F81BD" w:themeColor="accent1"/>
        </w:rPr>
        <w:t xml:space="preserve"> outcomes have been poor with suboptimal aneurysm occlusion and recurrence requiring re-intervention in complex cases</w:t>
      </w:r>
      <w:r w:rsidR="00F64073" w:rsidRPr="00905881">
        <w:rPr>
          <w:color w:val="4F81BD" w:themeColor="accent1"/>
        </w:rPr>
        <w:t>.</w:t>
      </w:r>
    </w:p>
    <w:p w14:paraId="1616DA82" w14:textId="12DBD4EA" w:rsidR="00915AE1" w:rsidRPr="00905881" w:rsidRDefault="00EA7F46" w:rsidP="00AA190A">
      <w:pPr>
        <w:ind w:left="284"/>
        <w:rPr>
          <w:color w:val="4F81BD" w:themeColor="accent1"/>
        </w:rPr>
      </w:pPr>
      <w:r w:rsidRPr="00905881">
        <w:rPr>
          <w:color w:val="4F81BD" w:themeColor="accent1"/>
        </w:rPr>
        <w:t>FDD is much less invasive than microsurgical clipping which requires a craniotomy.</w:t>
      </w:r>
      <w:r w:rsidR="00CB204E" w:rsidRPr="00905881">
        <w:rPr>
          <w:color w:val="4F81BD" w:themeColor="accent1"/>
        </w:rPr>
        <w:t xml:space="preserve"> </w:t>
      </w:r>
      <w:r w:rsidR="00332742" w:rsidRPr="00905881">
        <w:rPr>
          <w:color w:val="4F81BD" w:themeColor="accent1"/>
        </w:rPr>
        <w:t>T</w:t>
      </w:r>
      <w:r w:rsidR="00CB204E" w:rsidRPr="00905881">
        <w:rPr>
          <w:color w:val="4F81BD" w:themeColor="accent1"/>
        </w:rPr>
        <w:t>here is a high clinical need for a safe and effective procedure to be listed on the Medicare Benefits Schedule (MBS) that overcomes the shortcomings of current treatment</w:t>
      </w:r>
      <w:r w:rsidR="00332742" w:rsidRPr="00905881">
        <w:rPr>
          <w:color w:val="4F81BD" w:themeColor="accent1"/>
        </w:rPr>
        <w:t>s</w:t>
      </w:r>
      <w:r w:rsidR="00CB204E" w:rsidRPr="00905881">
        <w:rPr>
          <w:color w:val="4F81BD" w:themeColor="accent1"/>
        </w:rPr>
        <w:t xml:space="preserve">. Importantly, </w:t>
      </w:r>
      <w:r w:rsidR="00915AE1" w:rsidRPr="00905881">
        <w:rPr>
          <w:color w:val="4F81BD" w:themeColor="accent1"/>
        </w:rPr>
        <w:t xml:space="preserve">FDD represents a treatment option in a small proportion of </w:t>
      </w:r>
      <w:r w:rsidR="00CB204E" w:rsidRPr="00905881">
        <w:rPr>
          <w:color w:val="4F81BD" w:themeColor="accent1"/>
        </w:rPr>
        <w:t>patients</w:t>
      </w:r>
      <w:r w:rsidR="00915AE1" w:rsidRPr="00905881">
        <w:rPr>
          <w:color w:val="4F81BD" w:themeColor="accent1"/>
        </w:rPr>
        <w:t xml:space="preserve"> currently left untreated due to the </w:t>
      </w:r>
      <w:r w:rsidR="00332742" w:rsidRPr="00905881">
        <w:rPr>
          <w:color w:val="4F81BD" w:themeColor="accent1"/>
        </w:rPr>
        <w:t xml:space="preserve">complexity </w:t>
      </w:r>
      <w:r w:rsidR="00915AE1" w:rsidRPr="00905881">
        <w:rPr>
          <w:color w:val="4F81BD" w:themeColor="accent1"/>
        </w:rPr>
        <w:t>of the aneurysm.</w:t>
      </w:r>
    </w:p>
    <w:p w14:paraId="45C52A39" w14:textId="77777777" w:rsidR="00AA190A" w:rsidRPr="00CB12EC" w:rsidRDefault="00AA190A" w:rsidP="00A6491A">
      <w:pPr>
        <w:ind w:left="284"/>
      </w:pPr>
    </w:p>
    <w:p w14:paraId="477552CF"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7AF6A6CA" w14:textId="77777777" w:rsidR="00753C44" w:rsidRPr="00905881" w:rsidRDefault="006A2D3B" w:rsidP="00A6491A">
      <w:pPr>
        <w:spacing w:before="0" w:after="0"/>
        <w:ind w:left="284"/>
        <w:rPr>
          <w:color w:val="4F81BD" w:themeColor="accent1"/>
          <w:szCs w:val="20"/>
        </w:rPr>
      </w:pPr>
      <w:r w:rsidRPr="00905881">
        <w:rPr>
          <w:color w:val="4F81BD" w:themeColor="accent1"/>
          <w:szCs w:val="20"/>
        </w:rPr>
        <w:fldChar w:fldCharType="begin">
          <w:ffData>
            <w:name w:val="Check1"/>
            <w:enabled/>
            <w:calcOnExit w:val="0"/>
            <w:checkBox>
              <w:sizeAuto/>
              <w:default w:val="1"/>
            </w:checkBox>
          </w:ffData>
        </w:fldChar>
      </w:r>
      <w:r w:rsidRPr="00905881">
        <w:rPr>
          <w:color w:val="4F81BD" w:themeColor="accent1"/>
          <w:szCs w:val="20"/>
        </w:rPr>
        <w:instrText xml:space="preserve"> </w:instrText>
      </w:r>
      <w:bookmarkStart w:id="3" w:name="Check1"/>
      <w:r w:rsidRPr="00905881">
        <w:rPr>
          <w:color w:val="4F81BD" w:themeColor="accent1"/>
          <w:szCs w:val="20"/>
        </w:rPr>
        <w:instrText xml:space="preserve">FORMCHECKBOX </w:instrText>
      </w:r>
      <w:r w:rsidR="00905881" w:rsidRPr="00905881">
        <w:rPr>
          <w:color w:val="4F81BD" w:themeColor="accent1"/>
          <w:szCs w:val="20"/>
        </w:rPr>
      </w:r>
      <w:r w:rsidR="00905881" w:rsidRPr="00905881">
        <w:rPr>
          <w:color w:val="4F81BD" w:themeColor="accent1"/>
          <w:szCs w:val="20"/>
        </w:rPr>
        <w:fldChar w:fldCharType="separate"/>
      </w:r>
      <w:r w:rsidRPr="00905881">
        <w:rPr>
          <w:color w:val="4F81BD" w:themeColor="accent1"/>
          <w:szCs w:val="20"/>
        </w:rPr>
        <w:fldChar w:fldCharType="end"/>
      </w:r>
      <w:bookmarkEnd w:id="3"/>
      <w:r w:rsidR="006B6390" w:rsidRPr="00905881">
        <w:rPr>
          <w:color w:val="4F81BD" w:themeColor="accent1"/>
          <w:szCs w:val="20"/>
        </w:rPr>
        <w:t xml:space="preserve"> Yes</w:t>
      </w:r>
    </w:p>
    <w:p w14:paraId="63697A2F" w14:textId="77777777" w:rsidR="00753C44" w:rsidRPr="003E06AB" w:rsidRDefault="006B6390" w:rsidP="00A6491A">
      <w:pPr>
        <w:spacing w:before="0" w:after="0"/>
        <w:ind w:left="284"/>
        <w:rPr>
          <w:szCs w:val="20"/>
        </w:rPr>
      </w:pPr>
      <w:r w:rsidRPr="003E06AB">
        <w:rPr>
          <w:szCs w:val="20"/>
        </w:rPr>
        <w:fldChar w:fldCharType="begin">
          <w:ffData>
            <w:name w:val="Check2"/>
            <w:enabled/>
            <w:calcOnExit w:val="0"/>
            <w:checkBox>
              <w:sizeAuto/>
              <w:default w:val="0"/>
            </w:checkBox>
          </w:ffData>
        </w:fldChar>
      </w:r>
      <w:r w:rsidRPr="003E06AB">
        <w:rPr>
          <w:szCs w:val="20"/>
        </w:rPr>
        <w:instrText xml:space="preserve"> FORMCHECKBOX </w:instrText>
      </w:r>
      <w:r w:rsidR="00905881" w:rsidRPr="003E06AB">
        <w:rPr>
          <w:szCs w:val="20"/>
        </w:rPr>
      </w:r>
      <w:r w:rsidR="00905881" w:rsidRPr="003E06AB">
        <w:rPr>
          <w:szCs w:val="20"/>
        </w:rPr>
        <w:fldChar w:fldCharType="separate"/>
      </w:r>
      <w:r w:rsidRPr="003E06AB">
        <w:rPr>
          <w:szCs w:val="20"/>
        </w:rPr>
        <w:fldChar w:fldCharType="end"/>
      </w:r>
      <w:r w:rsidRPr="003E06AB">
        <w:rPr>
          <w:szCs w:val="20"/>
        </w:rPr>
        <w:t xml:space="preserve"> No</w:t>
      </w:r>
      <w:r w:rsidR="00753C44" w:rsidRPr="003E06AB">
        <w:rPr>
          <w:szCs w:val="20"/>
        </w:rPr>
        <w:t xml:space="preserve">  </w:t>
      </w:r>
    </w:p>
    <w:p w14:paraId="60813F01"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595AF2B6" w14:textId="1683CB55" w:rsidR="00753C44" w:rsidRPr="00905881" w:rsidRDefault="00345E2B" w:rsidP="00A6491A">
      <w:pPr>
        <w:spacing w:before="0" w:after="0"/>
        <w:ind w:left="284"/>
        <w:rPr>
          <w:color w:val="4F81BD" w:themeColor="accent1"/>
          <w:szCs w:val="20"/>
        </w:rPr>
      </w:pPr>
      <w:r w:rsidRPr="00905881">
        <w:rPr>
          <w:color w:val="4F81BD" w:themeColor="accent1"/>
          <w:szCs w:val="20"/>
        </w:rPr>
        <w:fldChar w:fldCharType="begin">
          <w:ffData>
            <w:name w:val=""/>
            <w:enabled/>
            <w:calcOnExit w:val="0"/>
            <w:checkBox>
              <w:sizeAuto/>
              <w:default w:val="1"/>
            </w:checkBox>
          </w:ffData>
        </w:fldChar>
      </w:r>
      <w:r w:rsidRPr="00905881">
        <w:rPr>
          <w:color w:val="4F81BD" w:themeColor="accent1"/>
          <w:szCs w:val="20"/>
        </w:rPr>
        <w:instrText xml:space="preserve"> FORMCHECKBOX </w:instrText>
      </w:r>
      <w:r w:rsidR="00905881" w:rsidRPr="00905881">
        <w:rPr>
          <w:color w:val="4F81BD" w:themeColor="accent1"/>
          <w:szCs w:val="20"/>
        </w:rPr>
      </w:r>
      <w:r w:rsidR="00905881" w:rsidRPr="00905881">
        <w:rPr>
          <w:color w:val="4F81BD" w:themeColor="accent1"/>
          <w:szCs w:val="20"/>
        </w:rPr>
        <w:fldChar w:fldCharType="separate"/>
      </w:r>
      <w:r w:rsidRPr="00905881">
        <w:rPr>
          <w:color w:val="4F81BD" w:themeColor="accent1"/>
          <w:szCs w:val="20"/>
        </w:rPr>
        <w:fldChar w:fldCharType="end"/>
      </w:r>
      <w:r w:rsidR="006B6390" w:rsidRPr="00905881">
        <w:rPr>
          <w:color w:val="4F81BD" w:themeColor="accent1"/>
          <w:szCs w:val="20"/>
        </w:rPr>
        <w:t xml:space="preserve"> </w:t>
      </w:r>
      <w:r w:rsidR="00753C44" w:rsidRPr="00905881">
        <w:rPr>
          <w:color w:val="4F81BD" w:themeColor="accent1"/>
          <w:szCs w:val="20"/>
        </w:rPr>
        <w:t>Amendment to existing MBS item(s)</w:t>
      </w:r>
    </w:p>
    <w:p w14:paraId="111E18CC" w14:textId="7C0D8E3E" w:rsidR="00753C44" w:rsidRPr="003E06AB" w:rsidRDefault="00345E2B" w:rsidP="00A6491A">
      <w:pPr>
        <w:spacing w:before="0" w:after="0"/>
        <w:ind w:left="284"/>
        <w:rPr>
          <w:szCs w:val="20"/>
        </w:rPr>
      </w:pPr>
      <w:r w:rsidRPr="003E06AB">
        <w:rPr>
          <w:szCs w:val="20"/>
        </w:rPr>
        <w:fldChar w:fldCharType="begin">
          <w:ffData>
            <w:name w:val="Check2"/>
            <w:enabled/>
            <w:calcOnExit w:val="0"/>
            <w:checkBox>
              <w:sizeAuto/>
              <w:default w:val="0"/>
            </w:checkBox>
          </w:ffData>
        </w:fldChar>
      </w:r>
      <w:r w:rsidRPr="003E06AB">
        <w:rPr>
          <w:szCs w:val="20"/>
        </w:rPr>
        <w:instrText xml:space="preserve"> </w:instrText>
      </w:r>
      <w:bookmarkStart w:id="4" w:name="Check2"/>
      <w:r w:rsidRPr="003E06AB">
        <w:rPr>
          <w:szCs w:val="20"/>
        </w:rPr>
        <w:instrText xml:space="preserve">FORMCHECKBOX </w:instrText>
      </w:r>
      <w:r w:rsidR="00905881" w:rsidRPr="003E06AB">
        <w:rPr>
          <w:szCs w:val="20"/>
        </w:rPr>
      </w:r>
      <w:r w:rsidR="00905881" w:rsidRPr="003E06AB">
        <w:rPr>
          <w:szCs w:val="20"/>
        </w:rPr>
        <w:fldChar w:fldCharType="separate"/>
      </w:r>
      <w:r w:rsidRPr="003E06AB">
        <w:rPr>
          <w:szCs w:val="20"/>
        </w:rPr>
        <w:fldChar w:fldCharType="end"/>
      </w:r>
      <w:bookmarkEnd w:id="4"/>
      <w:r w:rsidR="006B6390" w:rsidRPr="003E06AB">
        <w:rPr>
          <w:szCs w:val="20"/>
        </w:rPr>
        <w:t xml:space="preserve"> </w:t>
      </w:r>
      <w:r w:rsidR="00753C44" w:rsidRPr="003E06AB">
        <w:rPr>
          <w:szCs w:val="20"/>
        </w:rPr>
        <w:t>New MBS item(s)</w:t>
      </w:r>
    </w:p>
    <w:p w14:paraId="4AA9F412"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75052596" w14:textId="666DB761" w:rsidR="003D795C" w:rsidRPr="00905881" w:rsidRDefault="000B23A8" w:rsidP="00A6491A">
      <w:pPr>
        <w:ind w:left="284"/>
        <w:rPr>
          <w:color w:val="4F81BD" w:themeColor="accent1"/>
        </w:rPr>
      </w:pPr>
      <w:r w:rsidRPr="00905881">
        <w:rPr>
          <w:color w:val="4F81BD" w:themeColor="accent1"/>
        </w:rPr>
        <w:t>35412</w:t>
      </w:r>
    </w:p>
    <w:p w14:paraId="617FDD88"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016295EF" w14:textId="1BF18EBC" w:rsidR="002A270B" w:rsidRPr="00905881" w:rsidRDefault="00D120B1" w:rsidP="004A263B">
      <w:pPr>
        <w:pStyle w:val="ListParagraph"/>
        <w:numPr>
          <w:ilvl w:val="0"/>
          <w:numId w:val="34"/>
        </w:numPr>
        <w:spacing w:before="0" w:after="0"/>
        <w:ind w:left="851" w:hanging="425"/>
        <w:rPr>
          <w:rStyle w:val="Strong"/>
          <w:b w:val="0"/>
          <w:color w:val="4F81BD" w:themeColor="accent1"/>
        </w:rPr>
      </w:pPr>
      <w:r w:rsidRPr="00905881">
        <w:rPr>
          <w:b/>
          <w:color w:val="4F81BD" w:themeColor="accent1"/>
          <w:szCs w:val="20"/>
        </w:rPr>
        <w:fldChar w:fldCharType="begin">
          <w:ffData>
            <w:name w:val=""/>
            <w:enabled/>
            <w:calcOnExit w:val="0"/>
            <w:checkBox>
              <w:sizeAuto/>
              <w:default w:val="1"/>
            </w:checkBox>
          </w:ffData>
        </w:fldChar>
      </w:r>
      <w:r w:rsidRPr="00905881">
        <w:rPr>
          <w:b/>
          <w:color w:val="4F81BD" w:themeColor="accent1"/>
          <w:szCs w:val="20"/>
        </w:rPr>
        <w:instrText xml:space="preserve"> FORMCHECKBOX </w:instrText>
      </w:r>
      <w:r w:rsidR="00905881" w:rsidRPr="00905881">
        <w:rPr>
          <w:b/>
          <w:color w:val="4F81BD" w:themeColor="accent1"/>
          <w:szCs w:val="20"/>
        </w:rPr>
      </w:r>
      <w:r w:rsidR="00905881" w:rsidRPr="00905881">
        <w:rPr>
          <w:b/>
          <w:color w:val="4F81BD" w:themeColor="accent1"/>
          <w:szCs w:val="20"/>
        </w:rPr>
        <w:fldChar w:fldCharType="separate"/>
      </w:r>
      <w:r w:rsidRPr="00905881">
        <w:rPr>
          <w:b/>
          <w:color w:val="4F81BD" w:themeColor="accent1"/>
          <w:szCs w:val="20"/>
        </w:rPr>
        <w:fldChar w:fldCharType="end"/>
      </w:r>
      <w:r w:rsidR="002A270B" w:rsidRPr="00905881">
        <w:rPr>
          <w:b/>
          <w:color w:val="4F81BD" w:themeColor="accent1"/>
          <w:szCs w:val="20"/>
        </w:rPr>
        <w:t xml:space="preserve"> </w:t>
      </w:r>
      <w:r w:rsidR="002A270B" w:rsidRPr="00905881">
        <w:rPr>
          <w:rStyle w:val="Strong"/>
          <w:b w:val="0"/>
          <w:color w:val="4F81BD" w:themeColor="accent1"/>
        </w:rPr>
        <w:t>An amendment to the way the service is clinically delivered under the existing item(s)</w:t>
      </w:r>
    </w:p>
    <w:p w14:paraId="3E1E980A" w14:textId="1EFF45CD"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lastRenderedPageBreak/>
        <w:fldChar w:fldCharType="begin">
          <w:ffData>
            <w:name w:val="Check2"/>
            <w:enabled/>
            <w:calcOnExit w:val="0"/>
            <w:checkBox>
              <w:sizeAuto/>
              <w:default w:val="0"/>
            </w:checkBox>
          </w:ffData>
        </w:fldChar>
      </w:r>
      <w:r w:rsidRPr="004A263B">
        <w:rPr>
          <w:b/>
          <w:szCs w:val="20"/>
        </w:rPr>
        <w:instrText xml:space="preserve"> FORMCHECKBOX </w:instrText>
      </w:r>
      <w:r w:rsidR="00905881">
        <w:rPr>
          <w:b/>
          <w:szCs w:val="20"/>
        </w:rPr>
      </w:r>
      <w:r w:rsidR="0090588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36BB838A" w14:textId="39E37CCE"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05881">
        <w:rPr>
          <w:b/>
          <w:szCs w:val="20"/>
        </w:rPr>
      </w:r>
      <w:r w:rsidR="0090588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52B20426" w14:textId="71331A2B"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05881">
        <w:rPr>
          <w:b/>
          <w:szCs w:val="20"/>
        </w:rPr>
      </w:r>
      <w:r w:rsidR="0090588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1255F66E" w14:textId="1226B245"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05881">
        <w:rPr>
          <w:b/>
          <w:szCs w:val="20"/>
        </w:rPr>
      </w:r>
      <w:r w:rsidR="00905881">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06DB9E86" w14:textId="441FF66C"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05881">
        <w:rPr>
          <w:b/>
          <w:szCs w:val="20"/>
        </w:rPr>
      </w:r>
      <w:r w:rsidR="00905881">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325D35E0" w14:textId="22CBE594"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05881">
        <w:rPr>
          <w:b/>
          <w:szCs w:val="20"/>
        </w:rPr>
      </w:r>
      <w:r w:rsidR="0090588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3CE898E2" w14:textId="1C1CC061"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05881">
        <w:rPr>
          <w:b/>
          <w:szCs w:val="20"/>
        </w:rPr>
      </w:r>
      <w:r w:rsidR="0090588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423DED05" w14:textId="6CE2AD7D"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05881">
        <w:rPr>
          <w:b/>
          <w:szCs w:val="20"/>
        </w:rPr>
      </w:r>
      <w:r w:rsidR="00905881">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5CBAA744" w14:textId="7B355574" w:rsidR="002A270B" w:rsidRPr="00CB12EC" w:rsidRDefault="002A270B" w:rsidP="00A6491A">
      <w:pPr>
        <w:ind w:left="284"/>
      </w:pPr>
    </w:p>
    <w:p w14:paraId="3056264A" w14:textId="049787A8" w:rsidR="00905881" w:rsidRDefault="000770BA" w:rsidP="00905881">
      <w:pPr>
        <w:pStyle w:val="Heading2"/>
        <w:numPr>
          <w:ilvl w:val="0"/>
          <w:numId w:val="24"/>
        </w:num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r w:rsidR="00905881">
        <w:rPr>
          <w:rStyle w:val="Strong"/>
          <w:rFonts w:asciiTheme="minorHAnsi" w:eastAsiaTheme="minorHAnsi" w:hAnsiTheme="minorHAnsi" w:cstheme="minorBidi"/>
          <w:b/>
        </w:rPr>
        <w:br/>
      </w:r>
    </w:p>
    <w:p w14:paraId="7407AE16" w14:textId="65AE6D96" w:rsidR="00905881" w:rsidRPr="00905881" w:rsidRDefault="00905881" w:rsidP="00905881">
      <w:pPr>
        <w:ind w:left="360"/>
        <w:rPr>
          <w:color w:val="4F81BD" w:themeColor="accent1"/>
        </w:rPr>
      </w:pPr>
      <w:r w:rsidRPr="00905881">
        <w:rPr>
          <w:color w:val="4F81BD" w:themeColor="accent1"/>
        </w:rPr>
        <w:t xml:space="preserve">Not applicable </w:t>
      </w:r>
    </w:p>
    <w:p w14:paraId="13D9FB67"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905881">
        <w:rPr>
          <w:b/>
          <w:szCs w:val="20"/>
        </w:rPr>
      </w:r>
      <w:r w:rsidR="00905881">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2C8E5A23" w14:textId="1CFD7699" w:rsidR="006B6390" w:rsidRPr="00AA2CFE" w:rsidRDefault="005A5606"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0"/>
            </w:checkBox>
          </w:ffData>
        </w:fldChar>
      </w:r>
      <w:r>
        <w:rPr>
          <w:b/>
          <w:szCs w:val="20"/>
        </w:rPr>
        <w:instrText xml:space="preserve"> FORMCHECKBOX </w:instrText>
      </w:r>
      <w:r w:rsidR="00905881">
        <w:rPr>
          <w:b/>
          <w:szCs w:val="20"/>
        </w:rPr>
      </w:r>
      <w:r w:rsidR="00905881">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6C24C1A3"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905881">
        <w:rPr>
          <w:b/>
          <w:szCs w:val="20"/>
        </w:rPr>
      </w:r>
      <w:r w:rsidR="00905881">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59256AA5"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905881">
        <w:rPr>
          <w:b/>
          <w:szCs w:val="20"/>
        </w:rPr>
      </w:r>
      <w:r w:rsidR="00905881">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0B793375"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43B7B81D" w14:textId="77777777" w:rsidR="000A5B32" w:rsidRPr="003E06AB" w:rsidRDefault="000A5B32" w:rsidP="00A6491A">
      <w:pPr>
        <w:spacing w:before="0" w:after="0"/>
        <w:ind w:left="284"/>
        <w:rPr>
          <w:szCs w:val="20"/>
        </w:rPr>
      </w:pPr>
      <w:r w:rsidRPr="003E06AB">
        <w:rPr>
          <w:szCs w:val="20"/>
        </w:rPr>
        <w:fldChar w:fldCharType="begin">
          <w:ffData>
            <w:name w:val="Check1"/>
            <w:enabled/>
            <w:calcOnExit w:val="0"/>
            <w:checkBox>
              <w:sizeAuto/>
              <w:default w:val="0"/>
            </w:checkBox>
          </w:ffData>
        </w:fldChar>
      </w:r>
      <w:r w:rsidRPr="003E06AB">
        <w:rPr>
          <w:szCs w:val="20"/>
        </w:rPr>
        <w:instrText xml:space="preserve"> FORMCHECKBOX </w:instrText>
      </w:r>
      <w:r w:rsidR="00905881" w:rsidRPr="003E06AB">
        <w:rPr>
          <w:szCs w:val="20"/>
        </w:rPr>
      </w:r>
      <w:r w:rsidR="00905881" w:rsidRPr="003E06AB">
        <w:rPr>
          <w:szCs w:val="20"/>
        </w:rPr>
        <w:fldChar w:fldCharType="separate"/>
      </w:r>
      <w:r w:rsidRPr="003E06AB">
        <w:rPr>
          <w:szCs w:val="20"/>
        </w:rPr>
        <w:fldChar w:fldCharType="end"/>
      </w:r>
      <w:r w:rsidRPr="003E06AB">
        <w:rPr>
          <w:szCs w:val="20"/>
        </w:rPr>
        <w:t xml:space="preserve"> Yes</w:t>
      </w:r>
    </w:p>
    <w:p w14:paraId="1672F8CE" w14:textId="2F49BC0F" w:rsidR="00626365" w:rsidRDefault="00894A07" w:rsidP="00626365">
      <w:pPr>
        <w:spacing w:before="0" w:after="0"/>
        <w:ind w:left="284"/>
        <w:rPr>
          <w:szCs w:val="20"/>
        </w:rPr>
      </w:pPr>
      <w:r w:rsidRPr="00905881">
        <w:rPr>
          <w:color w:val="4F81BD" w:themeColor="accent1"/>
          <w:szCs w:val="20"/>
        </w:rPr>
        <w:fldChar w:fldCharType="begin">
          <w:ffData>
            <w:name w:val=""/>
            <w:enabled/>
            <w:calcOnExit w:val="0"/>
            <w:checkBox>
              <w:sizeAuto/>
              <w:default w:val="1"/>
            </w:checkBox>
          </w:ffData>
        </w:fldChar>
      </w:r>
      <w:r w:rsidRPr="00905881">
        <w:rPr>
          <w:color w:val="4F81BD" w:themeColor="accent1"/>
          <w:szCs w:val="20"/>
        </w:rPr>
        <w:instrText xml:space="preserve"> FORMCHECKBOX </w:instrText>
      </w:r>
      <w:r w:rsidR="00905881" w:rsidRPr="00905881">
        <w:rPr>
          <w:color w:val="4F81BD" w:themeColor="accent1"/>
          <w:szCs w:val="20"/>
        </w:rPr>
      </w:r>
      <w:r w:rsidR="00905881" w:rsidRPr="00905881">
        <w:rPr>
          <w:color w:val="4F81BD" w:themeColor="accent1"/>
          <w:szCs w:val="20"/>
        </w:rPr>
        <w:fldChar w:fldCharType="separate"/>
      </w:r>
      <w:r w:rsidRPr="00905881">
        <w:rPr>
          <w:color w:val="4F81BD" w:themeColor="accent1"/>
          <w:szCs w:val="20"/>
        </w:rPr>
        <w:fldChar w:fldCharType="end"/>
      </w:r>
      <w:r w:rsidR="000A5B32" w:rsidRPr="00905881">
        <w:rPr>
          <w:color w:val="4F81BD" w:themeColor="accent1"/>
          <w:szCs w:val="20"/>
        </w:rPr>
        <w:t xml:space="preserve"> No</w:t>
      </w:r>
      <w:r w:rsidR="00626365">
        <w:rPr>
          <w:szCs w:val="20"/>
        </w:rPr>
        <w:br w:type="page"/>
      </w:r>
    </w:p>
    <w:p w14:paraId="53BFB51A" w14:textId="77777777" w:rsidR="00626365" w:rsidRPr="00626365" w:rsidRDefault="00626365" w:rsidP="00626365">
      <w:pPr>
        <w:spacing w:before="0" w:after="0"/>
        <w:ind w:left="284"/>
        <w:rPr>
          <w:rStyle w:val="Strong"/>
          <w:rFonts w:asciiTheme="minorHAnsi" w:eastAsiaTheme="minorHAnsi" w:hAnsiTheme="minorHAnsi" w:cstheme="minorBidi"/>
          <w:b w:val="0"/>
          <w:szCs w:val="20"/>
        </w:rPr>
      </w:pPr>
    </w:p>
    <w:p w14:paraId="7C937E1C"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4159E5F1" w14:textId="7217655D" w:rsidR="000A5B32" w:rsidRPr="00905881" w:rsidRDefault="00894A07" w:rsidP="00A6491A">
      <w:pPr>
        <w:ind w:left="284"/>
        <w:rPr>
          <w:rStyle w:val="Strong"/>
          <w:b w:val="0"/>
          <w:color w:val="4F81BD" w:themeColor="accent1"/>
        </w:rPr>
      </w:pPr>
      <w:r w:rsidRPr="00905881">
        <w:rPr>
          <w:rStyle w:val="Strong"/>
          <w:b w:val="0"/>
          <w:color w:val="4F81BD" w:themeColor="accent1"/>
        </w:rPr>
        <w:t>N/A</w:t>
      </w:r>
    </w:p>
    <w:p w14:paraId="30D72C70" w14:textId="77777777" w:rsidR="000B3CD0" w:rsidRDefault="000B3CD0" w:rsidP="00730C04">
      <w:pPr>
        <w:pStyle w:val="Heading2"/>
      </w:pPr>
      <w:r w:rsidRPr="00154B00">
        <w:t xml:space="preserve">What is the type of </w:t>
      </w:r>
      <w:proofErr w:type="gramStart"/>
      <w:r w:rsidRPr="00154B00">
        <w:t>service:</w:t>
      </w:r>
      <w:proofErr w:type="gramEnd"/>
    </w:p>
    <w:p w14:paraId="49D08F04" w14:textId="77777777" w:rsidR="00A6594E" w:rsidRPr="00905881" w:rsidRDefault="006A2D3B" w:rsidP="00A6491A">
      <w:pPr>
        <w:spacing w:before="0" w:after="0"/>
        <w:ind w:left="284"/>
        <w:rPr>
          <w:color w:val="4F81BD" w:themeColor="accent1"/>
        </w:rPr>
      </w:pPr>
      <w:r w:rsidRPr="00905881">
        <w:rPr>
          <w:b/>
          <w:color w:val="4F81BD" w:themeColor="accent1"/>
          <w:szCs w:val="20"/>
        </w:rPr>
        <w:fldChar w:fldCharType="begin">
          <w:ffData>
            <w:name w:val=""/>
            <w:enabled/>
            <w:calcOnExit w:val="0"/>
            <w:checkBox>
              <w:sizeAuto/>
              <w:default w:val="1"/>
            </w:checkBox>
          </w:ffData>
        </w:fldChar>
      </w:r>
      <w:r w:rsidRPr="00905881">
        <w:rPr>
          <w:b/>
          <w:color w:val="4F81BD" w:themeColor="accent1"/>
          <w:szCs w:val="20"/>
        </w:rPr>
        <w:instrText xml:space="preserve"> FORMCHECKBOX </w:instrText>
      </w:r>
      <w:r w:rsidR="00905881" w:rsidRPr="00905881">
        <w:rPr>
          <w:b/>
          <w:color w:val="4F81BD" w:themeColor="accent1"/>
          <w:szCs w:val="20"/>
        </w:rPr>
      </w:r>
      <w:r w:rsidR="00905881" w:rsidRPr="00905881">
        <w:rPr>
          <w:b/>
          <w:color w:val="4F81BD" w:themeColor="accent1"/>
          <w:szCs w:val="20"/>
        </w:rPr>
        <w:fldChar w:fldCharType="separate"/>
      </w:r>
      <w:r w:rsidRPr="00905881">
        <w:rPr>
          <w:b/>
          <w:color w:val="4F81BD" w:themeColor="accent1"/>
          <w:szCs w:val="20"/>
        </w:rPr>
        <w:fldChar w:fldCharType="end"/>
      </w:r>
      <w:r w:rsidR="00A6594E" w:rsidRPr="00905881">
        <w:rPr>
          <w:b/>
          <w:color w:val="4F81BD" w:themeColor="accent1"/>
          <w:szCs w:val="20"/>
        </w:rPr>
        <w:t xml:space="preserve"> </w:t>
      </w:r>
      <w:r w:rsidR="00A6594E" w:rsidRPr="00905881">
        <w:rPr>
          <w:color w:val="4F81BD" w:themeColor="accent1"/>
        </w:rPr>
        <w:t>Therapeutic medical service</w:t>
      </w:r>
    </w:p>
    <w:p w14:paraId="610B6D7C"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05881">
        <w:rPr>
          <w:b/>
          <w:szCs w:val="20"/>
        </w:rPr>
      </w:r>
      <w:r w:rsidR="00905881">
        <w:rPr>
          <w:b/>
          <w:szCs w:val="20"/>
        </w:rPr>
        <w:fldChar w:fldCharType="separate"/>
      </w:r>
      <w:r w:rsidRPr="0027105F">
        <w:rPr>
          <w:b/>
          <w:szCs w:val="20"/>
        </w:rPr>
        <w:fldChar w:fldCharType="end"/>
      </w:r>
      <w:r w:rsidRPr="0027105F">
        <w:rPr>
          <w:b/>
          <w:szCs w:val="20"/>
        </w:rPr>
        <w:t xml:space="preserve"> </w:t>
      </w:r>
      <w:r>
        <w:t>Investigative medical service</w:t>
      </w:r>
    </w:p>
    <w:p w14:paraId="0E741082"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05881">
        <w:rPr>
          <w:b/>
          <w:szCs w:val="20"/>
        </w:rPr>
      </w:r>
      <w:r w:rsidR="00905881">
        <w:rPr>
          <w:b/>
          <w:szCs w:val="20"/>
        </w:rPr>
        <w:fldChar w:fldCharType="separate"/>
      </w:r>
      <w:r w:rsidRPr="0027105F">
        <w:rPr>
          <w:b/>
          <w:szCs w:val="20"/>
        </w:rPr>
        <w:fldChar w:fldCharType="end"/>
      </w:r>
      <w:r w:rsidRPr="0027105F">
        <w:rPr>
          <w:b/>
          <w:szCs w:val="20"/>
        </w:rPr>
        <w:t xml:space="preserve"> </w:t>
      </w:r>
      <w:r>
        <w:t>Single consultation medical service</w:t>
      </w:r>
    </w:p>
    <w:p w14:paraId="15A9F244"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05881">
        <w:rPr>
          <w:b/>
          <w:szCs w:val="20"/>
        </w:rPr>
      </w:r>
      <w:r w:rsidR="00905881">
        <w:rPr>
          <w:b/>
          <w:szCs w:val="20"/>
        </w:rPr>
        <w:fldChar w:fldCharType="separate"/>
      </w:r>
      <w:r w:rsidRPr="0027105F">
        <w:rPr>
          <w:b/>
          <w:szCs w:val="20"/>
        </w:rPr>
        <w:fldChar w:fldCharType="end"/>
      </w:r>
      <w:r w:rsidRPr="0027105F">
        <w:rPr>
          <w:b/>
          <w:szCs w:val="20"/>
        </w:rPr>
        <w:t xml:space="preserve"> </w:t>
      </w:r>
      <w:r>
        <w:t>Global consultation medical service</w:t>
      </w:r>
    </w:p>
    <w:p w14:paraId="33BFE688"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05881">
        <w:rPr>
          <w:b/>
          <w:szCs w:val="20"/>
        </w:rPr>
      </w:r>
      <w:r w:rsidR="00905881">
        <w:rPr>
          <w:b/>
          <w:szCs w:val="20"/>
        </w:rPr>
        <w:fldChar w:fldCharType="separate"/>
      </w:r>
      <w:r w:rsidRPr="0027105F">
        <w:rPr>
          <w:b/>
          <w:szCs w:val="20"/>
        </w:rPr>
        <w:fldChar w:fldCharType="end"/>
      </w:r>
      <w:r w:rsidRPr="0027105F">
        <w:rPr>
          <w:b/>
          <w:szCs w:val="20"/>
        </w:rPr>
        <w:t xml:space="preserve"> </w:t>
      </w:r>
      <w:r>
        <w:t>Allied health service</w:t>
      </w:r>
    </w:p>
    <w:p w14:paraId="63FBC25A"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05881">
        <w:rPr>
          <w:b/>
          <w:szCs w:val="20"/>
        </w:rPr>
      </w:r>
      <w:r w:rsidR="00905881">
        <w:rPr>
          <w:b/>
          <w:szCs w:val="20"/>
        </w:rPr>
        <w:fldChar w:fldCharType="separate"/>
      </w:r>
      <w:r w:rsidRPr="0027105F">
        <w:rPr>
          <w:b/>
          <w:szCs w:val="20"/>
        </w:rPr>
        <w:fldChar w:fldCharType="end"/>
      </w:r>
      <w:r w:rsidRPr="0027105F">
        <w:rPr>
          <w:b/>
          <w:szCs w:val="20"/>
        </w:rPr>
        <w:t xml:space="preserve"> </w:t>
      </w:r>
      <w:r>
        <w:t>Co-dependent technology</w:t>
      </w:r>
    </w:p>
    <w:p w14:paraId="4C5BD375"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05881">
        <w:rPr>
          <w:b/>
          <w:szCs w:val="20"/>
        </w:rPr>
      </w:r>
      <w:r w:rsidR="00905881">
        <w:rPr>
          <w:b/>
          <w:szCs w:val="20"/>
        </w:rPr>
        <w:fldChar w:fldCharType="separate"/>
      </w:r>
      <w:r w:rsidRPr="0027105F">
        <w:rPr>
          <w:b/>
          <w:szCs w:val="20"/>
        </w:rPr>
        <w:fldChar w:fldCharType="end"/>
      </w:r>
      <w:r w:rsidRPr="0027105F">
        <w:rPr>
          <w:b/>
          <w:szCs w:val="20"/>
        </w:rPr>
        <w:t xml:space="preserve"> </w:t>
      </w:r>
      <w:r>
        <w:t>Hybrid health technology</w:t>
      </w:r>
    </w:p>
    <w:p w14:paraId="79CC0465" w14:textId="06988FC2"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25CFB967" w14:textId="0CA2D901" w:rsidR="00894A07" w:rsidRPr="00905881" w:rsidRDefault="00894A07" w:rsidP="00894A07">
      <w:pPr>
        <w:rPr>
          <w:color w:val="4F81BD" w:themeColor="accent1"/>
        </w:rPr>
      </w:pPr>
      <w:r w:rsidRPr="00905881">
        <w:rPr>
          <w:color w:val="4F81BD" w:themeColor="accent1"/>
        </w:rPr>
        <w:t>N/A</w:t>
      </w:r>
    </w:p>
    <w:p w14:paraId="22D18F2E" w14:textId="3501C9BD"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905881">
        <w:rPr>
          <w:b/>
          <w:szCs w:val="20"/>
        </w:rPr>
      </w:r>
      <w:r w:rsidR="00905881">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5C6E8E2F" w14:textId="65674606"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905881">
        <w:rPr>
          <w:b/>
          <w:szCs w:val="20"/>
        </w:rPr>
      </w:r>
      <w:r w:rsidR="00905881">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18517CF0" w14:textId="136341AD"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905881">
        <w:rPr>
          <w:b/>
          <w:szCs w:val="20"/>
        </w:rPr>
      </w:r>
      <w:r w:rsidR="00905881">
        <w:rPr>
          <w:b/>
          <w:szCs w:val="20"/>
        </w:rPr>
        <w:fldChar w:fldCharType="separate"/>
      </w:r>
      <w:r w:rsidRPr="00AF4466">
        <w:rPr>
          <w:b/>
          <w:szCs w:val="20"/>
        </w:rPr>
        <w:fldChar w:fldCharType="end"/>
      </w:r>
      <w:r w:rsidRPr="00AF4466">
        <w:rPr>
          <w:b/>
          <w:szCs w:val="20"/>
        </w:rPr>
        <w:t xml:space="preserve"> </w:t>
      </w:r>
      <w:r>
        <w:t>Provides information about prognosis</w:t>
      </w:r>
    </w:p>
    <w:p w14:paraId="0932D131" w14:textId="129D02D6"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905881">
        <w:rPr>
          <w:b/>
          <w:szCs w:val="20"/>
        </w:rPr>
      </w:r>
      <w:r w:rsidR="00905881">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7D8FFBA5" w14:textId="186BD0C8"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905881">
        <w:rPr>
          <w:b/>
          <w:szCs w:val="20"/>
        </w:rPr>
      </w:r>
      <w:r w:rsidR="00905881">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17B5E7A6" w14:textId="77777777" w:rsidR="000B3CD0" w:rsidRPr="00EA7F46" w:rsidRDefault="000B3CD0" w:rsidP="00730C04">
      <w:pPr>
        <w:pStyle w:val="Heading2"/>
      </w:pPr>
      <w:r w:rsidRPr="00EA7F46">
        <w:t xml:space="preserve">Does </w:t>
      </w:r>
      <w:r w:rsidR="00C209C2" w:rsidRPr="00EA7F46">
        <w:t>your</w:t>
      </w:r>
      <w:r w:rsidRPr="00EA7F46">
        <w:t xml:space="preserve"> service rely on another medical </w:t>
      </w:r>
      <w:r w:rsidR="001E1180" w:rsidRPr="00EA7F46">
        <w:t>product</w:t>
      </w:r>
      <w:r w:rsidRPr="00EA7F46">
        <w:t xml:space="preserve"> to achieve or to enhance its intended effect?</w:t>
      </w:r>
    </w:p>
    <w:p w14:paraId="388484C7" w14:textId="568D15E7" w:rsidR="00FE16C1" w:rsidRPr="00EA7F46" w:rsidRDefault="00894A07" w:rsidP="00A6491A">
      <w:pPr>
        <w:spacing w:before="0" w:after="0"/>
        <w:ind w:left="284"/>
      </w:pPr>
      <w:r w:rsidRPr="00EA7F46">
        <w:rPr>
          <w:b/>
          <w:szCs w:val="20"/>
        </w:rPr>
        <w:fldChar w:fldCharType="begin">
          <w:ffData>
            <w:name w:val=""/>
            <w:enabled/>
            <w:calcOnExit w:val="0"/>
            <w:checkBox>
              <w:sizeAuto/>
              <w:default w:val="0"/>
            </w:checkBox>
          </w:ffData>
        </w:fldChar>
      </w:r>
      <w:r w:rsidRPr="00EA7F46">
        <w:rPr>
          <w:b/>
          <w:szCs w:val="20"/>
        </w:rPr>
        <w:instrText xml:space="preserve"> FORMCHECKBOX </w:instrText>
      </w:r>
      <w:r w:rsidR="00905881">
        <w:rPr>
          <w:b/>
          <w:szCs w:val="20"/>
        </w:rPr>
      </w:r>
      <w:r w:rsidR="00905881">
        <w:rPr>
          <w:b/>
          <w:szCs w:val="20"/>
        </w:rPr>
        <w:fldChar w:fldCharType="separate"/>
      </w:r>
      <w:r w:rsidRPr="00EA7F46">
        <w:rPr>
          <w:b/>
          <w:szCs w:val="20"/>
        </w:rPr>
        <w:fldChar w:fldCharType="end"/>
      </w:r>
      <w:r w:rsidR="00FE16C1" w:rsidRPr="00EA7F46">
        <w:rPr>
          <w:b/>
          <w:szCs w:val="20"/>
        </w:rPr>
        <w:t xml:space="preserve"> </w:t>
      </w:r>
      <w:r w:rsidR="00FE16C1" w:rsidRPr="00EA7F46">
        <w:t>Pharmaceutical / Biological</w:t>
      </w:r>
    </w:p>
    <w:p w14:paraId="4EE685FB" w14:textId="77777777" w:rsidR="00FE16C1" w:rsidRPr="00905881" w:rsidRDefault="00F3255E" w:rsidP="00A6491A">
      <w:pPr>
        <w:spacing w:before="0" w:after="0"/>
        <w:ind w:left="284"/>
        <w:rPr>
          <w:color w:val="4F81BD" w:themeColor="accent1"/>
        </w:rPr>
      </w:pPr>
      <w:r w:rsidRPr="00905881">
        <w:rPr>
          <w:b/>
          <w:color w:val="4F81BD" w:themeColor="accent1"/>
          <w:szCs w:val="20"/>
        </w:rPr>
        <w:fldChar w:fldCharType="begin">
          <w:ffData>
            <w:name w:val=""/>
            <w:enabled/>
            <w:calcOnExit w:val="0"/>
            <w:checkBox>
              <w:sizeAuto/>
              <w:default w:val="1"/>
            </w:checkBox>
          </w:ffData>
        </w:fldChar>
      </w:r>
      <w:r w:rsidRPr="00905881">
        <w:rPr>
          <w:b/>
          <w:color w:val="4F81BD" w:themeColor="accent1"/>
          <w:szCs w:val="20"/>
        </w:rPr>
        <w:instrText xml:space="preserve"> FORMCHECKBOX </w:instrText>
      </w:r>
      <w:r w:rsidR="00905881" w:rsidRPr="00905881">
        <w:rPr>
          <w:b/>
          <w:color w:val="4F81BD" w:themeColor="accent1"/>
          <w:szCs w:val="20"/>
        </w:rPr>
      </w:r>
      <w:r w:rsidR="00905881" w:rsidRPr="00905881">
        <w:rPr>
          <w:b/>
          <w:color w:val="4F81BD" w:themeColor="accent1"/>
          <w:szCs w:val="20"/>
        </w:rPr>
        <w:fldChar w:fldCharType="separate"/>
      </w:r>
      <w:r w:rsidRPr="00905881">
        <w:rPr>
          <w:b/>
          <w:color w:val="4F81BD" w:themeColor="accent1"/>
          <w:szCs w:val="20"/>
        </w:rPr>
        <w:fldChar w:fldCharType="end"/>
      </w:r>
      <w:r w:rsidR="00FE16C1" w:rsidRPr="00905881">
        <w:rPr>
          <w:b/>
          <w:color w:val="4F81BD" w:themeColor="accent1"/>
          <w:szCs w:val="20"/>
        </w:rPr>
        <w:t xml:space="preserve"> </w:t>
      </w:r>
      <w:r w:rsidR="00FE16C1" w:rsidRPr="00905881">
        <w:rPr>
          <w:color w:val="4F81BD" w:themeColor="accent1"/>
        </w:rPr>
        <w:t>Prosthesis or device</w:t>
      </w:r>
    </w:p>
    <w:p w14:paraId="7CAED728" w14:textId="77777777" w:rsidR="00FE16C1" w:rsidRPr="00FE16C1" w:rsidRDefault="00FE16C1" w:rsidP="00A6491A">
      <w:pPr>
        <w:spacing w:before="0" w:after="0"/>
        <w:ind w:left="284"/>
      </w:pPr>
      <w:r w:rsidRPr="00EA7F46">
        <w:rPr>
          <w:b/>
          <w:szCs w:val="20"/>
        </w:rPr>
        <w:fldChar w:fldCharType="begin">
          <w:ffData>
            <w:name w:val="Check2"/>
            <w:enabled/>
            <w:calcOnExit w:val="0"/>
            <w:checkBox>
              <w:sizeAuto/>
              <w:default w:val="0"/>
            </w:checkBox>
          </w:ffData>
        </w:fldChar>
      </w:r>
      <w:r w:rsidRPr="00EA7F46">
        <w:rPr>
          <w:b/>
          <w:szCs w:val="20"/>
        </w:rPr>
        <w:instrText xml:space="preserve"> FORMCHECKBOX </w:instrText>
      </w:r>
      <w:r w:rsidR="00905881">
        <w:rPr>
          <w:b/>
          <w:szCs w:val="20"/>
        </w:rPr>
      </w:r>
      <w:r w:rsidR="00905881">
        <w:rPr>
          <w:b/>
          <w:szCs w:val="20"/>
        </w:rPr>
        <w:fldChar w:fldCharType="separate"/>
      </w:r>
      <w:r w:rsidRPr="00EA7F46">
        <w:rPr>
          <w:b/>
          <w:szCs w:val="20"/>
        </w:rPr>
        <w:fldChar w:fldCharType="end"/>
      </w:r>
      <w:r w:rsidRPr="00EA7F46">
        <w:rPr>
          <w:b/>
          <w:szCs w:val="20"/>
        </w:rPr>
        <w:t xml:space="preserve"> </w:t>
      </w:r>
      <w:r w:rsidRPr="00EA7F46">
        <w:t>No</w:t>
      </w:r>
    </w:p>
    <w:p w14:paraId="5A8105BA"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22C59580" w14:textId="1A7C2628" w:rsidR="00FE16C1" w:rsidRDefault="00894A07"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905881">
        <w:rPr>
          <w:szCs w:val="20"/>
        </w:rPr>
      </w:r>
      <w:r w:rsidR="00905881">
        <w:rPr>
          <w:szCs w:val="20"/>
        </w:rPr>
        <w:fldChar w:fldCharType="separate"/>
      </w:r>
      <w:r>
        <w:rPr>
          <w:szCs w:val="20"/>
        </w:rPr>
        <w:fldChar w:fldCharType="end"/>
      </w:r>
      <w:r w:rsidR="00FE16C1" w:rsidRPr="000A5B32">
        <w:rPr>
          <w:szCs w:val="20"/>
        </w:rPr>
        <w:t xml:space="preserve"> Yes</w:t>
      </w:r>
    </w:p>
    <w:p w14:paraId="11051CAE" w14:textId="05435EDA" w:rsid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905881">
        <w:rPr>
          <w:szCs w:val="20"/>
        </w:rPr>
      </w:r>
      <w:r w:rsidR="00905881">
        <w:rPr>
          <w:szCs w:val="20"/>
        </w:rPr>
        <w:fldChar w:fldCharType="separate"/>
      </w:r>
      <w:r w:rsidRPr="000A5B32">
        <w:rPr>
          <w:szCs w:val="20"/>
        </w:rPr>
        <w:fldChar w:fldCharType="end"/>
      </w:r>
      <w:r>
        <w:rPr>
          <w:szCs w:val="20"/>
        </w:rPr>
        <w:t xml:space="preserve"> No</w:t>
      </w:r>
    </w:p>
    <w:p w14:paraId="74382EDF" w14:textId="2A6B1A79" w:rsidR="00CA5BB5" w:rsidRDefault="00CA5BB5" w:rsidP="00A6491A">
      <w:pPr>
        <w:spacing w:before="0" w:after="0"/>
        <w:ind w:left="284"/>
        <w:rPr>
          <w:szCs w:val="20"/>
        </w:rPr>
      </w:pPr>
    </w:p>
    <w:p w14:paraId="69E36F4B" w14:textId="668004A3" w:rsidR="00CA5BB5" w:rsidRPr="00905881" w:rsidRDefault="00CA5BB5" w:rsidP="00A6491A">
      <w:pPr>
        <w:spacing w:before="0" w:after="0"/>
        <w:ind w:left="284"/>
        <w:rPr>
          <w:color w:val="4F81BD" w:themeColor="accent1"/>
          <w:szCs w:val="20"/>
        </w:rPr>
      </w:pPr>
      <w:r w:rsidRPr="00905881">
        <w:rPr>
          <w:color w:val="4F81BD" w:themeColor="accent1"/>
          <w:szCs w:val="20"/>
        </w:rPr>
        <w:t>N/A</w:t>
      </w:r>
    </w:p>
    <w:p w14:paraId="0C29F623" w14:textId="77777777" w:rsidR="00EC127A" w:rsidRPr="00894A07" w:rsidRDefault="000E5439" w:rsidP="00530204">
      <w:pPr>
        <w:pStyle w:val="Heading2"/>
        <w:numPr>
          <w:ilvl w:val="0"/>
          <w:numId w:val="25"/>
        </w:numPr>
      </w:pPr>
      <w:r w:rsidRPr="00894A07">
        <w:t xml:space="preserve">If yes, </w:t>
      </w:r>
      <w:r w:rsidR="00BB003A" w:rsidRPr="00894A07">
        <w:t>please list</w:t>
      </w:r>
      <w:r w:rsidRPr="00894A07">
        <w:t xml:space="preserve"> the</w:t>
      </w:r>
      <w:r w:rsidR="00BB003A" w:rsidRPr="00894A07">
        <w:t xml:space="preserve"> relevant</w:t>
      </w:r>
      <w:r w:rsidRPr="00894A07">
        <w:t xml:space="preserve"> PBS </w:t>
      </w:r>
      <w:r w:rsidR="001E23EA" w:rsidRPr="00894A07">
        <w:t>item code</w:t>
      </w:r>
      <w:r w:rsidRPr="00894A07">
        <w:t>(s)</w:t>
      </w:r>
      <w:r w:rsidR="007E39E4" w:rsidRPr="00894A07">
        <w:t>:</w:t>
      </w:r>
    </w:p>
    <w:p w14:paraId="2CE71009"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375EE25E"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05881">
        <w:rPr>
          <w:szCs w:val="20"/>
        </w:rPr>
      </w:r>
      <w:r w:rsidR="00905881">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4E1EF35C" w14:textId="77777777"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905881">
        <w:rPr>
          <w:szCs w:val="20"/>
        </w:rPr>
      </w:r>
      <w:r w:rsidR="00905881">
        <w:rPr>
          <w:szCs w:val="20"/>
        </w:rPr>
        <w:fldChar w:fldCharType="separate"/>
      </w:r>
      <w:r w:rsidRPr="000A5B32">
        <w:rPr>
          <w:szCs w:val="20"/>
        </w:rPr>
        <w:fldChar w:fldCharType="end"/>
      </w:r>
      <w:r w:rsidR="001E6919">
        <w:rPr>
          <w:szCs w:val="20"/>
        </w:rPr>
        <w:t xml:space="preserve"> No</w:t>
      </w:r>
    </w:p>
    <w:p w14:paraId="146AE7A4" w14:textId="04D98443" w:rsidR="001E6919" w:rsidRPr="00905881" w:rsidRDefault="00CA5BB5" w:rsidP="00A6491A">
      <w:pPr>
        <w:spacing w:before="0" w:after="0"/>
        <w:ind w:left="284"/>
        <w:rPr>
          <w:color w:val="4F81BD" w:themeColor="accent1"/>
          <w:szCs w:val="20"/>
        </w:rPr>
      </w:pPr>
      <w:r w:rsidRPr="00905881">
        <w:rPr>
          <w:color w:val="4F81BD" w:themeColor="accent1"/>
          <w:szCs w:val="20"/>
        </w:rPr>
        <w:t>N/A</w:t>
      </w:r>
    </w:p>
    <w:p w14:paraId="64454289"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5016784E" w14:textId="77777777" w:rsidR="001E6958" w:rsidRPr="00905881" w:rsidRDefault="001E6958" w:rsidP="00A6491A">
      <w:pPr>
        <w:spacing w:before="0" w:after="0"/>
        <w:ind w:left="284"/>
        <w:rPr>
          <w:color w:val="4F81BD" w:themeColor="accent1"/>
        </w:rPr>
      </w:pPr>
      <w:r w:rsidRPr="00905881">
        <w:rPr>
          <w:color w:val="4F81BD" w:themeColor="accent1"/>
        </w:rPr>
        <w:t xml:space="preserve">Trade name: </w:t>
      </w:r>
      <w:r w:rsidR="006A2D3B" w:rsidRPr="00905881">
        <w:rPr>
          <w:color w:val="4F81BD" w:themeColor="accent1"/>
        </w:rPr>
        <w:t>N/A</w:t>
      </w:r>
    </w:p>
    <w:p w14:paraId="09122FD1" w14:textId="77777777" w:rsidR="001E6958" w:rsidRPr="00905881" w:rsidRDefault="001E6958" w:rsidP="00A6491A">
      <w:pPr>
        <w:spacing w:before="0" w:after="0"/>
        <w:ind w:left="284"/>
        <w:rPr>
          <w:color w:val="4F81BD" w:themeColor="accent1"/>
        </w:rPr>
      </w:pPr>
      <w:r w:rsidRPr="00905881">
        <w:rPr>
          <w:color w:val="4F81BD" w:themeColor="accent1"/>
        </w:rPr>
        <w:t xml:space="preserve">Generic name: </w:t>
      </w:r>
      <w:r w:rsidR="006A2D3B" w:rsidRPr="00905881">
        <w:rPr>
          <w:color w:val="4F81BD" w:themeColor="accent1"/>
        </w:rPr>
        <w:t>N/A</w:t>
      </w:r>
    </w:p>
    <w:p w14:paraId="19C1127C"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p>
    <w:p w14:paraId="1EEEE34F" w14:textId="77777777" w:rsidR="001E6958" w:rsidRDefault="006A2D3B"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905881">
        <w:rPr>
          <w:szCs w:val="20"/>
        </w:rPr>
      </w:r>
      <w:r w:rsidR="00905881">
        <w:rPr>
          <w:szCs w:val="20"/>
        </w:rPr>
        <w:fldChar w:fldCharType="separate"/>
      </w:r>
      <w:r>
        <w:rPr>
          <w:szCs w:val="20"/>
        </w:rPr>
        <w:fldChar w:fldCharType="end"/>
      </w:r>
      <w:r w:rsidR="001E6958" w:rsidRPr="000A5B32">
        <w:rPr>
          <w:szCs w:val="20"/>
        </w:rPr>
        <w:t xml:space="preserve"> Yes</w:t>
      </w:r>
    </w:p>
    <w:p w14:paraId="4D931362" w14:textId="77777777" w:rsidR="001E6958" w:rsidRPr="00905881" w:rsidRDefault="00F3255E" w:rsidP="00A6491A">
      <w:pPr>
        <w:spacing w:before="0" w:after="0"/>
        <w:ind w:left="284"/>
        <w:rPr>
          <w:color w:val="4F81BD" w:themeColor="accent1"/>
          <w:szCs w:val="20"/>
        </w:rPr>
      </w:pPr>
      <w:r w:rsidRPr="00905881">
        <w:rPr>
          <w:color w:val="4F81BD" w:themeColor="accent1"/>
          <w:szCs w:val="20"/>
        </w:rPr>
        <w:fldChar w:fldCharType="begin">
          <w:ffData>
            <w:name w:val=""/>
            <w:enabled/>
            <w:calcOnExit w:val="0"/>
            <w:checkBox>
              <w:sizeAuto/>
              <w:default w:val="1"/>
            </w:checkBox>
          </w:ffData>
        </w:fldChar>
      </w:r>
      <w:r w:rsidRPr="00905881">
        <w:rPr>
          <w:color w:val="4F81BD" w:themeColor="accent1"/>
          <w:szCs w:val="20"/>
        </w:rPr>
        <w:instrText xml:space="preserve"> FORMCHECKBOX </w:instrText>
      </w:r>
      <w:r w:rsidR="00905881" w:rsidRPr="00905881">
        <w:rPr>
          <w:color w:val="4F81BD" w:themeColor="accent1"/>
          <w:szCs w:val="20"/>
        </w:rPr>
      </w:r>
      <w:r w:rsidR="00905881" w:rsidRPr="00905881">
        <w:rPr>
          <w:color w:val="4F81BD" w:themeColor="accent1"/>
          <w:szCs w:val="20"/>
        </w:rPr>
        <w:fldChar w:fldCharType="separate"/>
      </w:r>
      <w:r w:rsidRPr="00905881">
        <w:rPr>
          <w:color w:val="4F81BD" w:themeColor="accent1"/>
          <w:szCs w:val="20"/>
        </w:rPr>
        <w:fldChar w:fldCharType="end"/>
      </w:r>
      <w:r w:rsidR="001E6958" w:rsidRPr="00905881">
        <w:rPr>
          <w:color w:val="4F81BD" w:themeColor="accent1"/>
          <w:szCs w:val="20"/>
        </w:rPr>
        <w:t xml:space="preserve"> No  </w:t>
      </w:r>
    </w:p>
    <w:p w14:paraId="1E5B6D98" w14:textId="77777777" w:rsidR="001E6919" w:rsidRDefault="001E6919" w:rsidP="00A6491A">
      <w:pPr>
        <w:spacing w:before="0" w:after="0"/>
        <w:ind w:left="284"/>
        <w:rPr>
          <w:szCs w:val="20"/>
        </w:rPr>
      </w:pPr>
      <w:r>
        <w:rPr>
          <w:szCs w:val="20"/>
        </w:rPr>
        <w:br w:type="page"/>
      </w:r>
    </w:p>
    <w:p w14:paraId="348835A3" w14:textId="77777777" w:rsidR="001E6919" w:rsidRPr="001E6958" w:rsidRDefault="001E6919" w:rsidP="00A6491A">
      <w:pPr>
        <w:spacing w:before="0" w:after="0"/>
        <w:ind w:left="284"/>
        <w:rPr>
          <w:szCs w:val="20"/>
        </w:rPr>
      </w:pPr>
    </w:p>
    <w:p w14:paraId="687E8AC0"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599DCE1A" w14:textId="77777777" w:rsidR="001E6958" w:rsidRPr="00905881" w:rsidRDefault="001E6958" w:rsidP="00A6491A">
      <w:pPr>
        <w:spacing w:before="0" w:after="0"/>
        <w:ind w:left="284"/>
        <w:rPr>
          <w:color w:val="4F81BD" w:themeColor="accent1"/>
        </w:rPr>
      </w:pPr>
      <w:r w:rsidRPr="00905881">
        <w:rPr>
          <w:color w:val="4F81BD" w:themeColor="accent1"/>
        </w:rPr>
        <w:t xml:space="preserve">Billing code(s): </w:t>
      </w:r>
      <w:r w:rsidR="00F3255E" w:rsidRPr="00905881">
        <w:rPr>
          <w:color w:val="4F81BD" w:themeColor="accent1"/>
        </w:rPr>
        <w:t>N/A</w:t>
      </w:r>
    </w:p>
    <w:p w14:paraId="15F899EF" w14:textId="77777777" w:rsidR="001E6958" w:rsidRPr="00905881" w:rsidRDefault="001E6958" w:rsidP="00A6491A">
      <w:pPr>
        <w:spacing w:before="0" w:after="0"/>
        <w:ind w:left="284"/>
        <w:rPr>
          <w:color w:val="4F81BD" w:themeColor="accent1"/>
        </w:rPr>
      </w:pPr>
      <w:r w:rsidRPr="00905881">
        <w:rPr>
          <w:color w:val="4F81BD" w:themeColor="accent1"/>
        </w:rPr>
        <w:t xml:space="preserve">Trade name of prostheses: </w:t>
      </w:r>
      <w:r w:rsidR="00F3255E" w:rsidRPr="00905881">
        <w:rPr>
          <w:color w:val="4F81BD" w:themeColor="accent1"/>
        </w:rPr>
        <w:t>N/A</w:t>
      </w:r>
    </w:p>
    <w:p w14:paraId="7D361B2B" w14:textId="77777777" w:rsidR="001E6958" w:rsidRPr="00905881" w:rsidRDefault="001E6958" w:rsidP="00A6491A">
      <w:pPr>
        <w:spacing w:before="0" w:after="0"/>
        <w:ind w:left="284"/>
        <w:rPr>
          <w:color w:val="4F81BD" w:themeColor="accent1"/>
        </w:rPr>
      </w:pPr>
      <w:r w:rsidRPr="00905881">
        <w:rPr>
          <w:color w:val="4F81BD" w:themeColor="accent1"/>
        </w:rPr>
        <w:t xml:space="preserve">Clinical name of prostheses: </w:t>
      </w:r>
      <w:r w:rsidR="00F3255E" w:rsidRPr="00905881">
        <w:rPr>
          <w:color w:val="4F81BD" w:themeColor="accent1"/>
        </w:rPr>
        <w:t xml:space="preserve">N/A </w:t>
      </w:r>
    </w:p>
    <w:p w14:paraId="1FBD4D6A" w14:textId="77777777" w:rsidR="001E6958" w:rsidRPr="00905881" w:rsidRDefault="001E6958" w:rsidP="00A6491A">
      <w:pPr>
        <w:spacing w:before="0" w:after="0"/>
        <w:ind w:left="284"/>
        <w:rPr>
          <w:color w:val="4F81BD" w:themeColor="accent1"/>
        </w:rPr>
      </w:pPr>
      <w:r w:rsidRPr="00905881">
        <w:rPr>
          <w:color w:val="4F81BD" w:themeColor="accent1"/>
        </w:rPr>
        <w:t xml:space="preserve">Other device components delivered as part of the service: </w:t>
      </w:r>
      <w:r w:rsidR="00F3255E" w:rsidRPr="00905881">
        <w:rPr>
          <w:color w:val="4F81BD" w:themeColor="accent1"/>
        </w:rPr>
        <w:t xml:space="preserve">N/A </w:t>
      </w:r>
    </w:p>
    <w:p w14:paraId="3C4F9AAC" w14:textId="77777777" w:rsidR="009939DC" w:rsidRDefault="009939DC" w:rsidP="009939DC"/>
    <w:p w14:paraId="54ED970B"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39C863AD"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05881">
        <w:rPr>
          <w:szCs w:val="20"/>
        </w:rPr>
      </w:r>
      <w:r w:rsidR="00905881">
        <w:rPr>
          <w:szCs w:val="20"/>
        </w:rPr>
        <w:fldChar w:fldCharType="separate"/>
      </w:r>
      <w:r w:rsidRPr="000A5B32">
        <w:rPr>
          <w:szCs w:val="20"/>
        </w:rPr>
        <w:fldChar w:fldCharType="end"/>
      </w:r>
      <w:r w:rsidRPr="000A5B32">
        <w:rPr>
          <w:szCs w:val="20"/>
        </w:rPr>
        <w:t xml:space="preserve"> Yes</w:t>
      </w:r>
    </w:p>
    <w:p w14:paraId="57A4C627" w14:textId="007E9EEB" w:rsidR="001E6958" w:rsidRPr="00905881" w:rsidRDefault="00CE52BE" w:rsidP="00A6491A">
      <w:pPr>
        <w:spacing w:before="0" w:after="0"/>
        <w:ind w:left="284"/>
        <w:rPr>
          <w:color w:val="4F81BD" w:themeColor="accent1"/>
          <w:szCs w:val="20"/>
        </w:rPr>
      </w:pPr>
      <w:r w:rsidRPr="00905881">
        <w:rPr>
          <w:color w:val="4F81BD" w:themeColor="accent1"/>
          <w:szCs w:val="20"/>
        </w:rPr>
        <w:fldChar w:fldCharType="begin">
          <w:ffData>
            <w:name w:val=""/>
            <w:enabled/>
            <w:calcOnExit w:val="0"/>
            <w:checkBox>
              <w:sizeAuto/>
              <w:default w:val="1"/>
            </w:checkBox>
          </w:ffData>
        </w:fldChar>
      </w:r>
      <w:r w:rsidRPr="00905881">
        <w:rPr>
          <w:color w:val="4F81BD" w:themeColor="accent1"/>
          <w:szCs w:val="20"/>
        </w:rPr>
        <w:instrText xml:space="preserve"> FORMCHECKBOX </w:instrText>
      </w:r>
      <w:r w:rsidR="00905881" w:rsidRPr="00905881">
        <w:rPr>
          <w:color w:val="4F81BD" w:themeColor="accent1"/>
          <w:szCs w:val="20"/>
        </w:rPr>
      </w:r>
      <w:r w:rsidR="00905881" w:rsidRPr="00905881">
        <w:rPr>
          <w:color w:val="4F81BD" w:themeColor="accent1"/>
          <w:szCs w:val="20"/>
        </w:rPr>
        <w:fldChar w:fldCharType="separate"/>
      </w:r>
      <w:r w:rsidRPr="00905881">
        <w:rPr>
          <w:color w:val="4F81BD" w:themeColor="accent1"/>
          <w:szCs w:val="20"/>
        </w:rPr>
        <w:fldChar w:fldCharType="end"/>
      </w:r>
      <w:r w:rsidR="009939DC" w:rsidRPr="00905881">
        <w:rPr>
          <w:color w:val="4F81BD" w:themeColor="accent1"/>
          <w:szCs w:val="20"/>
        </w:rPr>
        <w:t xml:space="preserve"> No  </w:t>
      </w:r>
    </w:p>
    <w:p w14:paraId="6752ABFE"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699D29B4" w14:textId="77777777" w:rsidR="009939DC" w:rsidRPr="00905881" w:rsidRDefault="00F3255E" w:rsidP="00A6491A">
      <w:pPr>
        <w:spacing w:before="0" w:after="0"/>
        <w:ind w:left="284"/>
        <w:rPr>
          <w:color w:val="4F81BD" w:themeColor="accent1"/>
          <w:szCs w:val="20"/>
        </w:rPr>
      </w:pPr>
      <w:r w:rsidRPr="00905881">
        <w:rPr>
          <w:color w:val="4F81BD" w:themeColor="accent1"/>
          <w:szCs w:val="20"/>
        </w:rPr>
        <w:fldChar w:fldCharType="begin">
          <w:ffData>
            <w:name w:val=""/>
            <w:enabled/>
            <w:calcOnExit w:val="0"/>
            <w:checkBox>
              <w:sizeAuto/>
              <w:default w:val="1"/>
            </w:checkBox>
          </w:ffData>
        </w:fldChar>
      </w:r>
      <w:r w:rsidRPr="00905881">
        <w:rPr>
          <w:color w:val="4F81BD" w:themeColor="accent1"/>
          <w:szCs w:val="20"/>
        </w:rPr>
        <w:instrText xml:space="preserve"> FORMCHECKBOX </w:instrText>
      </w:r>
      <w:r w:rsidR="00905881" w:rsidRPr="00905881">
        <w:rPr>
          <w:color w:val="4F81BD" w:themeColor="accent1"/>
          <w:szCs w:val="20"/>
        </w:rPr>
      </w:r>
      <w:r w:rsidR="00905881" w:rsidRPr="00905881">
        <w:rPr>
          <w:color w:val="4F81BD" w:themeColor="accent1"/>
          <w:szCs w:val="20"/>
        </w:rPr>
        <w:fldChar w:fldCharType="separate"/>
      </w:r>
      <w:r w:rsidRPr="00905881">
        <w:rPr>
          <w:color w:val="4F81BD" w:themeColor="accent1"/>
          <w:szCs w:val="20"/>
        </w:rPr>
        <w:fldChar w:fldCharType="end"/>
      </w:r>
      <w:r w:rsidR="009939DC" w:rsidRPr="00905881">
        <w:rPr>
          <w:color w:val="4F81BD" w:themeColor="accent1"/>
          <w:szCs w:val="20"/>
        </w:rPr>
        <w:t xml:space="preserve"> Yes</w:t>
      </w:r>
    </w:p>
    <w:p w14:paraId="4D55D6F3" w14:textId="77777777"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905881">
        <w:rPr>
          <w:szCs w:val="20"/>
        </w:rPr>
      </w:r>
      <w:r w:rsidR="00905881">
        <w:rPr>
          <w:szCs w:val="20"/>
        </w:rPr>
        <w:fldChar w:fldCharType="separate"/>
      </w:r>
      <w:r w:rsidRPr="000A5B32">
        <w:rPr>
          <w:szCs w:val="20"/>
        </w:rPr>
        <w:fldChar w:fldCharType="end"/>
      </w:r>
      <w:r>
        <w:rPr>
          <w:szCs w:val="20"/>
        </w:rPr>
        <w:t xml:space="preserve"> No  </w:t>
      </w:r>
    </w:p>
    <w:p w14:paraId="71240C14"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2CAD903A" w14:textId="77777777" w:rsidR="00E63DD6" w:rsidRPr="00905881" w:rsidRDefault="00E63DD6" w:rsidP="00A6491A">
      <w:pPr>
        <w:ind w:left="284"/>
        <w:rPr>
          <w:color w:val="4F81BD" w:themeColor="accent1"/>
        </w:rPr>
      </w:pPr>
      <w:proofErr w:type="spellStart"/>
      <w:r w:rsidRPr="00905881">
        <w:rPr>
          <w:color w:val="4F81BD" w:themeColor="accent1"/>
        </w:rPr>
        <w:t>Culpan</w:t>
      </w:r>
      <w:proofErr w:type="spellEnd"/>
      <w:r w:rsidRPr="00905881">
        <w:rPr>
          <w:color w:val="4F81BD" w:themeColor="accent1"/>
        </w:rPr>
        <w:t xml:space="preserve"> Medical Pty Ltd</w:t>
      </w:r>
    </w:p>
    <w:p w14:paraId="0EF05960" w14:textId="5492A35D" w:rsidR="00016B6E" w:rsidRPr="00905881" w:rsidRDefault="00E63DD6" w:rsidP="00A6491A">
      <w:pPr>
        <w:ind w:left="284"/>
        <w:rPr>
          <w:color w:val="4F81BD" w:themeColor="accent1"/>
        </w:rPr>
      </w:pPr>
      <w:r w:rsidRPr="00905881">
        <w:rPr>
          <w:color w:val="4F81BD" w:themeColor="accent1"/>
        </w:rPr>
        <w:t xml:space="preserve">Getz Healthcare Pty </w:t>
      </w:r>
      <w:proofErr w:type="spellStart"/>
      <w:r w:rsidRPr="00905881">
        <w:rPr>
          <w:color w:val="4F81BD" w:themeColor="accent1"/>
        </w:rPr>
        <w:t>LTd</w:t>
      </w:r>
      <w:proofErr w:type="spellEnd"/>
      <w:r w:rsidRPr="00905881" w:rsidDel="00E63DD6">
        <w:rPr>
          <w:color w:val="4F81BD" w:themeColor="accent1"/>
        </w:rPr>
        <w:t xml:space="preserve"> </w:t>
      </w:r>
    </w:p>
    <w:p w14:paraId="1891F8AF" w14:textId="35475620" w:rsidR="00837E12" w:rsidRPr="00905881" w:rsidRDefault="00837E12" w:rsidP="00A6491A">
      <w:pPr>
        <w:ind w:left="284"/>
        <w:rPr>
          <w:color w:val="4F81BD" w:themeColor="accent1"/>
        </w:rPr>
      </w:pPr>
      <w:r w:rsidRPr="00905881">
        <w:rPr>
          <w:color w:val="4F81BD" w:themeColor="accent1"/>
        </w:rPr>
        <w:t>Stryker Australia Pty Ltd</w:t>
      </w:r>
    </w:p>
    <w:p w14:paraId="35A15FF6" w14:textId="77777777" w:rsidR="0084657B" w:rsidRPr="009939DC" w:rsidRDefault="00A9062D" w:rsidP="00530204">
      <w:pPr>
        <w:pStyle w:val="Heading2"/>
      </w:pPr>
      <w:bookmarkStart w:id="5" w:name="_Hlk514836669"/>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0AEB4107" w14:textId="6BC0E8FB" w:rsidR="009939DC" w:rsidRPr="00905881" w:rsidRDefault="009939DC" w:rsidP="00A6491A">
      <w:pPr>
        <w:spacing w:before="0" w:after="0"/>
        <w:ind w:left="284"/>
        <w:rPr>
          <w:color w:val="4F81BD" w:themeColor="accent1"/>
        </w:rPr>
      </w:pPr>
      <w:r w:rsidRPr="00905881">
        <w:rPr>
          <w:color w:val="4F81BD" w:themeColor="accent1"/>
        </w:rPr>
        <w:t xml:space="preserve">Single use consumables: </w:t>
      </w:r>
      <w:r w:rsidR="00A848E1" w:rsidRPr="00905881">
        <w:rPr>
          <w:color w:val="4F81BD" w:themeColor="accent1"/>
        </w:rPr>
        <w:t xml:space="preserve">sheath, support catheter, </w:t>
      </w:r>
      <w:proofErr w:type="spellStart"/>
      <w:r w:rsidR="00A848E1" w:rsidRPr="00905881">
        <w:rPr>
          <w:color w:val="4F81BD" w:themeColor="accent1"/>
        </w:rPr>
        <w:t>microcatheter</w:t>
      </w:r>
      <w:proofErr w:type="spellEnd"/>
      <w:r w:rsidR="00A848E1" w:rsidRPr="00905881">
        <w:rPr>
          <w:color w:val="4F81BD" w:themeColor="accent1"/>
        </w:rPr>
        <w:t xml:space="preserve"> and guidewire</w:t>
      </w:r>
    </w:p>
    <w:p w14:paraId="7E2A6927" w14:textId="3B8E0076" w:rsidR="00F301F1" w:rsidRPr="00855944" w:rsidRDefault="009939DC" w:rsidP="00A6491A">
      <w:pPr>
        <w:spacing w:before="0" w:after="0"/>
        <w:ind w:left="284"/>
      </w:pPr>
      <w:r w:rsidRPr="00905881">
        <w:rPr>
          <w:color w:val="4F81BD" w:themeColor="accent1"/>
        </w:rPr>
        <w:t xml:space="preserve">Multi-use consumables: </w:t>
      </w:r>
      <w:r w:rsidR="00A848E1" w:rsidRPr="00905881">
        <w:rPr>
          <w:color w:val="4F81BD" w:themeColor="accent1"/>
        </w:rPr>
        <w:t>N/A</w:t>
      </w:r>
      <w:r w:rsidR="00F301F1" w:rsidRPr="00855944">
        <w:br w:type="page"/>
      </w:r>
    </w:p>
    <w:bookmarkEnd w:id="5"/>
    <w:p w14:paraId="3C11058A"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740E4916"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6316B58B" w14:textId="47E2554F" w:rsidR="00A26343" w:rsidRPr="00905881" w:rsidRDefault="00A26343" w:rsidP="00A6491A">
      <w:pPr>
        <w:spacing w:before="0" w:after="0"/>
        <w:ind w:left="284"/>
        <w:rPr>
          <w:color w:val="4F81BD" w:themeColor="accent1"/>
          <w:szCs w:val="20"/>
        </w:rPr>
      </w:pPr>
      <w:r w:rsidRPr="00905881">
        <w:rPr>
          <w:color w:val="4F81BD" w:themeColor="accent1"/>
          <w:szCs w:val="20"/>
        </w:rPr>
        <w:t xml:space="preserve">Type of therapeutic good: </w:t>
      </w:r>
      <w:r w:rsidR="00EC1401" w:rsidRPr="00905881">
        <w:rPr>
          <w:color w:val="4F81BD" w:themeColor="accent1"/>
          <w:szCs w:val="20"/>
        </w:rPr>
        <w:t>Implanted prosthesis (</w:t>
      </w:r>
      <w:proofErr w:type="spellStart"/>
      <w:r w:rsidR="00EC1401" w:rsidRPr="00905881">
        <w:rPr>
          <w:color w:val="4F81BD" w:themeColor="accent1"/>
          <w:szCs w:val="20"/>
        </w:rPr>
        <w:t>ie</w:t>
      </w:r>
      <w:proofErr w:type="spellEnd"/>
      <w:r w:rsidR="00EC1401" w:rsidRPr="00905881">
        <w:rPr>
          <w:color w:val="4F81BD" w:themeColor="accent1"/>
          <w:szCs w:val="20"/>
        </w:rPr>
        <w:t xml:space="preserve">, </w:t>
      </w:r>
      <w:r w:rsidR="00F3255E" w:rsidRPr="00905881">
        <w:rPr>
          <w:color w:val="4F81BD" w:themeColor="accent1"/>
          <w:szCs w:val="20"/>
        </w:rPr>
        <w:t>Pipeline Embolization Device</w:t>
      </w:r>
      <w:r w:rsidR="00EC1401" w:rsidRPr="00905881">
        <w:rPr>
          <w:color w:val="4F81BD" w:themeColor="accent1"/>
          <w:szCs w:val="20"/>
        </w:rPr>
        <w:t>)</w:t>
      </w:r>
    </w:p>
    <w:p w14:paraId="793F8CB4" w14:textId="77777777" w:rsidR="00A26343" w:rsidRPr="00905881" w:rsidRDefault="00A26343" w:rsidP="00A6491A">
      <w:pPr>
        <w:spacing w:before="0" w:after="0"/>
        <w:ind w:left="284"/>
        <w:rPr>
          <w:color w:val="4F81BD" w:themeColor="accent1"/>
          <w:szCs w:val="20"/>
        </w:rPr>
      </w:pPr>
      <w:r w:rsidRPr="00905881">
        <w:rPr>
          <w:color w:val="4F81BD" w:themeColor="accent1"/>
          <w:szCs w:val="20"/>
        </w:rPr>
        <w:t xml:space="preserve">Manufacturer’s name: </w:t>
      </w:r>
      <w:r w:rsidR="00F3255E" w:rsidRPr="00905881">
        <w:rPr>
          <w:color w:val="4F81BD" w:themeColor="accent1"/>
        </w:rPr>
        <w:t xml:space="preserve">Micro Therapeutics </w:t>
      </w:r>
      <w:proofErr w:type="spellStart"/>
      <w:r w:rsidR="00F3255E" w:rsidRPr="00905881">
        <w:rPr>
          <w:color w:val="4F81BD" w:themeColor="accent1"/>
        </w:rPr>
        <w:t>Inc</w:t>
      </w:r>
      <w:proofErr w:type="spellEnd"/>
    </w:p>
    <w:p w14:paraId="1605D539" w14:textId="77777777" w:rsidR="00A26343" w:rsidRPr="00905881" w:rsidRDefault="00A26343" w:rsidP="00A6491A">
      <w:pPr>
        <w:spacing w:before="0" w:after="0"/>
        <w:ind w:left="284"/>
        <w:rPr>
          <w:color w:val="4F81BD" w:themeColor="accent1"/>
          <w:szCs w:val="20"/>
        </w:rPr>
      </w:pPr>
      <w:r w:rsidRPr="00905881">
        <w:rPr>
          <w:color w:val="4F81BD" w:themeColor="accent1"/>
          <w:szCs w:val="20"/>
        </w:rPr>
        <w:t xml:space="preserve">Sponsor’s name: </w:t>
      </w:r>
      <w:r w:rsidR="00F3255E" w:rsidRPr="00905881">
        <w:rPr>
          <w:color w:val="4F81BD" w:themeColor="accent1"/>
        </w:rPr>
        <w:t xml:space="preserve">Medtronic Australasia Pty Ltd </w:t>
      </w:r>
    </w:p>
    <w:p w14:paraId="78D19AAF"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1C282782" w14:textId="77777777" w:rsidR="00615F42" w:rsidRPr="00905881" w:rsidRDefault="00F3255E" w:rsidP="00A6491A">
      <w:pPr>
        <w:spacing w:before="0" w:after="0"/>
        <w:ind w:left="284"/>
        <w:rPr>
          <w:color w:val="4F81BD" w:themeColor="accent1"/>
          <w:szCs w:val="20"/>
        </w:rPr>
      </w:pPr>
      <w:r w:rsidRPr="00905881">
        <w:rPr>
          <w:color w:val="4F81BD" w:themeColor="accent1"/>
          <w:szCs w:val="20"/>
        </w:rPr>
        <w:fldChar w:fldCharType="begin">
          <w:ffData>
            <w:name w:val=""/>
            <w:enabled/>
            <w:calcOnExit w:val="0"/>
            <w:checkBox>
              <w:sizeAuto/>
              <w:default w:val="1"/>
            </w:checkBox>
          </w:ffData>
        </w:fldChar>
      </w:r>
      <w:r w:rsidRPr="00905881">
        <w:rPr>
          <w:color w:val="4F81BD" w:themeColor="accent1"/>
          <w:szCs w:val="20"/>
        </w:rPr>
        <w:instrText xml:space="preserve"> FORMCHECKBOX </w:instrText>
      </w:r>
      <w:r w:rsidR="00905881" w:rsidRPr="00905881">
        <w:rPr>
          <w:color w:val="4F81BD" w:themeColor="accent1"/>
          <w:szCs w:val="20"/>
        </w:rPr>
      </w:r>
      <w:r w:rsidR="00905881" w:rsidRPr="00905881">
        <w:rPr>
          <w:color w:val="4F81BD" w:themeColor="accent1"/>
          <w:szCs w:val="20"/>
        </w:rPr>
        <w:fldChar w:fldCharType="separate"/>
      </w:r>
      <w:r w:rsidRPr="00905881">
        <w:rPr>
          <w:color w:val="4F81BD" w:themeColor="accent1"/>
          <w:szCs w:val="20"/>
        </w:rPr>
        <w:fldChar w:fldCharType="end"/>
      </w:r>
      <w:r w:rsidR="00615F42" w:rsidRPr="00905881">
        <w:rPr>
          <w:color w:val="4F81BD" w:themeColor="accent1"/>
          <w:szCs w:val="20"/>
        </w:rPr>
        <w:t xml:space="preserve"> Class III</w:t>
      </w:r>
    </w:p>
    <w:p w14:paraId="4B806A7C"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05881">
        <w:rPr>
          <w:szCs w:val="20"/>
        </w:rPr>
      </w:r>
      <w:r w:rsidR="00905881">
        <w:rPr>
          <w:szCs w:val="20"/>
        </w:rPr>
        <w:fldChar w:fldCharType="separate"/>
      </w:r>
      <w:r w:rsidRPr="000A5B32">
        <w:rPr>
          <w:szCs w:val="20"/>
        </w:rPr>
        <w:fldChar w:fldCharType="end"/>
      </w:r>
      <w:r w:rsidRPr="000A5B32">
        <w:rPr>
          <w:szCs w:val="20"/>
        </w:rPr>
        <w:t xml:space="preserve"> </w:t>
      </w:r>
      <w:r w:rsidRPr="00615F42">
        <w:rPr>
          <w:szCs w:val="20"/>
        </w:rPr>
        <w:t>AIMD</w:t>
      </w:r>
    </w:p>
    <w:p w14:paraId="18820319" w14:textId="77777777"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05881">
        <w:rPr>
          <w:szCs w:val="20"/>
        </w:rPr>
      </w:r>
      <w:r w:rsidR="00905881">
        <w:rPr>
          <w:szCs w:val="20"/>
        </w:rPr>
        <w:fldChar w:fldCharType="separate"/>
      </w:r>
      <w:r w:rsidRPr="000A5B32">
        <w:rPr>
          <w:szCs w:val="20"/>
        </w:rPr>
        <w:fldChar w:fldCharType="end"/>
      </w:r>
      <w:r w:rsidRPr="000A5B32">
        <w:rPr>
          <w:szCs w:val="20"/>
        </w:rPr>
        <w:t xml:space="preserve"> </w:t>
      </w:r>
      <w:r w:rsidRPr="00615F42">
        <w:rPr>
          <w:szCs w:val="20"/>
        </w:rPr>
        <w:t>N/A</w:t>
      </w:r>
    </w:p>
    <w:p w14:paraId="4EBD86B6"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57E5C989"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05881">
        <w:rPr>
          <w:szCs w:val="20"/>
        </w:rPr>
      </w:r>
      <w:r w:rsidR="00905881">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2571694F" w14:textId="77777777" w:rsidR="003421AE" w:rsidRPr="00905881" w:rsidRDefault="00F3255E" w:rsidP="00A6491A">
      <w:pPr>
        <w:spacing w:before="0" w:after="0"/>
        <w:ind w:left="284"/>
        <w:rPr>
          <w:b/>
          <w:color w:val="4F81BD" w:themeColor="accent1"/>
          <w:szCs w:val="20"/>
        </w:rPr>
      </w:pPr>
      <w:r w:rsidRPr="00905881">
        <w:rPr>
          <w:color w:val="4F81BD" w:themeColor="accent1"/>
          <w:szCs w:val="20"/>
        </w:rPr>
        <w:fldChar w:fldCharType="begin">
          <w:ffData>
            <w:name w:val=""/>
            <w:enabled/>
            <w:calcOnExit w:val="0"/>
            <w:checkBox>
              <w:sizeAuto/>
              <w:default w:val="1"/>
            </w:checkBox>
          </w:ffData>
        </w:fldChar>
      </w:r>
      <w:r w:rsidRPr="00905881">
        <w:rPr>
          <w:color w:val="4F81BD" w:themeColor="accent1"/>
          <w:szCs w:val="20"/>
        </w:rPr>
        <w:instrText xml:space="preserve"> FORMCHECKBOX </w:instrText>
      </w:r>
      <w:r w:rsidR="00905881" w:rsidRPr="00905881">
        <w:rPr>
          <w:color w:val="4F81BD" w:themeColor="accent1"/>
          <w:szCs w:val="20"/>
        </w:rPr>
      </w:r>
      <w:r w:rsidR="00905881" w:rsidRPr="00905881">
        <w:rPr>
          <w:color w:val="4F81BD" w:themeColor="accent1"/>
          <w:szCs w:val="20"/>
        </w:rPr>
        <w:fldChar w:fldCharType="separate"/>
      </w:r>
      <w:r w:rsidRPr="00905881">
        <w:rPr>
          <w:color w:val="4F81BD" w:themeColor="accent1"/>
          <w:szCs w:val="20"/>
        </w:rPr>
        <w:fldChar w:fldCharType="end"/>
      </w:r>
      <w:r w:rsidR="00615F42" w:rsidRPr="00905881">
        <w:rPr>
          <w:color w:val="4F81BD" w:themeColor="accent1"/>
          <w:szCs w:val="20"/>
        </w:rPr>
        <w:t xml:space="preserve"> No</w:t>
      </w:r>
    </w:p>
    <w:p w14:paraId="0AE1BBB1"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10EA2D6D" w14:textId="4CDAC546" w:rsidR="0043654D" w:rsidRPr="00905881" w:rsidRDefault="00F3255E" w:rsidP="0043654D">
      <w:pPr>
        <w:spacing w:before="0" w:after="0"/>
        <w:ind w:left="284"/>
        <w:rPr>
          <w:color w:val="4F81BD" w:themeColor="accent1"/>
          <w:szCs w:val="20"/>
        </w:rPr>
      </w:pPr>
      <w:r w:rsidRPr="00905881">
        <w:rPr>
          <w:color w:val="4F81BD" w:themeColor="accent1"/>
          <w:szCs w:val="20"/>
        </w:rPr>
        <w:fldChar w:fldCharType="begin">
          <w:ffData>
            <w:name w:val=""/>
            <w:enabled/>
            <w:calcOnExit w:val="0"/>
            <w:checkBox>
              <w:sizeAuto/>
              <w:default w:val="1"/>
            </w:checkBox>
          </w:ffData>
        </w:fldChar>
      </w:r>
      <w:r w:rsidRPr="00905881">
        <w:rPr>
          <w:color w:val="4F81BD" w:themeColor="accent1"/>
          <w:szCs w:val="20"/>
        </w:rPr>
        <w:instrText xml:space="preserve"> FORMCHECKBOX </w:instrText>
      </w:r>
      <w:r w:rsidR="00905881" w:rsidRPr="00905881">
        <w:rPr>
          <w:color w:val="4F81BD" w:themeColor="accent1"/>
          <w:szCs w:val="20"/>
        </w:rPr>
      </w:r>
      <w:r w:rsidR="00905881" w:rsidRPr="00905881">
        <w:rPr>
          <w:color w:val="4F81BD" w:themeColor="accent1"/>
          <w:szCs w:val="20"/>
        </w:rPr>
        <w:fldChar w:fldCharType="separate"/>
      </w:r>
      <w:r w:rsidRPr="00905881">
        <w:rPr>
          <w:color w:val="4F81BD" w:themeColor="accent1"/>
          <w:szCs w:val="20"/>
        </w:rPr>
        <w:fldChar w:fldCharType="end"/>
      </w:r>
      <w:r w:rsidR="0043654D" w:rsidRPr="00905881">
        <w:rPr>
          <w:color w:val="4F81BD" w:themeColor="accent1"/>
          <w:szCs w:val="20"/>
        </w:rPr>
        <w:t xml:space="preserve"> Yes (if yes, please provide details below</w:t>
      </w:r>
      <w:r w:rsidR="003F2A25" w:rsidRPr="00905881">
        <w:rPr>
          <w:color w:val="4F81BD" w:themeColor="accent1"/>
          <w:szCs w:val="20"/>
        </w:rPr>
        <w:t xml:space="preserve"> in table</w:t>
      </w:r>
      <w:r w:rsidR="0043654D" w:rsidRPr="00905881">
        <w:rPr>
          <w:color w:val="4F81BD" w:themeColor="accent1"/>
          <w:szCs w:val="20"/>
        </w:rPr>
        <w:t>)</w:t>
      </w:r>
    </w:p>
    <w:p w14:paraId="02DD63F3"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05881">
        <w:rPr>
          <w:szCs w:val="20"/>
        </w:rPr>
      </w:r>
      <w:r w:rsidR="00905881">
        <w:rPr>
          <w:szCs w:val="20"/>
        </w:rPr>
        <w:fldChar w:fldCharType="separate"/>
      </w:r>
      <w:r w:rsidRPr="000A5B32">
        <w:rPr>
          <w:szCs w:val="20"/>
        </w:rPr>
        <w:fldChar w:fldCharType="end"/>
      </w:r>
      <w:r>
        <w:rPr>
          <w:szCs w:val="20"/>
        </w:rPr>
        <w:t xml:space="preserve"> No</w:t>
      </w:r>
    </w:p>
    <w:p w14:paraId="02502158" w14:textId="776C1BFB" w:rsidR="0043654D" w:rsidRDefault="0043654D" w:rsidP="0043654D">
      <w:pPr>
        <w:spacing w:before="0" w:after="0"/>
        <w:ind w:left="284"/>
        <w:rPr>
          <w:b/>
          <w:szCs w:val="20"/>
        </w:rPr>
      </w:pPr>
    </w:p>
    <w:p w14:paraId="097A5264" w14:textId="5354EA13" w:rsidR="004E2836" w:rsidRPr="00615F42" w:rsidRDefault="004E2836" w:rsidP="004E2836">
      <w:pPr>
        <w:pStyle w:val="Caption"/>
        <w:rPr>
          <w:b/>
          <w:szCs w:val="20"/>
        </w:rPr>
      </w:pPr>
      <w:r>
        <w:t xml:space="preserve">Table </w:t>
      </w:r>
      <w:r w:rsidR="00B80068">
        <w:rPr>
          <w:noProof/>
        </w:rPr>
        <w:fldChar w:fldCharType="begin"/>
      </w:r>
      <w:r w:rsidR="00B80068">
        <w:rPr>
          <w:noProof/>
        </w:rPr>
        <w:instrText xml:space="preserve"> SEQ Table \* ARABIC </w:instrText>
      </w:r>
      <w:r w:rsidR="00B80068">
        <w:rPr>
          <w:noProof/>
        </w:rPr>
        <w:fldChar w:fldCharType="separate"/>
      </w:r>
      <w:r w:rsidR="00CA2489">
        <w:rPr>
          <w:noProof/>
        </w:rPr>
        <w:t>1</w:t>
      </w:r>
      <w:r w:rsidR="00B80068">
        <w:rPr>
          <w:noProof/>
        </w:rPr>
        <w:fldChar w:fldCharType="end"/>
      </w:r>
      <w:r w:rsidR="00B35A17">
        <w:tab/>
        <w:t>TGA registered flow diversion product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581"/>
        <w:gridCol w:w="2582"/>
        <w:gridCol w:w="2582"/>
      </w:tblGrid>
      <w:tr w:rsidR="003F2A25" w:rsidRPr="004E2836" w14:paraId="738B92AD" w14:textId="77777777" w:rsidTr="00B35A17">
        <w:trPr>
          <w:tblHeader/>
        </w:trPr>
        <w:tc>
          <w:tcPr>
            <w:tcW w:w="992" w:type="dxa"/>
            <w:shd w:val="clear" w:color="auto" w:fill="auto"/>
          </w:tcPr>
          <w:p w14:paraId="04461817" w14:textId="454C9263" w:rsidR="003F2A25" w:rsidRPr="004E2836" w:rsidRDefault="003F2A25" w:rsidP="004E2836">
            <w:pPr>
              <w:rPr>
                <w:b/>
              </w:rPr>
            </w:pPr>
            <w:r w:rsidRPr="004E2836">
              <w:rPr>
                <w:b/>
              </w:rPr>
              <w:t>ARTG number</w:t>
            </w:r>
          </w:p>
        </w:tc>
        <w:tc>
          <w:tcPr>
            <w:tcW w:w="2581" w:type="dxa"/>
            <w:shd w:val="clear" w:color="auto" w:fill="auto"/>
          </w:tcPr>
          <w:p w14:paraId="1016DB96" w14:textId="77777777" w:rsidR="003F2A25" w:rsidRPr="004E2836" w:rsidRDefault="003F2A25" w:rsidP="004E2836">
            <w:pPr>
              <w:rPr>
                <w:b/>
              </w:rPr>
            </w:pPr>
            <w:r w:rsidRPr="004E2836">
              <w:rPr>
                <w:b/>
              </w:rPr>
              <w:t>Product description</w:t>
            </w:r>
          </w:p>
        </w:tc>
        <w:tc>
          <w:tcPr>
            <w:tcW w:w="2582" w:type="dxa"/>
            <w:shd w:val="clear" w:color="auto" w:fill="auto"/>
          </w:tcPr>
          <w:p w14:paraId="57F2C9EE" w14:textId="77777777" w:rsidR="003F2A25" w:rsidRPr="004E2836" w:rsidRDefault="003F2A25" w:rsidP="004E2836">
            <w:pPr>
              <w:rPr>
                <w:b/>
              </w:rPr>
            </w:pPr>
            <w:r w:rsidRPr="004E2836">
              <w:rPr>
                <w:b/>
              </w:rPr>
              <w:t>Intended purpose</w:t>
            </w:r>
          </w:p>
        </w:tc>
        <w:tc>
          <w:tcPr>
            <w:tcW w:w="2582" w:type="dxa"/>
          </w:tcPr>
          <w:p w14:paraId="18399165" w14:textId="77777777" w:rsidR="003F2A25" w:rsidRPr="004E2836" w:rsidRDefault="003F2A25" w:rsidP="004E2836">
            <w:pPr>
              <w:rPr>
                <w:b/>
              </w:rPr>
            </w:pPr>
            <w:r w:rsidRPr="004E2836">
              <w:rPr>
                <w:b/>
              </w:rPr>
              <w:t>Sponsor</w:t>
            </w:r>
          </w:p>
        </w:tc>
      </w:tr>
      <w:tr w:rsidR="003F2A25" w:rsidRPr="009E0571" w14:paraId="6A0E61A6" w14:textId="77777777" w:rsidTr="00B35A17">
        <w:tc>
          <w:tcPr>
            <w:tcW w:w="992" w:type="dxa"/>
            <w:shd w:val="clear" w:color="auto" w:fill="auto"/>
          </w:tcPr>
          <w:p w14:paraId="4C86DF86" w14:textId="6DB595AC" w:rsidR="003F2A25" w:rsidRPr="003B4C2A" w:rsidRDefault="003F2A25" w:rsidP="004E2836">
            <w:pPr>
              <w:rPr>
                <w:color w:val="4F81BD" w:themeColor="accent1"/>
              </w:rPr>
            </w:pPr>
            <w:r w:rsidRPr="003B4C2A">
              <w:rPr>
                <w:color w:val="4F81BD" w:themeColor="accent1"/>
              </w:rPr>
              <w:t>251273</w:t>
            </w:r>
          </w:p>
        </w:tc>
        <w:tc>
          <w:tcPr>
            <w:tcW w:w="2581" w:type="dxa"/>
            <w:shd w:val="clear" w:color="auto" w:fill="auto"/>
          </w:tcPr>
          <w:p w14:paraId="6D39E813" w14:textId="77777777" w:rsidR="003F2A25" w:rsidRPr="003B4C2A" w:rsidRDefault="003F2A25" w:rsidP="004E2836">
            <w:pPr>
              <w:rPr>
                <w:color w:val="4F81BD" w:themeColor="accent1"/>
              </w:rPr>
            </w:pPr>
            <w:r w:rsidRPr="003B4C2A">
              <w:rPr>
                <w:color w:val="4F81BD" w:themeColor="accent1"/>
              </w:rPr>
              <w:t>Pipeline Flex Embolization Device with Shield Technology – stent, vascular, intracranial</w:t>
            </w:r>
          </w:p>
        </w:tc>
        <w:tc>
          <w:tcPr>
            <w:tcW w:w="2582" w:type="dxa"/>
            <w:shd w:val="clear" w:color="auto" w:fill="auto"/>
          </w:tcPr>
          <w:p w14:paraId="61891D48" w14:textId="77777777" w:rsidR="003F2A25" w:rsidRPr="003B4C2A" w:rsidRDefault="003F2A25" w:rsidP="004E2836">
            <w:pPr>
              <w:rPr>
                <w:color w:val="4F81BD" w:themeColor="accent1"/>
              </w:rPr>
            </w:pPr>
            <w:r w:rsidRPr="003B4C2A">
              <w:rPr>
                <w:color w:val="4F81BD" w:themeColor="accent1"/>
              </w:rPr>
              <w:t>The PED with Shield Technology is intended for endovascular embolization of cerebral aneurysms.</w:t>
            </w:r>
          </w:p>
        </w:tc>
        <w:tc>
          <w:tcPr>
            <w:tcW w:w="2582" w:type="dxa"/>
          </w:tcPr>
          <w:p w14:paraId="64354113" w14:textId="77777777" w:rsidR="003F2A25" w:rsidRPr="003B4C2A" w:rsidRDefault="003F2A25" w:rsidP="004E2836">
            <w:pPr>
              <w:rPr>
                <w:color w:val="4F81BD" w:themeColor="accent1"/>
              </w:rPr>
            </w:pPr>
            <w:r w:rsidRPr="003B4C2A">
              <w:rPr>
                <w:color w:val="4F81BD" w:themeColor="accent1"/>
              </w:rPr>
              <w:t>Medtronic Australasia Pty Ltd</w:t>
            </w:r>
          </w:p>
        </w:tc>
      </w:tr>
      <w:tr w:rsidR="003F2A25" w:rsidRPr="009E0571" w14:paraId="17C7C68C" w14:textId="77777777" w:rsidTr="00B35A17">
        <w:tc>
          <w:tcPr>
            <w:tcW w:w="992" w:type="dxa"/>
            <w:shd w:val="clear" w:color="auto" w:fill="auto"/>
          </w:tcPr>
          <w:p w14:paraId="44C4FEC9" w14:textId="6A3BD148" w:rsidR="003F2A25" w:rsidRPr="003B4C2A" w:rsidRDefault="003F2A25" w:rsidP="004E2836">
            <w:pPr>
              <w:rPr>
                <w:color w:val="4F81BD" w:themeColor="accent1"/>
              </w:rPr>
            </w:pPr>
            <w:r w:rsidRPr="003B4C2A">
              <w:rPr>
                <w:color w:val="4F81BD" w:themeColor="accent1"/>
              </w:rPr>
              <w:t>230661</w:t>
            </w:r>
          </w:p>
        </w:tc>
        <w:tc>
          <w:tcPr>
            <w:tcW w:w="2581" w:type="dxa"/>
            <w:shd w:val="clear" w:color="auto" w:fill="auto"/>
          </w:tcPr>
          <w:p w14:paraId="546F4AEC" w14:textId="77777777" w:rsidR="003F2A25" w:rsidRPr="003B4C2A" w:rsidRDefault="003F2A25" w:rsidP="004E2836">
            <w:pPr>
              <w:rPr>
                <w:color w:val="4F81BD" w:themeColor="accent1"/>
              </w:rPr>
            </w:pPr>
            <w:r w:rsidRPr="003B4C2A">
              <w:rPr>
                <w:color w:val="4F81BD" w:themeColor="accent1"/>
              </w:rPr>
              <w:t>Pipeline Flex Embolization Device - Stent, vascular, intracranial</w:t>
            </w:r>
          </w:p>
        </w:tc>
        <w:tc>
          <w:tcPr>
            <w:tcW w:w="2582" w:type="dxa"/>
            <w:shd w:val="clear" w:color="auto" w:fill="auto"/>
          </w:tcPr>
          <w:p w14:paraId="4C9A1AC6" w14:textId="77777777" w:rsidR="003F2A25" w:rsidRPr="003B4C2A" w:rsidRDefault="003F2A25" w:rsidP="004E2836">
            <w:pPr>
              <w:rPr>
                <w:color w:val="4F81BD" w:themeColor="accent1"/>
              </w:rPr>
            </w:pPr>
            <w:r w:rsidRPr="003B4C2A">
              <w:rPr>
                <w:color w:val="4F81BD" w:themeColor="accent1"/>
              </w:rPr>
              <w:t>The PED is intended for endovascular embolization of cerebral aneurysms.</w:t>
            </w:r>
          </w:p>
        </w:tc>
        <w:tc>
          <w:tcPr>
            <w:tcW w:w="2582" w:type="dxa"/>
          </w:tcPr>
          <w:p w14:paraId="4F01EC01" w14:textId="77777777" w:rsidR="003F2A25" w:rsidRPr="003B4C2A" w:rsidRDefault="003F2A25" w:rsidP="004E2836">
            <w:pPr>
              <w:rPr>
                <w:color w:val="4F81BD" w:themeColor="accent1"/>
              </w:rPr>
            </w:pPr>
            <w:r w:rsidRPr="003B4C2A">
              <w:rPr>
                <w:color w:val="4F81BD" w:themeColor="accent1"/>
              </w:rPr>
              <w:t>Medtronic Australasia Pty Ltd</w:t>
            </w:r>
          </w:p>
        </w:tc>
      </w:tr>
      <w:tr w:rsidR="003F2A25" w:rsidRPr="009E0571" w14:paraId="35F3723C" w14:textId="77777777" w:rsidTr="00B35A17">
        <w:tc>
          <w:tcPr>
            <w:tcW w:w="992" w:type="dxa"/>
            <w:shd w:val="clear" w:color="auto" w:fill="auto"/>
          </w:tcPr>
          <w:p w14:paraId="661896B7" w14:textId="13D8A348" w:rsidR="003F2A25" w:rsidRPr="003B4C2A" w:rsidRDefault="003F2A25" w:rsidP="004E2836">
            <w:pPr>
              <w:rPr>
                <w:color w:val="4F81BD" w:themeColor="accent1"/>
              </w:rPr>
            </w:pPr>
            <w:r w:rsidRPr="003B4C2A">
              <w:rPr>
                <w:color w:val="4F81BD" w:themeColor="accent1"/>
              </w:rPr>
              <w:t>186413</w:t>
            </w:r>
          </w:p>
        </w:tc>
        <w:tc>
          <w:tcPr>
            <w:tcW w:w="2581" w:type="dxa"/>
            <w:shd w:val="clear" w:color="auto" w:fill="auto"/>
          </w:tcPr>
          <w:p w14:paraId="585ACA9D" w14:textId="77777777" w:rsidR="003F2A25" w:rsidRPr="003B4C2A" w:rsidRDefault="003F2A25" w:rsidP="004E2836">
            <w:pPr>
              <w:rPr>
                <w:color w:val="4F81BD" w:themeColor="accent1"/>
              </w:rPr>
            </w:pPr>
            <w:r w:rsidRPr="003B4C2A">
              <w:rPr>
                <w:color w:val="4F81BD" w:themeColor="accent1"/>
              </w:rPr>
              <w:t>Pipeline Embolization Device - Stent, vascular, intracranial</w:t>
            </w:r>
          </w:p>
        </w:tc>
        <w:tc>
          <w:tcPr>
            <w:tcW w:w="2582" w:type="dxa"/>
            <w:shd w:val="clear" w:color="auto" w:fill="auto"/>
          </w:tcPr>
          <w:p w14:paraId="2E1BC499" w14:textId="77777777" w:rsidR="003F2A25" w:rsidRPr="003B4C2A" w:rsidRDefault="003F2A25" w:rsidP="004E2836">
            <w:pPr>
              <w:rPr>
                <w:color w:val="4F81BD" w:themeColor="accent1"/>
              </w:rPr>
            </w:pPr>
            <w:r w:rsidRPr="003B4C2A">
              <w:rPr>
                <w:color w:val="4F81BD" w:themeColor="accent1"/>
              </w:rPr>
              <w:t>The PED is intended for endovascular embolization of cerebral aneurysms.</w:t>
            </w:r>
          </w:p>
        </w:tc>
        <w:tc>
          <w:tcPr>
            <w:tcW w:w="2582" w:type="dxa"/>
          </w:tcPr>
          <w:p w14:paraId="7A51FA12" w14:textId="77777777" w:rsidR="003F2A25" w:rsidRPr="003B4C2A" w:rsidRDefault="003F2A25" w:rsidP="004E2836">
            <w:pPr>
              <w:rPr>
                <w:color w:val="4F81BD" w:themeColor="accent1"/>
              </w:rPr>
            </w:pPr>
            <w:r w:rsidRPr="003B4C2A">
              <w:rPr>
                <w:color w:val="4F81BD" w:themeColor="accent1"/>
              </w:rPr>
              <w:t>Medtronic Australasia Pty Ltd</w:t>
            </w:r>
          </w:p>
        </w:tc>
      </w:tr>
      <w:tr w:rsidR="003F2A25" w:rsidRPr="009E0571" w14:paraId="41C2D303" w14:textId="77777777" w:rsidTr="00B35A17">
        <w:tc>
          <w:tcPr>
            <w:tcW w:w="992" w:type="dxa"/>
            <w:shd w:val="clear" w:color="auto" w:fill="auto"/>
          </w:tcPr>
          <w:p w14:paraId="57723EA3" w14:textId="1248956A" w:rsidR="003F2A25" w:rsidRPr="003B4C2A" w:rsidRDefault="003F2A25" w:rsidP="004E2836">
            <w:pPr>
              <w:rPr>
                <w:color w:val="4F81BD" w:themeColor="accent1"/>
              </w:rPr>
            </w:pPr>
            <w:r w:rsidRPr="003B4C2A">
              <w:rPr>
                <w:color w:val="4F81BD" w:themeColor="accent1"/>
              </w:rPr>
              <w:t>220724</w:t>
            </w:r>
          </w:p>
        </w:tc>
        <w:tc>
          <w:tcPr>
            <w:tcW w:w="2581" w:type="dxa"/>
            <w:shd w:val="clear" w:color="auto" w:fill="auto"/>
          </w:tcPr>
          <w:p w14:paraId="54D9E10F" w14:textId="77777777" w:rsidR="003F2A25" w:rsidRPr="003B4C2A" w:rsidRDefault="003F2A25" w:rsidP="004E2836">
            <w:pPr>
              <w:rPr>
                <w:color w:val="4F81BD" w:themeColor="accent1"/>
              </w:rPr>
            </w:pPr>
            <w:r w:rsidRPr="003B4C2A">
              <w:rPr>
                <w:color w:val="4F81BD" w:themeColor="accent1"/>
              </w:rPr>
              <w:t xml:space="preserve">FRED Flow Re-Direction </w:t>
            </w:r>
            <w:proofErr w:type="spellStart"/>
            <w:r w:rsidRPr="003B4C2A">
              <w:rPr>
                <w:color w:val="4F81BD" w:themeColor="accent1"/>
              </w:rPr>
              <w:t>Endoluminal</w:t>
            </w:r>
            <w:proofErr w:type="spellEnd"/>
            <w:r w:rsidRPr="003B4C2A">
              <w:rPr>
                <w:color w:val="4F81BD" w:themeColor="accent1"/>
              </w:rPr>
              <w:t xml:space="preserve"> Device - Stent, vascular, intracranial</w:t>
            </w:r>
          </w:p>
        </w:tc>
        <w:tc>
          <w:tcPr>
            <w:tcW w:w="2582" w:type="dxa"/>
            <w:shd w:val="clear" w:color="auto" w:fill="auto"/>
          </w:tcPr>
          <w:p w14:paraId="459BE13A" w14:textId="77777777" w:rsidR="003F2A25" w:rsidRPr="003B4C2A" w:rsidRDefault="003F2A25" w:rsidP="004E2836">
            <w:pPr>
              <w:rPr>
                <w:color w:val="4F81BD" w:themeColor="accent1"/>
              </w:rPr>
            </w:pPr>
            <w:r w:rsidRPr="003B4C2A">
              <w:rPr>
                <w:color w:val="4F81BD" w:themeColor="accent1"/>
              </w:rPr>
              <w:t xml:space="preserve">The FRED system is intended for endovascular embolization of intracranial neurovascular </w:t>
            </w:r>
            <w:proofErr w:type="gramStart"/>
            <w:r w:rsidRPr="003B4C2A">
              <w:rPr>
                <w:color w:val="4F81BD" w:themeColor="accent1"/>
              </w:rPr>
              <w:t>aneurysms,</w:t>
            </w:r>
            <w:proofErr w:type="gramEnd"/>
            <w:r w:rsidRPr="003B4C2A">
              <w:rPr>
                <w:color w:val="4F81BD" w:themeColor="accent1"/>
              </w:rPr>
              <w:t xml:space="preserve"> may be used with embolic coils for the treatment of intracranial neurovascular lesions. </w:t>
            </w:r>
          </w:p>
        </w:tc>
        <w:tc>
          <w:tcPr>
            <w:tcW w:w="2582" w:type="dxa"/>
          </w:tcPr>
          <w:p w14:paraId="081C53AD" w14:textId="77777777" w:rsidR="003F2A25" w:rsidRPr="003B4C2A" w:rsidRDefault="003F2A25" w:rsidP="004E2836">
            <w:pPr>
              <w:rPr>
                <w:color w:val="4F81BD" w:themeColor="accent1"/>
              </w:rPr>
            </w:pPr>
            <w:proofErr w:type="spellStart"/>
            <w:r w:rsidRPr="003B4C2A">
              <w:rPr>
                <w:color w:val="4F81BD" w:themeColor="accent1"/>
              </w:rPr>
              <w:t>Culpan</w:t>
            </w:r>
            <w:proofErr w:type="spellEnd"/>
            <w:r w:rsidRPr="003B4C2A">
              <w:rPr>
                <w:color w:val="4F81BD" w:themeColor="accent1"/>
              </w:rPr>
              <w:t xml:space="preserve"> Medical Pty Ltd</w:t>
            </w:r>
          </w:p>
        </w:tc>
      </w:tr>
      <w:tr w:rsidR="003F2A25" w:rsidRPr="009E0571" w14:paraId="54141155" w14:textId="77777777" w:rsidTr="00B35A17">
        <w:tc>
          <w:tcPr>
            <w:tcW w:w="992" w:type="dxa"/>
            <w:shd w:val="clear" w:color="auto" w:fill="auto"/>
          </w:tcPr>
          <w:p w14:paraId="3339C7CD" w14:textId="0598BA22" w:rsidR="003F2A25" w:rsidRPr="003B4C2A" w:rsidRDefault="003F2A25" w:rsidP="004E2836">
            <w:pPr>
              <w:rPr>
                <w:color w:val="4F81BD" w:themeColor="accent1"/>
              </w:rPr>
            </w:pPr>
            <w:r w:rsidRPr="003B4C2A">
              <w:rPr>
                <w:color w:val="4F81BD" w:themeColor="accent1"/>
              </w:rPr>
              <w:lastRenderedPageBreak/>
              <w:t>155086</w:t>
            </w:r>
          </w:p>
        </w:tc>
        <w:tc>
          <w:tcPr>
            <w:tcW w:w="2581" w:type="dxa"/>
            <w:shd w:val="clear" w:color="auto" w:fill="auto"/>
          </w:tcPr>
          <w:p w14:paraId="4AB2C6D5" w14:textId="77777777" w:rsidR="003F2A25" w:rsidRPr="003B4C2A" w:rsidRDefault="003F2A25" w:rsidP="004E2836">
            <w:pPr>
              <w:rPr>
                <w:color w:val="4F81BD" w:themeColor="accent1"/>
              </w:rPr>
            </w:pPr>
            <w:r w:rsidRPr="003B4C2A">
              <w:rPr>
                <w:color w:val="4F81BD" w:themeColor="accent1"/>
              </w:rPr>
              <w:t>Intracranial self-expanding stent SILK - Stent, vascular, intracranial</w:t>
            </w:r>
          </w:p>
        </w:tc>
        <w:tc>
          <w:tcPr>
            <w:tcW w:w="2582" w:type="dxa"/>
            <w:shd w:val="clear" w:color="auto" w:fill="auto"/>
          </w:tcPr>
          <w:p w14:paraId="4782BE88" w14:textId="77777777" w:rsidR="003F2A25" w:rsidRPr="003B4C2A" w:rsidRDefault="003F2A25" w:rsidP="004E2836">
            <w:pPr>
              <w:rPr>
                <w:color w:val="4F81BD" w:themeColor="accent1"/>
              </w:rPr>
            </w:pPr>
            <w:r w:rsidRPr="003B4C2A">
              <w:rPr>
                <w:color w:val="4F81BD" w:themeColor="accent1"/>
              </w:rPr>
              <w:t xml:space="preserve">SILK stents are intended for the treatment of intracranial aneurisms. The SILK stent is </w:t>
            </w:r>
            <w:proofErr w:type="gramStart"/>
            <w:r w:rsidRPr="003B4C2A">
              <w:rPr>
                <w:color w:val="4F81BD" w:themeColor="accent1"/>
              </w:rPr>
              <w:t>an</w:t>
            </w:r>
            <w:proofErr w:type="gramEnd"/>
            <w:r w:rsidRPr="003B4C2A">
              <w:rPr>
                <w:color w:val="4F81BD" w:themeColor="accent1"/>
              </w:rPr>
              <w:t xml:space="preserve"> Nitinol stent which is introduced into the intracranial vessels via a delivery wire and introducer and catheter for placement.</w:t>
            </w:r>
          </w:p>
        </w:tc>
        <w:tc>
          <w:tcPr>
            <w:tcW w:w="2582" w:type="dxa"/>
          </w:tcPr>
          <w:p w14:paraId="7DD4497C" w14:textId="77777777" w:rsidR="003F2A25" w:rsidRPr="003B4C2A" w:rsidRDefault="003F2A25" w:rsidP="004E2836">
            <w:pPr>
              <w:rPr>
                <w:color w:val="4F81BD" w:themeColor="accent1"/>
              </w:rPr>
            </w:pPr>
            <w:r w:rsidRPr="003B4C2A">
              <w:rPr>
                <w:color w:val="4F81BD" w:themeColor="accent1"/>
              </w:rPr>
              <w:t>Getz Healthcare Pty Ltd</w:t>
            </w:r>
          </w:p>
        </w:tc>
      </w:tr>
      <w:tr w:rsidR="00837E12" w:rsidRPr="009E0571" w14:paraId="5724CEB1" w14:textId="77777777" w:rsidTr="00B35A17">
        <w:tc>
          <w:tcPr>
            <w:tcW w:w="992" w:type="dxa"/>
            <w:shd w:val="clear" w:color="auto" w:fill="auto"/>
          </w:tcPr>
          <w:p w14:paraId="144EC237" w14:textId="56A1FE0D" w:rsidR="00837E12" w:rsidRPr="003B4C2A" w:rsidRDefault="00837E12" w:rsidP="004E2836">
            <w:pPr>
              <w:rPr>
                <w:color w:val="4F81BD" w:themeColor="accent1"/>
              </w:rPr>
            </w:pPr>
            <w:r w:rsidRPr="003B4C2A">
              <w:rPr>
                <w:color w:val="4F81BD" w:themeColor="accent1"/>
              </w:rPr>
              <w:t>283662</w:t>
            </w:r>
          </w:p>
        </w:tc>
        <w:tc>
          <w:tcPr>
            <w:tcW w:w="2581" w:type="dxa"/>
            <w:shd w:val="clear" w:color="auto" w:fill="auto"/>
          </w:tcPr>
          <w:p w14:paraId="2C7D6636" w14:textId="1FA24475" w:rsidR="00837E12" w:rsidRPr="003B4C2A" w:rsidRDefault="00837E12" w:rsidP="004E2836">
            <w:pPr>
              <w:rPr>
                <w:color w:val="4F81BD" w:themeColor="accent1"/>
              </w:rPr>
            </w:pPr>
            <w:r w:rsidRPr="003B4C2A">
              <w:rPr>
                <w:color w:val="4F81BD" w:themeColor="accent1"/>
              </w:rPr>
              <w:t>Surpass Streamline Flow Diverter - Stent, vascular, intracranial</w:t>
            </w:r>
          </w:p>
        </w:tc>
        <w:tc>
          <w:tcPr>
            <w:tcW w:w="2582" w:type="dxa"/>
            <w:shd w:val="clear" w:color="auto" w:fill="auto"/>
          </w:tcPr>
          <w:p w14:paraId="61C7023A" w14:textId="553CA3D9" w:rsidR="00837E12" w:rsidRPr="003B4C2A" w:rsidRDefault="00837E12" w:rsidP="004E2836">
            <w:pPr>
              <w:rPr>
                <w:color w:val="4F81BD" w:themeColor="accent1"/>
              </w:rPr>
            </w:pPr>
            <w:r w:rsidRPr="003B4C2A">
              <w:rPr>
                <w:color w:val="4F81BD" w:themeColor="accent1"/>
              </w:rPr>
              <w:t xml:space="preserve">The Surpass Flow Diverter is indicated for use for the treatment of saccular or fusiform intracranial aneurysms arising from a parent vessel with a diameter of ?2.5 mm and ?5.3 </w:t>
            </w:r>
            <w:proofErr w:type="spellStart"/>
            <w:r w:rsidRPr="003B4C2A">
              <w:rPr>
                <w:color w:val="4F81BD" w:themeColor="accent1"/>
              </w:rPr>
              <w:t>mm</w:t>
            </w:r>
            <w:r w:rsidRPr="003B4C2A">
              <w:rPr>
                <w:color w:val="4F81BD" w:themeColor="accent1"/>
                <w:vertAlign w:val="superscript"/>
              </w:rPr>
              <w:t>a</w:t>
            </w:r>
            <w:proofErr w:type="spellEnd"/>
          </w:p>
        </w:tc>
        <w:tc>
          <w:tcPr>
            <w:tcW w:w="2582" w:type="dxa"/>
          </w:tcPr>
          <w:p w14:paraId="2AAD5864" w14:textId="7361189E" w:rsidR="00837E12" w:rsidRPr="003B4C2A" w:rsidRDefault="00837E12" w:rsidP="004E2836">
            <w:pPr>
              <w:rPr>
                <w:color w:val="4F81BD" w:themeColor="accent1"/>
              </w:rPr>
            </w:pPr>
            <w:r w:rsidRPr="003B4C2A">
              <w:rPr>
                <w:color w:val="4F81BD" w:themeColor="accent1"/>
              </w:rPr>
              <w:t>Stryker Australia Pty Ltd</w:t>
            </w:r>
          </w:p>
        </w:tc>
      </w:tr>
    </w:tbl>
    <w:p w14:paraId="026AA232" w14:textId="77777777" w:rsidR="00837E12" w:rsidRPr="003B4C2A" w:rsidRDefault="003F2A25" w:rsidP="00837E12">
      <w:pPr>
        <w:ind w:left="284"/>
        <w:rPr>
          <w:rFonts w:ascii="Arial Narrow" w:hAnsi="Arial Narrow"/>
          <w:color w:val="4F81BD" w:themeColor="accent1"/>
          <w:szCs w:val="20"/>
        </w:rPr>
      </w:pPr>
      <w:r w:rsidRPr="003B4C2A">
        <w:rPr>
          <w:rFonts w:ascii="Arial Narrow" w:hAnsi="Arial Narrow"/>
          <w:color w:val="4F81BD" w:themeColor="accent1"/>
          <w:szCs w:val="20"/>
        </w:rPr>
        <w:t>Source: Therapeutic Goods Administration, accessed 7 March 2018</w:t>
      </w:r>
      <w:r w:rsidR="00837E12" w:rsidRPr="003B4C2A">
        <w:rPr>
          <w:rFonts w:ascii="Arial Narrow" w:hAnsi="Arial Narrow"/>
          <w:color w:val="4F81BD" w:themeColor="accent1"/>
          <w:szCs w:val="20"/>
        </w:rPr>
        <w:t xml:space="preserve">. </w:t>
      </w:r>
    </w:p>
    <w:p w14:paraId="08C74846" w14:textId="376A0881" w:rsidR="00837E12" w:rsidRPr="003B4C2A" w:rsidRDefault="00837E12" w:rsidP="00837E12">
      <w:pPr>
        <w:ind w:left="284"/>
        <w:rPr>
          <w:rFonts w:ascii="Arial Narrow" w:hAnsi="Arial Narrow"/>
          <w:color w:val="4F81BD" w:themeColor="accent1"/>
          <w:szCs w:val="20"/>
        </w:rPr>
      </w:pPr>
      <w:proofErr w:type="spellStart"/>
      <w:proofErr w:type="gramStart"/>
      <w:r w:rsidRPr="003B4C2A">
        <w:rPr>
          <w:rFonts w:ascii="Arial Narrow" w:hAnsi="Arial Narrow"/>
          <w:color w:val="4F81BD" w:themeColor="accent1"/>
          <w:szCs w:val="20"/>
          <w:vertAlign w:val="superscript"/>
        </w:rPr>
        <w:t>a</w:t>
      </w:r>
      <w:r w:rsidRPr="003B4C2A">
        <w:rPr>
          <w:rFonts w:ascii="Arial Narrow" w:hAnsi="Arial Narrow"/>
          <w:color w:val="4F81BD" w:themeColor="accent1"/>
          <w:szCs w:val="20"/>
        </w:rPr>
        <w:t>As</w:t>
      </w:r>
      <w:proofErr w:type="spellEnd"/>
      <w:proofErr w:type="gramEnd"/>
      <w:r w:rsidRPr="003B4C2A">
        <w:rPr>
          <w:rFonts w:ascii="Arial Narrow" w:hAnsi="Arial Narrow"/>
          <w:color w:val="4F81BD" w:themeColor="accent1"/>
          <w:szCs w:val="20"/>
        </w:rPr>
        <w:t xml:space="preserve"> per ARTG website - it is not clear what the ‘?’</w:t>
      </w:r>
      <w:proofErr w:type="gramStart"/>
      <w:r w:rsidRPr="003B4C2A">
        <w:rPr>
          <w:rFonts w:ascii="Arial Narrow" w:hAnsi="Arial Narrow"/>
          <w:color w:val="4F81BD" w:themeColor="accent1"/>
          <w:szCs w:val="20"/>
        </w:rPr>
        <w:t>s</w:t>
      </w:r>
      <w:proofErr w:type="gramEnd"/>
      <w:r w:rsidRPr="003B4C2A">
        <w:rPr>
          <w:rFonts w:ascii="Arial Narrow" w:hAnsi="Arial Narrow"/>
          <w:color w:val="4F81BD" w:themeColor="accent1"/>
          <w:szCs w:val="20"/>
        </w:rPr>
        <w:t xml:space="preserve"> refer to.</w:t>
      </w:r>
    </w:p>
    <w:p w14:paraId="20E9CA50" w14:textId="6B9640F6" w:rsidR="003F2A25" w:rsidRPr="003B4C2A" w:rsidRDefault="003F2A25" w:rsidP="00152EA2">
      <w:pPr>
        <w:ind w:firstLine="284"/>
        <w:rPr>
          <w:color w:val="4F81BD" w:themeColor="accent1"/>
        </w:rPr>
      </w:pPr>
    </w:p>
    <w:p w14:paraId="393DAA25" w14:textId="4B8B6FEB" w:rsidR="003F2A25" w:rsidRPr="003B4C2A" w:rsidRDefault="003F2A25" w:rsidP="0043654D">
      <w:pPr>
        <w:spacing w:before="0" w:after="0"/>
        <w:ind w:left="284"/>
        <w:rPr>
          <w:color w:val="4F81BD" w:themeColor="accent1"/>
          <w:szCs w:val="20"/>
        </w:rPr>
      </w:pPr>
    </w:p>
    <w:p w14:paraId="3F517824" w14:textId="72626F98" w:rsidR="005A5606" w:rsidRPr="003B4C2A" w:rsidRDefault="00A32B28" w:rsidP="0043654D">
      <w:pPr>
        <w:spacing w:before="0" w:after="0"/>
        <w:ind w:left="284"/>
        <w:rPr>
          <w:color w:val="4F81BD" w:themeColor="accent1"/>
          <w:szCs w:val="20"/>
        </w:rPr>
      </w:pPr>
      <w:r w:rsidRPr="003B4C2A">
        <w:rPr>
          <w:color w:val="4F81BD" w:themeColor="accent1"/>
        </w:rPr>
        <w:t>Flow diverters/embolization devices are sometimes referred to as flow-diverting stents. This is somewhat inaccurate – although both devices are mesh-like metal tubes, the design and intended use is very different. Flow-diverters are less porous than stents, designed to redirect blood flow from intracranial aneurysms and to enable parent artery reconstruction. Intracranial stents are designed to support endovascular embolization of intracranial aneurysms. This is achieved by bridging the aneurysm neck to keep coils deposited inside the aneurysm in place. Medtronic Pipeline embolization devices (PEDs) are a braided, multi-alloy, mesh cylinder woven from platinum/tungsten and cobalt-chromium-nickel alloy wires, with 65-70% porosity. The Medtronic intracranial Solitaire AB stent is laser cut from Nitinol alloy. In addition, the metal surface area of PEDs is 30-35%, far exceeding the 6.5 to 9.5% coverage for regular intracranial stents.</w:t>
      </w:r>
    </w:p>
    <w:p w14:paraId="0B2C2031" w14:textId="36DBB697" w:rsidR="005A5606" w:rsidRDefault="005A5606" w:rsidP="0043654D">
      <w:pPr>
        <w:spacing w:before="0" w:after="0"/>
        <w:ind w:left="284"/>
        <w:rPr>
          <w:szCs w:val="20"/>
        </w:rPr>
      </w:pPr>
    </w:p>
    <w:p w14:paraId="77AB5E1B" w14:textId="77777777" w:rsidR="003F2A25" w:rsidRPr="0043654D" w:rsidRDefault="003F2A25" w:rsidP="0043654D">
      <w:pPr>
        <w:spacing w:before="0" w:after="0"/>
        <w:ind w:left="284"/>
        <w:rPr>
          <w:szCs w:val="20"/>
        </w:rPr>
      </w:pPr>
    </w:p>
    <w:p w14:paraId="5DC84918"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67A90558"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05881">
        <w:rPr>
          <w:szCs w:val="20"/>
        </w:rPr>
      </w:r>
      <w:r w:rsidR="00905881">
        <w:rPr>
          <w:szCs w:val="20"/>
        </w:rPr>
        <w:fldChar w:fldCharType="separate"/>
      </w:r>
      <w:r w:rsidRPr="000A5B32">
        <w:rPr>
          <w:szCs w:val="20"/>
        </w:rPr>
        <w:fldChar w:fldCharType="end"/>
      </w:r>
      <w:r>
        <w:rPr>
          <w:szCs w:val="20"/>
        </w:rPr>
        <w:t xml:space="preserve"> Yes (please provide details below)</w:t>
      </w:r>
    </w:p>
    <w:p w14:paraId="5A3EE2D3"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05881">
        <w:rPr>
          <w:szCs w:val="20"/>
        </w:rPr>
      </w:r>
      <w:r w:rsidR="00905881">
        <w:rPr>
          <w:szCs w:val="20"/>
        </w:rPr>
        <w:fldChar w:fldCharType="separate"/>
      </w:r>
      <w:r w:rsidRPr="000A5B32">
        <w:rPr>
          <w:szCs w:val="20"/>
        </w:rPr>
        <w:fldChar w:fldCharType="end"/>
      </w:r>
      <w:r>
        <w:rPr>
          <w:szCs w:val="20"/>
        </w:rPr>
        <w:t xml:space="preserve"> No</w:t>
      </w:r>
    </w:p>
    <w:p w14:paraId="39909B09" w14:textId="1725C044" w:rsidR="0047581D" w:rsidRDefault="0047581D" w:rsidP="0047581D">
      <w:pPr>
        <w:spacing w:before="0" w:after="0"/>
        <w:rPr>
          <w:b/>
          <w:szCs w:val="20"/>
        </w:rPr>
      </w:pPr>
    </w:p>
    <w:p w14:paraId="1E4DB3FE" w14:textId="2A872DD7" w:rsidR="003F2A25" w:rsidRPr="00905881" w:rsidRDefault="003F2A25" w:rsidP="0047581D">
      <w:pPr>
        <w:spacing w:before="0" w:after="0"/>
        <w:rPr>
          <w:color w:val="4F81BD" w:themeColor="accent1"/>
          <w:szCs w:val="20"/>
        </w:rPr>
      </w:pPr>
      <w:r w:rsidRPr="00905881">
        <w:rPr>
          <w:color w:val="4F81BD" w:themeColor="accent1"/>
          <w:szCs w:val="20"/>
        </w:rPr>
        <w:t>N/A</w:t>
      </w:r>
    </w:p>
    <w:p w14:paraId="4018EC15" w14:textId="77777777" w:rsidR="003F2A25" w:rsidRPr="003B4C2A" w:rsidRDefault="003F2A25" w:rsidP="0047581D">
      <w:pPr>
        <w:spacing w:before="0" w:after="0"/>
        <w:rPr>
          <w:b/>
          <w:color w:val="4F81BD" w:themeColor="accent1"/>
          <w:szCs w:val="20"/>
        </w:rPr>
      </w:pPr>
    </w:p>
    <w:p w14:paraId="7B986EB3" w14:textId="1372A7A7" w:rsidR="0047581D" w:rsidRPr="003B4C2A" w:rsidRDefault="0047581D" w:rsidP="0047581D">
      <w:pPr>
        <w:spacing w:before="0" w:after="0"/>
        <w:rPr>
          <w:color w:val="4F81BD" w:themeColor="accent1"/>
          <w:szCs w:val="20"/>
        </w:rPr>
      </w:pPr>
      <w:r w:rsidRPr="003B4C2A">
        <w:rPr>
          <w:color w:val="4F81BD" w:themeColor="accent1"/>
          <w:szCs w:val="20"/>
        </w:rPr>
        <w:t xml:space="preserve">Date of submission to TGA: </w:t>
      </w:r>
    </w:p>
    <w:p w14:paraId="21DBBF57" w14:textId="30967F5F" w:rsidR="0047581D" w:rsidRPr="003B4C2A" w:rsidRDefault="0047581D" w:rsidP="0047581D">
      <w:pPr>
        <w:spacing w:before="0" w:after="0"/>
        <w:rPr>
          <w:color w:val="4F81BD" w:themeColor="accent1"/>
          <w:szCs w:val="20"/>
        </w:rPr>
      </w:pPr>
      <w:r w:rsidRPr="003B4C2A">
        <w:rPr>
          <w:color w:val="4F81BD" w:themeColor="accent1"/>
          <w:szCs w:val="20"/>
        </w:rPr>
        <w:t>Estimated date by which TGA approval can be expected:</w:t>
      </w:r>
      <w:r w:rsidR="00F97183" w:rsidRPr="003B4C2A">
        <w:rPr>
          <w:color w:val="4F81BD" w:themeColor="accent1"/>
          <w:szCs w:val="20"/>
        </w:rPr>
        <w:t xml:space="preserve"> </w:t>
      </w:r>
    </w:p>
    <w:p w14:paraId="06483F41" w14:textId="18A120DA" w:rsidR="0047581D" w:rsidRPr="003B4C2A" w:rsidRDefault="0047581D" w:rsidP="0047581D">
      <w:pPr>
        <w:spacing w:before="0" w:after="0"/>
        <w:rPr>
          <w:color w:val="4F81BD" w:themeColor="accent1"/>
          <w:szCs w:val="20"/>
        </w:rPr>
      </w:pPr>
      <w:r w:rsidRPr="003B4C2A">
        <w:rPr>
          <w:color w:val="4F81BD" w:themeColor="accent1"/>
          <w:szCs w:val="20"/>
        </w:rPr>
        <w:t xml:space="preserve">TGA Application ID: </w:t>
      </w:r>
    </w:p>
    <w:p w14:paraId="1CAF6181" w14:textId="78760DA7" w:rsidR="0047581D" w:rsidRPr="003B4C2A" w:rsidRDefault="0047581D" w:rsidP="0047581D">
      <w:pPr>
        <w:spacing w:before="0" w:after="0"/>
        <w:rPr>
          <w:color w:val="4F81BD" w:themeColor="accent1"/>
          <w:szCs w:val="20"/>
        </w:rPr>
      </w:pPr>
      <w:r w:rsidRPr="003B4C2A">
        <w:rPr>
          <w:color w:val="4F81BD" w:themeColor="accent1"/>
          <w:szCs w:val="20"/>
        </w:rPr>
        <w:t xml:space="preserve">TGA approved indication(s), if applicable: </w:t>
      </w:r>
    </w:p>
    <w:p w14:paraId="0F3C50E2" w14:textId="63F6C44A" w:rsidR="003433D1" w:rsidRPr="003B4C2A" w:rsidRDefault="0047581D" w:rsidP="0047581D">
      <w:pPr>
        <w:spacing w:before="0" w:after="0"/>
        <w:rPr>
          <w:color w:val="4F81BD" w:themeColor="accent1"/>
          <w:szCs w:val="20"/>
        </w:rPr>
      </w:pPr>
      <w:r w:rsidRPr="003B4C2A">
        <w:rPr>
          <w:color w:val="4F81BD" w:themeColor="accent1"/>
          <w:szCs w:val="20"/>
        </w:rPr>
        <w:t xml:space="preserve">TGA approved purpose(s), if applicable: </w:t>
      </w:r>
    </w:p>
    <w:p w14:paraId="17F7985D"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109CEC59"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05881">
        <w:rPr>
          <w:szCs w:val="20"/>
        </w:rPr>
      </w:r>
      <w:r w:rsidR="00905881">
        <w:rPr>
          <w:szCs w:val="20"/>
        </w:rPr>
        <w:fldChar w:fldCharType="separate"/>
      </w:r>
      <w:r w:rsidRPr="000A5B32">
        <w:rPr>
          <w:szCs w:val="20"/>
        </w:rPr>
        <w:fldChar w:fldCharType="end"/>
      </w:r>
      <w:r>
        <w:rPr>
          <w:szCs w:val="20"/>
        </w:rPr>
        <w:t xml:space="preserve"> Yes (please provide details below)</w:t>
      </w:r>
    </w:p>
    <w:p w14:paraId="6F23CD86"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05881">
        <w:rPr>
          <w:szCs w:val="20"/>
        </w:rPr>
      </w:r>
      <w:r w:rsidR="00905881">
        <w:rPr>
          <w:szCs w:val="20"/>
        </w:rPr>
        <w:fldChar w:fldCharType="separate"/>
      </w:r>
      <w:r w:rsidRPr="000A5B32">
        <w:rPr>
          <w:szCs w:val="20"/>
        </w:rPr>
        <w:fldChar w:fldCharType="end"/>
      </w:r>
      <w:r>
        <w:rPr>
          <w:szCs w:val="20"/>
        </w:rPr>
        <w:t xml:space="preserve"> No</w:t>
      </w:r>
    </w:p>
    <w:p w14:paraId="4B907A8D" w14:textId="0CD53835" w:rsidR="000A110D" w:rsidRDefault="000A110D" w:rsidP="00971EDB">
      <w:pPr>
        <w:spacing w:before="0" w:after="0"/>
        <w:rPr>
          <w:szCs w:val="20"/>
        </w:rPr>
      </w:pPr>
    </w:p>
    <w:p w14:paraId="6AD9FD40" w14:textId="631B548A" w:rsidR="003F2A25" w:rsidRPr="003B4C2A" w:rsidRDefault="003F2A25" w:rsidP="00971EDB">
      <w:pPr>
        <w:spacing w:before="0" w:after="0"/>
        <w:rPr>
          <w:color w:val="4F81BD" w:themeColor="accent1"/>
          <w:szCs w:val="20"/>
        </w:rPr>
      </w:pPr>
      <w:r w:rsidRPr="003B4C2A">
        <w:rPr>
          <w:color w:val="4F81BD" w:themeColor="accent1"/>
          <w:szCs w:val="20"/>
        </w:rPr>
        <w:t>N/A</w:t>
      </w:r>
    </w:p>
    <w:p w14:paraId="00BA4A38" w14:textId="360286C5" w:rsidR="00971EDB" w:rsidRPr="003B4C2A" w:rsidRDefault="00971EDB" w:rsidP="00971EDB">
      <w:pPr>
        <w:spacing w:before="0" w:after="0"/>
        <w:rPr>
          <w:color w:val="4F81BD" w:themeColor="accent1"/>
          <w:szCs w:val="20"/>
        </w:rPr>
      </w:pPr>
      <w:r w:rsidRPr="003B4C2A">
        <w:rPr>
          <w:color w:val="4F81BD" w:themeColor="accent1"/>
          <w:szCs w:val="20"/>
        </w:rPr>
        <w:t xml:space="preserve">Estimated date of submission to TGA: </w:t>
      </w:r>
    </w:p>
    <w:p w14:paraId="05BDF567" w14:textId="68E35112" w:rsidR="00971EDB" w:rsidRPr="003B4C2A" w:rsidRDefault="00971EDB" w:rsidP="00971EDB">
      <w:pPr>
        <w:spacing w:before="0" w:after="0"/>
        <w:rPr>
          <w:color w:val="4F81BD" w:themeColor="accent1"/>
          <w:szCs w:val="20"/>
        </w:rPr>
      </w:pPr>
      <w:r w:rsidRPr="003B4C2A">
        <w:rPr>
          <w:color w:val="4F81BD" w:themeColor="accent1"/>
          <w:szCs w:val="20"/>
        </w:rPr>
        <w:t xml:space="preserve">Proposed indication(s), if applicable: </w:t>
      </w:r>
    </w:p>
    <w:p w14:paraId="2CE160B5" w14:textId="518FEE84" w:rsidR="00F83A9D" w:rsidRPr="003B4C2A" w:rsidRDefault="00971EDB" w:rsidP="00BA5202">
      <w:pPr>
        <w:spacing w:before="0" w:after="0"/>
        <w:rPr>
          <w:color w:val="4F81BD" w:themeColor="accent1"/>
          <w:szCs w:val="20"/>
        </w:rPr>
      </w:pPr>
      <w:r w:rsidRPr="003B4C2A">
        <w:rPr>
          <w:color w:val="4F81BD" w:themeColor="accent1"/>
          <w:szCs w:val="20"/>
        </w:rPr>
        <w:t xml:space="preserve">Proposed purpose(s), if applicable: </w:t>
      </w:r>
    </w:p>
    <w:p w14:paraId="5D47BEEB" w14:textId="77777777" w:rsidR="00DD308E" w:rsidRDefault="00DD308E">
      <w:pPr>
        <w:rPr>
          <w:b/>
          <w:sz w:val="32"/>
          <w:szCs w:val="32"/>
        </w:rPr>
        <w:sectPr w:rsidR="00DD308E" w:rsidSect="00991EE4">
          <w:footerReference w:type="default" r:id="rId13"/>
          <w:pgSz w:w="11906" w:h="16838"/>
          <w:pgMar w:top="1440" w:right="1440" w:bottom="1440" w:left="1440" w:header="708" w:footer="708" w:gutter="0"/>
          <w:pgNumType w:start="0"/>
          <w:cols w:space="708"/>
          <w:titlePg/>
          <w:docGrid w:linePitch="360"/>
        </w:sectPr>
      </w:pPr>
    </w:p>
    <w:p w14:paraId="24741BEF"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tbl>
      <w:tblPr>
        <w:tblStyle w:val="TableGrid"/>
        <w:tblW w:w="5000" w:type="pct"/>
        <w:tblLayout w:type="fixed"/>
        <w:tblLook w:val="04A0" w:firstRow="1" w:lastRow="0" w:firstColumn="1" w:lastColumn="0" w:noHBand="0" w:noVBand="1"/>
        <w:tblCaption w:val="Summary of Evidence - Published"/>
      </w:tblPr>
      <w:tblGrid>
        <w:gridCol w:w="715"/>
        <w:gridCol w:w="1875"/>
        <w:gridCol w:w="2736"/>
        <w:gridCol w:w="4125"/>
        <w:gridCol w:w="3076"/>
        <w:gridCol w:w="1647"/>
      </w:tblGrid>
      <w:tr w:rsidR="00BA5202" w14:paraId="69457AB9" w14:textId="77777777" w:rsidTr="00BA5202">
        <w:trPr>
          <w:cantSplit/>
          <w:tblHeader/>
        </w:trPr>
        <w:tc>
          <w:tcPr>
            <w:tcW w:w="252" w:type="pct"/>
          </w:tcPr>
          <w:p w14:paraId="2CBBB363" w14:textId="12E2E9C4" w:rsidR="00DD308E" w:rsidRDefault="00BA5202" w:rsidP="00855944">
            <w:pPr>
              <w:pStyle w:val="TableHEADER"/>
            </w:pPr>
            <w:r>
              <w:t>#</w:t>
            </w:r>
          </w:p>
        </w:tc>
        <w:tc>
          <w:tcPr>
            <w:tcW w:w="661" w:type="pct"/>
          </w:tcPr>
          <w:p w14:paraId="37DD9C6E" w14:textId="77777777" w:rsidR="00DD308E" w:rsidRDefault="00DD308E" w:rsidP="00855944">
            <w:pPr>
              <w:pStyle w:val="TableHEADER"/>
            </w:pPr>
            <w:r>
              <w:t>Type of study design*</w:t>
            </w:r>
          </w:p>
        </w:tc>
        <w:tc>
          <w:tcPr>
            <w:tcW w:w="965" w:type="pct"/>
          </w:tcPr>
          <w:p w14:paraId="4BC6FC08" w14:textId="77777777" w:rsidR="00DD308E" w:rsidRDefault="00DD308E" w:rsidP="00855944">
            <w:pPr>
              <w:pStyle w:val="TableHEADER"/>
            </w:pPr>
            <w:r>
              <w:t>Title of journal article  or research project (including any trial identifier or study lead if relevant)</w:t>
            </w:r>
          </w:p>
        </w:tc>
        <w:tc>
          <w:tcPr>
            <w:tcW w:w="1455" w:type="pct"/>
          </w:tcPr>
          <w:p w14:paraId="2BBF911B" w14:textId="77777777" w:rsidR="00DD308E" w:rsidRDefault="00DD308E" w:rsidP="00855944">
            <w:pPr>
              <w:pStyle w:val="TableHEADER"/>
            </w:pPr>
            <w:r>
              <w:t>Short description of research  (max 50 words)**</w:t>
            </w:r>
          </w:p>
        </w:tc>
        <w:tc>
          <w:tcPr>
            <w:tcW w:w="1085" w:type="pct"/>
          </w:tcPr>
          <w:p w14:paraId="6F2E763F" w14:textId="77777777" w:rsidR="00DD308E" w:rsidRDefault="00DD308E" w:rsidP="00855944">
            <w:pPr>
              <w:pStyle w:val="TableHEADER"/>
            </w:pPr>
            <w:r w:rsidRPr="00E82F54">
              <w:t xml:space="preserve">Website link to </w:t>
            </w:r>
            <w:r>
              <w:t>journal article or research (if available)</w:t>
            </w:r>
          </w:p>
        </w:tc>
        <w:tc>
          <w:tcPr>
            <w:tcW w:w="581" w:type="pct"/>
          </w:tcPr>
          <w:p w14:paraId="647B4CFD" w14:textId="77777777" w:rsidR="00DD308E" w:rsidRDefault="00DD308E" w:rsidP="00855944">
            <w:pPr>
              <w:pStyle w:val="TableHEADER"/>
            </w:pPr>
            <w:r w:rsidRPr="00E82F54">
              <w:t>Date</w:t>
            </w:r>
            <w:r>
              <w:t xml:space="preserve"> of publication</w:t>
            </w:r>
            <w:r w:rsidRPr="00E82F54">
              <w:t>*</w:t>
            </w:r>
            <w:r>
              <w:t>**</w:t>
            </w:r>
          </w:p>
        </w:tc>
      </w:tr>
      <w:tr w:rsidR="00BA5202" w14:paraId="1338747A" w14:textId="77777777" w:rsidTr="00BA5202">
        <w:trPr>
          <w:cantSplit/>
        </w:trPr>
        <w:tc>
          <w:tcPr>
            <w:tcW w:w="252" w:type="pct"/>
          </w:tcPr>
          <w:p w14:paraId="2981EBDE" w14:textId="77777777" w:rsidR="003D18EC" w:rsidRPr="00965B6B" w:rsidRDefault="003D18EC" w:rsidP="003D18EC">
            <w:pPr>
              <w:rPr>
                <w:szCs w:val="20"/>
              </w:rPr>
            </w:pPr>
            <w:r w:rsidRPr="00965B6B">
              <w:rPr>
                <w:szCs w:val="20"/>
              </w:rPr>
              <w:t>1</w:t>
            </w:r>
            <w:r>
              <w:rPr>
                <w:szCs w:val="20"/>
              </w:rPr>
              <w:t>.</w:t>
            </w:r>
          </w:p>
        </w:tc>
        <w:tc>
          <w:tcPr>
            <w:tcW w:w="661" w:type="pct"/>
          </w:tcPr>
          <w:p w14:paraId="78426342" w14:textId="015282A0" w:rsidR="003D18EC" w:rsidRPr="00905881" w:rsidRDefault="003D18EC" w:rsidP="003D18EC">
            <w:pPr>
              <w:rPr>
                <w:b/>
                <w:color w:val="4F81BD" w:themeColor="accent1"/>
                <w:szCs w:val="20"/>
              </w:rPr>
            </w:pPr>
            <w:r w:rsidRPr="00905881">
              <w:rPr>
                <w:color w:val="4F81BD" w:themeColor="accent1"/>
              </w:rPr>
              <w:t>Retrospective cohort study; 1:3 matched pair comparison</w:t>
            </w:r>
          </w:p>
        </w:tc>
        <w:tc>
          <w:tcPr>
            <w:tcW w:w="965" w:type="pct"/>
          </w:tcPr>
          <w:p w14:paraId="25E6E359" w14:textId="5569EF3E" w:rsidR="003D18EC" w:rsidRPr="00905881" w:rsidRDefault="003D18EC" w:rsidP="003D18EC">
            <w:pPr>
              <w:rPr>
                <w:b/>
                <w:color w:val="4F81BD" w:themeColor="accent1"/>
                <w:szCs w:val="20"/>
              </w:rPr>
            </w:pPr>
            <w:proofErr w:type="spellStart"/>
            <w:r w:rsidRPr="00905881">
              <w:rPr>
                <w:color w:val="4F81BD" w:themeColor="accent1"/>
              </w:rPr>
              <w:t>Chalouhi</w:t>
            </w:r>
            <w:proofErr w:type="spellEnd"/>
            <w:r w:rsidRPr="00905881">
              <w:rPr>
                <w:color w:val="4F81BD" w:themeColor="accent1"/>
              </w:rPr>
              <w:t xml:space="preserve"> 2013b. Comparison of flow diversion and coiling in large </w:t>
            </w:r>
            <w:proofErr w:type="spellStart"/>
            <w:r w:rsidRPr="00905881">
              <w:rPr>
                <w:color w:val="4F81BD" w:themeColor="accent1"/>
              </w:rPr>
              <w:t>unruptured</w:t>
            </w:r>
            <w:proofErr w:type="spellEnd"/>
            <w:r w:rsidRPr="00905881">
              <w:rPr>
                <w:color w:val="4F81BD" w:themeColor="accent1"/>
              </w:rPr>
              <w:t xml:space="preserve"> intracranial saccular aneurysms.</w:t>
            </w:r>
          </w:p>
        </w:tc>
        <w:tc>
          <w:tcPr>
            <w:tcW w:w="1455" w:type="pct"/>
          </w:tcPr>
          <w:p w14:paraId="25AC974A" w14:textId="703B3148" w:rsidR="003D18EC" w:rsidRPr="00905881" w:rsidRDefault="003D18EC" w:rsidP="003D18EC">
            <w:pPr>
              <w:rPr>
                <w:b/>
                <w:color w:val="4F81BD" w:themeColor="accent1"/>
                <w:szCs w:val="20"/>
              </w:rPr>
            </w:pPr>
            <w:r w:rsidRPr="00905881">
              <w:rPr>
                <w:color w:val="4F81BD" w:themeColor="accent1"/>
              </w:rPr>
              <w:t xml:space="preserve">A significantly higher proportion of aneurysms treated with PED (86%) achieved complete obliteration compared with coiled aneurysms (41%; </w:t>
            </w:r>
            <w:r w:rsidRPr="00905881">
              <w:rPr>
                <w:rStyle w:val="Emphasis"/>
                <w:color w:val="4F81BD" w:themeColor="accent1"/>
              </w:rPr>
              <w:t>P</w:t>
            </w:r>
            <w:r w:rsidRPr="00905881">
              <w:rPr>
                <w:color w:val="4F81BD" w:themeColor="accent1"/>
              </w:rPr>
              <w:t xml:space="preserve">&lt;0.001). Retreatment was necessary in fewer patients in the PED group (2.8%) than the coil group (37%; </w:t>
            </w:r>
            <w:r w:rsidRPr="00905881">
              <w:rPr>
                <w:rStyle w:val="Emphasis"/>
                <w:color w:val="4F81BD" w:themeColor="accent1"/>
              </w:rPr>
              <w:t>P</w:t>
            </w:r>
            <w:r w:rsidRPr="00905881">
              <w:rPr>
                <w:color w:val="4F81BD" w:themeColor="accent1"/>
              </w:rPr>
              <w:t>&lt;0.001</w:t>
            </w:r>
            <w:r w:rsidR="00DB72CA" w:rsidRPr="00905881">
              <w:rPr>
                <w:color w:val="4F81BD" w:themeColor="accent1"/>
              </w:rPr>
              <w:t>)</w:t>
            </w:r>
            <w:r w:rsidRPr="00905881">
              <w:rPr>
                <w:color w:val="4F81BD" w:themeColor="accent1"/>
              </w:rPr>
              <w:t>.</w:t>
            </w:r>
          </w:p>
        </w:tc>
        <w:tc>
          <w:tcPr>
            <w:tcW w:w="1085" w:type="pct"/>
          </w:tcPr>
          <w:p w14:paraId="6934B012" w14:textId="22646F41" w:rsidR="003D18EC" w:rsidRPr="00905881" w:rsidRDefault="00905881" w:rsidP="003D18EC">
            <w:pPr>
              <w:rPr>
                <w:color w:val="4F81BD" w:themeColor="accent1"/>
                <w:szCs w:val="20"/>
              </w:rPr>
            </w:pPr>
            <w:hyperlink r:id="rId14" w:tooltip="Link to AHA Journal" w:history="1">
              <w:r w:rsidR="003D18EC" w:rsidRPr="00905881">
                <w:rPr>
                  <w:rStyle w:val="Hyperlink"/>
                  <w:color w:val="4F81BD" w:themeColor="accent1"/>
                </w:rPr>
                <w:t>http://stroke.ahajournals.org/content/44/8/2150</w:t>
              </w:r>
            </w:hyperlink>
            <w:r w:rsidR="003D18EC" w:rsidRPr="00905881">
              <w:rPr>
                <w:color w:val="4F81BD" w:themeColor="accent1"/>
              </w:rPr>
              <w:t xml:space="preserve"> </w:t>
            </w:r>
          </w:p>
        </w:tc>
        <w:tc>
          <w:tcPr>
            <w:tcW w:w="581" w:type="pct"/>
          </w:tcPr>
          <w:p w14:paraId="2553999A" w14:textId="2C3CD281" w:rsidR="003D18EC" w:rsidRPr="00E07E11" w:rsidRDefault="003D18EC" w:rsidP="003D18EC">
            <w:pPr>
              <w:rPr>
                <w:szCs w:val="20"/>
              </w:rPr>
            </w:pPr>
            <w:r w:rsidRPr="00E07E11">
              <w:rPr>
                <w:szCs w:val="20"/>
              </w:rPr>
              <w:t>2013</w:t>
            </w:r>
          </w:p>
        </w:tc>
      </w:tr>
      <w:tr w:rsidR="00BA5202" w14:paraId="7FFE9951" w14:textId="77777777" w:rsidTr="00BA5202">
        <w:trPr>
          <w:cantSplit/>
        </w:trPr>
        <w:tc>
          <w:tcPr>
            <w:tcW w:w="252" w:type="pct"/>
          </w:tcPr>
          <w:p w14:paraId="77D92364" w14:textId="77777777" w:rsidR="003D18EC" w:rsidRPr="00965B6B" w:rsidRDefault="003D18EC" w:rsidP="003D18EC">
            <w:pPr>
              <w:rPr>
                <w:szCs w:val="20"/>
              </w:rPr>
            </w:pPr>
            <w:r>
              <w:rPr>
                <w:szCs w:val="20"/>
              </w:rPr>
              <w:t>2.</w:t>
            </w:r>
          </w:p>
        </w:tc>
        <w:tc>
          <w:tcPr>
            <w:tcW w:w="661" w:type="pct"/>
          </w:tcPr>
          <w:p w14:paraId="602FA092" w14:textId="34647256" w:rsidR="003D18EC" w:rsidRPr="00905881" w:rsidRDefault="003D18EC" w:rsidP="003D18EC">
            <w:pPr>
              <w:rPr>
                <w:b/>
                <w:color w:val="4F81BD" w:themeColor="accent1"/>
                <w:szCs w:val="20"/>
              </w:rPr>
            </w:pPr>
            <w:r w:rsidRPr="00905881">
              <w:rPr>
                <w:color w:val="4F81BD" w:themeColor="accent1"/>
              </w:rPr>
              <w:t>Retrospective cohort study; 1:4 matched pair comparison</w:t>
            </w:r>
          </w:p>
        </w:tc>
        <w:tc>
          <w:tcPr>
            <w:tcW w:w="965" w:type="pct"/>
          </w:tcPr>
          <w:p w14:paraId="1E2FFAF3" w14:textId="0C830E0F" w:rsidR="003D18EC" w:rsidRPr="00905881" w:rsidRDefault="003D18EC" w:rsidP="003D18EC">
            <w:pPr>
              <w:rPr>
                <w:b/>
                <w:color w:val="4F81BD" w:themeColor="accent1"/>
                <w:szCs w:val="20"/>
              </w:rPr>
            </w:pPr>
            <w:proofErr w:type="spellStart"/>
            <w:r w:rsidRPr="00905881">
              <w:rPr>
                <w:color w:val="4F81BD" w:themeColor="accent1"/>
              </w:rPr>
              <w:t>Chalouhi</w:t>
            </w:r>
            <w:proofErr w:type="spellEnd"/>
            <w:r w:rsidRPr="00905881">
              <w:rPr>
                <w:color w:val="4F81BD" w:themeColor="accent1"/>
              </w:rPr>
              <w:t xml:space="preserve"> 2014. Extending the indications of flow diversion to small, </w:t>
            </w:r>
            <w:proofErr w:type="spellStart"/>
            <w:r w:rsidRPr="00905881">
              <w:rPr>
                <w:color w:val="4F81BD" w:themeColor="accent1"/>
              </w:rPr>
              <w:t>unruptured</w:t>
            </w:r>
            <w:proofErr w:type="spellEnd"/>
            <w:r w:rsidRPr="00905881">
              <w:rPr>
                <w:color w:val="4F81BD" w:themeColor="accent1"/>
              </w:rPr>
              <w:t>, saccular aneurysms of the anterior circulation.</w:t>
            </w:r>
          </w:p>
        </w:tc>
        <w:tc>
          <w:tcPr>
            <w:tcW w:w="1455" w:type="pct"/>
          </w:tcPr>
          <w:p w14:paraId="31BB040F" w14:textId="0E9A41A3" w:rsidR="003D18EC" w:rsidRPr="00905881" w:rsidRDefault="003D18EC" w:rsidP="003D18EC">
            <w:pPr>
              <w:rPr>
                <w:b/>
                <w:color w:val="4F81BD" w:themeColor="accent1"/>
                <w:szCs w:val="20"/>
              </w:rPr>
            </w:pPr>
            <w:r w:rsidRPr="00905881">
              <w:rPr>
                <w:color w:val="4F81BD" w:themeColor="accent1"/>
              </w:rPr>
              <w:t xml:space="preserve">At follow-up, a higher proportion of aneurysms treated with PED (80%) achieved complete obliteration compared with stent-coiled aneurysms (70%) (P=0.2). Rate of </w:t>
            </w:r>
            <w:proofErr w:type="spellStart"/>
            <w:r w:rsidRPr="00905881">
              <w:rPr>
                <w:color w:val="4F81BD" w:themeColor="accent1"/>
              </w:rPr>
              <w:t>periprocedural</w:t>
            </w:r>
            <w:proofErr w:type="spellEnd"/>
            <w:r w:rsidRPr="00905881">
              <w:rPr>
                <w:color w:val="4F81BD" w:themeColor="accent1"/>
              </w:rPr>
              <w:t xml:space="preserve"> complications were similar between groups.</w:t>
            </w:r>
          </w:p>
        </w:tc>
        <w:tc>
          <w:tcPr>
            <w:tcW w:w="1085" w:type="pct"/>
          </w:tcPr>
          <w:p w14:paraId="6E978DBC" w14:textId="26936930" w:rsidR="003D18EC" w:rsidRPr="00905881" w:rsidRDefault="00905881" w:rsidP="003D18EC">
            <w:pPr>
              <w:rPr>
                <w:color w:val="4F81BD" w:themeColor="accent1"/>
                <w:szCs w:val="20"/>
              </w:rPr>
            </w:pPr>
            <w:hyperlink r:id="rId15" w:tooltip="Link to US National Library of Medicine National Institutes of Health website" w:history="1">
              <w:r w:rsidR="003D18EC" w:rsidRPr="00905881">
                <w:rPr>
                  <w:rStyle w:val="Hyperlink"/>
                  <w:color w:val="4F81BD" w:themeColor="accent1"/>
                  <w:szCs w:val="20"/>
                </w:rPr>
                <w:t>https://www.ncbi.nlm.nih.gov/pubmed/24253543</w:t>
              </w:r>
            </w:hyperlink>
            <w:r w:rsidR="003D18EC" w:rsidRPr="00905881">
              <w:rPr>
                <w:color w:val="4F81BD" w:themeColor="accent1"/>
                <w:szCs w:val="20"/>
              </w:rPr>
              <w:t xml:space="preserve"> </w:t>
            </w:r>
          </w:p>
        </w:tc>
        <w:tc>
          <w:tcPr>
            <w:tcW w:w="581" w:type="pct"/>
          </w:tcPr>
          <w:p w14:paraId="472560C7" w14:textId="7003C349" w:rsidR="003D18EC" w:rsidRPr="00E07E11" w:rsidRDefault="003D18EC" w:rsidP="003D18EC">
            <w:pPr>
              <w:rPr>
                <w:szCs w:val="20"/>
              </w:rPr>
            </w:pPr>
            <w:r w:rsidRPr="00E07E11">
              <w:rPr>
                <w:szCs w:val="20"/>
              </w:rPr>
              <w:t>2014</w:t>
            </w:r>
          </w:p>
        </w:tc>
      </w:tr>
      <w:tr w:rsidR="00BA5202" w14:paraId="15A3928D" w14:textId="77777777" w:rsidTr="00BA5202">
        <w:trPr>
          <w:cantSplit/>
        </w:trPr>
        <w:tc>
          <w:tcPr>
            <w:tcW w:w="252" w:type="pct"/>
          </w:tcPr>
          <w:p w14:paraId="654CAF43" w14:textId="77777777" w:rsidR="003D18EC" w:rsidRPr="00965B6B" w:rsidRDefault="003D18EC" w:rsidP="003D18EC">
            <w:pPr>
              <w:rPr>
                <w:szCs w:val="20"/>
              </w:rPr>
            </w:pPr>
            <w:r>
              <w:rPr>
                <w:szCs w:val="20"/>
              </w:rPr>
              <w:t>3.</w:t>
            </w:r>
          </w:p>
        </w:tc>
        <w:tc>
          <w:tcPr>
            <w:tcW w:w="661" w:type="pct"/>
          </w:tcPr>
          <w:p w14:paraId="49EC7A7A" w14:textId="5B67AC99" w:rsidR="003D18EC" w:rsidRPr="00905881" w:rsidRDefault="003D18EC" w:rsidP="003D18EC">
            <w:pPr>
              <w:rPr>
                <w:b/>
                <w:color w:val="4F81BD" w:themeColor="accent1"/>
                <w:szCs w:val="20"/>
              </w:rPr>
            </w:pPr>
            <w:r w:rsidRPr="00905881">
              <w:rPr>
                <w:color w:val="4F81BD" w:themeColor="accent1"/>
              </w:rPr>
              <w:t>Retrospective cohort study with historical control, matched comparison; consecutive; III-3</w:t>
            </w:r>
          </w:p>
        </w:tc>
        <w:tc>
          <w:tcPr>
            <w:tcW w:w="965" w:type="pct"/>
          </w:tcPr>
          <w:p w14:paraId="10236BB2" w14:textId="335544C5" w:rsidR="003D18EC" w:rsidRPr="00905881" w:rsidRDefault="003D18EC" w:rsidP="003D18EC">
            <w:pPr>
              <w:rPr>
                <w:b/>
                <w:color w:val="4F81BD" w:themeColor="accent1"/>
                <w:szCs w:val="20"/>
              </w:rPr>
            </w:pPr>
            <w:proofErr w:type="spellStart"/>
            <w:r w:rsidRPr="00905881">
              <w:rPr>
                <w:color w:val="4F81BD" w:themeColor="accent1"/>
              </w:rPr>
              <w:t>Chalouhi</w:t>
            </w:r>
            <w:proofErr w:type="spellEnd"/>
            <w:r w:rsidRPr="00905881">
              <w:rPr>
                <w:color w:val="4F81BD" w:themeColor="accent1"/>
              </w:rPr>
              <w:t xml:space="preserve"> 2017. Matched Comparison of Flow Diversion and Coiling in Small, Noncomplex Intracranial Aneurysms.</w:t>
            </w:r>
          </w:p>
        </w:tc>
        <w:tc>
          <w:tcPr>
            <w:tcW w:w="1455" w:type="pct"/>
          </w:tcPr>
          <w:p w14:paraId="39E7492E" w14:textId="693C1593" w:rsidR="003D18EC" w:rsidRPr="00905881" w:rsidRDefault="003D18EC" w:rsidP="003D18EC">
            <w:pPr>
              <w:rPr>
                <w:b/>
                <w:color w:val="4F81BD" w:themeColor="accent1"/>
                <w:szCs w:val="20"/>
              </w:rPr>
            </w:pPr>
            <w:r w:rsidRPr="00905881">
              <w:rPr>
                <w:color w:val="4F81BD" w:themeColor="accent1"/>
              </w:rPr>
              <w:t>Complete occlusion (100%) at follow-up was significantly higher in patients treated with PED (70%) than coiling (47.5%, P = 0.04). A significantly higher proportion of coiled patients (32.5%) required retreatment compared with FD (5%, P = 0.003). All patients achieved a favourable outcome (modified Rankin Scale: 0-2) regardless of group.</w:t>
            </w:r>
          </w:p>
        </w:tc>
        <w:tc>
          <w:tcPr>
            <w:tcW w:w="1085" w:type="pct"/>
          </w:tcPr>
          <w:p w14:paraId="78EF486B" w14:textId="4C0BB36B" w:rsidR="003D18EC" w:rsidRPr="00905881" w:rsidRDefault="00905881" w:rsidP="003D18EC">
            <w:pPr>
              <w:rPr>
                <w:color w:val="4F81BD" w:themeColor="accent1"/>
                <w:szCs w:val="20"/>
              </w:rPr>
            </w:pPr>
            <w:hyperlink r:id="rId16" w:tooltip="Link to US National Library of Medicine National Institutes of Health website" w:history="1">
              <w:r w:rsidR="003D18EC" w:rsidRPr="00905881">
                <w:rPr>
                  <w:rStyle w:val="Hyperlink"/>
                  <w:color w:val="4F81BD" w:themeColor="accent1"/>
                  <w:szCs w:val="20"/>
                </w:rPr>
                <w:t>https://www.ncbi.nlm.nih.gov/pubmed/28402491</w:t>
              </w:r>
            </w:hyperlink>
            <w:r w:rsidR="003D18EC" w:rsidRPr="00905881">
              <w:rPr>
                <w:color w:val="4F81BD" w:themeColor="accent1"/>
                <w:szCs w:val="20"/>
              </w:rPr>
              <w:t xml:space="preserve"> </w:t>
            </w:r>
          </w:p>
        </w:tc>
        <w:tc>
          <w:tcPr>
            <w:tcW w:w="581" w:type="pct"/>
          </w:tcPr>
          <w:p w14:paraId="0EBA217E" w14:textId="50E5905C" w:rsidR="003D18EC" w:rsidRPr="00E07E11" w:rsidRDefault="003D18EC" w:rsidP="003D18EC">
            <w:pPr>
              <w:rPr>
                <w:szCs w:val="20"/>
              </w:rPr>
            </w:pPr>
            <w:r w:rsidRPr="00E07E11">
              <w:rPr>
                <w:szCs w:val="20"/>
              </w:rPr>
              <w:t>2017</w:t>
            </w:r>
          </w:p>
        </w:tc>
      </w:tr>
      <w:tr w:rsidR="00BA5202" w14:paraId="26BBA05A" w14:textId="77777777" w:rsidTr="00BA5202">
        <w:trPr>
          <w:cantSplit/>
        </w:trPr>
        <w:tc>
          <w:tcPr>
            <w:tcW w:w="252" w:type="pct"/>
          </w:tcPr>
          <w:p w14:paraId="3F39F268" w14:textId="77777777" w:rsidR="003D18EC" w:rsidRPr="00965B6B" w:rsidRDefault="003D18EC" w:rsidP="003D18EC">
            <w:pPr>
              <w:rPr>
                <w:szCs w:val="20"/>
              </w:rPr>
            </w:pPr>
            <w:r>
              <w:rPr>
                <w:szCs w:val="20"/>
              </w:rPr>
              <w:lastRenderedPageBreak/>
              <w:t>4.</w:t>
            </w:r>
          </w:p>
        </w:tc>
        <w:tc>
          <w:tcPr>
            <w:tcW w:w="661" w:type="pct"/>
          </w:tcPr>
          <w:p w14:paraId="2D1548B0" w14:textId="1020CC58" w:rsidR="003D18EC" w:rsidRPr="00905881" w:rsidRDefault="003D18EC" w:rsidP="003D18EC">
            <w:pPr>
              <w:rPr>
                <w:b/>
                <w:color w:val="4F81BD" w:themeColor="accent1"/>
                <w:szCs w:val="20"/>
              </w:rPr>
            </w:pPr>
            <w:r w:rsidRPr="00905881">
              <w:rPr>
                <w:color w:val="4F81BD" w:themeColor="accent1"/>
              </w:rPr>
              <w:t>Retrospective, cohort study</w:t>
            </w:r>
          </w:p>
        </w:tc>
        <w:tc>
          <w:tcPr>
            <w:tcW w:w="965" w:type="pct"/>
          </w:tcPr>
          <w:p w14:paraId="249257AA" w14:textId="5767644E" w:rsidR="003D18EC" w:rsidRPr="00905881" w:rsidRDefault="003D18EC" w:rsidP="003D18EC">
            <w:pPr>
              <w:rPr>
                <w:b/>
                <w:color w:val="4F81BD" w:themeColor="accent1"/>
                <w:szCs w:val="20"/>
              </w:rPr>
            </w:pPr>
            <w:r w:rsidRPr="00905881">
              <w:rPr>
                <w:color w:val="4F81BD" w:themeColor="accent1"/>
              </w:rPr>
              <w:t xml:space="preserve">Di Maria 2015. Flow Diversion versus Standard Endovascular Techniques for the Treatment of </w:t>
            </w:r>
            <w:proofErr w:type="spellStart"/>
            <w:r w:rsidRPr="00905881">
              <w:rPr>
                <w:color w:val="4F81BD" w:themeColor="accent1"/>
              </w:rPr>
              <w:t>Unruptured</w:t>
            </w:r>
            <w:proofErr w:type="spellEnd"/>
            <w:r w:rsidRPr="00905881">
              <w:rPr>
                <w:color w:val="4F81BD" w:themeColor="accent1"/>
              </w:rPr>
              <w:t xml:space="preserve"> Carotid-Ophthalmic Aneurysms.</w:t>
            </w:r>
          </w:p>
        </w:tc>
        <w:tc>
          <w:tcPr>
            <w:tcW w:w="1455" w:type="pct"/>
          </w:tcPr>
          <w:p w14:paraId="1D39D26D" w14:textId="66A28DEA" w:rsidR="003D18EC" w:rsidRPr="00905881" w:rsidRDefault="003D18EC" w:rsidP="003D18EC">
            <w:pPr>
              <w:rPr>
                <w:color w:val="4F81BD" w:themeColor="accent1"/>
                <w:szCs w:val="20"/>
              </w:rPr>
            </w:pPr>
            <w:r w:rsidRPr="00905881">
              <w:rPr>
                <w:color w:val="4F81BD" w:themeColor="accent1"/>
                <w:szCs w:val="20"/>
              </w:rPr>
              <w:t>No statistically significant difference was found between complication (P = .9) and morbidity rates (P = .6). Occlusion rates between the 2 groups differed significantly</w:t>
            </w:r>
            <w:r w:rsidR="00C3750B" w:rsidRPr="00905881">
              <w:rPr>
                <w:color w:val="4F81BD" w:themeColor="accent1"/>
                <w:szCs w:val="20"/>
              </w:rPr>
              <w:t xml:space="preserve"> in favour of PED</w:t>
            </w:r>
            <w:r w:rsidRPr="00905881">
              <w:rPr>
                <w:color w:val="4F81BD" w:themeColor="accent1"/>
                <w:szCs w:val="20"/>
              </w:rPr>
              <w:t xml:space="preserve"> at 12 months (P &lt; .001) and at the latest follow-up (P &lt; .005).</w:t>
            </w:r>
          </w:p>
        </w:tc>
        <w:tc>
          <w:tcPr>
            <w:tcW w:w="1085" w:type="pct"/>
          </w:tcPr>
          <w:p w14:paraId="4E4A65E1" w14:textId="026033D6" w:rsidR="003D18EC" w:rsidRPr="00905881" w:rsidRDefault="00905881" w:rsidP="003D18EC">
            <w:pPr>
              <w:rPr>
                <w:color w:val="4F81BD" w:themeColor="accent1"/>
                <w:szCs w:val="20"/>
              </w:rPr>
            </w:pPr>
            <w:hyperlink r:id="rId17" w:tooltip="Link to US National Library of Medicine National Institutes of Health website" w:history="1">
              <w:r w:rsidR="003D18EC" w:rsidRPr="00905881">
                <w:rPr>
                  <w:rStyle w:val="Hyperlink"/>
                  <w:color w:val="4F81BD" w:themeColor="accent1"/>
                  <w:szCs w:val="20"/>
                </w:rPr>
                <w:t>https://www.ncbi.nlm.nih.gov/pubmed/26272972</w:t>
              </w:r>
            </w:hyperlink>
            <w:r w:rsidR="003D18EC" w:rsidRPr="00905881">
              <w:rPr>
                <w:color w:val="4F81BD" w:themeColor="accent1"/>
                <w:szCs w:val="20"/>
              </w:rPr>
              <w:t xml:space="preserve"> </w:t>
            </w:r>
          </w:p>
        </w:tc>
        <w:tc>
          <w:tcPr>
            <w:tcW w:w="581" w:type="pct"/>
          </w:tcPr>
          <w:p w14:paraId="1733511E" w14:textId="28D731E2" w:rsidR="003D18EC" w:rsidRPr="00E07E11" w:rsidRDefault="003D18EC" w:rsidP="003D18EC">
            <w:pPr>
              <w:rPr>
                <w:szCs w:val="20"/>
              </w:rPr>
            </w:pPr>
            <w:r w:rsidRPr="00E07E11">
              <w:rPr>
                <w:szCs w:val="20"/>
              </w:rPr>
              <w:t>2015</w:t>
            </w:r>
          </w:p>
        </w:tc>
      </w:tr>
      <w:tr w:rsidR="00BA5202" w14:paraId="4D4EA848" w14:textId="77777777" w:rsidTr="00BA5202">
        <w:trPr>
          <w:cantSplit/>
        </w:trPr>
        <w:tc>
          <w:tcPr>
            <w:tcW w:w="252" w:type="pct"/>
          </w:tcPr>
          <w:p w14:paraId="070355DF" w14:textId="77777777" w:rsidR="003D18EC" w:rsidRPr="00965B6B" w:rsidRDefault="003D18EC" w:rsidP="003D18EC">
            <w:pPr>
              <w:rPr>
                <w:szCs w:val="20"/>
              </w:rPr>
            </w:pPr>
            <w:r>
              <w:rPr>
                <w:szCs w:val="20"/>
              </w:rPr>
              <w:t>5.</w:t>
            </w:r>
          </w:p>
        </w:tc>
        <w:tc>
          <w:tcPr>
            <w:tcW w:w="661" w:type="pct"/>
          </w:tcPr>
          <w:p w14:paraId="2601EFD4" w14:textId="62A173B5" w:rsidR="003D18EC" w:rsidRPr="00905881" w:rsidRDefault="003D18EC" w:rsidP="003D18EC">
            <w:pPr>
              <w:rPr>
                <w:b/>
                <w:color w:val="4F81BD" w:themeColor="accent1"/>
                <w:szCs w:val="20"/>
              </w:rPr>
            </w:pPr>
            <w:r w:rsidRPr="00905881">
              <w:rPr>
                <w:color w:val="4F81BD" w:themeColor="accent1"/>
              </w:rPr>
              <w:t>Retrospective, cohort, consecutive, matched pair 1:2 by aneurysm diameter</w:t>
            </w:r>
          </w:p>
        </w:tc>
        <w:tc>
          <w:tcPr>
            <w:tcW w:w="965" w:type="pct"/>
          </w:tcPr>
          <w:p w14:paraId="335A6B1D" w14:textId="4752B407" w:rsidR="003D18EC" w:rsidRPr="00905881" w:rsidRDefault="003D18EC" w:rsidP="00C3750B">
            <w:pPr>
              <w:rPr>
                <w:b/>
                <w:color w:val="4F81BD" w:themeColor="accent1"/>
                <w:szCs w:val="20"/>
                <w:highlight w:val="yellow"/>
              </w:rPr>
            </w:pPr>
            <w:r w:rsidRPr="00905881">
              <w:rPr>
                <w:color w:val="4F81BD" w:themeColor="accent1"/>
              </w:rPr>
              <w:t>Durst 2016</w:t>
            </w:r>
            <w:r w:rsidR="00C3750B" w:rsidRPr="00905881">
              <w:rPr>
                <w:color w:val="4F81BD" w:themeColor="accent1"/>
              </w:rPr>
              <w:t>. Endovascular treatment of ophthalmic artery aneurysms: ophthalmic artery patency following flow diversion versus coil embolization</w:t>
            </w:r>
          </w:p>
        </w:tc>
        <w:tc>
          <w:tcPr>
            <w:tcW w:w="1455" w:type="pct"/>
          </w:tcPr>
          <w:p w14:paraId="2ECBFBDF" w14:textId="2236693C" w:rsidR="003D18EC" w:rsidRPr="00905881" w:rsidRDefault="00C3750B" w:rsidP="00C3750B">
            <w:pPr>
              <w:rPr>
                <w:color w:val="4F81BD" w:themeColor="accent1"/>
                <w:szCs w:val="20"/>
              </w:rPr>
            </w:pPr>
            <w:r w:rsidRPr="00905881">
              <w:rPr>
                <w:color w:val="4F81BD" w:themeColor="accent1"/>
                <w:szCs w:val="20"/>
              </w:rPr>
              <w:t>Treatment of ophthalmic arteries b PED vs coiling. Complete occlusion at 12 months was more common with PED than coiling (74% vs 47%; p=0.089). Retreatments were more common following coiling than PED (24% vs 11%; p=0.304). Permanent morbidity rates were not significantly different between the PED and coiling cohorts (11% vs 3%; p=0.255).</w:t>
            </w:r>
          </w:p>
        </w:tc>
        <w:tc>
          <w:tcPr>
            <w:tcW w:w="1085" w:type="pct"/>
          </w:tcPr>
          <w:p w14:paraId="628A66A9" w14:textId="4EC2A928" w:rsidR="00C3750B" w:rsidRPr="00905881" w:rsidRDefault="00905881" w:rsidP="003D18EC">
            <w:pPr>
              <w:rPr>
                <w:color w:val="4F81BD" w:themeColor="accent1"/>
              </w:rPr>
            </w:pPr>
            <w:hyperlink r:id="rId18" w:tooltip="Link to US National Library of Medicine National Institutes of Health website" w:history="1">
              <w:r w:rsidR="00C3750B" w:rsidRPr="00905881">
                <w:rPr>
                  <w:rStyle w:val="Hyperlink"/>
                  <w:color w:val="4F81BD" w:themeColor="accent1"/>
                </w:rPr>
                <w:t>https://www.ncbi.nlm.nih.gov/pubmed/26354944</w:t>
              </w:r>
            </w:hyperlink>
          </w:p>
        </w:tc>
        <w:tc>
          <w:tcPr>
            <w:tcW w:w="581" w:type="pct"/>
          </w:tcPr>
          <w:p w14:paraId="72915AA0" w14:textId="5CCD4F95" w:rsidR="003D18EC" w:rsidRPr="00E07E11" w:rsidRDefault="003D18EC" w:rsidP="003D18EC">
            <w:pPr>
              <w:rPr>
                <w:szCs w:val="20"/>
              </w:rPr>
            </w:pPr>
            <w:r w:rsidRPr="00E07E11">
              <w:rPr>
                <w:szCs w:val="20"/>
              </w:rPr>
              <w:t>2016</w:t>
            </w:r>
          </w:p>
        </w:tc>
      </w:tr>
      <w:tr w:rsidR="00BA5202" w14:paraId="636F1539" w14:textId="77777777" w:rsidTr="00BA5202">
        <w:trPr>
          <w:cantSplit/>
        </w:trPr>
        <w:tc>
          <w:tcPr>
            <w:tcW w:w="252" w:type="pct"/>
          </w:tcPr>
          <w:p w14:paraId="7FB9FBB0" w14:textId="77777777" w:rsidR="003D18EC" w:rsidRDefault="003D18EC" w:rsidP="003D18EC">
            <w:pPr>
              <w:rPr>
                <w:szCs w:val="20"/>
              </w:rPr>
            </w:pPr>
            <w:r>
              <w:rPr>
                <w:szCs w:val="20"/>
              </w:rPr>
              <w:t>9</w:t>
            </w:r>
          </w:p>
        </w:tc>
        <w:tc>
          <w:tcPr>
            <w:tcW w:w="661" w:type="pct"/>
          </w:tcPr>
          <w:p w14:paraId="1CF997C3" w14:textId="0F18CFCC" w:rsidR="003D18EC" w:rsidRPr="00905881" w:rsidRDefault="003D18EC" w:rsidP="003D18EC">
            <w:pPr>
              <w:rPr>
                <w:b/>
                <w:color w:val="4F81BD" w:themeColor="accent1"/>
                <w:szCs w:val="20"/>
              </w:rPr>
            </w:pPr>
            <w:r w:rsidRPr="00905881">
              <w:rPr>
                <w:color w:val="4F81BD" w:themeColor="accent1"/>
              </w:rPr>
              <w:t>Retrospective, consecutive</w:t>
            </w:r>
          </w:p>
        </w:tc>
        <w:tc>
          <w:tcPr>
            <w:tcW w:w="965" w:type="pct"/>
          </w:tcPr>
          <w:p w14:paraId="2E3FD1F5" w14:textId="2AB98339" w:rsidR="003D18EC" w:rsidRPr="00905881" w:rsidRDefault="003D18EC" w:rsidP="00EE1BF5">
            <w:pPr>
              <w:rPr>
                <w:b/>
                <w:color w:val="4F81BD" w:themeColor="accent1"/>
                <w:szCs w:val="20"/>
              </w:rPr>
            </w:pPr>
            <w:r w:rsidRPr="00905881">
              <w:rPr>
                <w:color w:val="4F81BD" w:themeColor="accent1"/>
              </w:rPr>
              <w:t>Miller 2014</w:t>
            </w:r>
            <w:r w:rsidR="00EE1BF5" w:rsidRPr="00905881">
              <w:rPr>
                <w:color w:val="4F81BD" w:themeColor="accent1"/>
              </w:rPr>
              <w:t xml:space="preserve">. Impact of Endovascular Technique on Fluoroscopy Usage: Stent-Assisted Coiling versus Flow Diversion for </w:t>
            </w:r>
            <w:proofErr w:type="spellStart"/>
            <w:r w:rsidR="00EE1BF5" w:rsidRPr="00905881">
              <w:rPr>
                <w:color w:val="4F81BD" w:themeColor="accent1"/>
              </w:rPr>
              <w:t>Paraclinoid</w:t>
            </w:r>
            <w:proofErr w:type="spellEnd"/>
            <w:r w:rsidR="00EE1BF5" w:rsidRPr="00905881">
              <w:rPr>
                <w:color w:val="4F81BD" w:themeColor="accent1"/>
              </w:rPr>
              <w:t xml:space="preserve"> Internal Carotid Artery Aneurysms.</w:t>
            </w:r>
          </w:p>
        </w:tc>
        <w:tc>
          <w:tcPr>
            <w:tcW w:w="1455" w:type="pct"/>
          </w:tcPr>
          <w:p w14:paraId="61666DBB" w14:textId="569B3B21" w:rsidR="003D18EC" w:rsidRPr="00905881" w:rsidRDefault="00204298" w:rsidP="003D18EC">
            <w:pPr>
              <w:rPr>
                <w:b/>
                <w:color w:val="4F81BD" w:themeColor="accent1"/>
                <w:szCs w:val="20"/>
              </w:rPr>
            </w:pPr>
            <w:r w:rsidRPr="00905881">
              <w:rPr>
                <w:color w:val="4F81BD" w:themeColor="accent1"/>
              </w:rPr>
              <w:t xml:space="preserve">Complete occlusion was significantly higher in PED (80%) vs 60% in SAC </w:t>
            </w:r>
            <w:r w:rsidR="00EE1BF5" w:rsidRPr="00905881">
              <w:rPr>
                <w:color w:val="4F81BD" w:themeColor="accent1"/>
              </w:rPr>
              <w:t xml:space="preserve">cohort. There were no procedural related deaths in either group. No PED patients had permanent neurological deficit compared with 5% of SAC patients/ </w:t>
            </w:r>
          </w:p>
        </w:tc>
        <w:tc>
          <w:tcPr>
            <w:tcW w:w="1085" w:type="pct"/>
          </w:tcPr>
          <w:p w14:paraId="318C94F2" w14:textId="148F4E73" w:rsidR="003D18EC" w:rsidRPr="00905881" w:rsidRDefault="00905881" w:rsidP="003D18EC">
            <w:pPr>
              <w:rPr>
                <w:color w:val="4F81BD" w:themeColor="accent1"/>
                <w:szCs w:val="20"/>
              </w:rPr>
            </w:pPr>
            <w:hyperlink r:id="rId19" w:tooltip="Link to US National Library of Medicine National Institutes of Health website" w:history="1">
              <w:r w:rsidR="00A8140C" w:rsidRPr="00905881">
                <w:rPr>
                  <w:rStyle w:val="Hyperlink"/>
                  <w:color w:val="4F81BD" w:themeColor="accent1"/>
                  <w:szCs w:val="20"/>
                </w:rPr>
                <w:t>https://www.ncbi.nlm.nih.gov/pmc/articles/PMC4291792/</w:t>
              </w:r>
            </w:hyperlink>
            <w:r w:rsidR="00A8140C" w:rsidRPr="00905881">
              <w:rPr>
                <w:color w:val="4F81BD" w:themeColor="accent1"/>
                <w:szCs w:val="20"/>
              </w:rPr>
              <w:t xml:space="preserve"> </w:t>
            </w:r>
          </w:p>
        </w:tc>
        <w:tc>
          <w:tcPr>
            <w:tcW w:w="581" w:type="pct"/>
          </w:tcPr>
          <w:p w14:paraId="793AE4F9" w14:textId="44C79ED8" w:rsidR="003D18EC" w:rsidRPr="00E07E11" w:rsidRDefault="003D18EC" w:rsidP="003D18EC">
            <w:pPr>
              <w:rPr>
                <w:szCs w:val="20"/>
              </w:rPr>
            </w:pPr>
            <w:r w:rsidRPr="00E07E11">
              <w:rPr>
                <w:szCs w:val="20"/>
              </w:rPr>
              <w:t>2014</w:t>
            </w:r>
          </w:p>
        </w:tc>
      </w:tr>
      <w:tr w:rsidR="00BA5202" w14:paraId="3AFBBA48" w14:textId="77777777" w:rsidTr="00BA5202">
        <w:trPr>
          <w:cantSplit/>
        </w:trPr>
        <w:tc>
          <w:tcPr>
            <w:tcW w:w="252" w:type="pct"/>
          </w:tcPr>
          <w:p w14:paraId="1235972C" w14:textId="77777777" w:rsidR="003D18EC" w:rsidRDefault="003D18EC" w:rsidP="003D18EC">
            <w:pPr>
              <w:rPr>
                <w:szCs w:val="20"/>
              </w:rPr>
            </w:pPr>
            <w:r>
              <w:rPr>
                <w:szCs w:val="20"/>
              </w:rPr>
              <w:lastRenderedPageBreak/>
              <w:t>11.</w:t>
            </w:r>
          </w:p>
        </w:tc>
        <w:tc>
          <w:tcPr>
            <w:tcW w:w="661" w:type="pct"/>
          </w:tcPr>
          <w:p w14:paraId="2CF53F43" w14:textId="5C48AB94" w:rsidR="003D18EC" w:rsidRPr="00905881" w:rsidRDefault="003D18EC" w:rsidP="003D18EC">
            <w:pPr>
              <w:rPr>
                <w:b/>
                <w:color w:val="4F81BD" w:themeColor="accent1"/>
                <w:szCs w:val="20"/>
              </w:rPr>
            </w:pPr>
            <w:r w:rsidRPr="00905881">
              <w:rPr>
                <w:color w:val="4F81BD" w:themeColor="accent1"/>
              </w:rPr>
              <w:t>Retrospective 2 cohort study</w:t>
            </w:r>
          </w:p>
        </w:tc>
        <w:tc>
          <w:tcPr>
            <w:tcW w:w="965" w:type="pct"/>
          </w:tcPr>
          <w:p w14:paraId="5788C3BB" w14:textId="653D5E41" w:rsidR="003D18EC" w:rsidRPr="00905881" w:rsidRDefault="00B35A17" w:rsidP="00B35A17">
            <w:pPr>
              <w:rPr>
                <w:b/>
                <w:color w:val="4F81BD" w:themeColor="accent1"/>
                <w:szCs w:val="20"/>
              </w:rPr>
            </w:pPr>
            <w:r w:rsidRPr="00905881">
              <w:rPr>
                <w:color w:val="4F81BD" w:themeColor="accent1"/>
              </w:rPr>
              <w:t xml:space="preserve">Petr 2016. Current Trends and Results of Endovascular Treatment of </w:t>
            </w:r>
            <w:proofErr w:type="spellStart"/>
            <w:r w:rsidRPr="00905881">
              <w:rPr>
                <w:color w:val="4F81BD" w:themeColor="accent1"/>
              </w:rPr>
              <w:t>Unruptured</w:t>
            </w:r>
            <w:proofErr w:type="spellEnd"/>
            <w:r w:rsidRPr="00905881">
              <w:rPr>
                <w:color w:val="4F81BD" w:themeColor="accent1"/>
              </w:rPr>
              <w:t xml:space="preserve"> Intracranial Aneurysms at a Single Institution in the Flow-Diverter Era. </w:t>
            </w:r>
          </w:p>
        </w:tc>
        <w:tc>
          <w:tcPr>
            <w:tcW w:w="1455" w:type="pct"/>
          </w:tcPr>
          <w:p w14:paraId="34C9C755" w14:textId="2EBD199E" w:rsidR="003D18EC" w:rsidRPr="00905881" w:rsidRDefault="00EE1BF5" w:rsidP="00EE1BF5">
            <w:pPr>
              <w:rPr>
                <w:color w:val="4F81BD" w:themeColor="accent1"/>
                <w:szCs w:val="20"/>
              </w:rPr>
            </w:pPr>
            <w:r w:rsidRPr="00905881">
              <w:rPr>
                <w:color w:val="4F81BD" w:themeColor="accent1"/>
                <w:szCs w:val="20"/>
              </w:rPr>
              <w:t xml:space="preserve">There were no significant differences in the immediate (P=0.43) and mid-/long-term complication rates (P=0.54) between FD and coiling groups. </w:t>
            </w:r>
            <w:proofErr w:type="spellStart"/>
            <w:r w:rsidRPr="00905881">
              <w:rPr>
                <w:color w:val="4F81BD" w:themeColor="accent1"/>
                <w:szCs w:val="20"/>
              </w:rPr>
              <w:t>Periprocedural</w:t>
            </w:r>
            <w:proofErr w:type="spellEnd"/>
            <w:r w:rsidRPr="00905881">
              <w:rPr>
                <w:color w:val="4F81BD" w:themeColor="accent1"/>
                <w:szCs w:val="20"/>
              </w:rPr>
              <w:t xml:space="preserve"> neurologic morbidity and mortality rates were 2.1% and 0.5% in the coiling group and 2.5% and 1.6% in the FD group. Patients with coiling were more likely to be retreated than those with FD (14.8% versus 5.7%, P</w:t>
            </w:r>
            <w:r w:rsidR="00BA5202" w:rsidRPr="00905881">
              <w:rPr>
                <w:color w:val="4F81BD" w:themeColor="accent1"/>
                <w:szCs w:val="20"/>
              </w:rPr>
              <w:t>=0</w:t>
            </w:r>
            <w:r w:rsidRPr="00905881">
              <w:rPr>
                <w:color w:val="4F81BD" w:themeColor="accent1"/>
                <w:szCs w:val="20"/>
              </w:rPr>
              <w:t>.009).</w:t>
            </w:r>
          </w:p>
        </w:tc>
        <w:tc>
          <w:tcPr>
            <w:tcW w:w="1085" w:type="pct"/>
          </w:tcPr>
          <w:p w14:paraId="3BF0DF05" w14:textId="514C135B" w:rsidR="003D18EC" w:rsidRPr="00905881" w:rsidRDefault="00EE1BF5" w:rsidP="003D18EC">
            <w:pPr>
              <w:rPr>
                <w:color w:val="4F81BD" w:themeColor="accent1"/>
                <w:szCs w:val="20"/>
              </w:rPr>
            </w:pPr>
            <w:r w:rsidRPr="00905881">
              <w:rPr>
                <w:color w:val="4F81BD" w:themeColor="accent1"/>
                <w:szCs w:val="20"/>
              </w:rPr>
              <w:t>https://www.ncbi.nlm.nih.gov/pubmed/26797138</w:t>
            </w:r>
          </w:p>
        </w:tc>
        <w:tc>
          <w:tcPr>
            <w:tcW w:w="581" w:type="pct"/>
          </w:tcPr>
          <w:p w14:paraId="22A8A62C" w14:textId="27970B73" w:rsidR="003D18EC" w:rsidRPr="00E07E11" w:rsidRDefault="003D18EC" w:rsidP="003D18EC">
            <w:pPr>
              <w:rPr>
                <w:szCs w:val="20"/>
              </w:rPr>
            </w:pPr>
            <w:r w:rsidRPr="00E07E11">
              <w:rPr>
                <w:szCs w:val="20"/>
              </w:rPr>
              <w:t>2016</w:t>
            </w:r>
          </w:p>
        </w:tc>
      </w:tr>
      <w:tr w:rsidR="00BA5202" w14:paraId="62C10A67" w14:textId="77777777" w:rsidTr="00BA5202">
        <w:trPr>
          <w:cantSplit/>
        </w:trPr>
        <w:tc>
          <w:tcPr>
            <w:tcW w:w="252" w:type="pct"/>
          </w:tcPr>
          <w:p w14:paraId="66261CE4" w14:textId="77777777" w:rsidR="003D18EC" w:rsidRDefault="003D18EC" w:rsidP="003D18EC">
            <w:pPr>
              <w:rPr>
                <w:szCs w:val="20"/>
              </w:rPr>
            </w:pPr>
            <w:r>
              <w:rPr>
                <w:szCs w:val="20"/>
              </w:rPr>
              <w:t>12.</w:t>
            </w:r>
          </w:p>
        </w:tc>
        <w:tc>
          <w:tcPr>
            <w:tcW w:w="661" w:type="pct"/>
          </w:tcPr>
          <w:p w14:paraId="5F2F54A2" w14:textId="689EFFC9" w:rsidR="003D18EC" w:rsidRPr="00905881" w:rsidRDefault="003D18EC" w:rsidP="003D18EC">
            <w:pPr>
              <w:rPr>
                <w:b/>
                <w:color w:val="4F81BD" w:themeColor="accent1"/>
                <w:szCs w:val="20"/>
              </w:rPr>
            </w:pPr>
            <w:r w:rsidRPr="00905881">
              <w:rPr>
                <w:color w:val="4F81BD" w:themeColor="accent1"/>
              </w:rPr>
              <w:t>Retrospective, 4 cohort study</w:t>
            </w:r>
          </w:p>
        </w:tc>
        <w:tc>
          <w:tcPr>
            <w:tcW w:w="965" w:type="pct"/>
          </w:tcPr>
          <w:p w14:paraId="35CEA3B8" w14:textId="6585D45C" w:rsidR="003D18EC" w:rsidRPr="00905881" w:rsidRDefault="003D18EC" w:rsidP="00B35A17">
            <w:pPr>
              <w:rPr>
                <w:b/>
                <w:color w:val="4F81BD" w:themeColor="accent1"/>
                <w:szCs w:val="20"/>
              </w:rPr>
            </w:pPr>
            <w:proofErr w:type="spellStart"/>
            <w:r w:rsidRPr="00905881">
              <w:rPr>
                <w:color w:val="4F81BD" w:themeColor="accent1"/>
              </w:rPr>
              <w:t>Zanaty</w:t>
            </w:r>
            <w:proofErr w:type="spellEnd"/>
            <w:r w:rsidRPr="00905881">
              <w:rPr>
                <w:color w:val="4F81BD" w:themeColor="accent1"/>
              </w:rPr>
              <w:t xml:space="preserve"> 2014</w:t>
            </w:r>
            <w:r w:rsidR="00B35A17" w:rsidRPr="00905881">
              <w:rPr>
                <w:color w:val="4F81BD" w:themeColor="accent1"/>
              </w:rPr>
              <w:t>. Flow Diversion Versus Conventional Treatment for Carotid Cavernous Aneurysms.</w:t>
            </w:r>
          </w:p>
        </w:tc>
        <w:tc>
          <w:tcPr>
            <w:tcW w:w="1455" w:type="pct"/>
          </w:tcPr>
          <w:p w14:paraId="536B8DA7" w14:textId="441A973E" w:rsidR="003D18EC" w:rsidRPr="00905881" w:rsidRDefault="00EE1BF5" w:rsidP="00182A8B">
            <w:pPr>
              <w:rPr>
                <w:b/>
                <w:color w:val="4F81BD" w:themeColor="accent1"/>
                <w:szCs w:val="20"/>
              </w:rPr>
            </w:pPr>
            <w:r w:rsidRPr="00905881">
              <w:rPr>
                <w:color w:val="4F81BD" w:themeColor="accent1"/>
                <w:szCs w:val="20"/>
              </w:rPr>
              <w:t xml:space="preserve">One hundred fifty-seven patients with 167 cavernous carotid aneurysms were treated using PED placement, coiling, </w:t>
            </w:r>
            <w:r w:rsidR="00182A8B" w:rsidRPr="00905881">
              <w:rPr>
                <w:color w:val="4F81BD" w:themeColor="accent1"/>
                <w:szCs w:val="20"/>
              </w:rPr>
              <w:t>SAC</w:t>
            </w:r>
            <w:r w:rsidRPr="00905881">
              <w:rPr>
                <w:color w:val="4F81BD" w:themeColor="accent1"/>
                <w:szCs w:val="20"/>
              </w:rPr>
              <w:t xml:space="preserve">, and carotid vessel destruction. The rate of complete occlusion was 81.36% (48/59) for PED, 42.25% (39/71) for </w:t>
            </w:r>
            <w:r w:rsidR="00182A8B" w:rsidRPr="00905881">
              <w:rPr>
                <w:color w:val="4F81BD" w:themeColor="accent1"/>
                <w:szCs w:val="20"/>
              </w:rPr>
              <w:t>SAC</w:t>
            </w:r>
            <w:r w:rsidRPr="00905881">
              <w:rPr>
                <w:color w:val="4F81BD" w:themeColor="accent1"/>
                <w:szCs w:val="20"/>
              </w:rPr>
              <w:t>,</w:t>
            </w:r>
            <w:r w:rsidR="00182A8B" w:rsidRPr="00905881">
              <w:rPr>
                <w:color w:val="4F81BD" w:themeColor="accent1"/>
                <w:szCs w:val="20"/>
              </w:rPr>
              <w:t xml:space="preserve"> </w:t>
            </w:r>
            <w:r w:rsidRPr="00905881">
              <w:rPr>
                <w:color w:val="4F81BD" w:themeColor="accent1"/>
                <w:szCs w:val="20"/>
              </w:rPr>
              <w:t>27.27% (6</w:t>
            </w:r>
            <w:r w:rsidR="00182A8B" w:rsidRPr="00905881">
              <w:rPr>
                <w:color w:val="4F81BD" w:themeColor="accent1"/>
                <w:szCs w:val="20"/>
              </w:rPr>
              <w:t>/</w:t>
            </w:r>
            <w:r w:rsidRPr="00905881">
              <w:rPr>
                <w:color w:val="4F81BD" w:themeColor="accent1"/>
                <w:szCs w:val="20"/>
              </w:rPr>
              <w:t>22) for coiling, and 73.33% (11</w:t>
            </w:r>
            <w:r w:rsidR="00182A8B" w:rsidRPr="00905881">
              <w:rPr>
                <w:color w:val="4F81BD" w:themeColor="accent1"/>
                <w:szCs w:val="20"/>
              </w:rPr>
              <w:t>/</w:t>
            </w:r>
            <w:r w:rsidRPr="00905881">
              <w:rPr>
                <w:color w:val="4F81BD" w:themeColor="accent1"/>
                <w:szCs w:val="20"/>
              </w:rPr>
              <w:t>15) for carotid vessel destruction. Retreatment was needed in patients</w:t>
            </w:r>
            <w:r w:rsidR="00182A8B" w:rsidRPr="00905881">
              <w:rPr>
                <w:color w:val="4F81BD" w:themeColor="accent1"/>
                <w:szCs w:val="20"/>
              </w:rPr>
              <w:t xml:space="preserve"> </w:t>
            </w:r>
            <w:r w:rsidRPr="00905881">
              <w:rPr>
                <w:color w:val="4F81BD" w:themeColor="accent1"/>
                <w:szCs w:val="20"/>
              </w:rPr>
              <w:t>with aneurysm size &gt;15 mm (OR, 2.67; P=0.037) and those who were not treated with PED (PED: OR, 0.16; P=0.006).</w:t>
            </w:r>
          </w:p>
        </w:tc>
        <w:tc>
          <w:tcPr>
            <w:tcW w:w="1085" w:type="pct"/>
          </w:tcPr>
          <w:p w14:paraId="60262844" w14:textId="6D92ADCC" w:rsidR="003D18EC" w:rsidRPr="00905881" w:rsidRDefault="00DA3A00" w:rsidP="003D18EC">
            <w:pPr>
              <w:rPr>
                <w:color w:val="4F81BD" w:themeColor="accent1"/>
                <w:szCs w:val="20"/>
              </w:rPr>
            </w:pPr>
            <w:r w:rsidRPr="00905881">
              <w:rPr>
                <w:color w:val="4F81BD" w:themeColor="accent1"/>
                <w:szCs w:val="20"/>
              </w:rPr>
              <w:t>https://www.ncbi.nlm.nih.gov/pubmed/25052318</w:t>
            </w:r>
          </w:p>
        </w:tc>
        <w:tc>
          <w:tcPr>
            <w:tcW w:w="581" w:type="pct"/>
          </w:tcPr>
          <w:p w14:paraId="32E3A86C" w14:textId="0B95D51D" w:rsidR="003D18EC" w:rsidRPr="00E07E11" w:rsidRDefault="003D18EC" w:rsidP="003D18EC">
            <w:pPr>
              <w:rPr>
                <w:szCs w:val="20"/>
              </w:rPr>
            </w:pPr>
            <w:r w:rsidRPr="00E07E11">
              <w:rPr>
                <w:szCs w:val="20"/>
              </w:rPr>
              <w:t>2014</w:t>
            </w:r>
          </w:p>
        </w:tc>
      </w:tr>
      <w:tr w:rsidR="000D2809" w14:paraId="5604757A" w14:textId="77777777" w:rsidTr="00BA5202">
        <w:trPr>
          <w:cantSplit/>
        </w:trPr>
        <w:tc>
          <w:tcPr>
            <w:tcW w:w="252" w:type="pct"/>
          </w:tcPr>
          <w:p w14:paraId="5176FBD3" w14:textId="173815BD" w:rsidR="000D2809" w:rsidRDefault="00B73414" w:rsidP="003D18EC">
            <w:pPr>
              <w:rPr>
                <w:szCs w:val="20"/>
              </w:rPr>
            </w:pPr>
            <w:r>
              <w:rPr>
                <w:szCs w:val="20"/>
              </w:rPr>
              <w:lastRenderedPageBreak/>
              <w:t>13.</w:t>
            </w:r>
          </w:p>
        </w:tc>
        <w:tc>
          <w:tcPr>
            <w:tcW w:w="661" w:type="pct"/>
          </w:tcPr>
          <w:p w14:paraId="5CA7A6E4" w14:textId="2862A39F" w:rsidR="000D2809" w:rsidRPr="00905881" w:rsidRDefault="000D2809" w:rsidP="003D18EC">
            <w:pPr>
              <w:rPr>
                <w:color w:val="4F81BD" w:themeColor="accent1"/>
              </w:rPr>
            </w:pPr>
            <w:r w:rsidRPr="00905881">
              <w:rPr>
                <w:color w:val="4F81BD" w:themeColor="accent1"/>
              </w:rPr>
              <w:t>Prospective, interventional, single arm, multi-centre</w:t>
            </w:r>
          </w:p>
        </w:tc>
        <w:tc>
          <w:tcPr>
            <w:tcW w:w="965" w:type="pct"/>
          </w:tcPr>
          <w:p w14:paraId="26BA5F7B" w14:textId="131664F0" w:rsidR="000D2809" w:rsidRPr="00905881" w:rsidRDefault="00B35A17" w:rsidP="003D18EC">
            <w:pPr>
              <w:rPr>
                <w:color w:val="4F81BD" w:themeColor="accent1"/>
              </w:rPr>
            </w:pPr>
            <w:r w:rsidRPr="00905881">
              <w:rPr>
                <w:color w:val="4F81BD" w:themeColor="accent1"/>
              </w:rPr>
              <w:t>PUF</w:t>
            </w:r>
            <w:r w:rsidR="00837E12" w:rsidRPr="00905881">
              <w:rPr>
                <w:color w:val="4F81BD" w:themeColor="accent1"/>
              </w:rPr>
              <w:t>S</w:t>
            </w:r>
            <w:r w:rsidRPr="00905881">
              <w:rPr>
                <w:color w:val="4F81BD" w:themeColor="accent1"/>
              </w:rPr>
              <w:t>.</w:t>
            </w:r>
            <w:r w:rsidR="00FD1DAD" w:rsidRPr="00905881">
              <w:rPr>
                <w:color w:val="4F81BD" w:themeColor="accent1"/>
              </w:rPr>
              <w:t xml:space="preserve"> </w:t>
            </w:r>
            <w:r w:rsidR="0096631E" w:rsidRPr="00905881">
              <w:rPr>
                <w:color w:val="4F81BD" w:themeColor="accent1"/>
              </w:rPr>
              <w:t xml:space="preserve">Long-term clinical and angiographic outcomes following pipeline embolization device treatment of complex internal carotid artery aneurysms: five year results of the pipeline for </w:t>
            </w:r>
            <w:proofErr w:type="spellStart"/>
            <w:r w:rsidR="0096631E" w:rsidRPr="00905881">
              <w:rPr>
                <w:color w:val="4F81BD" w:themeColor="accent1"/>
              </w:rPr>
              <w:t>uncoilable</w:t>
            </w:r>
            <w:proofErr w:type="spellEnd"/>
            <w:r w:rsidR="0096631E" w:rsidRPr="00905881">
              <w:rPr>
                <w:color w:val="4F81BD" w:themeColor="accent1"/>
              </w:rPr>
              <w:t xml:space="preserve"> or failed </w:t>
            </w:r>
            <w:r w:rsidR="00CD4EA6" w:rsidRPr="00905881">
              <w:rPr>
                <w:color w:val="4F81BD" w:themeColor="accent1"/>
              </w:rPr>
              <w:t>aneurysms</w:t>
            </w:r>
            <w:r w:rsidR="0096631E" w:rsidRPr="00905881">
              <w:rPr>
                <w:color w:val="4F81BD" w:themeColor="accent1"/>
              </w:rPr>
              <w:t xml:space="preserve"> trial. </w:t>
            </w:r>
            <w:proofErr w:type="spellStart"/>
            <w:r w:rsidRPr="00905881">
              <w:rPr>
                <w:color w:val="4F81BD" w:themeColor="accent1"/>
              </w:rPr>
              <w:t>Becske</w:t>
            </w:r>
            <w:proofErr w:type="spellEnd"/>
            <w:r w:rsidRPr="00905881">
              <w:rPr>
                <w:color w:val="4F81BD" w:themeColor="accent1"/>
              </w:rPr>
              <w:t xml:space="preserve"> 2017.</w:t>
            </w:r>
          </w:p>
        </w:tc>
        <w:tc>
          <w:tcPr>
            <w:tcW w:w="1455" w:type="pct"/>
          </w:tcPr>
          <w:p w14:paraId="56EDC5AD" w14:textId="18C2DB93" w:rsidR="000D2809" w:rsidRPr="00905881" w:rsidRDefault="00B73414" w:rsidP="00182A8B">
            <w:pPr>
              <w:rPr>
                <w:color w:val="4F81BD" w:themeColor="accent1"/>
                <w:szCs w:val="20"/>
              </w:rPr>
            </w:pPr>
            <w:r w:rsidRPr="00905881">
              <w:rPr>
                <w:color w:val="4F81BD" w:themeColor="accent1"/>
                <w:szCs w:val="20"/>
              </w:rPr>
              <w:t>The study included 10</w:t>
            </w:r>
            <w:r w:rsidR="00CD4EA6" w:rsidRPr="00905881">
              <w:rPr>
                <w:color w:val="4F81BD" w:themeColor="accent1"/>
                <w:szCs w:val="20"/>
              </w:rPr>
              <w:t>7</w:t>
            </w:r>
            <w:r w:rsidRPr="00905881">
              <w:rPr>
                <w:color w:val="4F81BD" w:themeColor="accent1"/>
                <w:szCs w:val="20"/>
              </w:rPr>
              <w:t xml:space="preserve"> patients with </w:t>
            </w:r>
            <w:proofErr w:type="spellStart"/>
            <w:r w:rsidRPr="00905881">
              <w:rPr>
                <w:color w:val="4F81BD" w:themeColor="accent1"/>
                <w:szCs w:val="20"/>
              </w:rPr>
              <w:t>unruptured</w:t>
            </w:r>
            <w:proofErr w:type="spellEnd"/>
            <w:r w:rsidRPr="00905881">
              <w:rPr>
                <w:color w:val="4F81BD" w:themeColor="accent1"/>
                <w:szCs w:val="20"/>
              </w:rPr>
              <w:t xml:space="preserve"> large and gian</w:t>
            </w:r>
            <w:r w:rsidR="00763401" w:rsidRPr="00905881">
              <w:rPr>
                <w:color w:val="4F81BD" w:themeColor="accent1"/>
                <w:szCs w:val="20"/>
              </w:rPr>
              <w:t>t</w:t>
            </w:r>
            <w:r w:rsidRPr="00905881">
              <w:rPr>
                <w:color w:val="4F81BD" w:themeColor="accent1"/>
                <w:szCs w:val="20"/>
              </w:rPr>
              <w:t xml:space="preserve"> wide-neck aneurysm, and PED placement was successful in 107/108 patients. Complete occlusion</w:t>
            </w:r>
            <w:r w:rsidR="00CD4EA6" w:rsidRPr="00905881">
              <w:rPr>
                <w:color w:val="4F81BD" w:themeColor="accent1"/>
                <w:szCs w:val="20"/>
              </w:rPr>
              <w:t xml:space="preserve"> at 1, 3 and 5 years</w:t>
            </w:r>
            <w:r w:rsidRPr="00905881">
              <w:rPr>
                <w:color w:val="4F81BD" w:themeColor="accent1"/>
                <w:szCs w:val="20"/>
              </w:rPr>
              <w:t xml:space="preserve"> was achieved in 86.8%</w:t>
            </w:r>
            <w:r w:rsidR="00CD4EA6" w:rsidRPr="00905881">
              <w:rPr>
                <w:color w:val="4F81BD" w:themeColor="accent1"/>
                <w:szCs w:val="20"/>
              </w:rPr>
              <w:t xml:space="preserve">, 93.4% and 95.2% </w:t>
            </w:r>
            <w:r w:rsidRPr="00905881">
              <w:rPr>
                <w:color w:val="4F81BD" w:themeColor="accent1"/>
                <w:szCs w:val="20"/>
              </w:rPr>
              <w:t>of aneurysms</w:t>
            </w:r>
            <w:r w:rsidR="00CD4EA6" w:rsidRPr="00905881">
              <w:rPr>
                <w:color w:val="4F81BD" w:themeColor="accent1"/>
                <w:szCs w:val="20"/>
              </w:rPr>
              <w:t xml:space="preserve"> respectively</w:t>
            </w:r>
            <w:r w:rsidRPr="00905881">
              <w:rPr>
                <w:color w:val="4F81BD" w:themeColor="accent1"/>
                <w:szCs w:val="20"/>
              </w:rPr>
              <w:t>.</w:t>
            </w:r>
            <w:r w:rsidR="00CD4EA6" w:rsidRPr="00905881">
              <w:rPr>
                <w:color w:val="4F81BD" w:themeColor="accent1"/>
                <w:szCs w:val="20"/>
              </w:rPr>
              <w:t xml:space="preserve"> Six aneurysms (5.7%) required retreatment. The rate of new serious device related events at 1, 3 and 5 years was 1%, 3.5% and 0% respectively. Four patients died (3.7%), with no delayed neurological deaths or haemorrhagic/ischaemic cerebrovascular event observed beyond 6 months post procedure. No </w:t>
            </w:r>
            <w:proofErr w:type="spellStart"/>
            <w:proofErr w:type="gramStart"/>
            <w:r w:rsidR="00CD4EA6" w:rsidRPr="00905881">
              <w:rPr>
                <w:color w:val="4F81BD" w:themeColor="accent1"/>
                <w:szCs w:val="20"/>
              </w:rPr>
              <w:t>recanalizations</w:t>
            </w:r>
            <w:proofErr w:type="spellEnd"/>
            <w:r w:rsidR="00CD4EA6" w:rsidRPr="00905881">
              <w:rPr>
                <w:color w:val="4F81BD" w:themeColor="accent1"/>
                <w:szCs w:val="20"/>
              </w:rPr>
              <w:t xml:space="preserve"> in previously occluded aneurysms was</w:t>
            </w:r>
            <w:proofErr w:type="gramEnd"/>
            <w:r w:rsidR="00CD4EA6" w:rsidRPr="00905881">
              <w:rPr>
                <w:color w:val="4F81BD" w:themeColor="accent1"/>
                <w:szCs w:val="20"/>
              </w:rPr>
              <w:t xml:space="preserve"> observed. Of the patients with 5-year follow up, 96.3% had modified Rankin Scale scores </w:t>
            </w:r>
            <w:r w:rsidR="00CD4EA6" w:rsidRPr="00905881">
              <w:rPr>
                <w:rFonts w:cstheme="minorHAnsi"/>
                <w:color w:val="4F81BD" w:themeColor="accent1"/>
                <w:szCs w:val="20"/>
              </w:rPr>
              <w:t>≤</w:t>
            </w:r>
            <w:r w:rsidR="00CD4EA6" w:rsidRPr="00905881">
              <w:rPr>
                <w:color w:val="4F81BD" w:themeColor="accent1"/>
                <w:szCs w:val="20"/>
              </w:rPr>
              <w:t xml:space="preserve">2. </w:t>
            </w:r>
            <w:r w:rsidRPr="00905881">
              <w:rPr>
                <w:color w:val="4F81BD" w:themeColor="accent1"/>
                <w:szCs w:val="20"/>
              </w:rPr>
              <w:t xml:space="preserve">The authors concluded that PED offers a safe and effective treatment of large or giant intracranial internal carotid artery aneurysms, including those who failed previous treatment. </w:t>
            </w:r>
          </w:p>
        </w:tc>
        <w:tc>
          <w:tcPr>
            <w:tcW w:w="1085" w:type="pct"/>
          </w:tcPr>
          <w:p w14:paraId="7AC56F70" w14:textId="1630E970" w:rsidR="000D2809" w:rsidRPr="00905881" w:rsidRDefault="00905881" w:rsidP="003D18EC">
            <w:pPr>
              <w:rPr>
                <w:color w:val="4F81BD" w:themeColor="accent1"/>
                <w:szCs w:val="20"/>
              </w:rPr>
            </w:pPr>
            <w:hyperlink r:id="rId20" w:tooltip="Link to US National Library of Medicine National Institutes of Health website" w:history="1">
              <w:r w:rsidR="00DF4864" w:rsidRPr="00905881">
                <w:rPr>
                  <w:rStyle w:val="Hyperlink"/>
                  <w:color w:val="4F81BD" w:themeColor="accent1"/>
                  <w:szCs w:val="20"/>
                </w:rPr>
                <w:t>https://www.ncbi.nlm.nih.gov/pubmed/28362885</w:t>
              </w:r>
            </w:hyperlink>
            <w:r w:rsidR="00DF4864" w:rsidRPr="00905881">
              <w:rPr>
                <w:color w:val="4F81BD" w:themeColor="accent1"/>
                <w:szCs w:val="20"/>
              </w:rPr>
              <w:t xml:space="preserve"> </w:t>
            </w:r>
          </w:p>
        </w:tc>
        <w:tc>
          <w:tcPr>
            <w:tcW w:w="581" w:type="pct"/>
          </w:tcPr>
          <w:p w14:paraId="0351039E" w14:textId="64FDC1A7" w:rsidR="000D2809" w:rsidRPr="00E07E11" w:rsidRDefault="00FD1DAD" w:rsidP="003D18EC">
            <w:pPr>
              <w:rPr>
                <w:szCs w:val="20"/>
              </w:rPr>
            </w:pPr>
            <w:r>
              <w:rPr>
                <w:szCs w:val="20"/>
              </w:rPr>
              <w:t>201</w:t>
            </w:r>
            <w:r w:rsidR="00DF4864">
              <w:rPr>
                <w:szCs w:val="20"/>
              </w:rPr>
              <w:t>7</w:t>
            </w:r>
          </w:p>
        </w:tc>
      </w:tr>
      <w:tr w:rsidR="000D2809" w14:paraId="3B2C4445" w14:textId="77777777" w:rsidTr="00BA5202">
        <w:trPr>
          <w:cantSplit/>
        </w:trPr>
        <w:tc>
          <w:tcPr>
            <w:tcW w:w="252" w:type="pct"/>
          </w:tcPr>
          <w:p w14:paraId="1582FCA4" w14:textId="74C8507A" w:rsidR="000D2809" w:rsidRDefault="00763401" w:rsidP="003D18EC">
            <w:pPr>
              <w:rPr>
                <w:szCs w:val="20"/>
              </w:rPr>
            </w:pPr>
            <w:r>
              <w:rPr>
                <w:szCs w:val="20"/>
              </w:rPr>
              <w:t>14.</w:t>
            </w:r>
          </w:p>
        </w:tc>
        <w:tc>
          <w:tcPr>
            <w:tcW w:w="661" w:type="pct"/>
          </w:tcPr>
          <w:p w14:paraId="5D22CA10" w14:textId="43C45274" w:rsidR="000D2809" w:rsidRPr="00905881" w:rsidRDefault="00763401" w:rsidP="003D18EC">
            <w:pPr>
              <w:rPr>
                <w:color w:val="4F81BD" w:themeColor="accent1"/>
              </w:rPr>
            </w:pPr>
            <w:r w:rsidRPr="00905881">
              <w:rPr>
                <w:color w:val="4F81BD" w:themeColor="accent1"/>
              </w:rPr>
              <w:t>Prospective, interventional, single-arm, multi-</w:t>
            </w:r>
            <w:proofErr w:type="spellStart"/>
            <w:r w:rsidRPr="00905881">
              <w:rPr>
                <w:color w:val="4F81BD" w:themeColor="accent1"/>
              </w:rPr>
              <w:t>center</w:t>
            </w:r>
            <w:proofErr w:type="spellEnd"/>
          </w:p>
        </w:tc>
        <w:tc>
          <w:tcPr>
            <w:tcW w:w="965" w:type="pct"/>
          </w:tcPr>
          <w:p w14:paraId="1AAEA148" w14:textId="4B9A5526" w:rsidR="000D2809" w:rsidRPr="00905881" w:rsidRDefault="00763401" w:rsidP="00763401">
            <w:pPr>
              <w:rPr>
                <w:color w:val="4F81BD" w:themeColor="accent1"/>
              </w:rPr>
            </w:pPr>
            <w:r w:rsidRPr="00905881">
              <w:rPr>
                <w:color w:val="4F81BD" w:themeColor="accent1"/>
              </w:rPr>
              <w:t>PREMIER trial. Prospective, Multi-</w:t>
            </w:r>
            <w:proofErr w:type="spellStart"/>
            <w:r w:rsidRPr="00905881">
              <w:rPr>
                <w:color w:val="4F81BD" w:themeColor="accent1"/>
              </w:rPr>
              <w:t>Center</w:t>
            </w:r>
            <w:proofErr w:type="spellEnd"/>
            <w:r w:rsidRPr="00905881">
              <w:rPr>
                <w:color w:val="4F81BD" w:themeColor="accent1"/>
              </w:rPr>
              <w:t xml:space="preserve"> Study of Flow Diversion for Small and Medium-Sized Aneurysms: Results of the Premier Trial</w:t>
            </w:r>
          </w:p>
        </w:tc>
        <w:tc>
          <w:tcPr>
            <w:tcW w:w="1455" w:type="pct"/>
          </w:tcPr>
          <w:p w14:paraId="386DF5FD" w14:textId="1F70E544" w:rsidR="000D2809" w:rsidRPr="00905881" w:rsidRDefault="00763401" w:rsidP="00182A8B">
            <w:pPr>
              <w:rPr>
                <w:color w:val="4F81BD" w:themeColor="accent1"/>
                <w:szCs w:val="20"/>
              </w:rPr>
            </w:pPr>
            <w:r w:rsidRPr="00905881">
              <w:rPr>
                <w:color w:val="4F81BD" w:themeColor="accent1"/>
                <w:szCs w:val="20"/>
              </w:rPr>
              <w:t xml:space="preserve">The study included 141 patients with wide-neck, small/medium UIA </w:t>
            </w:r>
            <w:r w:rsidRPr="00905881">
              <w:rPr>
                <w:rFonts w:cstheme="minorHAnsi"/>
                <w:color w:val="4F81BD" w:themeColor="accent1"/>
                <w:szCs w:val="20"/>
              </w:rPr>
              <w:t>≤</w:t>
            </w:r>
            <w:r w:rsidRPr="00905881">
              <w:rPr>
                <w:color w:val="4F81BD" w:themeColor="accent1"/>
                <w:szCs w:val="20"/>
              </w:rPr>
              <w:t xml:space="preserve">12 mm. Technical success was achieved in 99.3%. </w:t>
            </w:r>
            <w:r w:rsidR="004D4011" w:rsidRPr="00905881">
              <w:rPr>
                <w:color w:val="4F81BD" w:themeColor="accent1"/>
                <w:szCs w:val="20"/>
              </w:rPr>
              <w:t>At 1 year, c</w:t>
            </w:r>
            <w:r w:rsidRPr="00905881">
              <w:rPr>
                <w:color w:val="4F81BD" w:themeColor="accent1"/>
                <w:szCs w:val="20"/>
              </w:rPr>
              <w:t xml:space="preserve">omplete occlusion was achieved in 83.5% </w:t>
            </w:r>
            <w:r w:rsidR="004D4011" w:rsidRPr="00905881">
              <w:rPr>
                <w:color w:val="4F81BD" w:themeColor="accent1"/>
                <w:szCs w:val="20"/>
              </w:rPr>
              <w:t>o</w:t>
            </w:r>
            <w:r w:rsidRPr="00905881">
              <w:rPr>
                <w:color w:val="4F81BD" w:themeColor="accent1"/>
                <w:szCs w:val="20"/>
              </w:rPr>
              <w:t xml:space="preserve">f </w:t>
            </w:r>
            <w:r w:rsidR="004D4011" w:rsidRPr="00905881">
              <w:rPr>
                <w:color w:val="4F81BD" w:themeColor="accent1"/>
                <w:szCs w:val="20"/>
              </w:rPr>
              <w:t>patients</w:t>
            </w:r>
            <w:r w:rsidRPr="00905881">
              <w:rPr>
                <w:color w:val="4F81BD" w:themeColor="accent1"/>
                <w:szCs w:val="20"/>
              </w:rPr>
              <w:t xml:space="preserve"> </w:t>
            </w:r>
            <w:r w:rsidR="004D4011" w:rsidRPr="00905881">
              <w:rPr>
                <w:color w:val="4F81BD" w:themeColor="accent1"/>
                <w:szCs w:val="20"/>
              </w:rPr>
              <w:t>and</w:t>
            </w:r>
            <w:r w:rsidRPr="00905881">
              <w:rPr>
                <w:color w:val="4F81BD" w:themeColor="accent1"/>
                <w:szCs w:val="20"/>
              </w:rPr>
              <w:t xml:space="preserve"> </w:t>
            </w:r>
            <w:r w:rsidR="004D4011" w:rsidRPr="00905881">
              <w:rPr>
                <w:color w:val="4F81BD" w:themeColor="accent1"/>
                <w:szCs w:val="20"/>
              </w:rPr>
              <w:t xml:space="preserve">2.1% had experienced a major stroke or neurological death. </w:t>
            </w:r>
          </w:p>
        </w:tc>
        <w:tc>
          <w:tcPr>
            <w:tcW w:w="1085" w:type="pct"/>
          </w:tcPr>
          <w:p w14:paraId="6D82B28A" w14:textId="60AE4147" w:rsidR="000D2809" w:rsidRPr="00905881" w:rsidRDefault="00905881" w:rsidP="003D18EC">
            <w:pPr>
              <w:rPr>
                <w:color w:val="4F81BD" w:themeColor="accent1"/>
                <w:szCs w:val="20"/>
              </w:rPr>
            </w:pPr>
            <w:hyperlink r:id="rId21" w:tooltip="Link to document online" w:history="1">
              <w:r w:rsidR="004D4011" w:rsidRPr="00905881">
                <w:rPr>
                  <w:rStyle w:val="Hyperlink"/>
                  <w:color w:val="4F81BD" w:themeColor="accent1"/>
                  <w:szCs w:val="20"/>
                </w:rPr>
                <w:t>https://professional.heart.org/idc/groups/ahamah-public/@wcm/@sop/@scon/documents/downloadable/ucm_492111.pdf</w:t>
              </w:r>
            </w:hyperlink>
            <w:r w:rsidR="004D4011" w:rsidRPr="00905881">
              <w:rPr>
                <w:color w:val="4F81BD" w:themeColor="accent1"/>
                <w:szCs w:val="20"/>
              </w:rPr>
              <w:t xml:space="preserve"> </w:t>
            </w:r>
          </w:p>
        </w:tc>
        <w:tc>
          <w:tcPr>
            <w:tcW w:w="581" w:type="pct"/>
          </w:tcPr>
          <w:p w14:paraId="4A084AD9" w14:textId="45FF33DA" w:rsidR="000D2809" w:rsidRPr="00E07E11" w:rsidRDefault="004D4011" w:rsidP="003D18EC">
            <w:pPr>
              <w:rPr>
                <w:szCs w:val="20"/>
              </w:rPr>
            </w:pPr>
            <w:r>
              <w:rPr>
                <w:szCs w:val="20"/>
              </w:rPr>
              <w:t>2017</w:t>
            </w:r>
          </w:p>
        </w:tc>
      </w:tr>
    </w:tbl>
    <w:p w14:paraId="38DCF40B" w14:textId="2F22592E" w:rsidR="00DD308E" w:rsidRPr="003B4C2A" w:rsidRDefault="00DD308E" w:rsidP="00DD308E">
      <w:pPr>
        <w:spacing w:after="0"/>
        <w:ind w:left="426"/>
        <w:rPr>
          <w:i/>
          <w:color w:val="4F81BD" w:themeColor="accent1"/>
          <w:szCs w:val="20"/>
        </w:rPr>
      </w:pPr>
      <w:r w:rsidRPr="003B4C2A">
        <w:rPr>
          <w:i/>
          <w:color w:val="4F81BD" w:themeColor="accent1"/>
          <w:szCs w:val="20"/>
        </w:rPr>
        <w:t xml:space="preserve">* Categorise study design, for example meta-analysis, randomised trials, non-randomised trial or observational study, study of diagnostic accuracy, etc. </w:t>
      </w:r>
    </w:p>
    <w:p w14:paraId="53C40D1B" w14:textId="7AD1E282" w:rsidR="00DA3A00" w:rsidRPr="003B4C2A" w:rsidRDefault="00DA3A00" w:rsidP="00DD308E">
      <w:pPr>
        <w:spacing w:after="0"/>
        <w:ind w:left="426"/>
        <w:rPr>
          <w:i/>
          <w:color w:val="4F81BD" w:themeColor="accent1"/>
          <w:szCs w:val="20"/>
        </w:rPr>
      </w:pPr>
      <w:r w:rsidRPr="003B4C2A">
        <w:rPr>
          <w:i/>
          <w:color w:val="4F81BD" w:themeColor="accent1"/>
          <w:szCs w:val="20"/>
        </w:rPr>
        <w:t>SAC=stent-assisted coiling; PED=Pipeline embolization device; FD=flow diversion</w:t>
      </w:r>
      <w:r w:rsidR="00763401" w:rsidRPr="003B4C2A">
        <w:rPr>
          <w:i/>
          <w:color w:val="4F81BD" w:themeColor="accent1"/>
          <w:szCs w:val="20"/>
        </w:rPr>
        <w:t>; UIA=</w:t>
      </w:r>
      <w:proofErr w:type="spellStart"/>
      <w:r w:rsidR="00763401" w:rsidRPr="003B4C2A">
        <w:rPr>
          <w:i/>
          <w:color w:val="4F81BD" w:themeColor="accent1"/>
          <w:szCs w:val="20"/>
        </w:rPr>
        <w:t>unruptured</w:t>
      </w:r>
      <w:proofErr w:type="spellEnd"/>
      <w:r w:rsidR="00763401" w:rsidRPr="003B4C2A">
        <w:rPr>
          <w:i/>
          <w:color w:val="4F81BD" w:themeColor="accent1"/>
          <w:szCs w:val="20"/>
        </w:rPr>
        <w:t xml:space="preserve"> intracranial aneurysm.</w:t>
      </w:r>
      <w:r w:rsidRPr="003B4C2A">
        <w:rPr>
          <w:i/>
          <w:color w:val="4F81BD" w:themeColor="accent1"/>
          <w:szCs w:val="20"/>
        </w:rPr>
        <w:t xml:space="preserve"> </w:t>
      </w:r>
    </w:p>
    <w:p w14:paraId="0F8B141A" w14:textId="77777777" w:rsidR="00DD308E" w:rsidRPr="003B4C2A" w:rsidRDefault="00DD308E" w:rsidP="00DD308E">
      <w:pPr>
        <w:spacing w:after="0"/>
        <w:ind w:left="426"/>
        <w:rPr>
          <w:i/>
          <w:color w:val="4F81BD" w:themeColor="accent1"/>
          <w:szCs w:val="20"/>
        </w:rPr>
      </w:pPr>
      <w:r w:rsidRPr="003B4C2A">
        <w:rPr>
          <w:i/>
          <w:color w:val="4F81BD" w:themeColor="accent1"/>
          <w:szCs w:val="20"/>
        </w:rPr>
        <w:lastRenderedPageBreak/>
        <w:t>**Provide high level information including population numbers and whether patients are being recruited or in post-recruitment, including providing the trial registration number to allow for tracking purposes.</w:t>
      </w:r>
    </w:p>
    <w:p w14:paraId="658EF592" w14:textId="77777777" w:rsidR="00DD308E" w:rsidRPr="003B4C2A" w:rsidRDefault="00DD308E" w:rsidP="00DD308E">
      <w:pPr>
        <w:spacing w:after="0"/>
        <w:ind w:left="426"/>
        <w:rPr>
          <w:i/>
          <w:color w:val="4F81BD" w:themeColor="accent1"/>
          <w:szCs w:val="20"/>
        </w:rPr>
      </w:pPr>
      <w:r w:rsidRPr="003B4C2A">
        <w:rPr>
          <w:i/>
          <w:color w:val="4F81BD" w:themeColor="accent1"/>
          <w:szCs w:val="20"/>
        </w:rPr>
        <w:t>*</w:t>
      </w:r>
      <w:r w:rsidRPr="003B4C2A">
        <w:rPr>
          <w:color w:val="4F81BD" w:themeColor="accent1"/>
          <w:szCs w:val="20"/>
        </w:rPr>
        <w:t>**</w:t>
      </w:r>
      <w:r w:rsidRPr="003B4C2A">
        <w:rPr>
          <w:i/>
          <w:color w:val="4F81BD" w:themeColor="accent1"/>
          <w:szCs w:val="20"/>
        </w:rPr>
        <w:t xml:space="preserve"> If the publication is a follow-up to an initial publication, please </w:t>
      </w:r>
      <w:proofErr w:type="gramStart"/>
      <w:r w:rsidRPr="003B4C2A">
        <w:rPr>
          <w:i/>
          <w:color w:val="4F81BD" w:themeColor="accent1"/>
          <w:szCs w:val="20"/>
        </w:rPr>
        <w:t>advise</w:t>
      </w:r>
      <w:proofErr w:type="gramEnd"/>
      <w:r w:rsidRPr="003B4C2A">
        <w:rPr>
          <w:i/>
          <w:color w:val="4F81BD" w:themeColor="accent1"/>
          <w:szCs w:val="20"/>
        </w:rPr>
        <w:t>.</w:t>
      </w:r>
    </w:p>
    <w:p w14:paraId="386FD0DC" w14:textId="77777777" w:rsidR="00DD308E" w:rsidRDefault="00DD308E" w:rsidP="00DD308E">
      <w:pPr>
        <w:rPr>
          <w:i/>
          <w:szCs w:val="20"/>
        </w:rPr>
      </w:pPr>
      <w:r>
        <w:rPr>
          <w:i/>
          <w:szCs w:val="20"/>
        </w:rPr>
        <w:br w:type="page"/>
      </w:r>
    </w:p>
    <w:p w14:paraId="34AC5433"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5226FEEB"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tbl>
      <w:tblPr>
        <w:tblStyle w:val="TableGrid"/>
        <w:tblW w:w="5000" w:type="pct"/>
        <w:tblLayout w:type="fixed"/>
        <w:tblLook w:val="04A0" w:firstRow="1" w:lastRow="0" w:firstColumn="1" w:lastColumn="0" w:noHBand="0" w:noVBand="1"/>
        <w:tblCaption w:val="Summary of Evidence - Yet to be Published"/>
      </w:tblPr>
      <w:tblGrid>
        <w:gridCol w:w="607"/>
        <w:gridCol w:w="1993"/>
        <w:gridCol w:w="2554"/>
        <w:gridCol w:w="4258"/>
        <w:gridCol w:w="3087"/>
        <w:gridCol w:w="1675"/>
      </w:tblGrid>
      <w:tr w:rsidR="004C49EF" w14:paraId="67ABAECC" w14:textId="77777777" w:rsidTr="00BA5202">
        <w:trPr>
          <w:cantSplit/>
          <w:tblHeader/>
        </w:trPr>
        <w:tc>
          <w:tcPr>
            <w:tcW w:w="214" w:type="pct"/>
          </w:tcPr>
          <w:p w14:paraId="3D0E67C5" w14:textId="6B98F8DA" w:rsidR="004C49EF" w:rsidRDefault="00BA5202" w:rsidP="00855944">
            <w:pPr>
              <w:pStyle w:val="TableHEADER"/>
            </w:pPr>
            <w:r>
              <w:t>#</w:t>
            </w:r>
          </w:p>
        </w:tc>
        <w:tc>
          <w:tcPr>
            <w:tcW w:w="703" w:type="pct"/>
          </w:tcPr>
          <w:p w14:paraId="6CAFC7B5" w14:textId="77777777" w:rsidR="004C49EF" w:rsidRDefault="004C49EF" w:rsidP="00855944">
            <w:pPr>
              <w:pStyle w:val="TableHEADER"/>
            </w:pPr>
            <w:r>
              <w:t>Type of study design*</w:t>
            </w:r>
          </w:p>
        </w:tc>
        <w:tc>
          <w:tcPr>
            <w:tcW w:w="901" w:type="pct"/>
          </w:tcPr>
          <w:p w14:paraId="2E8D4E1C" w14:textId="77777777" w:rsidR="004C49EF" w:rsidRDefault="004C49EF" w:rsidP="00855944">
            <w:pPr>
              <w:pStyle w:val="TableHEADER"/>
            </w:pPr>
            <w:r>
              <w:t>Title of research (including any trial identifier if relevant)</w:t>
            </w:r>
          </w:p>
        </w:tc>
        <w:tc>
          <w:tcPr>
            <w:tcW w:w="1502" w:type="pct"/>
          </w:tcPr>
          <w:p w14:paraId="7DFA5C9D" w14:textId="77777777" w:rsidR="004C49EF" w:rsidRDefault="00367C1B" w:rsidP="00855944">
            <w:pPr>
              <w:pStyle w:val="TableHEADER"/>
            </w:pPr>
            <w:r>
              <w:t xml:space="preserve">Short description of research </w:t>
            </w:r>
            <w:r w:rsidR="004C49EF">
              <w:t>(max 50 words)**</w:t>
            </w:r>
          </w:p>
        </w:tc>
        <w:tc>
          <w:tcPr>
            <w:tcW w:w="1089" w:type="pct"/>
          </w:tcPr>
          <w:p w14:paraId="08BFE814" w14:textId="77777777" w:rsidR="004C49EF" w:rsidRDefault="004C49EF" w:rsidP="00855944">
            <w:pPr>
              <w:pStyle w:val="TableHEADER"/>
            </w:pPr>
            <w:r w:rsidRPr="00E82F54">
              <w:t xml:space="preserve">Website link to </w:t>
            </w:r>
            <w:r>
              <w:t>research (if available)</w:t>
            </w:r>
          </w:p>
        </w:tc>
        <w:tc>
          <w:tcPr>
            <w:tcW w:w="592" w:type="pct"/>
          </w:tcPr>
          <w:p w14:paraId="4536F040" w14:textId="77777777" w:rsidR="004C49EF" w:rsidRDefault="004C49EF" w:rsidP="00855944">
            <w:pPr>
              <w:pStyle w:val="TableHEADER"/>
            </w:pPr>
            <w:r w:rsidRPr="00E82F54">
              <w:t>Date*</w:t>
            </w:r>
            <w:r>
              <w:t>**</w:t>
            </w:r>
          </w:p>
        </w:tc>
      </w:tr>
      <w:tr w:rsidR="00EC1401" w14:paraId="346F1A39" w14:textId="77777777" w:rsidTr="00BA5202">
        <w:trPr>
          <w:cantSplit/>
        </w:trPr>
        <w:tc>
          <w:tcPr>
            <w:tcW w:w="214" w:type="pct"/>
          </w:tcPr>
          <w:p w14:paraId="405DC95C" w14:textId="77777777" w:rsidR="00EC1401" w:rsidRPr="00965B6B" w:rsidRDefault="00EC1401" w:rsidP="00EC1401">
            <w:pPr>
              <w:rPr>
                <w:szCs w:val="20"/>
              </w:rPr>
            </w:pPr>
            <w:r w:rsidRPr="00965B6B">
              <w:rPr>
                <w:szCs w:val="20"/>
              </w:rPr>
              <w:t>1</w:t>
            </w:r>
            <w:r>
              <w:rPr>
                <w:szCs w:val="20"/>
              </w:rPr>
              <w:t>.</w:t>
            </w:r>
          </w:p>
        </w:tc>
        <w:tc>
          <w:tcPr>
            <w:tcW w:w="703" w:type="pct"/>
          </w:tcPr>
          <w:p w14:paraId="6902B4EC" w14:textId="48DEA829" w:rsidR="00EC1401" w:rsidRPr="00905881" w:rsidRDefault="00EC1401" w:rsidP="00EC1401">
            <w:pPr>
              <w:rPr>
                <w:b/>
                <w:color w:val="4F81BD" w:themeColor="accent1"/>
                <w:szCs w:val="20"/>
              </w:rPr>
            </w:pPr>
            <w:r w:rsidRPr="00905881">
              <w:rPr>
                <w:color w:val="4F81BD" w:themeColor="accent1"/>
                <w:szCs w:val="20"/>
              </w:rPr>
              <w:t>RCT, open-label</w:t>
            </w:r>
          </w:p>
        </w:tc>
        <w:tc>
          <w:tcPr>
            <w:tcW w:w="901" w:type="pct"/>
          </w:tcPr>
          <w:p w14:paraId="27E3AE28" w14:textId="68784029" w:rsidR="00EC1401" w:rsidRPr="00905881" w:rsidRDefault="00EC1401" w:rsidP="00EC1401">
            <w:pPr>
              <w:rPr>
                <w:b/>
                <w:color w:val="4F81BD" w:themeColor="accent1"/>
                <w:szCs w:val="20"/>
              </w:rPr>
            </w:pPr>
            <w:r w:rsidRPr="00905881">
              <w:rPr>
                <w:color w:val="4F81BD" w:themeColor="accent1"/>
                <w:szCs w:val="20"/>
              </w:rPr>
              <w:t>LARGE Aneurysm Randomized Trial: Flow Diversion Versus Traditional Endovascular Coiling Therapy (LARGE)</w:t>
            </w:r>
          </w:p>
        </w:tc>
        <w:tc>
          <w:tcPr>
            <w:tcW w:w="1502" w:type="pct"/>
          </w:tcPr>
          <w:p w14:paraId="649D0800" w14:textId="6663B1FD" w:rsidR="00EC1401" w:rsidRPr="00905881" w:rsidRDefault="00EC1401" w:rsidP="00EC1401">
            <w:pPr>
              <w:rPr>
                <w:b/>
                <w:color w:val="4F81BD" w:themeColor="accent1"/>
                <w:szCs w:val="20"/>
              </w:rPr>
            </w:pPr>
            <w:r w:rsidRPr="00905881">
              <w:rPr>
                <w:color w:val="4F81BD" w:themeColor="accent1"/>
                <w:szCs w:val="20"/>
              </w:rPr>
              <w:t>FD versus coiling. Study was terminated due to rarity of disease</w:t>
            </w:r>
          </w:p>
        </w:tc>
        <w:tc>
          <w:tcPr>
            <w:tcW w:w="1089" w:type="pct"/>
          </w:tcPr>
          <w:p w14:paraId="7748CF2C" w14:textId="16E634BB" w:rsidR="00EC1401" w:rsidRPr="00905881" w:rsidRDefault="00EC1401" w:rsidP="00EC1401">
            <w:pPr>
              <w:rPr>
                <w:b/>
                <w:color w:val="4F81BD" w:themeColor="accent1"/>
                <w:szCs w:val="20"/>
              </w:rPr>
            </w:pPr>
            <w:r w:rsidRPr="00905881">
              <w:rPr>
                <w:color w:val="4F81BD" w:themeColor="accent1"/>
                <w:szCs w:val="20"/>
              </w:rPr>
              <w:t>NCT01762137</w:t>
            </w:r>
          </w:p>
        </w:tc>
        <w:tc>
          <w:tcPr>
            <w:tcW w:w="592" w:type="pct"/>
          </w:tcPr>
          <w:p w14:paraId="3F40CFC2" w14:textId="3ECE5ED6" w:rsidR="00EC1401" w:rsidRPr="00E82F54" w:rsidRDefault="00EC1401" w:rsidP="00EC1401">
            <w:pPr>
              <w:rPr>
                <w:b/>
                <w:szCs w:val="20"/>
              </w:rPr>
            </w:pPr>
            <w:r w:rsidRPr="00DA3A00">
              <w:rPr>
                <w:szCs w:val="20"/>
              </w:rPr>
              <w:t>N/A</w:t>
            </w:r>
          </w:p>
        </w:tc>
      </w:tr>
      <w:tr w:rsidR="00EC1401" w14:paraId="230DCF48" w14:textId="77777777" w:rsidTr="00BA5202">
        <w:trPr>
          <w:cantSplit/>
        </w:trPr>
        <w:tc>
          <w:tcPr>
            <w:tcW w:w="214" w:type="pct"/>
          </w:tcPr>
          <w:p w14:paraId="254DC0E5" w14:textId="77777777" w:rsidR="00EC1401" w:rsidRPr="00965B6B" w:rsidRDefault="00EC1401" w:rsidP="00EC1401">
            <w:pPr>
              <w:rPr>
                <w:szCs w:val="20"/>
              </w:rPr>
            </w:pPr>
            <w:r>
              <w:rPr>
                <w:szCs w:val="20"/>
              </w:rPr>
              <w:t>2.</w:t>
            </w:r>
          </w:p>
        </w:tc>
        <w:tc>
          <w:tcPr>
            <w:tcW w:w="703" w:type="pct"/>
          </w:tcPr>
          <w:p w14:paraId="32EDCFE8" w14:textId="0E190419" w:rsidR="00EC1401" w:rsidRPr="00905881" w:rsidRDefault="00EC1401" w:rsidP="00EC1401">
            <w:pPr>
              <w:rPr>
                <w:color w:val="4F81BD" w:themeColor="accent1"/>
                <w:szCs w:val="20"/>
              </w:rPr>
            </w:pPr>
            <w:r w:rsidRPr="00905881">
              <w:rPr>
                <w:color w:val="4F81BD" w:themeColor="accent1"/>
              </w:rPr>
              <w:t>RCT, open-label</w:t>
            </w:r>
          </w:p>
        </w:tc>
        <w:tc>
          <w:tcPr>
            <w:tcW w:w="901" w:type="pct"/>
          </w:tcPr>
          <w:p w14:paraId="684DD264" w14:textId="0EA64245" w:rsidR="00EC1401" w:rsidRPr="00905881" w:rsidRDefault="00EC1401" w:rsidP="00EC1401">
            <w:pPr>
              <w:rPr>
                <w:color w:val="4F81BD" w:themeColor="accent1"/>
              </w:rPr>
            </w:pPr>
            <w:r w:rsidRPr="00905881">
              <w:rPr>
                <w:color w:val="4F81BD" w:themeColor="accent1"/>
              </w:rPr>
              <w:t>Study of Complex Intracranial Aneurysm Treatment (SCAT)</w:t>
            </w:r>
          </w:p>
        </w:tc>
        <w:tc>
          <w:tcPr>
            <w:tcW w:w="1502" w:type="pct"/>
          </w:tcPr>
          <w:p w14:paraId="6726E78A" w14:textId="77777777" w:rsidR="00EC1401" w:rsidRPr="00905881" w:rsidRDefault="00EC1401" w:rsidP="00EC1401">
            <w:pPr>
              <w:rPr>
                <w:color w:val="4F81BD" w:themeColor="accent1"/>
                <w:szCs w:val="20"/>
              </w:rPr>
            </w:pPr>
            <w:r w:rsidRPr="00905881">
              <w:rPr>
                <w:color w:val="4F81BD" w:themeColor="accent1"/>
                <w:szCs w:val="20"/>
              </w:rPr>
              <w:t>The study is active, but not recruiting.</w:t>
            </w:r>
          </w:p>
          <w:p w14:paraId="0C8D41BD" w14:textId="5A8D9716" w:rsidR="00EC1401" w:rsidRPr="00905881" w:rsidRDefault="00EC1401" w:rsidP="00EC1401">
            <w:pPr>
              <w:rPr>
                <w:color w:val="4F81BD" w:themeColor="accent1"/>
                <w:szCs w:val="20"/>
              </w:rPr>
            </w:pPr>
            <w:r w:rsidRPr="00905881">
              <w:rPr>
                <w:color w:val="4F81BD" w:themeColor="accent1"/>
                <w:szCs w:val="20"/>
              </w:rPr>
              <w:t>FD vs cerebral revascularization with trapping of aneurysm in complex intracranial aneurysms</w:t>
            </w:r>
            <w:proofErr w:type="gramStart"/>
            <w:r w:rsidRPr="00905881">
              <w:rPr>
                <w:color w:val="4F81BD" w:themeColor="accent1"/>
                <w:szCs w:val="20"/>
              </w:rPr>
              <w:t>.;</w:t>
            </w:r>
            <w:proofErr w:type="gramEnd"/>
          </w:p>
        </w:tc>
        <w:tc>
          <w:tcPr>
            <w:tcW w:w="1089" w:type="pct"/>
          </w:tcPr>
          <w:p w14:paraId="221FA95B" w14:textId="04EA0DCC" w:rsidR="00EC1401" w:rsidRPr="00905881" w:rsidRDefault="00EC1401" w:rsidP="00EC1401">
            <w:pPr>
              <w:rPr>
                <w:color w:val="4F81BD" w:themeColor="accent1"/>
                <w:szCs w:val="20"/>
              </w:rPr>
            </w:pPr>
            <w:r w:rsidRPr="00905881">
              <w:rPr>
                <w:color w:val="4F81BD" w:themeColor="accent1"/>
                <w:szCs w:val="20"/>
              </w:rPr>
              <w:t>NCT03269942</w:t>
            </w:r>
          </w:p>
        </w:tc>
        <w:tc>
          <w:tcPr>
            <w:tcW w:w="592" w:type="pct"/>
          </w:tcPr>
          <w:p w14:paraId="33B0DCA7" w14:textId="222006AE" w:rsidR="00EC1401" w:rsidRPr="00DA3A00" w:rsidRDefault="00EC1401" w:rsidP="00EC1401">
            <w:pPr>
              <w:rPr>
                <w:szCs w:val="20"/>
              </w:rPr>
            </w:pPr>
            <w:r>
              <w:rPr>
                <w:szCs w:val="20"/>
              </w:rPr>
              <w:t>N/A</w:t>
            </w:r>
          </w:p>
        </w:tc>
      </w:tr>
      <w:tr w:rsidR="00EC1401" w14:paraId="6872105F" w14:textId="77777777" w:rsidTr="00BA5202">
        <w:trPr>
          <w:cantSplit/>
        </w:trPr>
        <w:tc>
          <w:tcPr>
            <w:tcW w:w="214" w:type="pct"/>
          </w:tcPr>
          <w:p w14:paraId="63D5C41D" w14:textId="77777777" w:rsidR="00EC1401" w:rsidRDefault="00EC1401" w:rsidP="00EC1401">
            <w:pPr>
              <w:rPr>
                <w:szCs w:val="20"/>
              </w:rPr>
            </w:pPr>
            <w:r>
              <w:rPr>
                <w:szCs w:val="20"/>
              </w:rPr>
              <w:t>3.</w:t>
            </w:r>
          </w:p>
        </w:tc>
        <w:tc>
          <w:tcPr>
            <w:tcW w:w="703" w:type="pct"/>
          </w:tcPr>
          <w:p w14:paraId="1AD166E7" w14:textId="41AD0432" w:rsidR="00EC1401" w:rsidRPr="00905881" w:rsidRDefault="00EC1401" w:rsidP="00EC1401">
            <w:pPr>
              <w:rPr>
                <w:color w:val="4F81BD" w:themeColor="accent1"/>
                <w:szCs w:val="20"/>
              </w:rPr>
            </w:pPr>
            <w:r w:rsidRPr="00905881">
              <w:rPr>
                <w:color w:val="4F81BD" w:themeColor="accent1"/>
                <w:szCs w:val="20"/>
              </w:rPr>
              <w:t>RCT, single-blind (outcomes assessor)</w:t>
            </w:r>
          </w:p>
        </w:tc>
        <w:tc>
          <w:tcPr>
            <w:tcW w:w="901" w:type="pct"/>
          </w:tcPr>
          <w:p w14:paraId="6E6561A4" w14:textId="1A1E6C45" w:rsidR="00EC1401" w:rsidRPr="00905881" w:rsidRDefault="00EC1401" w:rsidP="00EC1401">
            <w:pPr>
              <w:rPr>
                <w:color w:val="4F81BD" w:themeColor="accent1"/>
                <w:szCs w:val="20"/>
              </w:rPr>
            </w:pPr>
            <w:r w:rsidRPr="00905881">
              <w:rPr>
                <w:color w:val="4F81BD" w:themeColor="accent1"/>
                <w:szCs w:val="20"/>
              </w:rPr>
              <w:t xml:space="preserve">DIVERT. Diversion of Flow in Intracranial </w:t>
            </w:r>
            <w:proofErr w:type="spellStart"/>
            <w:r w:rsidRPr="00905881">
              <w:rPr>
                <w:color w:val="4F81BD" w:themeColor="accent1"/>
                <w:szCs w:val="20"/>
              </w:rPr>
              <w:t>VErtebral</w:t>
            </w:r>
            <w:proofErr w:type="spellEnd"/>
            <w:r w:rsidRPr="00905881">
              <w:rPr>
                <w:color w:val="4F81BD" w:themeColor="accent1"/>
                <w:szCs w:val="20"/>
              </w:rPr>
              <w:t xml:space="preserve"> and Blood Blister-like Ruptured Aneurysms Trial: A Randomized Trial Comparing Pipeline Flow Diversion and Best-Standard-Treatment (DIVERT)</w:t>
            </w:r>
          </w:p>
        </w:tc>
        <w:tc>
          <w:tcPr>
            <w:tcW w:w="1502" w:type="pct"/>
          </w:tcPr>
          <w:p w14:paraId="41863A6E" w14:textId="77777777" w:rsidR="00EC1401" w:rsidRPr="00905881" w:rsidRDefault="00EC1401" w:rsidP="00EC1401">
            <w:pPr>
              <w:rPr>
                <w:color w:val="4F81BD" w:themeColor="accent1"/>
                <w:szCs w:val="20"/>
              </w:rPr>
            </w:pPr>
            <w:r w:rsidRPr="00905881">
              <w:rPr>
                <w:color w:val="4F81BD" w:themeColor="accent1"/>
                <w:szCs w:val="20"/>
              </w:rPr>
              <w:t>Study withdrawn due to rare aneurysms.</w:t>
            </w:r>
          </w:p>
          <w:p w14:paraId="425FB37C" w14:textId="557C5D02" w:rsidR="00EC1401" w:rsidRPr="00905881" w:rsidRDefault="00EC1401" w:rsidP="00EC1401">
            <w:pPr>
              <w:rPr>
                <w:color w:val="4F81BD" w:themeColor="accent1"/>
                <w:szCs w:val="20"/>
              </w:rPr>
            </w:pPr>
            <w:r w:rsidRPr="00905881">
              <w:rPr>
                <w:color w:val="4F81BD" w:themeColor="accent1"/>
                <w:szCs w:val="20"/>
              </w:rPr>
              <w:t xml:space="preserve">FD vs best standard treatment (conservative, coiling +/-stenting, clipping, </w:t>
            </w:r>
            <w:proofErr w:type="gramStart"/>
            <w:r w:rsidRPr="00905881">
              <w:rPr>
                <w:color w:val="4F81BD" w:themeColor="accent1"/>
                <w:szCs w:val="20"/>
              </w:rPr>
              <w:t>parent</w:t>
            </w:r>
            <w:proofErr w:type="gramEnd"/>
            <w:r w:rsidRPr="00905881">
              <w:rPr>
                <w:color w:val="4F81BD" w:themeColor="accent1"/>
                <w:szCs w:val="20"/>
              </w:rPr>
              <w:t xml:space="preserve"> vessel occlusion +/- bypass in ruptured aneurysm of intracranial artery.</w:t>
            </w:r>
          </w:p>
        </w:tc>
        <w:tc>
          <w:tcPr>
            <w:tcW w:w="1089" w:type="pct"/>
          </w:tcPr>
          <w:p w14:paraId="6C756CE4" w14:textId="1F0907C5" w:rsidR="00EC1401" w:rsidRPr="00905881" w:rsidRDefault="00EC1401" w:rsidP="00EC1401">
            <w:pPr>
              <w:rPr>
                <w:color w:val="4F81BD" w:themeColor="accent1"/>
                <w:szCs w:val="20"/>
              </w:rPr>
            </w:pPr>
            <w:r w:rsidRPr="00905881">
              <w:rPr>
                <w:color w:val="4F81BD" w:themeColor="accent1"/>
                <w:szCs w:val="20"/>
              </w:rPr>
              <w:t>NCT01976026</w:t>
            </w:r>
          </w:p>
        </w:tc>
        <w:tc>
          <w:tcPr>
            <w:tcW w:w="592" w:type="pct"/>
          </w:tcPr>
          <w:p w14:paraId="6FDF66A7" w14:textId="387BD593" w:rsidR="00EC1401" w:rsidRPr="00DA3A00" w:rsidRDefault="00EC1401" w:rsidP="00EC1401">
            <w:pPr>
              <w:rPr>
                <w:szCs w:val="20"/>
              </w:rPr>
            </w:pPr>
            <w:r w:rsidRPr="002333B3">
              <w:rPr>
                <w:szCs w:val="20"/>
              </w:rPr>
              <w:t>N/A</w:t>
            </w:r>
          </w:p>
        </w:tc>
      </w:tr>
      <w:tr w:rsidR="00EC1401" w14:paraId="36E69C35" w14:textId="77777777" w:rsidTr="00BA5202">
        <w:trPr>
          <w:cantSplit/>
        </w:trPr>
        <w:tc>
          <w:tcPr>
            <w:tcW w:w="214" w:type="pct"/>
          </w:tcPr>
          <w:p w14:paraId="7AEB0884" w14:textId="77777777" w:rsidR="00EC1401" w:rsidRDefault="00EC1401" w:rsidP="00EC1401">
            <w:pPr>
              <w:rPr>
                <w:szCs w:val="20"/>
              </w:rPr>
            </w:pPr>
            <w:r>
              <w:rPr>
                <w:szCs w:val="20"/>
              </w:rPr>
              <w:t>4.</w:t>
            </w:r>
          </w:p>
        </w:tc>
        <w:tc>
          <w:tcPr>
            <w:tcW w:w="703" w:type="pct"/>
          </w:tcPr>
          <w:p w14:paraId="25B2A166" w14:textId="01BD4D69" w:rsidR="00EC1401" w:rsidRPr="00905881" w:rsidRDefault="00EC1401" w:rsidP="00EC1401">
            <w:pPr>
              <w:rPr>
                <w:color w:val="4F81BD" w:themeColor="accent1"/>
                <w:szCs w:val="20"/>
              </w:rPr>
            </w:pPr>
            <w:r w:rsidRPr="00905881">
              <w:rPr>
                <w:color w:val="4F81BD" w:themeColor="accent1"/>
              </w:rPr>
              <w:t xml:space="preserve">RCT, Phase II, open-label, </w:t>
            </w:r>
            <w:proofErr w:type="spellStart"/>
            <w:r w:rsidRPr="00905881">
              <w:rPr>
                <w:color w:val="4F81BD" w:themeColor="accent1"/>
              </w:rPr>
              <w:t>multicenter</w:t>
            </w:r>
            <w:proofErr w:type="spellEnd"/>
            <w:r w:rsidRPr="00905881">
              <w:rPr>
                <w:color w:val="4F81BD" w:themeColor="accent1"/>
              </w:rPr>
              <w:t xml:space="preserve"> </w:t>
            </w:r>
          </w:p>
        </w:tc>
        <w:tc>
          <w:tcPr>
            <w:tcW w:w="901" w:type="pct"/>
          </w:tcPr>
          <w:p w14:paraId="50E679D4" w14:textId="324136D3" w:rsidR="00EC1401" w:rsidRPr="00905881" w:rsidRDefault="00EC1401" w:rsidP="00EC1401">
            <w:pPr>
              <w:rPr>
                <w:color w:val="4F81BD" w:themeColor="accent1"/>
                <w:szCs w:val="20"/>
              </w:rPr>
            </w:pPr>
            <w:r w:rsidRPr="00905881">
              <w:rPr>
                <w:color w:val="4F81BD" w:themeColor="accent1"/>
                <w:szCs w:val="20"/>
              </w:rPr>
              <w:t xml:space="preserve">Flow Diverter Stent for Endovascular Treatment of </w:t>
            </w:r>
            <w:proofErr w:type="spellStart"/>
            <w:r w:rsidRPr="00905881">
              <w:rPr>
                <w:color w:val="4F81BD" w:themeColor="accent1"/>
                <w:szCs w:val="20"/>
              </w:rPr>
              <w:t>Unruptured</w:t>
            </w:r>
            <w:proofErr w:type="spellEnd"/>
            <w:r w:rsidRPr="00905881">
              <w:rPr>
                <w:color w:val="4F81BD" w:themeColor="accent1"/>
                <w:szCs w:val="20"/>
              </w:rPr>
              <w:t xml:space="preserve"> Saccular Wide-necked Intracranial Aneurysms (EVIDENCE)</w:t>
            </w:r>
          </w:p>
        </w:tc>
        <w:tc>
          <w:tcPr>
            <w:tcW w:w="1502" w:type="pct"/>
          </w:tcPr>
          <w:p w14:paraId="3E92F744" w14:textId="77777777" w:rsidR="00EC1401" w:rsidRPr="00905881" w:rsidRDefault="00EC1401" w:rsidP="00EC1401">
            <w:pPr>
              <w:rPr>
                <w:color w:val="4F81BD" w:themeColor="accent1"/>
                <w:szCs w:val="20"/>
              </w:rPr>
            </w:pPr>
            <w:r w:rsidRPr="00905881">
              <w:rPr>
                <w:color w:val="4F81BD" w:themeColor="accent1"/>
                <w:szCs w:val="20"/>
              </w:rPr>
              <w:t>Status is unknown.</w:t>
            </w:r>
          </w:p>
          <w:p w14:paraId="34DCA790" w14:textId="2724BC07" w:rsidR="00EC1401" w:rsidRPr="00905881" w:rsidRDefault="00EC1401" w:rsidP="00EC1401">
            <w:pPr>
              <w:rPr>
                <w:color w:val="4F81BD" w:themeColor="accent1"/>
                <w:szCs w:val="20"/>
              </w:rPr>
            </w:pPr>
            <w:r w:rsidRPr="00905881">
              <w:rPr>
                <w:color w:val="4F81BD" w:themeColor="accent1"/>
                <w:szCs w:val="20"/>
              </w:rPr>
              <w:t xml:space="preserve">FD (Pipeline) vs coiling +/- stenting in </w:t>
            </w:r>
            <w:proofErr w:type="spellStart"/>
            <w:r w:rsidRPr="00905881">
              <w:rPr>
                <w:color w:val="4F81BD" w:themeColor="accent1"/>
                <w:szCs w:val="20"/>
              </w:rPr>
              <w:t>unruptured</w:t>
            </w:r>
            <w:proofErr w:type="spellEnd"/>
            <w:r w:rsidRPr="00905881">
              <w:rPr>
                <w:color w:val="4F81BD" w:themeColor="accent1"/>
                <w:szCs w:val="20"/>
              </w:rPr>
              <w:t>, wide neck, intra-</w:t>
            </w:r>
            <w:proofErr w:type="spellStart"/>
            <w:r w:rsidRPr="00905881">
              <w:rPr>
                <w:color w:val="4F81BD" w:themeColor="accent1"/>
                <w:szCs w:val="20"/>
              </w:rPr>
              <w:t>dural</w:t>
            </w:r>
            <w:proofErr w:type="spellEnd"/>
            <w:r w:rsidRPr="00905881">
              <w:rPr>
                <w:color w:val="4F81BD" w:themeColor="accent1"/>
                <w:szCs w:val="20"/>
              </w:rPr>
              <w:t xml:space="preserve"> aneurysms amenable to either traditional endovascular strategy or FD </w:t>
            </w:r>
          </w:p>
        </w:tc>
        <w:tc>
          <w:tcPr>
            <w:tcW w:w="1089" w:type="pct"/>
          </w:tcPr>
          <w:p w14:paraId="10150839" w14:textId="474E2798" w:rsidR="00EC1401" w:rsidRPr="00905881" w:rsidRDefault="00EC1401" w:rsidP="00EC1401">
            <w:pPr>
              <w:rPr>
                <w:color w:val="4F81BD" w:themeColor="accent1"/>
                <w:szCs w:val="20"/>
              </w:rPr>
            </w:pPr>
            <w:r w:rsidRPr="00905881">
              <w:rPr>
                <w:color w:val="4F81BD" w:themeColor="accent1"/>
                <w:szCs w:val="20"/>
              </w:rPr>
              <w:t>NCT01811134</w:t>
            </w:r>
          </w:p>
        </w:tc>
        <w:tc>
          <w:tcPr>
            <w:tcW w:w="592" w:type="pct"/>
          </w:tcPr>
          <w:p w14:paraId="11E91C12" w14:textId="1C51BDE6" w:rsidR="00EC1401" w:rsidRPr="002333B3" w:rsidRDefault="00EC1401" w:rsidP="00EC1401">
            <w:pPr>
              <w:rPr>
                <w:szCs w:val="20"/>
              </w:rPr>
            </w:pPr>
            <w:r w:rsidRPr="002333B3">
              <w:rPr>
                <w:szCs w:val="20"/>
              </w:rPr>
              <w:t>N/A</w:t>
            </w:r>
          </w:p>
        </w:tc>
      </w:tr>
      <w:tr w:rsidR="00EC1401" w14:paraId="083D4148" w14:textId="77777777" w:rsidTr="00BA5202">
        <w:trPr>
          <w:cantSplit/>
        </w:trPr>
        <w:tc>
          <w:tcPr>
            <w:tcW w:w="214" w:type="pct"/>
          </w:tcPr>
          <w:p w14:paraId="48036389" w14:textId="77777777" w:rsidR="00EC1401" w:rsidRDefault="00EC1401" w:rsidP="00EC1401">
            <w:pPr>
              <w:rPr>
                <w:szCs w:val="20"/>
              </w:rPr>
            </w:pPr>
            <w:r>
              <w:rPr>
                <w:szCs w:val="20"/>
              </w:rPr>
              <w:lastRenderedPageBreak/>
              <w:t>5.</w:t>
            </w:r>
          </w:p>
        </w:tc>
        <w:tc>
          <w:tcPr>
            <w:tcW w:w="703" w:type="pct"/>
          </w:tcPr>
          <w:p w14:paraId="450E6725" w14:textId="06EEE591" w:rsidR="00EC1401" w:rsidRPr="00905881" w:rsidRDefault="00EC1401" w:rsidP="00EC1401">
            <w:pPr>
              <w:rPr>
                <w:b/>
                <w:color w:val="4F81BD" w:themeColor="accent1"/>
                <w:szCs w:val="20"/>
              </w:rPr>
            </w:pPr>
            <w:r w:rsidRPr="00905881">
              <w:rPr>
                <w:color w:val="4F81BD" w:themeColor="accent1"/>
                <w:szCs w:val="20"/>
              </w:rPr>
              <w:t xml:space="preserve">RCT, open-label, </w:t>
            </w:r>
            <w:proofErr w:type="spellStart"/>
            <w:r w:rsidRPr="00905881">
              <w:rPr>
                <w:color w:val="4F81BD" w:themeColor="accent1"/>
                <w:szCs w:val="20"/>
              </w:rPr>
              <w:t>multicenter</w:t>
            </w:r>
            <w:proofErr w:type="spellEnd"/>
            <w:r w:rsidRPr="00905881">
              <w:rPr>
                <w:color w:val="4F81BD" w:themeColor="accent1"/>
                <w:szCs w:val="20"/>
              </w:rPr>
              <w:t>, post-marketing</w:t>
            </w:r>
          </w:p>
        </w:tc>
        <w:tc>
          <w:tcPr>
            <w:tcW w:w="901" w:type="pct"/>
          </w:tcPr>
          <w:p w14:paraId="53E5F070" w14:textId="77777777" w:rsidR="00EC1401" w:rsidRPr="00905881" w:rsidRDefault="00EC1401" w:rsidP="00EC1401">
            <w:pPr>
              <w:rPr>
                <w:color w:val="4F81BD" w:themeColor="accent1"/>
              </w:rPr>
            </w:pPr>
            <w:r w:rsidRPr="00905881">
              <w:rPr>
                <w:color w:val="4F81BD" w:themeColor="accent1"/>
              </w:rPr>
              <w:t>MARCO POLO.</w:t>
            </w:r>
          </w:p>
          <w:p w14:paraId="5497D141" w14:textId="4F6BC906" w:rsidR="00EC1401" w:rsidRPr="00905881" w:rsidRDefault="00EC1401" w:rsidP="00EC1401">
            <w:pPr>
              <w:rPr>
                <w:color w:val="4F81BD" w:themeColor="accent1"/>
                <w:szCs w:val="20"/>
              </w:rPr>
            </w:pPr>
            <w:r w:rsidRPr="00905881">
              <w:rPr>
                <w:color w:val="4F81BD" w:themeColor="accent1"/>
                <w:szCs w:val="20"/>
              </w:rPr>
              <w:t>Efficacy Trial of Intracranial Aneurysm Treatment Using Two Different Endovascular Techniques</w:t>
            </w:r>
          </w:p>
        </w:tc>
        <w:tc>
          <w:tcPr>
            <w:tcW w:w="1502" w:type="pct"/>
          </w:tcPr>
          <w:p w14:paraId="4037B992" w14:textId="77777777" w:rsidR="00EC1401" w:rsidRPr="00905881" w:rsidRDefault="00EC1401" w:rsidP="00EC1401">
            <w:pPr>
              <w:rPr>
                <w:color w:val="4F81BD" w:themeColor="accent1"/>
                <w:szCs w:val="20"/>
              </w:rPr>
            </w:pPr>
            <w:r w:rsidRPr="00905881">
              <w:rPr>
                <w:color w:val="4F81BD" w:themeColor="accent1"/>
                <w:szCs w:val="20"/>
              </w:rPr>
              <w:t xml:space="preserve">Status is unknown. </w:t>
            </w:r>
          </w:p>
          <w:p w14:paraId="5F438A25" w14:textId="34D6EF34" w:rsidR="00EC1401" w:rsidRPr="00905881" w:rsidRDefault="00EC1401" w:rsidP="00EC1401">
            <w:pPr>
              <w:rPr>
                <w:color w:val="4F81BD" w:themeColor="accent1"/>
                <w:szCs w:val="20"/>
              </w:rPr>
            </w:pPr>
            <w:r w:rsidRPr="00905881">
              <w:rPr>
                <w:color w:val="4F81BD" w:themeColor="accent1"/>
                <w:szCs w:val="20"/>
              </w:rPr>
              <w:t>FD (SILK) vs coiling in untreated, UIA, saccular carotid siphon (diameter of ≥7 to ≤ 15 mm</w:t>
            </w:r>
          </w:p>
        </w:tc>
        <w:tc>
          <w:tcPr>
            <w:tcW w:w="1089" w:type="pct"/>
          </w:tcPr>
          <w:p w14:paraId="3D179DFC" w14:textId="34A37D93" w:rsidR="00EC1401" w:rsidRPr="00905881" w:rsidRDefault="00EC1401" w:rsidP="00EC1401">
            <w:pPr>
              <w:rPr>
                <w:color w:val="4F81BD" w:themeColor="accent1"/>
                <w:szCs w:val="20"/>
              </w:rPr>
            </w:pPr>
            <w:r w:rsidRPr="00905881">
              <w:rPr>
                <w:color w:val="4F81BD" w:themeColor="accent1"/>
                <w:szCs w:val="20"/>
              </w:rPr>
              <w:t>NCT01084681</w:t>
            </w:r>
          </w:p>
        </w:tc>
        <w:tc>
          <w:tcPr>
            <w:tcW w:w="592" w:type="pct"/>
          </w:tcPr>
          <w:p w14:paraId="4E149FA4" w14:textId="7F154884" w:rsidR="00EC1401" w:rsidRPr="002333B3" w:rsidRDefault="00EC1401" w:rsidP="00EC1401">
            <w:pPr>
              <w:rPr>
                <w:szCs w:val="20"/>
              </w:rPr>
            </w:pPr>
            <w:r w:rsidRPr="002333B3">
              <w:rPr>
                <w:szCs w:val="20"/>
              </w:rPr>
              <w:t>N/A</w:t>
            </w:r>
          </w:p>
        </w:tc>
      </w:tr>
      <w:tr w:rsidR="00EC1401" w14:paraId="3A2D26E2" w14:textId="77777777" w:rsidTr="00BA5202">
        <w:trPr>
          <w:cantSplit/>
        </w:trPr>
        <w:tc>
          <w:tcPr>
            <w:tcW w:w="214" w:type="pct"/>
          </w:tcPr>
          <w:p w14:paraId="30FE0D72" w14:textId="77777777" w:rsidR="00EC1401" w:rsidRDefault="00EC1401" w:rsidP="00EC1401">
            <w:pPr>
              <w:rPr>
                <w:szCs w:val="20"/>
              </w:rPr>
            </w:pPr>
            <w:r>
              <w:rPr>
                <w:szCs w:val="20"/>
              </w:rPr>
              <w:t>6.</w:t>
            </w:r>
          </w:p>
        </w:tc>
        <w:tc>
          <w:tcPr>
            <w:tcW w:w="703" w:type="pct"/>
          </w:tcPr>
          <w:p w14:paraId="1D56A14A" w14:textId="6E8BE12B" w:rsidR="00EC1401" w:rsidRPr="00905881" w:rsidRDefault="00EC1401" w:rsidP="00EC1401">
            <w:pPr>
              <w:rPr>
                <w:color w:val="4F81BD" w:themeColor="accent1"/>
                <w:szCs w:val="20"/>
              </w:rPr>
            </w:pPr>
            <w:r w:rsidRPr="00905881">
              <w:rPr>
                <w:color w:val="4F81BD" w:themeColor="accent1"/>
                <w:szCs w:val="20"/>
              </w:rPr>
              <w:t>RCT, open-label (and a registry component)</w:t>
            </w:r>
          </w:p>
        </w:tc>
        <w:tc>
          <w:tcPr>
            <w:tcW w:w="901" w:type="pct"/>
          </w:tcPr>
          <w:p w14:paraId="1F764351" w14:textId="55CE5F7A" w:rsidR="00EC1401" w:rsidRPr="00905881" w:rsidRDefault="00EC1401" w:rsidP="00EC1401">
            <w:pPr>
              <w:rPr>
                <w:color w:val="4F81BD" w:themeColor="accent1"/>
                <w:szCs w:val="20"/>
              </w:rPr>
            </w:pPr>
            <w:r w:rsidRPr="00905881">
              <w:rPr>
                <w:color w:val="4F81BD" w:themeColor="accent1"/>
                <w:szCs w:val="20"/>
              </w:rPr>
              <w:t>Flow Diversion in Intracranial Aneurysm Treatment (FIAT)</w:t>
            </w:r>
          </w:p>
        </w:tc>
        <w:tc>
          <w:tcPr>
            <w:tcW w:w="1502" w:type="pct"/>
          </w:tcPr>
          <w:p w14:paraId="40D9CA18" w14:textId="77777777" w:rsidR="00EC1401" w:rsidRPr="00905881" w:rsidRDefault="00EC1401" w:rsidP="00EC1401">
            <w:pPr>
              <w:rPr>
                <w:color w:val="4F81BD" w:themeColor="accent1"/>
                <w:szCs w:val="20"/>
              </w:rPr>
            </w:pPr>
            <w:r w:rsidRPr="00905881">
              <w:rPr>
                <w:color w:val="4F81BD" w:themeColor="accent1"/>
                <w:szCs w:val="20"/>
              </w:rPr>
              <w:t xml:space="preserve">Recruiting. </w:t>
            </w:r>
          </w:p>
          <w:p w14:paraId="17012D15" w14:textId="7E2ACD96" w:rsidR="00EC1401" w:rsidRPr="00905881" w:rsidRDefault="00EC1401" w:rsidP="00EC1401">
            <w:pPr>
              <w:rPr>
                <w:color w:val="4F81BD" w:themeColor="accent1"/>
                <w:szCs w:val="20"/>
              </w:rPr>
            </w:pPr>
            <w:r w:rsidRPr="00905881">
              <w:rPr>
                <w:color w:val="4F81BD" w:themeColor="accent1"/>
                <w:szCs w:val="20"/>
              </w:rPr>
              <w:t>FD vs best standard treatment (conservative management, or coiling +/- stenting, PVO +/- surgical bypass, clipping +/- bypass)</w:t>
            </w:r>
          </w:p>
        </w:tc>
        <w:tc>
          <w:tcPr>
            <w:tcW w:w="1089" w:type="pct"/>
          </w:tcPr>
          <w:p w14:paraId="4B1DEFA6" w14:textId="77777777" w:rsidR="00EC1401" w:rsidRPr="00905881" w:rsidRDefault="00EC1401" w:rsidP="00EC1401">
            <w:pPr>
              <w:pStyle w:val="TableText"/>
              <w:rPr>
                <w:color w:val="4F81BD" w:themeColor="accent1"/>
                <w:lang w:val="en-AU"/>
              </w:rPr>
            </w:pPr>
            <w:r w:rsidRPr="00905881">
              <w:rPr>
                <w:color w:val="4F81BD" w:themeColor="accent1"/>
                <w:lang w:val="en-AU"/>
              </w:rPr>
              <w:t>NCT01349582</w:t>
            </w:r>
          </w:p>
          <w:p w14:paraId="232B2A04" w14:textId="567F8C65" w:rsidR="00EC1401" w:rsidRPr="00905881" w:rsidRDefault="00EC1401" w:rsidP="00EC1401">
            <w:pPr>
              <w:rPr>
                <w:color w:val="4F81BD" w:themeColor="accent1"/>
                <w:szCs w:val="20"/>
              </w:rPr>
            </w:pPr>
            <w:r w:rsidRPr="00905881">
              <w:rPr>
                <w:color w:val="4F81BD" w:themeColor="accent1"/>
              </w:rPr>
              <w:t>https://www.ncbi.nlm.nih.gov/pmc/articles/PMC3287264/</w:t>
            </w:r>
          </w:p>
        </w:tc>
        <w:tc>
          <w:tcPr>
            <w:tcW w:w="592" w:type="pct"/>
          </w:tcPr>
          <w:p w14:paraId="49F79573" w14:textId="7639D767" w:rsidR="00EC1401" w:rsidRPr="002333B3" w:rsidRDefault="00EC1401" w:rsidP="00EC1401">
            <w:pPr>
              <w:rPr>
                <w:szCs w:val="20"/>
              </w:rPr>
            </w:pPr>
            <w:r w:rsidRPr="002333B3">
              <w:rPr>
                <w:szCs w:val="20"/>
              </w:rPr>
              <w:t>Estimated completion Jan 2020</w:t>
            </w:r>
          </w:p>
        </w:tc>
      </w:tr>
    </w:tbl>
    <w:p w14:paraId="2FB68DFE" w14:textId="77777777" w:rsidR="004C49EF" w:rsidRPr="003B4C2A" w:rsidRDefault="004C49EF" w:rsidP="004C49EF">
      <w:pPr>
        <w:spacing w:after="0"/>
        <w:ind w:left="426"/>
        <w:rPr>
          <w:i/>
          <w:color w:val="4F81BD" w:themeColor="accent1"/>
          <w:szCs w:val="20"/>
        </w:rPr>
      </w:pPr>
      <w:r w:rsidRPr="003B4C2A">
        <w:rPr>
          <w:i/>
          <w:color w:val="4F81BD" w:themeColor="accent1"/>
          <w:szCs w:val="20"/>
        </w:rPr>
        <w:t xml:space="preserve">* Categorise study design, for example meta-analysis, randomised trials, non-randomised trial or observational study, study of diagnostic accuracy, etc. </w:t>
      </w:r>
    </w:p>
    <w:p w14:paraId="097228A9" w14:textId="77777777" w:rsidR="004C49EF" w:rsidRPr="003B4C2A" w:rsidRDefault="004C49EF" w:rsidP="004C49EF">
      <w:pPr>
        <w:spacing w:after="0"/>
        <w:ind w:left="426"/>
        <w:rPr>
          <w:i/>
          <w:color w:val="4F81BD" w:themeColor="accent1"/>
          <w:szCs w:val="20"/>
        </w:rPr>
      </w:pPr>
      <w:r w:rsidRPr="003B4C2A">
        <w:rPr>
          <w:i/>
          <w:color w:val="4F81BD" w:themeColor="accent1"/>
          <w:szCs w:val="20"/>
        </w:rPr>
        <w:t>**Provide high level information including population numbers and whether patients are being recruited or in post-recruitment.</w:t>
      </w:r>
    </w:p>
    <w:p w14:paraId="7B8E97A2" w14:textId="340A88CB" w:rsidR="004C49EF" w:rsidRPr="003B4C2A" w:rsidRDefault="004C49EF" w:rsidP="004C49EF">
      <w:pPr>
        <w:spacing w:after="0"/>
        <w:ind w:left="426"/>
        <w:rPr>
          <w:i/>
          <w:color w:val="4F81BD" w:themeColor="accent1"/>
          <w:szCs w:val="20"/>
        </w:rPr>
      </w:pPr>
      <w:r w:rsidRPr="003B4C2A">
        <w:rPr>
          <w:i/>
          <w:color w:val="4F81BD" w:themeColor="accent1"/>
          <w:szCs w:val="20"/>
        </w:rPr>
        <w:t>*</w:t>
      </w:r>
      <w:r w:rsidRPr="003B4C2A">
        <w:rPr>
          <w:color w:val="4F81BD" w:themeColor="accent1"/>
          <w:szCs w:val="20"/>
        </w:rPr>
        <w:t>**</w:t>
      </w:r>
      <w:r w:rsidRPr="003B4C2A">
        <w:rPr>
          <w:i/>
          <w:color w:val="4F81BD" w:themeColor="accent1"/>
          <w:szCs w:val="20"/>
        </w:rPr>
        <w:t>Date of when results will be made available (to the best of your knowledge).</w:t>
      </w:r>
    </w:p>
    <w:p w14:paraId="132EA220" w14:textId="7FA62EC0" w:rsidR="002333B3" w:rsidRPr="003B4C2A" w:rsidRDefault="002333B3" w:rsidP="004C49EF">
      <w:pPr>
        <w:spacing w:after="0"/>
        <w:ind w:left="426"/>
        <w:rPr>
          <w:i/>
          <w:color w:val="4F81BD" w:themeColor="accent1"/>
          <w:szCs w:val="20"/>
        </w:rPr>
      </w:pPr>
      <w:r w:rsidRPr="003B4C2A">
        <w:rPr>
          <w:i/>
          <w:color w:val="4F81BD" w:themeColor="accent1"/>
          <w:szCs w:val="20"/>
        </w:rPr>
        <w:t>FD=flow diversion; PVO=parent vessel occlusion; RCT=randomised controlled trial; UIA=</w:t>
      </w:r>
      <w:proofErr w:type="spellStart"/>
      <w:r w:rsidRPr="003B4C2A">
        <w:rPr>
          <w:i/>
          <w:color w:val="4F81BD" w:themeColor="accent1"/>
          <w:szCs w:val="20"/>
        </w:rPr>
        <w:t>unruptured</w:t>
      </w:r>
      <w:proofErr w:type="spellEnd"/>
      <w:r w:rsidRPr="003B4C2A">
        <w:rPr>
          <w:i/>
          <w:color w:val="4F81BD" w:themeColor="accent1"/>
          <w:szCs w:val="20"/>
        </w:rPr>
        <w:t xml:space="preserve"> intracranial aneurysm. </w:t>
      </w:r>
    </w:p>
    <w:p w14:paraId="36ED31C4" w14:textId="77777777" w:rsidR="00DD308E" w:rsidRPr="003B4C2A" w:rsidRDefault="00F301F1">
      <w:pPr>
        <w:rPr>
          <w:b/>
          <w:color w:val="4F81BD" w:themeColor="accent1"/>
          <w:sz w:val="32"/>
          <w:szCs w:val="32"/>
        </w:rPr>
      </w:pPr>
      <w:r w:rsidRPr="003B4C2A">
        <w:rPr>
          <w:b/>
          <w:color w:val="4F81BD" w:themeColor="accent1"/>
          <w:sz w:val="32"/>
          <w:szCs w:val="32"/>
        </w:rPr>
        <w:br w:type="page"/>
      </w:r>
    </w:p>
    <w:p w14:paraId="285C238E" w14:textId="73EF1B0A" w:rsidR="002333B3" w:rsidRDefault="002333B3">
      <w:pPr>
        <w:rPr>
          <w:b/>
          <w:sz w:val="32"/>
          <w:szCs w:val="32"/>
        </w:rPr>
        <w:sectPr w:rsidR="002333B3" w:rsidSect="00DD308E">
          <w:pgSz w:w="16838" w:h="11906" w:orient="landscape"/>
          <w:pgMar w:top="1440" w:right="1440" w:bottom="1440" w:left="1440" w:header="708" w:footer="708" w:gutter="0"/>
          <w:cols w:space="708"/>
          <w:docGrid w:linePitch="360"/>
        </w:sectPr>
      </w:pPr>
    </w:p>
    <w:p w14:paraId="71CCC23E"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5744C58D"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01F08F29" w14:textId="2CE06E9B" w:rsidR="00060735" w:rsidRPr="00905881" w:rsidRDefault="00060735" w:rsidP="00060735">
      <w:pPr>
        <w:ind w:left="426"/>
        <w:rPr>
          <w:color w:val="4F81BD" w:themeColor="accent1"/>
        </w:rPr>
      </w:pPr>
      <w:r w:rsidRPr="00905881">
        <w:rPr>
          <w:color w:val="4F81BD" w:themeColor="accent1"/>
        </w:rPr>
        <w:t>Australian &amp; New Zealand Society of Neuroradiology</w:t>
      </w:r>
      <w:r w:rsidR="004D4011" w:rsidRPr="00905881">
        <w:rPr>
          <w:color w:val="4F81BD" w:themeColor="accent1"/>
        </w:rPr>
        <w:t xml:space="preserve"> (ANZSNR)</w:t>
      </w:r>
      <w:r w:rsidRPr="00905881">
        <w:rPr>
          <w:color w:val="4F81BD" w:themeColor="accent1"/>
        </w:rPr>
        <w:t xml:space="preserve"> representing interventional neuroradiology (INR) practitioners (letter</w:t>
      </w:r>
      <w:r w:rsidR="006F5E4D" w:rsidRPr="00905881">
        <w:rPr>
          <w:color w:val="4F81BD" w:themeColor="accent1"/>
        </w:rPr>
        <w:t xml:space="preserve"> to be forwarded when available</w:t>
      </w:r>
      <w:r w:rsidRPr="00905881">
        <w:rPr>
          <w:color w:val="4F81BD" w:themeColor="accent1"/>
        </w:rPr>
        <w:t>)</w:t>
      </w:r>
    </w:p>
    <w:p w14:paraId="45E2A174"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5DD9D0F3" w14:textId="77777777" w:rsidR="00B35A17" w:rsidRPr="00905881" w:rsidRDefault="00B35A17" w:rsidP="00B35A17">
      <w:pPr>
        <w:ind w:left="426"/>
        <w:rPr>
          <w:color w:val="4F81BD" w:themeColor="accent1"/>
        </w:rPr>
      </w:pPr>
      <w:r w:rsidRPr="00905881">
        <w:rPr>
          <w:color w:val="4F81BD" w:themeColor="accent1"/>
        </w:rPr>
        <w:t xml:space="preserve">ANZSNR representing INR practitioners also perform the comparator service, coiling. </w:t>
      </w:r>
    </w:p>
    <w:p w14:paraId="37CAD41D" w14:textId="0831D28C" w:rsidR="005A1001" w:rsidRPr="00905881" w:rsidRDefault="00B35A17" w:rsidP="00B35A17">
      <w:pPr>
        <w:ind w:left="426"/>
        <w:rPr>
          <w:color w:val="4F81BD" w:themeColor="accent1"/>
        </w:rPr>
      </w:pPr>
      <w:r w:rsidRPr="00905881">
        <w:rPr>
          <w:color w:val="4F81BD" w:themeColor="accent1"/>
        </w:rPr>
        <w:t>Royal Australasian College of Surgeons – neurosurgery, represents neurosurgeons that perform clipping</w:t>
      </w:r>
      <w:r w:rsidR="004D4011" w:rsidRPr="00905881">
        <w:rPr>
          <w:color w:val="4F81BD" w:themeColor="accent1"/>
        </w:rPr>
        <w:t xml:space="preserve">. </w:t>
      </w:r>
    </w:p>
    <w:p w14:paraId="077BC2B7" w14:textId="77777777" w:rsidR="005A1001" w:rsidRDefault="005A1001" w:rsidP="00A727B6">
      <w:pPr>
        <w:ind w:left="426"/>
      </w:pPr>
    </w:p>
    <w:p w14:paraId="3E61A204"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77EB5BEE" w14:textId="21A5C571" w:rsidR="00B35A17" w:rsidRPr="00905881" w:rsidRDefault="00B35A17" w:rsidP="00B35A17">
      <w:pPr>
        <w:ind w:left="426"/>
        <w:rPr>
          <w:color w:val="4F81BD" w:themeColor="accent1"/>
          <w:szCs w:val="20"/>
        </w:rPr>
      </w:pPr>
      <w:r w:rsidRPr="00905881">
        <w:rPr>
          <w:color w:val="4F81BD" w:themeColor="accent1"/>
          <w:szCs w:val="20"/>
        </w:rPr>
        <w:t xml:space="preserve">The Australian Stroke Foundation </w:t>
      </w:r>
      <w:r w:rsidR="00744067" w:rsidRPr="00905881">
        <w:rPr>
          <w:color w:val="4F81BD" w:themeColor="accent1"/>
          <w:szCs w:val="20"/>
        </w:rPr>
        <w:t xml:space="preserve">has been approached and the </w:t>
      </w:r>
      <w:r w:rsidRPr="00905881">
        <w:rPr>
          <w:color w:val="4F81BD" w:themeColor="accent1"/>
          <w:szCs w:val="20"/>
        </w:rPr>
        <w:t xml:space="preserve">letter </w:t>
      </w:r>
      <w:r w:rsidR="00744067" w:rsidRPr="00905881">
        <w:rPr>
          <w:color w:val="4F81BD" w:themeColor="accent1"/>
          <w:szCs w:val="20"/>
        </w:rPr>
        <w:t xml:space="preserve">of support will be forwarded </w:t>
      </w:r>
      <w:r w:rsidR="006F5E4D" w:rsidRPr="00905881">
        <w:rPr>
          <w:color w:val="4F81BD" w:themeColor="accent1"/>
          <w:szCs w:val="20"/>
        </w:rPr>
        <w:t>when available</w:t>
      </w:r>
      <w:r w:rsidR="00744067" w:rsidRPr="00905881">
        <w:rPr>
          <w:color w:val="4F81BD" w:themeColor="accent1"/>
          <w:szCs w:val="20"/>
        </w:rPr>
        <w:t>.</w:t>
      </w:r>
      <w:r w:rsidRPr="00905881">
        <w:rPr>
          <w:color w:val="4F81BD" w:themeColor="accent1"/>
          <w:szCs w:val="20"/>
        </w:rPr>
        <w:t xml:space="preserve"> </w:t>
      </w:r>
    </w:p>
    <w:p w14:paraId="58B425EC"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121FA521" w14:textId="2C0B5C90" w:rsidR="00EE6450" w:rsidRPr="00905881" w:rsidRDefault="00060735" w:rsidP="00EE6450">
      <w:pPr>
        <w:ind w:left="426"/>
        <w:rPr>
          <w:color w:val="4F81BD" w:themeColor="accent1"/>
        </w:rPr>
      </w:pPr>
      <w:r w:rsidRPr="00905881">
        <w:rPr>
          <w:color w:val="4F81BD" w:themeColor="accent1"/>
        </w:rPr>
        <w:t xml:space="preserve">Medtronic (Pipeline); </w:t>
      </w:r>
    </w:p>
    <w:p w14:paraId="6F59F5BE" w14:textId="2F11299D" w:rsidR="00060735" w:rsidRPr="00905881" w:rsidRDefault="00060735" w:rsidP="00EE6450">
      <w:pPr>
        <w:ind w:left="426"/>
        <w:rPr>
          <w:color w:val="4F81BD" w:themeColor="accent1"/>
        </w:rPr>
      </w:pPr>
      <w:r w:rsidRPr="00905881">
        <w:rPr>
          <w:color w:val="4F81BD" w:themeColor="accent1"/>
        </w:rPr>
        <w:t>Getz Healthcare Pty Ltd (SILK)</w:t>
      </w:r>
    </w:p>
    <w:p w14:paraId="315113F2" w14:textId="42372F7A" w:rsidR="00BA5202" w:rsidRPr="00905881" w:rsidRDefault="00BA5202" w:rsidP="00BA5202">
      <w:pPr>
        <w:ind w:left="426"/>
        <w:rPr>
          <w:color w:val="4F81BD" w:themeColor="accent1"/>
        </w:rPr>
      </w:pPr>
      <w:proofErr w:type="spellStart"/>
      <w:r w:rsidRPr="00905881">
        <w:rPr>
          <w:color w:val="4F81BD" w:themeColor="accent1"/>
        </w:rPr>
        <w:t>Culpan</w:t>
      </w:r>
      <w:proofErr w:type="spellEnd"/>
      <w:r w:rsidRPr="00905881">
        <w:rPr>
          <w:color w:val="4F81BD" w:themeColor="accent1"/>
        </w:rPr>
        <w:t xml:space="preserve"> Medical Pty (FRED)</w:t>
      </w:r>
    </w:p>
    <w:p w14:paraId="5A253B27" w14:textId="5513B0DD" w:rsidR="00744067" w:rsidRPr="00905881" w:rsidRDefault="00744067" w:rsidP="00BA5202">
      <w:pPr>
        <w:ind w:left="426"/>
        <w:rPr>
          <w:color w:val="4F81BD" w:themeColor="accent1"/>
        </w:rPr>
      </w:pPr>
      <w:r w:rsidRPr="00905881">
        <w:rPr>
          <w:color w:val="4F81BD" w:themeColor="accent1"/>
          <w:lang w:eastAsia="zh-CN"/>
        </w:rPr>
        <w:t>Stryker Australia Pty Ltd (SURPASS)</w:t>
      </w:r>
    </w:p>
    <w:p w14:paraId="630EA705" w14:textId="77777777" w:rsidR="00E82F54" w:rsidRDefault="00E82F54" w:rsidP="00530204">
      <w:pPr>
        <w:pStyle w:val="Heading2"/>
      </w:pPr>
      <w:r w:rsidRPr="00154B00">
        <w:t>Nominate two experts who could be approached about the proposed medical service and the current clinical management of the service(s):</w:t>
      </w:r>
    </w:p>
    <w:p w14:paraId="442A6852" w14:textId="77777777" w:rsidR="00A96329" w:rsidRPr="00A96329" w:rsidRDefault="00A96329" w:rsidP="00A96329"/>
    <w:p w14:paraId="36A81586" w14:textId="6DFB2053" w:rsidR="00D92E5B" w:rsidRPr="00D92E5B" w:rsidRDefault="00D92E5B" w:rsidP="00D92E5B">
      <w:pPr>
        <w:ind w:left="426"/>
        <w:rPr>
          <w:szCs w:val="20"/>
        </w:rPr>
      </w:pPr>
      <w:r w:rsidRPr="00D92E5B">
        <w:rPr>
          <w:szCs w:val="20"/>
        </w:rPr>
        <w:t xml:space="preserve">Name of expert: </w:t>
      </w:r>
      <w:r w:rsidR="003B4C2A" w:rsidRPr="00905881">
        <w:rPr>
          <w:color w:val="4F81BD" w:themeColor="accent1"/>
        </w:rPr>
        <w:t>REDACTED</w:t>
      </w:r>
    </w:p>
    <w:p w14:paraId="694E7451" w14:textId="5B3A1F6D" w:rsidR="00D92E5B" w:rsidRPr="00D92E5B" w:rsidRDefault="00D92E5B" w:rsidP="00D92E5B">
      <w:pPr>
        <w:ind w:left="426"/>
        <w:rPr>
          <w:szCs w:val="20"/>
        </w:rPr>
      </w:pPr>
      <w:r w:rsidRPr="00D92E5B">
        <w:rPr>
          <w:szCs w:val="20"/>
        </w:rPr>
        <w:t xml:space="preserve">Telephone number(s): </w:t>
      </w:r>
      <w:r w:rsidR="003B4C2A" w:rsidRPr="00905881">
        <w:rPr>
          <w:color w:val="4F81BD" w:themeColor="accent1"/>
        </w:rPr>
        <w:t>REDACTED</w:t>
      </w:r>
    </w:p>
    <w:p w14:paraId="01D141F0" w14:textId="77927DB0" w:rsidR="00D92E5B" w:rsidRPr="00D92E5B" w:rsidRDefault="00D92E5B" w:rsidP="00D92E5B">
      <w:pPr>
        <w:ind w:left="426"/>
        <w:rPr>
          <w:szCs w:val="20"/>
        </w:rPr>
      </w:pPr>
      <w:r w:rsidRPr="00D92E5B">
        <w:rPr>
          <w:szCs w:val="20"/>
        </w:rPr>
        <w:t xml:space="preserve">Email address: </w:t>
      </w:r>
      <w:r w:rsidR="003B4C2A" w:rsidRPr="00905881">
        <w:rPr>
          <w:color w:val="4F81BD" w:themeColor="accent1"/>
        </w:rPr>
        <w:t>REDACTED</w:t>
      </w:r>
    </w:p>
    <w:p w14:paraId="53DB46FD" w14:textId="1B2CA46B" w:rsidR="00D92E5B" w:rsidRPr="00D92E5B" w:rsidRDefault="00D92E5B" w:rsidP="00D92E5B">
      <w:pPr>
        <w:ind w:left="426"/>
        <w:rPr>
          <w:szCs w:val="20"/>
        </w:rPr>
      </w:pPr>
      <w:r w:rsidRPr="00D92E5B">
        <w:rPr>
          <w:szCs w:val="20"/>
        </w:rPr>
        <w:t xml:space="preserve">Justification of expertise: </w:t>
      </w:r>
      <w:r w:rsidR="003B4C2A" w:rsidRPr="00905881">
        <w:rPr>
          <w:color w:val="4F81BD" w:themeColor="accent1"/>
        </w:rPr>
        <w:t>REDACTED</w:t>
      </w:r>
    </w:p>
    <w:p w14:paraId="733D4C00" w14:textId="77777777" w:rsidR="00987ABE" w:rsidRPr="00987ABE" w:rsidRDefault="00987ABE" w:rsidP="00987ABE">
      <w:pPr>
        <w:ind w:left="426"/>
        <w:rPr>
          <w:szCs w:val="20"/>
        </w:rPr>
      </w:pPr>
    </w:p>
    <w:p w14:paraId="1199862D" w14:textId="60A44BB7" w:rsidR="00987ABE" w:rsidRPr="00987ABE" w:rsidRDefault="00987ABE" w:rsidP="00987ABE">
      <w:pPr>
        <w:ind w:left="426"/>
        <w:rPr>
          <w:szCs w:val="20"/>
        </w:rPr>
      </w:pPr>
      <w:r>
        <w:rPr>
          <w:szCs w:val="20"/>
        </w:rPr>
        <w:t>Name of expert 2:</w:t>
      </w:r>
      <w:r w:rsidR="001A165B">
        <w:rPr>
          <w:szCs w:val="20"/>
        </w:rPr>
        <w:t xml:space="preserve"> </w:t>
      </w:r>
      <w:r w:rsidR="003B4C2A" w:rsidRPr="00905881">
        <w:rPr>
          <w:color w:val="4F81BD" w:themeColor="accent1"/>
        </w:rPr>
        <w:t>REDACTED</w:t>
      </w:r>
    </w:p>
    <w:p w14:paraId="6359AF99" w14:textId="18FD189B" w:rsidR="00E57079" w:rsidRPr="00E57079" w:rsidRDefault="00E57079" w:rsidP="00E57079">
      <w:pPr>
        <w:ind w:left="426"/>
        <w:rPr>
          <w:szCs w:val="20"/>
        </w:rPr>
      </w:pPr>
      <w:r w:rsidRPr="00E57079">
        <w:rPr>
          <w:szCs w:val="20"/>
        </w:rPr>
        <w:t xml:space="preserve">Telephone number(s): </w:t>
      </w:r>
      <w:r w:rsidR="003B4C2A" w:rsidRPr="00905881">
        <w:rPr>
          <w:color w:val="4F81BD" w:themeColor="accent1"/>
        </w:rPr>
        <w:t>REDACTED</w:t>
      </w:r>
    </w:p>
    <w:p w14:paraId="02B25E79" w14:textId="2D548783" w:rsidR="00E57079" w:rsidRPr="00E57079" w:rsidRDefault="00E57079" w:rsidP="00E57079">
      <w:pPr>
        <w:ind w:left="426"/>
        <w:rPr>
          <w:szCs w:val="20"/>
        </w:rPr>
      </w:pPr>
      <w:r w:rsidRPr="00E57079">
        <w:rPr>
          <w:szCs w:val="20"/>
        </w:rPr>
        <w:t xml:space="preserve">Email address: </w:t>
      </w:r>
      <w:r w:rsidR="003B4C2A" w:rsidRPr="00905881">
        <w:rPr>
          <w:color w:val="4F81BD" w:themeColor="accent1"/>
        </w:rPr>
        <w:t>REDACTED</w:t>
      </w:r>
    </w:p>
    <w:p w14:paraId="0FDEEBED" w14:textId="7F2F6766" w:rsidR="00E57079" w:rsidRPr="00E57079" w:rsidRDefault="00E57079" w:rsidP="00E57079">
      <w:pPr>
        <w:ind w:left="426"/>
        <w:rPr>
          <w:szCs w:val="20"/>
        </w:rPr>
      </w:pPr>
      <w:r w:rsidRPr="00E57079">
        <w:rPr>
          <w:szCs w:val="20"/>
        </w:rPr>
        <w:t xml:space="preserve">Justification of expertise: </w:t>
      </w:r>
      <w:r w:rsidR="003B4C2A" w:rsidRPr="00905881">
        <w:rPr>
          <w:color w:val="4F81BD" w:themeColor="accent1"/>
        </w:rPr>
        <w:t>REDACTED</w:t>
      </w:r>
    </w:p>
    <w:p w14:paraId="33AABAF2" w14:textId="77777777" w:rsidR="00987ABE" w:rsidRDefault="00987ABE" w:rsidP="00E82F54">
      <w:pPr>
        <w:ind w:left="426"/>
        <w:rPr>
          <w:i/>
          <w:szCs w:val="20"/>
        </w:rPr>
      </w:pPr>
    </w:p>
    <w:p w14:paraId="269988B6" w14:textId="23317B2B" w:rsidR="003433D1" w:rsidRDefault="00E82F54" w:rsidP="00E57079">
      <w:pPr>
        <w:ind w:left="426"/>
        <w:rPr>
          <w:b/>
          <w:sz w:val="32"/>
          <w:szCs w:val="32"/>
        </w:rPr>
      </w:pPr>
      <w:r w:rsidRPr="003B4C2A">
        <w:rPr>
          <w:i/>
          <w:color w:val="4F81BD" w:themeColor="accent1"/>
          <w:szCs w:val="20"/>
        </w:rPr>
        <w:t xml:space="preserve">Please note that the Department may also consult with other referrers, </w:t>
      </w:r>
      <w:proofErr w:type="spellStart"/>
      <w:r w:rsidRPr="003B4C2A">
        <w:rPr>
          <w:i/>
          <w:color w:val="4F81BD" w:themeColor="accent1"/>
          <w:szCs w:val="20"/>
        </w:rPr>
        <w:t>proceduralists</w:t>
      </w:r>
      <w:proofErr w:type="spellEnd"/>
      <w:r w:rsidRPr="003B4C2A">
        <w:rPr>
          <w:i/>
          <w:color w:val="4F81BD" w:themeColor="accent1"/>
          <w:szCs w:val="20"/>
        </w:rPr>
        <w:t xml:space="preserve"> and disease specialists to obtain their insight.</w:t>
      </w:r>
      <w:r w:rsidR="003433D1">
        <w:rPr>
          <w:b/>
          <w:sz w:val="32"/>
          <w:szCs w:val="32"/>
        </w:rPr>
        <w:br w:type="page"/>
      </w:r>
    </w:p>
    <w:p w14:paraId="6B1E82A2"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0C867CDD" w14:textId="77777777" w:rsidR="0021185D" w:rsidRPr="005C3AE7" w:rsidRDefault="005C3AE7" w:rsidP="005C3AE7">
      <w:pPr>
        <w:pStyle w:val="Subtitle"/>
      </w:pPr>
      <w:r w:rsidRPr="005C3AE7">
        <w:t xml:space="preserve">PART 6a – </w:t>
      </w:r>
      <w:r w:rsidR="0021185D" w:rsidRPr="005C3AE7">
        <w:t>INFORMATION ABOUT THE PROPOSED POPULATION</w:t>
      </w:r>
    </w:p>
    <w:p w14:paraId="1E70CF14"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789A23A1" w14:textId="23FE5DE5" w:rsidR="008633C3" w:rsidRPr="003B4C2A" w:rsidRDefault="002E443D" w:rsidP="00E357B9">
      <w:pPr>
        <w:ind w:left="426"/>
        <w:rPr>
          <w:color w:val="4F81BD" w:themeColor="accent1"/>
        </w:rPr>
      </w:pPr>
      <w:r w:rsidRPr="003B4C2A">
        <w:rPr>
          <w:color w:val="4F81BD" w:themeColor="accent1"/>
        </w:rPr>
        <w:t>Intracranial aneurysm, or cerebral or brain aneurysms, develops when a weakness in the wall of an artery supplying blood to the brain result in a bulging or ballooning of the vessel. The bulge or sac consequently fills with blood and forms an aneurysm. UIA</w:t>
      </w:r>
      <w:r w:rsidR="00F96B3A" w:rsidRPr="003B4C2A">
        <w:rPr>
          <w:color w:val="4F81BD" w:themeColor="accent1"/>
        </w:rPr>
        <w:t>s</w:t>
      </w:r>
      <w:r w:rsidRPr="003B4C2A">
        <w:rPr>
          <w:color w:val="4F81BD" w:themeColor="accent1"/>
        </w:rPr>
        <w:t xml:space="preserve"> can be classified as asymptomatic incidental aneurysms, symptomatic aneurysms and </w:t>
      </w:r>
      <w:proofErr w:type="spellStart"/>
      <w:r w:rsidRPr="003B4C2A">
        <w:rPr>
          <w:color w:val="4F81BD" w:themeColor="accent1"/>
        </w:rPr>
        <w:t>unruptured</w:t>
      </w:r>
      <w:proofErr w:type="spellEnd"/>
      <w:r w:rsidRPr="003B4C2A">
        <w:rPr>
          <w:color w:val="4F81BD" w:themeColor="accent1"/>
        </w:rPr>
        <w:t xml:space="preserve"> additional aneurysms in subarachnoid haemorrhage (SAH) patients (in those with multiple aneurysms) (Steiner et al 2013). </w:t>
      </w:r>
    </w:p>
    <w:p w14:paraId="3907805E" w14:textId="6B8C80E6" w:rsidR="00E66B5D" w:rsidRPr="003B4C2A" w:rsidRDefault="00065600" w:rsidP="00AE7E68">
      <w:pPr>
        <w:ind w:left="426"/>
        <w:rPr>
          <w:color w:val="4F81BD" w:themeColor="accent1"/>
        </w:rPr>
      </w:pPr>
      <w:r w:rsidRPr="003B4C2A">
        <w:rPr>
          <w:color w:val="4F81BD" w:themeColor="accent1"/>
        </w:rPr>
        <w:t>There are several different types of UIAs, including</w:t>
      </w:r>
      <w:r w:rsidR="00E66B5D" w:rsidRPr="003B4C2A">
        <w:rPr>
          <w:color w:val="4F81BD" w:themeColor="accent1"/>
        </w:rPr>
        <w:t xml:space="preserve"> but not limited to</w:t>
      </w:r>
      <w:r w:rsidRPr="003B4C2A">
        <w:rPr>
          <w:color w:val="4F81BD" w:themeColor="accent1"/>
        </w:rPr>
        <w:t xml:space="preserve"> saccular, fusiform, dissecting and mycotic aneurysms. </w:t>
      </w:r>
      <w:r w:rsidR="0011566B" w:rsidRPr="003B4C2A">
        <w:rPr>
          <w:color w:val="4F81BD" w:themeColor="accent1"/>
        </w:rPr>
        <w:t>T</w:t>
      </w:r>
      <w:r w:rsidR="00D312A9" w:rsidRPr="003B4C2A">
        <w:rPr>
          <w:color w:val="4F81BD" w:themeColor="accent1"/>
        </w:rPr>
        <w:t xml:space="preserve">he majority of aneurysms </w:t>
      </w:r>
      <w:r w:rsidR="0011566B" w:rsidRPr="003B4C2A">
        <w:rPr>
          <w:color w:val="4F81BD" w:themeColor="accent1"/>
        </w:rPr>
        <w:t>(90%) are</w:t>
      </w:r>
      <w:r w:rsidR="00D312A9" w:rsidRPr="003B4C2A">
        <w:rPr>
          <w:color w:val="4F81BD" w:themeColor="accent1"/>
        </w:rPr>
        <w:t xml:space="preserve"> </w:t>
      </w:r>
      <w:r w:rsidR="0011566B" w:rsidRPr="003B4C2A">
        <w:rPr>
          <w:color w:val="4F81BD" w:themeColor="accent1"/>
        </w:rPr>
        <w:t xml:space="preserve">termed </w:t>
      </w:r>
      <w:r w:rsidR="00D312A9" w:rsidRPr="003B4C2A">
        <w:rPr>
          <w:color w:val="4F81BD" w:themeColor="accent1"/>
        </w:rPr>
        <w:t>saccular (</w:t>
      </w:r>
      <w:proofErr w:type="spellStart"/>
      <w:r w:rsidR="00D312A9" w:rsidRPr="003B4C2A">
        <w:rPr>
          <w:color w:val="4F81BD" w:themeColor="accent1"/>
        </w:rPr>
        <w:t>Ke</w:t>
      </w:r>
      <w:r w:rsidR="00C66FF2" w:rsidRPr="003B4C2A">
        <w:rPr>
          <w:color w:val="4F81BD" w:themeColor="accent1"/>
        </w:rPr>
        <w:t>d</w:t>
      </w:r>
      <w:r w:rsidR="00D312A9" w:rsidRPr="003B4C2A">
        <w:rPr>
          <w:color w:val="4F81BD" w:themeColor="accent1"/>
        </w:rPr>
        <w:t>dy</w:t>
      </w:r>
      <w:proofErr w:type="spellEnd"/>
      <w:r w:rsidR="00D312A9" w:rsidRPr="003B4C2A">
        <w:rPr>
          <w:color w:val="4F81BD" w:themeColor="accent1"/>
        </w:rPr>
        <w:t xml:space="preserve"> 2006). T</w:t>
      </w:r>
      <w:r w:rsidR="00CA7191" w:rsidRPr="003B4C2A">
        <w:rPr>
          <w:color w:val="4F81BD" w:themeColor="accent1"/>
        </w:rPr>
        <w:t>he saccular aneurysm (also called berry) is spherical in shape and has a distinct neck</w:t>
      </w:r>
      <w:r w:rsidR="00D312A9" w:rsidRPr="003B4C2A">
        <w:rPr>
          <w:color w:val="4F81BD" w:themeColor="accent1"/>
        </w:rPr>
        <w:t>. In contrast,</w:t>
      </w:r>
      <w:r w:rsidR="00CA7191" w:rsidRPr="003B4C2A">
        <w:rPr>
          <w:color w:val="4F81BD" w:themeColor="accent1"/>
        </w:rPr>
        <w:t xml:space="preserve"> the fusiform </w:t>
      </w:r>
      <w:r w:rsidR="00D312A9" w:rsidRPr="003B4C2A">
        <w:rPr>
          <w:color w:val="4F81BD" w:themeColor="accent1"/>
        </w:rPr>
        <w:t xml:space="preserve">aneurysm appears like a dilation of the vessel, bulging on all sides, and </w:t>
      </w:r>
      <w:r w:rsidR="00CA7191" w:rsidRPr="003B4C2A">
        <w:rPr>
          <w:color w:val="4F81BD" w:themeColor="accent1"/>
        </w:rPr>
        <w:t>has no distinct neck (</w:t>
      </w:r>
      <w:r w:rsidR="00CA7191" w:rsidRPr="003B4C2A">
        <w:rPr>
          <w:color w:val="4F81BD" w:themeColor="accent1"/>
        </w:rPr>
        <w:fldChar w:fldCharType="begin"/>
      </w:r>
      <w:r w:rsidR="00CA7191" w:rsidRPr="003B4C2A">
        <w:rPr>
          <w:color w:val="4F81BD" w:themeColor="accent1"/>
        </w:rPr>
        <w:instrText xml:space="preserve"> REF _Ref514847261 \h </w:instrText>
      </w:r>
      <w:r w:rsidR="00CA7191" w:rsidRPr="003B4C2A">
        <w:rPr>
          <w:color w:val="4F81BD" w:themeColor="accent1"/>
        </w:rPr>
      </w:r>
      <w:r w:rsidR="00CA7191" w:rsidRPr="003B4C2A">
        <w:rPr>
          <w:color w:val="4F81BD" w:themeColor="accent1"/>
        </w:rPr>
        <w:fldChar w:fldCharType="separate"/>
      </w:r>
      <w:r w:rsidR="008335FD" w:rsidRPr="003B4C2A">
        <w:rPr>
          <w:color w:val="4F81BD" w:themeColor="accent1"/>
        </w:rPr>
        <w:t xml:space="preserve">Figure </w:t>
      </w:r>
      <w:r w:rsidR="008335FD" w:rsidRPr="003B4C2A">
        <w:rPr>
          <w:noProof/>
          <w:color w:val="4F81BD" w:themeColor="accent1"/>
        </w:rPr>
        <w:t>1</w:t>
      </w:r>
      <w:r w:rsidR="00CA7191" w:rsidRPr="003B4C2A">
        <w:rPr>
          <w:color w:val="4F81BD" w:themeColor="accent1"/>
        </w:rPr>
        <w:fldChar w:fldCharType="end"/>
      </w:r>
      <w:r w:rsidR="004E05BC" w:rsidRPr="003B4C2A">
        <w:rPr>
          <w:color w:val="4F81BD" w:themeColor="accent1"/>
        </w:rPr>
        <w:t>; Withers et al 2013</w:t>
      </w:r>
      <w:r w:rsidR="00CA7191" w:rsidRPr="003B4C2A">
        <w:rPr>
          <w:color w:val="4F81BD" w:themeColor="accent1"/>
        </w:rPr>
        <w:t>).</w:t>
      </w:r>
      <w:r w:rsidR="003E6681" w:rsidRPr="003B4C2A">
        <w:rPr>
          <w:color w:val="4F81BD" w:themeColor="accent1"/>
        </w:rPr>
        <w:t xml:space="preserve"> Fusiform aneurysms are often caused by </w:t>
      </w:r>
      <w:r w:rsidR="00E66B5D" w:rsidRPr="003B4C2A">
        <w:rPr>
          <w:color w:val="4F81BD" w:themeColor="accent1"/>
        </w:rPr>
        <w:t>atherosclerosis</w:t>
      </w:r>
      <w:r w:rsidRPr="003B4C2A">
        <w:rPr>
          <w:color w:val="4F81BD" w:themeColor="accent1"/>
        </w:rPr>
        <w:t xml:space="preserve">. </w:t>
      </w:r>
    </w:p>
    <w:p w14:paraId="519BE65E" w14:textId="0D5378CE" w:rsidR="00065600" w:rsidRPr="003B4C2A" w:rsidRDefault="00D312A9" w:rsidP="00AE7E68">
      <w:pPr>
        <w:ind w:left="426"/>
        <w:rPr>
          <w:color w:val="4F81BD" w:themeColor="accent1"/>
        </w:rPr>
      </w:pPr>
      <w:r w:rsidRPr="003B4C2A">
        <w:rPr>
          <w:color w:val="4F81BD" w:themeColor="accent1"/>
        </w:rPr>
        <w:t xml:space="preserve">Dissecting aneurysms </w:t>
      </w:r>
      <w:r w:rsidR="0011566B" w:rsidRPr="003B4C2A">
        <w:rPr>
          <w:color w:val="4F81BD" w:themeColor="accent1"/>
        </w:rPr>
        <w:t>are rare (</w:t>
      </w:r>
      <w:proofErr w:type="spellStart"/>
      <w:r w:rsidR="0011566B" w:rsidRPr="003B4C2A">
        <w:rPr>
          <w:color w:val="4F81BD" w:themeColor="accent1"/>
        </w:rPr>
        <w:t>Baek</w:t>
      </w:r>
      <w:proofErr w:type="spellEnd"/>
      <w:r w:rsidR="0011566B" w:rsidRPr="003B4C2A">
        <w:rPr>
          <w:color w:val="4F81BD" w:themeColor="accent1"/>
        </w:rPr>
        <w:t xml:space="preserve"> </w:t>
      </w:r>
      <w:r w:rsidR="00C66FF2" w:rsidRPr="003B4C2A">
        <w:rPr>
          <w:color w:val="4F81BD" w:themeColor="accent1"/>
        </w:rPr>
        <w:t>&amp; Kim</w:t>
      </w:r>
      <w:r w:rsidR="0011566B" w:rsidRPr="003B4C2A">
        <w:rPr>
          <w:color w:val="4F81BD" w:themeColor="accent1"/>
        </w:rPr>
        <w:t xml:space="preserve"> 2014) and </w:t>
      </w:r>
      <w:r w:rsidRPr="003B4C2A">
        <w:rPr>
          <w:color w:val="4F81BD" w:themeColor="accent1"/>
        </w:rPr>
        <w:t xml:space="preserve">appear to be ballooning out on one side of the artery wall. </w:t>
      </w:r>
      <w:r w:rsidR="008924C7" w:rsidRPr="003B4C2A">
        <w:rPr>
          <w:color w:val="4F81BD" w:themeColor="accent1"/>
        </w:rPr>
        <w:t>Dissecting</w:t>
      </w:r>
      <w:r w:rsidRPr="003B4C2A">
        <w:rPr>
          <w:color w:val="4F81BD" w:themeColor="accent1"/>
        </w:rPr>
        <w:t xml:space="preserve"> aneurysms </w:t>
      </w:r>
      <w:r w:rsidR="0011566B" w:rsidRPr="003B4C2A">
        <w:rPr>
          <w:color w:val="4F81BD" w:themeColor="accent1"/>
        </w:rPr>
        <w:t xml:space="preserve">may be </w:t>
      </w:r>
      <w:r w:rsidRPr="003B4C2A">
        <w:rPr>
          <w:color w:val="4F81BD" w:themeColor="accent1"/>
        </w:rPr>
        <w:t>caused by traumatic injury and develop from a lengthwise tear in the inner layer of the artery wall which causes cause blood to leak in between the layers of the wall</w:t>
      </w:r>
      <w:r w:rsidR="00065600" w:rsidRPr="003B4C2A">
        <w:rPr>
          <w:rStyle w:val="FootnoteReference"/>
          <w:color w:val="4F81BD" w:themeColor="accent1"/>
        </w:rPr>
        <w:footnoteReference w:id="1"/>
      </w:r>
      <w:r w:rsidRPr="003B4C2A">
        <w:rPr>
          <w:color w:val="4F81BD" w:themeColor="accent1"/>
        </w:rPr>
        <w:t xml:space="preserve">. </w:t>
      </w:r>
      <w:r w:rsidR="00065600" w:rsidRPr="003B4C2A">
        <w:rPr>
          <w:color w:val="4F81BD" w:themeColor="accent1"/>
        </w:rPr>
        <w:t xml:space="preserve">Mycotic aneurysms are very rare and are caused by an infection weakening the wall of the arteries. </w:t>
      </w:r>
    </w:p>
    <w:p w14:paraId="09AA086D" w14:textId="77FCCF0C" w:rsidR="003E6681" w:rsidRPr="003B4C2A" w:rsidRDefault="00D6256D" w:rsidP="00AE7E68">
      <w:pPr>
        <w:ind w:left="426"/>
        <w:rPr>
          <w:color w:val="4F81BD" w:themeColor="accent1"/>
        </w:rPr>
      </w:pPr>
      <w:r w:rsidRPr="003B4C2A">
        <w:rPr>
          <w:color w:val="4F81BD" w:themeColor="accent1"/>
        </w:rPr>
        <w:t>As the name suggests, b</w:t>
      </w:r>
      <w:r w:rsidR="00AE7E68" w:rsidRPr="003B4C2A">
        <w:rPr>
          <w:color w:val="4F81BD" w:themeColor="accent1"/>
        </w:rPr>
        <w:t xml:space="preserve">lister aneurysm </w:t>
      </w:r>
      <w:r w:rsidRPr="003B4C2A">
        <w:rPr>
          <w:color w:val="4F81BD" w:themeColor="accent1"/>
        </w:rPr>
        <w:t>has a blister-like appearance</w:t>
      </w:r>
      <w:r w:rsidR="00065600" w:rsidRPr="003B4C2A">
        <w:rPr>
          <w:color w:val="4F81BD" w:themeColor="accent1"/>
        </w:rPr>
        <w:t>, typically small with a broad neck</w:t>
      </w:r>
      <w:r w:rsidRPr="003B4C2A">
        <w:rPr>
          <w:color w:val="4F81BD" w:themeColor="accent1"/>
        </w:rPr>
        <w:t>. This type of aneurysm is</w:t>
      </w:r>
      <w:r w:rsidR="00AE7E68" w:rsidRPr="003B4C2A">
        <w:rPr>
          <w:color w:val="4F81BD" w:themeColor="accent1"/>
        </w:rPr>
        <w:t xml:space="preserve"> </w:t>
      </w:r>
      <w:r w:rsidR="00E66B5D" w:rsidRPr="003B4C2A">
        <w:rPr>
          <w:color w:val="4F81BD" w:themeColor="accent1"/>
        </w:rPr>
        <w:t xml:space="preserve">very </w:t>
      </w:r>
      <w:r w:rsidR="00AE7E68" w:rsidRPr="003B4C2A">
        <w:rPr>
          <w:color w:val="4F81BD" w:themeColor="accent1"/>
        </w:rPr>
        <w:t xml:space="preserve">rare </w:t>
      </w:r>
      <w:r w:rsidRPr="003B4C2A">
        <w:rPr>
          <w:color w:val="4F81BD" w:themeColor="accent1"/>
        </w:rPr>
        <w:t xml:space="preserve">and most commonly form </w:t>
      </w:r>
      <w:r w:rsidR="00065600" w:rsidRPr="003B4C2A">
        <w:rPr>
          <w:color w:val="4F81BD" w:themeColor="accent1"/>
        </w:rPr>
        <w:t>non-branching sites of</w:t>
      </w:r>
      <w:r w:rsidRPr="003B4C2A">
        <w:rPr>
          <w:color w:val="4F81BD" w:themeColor="accent1"/>
        </w:rPr>
        <w:t xml:space="preserve"> the </w:t>
      </w:r>
      <w:r w:rsidR="00065600" w:rsidRPr="003B4C2A">
        <w:rPr>
          <w:color w:val="4F81BD" w:themeColor="accent1"/>
        </w:rPr>
        <w:t>intracranial</w:t>
      </w:r>
      <w:r w:rsidRPr="003B4C2A">
        <w:rPr>
          <w:color w:val="4F81BD" w:themeColor="accent1"/>
        </w:rPr>
        <w:t xml:space="preserve"> arter</w:t>
      </w:r>
      <w:r w:rsidR="00065600" w:rsidRPr="003B4C2A">
        <w:rPr>
          <w:color w:val="4F81BD" w:themeColor="accent1"/>
        </w:rPr>
        <w:t>ies)</w:t>
      </w:r>
      <w:r w:rsidRPr="003B4C2A">
        <w:rPr>
          <w:color w:val="4F81BD" w:themeColor="accent1"/>
        </w:rPr>
        <w:t>.</w:t>
      </w:r>
      <w:r w:rsidR="00065600" w:rsidRPr="003B4C2A">
        <w:rPr>
          <w:color w:val="4F81BD" w:themeColor="accent1"/>
        </w:rPr>
        <w:t xml:space="preserve"> </w:t>
      </w:r>
      <w:r w:rsidR="00E66B5D" w:rsidRPr="003B4C2A">
        <w:rPr>
          <w:color w:val="4F81BD" w:themeColor="accent1"/>
        </w:rPr>
        <w:t>This type of lesion is difficult to diagnose and manage (</w:t>
      </w:r>
      <w:proofErr w:type="spellStart"/>
      <w:r w:rsidR="00C66FF2" w:rsidRPr="003B4C2A">
        <w:rPr>
          <w:color w:val="4F81BD" w:themeColor="accent1"/>
        </w:rPr>
        <w:t>Chinchure</w:t>
      </w:r>
      <w:proofErr w:type="spellEnd"/>
      <w:r w:rsidR="00E66B5D" w:rsidRPr="003B4C2A">
        <w:rPr>
          <w:color w:val="4F81BD" w:themeColor="accent1"/>
        </w:rPr>
        <w:t xml:space="preserve"> et al 2014. </w:t>
      </w:r>
    </w:p>
    <w:p w14:paraId="25F36F86" w14:textId="561D7961" w:rsidR="00CE380E" w:rsidRPr="003B4C2A" w:rsidRDefault="00F96B3A" w:rsidP="00AE7E68">
      <w:pPr>
        <w:ind w:left="426"/>
        <w:rPr>
          <w:color w:val="4F81BD" w:themeColor="accent1"/>
        </w:rPr>
      </w:pPr>
      <w:r w:rsidRPr="003B4C2A">
        <w:rPr>
          <w:color w:val="4F81BD" w:themeColor="accent1"/>
        </w:rPr>
        <w:t>Another type of aneurysm is described as dysplastic. The s</w:t>
      </w:r>
      <w:r w:rsidRPr="003B4C2A">
        <w:rPr>
          <w:color w:val="4F81BD" w:themeColor="accent1"/>
          <w:lang w:eastAsia="zh-CN"/>
        </w:rPr>
        <w:t>uffix “</w:t>
      </w:r>
      <w:proofErr w:type="spellStart"/>
      <w:r w:rsidRPr="003B4C2A">
        <w:rPr>
          <w:color w:val="4F81BD" w:themeColor="accent1"/>
          <w:lang w:eastAsia="zh-CN"/>
        </w:rPr>
        <w:t>plasia</w:t>
      </w:r>
      <w:proofErr w:type="spellEnd"/>
      <w:r w:rsidRPr="003B4C2A">
        <w:rPr>
          <w:color w:val="4F81BD" w:themeColor="accent1"/>
          <w:lang w:eastAsia="zh-CN"/>
        </w:rPr>
        <w:t>” means growth or development hence, dysplasia means abnormal</w:t>
      </w:r>
      <w:r w:rsidR="00E66B5D" w:rsidRPr="003B4C2A">
        <w:rPr>
          <w:color w:val="4F81BD" w:themeColor="accent1"/>
          <w:lang w:eastAsia="zh-CN"/>
        </w:rPr>
        <w:t>.</w:t>
      </w:r>
      <w:r w:rsidRPr="003B4C2A">
        <w:rPr>
          <w:color w:val="4F81BD" w:themeColor="accent1"/>
          <w:lang w:eastAsia="zh-CN"/>
        </w:rPr>
        <w:t xml:space="preserve"> </w:t>
      </w:r>
      <w:r w:rsidRPr="003B4C2A">
        <w:rPr>
          <w:color w:val="4F81BD" w:themeColor="accent1"/>
        </w:rPr>
        <w:t xml:space="preserve">A dysplastic aneurysm can </w:t>
      </w:r>
      <w:r w:rsidR="00E66B5D" w:rsidRPr="003B4C2A">
        <w:rPr>
          <w:color w:val="4F81BD" w:themeColor="accent1"/>
        </w:rPr>
        <w:t>arise</w:t>
      </w:r>
      <w:r w:rsidRPr="003B4C2A">
        <w:rPr>
          <w:color w:val="4F81BD" w:themeColor="accent1"/>
        </w:rPr>
        <w:t xml:space="preserve"> as a result of fibromuscular dysplasia but there can be many other health conditions that cause abnormal growth that can also form a </w:t>
      </w:r>
      <w:proofErr w:type="spellStart"/>
      <w:r w:rsidRPr="003B4C2A">
        <w:rPr>
          <w:color w:val="4F81BD" w:themeColor="accent1"/>
        </w:rPr>
        <w:t>dyplastic</w:t>
      </w:r>
      <w:proofErr w:type="spellEnd"/>
      <w:r w:rsidRPr="003B4C2A">
        <w:rPr>
          <w:color w:val="4F81BD" w:themeColor="accent1"/>
        </w:rPr>
        <w:t xml:space="preserve"> aneurysm. Fibromuscular dysplasia is a condition that causes stenosis and aneurysms of the arteries in the body</w:t>
      </w:r>
      <w:r w:rsidR="004E05BC" w:rsidRPr="003B4C2A">
        <w:rPr>
          <w:color w:val="4F81BD" w:themeColor="accent1"/>
        </w:rPr>
        <w:t>.</w:t>
      </w:r>
    </w:p>
    <w:p w14:paraId="77CF675F" w14:textId="21C69445" w:rsidR="00E66B5D" w:rsidRPr="003B4C2A" w:rsidRDefault="00E66B5D" w:rsidP="00E66B5D">
      <w:pPr>
        <w:ind w:left="426"/>
        <w:rPr>
          <w:color w:val="4F81BD" w:themeColor="accent1"/>
        </w:rPr>
      </w:pPr>
      <w:r w:rsidRPr="003B4C2A">
        <w:rPr>
          <w:color w:val="4F81BD" w:themeColor="accent1"/>
        </w:rPr>
        <w:t>Aneurysms may be described by their shape and size. NICE considers complex UIAs, specifically large/giant, wide-necked and fusiform aneurysms</w:t>
      </w:r>
      <w:r w:rsidR="00C66FF2" w:rsidRPr="003B4C2A">
        <w:rPr>
          <w:color w:val="4F81BD" w:themeColor="accent1"/>
        </w:rPr>
        <w:t xml:space="preserve"> (Withers et al 2013)</w:t>
      </w:r>
      <w:r w:rsidRPr="003B4C2A">
        <w:rPr>
          <w:color w:val="4F81BD" w:themeColor="accent1"/>
        </w:rPr>
        <w:t>. A wide neck is generally defined as ≥ 4 mm</w:t>
      </w:r>
      <w:r w:rsidR="00C66FF2" w:rsidRPr="003B4C2A">
        <w:rPr>
          <w:color w:val="4F81BD" w:themeColor="accent1"/>
        </w:rPr>
        <w:t xml:space="preserve"> </w:t>
      </w:r>
    </w:p>
    <w:p w14:paraId="46C7EFD4" w14:textId="0BADA28B" w:rsidR="002E443D" w:rsidRDefault="002E443D" w:rsidP="00E357B9">
      <w:pPr>
        <w:ind w:left="426"/>
      </w:pPr>
    </w:p>
    <w:p w14:paraId="1F417874" w14:textId="37E1720F" w:rsidR="00CA7191" w:rsidRDefault="00CA7191" w:rsidP="00E357B9">
      <w:pPr>
        <w:ind w:left="426"/>
      </w:pPr>
      <w:r>
        <w:rPr>
          <w:noProof/>
          <w:lang w:eastAsia="en-AU"/>
        </w:rPr>
        <w:drawing>
          <wp:inline distT="0" distB="0" distL="0" distR="0" wp14:anchorId="50A7AA4B" wp14:editId="191483E9">
            <wp:extent cx="4542740" cy="1757003"/>
            <wp:effectExtent l="0" t="0" r="0" b="0"/>
            <wp:docPr id="2" name="Picture 2" title="Picture showing representation of saccular aneurysm and fusiform aneury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eurysm pic.png"/>
                    <pic:cNvPicPr/>
                  </pic:nvPicPr>
                  <pic:blipFill>
                    <a:blip r:embed="rId22">
                      <a:extLst>
                        <a:ext uri="{28A0092B-C50C-407E-A947-70E740481C1C}">
                          <a14:useLocalDpi xmlns:a14="http://schemas.microsoft.com/office/drawing/2010/main" val="0"/>
                        </a:ext>
                      </a:extLst>
                    </a:blip>
                    <a:stretch>
                      <a:fillRect/>
                    </a:stretch>
                  </pic:blipFill>
                  <pic:spPr>
                    <a:xfrm>
                      <a:off x="0" y="0"/>
                      <a:ext cx="4560798" cy="1763987"/>
                    </a:xfrm>
                    <a:prstGeom prst="rect">
                      <a:avLst/>
                    </a:prstGeom>
                  </pic:spPr>
                </pic:pic>
              </a:graphicData>
            </a:graphic>
          </wp:inline>
        </w:drawing>
      </w:r>
    </w:p>
    <w:p w14:paraId="5EE17DF7" w14:textId="473F3F0B" w:rsidR="00CA7191" w:rsidRDefault="00CA7191" w:rsidP="00CA7191">
      <w:pPr>
        <w:pStyle w:val="Caption"/>
        <w:ind w:left="426"/>
      </w:pPr>
      <w:bookmarkStart w:id="6" w:name="_Ref514847261"/>
      <w:r>
        <w:t xml:space="preserve">Figure </w:t>
      </w:r>
      <w:r w:rsidR="00F64073">
        <w:rPr>
          <w:noProof/>
        </w:rPr>
        <w:fldChar w:fldCharType="begin"/>
      </w:r>
      <w:r w:rsidR="00F64073">
        <w:rPr>
          <w:noProof/>
        </w:rPr>
        <w:instrText xml:space="preserve"> SEQ Figure \* ARABIC </w:instrText>
      </w:r>
      <w:r w:rsidR="00F64073">
        <w:rPr>
          <w:noProof/>
        </w:rPr>
        <w:fldChar w:fldCharType="separate"/>
      </w:r>
      <w:r w:rsidR="008335FD">
        <w:rPr>
          <w:noProof/>
        </w:rPr>
        <w:t>1</w:t>
      </w:r>
      <w:r w:rsidR="00F64073">
        <w:rPr>
          <w:noProof/>
        </w:rPr>
        <w:fldChar w:fldCharType="end"/>
      </w:r>
      <w:bookmarkEnd w:id="6"/>
      <w:r>
        <w:tab/>
        <w:t>Representation of a) saccular aneurysm and b) fusiform aneurysm</w:t>
      </w:r>
    </w:p>
    <w:p w14:paraId="5D767261" w14:textId="7235F13C" w:rsidR="00CA7191" w:rsidRPr="003B4C2A" w:rsidRDefault="00CA7191" w:rsidP="003B4C2A">
      <w:pPr>
        <w:tabs>
          <w:tab w:val="left" w:pos="3795"/>
        </w:tabs>
        <w:ind w:left="426"/>
        <w:rPr>
          <w:color w:val="4F81BD" w:themeColor="accent1"/>
        </w:rPr>
      </w:pPr>
      <w:r w:rsidRPr="003B4C2A">
        <w:rPr>
          <w:color w:val="4F81BD" w:themeColor="accent1"/>
        </w:rPr>
        <w:t>Source: Withers et al (2013)</w:t>
      </w:r>
      <w:r w:rsidR="003B4C2A" w:rsidRPr="003B4C2A">
        <w:rPr>
          <w:color w:val="4F81BD" w:themeColor="accent1"/>
        </w:rPr>
        <w:tab/>
      </w:r>
    </w:p>
    <w:p w14:paraId="70892902" w14:textId="528B012A" w:rsidR="00D1743E" w:rsidRPr="003B4C2A" w:rsidRDefault="00CC553B" w:rsidP="00E357B9">
      <w:pPr>
        <w:ind w:left="426"/>
        <w:rPr>
          <w:color w:val="4F81BD" w:themeColor="accent1"/>
        </w:rPr>
      </w:pPr>
      <w:r w:rsidRPr="003B4C2A">
        <w:rPr>
          <w:color w:val="4F81BD" w:themeColor="accent1"/>
        </w:rPr>
        <w:lastRenderedPageBreak/>
        <w:t>In many cases aneurysms are asymptomatic; and are only discovered incidentally, for example after magnetic resonance imaging (MRI) for unrelated symptoms such as headache or trauma (</w:t>
      </w:r>
      <w:proofErr w:type="spellStart"/>
      <w:r w:rsidRPr="003B4C2A">
        <w:rPr>
          <w:color w:val="4F81BD" w:themeColor="accent1"/>
        </w:rPr>
        <w:t>Vernooij</w:t>
      </w:r>
      <w:proofErr w:type="spellEnd"/>
      <w:r w:rsidRPr="003B4C2A">
        <w:rPr>
          <w:color w:val="4F81BD" w:themeColor="accent1"/>
        </w:rPr>
        <w:t xml:space="preserve"> et al., 2007). Other (usually larger) UIAs may be associated with neurological symptoms such as headache, nausea/vomiting, visual disturbances or loss of consciousness (</w:t>
      </w:r>
      <w:proofErr w:type="spellStart"/>
      <w:r w:rsidRPr="003B4C2A">
        <w:rPr>
          <w:color w:val="4F81BD" w:themeColor="accent1"/>
        </w:rPr>
        <w:t>Brisman</w:t>
      </w:r>
      <w:proofErr w:type="spellEnd"/>
      <w:r w:rsidRPr="003B4C2A">
        <w:rPr>
          <w:color w:val="4F81BD" w:themeColor="accent1"/>
        </w:rPr>
        <w:t xml:space="preserve"> et al., 2006). </w:t>
      </w:r>
      <w:r w:rsidR="008924C7" w:rsidRPr="003B4C2A">
        <w:rPr>
          <w:color w:val="4F81BD" w:themeColor="accent1"/>
        </w:rPr>
        <w:t>The</w:t>
      </w:r>
      <w:r w:rsidR="00F96B3A" w:rsidRPr="003B4C2A">
        <w:rPr>
          <w:color w:val="4F81BD" w:themeColor="accent1"/>
        </w:rPr>
        <w:t>se</w:t>
      </w:r>
      <w:r w:rsidR="008924C7" w:rsidRPr="003B4C2A">
        <w:rPr>
          <w:color w:val="4F81BD" w:themeColor="accent1"/>
        </w:rPr>
        <w:t xml:space="preserve"> symptoms arise from the compression of cranial nerves, and are termed symptoms of mass effect.</w:t>
      </w:r>
    </w:p>
    <w:p w14:paraId="61ECBC35" w14:textId="7C4F606E" w:rsidR="00CC553B" w:rsidRPr="003B4C2A" w:rsidRDefault="00CC553B" w:rsidP="00E357B9">
      <w:pPr>
        <w:ind w:left="426"/>
        <w:rPr>
          <w:color w:val="4F81BD" w:themeColor="accent1"/>
        </w:rPr>
      </w:pPr>
      <w:r w:rsidRPr="003B4C2A">
        <w:rPr>
          <w:color w:val="4F81BD" w:themeColor="accent1"/>
        </w:rPr>
        <w:t xml:space="preserve">Whilst the majority of UIAs remain stable and clinically silent, a very small proportion will eventually rupture, causing aneurysmal </w:t>
      </w:r>
      <w:r w:rsidR="004A0C3D" w:rsidRPr="003B4C2A">
        <w:rPr>
          <w:color w:val="4F81BD" w:themeColor="accent1"/>
        </w:rPr>
        <w:t>subarachnoid haemorrhage (</w:t>
      </w:r>
      <w:r w:rsidRPr="003B4C2A">
        <w:rPr>
          <w:color w:val="4F81BD" w:themeColor="accent1"/>
        </w:rPr>
        <w:t>SAH</w:t>
      </w:r>
      <w:r w:rsidR="004A0C3D" w:rsidRPr="003B4C2A">
        <w:rPr>
          <w:color w:val="4F81BD" w:themeColor="accent1"/>
        </w:rPr>
        <w:t>)</w:t>
      </w:r>
      <w:r w:rsidRPr="003B4C2A">
        <w:rPr>
          <w:color w:val="4F81BD" w:themeColor="accent1"/>
        </w:rPr>
        <w:t>. If and when a rupture occurs, the clinical consequences are serious; the mortality rate with conservative treatment is approximately 40%, and only a third of survivors experience a good neurologic outcome (</w:t>
      </w:r>
      <w:proofErr w:type="spellStart"/>
      <w:r w:rsidRPr="003B4C2A">
        <w:rPr>
          <w:color w:val="4F81BD" w:themeColor="accent1"/>
        </w:rPr>
        <w:t>Vlak</w:t>
      </w:r>
      <w:proofErr w:type="spellEnd"/>
      <w:r w:rsidRPr="003B4C2A">
        <w:rPr>
          <w:color w:val="4F81BD" w:themeColor="accent1"/>
        </w:rPr>
        <w:t xml:space="preserve"> et al., 2011).</w:t>
      </w:r>
    </w:p>
    <w:p w14:paraId="7C8429FA" w14:textId="31D21CAD" w:rsidR="00D96BB1" w:rsidRPr="003B4C2A" w:rsidRDefault="00D96BB1" w:rsidP="00E357B9">
      <w:pPr>
        <w:ind w:left="426"/>
        <w:rPr>
          <w:color w:val="4F81BD" w:themeColor="accent1"/>
        </w:rPr>
      </w:pPr>
      <w:r w:rsidRPr="003B4C2A">
        <w:rPr>
          <w:color w:val="4F81BD" w:themeColor="accent1"/>
        </w:rPr>
        <w:t xml:space="preserve">Data suggests that the natural rupture history of UIAs is influenced by the size of the aneurysm. The International Study of </w:t>
      </w:r>
      <w:proofErr w:type="spellStart"/>
      <w:r w:rsidRPr="003B4C2A">
        <w:rPr>
          <w:color w:val="4F81BD" w:themeColor="accent1"/>
        </w:rPr>
        <w:t>Unruptured</w:t>
      </w:r>
      <w:proofErr w:type="spellEnd"/>
      <w:r w:rsidRPr="003B4C2A">
        <w:rPr>
          <w:color w:val="4F81BD" w:themeColor="accent1"/>
        </w:rPr>
        <w:t xml:space="preserve"> Intracranial Aneurysms (ISIUA) Investigators found 5-year rupture rates of 2.6 % for aneurysms of 7–12 mm, 14.5 % for those 13–24 mm and 40 % rupture rates for aneurysms of 25 mm or greater (</w:t>
      </w:r>
      <w:proofErr w:type="spellStart"/>
      <w:r w:rsidRPr="003B4C2A">
        <w:rPr>
          <w:color w:val="4F81BD" w:themeColor="accent1"/>
        </w:rPr>
        <w:t>Wiebers</w:t>
      </w:r>
      <w:proofErr w:type="spellEnd"/>
      <w:r w:rsidRPr="003B4C2A">
        <w:rPr>
          <w:color w:val="4F81BD" w:themeColor="accent1"/>
        </w:rPr>
        <w:t xml:space="preserve"> et al., 2003).</w:t>
      </w:r>
    </w:p>
    <w:p w14:paraId="01B27F8E" w14:textId="57A287F6" w:rsidR="008924C7" w:rsidRPr="003B4C2A" w:rsidRDefault="008924C7" w:rsidP="008924C7">
      <w:pPr>
        <w:ind w:left="426"/>
        <w:rPr>
          <w:color w:val="4F81BD" w:themeColor="accent1"/>
        </w:rPr>
      </w:pPr>
      <w:r w:rsidRPr="003B4C2A">
        <w:rPr>
          <w:color w:val="4F81BD" w:themeColor="accent1"/>
        </w:rPr>
        <w:t>The prevalence of UIAs in a population without comorbidities is estimated as 3.2% (95% confidence interval [CI]: 1.6-5.2%). The prevalence is higher in those with comorbidities such as a positive family history of intracranial aneurysm of SAH or autosomal dominant polycystic kidney disease (</w:t>
      </w:r>
      <w:proofErr w:type="spellStart"/>
      <w:r w:rsidRPr="003B4C2A">
        <w:rPr>
          <w:color w:val="4F81BD" w:themeColor="accent1"/>
        </w:rPr>
        <w:t>Vlak</w:t>
      </w:r>
      <w:proofErr w:type="spellEnd"/>
      <w:r w:rsidRPr="003B4C2A">
        <w:rPr>
          <w:color w:val="4F81BD" w:themeColor="accent1"/>
        </w:rPr>
        <w:t xml:space="preserve"> et al., 2011).</w:t>
      </w:r>
    </w:p>
    <w:p w14:paraId="65BF8F68"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4A3F5E8B" w14:textId="76A0129D" w:rsidR="00A04E20" w:rsidRPr="003B4C2A" w:rsidRDefault="00A04E20" w:rsidP="00A04E20">
      <w:pPr>
        <w:ind w:left="426"/>
        <w:rPr>
          <w:color w:val="4F81BD" w:themeColor="accent1"/>
        </w:rPr>
      </w:pPr>
      <w:r w:rsidRPr="003B4C2A">
        <w:rPr>
          <w:color w:val="4F81BD" w:themeColor="accent1"/>
        </w:rPr>
        <w:t>As discussed in Q</w:t>
      </w:r>
      <w:r w:rsidR="00E57079" w:rsidRPr="003B4C2A">
        <w:rPr>
          <w:color w:val="4F81BD" w:themeColor="accent1"/>
        </w:rPr>
        <w:t>25</w:t>
      </w:r>
      <w:r w:rsidRPr="003B4C2A">
        <w:rPr>
          <w:color w:val="4F81BD" w:themeColor="accent1"/>
        </w:rPr>
        <w:t xml:space="preserve">, consistent with KOL feedback, there are </w:t>
      </w:r>
      <w:r w:rsidR="00E57079" w:rsidRPr="003B4C2A">
        <w:rPr>
          <w:color w:val="4F81BD" w:themeColor="accent1"/>
        </w:rPr>
        <w:t>four</w:t>
      </w:r>
      <w:r w:rsidRPr="003B4C2A">
        <w:rPr>
          <w:color w:val="4F81BD" w:themeColor="accent1"/>
        </w:rPr>
        <w:t xml:space="preserve"> main population groups for which FD is proposed:</w:t>
      </w:r>
    </w:p>
    <w:p w14:paraId="7C1AE8F0" w14:textId="77777777" w:rsidR="00A04E20" w:rsidRPr="003B4C2A" w:rsidRDefault="00A04E20" w:rsidP="00A04E20">
      <w:pPr>
        <w:pStyle w:val="ListParagraph"/>
        <w:numPr>
          <w:ilvl w:val="0"/>
          <w:numId w:val="37"/>
        </w:numPr>
        <w:rPr>
          <w:color w:val="4F81BD" w:themeColor="accent1"/>
        </w:rPr>
      </w:pPr>
      <w:r w:rsidRPr="003B4C2A">
        <w:rPr>
          <w:color w:val="4F81BD" w:themeColor="accent1"/>
        </w:rPr>
        <w:t>Patients with complex aneurysms (&lt; 10 mm), suitable for endovascular or surgical therapy, with wide neck (&gt; 4 mm), fusiform or dysplastic morphology.</w:t>
      </w:r>
    </w:p>
    <w:p w14:paraId="2F67355A" w14:textId="5B8C25E7" w:rsidR="00A04E20" w:rsidRPr="003B4C2A" w:rsidRDefault="00A04E20" w:rsidP="00A04E20">
      <w:pPr>
        <w:pStyle w:val="ListParagraph"/>
        <w:numPr>
          <w:ilvl w:val="0"/>
          <w:numId w:val="37"/>
        </w:numPr>
        <w:rPr>
          <w:color w:val="4F81BD" w:themeColor="accent1"/>
        </w:rPr>
      </w:pPr>
      <w:r w:rsidRPr="003B4C2A">
        <w:rPr>
          <w:color w:val="4F81BD" w:themeColor="accent1"/>
        </w:rPr>
        <w:t>Patients with aneurysms ≥ 10 mm, suitable for endovascular or surgical therapy.</w:t>
      </w:r>
    </w:p>
    <w:p w14:paraId="25768268" w14:textId="75F7173B" w:rsidR="00A04E20" w:rsidRPr="003B4C2A" w:rsidRDefault="00A04E20" w:rsidP="00A04E20">
      <w:pPr>
        <w:pStyle w:val="ListParagraph"/>
        <w:numPr>
          <w:ilvl w:val="0"/>
          <w:numId w:val="37"/>
        </w:numPr>
        <w:rPr>
          <w:color w:val="4F81BD" w:themeColor="accent1"/>
        </w:rPr>
      </w:pPr>
      <w:r w:rsidRPr="003B4C2A">
        <w:rPr>
          <w:color w:val="4F81BD" w:themeColor="accent1"/>
        </w:rPr>
        <w:t xml:space="preserve">Patients with aneurysms ≥ 10 mm, unsuitable for coiling, clipping or parent vessel occlusion </w:t>
      </w:r>
      <w:r w:rsidR="00F96B3A" w:rsidRPr="003B4C2A">
        <w:rPr>
          <w:color w:val="4F81BD" w:themeColor="accent1"/>
        </w:rPr>
        <w:t>(</w:t>
      </w:r>
      <w:r w:rsidRPr="003B4C2A">
        <w:rPr>
          <w:color w:val="4F81BD" w:themeColor="accent1"/>
        </w:rPr>
        <w:t>typically giant fusiform aneurysms arising at the skull base</w:t>
      </w:r>
      <w:r w:rsidR="00F96B3A" w:rsidRPr="003B4C2A">
        <w:rPr>
          <w:color w:val="4F81BD" w:themeColor="accent1"/>
        </w:rPr>
        <w:t>)</w:t>
      </w:r>
      <w:r w:rsidRPr="003B4C2A">
        <w:rPr>
          <w:color w:val="4F81BD" w:themeColor="accent1"/>
        </w:rPr>
        <w:t>.</w:t>
      </w:r>
    </w:p>
    <w:p w14:paraId="23431890" w14:textId="6F6D3D3F" w:rsidR="00E57079" w:rsidRPr="003B4C2A" w:rsidRDefault="00E57079" w:rsidP="00A04E20">
      <w:pPr>
        <w:pStyle w:val="ListParagraph"/>
        <w:numPr>
          <w:ilvl w:val="0"/>
          <w:numId w:val="37"/>
        </w:numPr>
        <w:rPr>
          <w:color w:val="4F81BD" w:themeColor="accent1"/>
        </w:rPr>
      </w:pPr>
      <w:r w:rsidRPr="003B4C2A">
        <w:rPr>
          <w:color w:val="4F81BD" w:themeColor="accent1"/>
        </w:rPr>
        <w:t xml:space="preserve">Patients with previously treated intracranial aneurysms of any size that have </w:t>
      </w:r>
      <w:proofErr w:type="spellStart"/>
      <w:r w:rsidRPr="003B4C2A">
        <w:rPr>
          <w:color w:val="4F81BD" w:themeColor="accent1"/>
        </w:rPr>
        <w:t>recanalized</w:t>
      </w:r>
      <w:proofErr w:type="spellEnd"/>
      <w:r w:rsidRPr="003B4C2A">
        <w:rPr>
          <w:color w:val="4F81BD" w:themeColor="accent1"/>
        </w:rPr>
        <w:t xml:space="preserve"> and require retreatment.</w:t>
      </w:r>
    </w:p>
    <w:p w14:paraId="62C364E3" w14:textId="734979B8" w:rsidR="00A04E20" w:rsidRPr="003B4C2A" w:rsidRDefault="0029387B" w:rsidP="00A04E20">
      <w:pPr>
        <w:ind w:left="426"/>
        <w:rPr>
          <w:color w:val="4F81BD" w:themeColor="accent1"/>
        </w:rPr>
      </w:pPr>
      <w:r w:rsidRPr="003B4C2A">
        <w:rPr>
          <w:color w:val="4F81BD" w:themeColor="accent1"/>
        </w:rPr>
        <w:t xml:space="preserve">There is a clinical need for an effective and safe treatment option in the proposed populations that may overcome some of the short comings of current treatment options in the management of UIAs. </w:t>
      </w:r>
      <w:r w:rsidR="002275A1" w:rsidRPr="003B4C2A">
        <w:rPr>
          <w:color w:val="4F81BD" w:themeColor="accent1"/>
        </w:rPr>
        <w:t>T</w:t>
      </w:r>
      <w:r w:rsidRPr="003B4C2A">
        <w:rPr>
          <w:color w:val="4F81BD" w:themeColor="accent1"/>
        </w:rPr>
        <w:t xml:space="preserve">he mechanism of action of FDD is reconstruction of the vessel and exclusion of the aneurysm from the circulation rather than occlusion of the aneurysm using coils. Introducing coils into the aneurysm carries a small risk of rupture </w:t>
      </w:r>
      <w:r w:rsidR="002275A1" w:rsidRPr="003B4C2A">
        <w:rPr>
          <w:color w:val="4F81BD" w:themeColor="accent1"/>
        </w:rPr>
        <w:t xml:space="preserve">at the time of procedure </w:t>
      </w:r>
      <w:r w:rsidRPr="003B4C2A">
        <w:rPr>
          <w:color w:val="4F81BD" w:themeColor="accent1"/>
        </w:rPr>
        <w:t>and may require additional stent placement to keep the coils in place</w:t>
      </w:r>
      <w:r w:rsidR="002275A1" w:rsidRPr="003B4C2A">
        <w:rPr>
          <w:color w:val="4F81BD" w:themeColor="accent1"/>
        </w:rPr>
        <w:t>, particularly in aneurysm of complex anatomy</w:t>
      </w:r>
      <w:r w:rsidRPr="003B4C2A">
        <w:rPr>
          <w:color w:val="4F81BD" w:themeColor="accent1"/>
        </w:rPr>
        <w:t>.</w:t>
      </w:r>
      <w:r w:rsidR="002275A1" w:rsidRPr="003B4C2A">
        <w:rPr>
          <w:color w:val="4F81BD" w:themeColor="accent1"/>
        </w:rPr>
        <w:t xml:space="preserve"> FDD is less invasive to clipping which requires craniotomy. </w:t>
      </w:r>
      <w:r w:rsidR="00A04E20" w:rsidRPr="003B4C2A">
        <w:rPr>
          <w:color w:val="4F81BD" w:themeColor="accent1"/>
        </w:rPr>
        <w:t>Aneurysms positioned at the skull base are often conservatively managed in current clinical practice as they are often unsuitable for coiling or clipping. FD is proposed to provide a treatment option for this population of patients that would otherwise remain untreated.</w:t>
      </w:r>
    </w:p>
    <w:p w14:paraId="64CF7A08" w14:textId="1C50ADDD" w:rsidR="004B0F36" w:rsidRPr="003B4C2A" w:rsidRDefault="00B35A17" w:rsidP="00A04E20">
      <w:pPr>
        <w:ind w:left="426"/>
        <w:rPr>
          <w:color w:val="4F81BD" w:themeColor="accent1"/>
        </w:rPr>
      </w:pPr>
      <w:r w:rsidRPr="003B4C2A">
        <w:rPr>
          <w:color w:val="4F81BD" w:themeColor="accent1"/>
        </w:rPr>
        <w:t xml:space="preserve">Previously treated intracranial aneurysms of any size that have </w:t>
      </w:r>
      <w:proofErr w:type="spellStart"/>
      <w:r w:rsidRPr="003B4C2A">
        <w:rPr>
          <w:color w:val="4F81BD" w:themeColor="accent1"/>
        </w:rPr>
        <w:t>recanalized</w:t>
      </w:r>
      <w:proofErr w:type="spellEnd"/>
      <w:r w:rsidRPr="003B4C2A">
        <w:rPr>
          <w:color w:val="4F81BD" w:themeColor="accent1"/>
        </w:rPr>
        <w:t xml:space="preserve"> and require retreatment are also ideal candidates for FDD and have a high clinical need of an effective treatment. These patients are particularly hard to treat without FD as the recanalization often forms a sharp corner, called a dog ear, which is very hard to get a coil to fit into.</w:t>
      </w:r>
    </w:p>
    <w:p w14:paraId="4EC076A5" w14:textId="053131C5" w:rsidR="003757D0" w:rsidRPr="003B4C2A" w:rsidRDefault="003757D0" w:rsidP="003757D0">
      <w:pPr>
        <w:ind w:left="426"/>
        <w:rPr>
          <w:color w:val="4F81BD" w:themeColor="accent1"/>
          <w:u w:val="single"/>
        </w:rPr>
      </w:pPr>
      <w:r w:rsidRPr="003B4C2A">
        <w:rPr>
          <w:color w:val="4F81BD" w:themeColor="accent1"/>
          <w:u w:val="single"/>
        </w:rPr>
        <w:t>Diagnosis and identifying patients suitable for treatment</w:t>
      </w:r>
    </w:p>
    <w:p w14:paraId="4894698A" w14:textId="77777777" w:rsidR="003757D0" w:rsidRPr="003B4C2A" w:rsidRDefault="003757D0" w:rsidP="003757D0">
      <w:pPr>
        <w:ind w:left="426"/>
        <w:rPr>
          <w:color w:val="4F81BD" w:themeColor="accent1"/>
        </w:rPr>
      </w:pPr>
      <w:r w:rsidRPr="003B4C2A">
        <w:rPr>
          <w:color w:val="4F81BD" w:themeColor="accent1"/>
        </w:rPr>
        <w:t xml:space="preserve">UIAs can be classified as asymptomatic incidental aneurysms, symptomatic aneurysms and </w:t>
      </w:r>
      <w:proofErr w:type="spellStart"/>
      <w:r w:rsidRPr="003B4C2A">
        <w:rPr>
          <w:color w:val="4F81BD" w:themeColor="accent1"/>
        </w:rPr>
        <w:t>unruptured</w:t>
      </w:r>
      <w:proofErr w:type="spellEnd"/>
      <w:r w:rsidRPr="003B4C2A">
        <w:rPr>
          <w:color w:val="4F81BD" w:themeColor="accent1"/>
        </w:rPr>
        <w:t xml:space="preserve"> additional aneurysms in subarachnoid haemorrhage (SAH) patients (in those with multiple aneurysms) (Steiner et al 2013).</w:t>
      </w:r>
    </w:p>
    <w:p w14:paraId="00A1B106" w14:textId="77777777" w:rsidR="003757D0" w:rsidRPr="003B4C2A" w:rsidRDefault="003757D0" w:rsidP="003757D0">
      <w:pPr>
        <w:ind w:left="426"/>
        <w:rPr>
          <w:color w:val="4F81BD" w:themeColor="accent1"/>
        </w:rPr>
      </w:pPr>
      <w:r w:rsidRPr="003B4C2A">
        <w:rPr>
          <w:color w:val="4F81BD" w:themeColor="accent1"/>
        </w:rPr>
        <w:t>In many cases aneurysms are asymptomatic; and are only discovered incidentally, for example after magnetic resonance imaging (MRI) for unrelated symptoms such as headache or trauma (</w:t>
      </w:r>
      <w:proofErr w:type="spellStart"/>
      <w:r w:rsidRPr="003B4C2A">
        <w:rPr>
          <w:color w:val="4F81BD" w:themeColor="accent1"/>
        </w:rPr>
        <w:t>Vernooij</w:t>
      </w:r>
      <w:proofErr w:type="spellEnd"/>
      <w:r w:rsidRPr="003B4C2A">
        <w:rPr>
          <w:color w:val="4F81BD" w:themeColor="accent1"/>
        </w:rPr>
        <w:t xml:space="preserve"> et al., 2007). Other (usually larger) UIAs may be associated with neurological symptoms such as headache, nausea/vomiting, visual disturbances or loss of consciousness (</w:t>
      </w:r>
      <w:proofErr w:type="spellStart"/>
      <w:r w:rsidRPr="003B4C2A">
        <w:rPr>
          <w:color w:val="4F81BD" w:themeColor="accent1"/>
        </w:rPr>
        <w:t>Brisman</w:t>
      </w:r>
      <w:proofErr w:type="spellEnd"/>
      <w:r w:rsidRPr="003B4C2A">
        <w:rPr>
          <w:color w:val="4F81BD" w:themeColor="accent1"/>
        </w:rPr>
        <w:t xml:space="preserve"> et al., 2006). The symptoms arise </w:t>
      </w:r>
      <w:r w:rsidRPr="003B4C2A">
        <w:rPr>
          <w:color w:val="4F81BD" w:themeColor="accent1"/>
        </w:rPr>
        <w:lastRenderedPageBreak/>
        <w:t xml:space="preserve">from the compression of cranial nerves. Therefore, the diagnosis of UIAs may be incidental, triggered by symptoms or through means of screening in high risk patients. </w:t>
      </w:r>
    </w:p>
    <w:p w14:paraId="5610D725" w14:textId="77777777" w:rsidR="003757D0" w:rsidRPr="003B4C2A" w:rsidRDefault="003757D0" w:rsidP="003757D0">
      <w:pPr>
        <w:ind w:left="426"/>
        <w:rPr>
          <w:color w:val="4F81BD" w:themeColor="accent1"/>
        </w:rPr>
      </w:pPr>
      <w:r w:rsidRPr="003B4C2A">
        <w:rPr>
          <w:color w:val="4F81BD" w:themeColor="accent1"/>
        </w:rPr>
        <w:t xml:space="preserve">There are three main methods of imaging of aneurysms including magnetic resonance angiography (MRA), computed tomographic angiography (CTA) and digital subtraction </w:t>
      </w:r>
      <w:proofErr w:type="gramStart"/>
      <w:r w:rsidRPr="003B4C2A">
        <w:rPr>
          <w:color w:val="4F81BD" w:themeColor="accent1"/>
        </w:rPr>
        <w:t>angiography(</w:t>
      </w:r>
      <w:proofErr w:type="gramEnd"/>
      <w:r w:rsidRPr="003B4C2A">
        <w:rPr>
          <w:color w:val="4F81BD" w:themeColor="accent1"/>
        </w:rPr>
        <w:t>DSA), each with varying advantages and disadvantages. The DSA is the most reliable test and considered the gold standard, however more invasive than the CTAs and MRAs (Thompson et al 2015). The patient is placed on an x-ray table and a small catheter is inserted in the femoral artery and guided through the vessel to the brain. Upon injection of contrast, images are taken that then are reviewed for abnormality. The MRA and CTA tests are non-invasive. In the CTA, the patient is placed on a table that slides into a CT scanner. Contrast material is injected into a vein and images of the blood vessels are reviewed for abnormalities. In the MRA, the patient is placed on a table that slides into the magnetic resonance scanner, and images of the blood vessels are reviewed to detect UIA</w:t>
      </w:r>
      <w:r w:rsidRPr="003B4C2A">
        <w:rPr>
          <w:rStyle w:val="FootnoteReference"/>
          <w:color w:val="4F81BD" w:themeColor="accent1"/>
        </w:rPr>
        <w:footnoteReference w:id="2"/>
      </w:r>
      <w:r w:rsidRPr="003B4C2A">
        <w:rPr>
          <w:color w:val="4F81BD" w:themeColor="accent1"/>
        </w:rPr>
        <w:t xml:space="preserve">. </w:t>
      </w:r>
    </w:p>
    <w:p w14:paraId="5F1A8779" w14:textId="77777777" w:rsidR="003757D0" w:rsidRPr="003B4C2A" w:rsidRDefault="003757D0" w:rsidP="003757D0">
      <w:pPr>
        <w:ind w:left="426"/>
        <w:rPr>
          <w:color w:val="4F81BD" w:themeColor="accent1"/>
        </w:rPr>
      </w:pPr>
      <w:r w:rsidRPr="003B4C2A">
        <w:rPr>
          <w:color w:val="4F81BD" w:themeColor="accent1"/>
        </w:rPr>
        <w:t xml:space="preserve">The American Heart Association/American Stroke Association (AHA/ASA) guideline for the management of patients with UIAs (Thompson et al 2015) recommend screening in some patients with certain risk factors, as follows: </w:t>
      </w:r>
    </w:p>
    <w:tbl>
      <w:tblPr>
        <w:tblStyle w:val="TableGrid"/>
        <w:tblW w:w="0" w:type="auto"/>
        <w:tblInd w:w="426" w:type="dxa"/>
        <w:tblBorders>
          <w:insideH w:val="none" w:sz="0" w:space="0" w:color="auto"/>
          <w:insideV w:val="none" w:sz="0" w:space="0" w:color="auto"/>
        </w:tblBorders>
        <w:tblLook w:val="04A0" w:firstRow="1" w:lastRow="0" w:firstColumn="1" w:lastColumn="0" w:noHBand="0" w:noVBand="1"/>
        <w:tblCaption w:val="Table shows the following"/>
        <w:tblDescription w:val="Patients with ≥ 2 family members with IA or SAH should be offered aneurysmal screening by CTA or MRA. Risk factors that predict a particularly high risk of aneurysm occurrence in such families include history of hypertension, smoking, and female sex (Class I; Level of Evidence B).&#10;Patients with a history of autosomal dominant polycystic kidney disease, particularly those with a family history of IA, should be offered screening by CTA or MRA (Class I; Level of Evidence B), and it is reasonable to offer CTA or MRA to patients with coarctation of the aorta and patients with microcephalic osteodysplastic primordial dwarfism&#10;"/>
      </w:tblPr>
      <w:tblGrid>
        <w:gridCol w:w="420"/>
        <w:gridCol w:w="8080"/>
      </w:tblGrid>
      <w:tr w:rsidR="003757D0" w:rsidRPr="003B4C2A" w14:paraId="25F559BF" w14:textId="77777777" w:rsidTr="00A03D42">
        <w:trPr>
          <w:tblHeader/>
        </w:trPr>
        <w:tc>
          <w:tcPr>
            <w:tcW w:w="420" w:type="dxa"/>
          </w:tcPr>
          <w:p w14:paraId="17CC1AE1" w14:textId="77777777" w:rsidR="003757D0" w:rsidRPr="003B4C2A" w:rsidRDefault="003757D0" w:rsidP="00100495">
            <w:pPr>
              <w:rPr>
                <w:color w:val="4F81BD" w:themeColor="accent1"/>
                <w:szCs w:val="20"/>
              </w:rPr>
            </w:pPr>
            <w:r w:rsidRPr="003B4C2A">
              <w:rPr>
                <w:color w:val="4F81BD" w:themeColor="accent1"/>
                <w:szCs w:val="20"/>
              </w:rPr>
              <w:t>1</w:t>
            </w:r>
          </w:p>
        </w:tc>
        <w:tc>
          <w:tcPr>
            <w:tcW w:w="8080" w:type="dxa"/>
          </w:tcPr>
          <w:p w14:paraId="0C2FEF20" w14:textId="77777777" w:rsidR="003757D0" w:rsidRPr="003B4C2A" w:rsidRDefault="003757D0" w:rsidP="00100495">
            <w:pPr>
              <w:rPr>
                <w:color w:val="4F81BD" w:themeColor="accent1"/>
                <w:szCs w:val="20"/>
              </w:rPr>
            </w:pPr>
            <w:r w:rsidRPr="003B4C2A">
              <w:rPr>
                <w:color w:val="4F81BD" w:themeColor="accent1"/>
                <w:szCs w:val="20"/>
              </w:rPr>
              <w:t xml:space="preserve">Patients with </w:t>
            </w:r>
            <w:r w:rsidRPr="003B4C2A">
              <w:rPr>
                <w:rFonts w:cstheme="minorHAnsi"/>
                <w:color w:val="4F81BD" w:themeColor="accent1"/>
                <w:szCs w:val="20"/>
              </w:rPr>
              <w:t>≥</w:t>
            </w:r>
            <w:r w:rsidRPr="003B4C2A">
              <w:rPr>
                <w:color w:val="4F81BD" w:themeColor="accent1"/>
                <w:szCs w:val="20"/>
              </w:rPr>
              <w:t xml:space="preserve"> 2 family members with IA or SAH should be offered aneurysmal screening by CTA or MRA. Risk factors that predict a particularly high risk of aneurysm occurrence in such families include history of hypertension, smoking, and female sex (Class I; Level of Evidence B).</w:t>
            </w:r>
          </w:p>
        </w:tc>
      </w:tr>
      <w:tr w:rsidR="003757D0" w:rsidRPr="003B4C2A" w14:paraId="6FF21ACA" w14:textId="77777777" w:rsidTr="00A03D42">
        <w:trPr>
          <w:tblHeader/>
        </w:trPr>
        <w:tc>
          <w:tcPr>
            <w:tcW w:w="420" w:type="dxa"/>
          </w:tcPr>
          <w:p w14:paraId="5080B3ED" w14:textId="77777777" w:rsidR="003757D0" w:rsidRPr="003B4C2A" w:rsidRDefault="003757D0" w:rsidP="00100495">
            <w:pPr>
              <w:rPr>
                <w:color w:val="4F81BD" w:themeColor="accent1"/>
                <w:szCs w:val="20"/>
              </w:rPr>
            </w:pPr>
            <w:r w:rsidRPr="003B4C2A">
              <w:rPr>
                <w:color w:val="4F81BD" w:themeColor="accent1"/>
                <w:szCs w:val="20"/>
              </w:rPr>
              <w:t>2</w:t>
            </w:r>
          </w:p>
        </w:tc>
        <w:tc>
          <w:tcPr>
            <w:tcW w:w="8080" w:type="dxa"/>
          </w:tcPr>
          <w:p w14:paraId="74836622" w14:textId="77777777" w:rsidR="003757D0" w:rsidRPr="003B4C2A" w:rsidRDefault="003757D0" w:rsidP="00100495">
            <w:pPr>
              <w:rPr>
                <w:color w:val="4F81BD" w:themeColor="accent1"/>
                <w:szCs w:val="20"/>
              </w:rPr>
            </w:pPr>
            <w:r w:rsidRPr="003B4C2A">
              <w:rPr>
                <w:color w:val="4F81BD" w:themeColor="accent1"/>
                <w:szCs w:val="20"/>
              </w:rPr>
              <w:t xml:space="preserve">Patients with a history of autosomal dominant polycystic kidney disease, particularly those with a family history of IA, should be offered screening by CTA or MRA (Class I; Level of Evidence B), and it is reasonable to offer CTA or MRA to patients with </w:t>
            </w:r>
            <w:proofErr w:type="spellStart"/>
            <w:r w:rsidRPr="003B4C2A">
              <w:rPr>
                <w:color w:val="4F81BD" w:themeColor="accent1"/>
                <w:szCs w:val="20"/>
              </w:rPr>
              <w:t>coarctation</w:t>
            </w:r>
            <w:proofErr w:type="spellEnd"/>
            <w:r w:rsidRPr="003B4C2A">
              <w:rPr>
                <w:color w:val="4F81BD" w:themeColor="accent1"/>
                <w:szCs w:val="20"/>
              </w:rPr>
              <w:t xml:space="preserve"> of the aorta and patients with </w:t>
            </w:r>
            <w:proofErr w:type="spellStart"/>
            <w:r w:rsidRPr="003B4C2A">
              <w:rPr>
                <w:color w:val="4F81BD" w:themeColor="accent1"/>
                <w:szCs w:val="20"/>
              </w:rPr>
              <w:t>microcephalic</w:t>
            </w:r>
            <w:proofErr w:type="spellEnd"/>
            <w:r w:rsidRPr="003B4C2A">
              <w:rPr>
                <w:color w:val="4F81BD" w:themeColor="accent1"/>
                <w:szCs w:val="20"/>
              </w:rPr>
              <w:t xml:space="preserve"> </w:t>
            </w:r>
            <w:proofErr w:type="spellStart"/>
            <w:r w:rsidRPr="003B4C2A">
              <w:rPr>
                <w:color w:val="4F81BD" w:themeColor="accent1"/>
                <w:szCs w:val="20"/>
              </w:rPr>
              <w:t>osteodysplastic</w:t>
            </w:r>
            <w:proofErr w:type="spellEnd"/>
            <w:r w:rsidRPr="003B4C2A">
              <w:rPr>
                <w:color w:val="4F81BD" w:themeColor="accent1"/>
                <w:szCs w:val="20"/>
              </w:rPr>
              <w:t xml:space="preserve"> primordial dwarfism</w:t>
            </w:r>
          </w:p>
        </w:tc>
      </w:tr>
    </w:tbl>
    <w:p w14:paraId="35FA9BB6" w14:textId="77777777" w:rsidR="003757D0" w:rsidRPr="003B4C2A" w:rsidRDefault="003757D0" w:rsidP="003757D0">
      <w:pPr>
        <w:ind w:left="426"/>
        <w:rPr>
          <w:color w:val="4F81BD" w:themeColor="accent1"/>
        </w:rPr>
      </w:pPr>
    </w:p>
    <w:p w14:paraId="6A347759" w14:textId="77777777" w:rsidR="003757D0" w:rsidRPr="003B4C2A" w:rsidRDefault="003757D0" w:rsidP="003757D0">
      <w:pPr>
        <w:ind w:left="426"/>
        <w:rPr>
          <w:color w:val="4F81BD" w:themeColor="accent1"/>
        </w:rPr>
      </w:pPr>
      <w:r w:rsidRPr="003B4C2A">
        <w:rPr>
          <w:color w:val="4F81BD" w:themeColor="accent1"/>
        </w:rPr>
        <w:t xml:space="preserve">The AHA/ASA 2015 guidelines recommend DSA over CTA and MRA for detection of UIA if surgical or endovascular treatment is considered, whilst acknowledging that CTA and MRA are also useful for identification (Thompson et al 2015). </w:t>
      </w:r>
    </w:p>
    <w:p w14:paraId="79D37030" w14:textId="77777777" w:rsidR="003757D0" w:rsidRPr="003B4C2A" w:rsidRDefault="003757D0" w:rsidP="003757D0">
      <w:pPr>
        <w:ind w:left="426"/>
        <w:rPr>
          <w:color w:val="4F81BD" w:themeColor="accent1"/>
        </w:rPr>
      </w:pPr>
      <w:r w:rsidRPr="003B4C2A">
        <w:rPr>
          <w:color w:val="4F81BD" w:themeColor="accent1"/>
        </w:rPr>
        <w:t>In determining the approach to treatment, conservative, endovascular or surgical, the ASH guidelines recommend accurate measurement of the following be collected:</w:t>
      </w:r>
    </w:p>
    <w:p w14:paraId="3F83DFFE" w14:textId="77777777" w:rsidR="003757D0" w:rsidRPr="003B4C2A" w:rsidRDefault="003757D0" w:rsidP="003757D0">
      <w:pPr>
        <w:pStyle w:val="ListParagraph"/>
        <w:numPr>
          <w:ilvl w:val="0"/>
          <w:numId w:val="39"/>
        </w:numPr>
        <w:rPr>
          <w:color w:val="4F81BD" w:themeColor="accent1"/>
        </w:rPr>
      </w:pPr>
      <w:r w:rsidRPr="003B4C2A">
        <w:rPr>
          <w:color w:val="4F81BD" w:themeColor="accent1"/>
        </w:rPr>
        <w:t>Neck size</w:t>
      </w:r>
    </w:p>
    <w:p w14:paraId="4134E52C" w14:textId="77777777" w:rsidR="003757D0" w:rsidRPr="003B4C2A" w:rsidRDefault="003757D0" w:rsidP="003757D0">
      <w:pPr>
        <w:pStyle w:val="ListParagraph"/>
        <w:numPr>
          <w:ilvl w:val="0"/>
          <w:numId w:val="39"/>
        </w:numPr>
        <w:rPr>
          <w:color w:val="4F81BD" w:themeColor="accent1"/>
        </w:rPr>
      </w:pPr>
      <w:r w:rsidRPr="003B4C2A">
        <w:rPr>
          <w:color w:val="4F81BD" w:themeColor="accent1"/>
        </w:rPr>
        <w:t>Neck-to-dome ratio</w:t>
      </w:r>
    </w:p>
    <w:p w14:paraId="254890EB" w14:textId="77777777" w:rsidR="003757D0" w:rsidRPr="003B4C2A" w:rsidRDefault="003757D0" w:rsidP="003757D0">
      <w:pPr>
        <w:pStyle w:val="ListParagraph"/>
        <w:numPr>
          <w:ilvl w:val="0"/>
          <w:numId w:val="39"/>
        </w:numPr>
        <w:rPr>
          <w:color w:val="4F81BD" w:themeColor="accent1"/>
        </w:rPr>
      </w:pPr>
      <w:r w:rsidRPr="003B4C2A">
        <w:rPr>
          <w:color w:val="4F81BD" w:themeColor="accent1"/>
        </w:rPr>
        <w:t>Measures of the aneurysm in 3 dimensions</w:t>
      </w:r>
    </w:p>
    <w:p w14:paraId="6BEC493B" w14:textId="33AA6004" w:rsidR="003757D0" w:rsidRPr="003B4C2A" w:rsidRDefault="003757D0" w:rsidP="003757D0">
      <w:pPr>
        <w:pStyle w:val="ListParagraph"/>
        <w:numPr>
          <w:ilvl w:val="0"/>
          <w:numId w:val="39"/>
        </w:numPr>
        <w:rPr>
          <w:color w:val="4F81BD" w:themeColor="accent1"/>
        </w:rPr>
      </w:pPr>
      <w:r w:rsidRPr="003B4C2A">
        <w:rPr>
          <w:color w:val="4F81BD" w:themeColor="accent1"/>
        </w:rPr>
        <w:t>Relationship of aneurysm to surrounding vessels.</w:t>
      </w:r>
    </w:p>
    <w:p w14:paraId="2A324B94" w14:textId="77777777" w:rsidR="0096631E" w:rsidRPr="003B4C2A" w:rsidRDefault="0096631E" w:rsidP="0096631E">
      <w:pPr>
        <w:ind w:left="426"/>
        <w:rPr>
          <w:color w:val="4F81BD" w:themeColor="accent1"/>
        </w:rPr>
      </w:pPr>
    </w:p>
    <w:p w14:paraId="62C24FAC" w14:textId="1B0D33B9" w:rsidR="003757D0" w:rsidRPr="003B4C2A" w:rsidRDefault="003757D0" w:rsidP="003757D0">
      <w:pPr>
        <w:ind w:left="426"/>
        <w:rPr>
          <w:color w:val="4F81BD" w:themeColor="accent1"/>
          <w:u w:val="single"/>
        </w:rPr>
      </w:pPr>
      <w:r w:rsidRPr="003B4C2A">
        <w:rPr>
          <w:i/>
          <w:color w:val="4F81BD" w:themeColor="accent1"/>
          <w:u w:val="single"/>
        </w:rPr>
        <w:t>Determining patient eligibility for FD does not differ in comparison to diagnosis and identification approaches to determine patients eligible for comparator interventions.</w:t>
      </w:r>
      <w:r w:rsidR="0096631E" w:rsidRPr="003B4C2A">
        <w:rPr>
          <w:i/>
          <w:color w:val="4F81BD" w:themeColor="accent1"/>
          <w:u w:val="single"/>
        </w:rPr>
        <w:t xml:space="preserve"> Similarly, the referral within the Australian clinical practice system does not differ between patients considered for FDD or coiling. Patients with UIAs considered for FDD or coiling are managed by INRs.</w:t>
      </w:r>
      <w:r w:rsidR="0096631E" w:rsidRPr="003B4C2A">
        <w:rPr>
          <w:color w:val="4F81BD" w:themeColor="accent1"/>
          <w:u w:val="single"/>
        </w:rPr>
        <w:t xml:space="preserve"> </w:t>
      </w:r>
    </w:p>
    <w:p w14:paraId="622B6C0D" w14:textId="77777777" w:rsidR="00CC553B" w:rsidRDefault="00CC553B" w:rsidP="00E357B9">
      <w:pPr>
        <w:ind w:left="426"/>
      </w:pPr>
    </w:p>
    <w:p w14:paraId="326DEB93" w14:textId="2BD8C1E2" w:rsidR="0018630F" w:rsidRDefault="0018630F" w:rsidP="00530204">
      <w:pPr>
        <w:pStyle w:val="Heading2"/>
      </w:pPr>
      <w:r w:rsidRPr="00E66B5D">
        <w:t xml:space="preserve">Define and summarise the current clinical management pathway </w:t>
      </w:r>
      <w:r w:rsidRPr="00E66B5D">
        <w:rPr>
          <w:i/>
        </w:rPr>
        <w:t>before</w:t>
      </w:r>
      <w:r w:rsidRPr="00E66B5D">
        <w:t xml:space="preserve"> patients would be eligible for the proposed medical service (supplement this summary with </w:t>
      </w:r>
      <w:r w:rsidR="00F33F1A" w:rsidRPr="00E66B5D">
        <w:t xml:space="preserve">an easy to follow flowchart </w:t>
      </w:r>
      <w:r w:rsidR="00DF0C51" w:rsidRPr="00E66B5D">
        <w:t xml:space="preserve">[as an attachment to the Application Form] </w:t>
      </w:r>
      <w:r w:rsidR="00F33F1A" w:rsidRPr="00E66B5D">
        <w:t>dep</w:t>
      </w:r>
      <w:r w:rsidRPr="00E66B5D">
        <w:t>icting the current clinical manag</w:t>
      </w:r>
      <w:r w:rsidR="00197D29" w:rsidRPr="00E66B5D">
        <w:t>ement pathway up to this point):</w:t>
      </w:r>
    </w:p>
    <w:p w14:paraId="2A6E8FE6" w14:textId="1C40C358" w:rsidR="009A4D3E" w:rsidRPr="003B4C2A" w:rsidRDefault="009A4D3E" w:rsidP="009A4D3E">
      <w:pPr>
        <w:ind w:left="426"/>
        <w:rPr>
          <w:color w:val="4F81BD" w:themeColor="accent1"/>
        </w:rPr>
      </w:pPr>
      <w:r w:rsidRPr="003B4C2A">
        <w:rPr>
          <w:color w:val="4F81BD" w:themeColor="accent1"/>
        </w:rPr>
        <w:t xml:space="preserve">There are no current guidelines specific to Australia for the clinical management of patients with intracranial aneurysms. Relevant international guidelines include the American Heart </w:t>
      </w:r>
      <w:r w:rsidRPr="003B4C2A">
        <w:rPr>
          <w:color w:val="4F81BD" w:themeColor="accent1"/>
        </w:rPr>
        <w:lastRenderedPageBreak/>
        <w:t>Association/American Stroke Association (AHA/ASA) guideline (</w:t>
      </w:r>
      <w:bookmarkStart w:id="7" w:name="_Hlk511314596"/>
      <w:r w:rsidRPr="003B4C2A">
        <w:rPr>
          <w:color w:val="4F81BD" w:themeColor="accent1"/>
        </w:rPr>
        <w:t>Thompson et al 2015</w:t>
      </w:r>
      <w:bookmarkEnd w:id="7"/>
      <w:r w:rsidRPr="003B4C2A">
        <w:rPr>
          <w:color w:val="4F81BD" w:themeColor="accent1"/>
        </w:rPr>
        <w:t>) and the European Stroke Organisation (ESO) guidelines (</w:t>
      </w:r>
      <w:bookmarkStart w:id="8" w:name="_Hlk511314590"/>
      <w:r w:rsidRPr="003B4C2A">
        <w:rPr>
          <w:color w:val="4F81BD" w:themeColor="accent1"/>
        </w:rPr>
        <w:t>Steiner et al 2013</w:t>
      </w:r>
      <w:bookmarkEnd w:id="8"/>
      <w:r w:rsidRPr="003B4C2A">
        <w:rPr>
          <w:color w:val="4F81BD" w:themeColor="accent1"/>
        </w:rPr>
        <w:t xml:space="preserve">). </w:t>
      </w:r>
    </w:p>
    <w:p w14:paraId="6E933E06" w14:textId="4C92F543" w:rsidR="009A4D3E" w:rsidRPr="003B4C2A" w:rsidRDefault="009A4D3E" w:rsidP="009A4D3E">
      <w:pPr>
        <w:ind w:left="426"/>
        <w:rPr>
          <w:color w:val="4F81BD" w:themeColor="accent1"/>
        </w:rPr>
      </w:pPr>
      <w:r w:rsidRPr="003B4C2A">
        <w:rPr>
          <w:color w:val="4F81BD" w:themeColor="accent1"/>
        </w:rPr>
        <w:fldChar w:fldCharType="begin"/>
      </w:r>
      <w:r w:rsidRPr="003B4C2A">
        <w:rPr>
          <w:color w:val="4F81BD" w:themeColor="accent1"/>
        </w:rPr>
        <w:instrText xml:space="preserve"> REF _Ref484685901 \h  \* MERGEFORMAT </w:instrText>
      </w:r>
      <w:r w:rsidRPr="003B4C2A">
        <w:rPr>
          <w:color w:val="4F81BD" w:themeColor="accent1"/>
        </w:rPr>
      </w:r>
      <w:r w:rsidRPr="003B4C2A">
        <w:rPr>
          <w:color w:val="4F81BD" w:themeColor="accent1"/>
        </w:rPr>
        <w:fldChar w:fldCharType="separate"/>
      </w:r>
      <w:r w:rsidR="008335FD" w:rsidRPr="003B4C2A">
        <w:rPr>
          <w:color w:val="4F81BD" w:themeColor="accent1"/>
        </w:rPr>
        <w:t>Table 1</w:t>
      </w:r>
      <w:r w:rsidRPr="003B4C2A">
        <w:rPr>
          <w:color w:val="4F81BD" w:themeColor="accent1"/>
        </w:rPr>
        <w:fldChar w:fldCharType="end"/>
      </w:r>
      <w:r w:rsidRPr="003B4C2A">
        <w:rPr>
          <w:color w:val="4F81BD" w:themeColor="accent1"/>
        </w:rPr>
        <w:t xml:space="preserve"> outlines the recommendations for the management of patients with UIAs from the AHA/ASA and the ESO guidelines. In general, the guidelines suggest that both clipping and coiling treatments are effective, and that endovascular coiling is associated with a reduction in short term morbidity and mortality. However, because the relative durability of treatment effect for the procedures remains </w:t>
      </w:r>
      <w:proofErr w:type="gramStart"/>
      <w:r w:rsidRPr="003B4C2A">
        <w:rPr>
          <w:color w:val="4F81BD" w:themeColor="accent1"/>
        </w:rPr>
        <w:t>unknown,</w:t>
      </w:r>
      <w:proofErr w:type="gramEnd"/>
      <w:r w:rsidRPr="003B4C2A">
        <w:rPr>
          <w:color w:val="4F81BD" w:themeColor="accent1"/>
        </w:rPr>
        <w:t xml:space="preserve"> and the guidelines do not recommend one intervention over the other. Instead, most clinical advice emphasises a case-by-case approach to treating patients. The risks of aneurysm rupture must be weighed against the risks associated with the procedure itself. As summarised in </w:t>
      </w:r>
      <w:r w:rsidRPr="003B4C2A">
        <w:rPr>
          <w:color w:val="4F81BD" w:themeColor="accent1"/>
        </w:rPr>
        <w:fldChar w:fldCharType="begin"/>
      </w:r>
      <w:r w:rsidRPr="003B4C2A">
        <w:rPr>
          <w:color w:val="4F81BD" w:themeColor="accent1"/>
        </w:rPr>
        <w:instrText xml:space="preserve"> REF _Ref515450073 \h  \* MERGEFORMAT </w:instrText>
      </w:r>
      <w:r w:rsidRPr="003B4C2A">
        <w:rPr>
          <w:color w:val="4F81BD" w:themeColor="accent1"/>
        </w:rPr>
      </w:r>
      <w:r w:rsidRPr="003B4C2A">
        <w:rPr>
          <w:color w:val="4F81BD" w:themeColor="accent1"/>
        </w:rPr>
        <w:fldChar w:fldCharType="separate"/>
      </w:r>
      <w:r w:rsidR="008335FD" w:rsidRPr="003B4C2A">
        <w:rPr>
          <w:color w:val="4F81BD" w:themeColor="accent1"/>
        </w:rPr>
        <w:t>Table 2</w:t>
      </w:r>
      <w:r w:rsidRPr="003B4C2A">
        <w:rPr>
          <w:color w:val="4F81BD" w:themeColor="accent1"/>
        </w:rPr>
        <w:fldChar w:fldCharType="end"/>
      </w:r>
      <w:r w:rsidRPr="003B4C2A">
        <w:rPr>
          <w:color w:val="4F81BD" w:themeColor="accent1"/>
        </w:rPr>
        <w:t>, whilst clipping is associated with a lower risk of rupture, the invasive nature of the procedure exposes patients to a higher risk of complications and mortality compared with coiling</w:t>
      </w:r>
      <w:r w:rsidR="00016909" w:rsidRPr="003B4C2A">
        <w:rPr>
          <w:color w:val="4F81BD" w:themeColor="accent1"/>
        </w:rPr>
        <w:t xml:space="preserve">. </w:t>
      </w:r>
    </w:p>
    <w:p w14:paraId="21BF535C" w14:textId="7A2B5D0B" w:rsidR="009A4D3E" w:rsidRPr="009E0571" w:rsidRDefault="009A4D3E" w:rsidP="009A4D3E">
      <w:pPr>
        <w:pStyle w:val="Caption"/>
        <w:ind w:firstLine="426"/>
      </w:pPr>
      <w:bookmarkStart w:id="9" w:name="_Ref484685901"/>
      <w:r w:rsidRPr="009E0571">
        <w:t xml:space="preserve">Table </w:t>
      </w:r>
      <w:r w:rsidR="00F64073">
        <w:rPr>
          <w:noProof/>
        </w:rPr>
        <w:fldChar w:fldCharType="begin"/>
      </w:r>
      <w:r w:rsidR="00F64073">
        <w:rPr>
          <w:noProof/>
        </w:rPr>
        <w:instrText xml:space="preserve"> SEQ Table \* ARABIC </w:instrText>
      </w:r>
      <w:r w:rsidR="00F64073">
        <w:rPr>
          <w:noProof/>
        </w:rPr>
        <w:fldChar w:fldCharType="separate"/>
      </w:r>
      <w:r w:rsidR="00CA2489">
        <w:rPr>
          <w:noProof/>
        </w:rPr>
        <w:t>2</w:t>
      </w:r>
      <w:r w:rsidR="00F64073">
        <w:rPr>
          <w:noProof/>
        </w:rPr>
        <w:fldChar w:fldCharType="end"/>
      </w:r>
      <w:bookmarkEnd w:id="9"/>
      <w:r w:rsidRPr="009E0571">
        <w:tab/>
        <w:t xml:space="preserve">Recommendations of the AHA/ASA and ESO for the management of UIAs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518"/>
        <w:gridCol w:w="3518"/>
      </w:tblGrid>
      <w:tr w:rsidR="009A4D3E" w:rsidRPr="00F6699F" w14:paraId="7CEA8BA9" w14:textId="77777777" w:rsidTr="00345E2B">
        <w:tc>
          <w:tcPr>
            <w:tcW w:w="1559" w:type="dxa"/>
            <w:shd w:val="clear" w:color="auto" w:fill="auto"/>
          </w:tcPr>
          <w:p w14:paraId="43EDA88B" w14:textId="77777777" w:rsidR="009A4D3E" w:rsidRPr="00F6699F" w:rsidRDefault="009A4D3E" w:rsidP="00345E2B">
            <w:pPr>
              <w:spacing w:before="0" w:after="0"/>
              <w:rPr>
                <w:b/>
              </w:rPr>
            </w:pPr>
            <w:r w:rsidRPr="00F6699F">
              <w:rPr>
                <w:b/>
              </w:rPr>
              <w:t>Intervention</w:t>
            </w:r>
          </w:p>
        </w:tc>
        <w:tc>
          <w:tcPr>
            <w:tcW w:w="3518" w:type="dxa"/>
            <w:shd w:val="clear" w:color="auto" w:fill="auto"/>
          </w:tcPr>
          <w:p w14:paraId="0F67B836" w14:textId="77777777" w:rsidR="009A4D3E" w:rsidRPr="00F6699F" w:rsidRDefault="009A4D3E" w:rsidP="00345E2B">
            <w:pPr>
              <w:spacing w:before="0" w:after="0"/>
              <w:rPr>
                <w:b/>
              </w:rPr>
            </w:pPr>
            <w:r w:rsidRPr="00F6699F">
              <w:rPr>
                <w:b/>
              </w:rPr>
              <w:t xml:space="preserve">AHA/ASA </w:t>
            </w:r>
          </w:p>
        </w:tc>
        <w:tc>
          <w:tcPr>
            <w:tcW w:w="3518" w:type="dxa"/>
            <w:shd w:val="clear" w:color="auto" w:fill="auto"/>
          </w:tcPr>
          <w:p w14:paraId="1912AFAF" w14:textId="77777777" w:rsidR="009A4D3E" w:rsidRPr="00F6699F" w:rsidRDefault="009A4D3E" w:rsidP="00345E2B">
            <w:pPr>
              <w:spacing w:before="0" w:after="0"/>
              <w:rPr>
                <w:b/>
              </w:rPr>
            </w:pPr>
            <w:r w:rsidRPr="00F6699F">
              <w:rPr>
                <w:b/>
              </w:rPr>
              <w:t>ESO</w:t>
            </w:r>
          </w:p>
        </w:tc>
      </w:tr>
      <w:tr w:rsidR="009A4D3E" w:rsidRPr="009E0571" w14:paraId="55B648D3" w14:textId="77777777" w:rsidTr="00345E2B">
        <w:tc>
          <w:tcPr>
            <w:tcW w:w="1559" w:type="dxa"/>
            <w:shd w:val="clear" w:color="auto" w:fill="auto"/>
          </w:tcPr>
          <w:p w14:paraId="4CFCD059" w14:textId="77777777" w:rsidR="009A4D3E" w:rsidRPr="003B4C2A" w:rsidRDefault="009A4D3E" w:rsidP="00345E2B">
            <w:pPr>
              <w:spacing w:before="0" w:after="0"/>
              <w:rPr>
                <w:color w:val="4F81BD" w:themeColor="accent1"/>
              </w:rPr>
            </w:pPr>
            <w:r w:rsidRPr="003B4C2A">
              <w:rPr>
                <w:color w:val="4F81BD" w:themeColor="accent1"/>
              </w:rPr>
              <w:t>Comparative efficacy of surgical clipping versus endovascular coiling</w:t>
            </w:r>
          </w:p>
        </w:tc>
        <w:tc>
          <w:tcPr>
            <w:tcW w:w="3518" w:type="dxa"/>
            <w:shd w:val="clear" w:color="auto" w:fill="auto"/>
          </w:tcPr>
          <w:p w14:paraId="19D1CD36" w14:textId="77777777" w:rsidR="009A4D3E" w:rsidRPr="003B4C2A" w:rsidRDefault="009A4D3E" w:rsidP="00345E2B">
            <w:pPr>
              <w:spacing w:before="0" w:after="0"/>
              <w:rPr>
                <w:color w:val="4F81BD" w:themeColor="accent1"/>
              </w:rPr>
            </w:pPr>
            <w:r w:rsidRPr="003B4C2A">
              <w:rPr>
                <w:color w:val="4F81BD" w:themeColor="accent1"/>
              </w:rPr>
              <w:t>Surgical clipping is an effective treatment for UIAs that are considered for treatment (Class I; Level of Evidence B).</w:t>
            </w:r>
          </w:p>
          <w:p w14:paraId="20BA5328" w14:textId="77777777" w:rsidR="009A4D3E" w:rsidRPr="003B4C2A" w:rsidRDefault="009A4D3E" w:rsidP="00345E2B">
            <w:pPr>
              <w:spacing w:before="0" w:after="0"/>
              <w:rPr>
                <w:color w:val="4F81BD" w:themeColor="accent1"/>
              </w:rPr>
            </w:pPr>
            <w:r w:rsidRPr="003B4C2A">
              <w:rPr>
                <w:color w:val="4F81BD" w:themeColor="accent1"/>
              </w:rPr>
              <w:t xml:space="preserve">Endovascular coiling is an effective treatment for select UIAs that are considered for treatment (Class </w:t>
            </w:r>
            <w:proofErr w:type="spellStart"/>
            <w:r w:rsidRPr="003B4C2A">
              <w:rPr>
                <w:color w:val="4F81BD" w:themeColor="accent1"/>
              </w:rPr>
              <w:t>IIa</w:t>
            </w:r>
            <w:proofErr w:type="spellEnd"/>
            <w:r w:rsidRPr="003B4C2A">
              <w:rPr>
                <w:color w:val="4F81BD" w:themeColor="accent1"/>
              </w:rPr>
              <w:t>; Level of Evidence B).</w:t>
            </w:r>
          </w:p>
          <w:p w14:paraId="2714E466" w14:textId="77777777" w:rsidR="009A4D3E" w:rsidRPr="003B4C2A" w:rsidRDefault="009A4D3E" w:rsidP="00345E2B">
            <w:pPr>
              <w:spacing w:before="0" w:after="0"/>
              <w:rPr>
                <w:color w:val="4F81BD" w:themeColor="accent1"/>
              </w:rPr>
            </w:pPr>
            <w:r w:rsidRPr="003B4C2A">
              <w:rPr>
                <w:color w:val="4F81BD" w:themeColor="accent1"/>
              </w:rPr>
              <w:t xml:space="preserve">Endovascular coiling is associated with a reduction in procedural morbidity and mortality over surgical clipping in selected cases but has an overall higher risk of recurrence (Class </w:t>
            </w:r>
            <w:proofErr w:type="spellStart"/>
            <w:r w:rsidRPr="003B4C2A">
              <w:rPr>
                <w:color w:val="4F81BD" w:themeColor="accent1"/>
              </w:rPr>
              <w:t>IIb</w:t>
            </w:r>
            <w:proofErr w:type="spellEnd"/>
            <w:r w:rsidRPr="003B4C2A">
              <w:rPr>
                <w:color w:val="4F81BD" w:themeColor="accent1"/>
              </w:rPr>
              <w:t>; Level of Evidence B).</w:t>
            </w:r>
          </w:p>
        </w:tc>
        <w:tc>
          <w:tcPr>
            <w:tcW w:w="3518" w:type="dxa"/>
            <w:shd w:val="clear" w:color="auto" w:fill="auto"/>
          </w:tcPr>
          <w:p w14:paraId="678ADFBD" w14:textId="77777777" w:rsidR="009A4D3E" w:rsidRPr="003B4C2A" w:rsidRDefault="009A4D3E" w:rsidP="00345E2B">
            <w:pPr>
              <w:spacing w:before="0" w:after="0"/>
              <w:rPr>
                <w:color w:val="4F81BD" w:themeColor="accent1"/>
              </w:rPr>
            </w:pPr>
            <w:r w:rsidRPr="003B4C2A">
              <w:rPr>
                <w:color w:val="4F81BD" w:themeColor="accent1"/>
              </w:rPr>
              <w:t>Although endovascular procedures might be associated with less immediate risk, the long-term risk and durability of treatment are not known and data from prolonged follow-up of treated patients are needed.</w:t>
            </w:r>
          </w:p>
        </w:tc>
      </w:tr>
      <w:tr w:rsidR="009A4D3E" w:rsidRPr="009E0571" w14:paraId="401B5FF4" w14:textId="77777777" w:rsidTr="00345E2B">
        <w:tc>
          <w:tcPr>
            <w:tcW w:w="1559" w:type="dxa"/>
            <w:shd w:val="clear" w:color="auto" w:fill="auto"/>
          </w:tcPr>
          <w:p w14:paraId="4D14A776" w14:textId="77777777" w:rsidR="009A4D3E" w:rsidRPr="003B4C2A" w:rsidRDefault="009A4D3E" w:rsidP="00345E2B">
            <w:pPr>
              <w:spacing w:before="0" w:after="0"/>
              <w:rPr>
                <w:color w:val="4F81BD" w:themeColor="accent1"/>
              </w:rPr>
            </w:pPr>
            <w:r w:rsidRPr="003B4C2A">
              <w:rPr>
                <w:color w:val="4F81BD" w:themeColor="accent1"/>
              </w:rPr>
              <w:t>Flow diversion</w:t>
            </w:r>
          </w:p>
        </w:tc>
        <w:tc>
          <w:tcPr>
            <w:tcW w:w="3518" w:type="dxa"/>
            <w:shd w:val="clear" w:color="auto" w:fill="auto"/>
          </w:tcPr>
          <w:p w14:paraId="2C69276B" w14:textId="77777777" w:rsidR="009A4D3E" w:rsidRPr="003B4C2A" w:rsidRDefault="009A4D3E" w:rsidP="00345E2B">
            <w:pPr>
              <w:spacing w:before="0" w:after="0"/>
              <w:rPr>
                <w:color w:val="4F81BD" w:themeColor="accent1"/>
              </w:rPr>
            </w:pPr>
            <w:proofErr w:type="spellStart"/>
            <w:r w:rsidRPr="003B4C2A">
              <w:rPr>
                <w:color w:val="4F81BD" w:themeColor="accent1"/>
              </w:rPr>
              <w:t>Endoluminal</w:t>
            </w:r>
            <w:proofErr w:type="spellEnd"/>
            <w:r w:rsidRPr="003B4C2A">
              <w:rPr>
                <w:color w:val="4F81BD" w:themeColor="accent1"/>
              </w:rPr>
              <w:t xml:space="preserve"> FD represents a new treatment strategy that may be considered in carefully selected cases (Class </w:t>
            </w:r>
            <w:proofErr w:type="spellStart"/>
            <w:r w:rsidRPr="003B4C2A">
              <w:rPr>
                <w:color w:val="4F81BD" w:themeColor="accent1"/>
              </w:rPr>
              <w:t>IIb</w:t>
            </w:r>
            <w:proofErr w:type="spellEnd"/>
            <w:r w:rsidRPr="003B4C2A">
              <w:rPr>
                <w:color w:val="4F81BD" w:themeColor="accent1"/>
              </w:rPr>
              <w:t xml:space="preserve">; Level of Evidence B). </w:t>
            </w:r>
          </w:p>
          <w:p w14:paraId="591A0DA2" w14:textId="77777777" w:rsidR="009A4D3E" w:rsidRPr="003B4C2A" w:rsidRDefault="009A4D3E" w:rsidP="00345E2B">
            <w:pPr>
              <w:spacing w:before="0" w:after="0"/>
              <w:rPr>
                <w:color w:val="4F81BD" w:themeColor="accent1"/>
              </w:rPr>
            </w:pPr>
            <w:r w:rsidRPr="003B4C2A">
              <w:rPr>
                <w:color w:val="4F81BD" w:themeColor="accent1"/>
              </w:rPr>
              <w:t xml:space="preserve">The long-term effects of these newer approaches remain largely unknown. </w:t>
            </w:r>
          </w:p>
          <w:p w14:paraId="5789F0EB" w14:textId="77777777" w:rsidR="009A4D3E" w:rsidRPr="003B4C2A" w:rsidRDefault="009A4D3E" w:rsidP="00345E2B">
            <w:pPr>
              <w:spacing w:before="0" w:after="0"/>
              <w:rPr>
                <w:color w:val="4F81BD" w:themeColor="accent1"/>
              </w:rPr>
            </w:pPr>
            <w:r w:rsidRPr="003B4C2A">
              <w:rPr>
                <w:color w:val="4F81BD" w:themeColor="accent1"/>
              </w:rPr>
              <w:t>Endovascular treatment of UIAs is recommended to be performed at high-volume centres (Class I; Level of Evidence B).</w:t>
            </w:r>
          </w:p>
        </w:tc>
        <w:tc>
          <w:tcPr>
            <w:tcW w:w="3518" w:type="dxa"/>
            <w:shd w:val="clear" w:color="auto" w:fill="auto"/>
          </w:tcPr>
          <w:p w14:paraId="61EC44E1" w14:textId="77777777" w:rsidR="009A4D3E" w:rsidRPr="003B4C2A" w:rsidRDefault="009A4D3E" w:rsidP="00345E2B">
            <w:pPr>
              <w:spacing w:before="0" w:after="0"/>
              <w:rPr>
                <w:color w:val="4F81BD" w:themeColor="accent1"/>
              </w:rPr>
            </w:pPr>
            <w:r w:rsidRPr="003B4C2A">
              <w:rPr>
                <w:color w:val="4F81BD" w:themeColor="accent1"/>
              </w:rPr>
              <w:t>–</w:t>
            </w:r>
          </w:p>
        </w:tc>
      </w:tr>
      <w:tr w:rsidR="009A4D3E" w:rsidRPr="009E0571" w14:paraId="267CA252" w14:textId="77777777" w:rsidTr="00345E2B">
        <w:tc>
          <w:tcPr>
            <w:tcW w:w="1559" w:type="dxa"/>
            <w:shd w:val="clear" w:color="auto" w:fill="auto"/>
          </w:tcPr>
          <w:p w14:paraId="753CE2E9" w14:textId="77777777" w:rsidR="009A4D3E" w:rsidRPr="003B4C2A" w:rsidRDefault="009A4D3E" w:rsidP="00345E2B">
            <w:pPr>
              <w:spacing w:before="0" w:after="0"/>
              <w:rPr>
                <w:color w:val="4F81BD" w:themeColor="accent1"/>
              </w:rPr>
            </w:pPr>
            <w:r w:rsidRPr="003B4C2A">
              <w:rPr>
                <w:color w:val="4F81BD" w:themeColor="accent1"/>
              </w:rPr>
              <w:t>Conservative management</w:t>
            </w:r>
          </w:p>
        </w:tc>
        <w:tc>
          <w:tcPr>
            <w:tcW w:w="3518" w:type="dxa"/>
            <w:shd w:val="clear" w:color="auto" w:fill="auto"/>
          </w:tcPr>
          <w:p w14:paraId="3BDA0B97" w14:textId="77777777" w:rsidR="009A4D3E" w:rsidRPr="003B4C2A" w:rsidRDefault="009A4D3E" w:rsidP="00345E2B">
            <w:pPr>
              <w:spacing w:before="0" w:after="0"/>
              <w:rPr>
                <w:color w:val="4F81BD" w:themeColor="accent1"/>
              </w:rPr>
            </w:pPr>
            <w:r w:rsidRPr="003B4C2A">
              <w:rPr>
                <w:color w:val="4F81BD" w:themeColor="accent1"/>
              </w:rPr>
              <w:t>For patients with UIAs that are managed noninvasively without either surgical or endovascular intervention, radiographic follow-up with MRA or CTA at regular intervals is indicated. The optimal interval and duration of recommended follow-up are uncertain (Class I; Level of Evidence B).</w:t>
            </w:r>
          </w:p>
          <w:p w14:paraId="36FB7EF1" w14:textId="5DAF5DF9" w:rsidR="009A4D3E" w:rsidRPr="003B4C2A" w:rsidRDefault="009A4D3E" w:rsidP="00345E2B">
            <w:pPr>
              <w:spacing w:before="0" w:after="0"/>
              <w:rPr>
                <w:color w:val="4F81BD" w:themeColor="accent1"/>
              </w:rPr>
            </w:pPr>
            <w:r w:rsidRPr="003B4C2A">
              <w:rPr>
                <w:color w:val="4F81BD" w:themeColor="accent1"/>
              </w:rPr>
              <w:t xml:space="preserve">For patients with UIAs managed noninvasively without either surgical or endovascular intervention, a first follow-up study at 6 to 12 months after initial discovery, followed by subsequent yearly or every other year follow-up, may be reasonable (Class </w:t>
            </w:r>
            <w:proofErr w:type="spellStart"/>
            <w:r w:rsidRPr="003B4C2A">
              <w:rPr>
                <w:color w:val="4F81BD" w:themeColor="accent1"/>
              </w:rPr>
              <w:t>IIb</w:t>
            </w:r>
            <w:proofErr w:type="spellEnd"/>
            <w:r w:rsidRPr="003B4C2A">
              <w:rPr>
                <w:color w:val="4F81BD" w:themeColor="accent1"/>
              </w:rPr>
              <w:t>; Level of Evidence C).</w:t>
            </w:r>
          </w:p>
          <w:p w14:paraId="172E77FB" w14:textId="5765221A" w:rsidR="009A4D3E" w:rsidRPr="003B4C2A" w:rsidRDefault="009A4D3E" w:rsidP="00B35A17">
            <w:pPr>
              <w:spacing w:before="0" w:after="0"/>
              <w:rPr>
                <w:color w:val="4F81BD" w:themeColor="accent1"/>
              </w:rPr>
            </w:pPr>
            <w:r w:rsidRPr="003B4C2A">
              <w:rPr>
                <w:color w:val="4F81BD" w:themeColor="accent1"/>
              </w:rPr>
              <w:t xml:space="preserve">For patients with UIAs that are managed noninvasively and in whom there are no </w:t>
            </w:r>
            <w:r w:rsidRPr="003B4C2A">
              <w:rPr>
                <w:color w:val="4F81BD" w:themeColor="accent1"/>
              </w:rPr>
              <w:lastRenderedPageBreak/>
              <w:t>contraindications to MRI, it may be reasonable to consider TOF MRA rather than CTA for repeated long-term follow-up</w:t>
            </w:r>
            <w:r w:rsidR="00B35A17" w:rsidRPr="003B4C2A">
              <w:rPr>
                <w:color w:val="4F81BD" w:themeColor="accent1"/>
              </w:rPr>
              <w:t xml:space="preserve"> </w:t>
            </w:r>
            <w:r w:rsidRPr="003B4C2A">
              <w:rPr>
                <w:color w:val="4F81BD" w:themeColor="accent1"/>
              </w:rPr>
              <w:t xml:space="preserve">(Class </w:t>
            </w:r>
            <w:proofErr w:type="spellStart"/>
            <w:r w:rsidRPr="003B4C2A">
              <w:rPr>
                <w:color w:val="4F81BD" w:themeColor="accent1"/>
              </w:rPr>
              <w:t>IIb</w:t>
            </w:r>
            <w:proofErr w:type="spellEnd"/>
            <w:r w:rsidRPr="003B4C2A">
              <w:rPr>
                <w:color w:val="4F81BD" w:themeColor="accent1"/>
              </w:rPr>
              <w:t>; Level of Evidence C).</w:t>
            </w:r>
          </w:p>
        </w:tc>
        <w:tc>
          <w:tcPr>
            <w:tcW w:w="3518" w:type="dxa"/>
            <w:shd w:val="clear" w:color="auto" w:fill="auto"/>
          </w:tcPr>
          <w:p w14:paraId="6CBD9A45" w14:textId="77777777" w:rsidR="009A4D3E" w:rsidRPr="003B4C2A" w:rsidRDefault="009A4D3E" w:rsidP="00345E2B">
            <w:pPr>
              <w:spacing w:before="0" w:after="0"/>
              <w:rPr>
                <w:color w:val="4F81BD" w:themeColor="accent1"/>
              </w:rPr>
            </w:pPr>
            <w:r w:rsidRPr="003B4C2A">
              <w:rPr>
                <w:color w:val="4F81BD" w:themeColor="accent1"/>
              </w:rPr>
              <w:lastRenderedPageBreak/>
              <w:t>The larger the aneurysm the higher the chance of rupture (class II, level B)</w:t>
            </w:r>
          </w:p>
          <w:p w14:paraId="40D42AD9" w14:textId="77777777" w:rsidR="009A4D3E" w:rsidRPr="003B4C2A" w:rsidRDefault="009A4D3E" w:rsidP="00345E2B">
            <w:pPr>
              <w:spacing w:before="0" w:after="0"/>
              <w:rPr>
                <w:color w:val="4F81BD" w:themeColor="accent1"/>
              </w:rPr>
            </w:pPr>
            <w:r w:rsidRPr="003B4C2A">
              <w:rPr>
                <w:color w:val="4F81BD" w:themeColor="accent1"/>
              </w:rPr>
              <w:t>Considering risk (procedural risk, range 5–50%, vs. spontaneous rupture risk, 0–10%, per year) and benefit (life expectancy with or without minor deficit), the decision for or against intervention is a decision of the individual case taking into account patient-dependent factors (age, cigarette smoking and perhaps rupture from other aneurysm), aneurysmal factors (size, location), and the assumed risk of the intervention; therefore, the decision should be based on a multidisciplinary discussion of the individual case (class III, level C)</w:t>
            </w:r>
          </w:p>
        </w:tc>
      </w:tr>
    </w:tbl>
    <w:p w14:paraId="166BF550" w14:textId="77777777" w:rsidR="009A4D3E" w:rsidRPr="00C218CC" w:rsidRDefault="009A4D3E" w:rsidP="009A4D3E">
      <w:pPr>
        <w:pStyle w:val="Tablenotes"/>
        <w:ind w:firstLine="426"/>
      </w:pPr>
      <w:r w:rsidRPr="00C218CC">
        <w:lastRenderedPageBreak/>
        <w:t xml:space="preserve">Abbreviations: TOF=time-of-flight; MRI=magnetic resonance imaging; CTA=computed tomographic angiography </w:t>
      </w:r>
    </w:p>
    <w:p w14:paraId="46AEC984" w14:textId="77777777" w:rsidR="009A4D3E" w:rsidRPr="00C218CC" w:rsidRDefault="009A4D3E" w:rsidP="009A4D3E">
      <w:pPr>
        <w:pStyle w:val="Tablenotes"/>
        <w:ind w:firstLine="426"/>
      </w:pPr>
      <w:r w:rsidRPr="00C218CC">
        <w:t xml:space="preserve">Source: </w:t>
      </w:r>
      <w:bookmarkStart w:id="10" w:name="_Hlk517180008"/>
      <w:r w:rsidRPr="00C218CC">
        <w:t>Thompson et al., 2015; Steiner et al., 2013</w:t>
      </w:r>
      <w:bookmarkEnd w:id="10"/>
    </w:p>
    <w:p w14:paraId="3A75A36C" w14:textId="77777777" w:rsidR="009A4D3E" w:rsidRDefault="009A4D3E" w:rsidP="009A4D3E"/>
    <w:p w14:paraId="4E0B313D" w14:textId="5B43F414" w:rsidR="009A4D3E" w:rsidRDefault="009A4D3E" w:rsidP="002978F1">
      <w:pPr>
        <w:pStyle w:val="Caption"/>
        <w:keepNext/>
        <w:keepLines/>
        <w:widowControl w:val="0"/>
        <w:ind w:firstLine="426"/>
      </w:pPr>
      <w:bookmarkStart w:id="11" w:name="_Ref515450073"/>
      <w:r>
        <w:t xml:space="preserve">Table </w:t>
      </w:r>
      <w:r w:rsidR="00F64073">
        <w:rPr>
          <w:noProof/>
        </w:rPr>
        <w:fldChar w:fldCharType="begin"/>
      </w:r>
      <w:r w:rsidR="00F64073">
        <w:rPr>
          <w:noProof/>
        </w:rPr>
        <w:instrText xml:space="preserve"> SEQ Table \* ARABIC </w:instrText>
      </w:r>
      <w:r w:rsidR="00F64073">
        <w:rPr>
          <w:noProof/>
        </w:rPr>
        <w:fldChar w:fldCharType="separate"/>
      </w:r>
      <w:r w:rsidR="00CA2489">
        <w:rPr>
          <w:noProof/>
        </w:rPr>
        <w:t>3</w:t>
      </w:r>
      <w:r w:rsidR="00F64073">
        <w:rPr>
          <w:noProof/>
        </w:rPr>
        <w:fldChar w:fldCharType="end"/>
      </w:r>
      <w:bookmarkEnd w:id="11"/>
      <w:r>
        <w:tab/>
        <w:t>Comparison of coiling and clipping with respect to morbidity, mortality and</w:t>
      </w:r>
      <w:r w:rsidR="002978F1">
        <w:t xml:space="preserve"> </w:t>
      </w:r>
      <w:proofErr w:type="spellStart"/>
      <w:r>
        <w:t>rebleeding</w:t>
      </w:r>
      <w:proofErr w:type="spellEnd"/>
      <w:r>
        <w:t xml:space="preserve"> rates</w:t>
      </w:r>
    </w:p>
    <w:tbl>
      <w:tblPr>
        <w:tblStyle w:val="TableGrid"/>
        <w:tblW w:w="0" w:type="auto"/>
        <w:tblInd w:w="387" w:type="dxa"/>
        <w:tblLook w:val="04A0" w:firstRow="1" w:lastRow="0" w:firstColumn="1" w:lastColumn="0" w:noHBand="0" w:noVBand="1"/>
        <w:tblCaption w:val="Table showing event, coiling percent and clipping percent"/>
      </w:tblPr>
      <w:tblGrid>
        <w:gridCol w:w="2618"/>
        <w:gridCol w:w="3005"/>
        <w:gridCol w:w="3006"/>
      </w:tblGrid>
      <w:tr w:rsidR="009A4D3E" w:rsidRPr="00F6699F" w14:paraId="11C4B027" w14:textId="77777777" w:rsidTr="00A03D42">
        <w:trPr>
          <w:tblHeader/>
        </w:trPr>
        <w:tc>
          <w:tcPr>
            <w:tcW w:w="2618" w:type="dxa"/>
          </w:tcPr>
          <w:p w14:paraId="1E6CC42F" w14:textId="77777777" w:rsidR="009A4D3E" w:rsidRPr="00F6699F" w:rsidRDefault="009A4D3E" w:rsidP="002978F1">
            <w:pPr>
              <w:keepNext/>
              <w:keepLines/>
              <w:widowControl w:val="0"/>
              <w:spacing w:before="0" w:after="0"/>
              <w:rPr>
                <w:b/>
              </w:rPr>
            </w:pPr>
            <w:r w:rsidRPr="00F6699F">
              <w:rPr>
                <w:b/>
              </w:rPr>
              <w:t>Event</w:t>
            </w:r>
          </w:p>
        </w:tc>
        <w:tc>
          <w:tcPr>
            <w:tcW w:w="3005" w:type="dxa"/>
          </w:tcPr>
          <w:p w14:paraId="4DAEFC71" w14:textId="77777777" w:rsidR="009A4D3E" w:rsidRPr="00F6699F" w:rsidRDefault="009A4D3E" w:rsidP="002978F1">
            <w:pPr>
              <w:keepNext/>
              <w:keepLines/>
              <w:widowControl w:val="0"/>
              <w:spacing w:before="0" w:after="0"/>
              <w:rPr>
                <w:b/>
              </w:rPr>
            </w:pPr>
            <w:r w:rsidRPr="00F6699F">
              <w:rPr>
                <w:b/>
              </w:rPr>
              <w:t>Coiling (%)</w:t>
            </w:r>
          </w:p>
        </w:tc>
        <w:tc>
          <w:tcPr>
            <w:tcW w:w="3006" w:type="dxa"/>
          </w:tcPr>
          <w:p w14:paraId="4D174BD3" w14:textId="77777777" w:rsidR="009A4D3E" w:rsidRPr="00F6699F" w:rsidRDefault="009A4D3E" w:rsidP="002978F1">
            <w:pPr>
              <w:keepNext/>
              <w:keepLines/>
              <w:widowControl w:val="0"/>
              <w:spacing w:before="0" w:after="0"/>
              <w:rPr>
                <w:b/>
              </w:rPr>
            </w:pPr>
            <w:r w:rsidRPr="00F6699F">
              <w:rPr>
                <w:b/>
              </w:rPr>
              <w:t>Clipping (%)</w:t>
            </w:r>
          </w:p>
        </w:tc>
      </w:tr>
      <w:tr w:rsidR="009A4D3E" w14:paraId="3CEF5C67" w14:textId="77777777" w:rsidTr="00345E2B">
        <w:tc>
          <w:tcPr>
            <w:tcW w:w="2618" w:type="dxa"/>
          </w:tcPr>
          <w:p w14:paraId="41A67B1F" w14:textId="77777777" w:rsidR="009A4D3E" w:rsidRPr="003B4C2A" w:rsidRDefault="009A4D3E" w:rsidP="002978F1">
            <w:pPr>
              <w:keepNext/>
              <w:keepLines/>
              <w:widowControl w:val="0"/>
              <w:spacing w:before="0" w:after="0"/>
              <w:rPr>
                <w:color w:val="4F81BD" w:themeColor="accent1"/>
              </w:rPr>
            </w:pPr>
            <w:r w:rsidRPr="003B4C2A">
              <w:rPr>
                <w:color w:val="4F81BD" w:themeColor="accent1"/>
              </w:rPr>
              <w:t>Death</w:t>
            </w:r>
          </w:p>
        </w:tc>
        <w:tc>
          <w:tcPr>
            <w:tcW w:w="3005" w:type="dxa"/>
          </w:tcPr>
          <w:p w14:paraId="2ACE1B85" w14:textId="77777777" w:rsidR="009A4D3E" w:rsidRPr="003B4C2A" w:rsidRDefault="009A4D3E" w:rsidP="002978F1">
            <w:pPr>
              <w:keepNext/>
              <w:keepLines/>
              <w:widowControl w:val="0"/>
              <w:spacing w:before="0" w:after="0"/>
              <w:rPr>
                <w:color w:val="4F81BD" w:themeColor="accent1"/>
              </w:rPr>
            </w:pPr>
            <w:r w:rsidRPr="003B4C2A">
              <w:rPr>
                <w:color w:val="4F81BD" w:themeColor="accent1"/>
              </w:rPr>
              <w:t>1.0–1.1</w:t>
            </w:r>
          </w:p>
        </w:tc>
        <w:tc>
          <w:tcPr>
            <w:tcW w:w="3006" w:type="dxa"/>
          </w:tcPr>
          <w:p w14:paraId="40028D31" w14:textId="77777777" w:rsidR="009A4D3E" w:rsidRPr="003B4C2A" w:rsidRDefault="009A4D3E" w:rsidP="002978F1">
            <w:pPr>
              <w:keepNext/>
              <w:keepLines/>
              <w:widowControl w:val="0"/>
              <w:spacing w:before="0" w:after="0"/>
              <w:rPr>
                <w:color w:val="4F81BD" w:themeColor="accent1"/>
              </w:rPr>
            </w:pPr>
            <w:r w:rsidRPr="003B4C2A">
              <w:rPr>
                <w:color w:val="4F81BD" w:themeColor="accent1"/>
              </w:rPr>
              <w:t>2.6–3.8</w:t>
            </w:r>
          </w:p>
        </w:tc>
      </w:tr>
      <w:tr w:rsidR="009A4D3E" w14:paraId="4ED2827B" w14:textId="77777777" w:rsidTr="00345E2B">
        <w:tc>
          <w:tcPr>
            <w:tcW w:w="2618" w:type="dxa"/>
          </w:tcPr>
          <w:p w14:paraId="45B8BFD2" w14:textId="77777777" w:rsidR="009A4D3E" w:rsidRPr="003B4C2A" w:rsidRDefault="009A4D3E" w:rsidP="002978F1">
            <w:pPr>
              <w:keepNext/>
              <w:keepLines/>
              <w:widowControl w:val="0"/>
              <w:spacing w:before="0" w:after="0"/>
              <w:rPr>
                <w:color w:val="4F81BD" w:themeColor="accent1"/>
              </w:rPr>
            </w:pPr>
            <w:r w:rsidRPr="003B4C2A">
              <w:rPr>
                <w:color w:val="4F81BD" w:themeColor="accent1"/>
              </w:rPr>
              <w:t>Morbidity</w:t>
            </w:r>
          </w:p>
        </w:tc>
        <w:tc>
          <w:tcPr>
            <w:tcW w:w="3005" w:type="dxa"/>
          </w:tcPr>
          <w:p w14:paraId="5BA3C469" w14:textId="77777777" w:rsidR="009A4D3E" w:rsidRPr="003B4C2A" w:rsidRDefault="009A4D3E" w:rsidP="002978F1">
            <w:pPr>
              <w:keepNext/>
              <w:keepLines/>
              <w:widowControl w:val="0"/>
              <w:spacing w:before="0" w:after="0"/>
              <w:rPr>
                <w:color w:val="4F81BD" w:themeColor="accent1"/>
              </w:rPr>
            </w:pPr>
            <w:r w:rsidRPr="003B4C2A">
              <w:rPr>
                <w:color w:val="4F81BD" w:themeColor="accent1"/>
              </w:rPr>
              <w:t>3.7–4.0</w:t>
            </w:r>
          </w:p>
        </w:tc>
        <w:tc>
          <w:tcPr>
            <w:tcW w:w="3006" w:type="dxa"/>
          </w:tcPr>
          <w:p w14:paraId="34B2EA47" w14:textId="77777777" w:rsidR="009A4D3E" w:rsidRPr="003B4C2A" w:rsidRDefault="009A4D3E" w:rsidP="002978F1">
            <w:pPr>
              <w:keepNext/>
              <w:keepLines/>
              <w:widowControl w:val="0"/>
              <w:spacing w:before="0" w:after="0"/>
              <w:rPr>
                <w:color w:val="4F81BD" w:themeColor="accent1"/>
              </w:rPr>
            </w:pPr>
            <w:r w:rsidRPr="003B4C2A">
              <w:rPr>
                <w:color w:val="4F81BD" w:themeColor="accent1"/>
              </w:rPr>
              <w:t>10.9–12.1</w:t>
            </w:r>
          </w:p>
        </w:tc>
      </w:tr>
      <w:tr w:rsidR="009A4D3E" w14:paraId="1CAB87DA" w14:textId="77777777" w:rsidTr="00345E2B">
        <w:tc>
          <w:tcPr>
            <w:tcW w:w="2618" w:type="dxa"/>
          </w:tcPr>
          <w:p w14:paraId="7CE4769B" w14:textId="77777777" w:rsidR="009A4D3E" w:rsidRPr="003B4C2A" w:rsidRDefault="009A4D3E" w:rsidP="002978F1">
            <w:pPr>
              <w:keepNext/>
              <w:keepLines/>
              <w:widowControl w:val="0"/>
              <w:spacing w:before="0" w:after="0"/>
              <w:rPr>
                <w:color w:val="4F81BD" w:themeColor="accent1"/>
              </w:rPr>
            </w:pPr>
            <w:r w:rsidRPr="003B4C2A">
              <w:rPr>
                <w:color w:val="4F81BD" w:themeColor="accent1"/>
              </w:rPr>
              <w:t>Re-bleeding</w:t>
            </w:r>
          </w:p>
        </w:tc>
        <w:tc>
          <w:tcPr>
            <w:tcW w:w="3005" w:type="dxa"/>
          </w:tcPr>
          <w:p w14:paraId="63A714EA" w14:textId="77777777" w:rsidR="009A4D3E" w:rsidRPr="003B4C2A" w:rsidRDefault="009A4D3E" w:rsidP="002978F1">
            <w:pPr>
              <w:keepNext/>
              <w:keepLines/>
              <w:widowControl w:val="0"/>
              <w:spacing w:before="0" w:after="0"/>
              <w:rPr>
                <w:color w:val="4F81BD" w:themeColor="accent1"/>
              </w:rPr>
            </w:pPr>
            <w:r w:rsidRPr="003B4C2A">
              <w:rPr>
                <w:color w:val="4F81BD" w:themeColor="accent1"/>
              </w:rPr>
              <w:t>2.6</w:t>
            </w:r>
          </w:p>
        </w:tc>
        <w:tc>
          <w:tcPr>
            <w:tcW w:w="3006" w:type="dxa"/>
          </w:tcPr>
          <w:p w14:paraId="1BDA318C" w14:textId="77777777" w:rsidR="009A4D3E" w:rsidRPr="003B4C2A" w:rsidRDefault="009A4D3E" w:rsidP="002978F1">
            <w:pPr>
              <w:keepNext/>
              <w:keepLines/>
              <w:widowControl w:val="0"/>
              <w:spacing w:before="0" w:after="0"/>
              <w:rPr>
                <w:color w:val="4F81BD" w:themeColor="accent1"/>
              </w:rPr>
            </w:pPr>
            <w:r w:rsidRPr="003B4C2A">
              <w:rPr>
                <w:color w:val="4F81BD" w:themeColor="accent1"/>
              </w:rPr>
              <w:t>0-0.9</w:t>
            </w:r>
          </w:p>
        </w:tc>
      </w:tr>
    </w:tbl>
    <w:p w14:paraId="7B876E50" w14:textId="564E3E64" w:rsidR="009A4D3E" w:rsidRDefault="009A4D3E" w:rsidP="009A4D3E">
      <w:pPr>
        <w:pStyle w:val="Tablenotes"/>
        <w:ind w:firstLine="284"/>
      </w:pPr>
      <w:r>
        <w:t xml:space="preserve">Source: Adapted from </w:t>
      </w:r>
      <w:proofErr w:type="spellStart"/>
      <w:r>
        <w:t>Keddy</w:t>
      </w:r>
      <w:proofErr w:type="spellEnd"/>
      <w:r>
        <w:t xml:space="preserve"> (2006)</w:t>
      </w:r>
    </w:p>
    <w:p w14:paraId="159FF524" w14:textId="77777777" w:rsidR="009A4D3E" w:rsidRDefault="009A4D3E" w:rsidP="009A4D3E">
      <w:pPr>
        <w:ind w:left="426"/>
      </w:pPr>
    </w:p>
    <w:p w14:paraId="348C2625" w14:textId="327A7A74" w:rsidR="009A4D3E" w:rsidRPr="003B4C2A" w:rsidRDefault="009A4D3E" w:rsidP="009A4D3E">
      <w:pPr>
        <w:ind w:left="426"/>
        <w:rPr>
          <w:color w:val="4F81BD" w:themeColor="accent1"/>
        </w:rPr>
      </w:pPr>
      <w:r w:rsidRPr="003B4C2A">
        <w:rPr>
          <w:color w:val="4F81BD" w:themeColor="accent1"/>
        </w:rPr>
        <w:t xml:space="preserve">The AHA/ASA suggests that FD may be considered in carefully selected cases and that this procedure may be performed at high-volume centres. However, these guidelines may not necessarily reflect current practice in Australia. </w:t>
      </w:r>
      <w:r w:rsidR="00566D3A" w:rsidRPr="003B4C2A">
        <w:rPr>
          <w:color w:val="4F81BD" w:themeColor="accent1"/>
        </w:rPr>
        <w:t xml:space="preserve">In addition, the clinical evidence base for flow diversion has evolved considerably since these guidelines were produced. </w:t>
      </w:r>
      <w:r w:rsidR="009732EB" w:rsidRPr="003B4C2A">
        <w:rPr>
          <w:color w:val="4F81BD" w:themeColor="accent1"/>
        </w:rPr>
        <w:t xml:space="preserve">The Pipeline for </w:t>
      </w:r>
      <w:proofErr w:type="spellStart"/>
      <w:r w:rsidR="009732EB" w:rsidRPr="003B4C2A">
        <w:rPr>
          <w:color w:val="4F81BD" w:themeColor="accent1"/>
        </w:rPr>
        <w:t>Uncoilable</w:t>
      </w:r>
      <w:proofErr w:type="spellEnd"/>
      <w:r w:rsidR="009732EB" w:rsidRPr="003B4C2A">
        <w:rPr>
          <w:color w:val="4F81BD" w:themeColor="accent1"/>
        </w:rPr>
        <w:t xml:space="preserve"> or Failed Aneurysms (PUF</w:t>
      </w:r>
      <w:r w:rsidR="00A72581" w:rsidRPr="003B4C2A">
        <w:rPr>
          <w:color w:val="4F81BD" w:themeColor="accent1"/>
        </w:rPr>
        <w:t>S</w:t>
      </w:r>
      <w:r w:rsidR="009732EB" w:rsidRPr="003B4C2A">
        <w:rPr>
          <w:color w:val="4F81BD" w:themeColor="accent1"/>
        </w:rPr>
        <w:t>) trial provides 5-year data that supports the long-term effectiveness and safety of FDD in UIAs (</w:t>
      </w:r>
      <w:proofErr w:type="spellStart"/>
      <w:r w:rsidR="009732EB" w:rsidRPr="003B4C2A">
        <w:rPr>
          <w:color w:val="4F81BD" w:themeColor="accent1"/>
        </w:rPr>
        <w:t>Becske</w:t>
      </w:r>
      <w:proofErr w:type="spellEnd"/>
      <w:r w:rsidR="009732EB" w:rsidRPr="003B4C2A">
        <w:rPr>
          <w:color w:val="4F81BD" w:themeColor="accent1"/>
        </w:rPr>
        <w:t xml:space="preserve"> et al 2017).</w:t>
      </w:r>
      <w:r w:rsidR="002510D0" w:rsidRPr="003B4C2A">
        <w:rPr>
          <w:color w:val="4F81BD" w:themeColor="accent1"/>
        </w:rPr>
        <w:t xml:space="preserve"> </w:t>
      </w:r>
      <w:r w:rsidRPr="003B4C2A">
        <w:rPr>
          <w:color w:val="4F81BD" w:themeColor="accent1"/>
        </w:rPr>
        <w:t xml:space="preserve">Therefore, to inform the management of ICAs in Australia, key opinion leaders (KOLs) that treat these patients were consulted (interventional neuroradiologist [INR]). The resulting clinical pathway is provided in </w:t>
      </w:r>
      <w:r w:rsidR="00C13947" w:rsidRPr="003B4C2A">
        <w:rPr>
          <w:color w:val="4F81BD" w:themeColor="accent1"/>
        </w:rPr>
        <w:fldChar w:fldCharType="begin"/>
      </w:r>
      <w:r w:rsidR="00C13947" w:rsidRPr="003B4C2A">
        <w:rPr>
          <w:color w:val="4F81BD" w:themeColor="accent1"/>
        </w:rPr>
        <w:instrText xml:space="preserve"> REF _Ref516232328 \h </w:instrText>
      </w:r>
      <w:r w:rsidR="00C13947" w:rsidRPr="003B4C2A">
        <w:rPr>
          <w:color w:val="4F81BD" w:themeColor="accent1"/>
        </w:rPr>
      </w:r>
      <w:r w:rsidR="00C13947" w:rsidRPr="003B4C2A">
        <w:rPr>
          <w:color w:val="4F81BD" w:themeColor="accent1"/>
        </w:rPr>
        <w:fldChar w:fldCharType="separate"/>
      </w:r>
      <w:r w:rsidR="008335FD" w:rsidRPr="003B4C2A">
        <w:rPr>
          <w:color w:val="4F81BD" w:themeColor="accent1"/>
        </w:rPr>
        <w:t xml:space="preserve">Figure </w:t>
      </w:r>
      <w:r w:rsidR="008335FD" w:rsidRPr="003B4C2A">
        <w:rPr>
          <w:noProof/>
          <w:color w:val="4F81BD" w:themeColor="accent1"/>
        </w:rPr>
        <w:t>5</w:t>
      </w:r>
      <w:r w:rsidR="00C13947" w:rsidRPr="003B4C2A">
        <w:rPr>
          <w:color w:val="4F81BD" w:themeColor="accent1"/>
        </w:rPr>
        <w:fldChar w:fldCharType="end"/>
      </w:r>
      <w:r w:rsidR="00C13947" w:rsidRPr="003B4C2A">
        <w:rPr>
          <w:color w:val="4F81BD" w:themeColor="accent1"/>
        </w:rPr>
        <w:t xml:space="preserve"> </w:t>
      </w:r>
      <w:r w:rsidRPr="003B4C2A">
        <w:rPr>
          <w:color w:val="4F81BD" w:themeColor="accent1"/>
        </w:rPr>
        <w:t xml:space="preserve">(Appendix 1). The pathway focuses on UIAs, because very few ruptured ICAs would currently be considered for FDD in Australia. </w:t>
      </w:r>
      <w:r w:rsidR="006A7FD1" w:rsidRPr="003B4C2A">
        <w:rPr>
          <w:color w:val="4F81BD" w:themeColor="accent1"/>
        </w:rPr>
        <w:t>This in part is explained by the requirement of dual antiplatelet therapy 6-12 months post</w:t>
      </w:r>
      <w:r w:rsidR="00A72581" w:rsidRPr="003B4C2A">
        <w:rPr>
          <w:color w:val="4F81BD" w:themeColor="accent1"/>
        </w:rPr>
        <w:t xml:space="preserve"> FDD</w:t>
      </w:r>
      <w:r w:rsidR="006A7FD1" w:rsidRPr="003B4C2A">
        <w:rPr>
          <w:color w:val="4F81BD" w:themeColor="accent1"/>
        </w:rPr>
        <w:t xml:space="preserve"> procedure, which is </w:t>
      </w:r>
      <w:proofErr w:type="gramStart"/>
      <w:r w:rsidR="00A72581" w:rsidRPr="003B4C2A">
        <w:rPr>
          <w:color w:val="4F81BD" w:themeColor="accent1"/>
        </w:rPr>
        <w:t>best</w:t>
      </w:r>
      <w:proofErr w:type="gramEnd"/>
      <w:r w:rsidR="00A72581" w:rsidRPr="003B4C2A">
        <w:rPr>
          <w:color w:val="4F81BD" w:themeColor="accent1"/>
        </w:rPr>
        <w:t xml:space="preserve"> avoided </w:t>
      </w:r>
      <w:r w:rsidR="006A7FD1" w:rsidRPr="003B4C2A">
        <w:rPr>
          <w:color w:val="4F81BD" w:themeColor="accent1"/>
        </w:rPr>
        <w:t xml:space="preserve">in patients with bleeding. </w:t>
      </w:r>
    </w:p>
    <w:p w14:paraId="7FA01887" w14:textId="77777777" w:rsidR="009A4D3E" w:rsidRPr="003B4C2A" w:rsidRDefault="009A4D3E" w:rsidP="009A4D3E">
      <w:pPr>
        <w:ind w:left="426"/>
        <w:rPr>
          <w:color w:val="4F81BD" w:themeColor="accent1"/>
        </w:rPr>
      </w:pPr>
      <w:r w:rsidRPr="003B4C2A">
        <w:rPr>
          <w:color w:val="4F81BD" w:themeColor="accent1"/>
        </w:rPr>
        <w:t xml:space="preserve">The majority of aneurysms &lt; 10 mm are considered suitable for surgical or endovascular treatment. Aneurysm morphology determines the most appropriate treatment option in these patients. Patients with complex anatomy, those aneurysms that have wide necks (&gt; 4 mm), are fusiform or dysplastic are mostly managed using coiling with or without stent placement. Few patients with aneurysm &lt; 10 mm, with complex anatomy are treated using microsurgical clipping. Both coiling and clipping are not ideal treatments in these types of aneurysms because the shape of the aneurysm means there is no distinct neck around which to fix the clip or that will keep the coils contained within the aneurysm. Coiling these aneurysms may require stent placement and/or require use of balloon remodelling. In contrast, FDD allows for vessel reconstruction with the aneurysms being excluded from the circulation and is suitable for aneurysms with complex anatomy. Consistent with KOL advice, FDD represents a treatment alternative in patients with aneurysms &lt; 10 mm with complex anatomy. </w:t>
      </w:r>
    </w:p>
    <w:p w14:paraId="3BD9F0FF" w14:textId="7CEAE758" w:rsidR="009A4D3E" w:rsidRPr="003B4C2A" w:rsidRDefault="009A4D3E" w:rsidP="009A4D3E">
      <w:pPr>
        <w:ind w:left="426"/>
        <w:rPr>
          <w:color w:val="4F81BD" w:themeColor="accent1"/>
        </w:rPr>
      </w:pPr>
      <w:r w:rsidRPr="003B4C2A">
        <w:rPr>
          <w:color w:val="4F81BD" w:themeColor="accent1"/>
        </w:rPr>
        <w:t xml:space="preserve">Saccular aneurysms with narrow neck are mostly managed with coiling. The narrow neck means the coils can be contained in the aneurysm without requiring additional stents. KOL input suggests there is not a great clinical need of FDD as an alternative for the treatment of aneurysms with narrow neck, because these types of aneurysms are amenable to coiling as discussed above. </w:t>
      </w:r>
      <w:r w:rsidR="00AC2664" w:rsidRPr="003B4C2A">
        <w:rPr>
          <w:color w:val="4F81BD" w:themeColor="accent1"/>
        </w:rPr>
        <w:t xml:space="preserve">Whilst FDD requires </w:t>
      </w:r>
      <w:r w:rsidR="002510D0" w:rsidRPr="003B4C2A">
        <w:rPr>
          <w:color w:val="4F81BD" w:themeColor="accent1"/>
        </w:rPr>
        <w:t xml:space="preserve">administration of </w:t>
      </w:r>
      <w:r w:rsidR="00AC2664" w:rsidRPr="003B4C2A">
        <w:rPr>
          <w:color w:val="4F81BD" w:themeColor="accent1"/>
        </w:rPr>
        <w:t xml:space="preserve">dual </w:t>
      </w:r>
      <w:proofErr w:type="spellStart"/>
      <w:r w:rsidR="00AC2664" w:rsidRPr="003B4C2A">
        <w:rPr>
          <w:color w:val="4F81BD" w:themeColor="accent1"/>
        </w:rPr>
        <w:t>antiplatelets</w:t>
      </w:r>
      <w:proofErr w:type="spellEnd"/>
      <w:r w:rsidR="00AC2664" w:rsidRPr="003B4C2A">
        <w:rPr>
          <w:color w:val="4F81BD" w:themeColor="accent1"/>
        </w:rPr>
        <w:t xml:space="preserve"> </w:t>
      </w:r>
      <w:r w:rsidR="00B80068" w:rsidRPr="003B4C2A">
        <w:rPr>
          <w:color w:val="4F81BD" w:themeColor="accent1"/>
        </w:rPr>
        <w:t xml:space="preserve">6-12 months </w:t>
      </w:r>
      <w:r w:rsidR="002510D0" w:rsidRPr="003B4C2A">
        <w:rPr>
          <w:color w:val="4F81BD" w:themeColor="accent1"/>
        </w:rPr>
        <w:t xml:space="preserve">post-procedure </w:t>
      </w:r>
      <w:r w:rsidR="00AC2664" w:rsidRPr="003B4C2A">
        <w:rPr>
          <w:color w:val="4F81BD" w:themeColor="accent1"/>
        </w:rPr>
        <w:t>coiling does not</w:t>
      </w:r>
      <w:r w:rsidR="004E2836" w:rsidRPr="003B4C2A">
        <w:rPr>
          <w:color w:val="4F81BD" w:themeColor="accent1"/>
        </w:rPr>
        <w:t xml:space="preserve"> (unless stent-assisted)</w:t>
      </w:r>
      <w:r w:rsidR="00AC2664" w:rsidRPr="003B4C2A">
        <w:rPr>
          <w:color w:val="4F81BD" w:themeColor="accent1"/>
        </w:rPr>
        <w:t xml:space="preserve"> </w:t>
      </w:r>
      <w:r w:rsidR="002510D0" w:rsidRPr="003B4C2A">
        <w:rPr>
          <w:color w:val="4F81BD" w:themeColor="accent1"/>
        </w:rPr>
        <w:t>which makes</w:t>
      </w:r>
      <w:r w:rsidR="00AC2664" w:rsidRPr="003B4C2A">
        <w:rPr>
          <w:color w:val="4F81BD" w:themeColor="accent1"/>
        </w:rPr>
        <w:t xml:space="preserve"> coiling the </w:t>
      </w:r>
      <w:r w:rsidR="002510D0" w:rsidRPr="003B4C2A">
        <w:rPr>
          <w:color w:val="4F81BD" w:themeColor="accent1"/>
        </w:rPr>
        <w:t>preferred</w:t>
      </w:r>
      <w:r w:rsidR="00AC2664" w:rsidRPr="003B4C2A">
        <w:rPr>
          <w:color w:val="4F81BD" w:themeColor="accent1"/>
        </w:rPr>
        <w:t xml:space="preserve"> treatment option in aneurysms with narrow neck</w:t>
      </w:r>
      <w:r w:rsidR="004E2836" w:rsidRPr="003B4C2A">
        <w:rPr>
          <w:color w:val="4F81BD" w:themeColor="accent1"/>
        </w:rPr>
        <w:t xml:space="preserve"> suitable for endovascular treatment</w:t>
      </w:r>
      <w:r w:rsidR="00AC2664" w:rsidRPr="003B4C2A">
        <w:rPr>
          <w:color w:val="4F81BD" w:themeColor="accent1"/>
        </w:rPr>
        <w:t>.</w:t>
      </w:r>
    </w:p>
    <w:p w14:paraId="32FF4D84" w14:textId="77777777" w:rsidR="009A4D3E" w:rsidRPr="003B4C2A" w:rsidRDefault="009A4D3E" w:rsidP="009A4D3E">
      <w:pPr>
        <w:ind w:left="426"/>
        <w:rPr>
          <w:color w:val="4F81BD" w:themeColor="accent1"/>
        </w:rPr>
      </w:pPr>
      <w:r w:rsidRPr="003B4C2A">
        <w:rPr>
          <w:color w:val="4F81BD" w:themeColor="accent1"/>
        </w:rPr>
        <w:t>A small proportion of patients with aneurysms &lt; 10 mm have incidental aneurysms that are &lt;7 mm in size, and/or have no apparent risk factors for rupture. These patients are managed conservatively with periodic monitoring and would only require treatment if the size or shape of the aneurysm alters.</w:t>
      </w:r>
    </w:p>
    <w:p w14:paraId="074D837E" w14:textId="77777777" w:rsidR="009A4D3E" w:rsidRPr="003B4C2A" w:rsidRDefault="009A4D3E" w:rsidP="009A4D3E">
      <w:pPr>
        <w:ind w:left="426"/>
        <w:rPr>
          <w:color w:val="4F81BD" w:themeColor="accent1"/>
        </w:rPr>
      </w:pPr>
      <w:r w:rsidRPr="003B4C2A">
        <w:rPr>
          <w:color w:val="4F81BD" w:themeColor="accent1"/>
        </w:rPr>
        <w:t>The majority of aneurysms ≥ 10 mm are also suitable for endovascular therapy or surgery. According to KOL feedback, the majority of these aneurysms are currently treated with coiling with or without stent placement, with some aneurysms treated with microsurgical clipping. Being a disruptive treatment that redirects blood flow away from the aneurysm, promoting growth of new endothelial lining across the aneurysm opening, FD represents a favourable treatment alternative in these patients. Compared with coiling, FDD is associated with higher occlusion rates and lower retreatment rates in this population (</w:t>
      </w:r>
      <w:bookmarkStart w:id="12" w:name="_Hlk516219995"/>
      <w:proofErr w:type="spellStart"/>
      <w:r w:rsidRPr="003B4C2A">
        <w:rPr>
          <w:color w:val="4F81BD" w:themeColor="accent1"/>
        </w:rPr>
        <w:t>Chalouhi</w:t>
      </w:r>
      <w:proofErr w:type="spellEnd"/>
      <w:r w:rsidRPr="003B4C2A">
        <w:rPr>
          <w:color w:val="4F81BD" w:themeColor="accent1"/>
        </w:rPr>
        <w:t xml:space="preserve"> et al 2013b</w:t>
      </w:r>
      <w:bookmarkEnd w:id="12"/>
      <w:r w:rsidRPr="003B4C2A">
        <w:rPr>
          <w:color w:val="4F81BD" w:themeColor="accent1"/>
        </w:rPr>
        <w:t xml:space="preserve">). </w:t>
      </w:r>
    </w:p>
    <w:p w14:paraId="43BA37A3" w14:textId="479F0C96" w:rsidR="009A4D3E" w:rsidRPr="003B4C2A" w:rsidRDefault="009A4D3E" w:rsidP="009A4D3E">
      <w:pPr>
        <w:ind w:left="426"/>
        <w:rPr>
          <w:color w:val="4F81BD" w:themeColor="accent1"/>
        </w:rPr>
      </w:pPr>
      <w:r w:rsidRPr="003B4C2A">
        <w:rPr>
          <w:color w:val="4F81BD" w:themeColor="accent1"/>
        </w:rPr>
        <w:lastRenderedPageBreak/>
        <w:t>A small proportion of aneurysm ≥ 10 mm are not suitable for surgery or coiling. The aneurysms that tend not to be suitable for either surgery or coiling are the giant fusiform aneurysms arising at the skull base. These can be chronic dissecting aneurysms of the carotid or giant cavernous carotid aneurysms. When large enough, these aneurysms cause pressure on the nerves in the cavernous sinus, cranial nerves 3</w:t>
      </w:r>
      <w:proofErr w:type="gramStart"/>
      <w:r w:rsidRPr="003B4C2A">
        <w:rPr>
          <w:color w:val="4F81BD" w:themeColor="accent1"/>
        </w:rPr>
        <w:t>,4</w:t>
      </w:r>
      <w:proofErr w:type="gramEnd"/>
      <w:r w:rsidRPr="003B4C2A">
        <w:rPr>
          <w:color w:val="4F81BD" w:themeColor="accent1"/>
        </w:rPr>
        <w:t xml:space="preserve"> and 6, causing paralysis of the eye muscles which results in double vision. These aneurysms are usually managed conservatively as all currently reimbursed treatment options are associated with risks. Coiling these aneurysms may increase the pressure on the nerves in turn worsening the symptoms. Microsurgical clipping of these aneurysms is invasive and requires major bypass. Carotid sacrifice of the vessel is associated with a 15-25% major stroke risk (KOL feedback). FDD provides a treatment option for these aneurysms that would otherwise be left untreated. Insertion of a FDD allows for reconstruction of the vessel, and by excluding the blood flow to the aneurysm results in shrinking of the aneurysm, thereby reducing the pressure and alleviating the symptoms at a lower procedural risk than clipping or vessel sacrifice. </w:t>
      </w:r>
    </w:p>
    <w:p w14:paraId="4EB69A7C" w14:textId="02C51E07" w:rsidR="00E57079" w:rsidRPr="003B4C2A" w:rsidRDefault="00E57079" w:rsidP="00E57079">
      <w:pPr>
        <w:ind w:left="426"/>
        <w:rPr>
          <w:color w:val="4F81BD" w:themeColor="accent1"/>
        </w:rPr>
      </w:pPr>
      <w:r w:rsidRPr="003B4C2A">
        <w:rPr>
          <w:color w:val="4F81BD" w:themeColor="accent1"/>
        </w:rPr>
        <w:t xml:space="preserve">As discussed in Q.24, according to KOL feedback, patients with previously treated intracranial aneurysms of any size that have </w:t>
      </w:r>
      <w:proofErr w:type="spellStart"/>
      <w:r w:rsidRPr="003B4C2A">
        <w:rPr>
          <w:color w:val="4F81BD" w:themeColor="accent1"/>
        </w:rPr>
        <w:t>recanalized</w:t>
      </w:r>
      <w:proofErr w:type="spellEnd"/>
      <w:r w:rsidRPr="003B4C2A">
        <w:rPr>
          <w:color w:val="4F81BD" w:themeColor="accent1"/>
        </w:rPr>
        <w:t xml:space="preserve"> and require retreatment are also ideal candidates for FDD. These aneurysms are particularly difficult to treat with coiling because as a results of the recanalization, a sharp corner is often formed, also called a ‘dog ear’, which is very hard to get a coil to fit into. As such, a high clinical need for an effective and safe re-treatment option therefore exists. </w:t>
      </w:r>
    </w:p>
    <w:p w14:paraId="59F55143" w14:textId="77777777" w:rsidR="009A4D3E" w:rsidRPr="003B4C2A" w:rsidRDefault="009A4D3E" w:rsidP="009A4D3E">
      <w:pPr>
        <w:ind w:left="426"/>
        <w:rPr>
          <w:color w:val="4F81BD" w:themeColor="accent1"/>
        </w:rPr>
      </w:pPr>
      <w:r w:rsidRPr="003B4C2A">
        <w:rPr>
          <w:color w:val="4F81BD" w:themeColor="accent1"/>
        </w:rPr>
        <w:t>Therefore, consistent with KOL feedback, there are three main population groups for which a clinical need for FDD exists:</w:t>
      </w:r>
    </w:p>
    <w:p w14:paraId="333B6A81" w14:textId="77777777" w:rsidR="009A4D3E" w:rsidRPr="003B4C2A" w:rsidRDefault="009A4D3E" w:rsidP="009A4D3E">
      <w:pPr>
        <w:pStyle w:val="ListParagraph"/>
        <w:numPr>
          <w:ilvl w:val="0"/>
          <w:numId w:val="40"/>
        </w:numPr>
        <w:rPr>
          <w:color w:val="4F81BD" w:themeColor="accent1"/>
        </w:rPr>
      </w:pPr>
      <w:bookmarkStart w:id="13" w:name="_Hlk515455370"/>
      <w:r w:rsidRPr="003B4C2A">
        <w:rPr>
          <w:color w:val="4F81BD" w:themeColor="accent1"/>
        </w:rPr>
        <w:t>Patients with complex aneurysms (&lt; 10 mm), suitable for endovascular or surgical therapy, with wide neck (&gt; 4 mm), fusiform or dysplastic morphology.</w:t>
      </w:r>
    </w:p>
    <w:p w14:paraId="0971B7AD" w14:textId="77777777" w:rsidR="009A4D3E" w:rsidRPr="003B4C2A" w:rsidRDefault="009A4D3E" w:rsidP="009A4D3E">
      <w:pPr>
        <w:pStyle w:val="ListParagraph"/>
        <w:numPr>
          <w:ilvl w:val="0"/>
          <w:numId w:val="40"/>
        </w:numPr>
        <w:rPr>
          <w:color w:val="4F81BD" w:themeColor="accent1"/>
        </w:rPr>
      </w:pPr>
      <w:r w:rsidRPr="003B4C2A">
        <w:rPr>
          <w:color w:val="4F81BD" w:themeColor="accent1"/>
        </w:rPr>
        <w:t>Patients with large aneurysms (≥ 10 mm), suitable for endovascular or surgical therapy.</w:t>
      </w:r>
    </w:p>
    <w:p w14:paraId="6AA00F08" w14:textId="69FCAD5C" w:rsidR="009A4D3E" w:rsidRPr="003B4C2A" w:rsidRDefault="009A4D3E" w:rsidP="009A4D3E">
      <w:pPr>
        <w:pStyle w:val="ListParagraph"/>
        <w:numPr>
          <w:ilvl w:val="0"/>
          <w:numId w:val="40"/>
        </w:numPr>
        <w:rPr>
          <w:color w:val="4F81BD" w:themeColor="accent1"/>
        </w:rPr>
      </w:pPr>
      <w:r w:rsidRPr="003B4C2A">
        <w:rPr>
          <w:color w:val="4F81BD" w:themeColor="accent1"/>
        </w:rPr>
        <w:t>Patients with large aneurysms (≥ 10 mm), unsuitable for coiling, clipping or parent vessel occlusion typically giant fusiform aneurysms arising at the skull base.</w:t>
      </w:r>
    </w:p>
    <w:p w14:paraId="4190DFCB" w14:textId="77777777" w:rsidR="00E57079" w:rsidRPr="003B4C2A" w:rsidRDefault="00E57079" w:rsidP="00E57079">
      <w:pPr>
        <w:pStyle w:val="ListParagraph"/>
        <w:numPr>
          <w:ilvl w:val="0"/>
          <w:numId w:val="40"/>
        </w:numPr>
        <w:rPr>
          <w:color w:val="4F81BD" w:themeColor="accent1"/>
        </w:rPr>
      </w:pPr>
      <w:r w:rsidRPr="003B4C2A">
        <w:rPr>
          <w:color w:val="4F81BD" w:themeColor="accent1"/>
        </w:rPr>
        <w:t xml:space="preserve">Patients with previously treated intracranial aneurysms of any size that have </w:t>
      </w:r>
      <w:proofErr w:type="spellStart"/>
      <w:r w:rsidRPr="003B4C2A">
        <w:rPr>
          <w:color w:val="4F81BD" w:themeColor="accent1"/>
        </w:rPr>
        <w:t>recanalized</w:t>
      </w:r>
      <w:proofErr w:type="spellEnd"/>
      <w:r w:rsidRPr="003B4C2A">
        <w:rPr>
          <w:color w:val="4F81BD" w:themeColor="accent1"/>
        </w:rPr>
        <w:t xml:space="preserve"> and require retreatment.</w:t>
      </w:r>
    </w:p>
    <w:p w14:paraId="3F23456E" w14:textId="77777777" w:rsidR="0096631E" w:rsidRPr="003B4C2A" w:rsidRDefault="0096631E" w:rsidP="0096631E">
      <w:pPr>
        <w:rPr>
          <w:color w:val="4F81BD" w:themeColor="accent1"/>
        </w:rPr>
      </w:pPr>
    </w:p>
    <w:bookmarkEnd w:id="13"/>
    <w:p w14:paraId="37730D84" w14:textId="77777777" w:rsidR="002A50FD" w:rsidRPr="00881F93" w:rsidRDefault="005C3AE7" w:rsidP="005C3AE7">
      <w:pPr>
        <w:pStyle w:val="Subtitle"/>
      </w:pPr>
      <w:r>
        <w:t xml:space="preserve">PART 6b – </w:t>
      </w:r>
      <w:r w:rsidR="002A50FD" w:rsidRPr="00881F93">
        <w:t>INFORMATION ABOUT THE INTERVENTION</w:t>
      </w:r>
    </w:p>
    <w:p w14:paraId="53DA62A9"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0A55AFF0" w14:textId="61C3A113" w:rsidR="00745A50" w:rsidRPr="003B4C2A" w:rsidRDefault="00745A50" w:rsidP="00745A50">
      <w:pPr>
        <w:ind w:left="284"/>
        <w:rPr>
          <w:color w:val="4F81BD" w:themeColor="accent1"/>
        </w:rPr>
      </w:pPr>
      <w:r w:rsidRPr="003B4C2A">
        <w:rPr>
          <w:color w:val="4F81BD" w:themeColor="accent1"/>
        </w:rPr>
        <w:t>The proposed medical service is the endovascular insertion of a wire-mesh FDD within the parent vessel spanning across the neck of the UIA. The FDD allows for flow through the parent vessel to be preserved whilst reducing blood flow into the aneurysm</w:t>
      </w:r>
      <w:r w:rsidR="007F2E6F" w:rsidRPr="003B4C2A">
        <w:rPr>
          <w:color w:val="4F81BD" w:themeColor="accent1"/>
        </w:rPr>
        <w:t xml:space="preserve"> (</w:t>
      </w:r>
      <w:r w:rsidR="007F2E6F" w:rsidRPr="003B4C2A">
        <w:rPr>
          <w:color w:val="4F81BD" w:themeColor="accent1"/>
        </w:rPr>
        <w:fldChar w:fldCharType="begin"/>
      </w:r>
      <w:r w:rsidR="007F2E6F" w:rsidRPr="003B4C2A">
        <w:rPr>
          <w:color w:val="4F81BD" w:themeColor="accent1"/>
        </w:rPr>
        <w:instrText xml:space="preserve"> REF _Ref515526019 \h </w:instrText>
      </w:r>
      <w:r w:rsidR="007F2E6F" w:rsidRPr="003B4C2A">
        <w:rPr>
          <w:color w:val="4F81BD" w:themeColor="accent1"/>
        </w:rPr>
      </w:r>
      <w:r w:rsidR="007F2E6F" w:rsidRPr="003B4C2A">
        <w:rPr>
          <w:color w:val="4F81BD" w:themeColor="accent1"/>
        </w:rPr>
        <w:fldChar w:fldCharType="separate"/>
      </w:r>
      <w:r w:rsidR="008335FD" w:rsidRPr="003B4C2A">
        <w:rPr>
          <w:color w:val="4F81BD" w:themeColor="accent1"/>
        </w:rPr>
        <w:t xml:space="preserve">Figure </w:t>
      </w:r>
      <w:r w:rsidR="008335FD" w:rsidRPr="003B4C2A">
        <w:rPr>
          <w:noProof/>
          <w:color w:val="4F81BD" w:themeColor="accent1"/>
        </w:rPr>
        <w:t>2</w:t>
      </w:r>
      <w:r w:rsidR="007F2E6F" w:rsidRPr="003B4C2A">
        <w:rPr>
          <w:color w:val="4F81BD" w:themeColor="accent1"/>
        </w:rPr>
        <w:fldChar w:fldCharType="end"/>
      </w:r>
      <w:r w:rsidR="007F2E6F" w:rsidRPr="003B4C2A">
        <w:rPr>
          <w:color w:val="4F81BD" w:themeColor="accent1"/>
        </w:rPr>
        <w:t>)</w:t>
      </w:r>
      <w:r w:rsidRPr="003B4C2A">
        <w:rPr>
          <w:color w:val="4F81BD" w:themeColor="accent1"/>
        </w:rPr>
        <w:t xml:space="preserve">. </w:t>
      </w:r>
    </w:p>
    <w:p w14:paraId="3517C194" w14:textId="370BCB7B" w:rsidR="00745A50" w:rsidRPr="003B4C2A" w:rsidRDefault="00745A50" w:rsidP="00745A50">
      <w:pPr>
        <w:ind w:left="284"/>
        <w:rPr>
          <w:color w:val="4F81BD" w:themeColor="accent1"/>
        </w:rPr>
      </w:pPr>
      <w:r w:rsidRPr="003B4C2A">
        <w:rPr>
          <w:color w:val="4F81BD" w:themeColor="accent1"/>
        </w:rPr>
        <w:t xml:space="preserve">The reduction of blood flow from the parent artery into the aneurysm results in the blood within the aneurysm becoming stagnant and consequently undergoes thrombosis. This process promotes the generation of a new endothelium that eventually covers the aneurysm ostium, permanently excluding the aneurysm from the circulation. Excluding the aneurysm from the circulation removes the risk of rupture and thus prevents potentially fatal outcomes. </w:t>
      </w:r>
      <w:r w:rsidR="00A72581" w:rsidRPr="003B4C2A">
        <w:rPr>
          <w:color w:val="4F81BD" w:themeColor="accent1"/>
        </w:rPr>
        <w:t>The reduction in blood flow in the aneurysm commences almost immediately with 73.5% of aneurysms occluded at 12 months and 95.2% by 5 years (</w:t>
      </w:r>
      <w:proofErr w:type="spellStart"/>
      <w:r w:rsidR="00A72581" w:rsidRPr="003B4C2A">
        <w:rPr>
          <w:color w:val="4F81BD" w:themeColor="accent1"/>
        </w:rPr>
        <w:t>Becske</w:t>
      </w:r>
      <w:proofErr w:type="spellEnd"/>
      <w:r w:rsidR="00A72581" w:rsidRPr="003B4C2A">
        <w:rPr>
          <w:color w:val="4F81BD" w:themeColor="accent1"/>
        </w:rPr>
        <w:t xml:space="preserve"> 2017).</w:t>
      </w:r>
    </w:p>
    <w:p w14:paraId="60FECFB1" w14:textId="31B8E276" w:rsidR="00503E7C" w:rsidRPr="003B4C2A" w:rsidRDefault="00745A50" w:rsidP="00CC32FE">
      <w:pPr>
        <w:ind w:left="284"/>
        <w:rPr>
          <w:color w:val="4F81BD" w:themeColor="accent1"/>
        </w:rPr>
      </w:pPr>
      <w:r w:rsidRPr="003B4C2A">
        <w:rPr>
          <w:color w:val="4F81BD" w:themeColor="accent1"/>
        </w:rPr>
        <w:t>The procedure is generally performed under general anaesthesia</w:t>
      </w:r>
      <w:r w:rsidR="00B73325" w:rsidRPr="003B4C2A">
        <w:rPr>
          <w:color w:val="4F81BD" w:themeColor="accent1"/>
        </w:rPr>
        <w:t xml:space="preserve"> but depending on the complexity of the procedure and the medical condition of the patient </w:t>
      </w:r>
      <w:r w:rsidR="00503E7C" w:rsidRPr="003B4C2A">
        <w:rPr>
          <w:color w:val="4F81BD" w:themeColor="accent1"/>
        </w:rPr>
        <w:t>may be performed using sedation.</w:t>
      </w:r>
      <w:r w:rsidRPr="003B4C2A">
        <w:rPr>
          <w:color w:val="4F81BD" w:themeColor="accent1"/>
        </w:rPr>
        <w:t xml:space="preserve"> </w:t>
      </w:r>
      <w:r w:rsidR="00503E7C" w:rsidRPr="003B4C2A">
        <w:rPr>
          <w:color w:val="4F81BD" w:themeColor="accent1"/>
        </w:rPr>
        <w:t xml:space="preserve">The patient is placed back down on an x-ray table. Heparin is injected throughout the procedure to prevent blood clots from forming. </w:t>
      </w:r>
    </w:p>
    <w:p w14:paraId="09E06206" w14:textId="3C7CD7AE" w:rsidR="00B73325" w:rsidRPr="003B4C2A" w:rsidRDefault="00B73325" w:rsidP="00CC32FE">
      <w:pPr>
        <w:ind w:left="284"/>
        <w:rPr>
          <w:color w:val="4F81BD" w:themeColor="accent1"/>
        </w:rPr>
      </w:pPr>
      <w:r w:rsidRPr="003B4C2A">
        <w:rPr>
          <w:color w:val="4F81BD" w:themeColor="accent1"/>
        </w:rPr>
        <w:t>Using standard interventional radiographic technique, the micro catheter</w:t>
      </w:r>
      <w:r w:rsidR="00503E7C" w:rsidRPr="003B4C2A">
        <w:rPr>
          <w:color w:val="4F81BD" w:themeColor="accent1"/>
        </w:rPr>
        <w:t xml:space="preserve"> is passed through the femoral artery and advanced so that the</w:t>
      </w:r>
      <w:r w:rsidRPr="003B4C2A">
        <w:rPr>
          <w:color w:val="4F81BD" w:themeColor="accent1"/>
        </w:rPr>
        <w:t xml:space="preserve"> tip is placed ≥ 20 mm past the distal edge of the aneurysm. Prior to inserting of the FDD such as Pipeline, the micro catheter is gently retracted to reduce the slack </w:t>
      </w:r>
      <w:r w:rsidR="00CC32FE" w:rsidRPr="003B4C2A">
        <w:rPr>
          <w:color w:val="4F81BD" w:themeColor="accent1"/>
        </w:rPr>
        <w:t>in the</w:t>
      </w:r>
      <w:r w:rsidRPr="003B4C2A">
        <w:rPr>
          <w:color w:val="4F81BD" w:themeColor="accent1"/>
        </w:rPr>
        <w:t xml:space="preserve"> micro catheter. The FDD device size is selected to match the labelled diameter to the target vessel diameter. </w:t>
      </w:r>
    </w:p>
    <w:p w14:paraId="6D16D6FF" w14:textId="03336476" w:rsidR="00745A50" w:rsidRPr="003B4C2A" w:rsidRDefault="00503E7C" w:rsidP="00CC32FE">
      <w:pPr>
        <w:ind w:left="284"/>
        <w:rPr>
          <w:color w:val="4F81BD" w:themeColor="accent1"/>
        </w:rPr>
      </w:pPr>
      <w:r w:rsidRPr="003B4C2A">
        <w:rPr>
          <w:color w:val="4F81BD" w:themeColor="accent1"/>
        </w:rPr>
        <w:t>Once the FDD h</w:t>
      </w:r>
      <w:r w:rsidR="00CC32FE" w:rsidRPr="003B4C2A">
        <w:rPr>
          <w:color w:val="4F81BD" w:themeColor="accent1"/>
        </w:rPr>
        <w:t>as</w:t>
      </w:r>
      <w:r w:rsidRPr="003B4C2A">
        <w:rPr>
          <w:color w:val="4F81BD" w:themeColor="accent1"/>
        </w:rPr>
        <w:t xml:space="preserve"> been placed, the catheter is removed. Pressure is applied to the groin area for about 10 to 15 minutes so that the artery won't bleed. A bandage is tightly applied to the incision.</w:t>
      </w:r>
    </w:p>
    <w:p w14:paraId="3C408379" w14:textId="2B28F655" w:rsidR="00503E7C" w:rsidRPr="003B4C2A" w:rsidRDefault="00503E7C" w:rsidP="00CC32FE">
      <w:pPr>
        <w:ind w:left="284"/>
        <w:rPr>
          <w:color w:val="4F81BD" w:themeColor="accent1"/>
        </w:rPr>
      </w:pPr>
      <w:r w:rsidRPr="003B4C2A">
        <w:rPr>
          <w:color w:val="4F81BD" w:themeColor="accent1"/>
        </w:rPr>
        <w:t xml:space="preserve">After the procedure the patient is observed and monitored as the anaesthesia or sedation wears off, with pain medication administered as appropriate. The patient is usually discharged the following day. </w:t>
      </w:r>
    </w:p>
    <w:p w14:paraId="5D7EE462" w14:textId="203256C5" w:rsidR="00503E7C" w:rsidRPr="003B4C2A" w:rsidRDefault="00503E7C" w:rsidP="00CC32FE">
      <w:pPr>
        <w:ind w:left="284"/>
        <w:rPr>
          <w:color w:val="4F81BD" w:themeColor="accent1"/>
        </w:rPr>
      </w:pPr>
      <w:r w:rsidRPr="003B4C2A">
        <w:rPr>
          <w:color w:val="4F81BD" w:themeColor="accent1"/>
        </w:rPr>
        <w:lastRenderedPageBreak/>
        <w:t xml:space="preserve">The patients will generally have a follow-up appointment approximately 1 </w:t>
      </w:r>
      <w:proofErr w:type="gramStart"/>
      <w:r w:rsidRPr="003B4C2A">
        <w:rPr>
          <w:color w:val="4F81BD" w:themeColor="accent1"/>
        </w:rPr>
        <w:t>months</w:t>
      </w:r>
      <w:proofErr w:type="gramEnd"/>
      <w:r w:rsidRPr="003B4C2A">
        <w:rPr>
          <w:color w:val="4F81BD" w:themeColor="accent1"/>
        </w:rPr>
        <w:t xml:space="preserve"> after the procedure, with a follow-up angiogram 3–6 months after the procedure</w:t>
      </w:r>
      <w:r w:rsidR="00F829BE" w:rsidRPr="003B4C2A">
        <w:rPr>
          <w:color w:val="4F81BD" w:themeColor="accent1"/>
        </w:rPr>
        <w:t xml:space="preserve"> to assess occlusion of the aneurysm.</w:t>
      </w:r>
      <w:r w:rsidRPr="003B4C2A">
        <w:rPr>
          <w:color w:val="4F81BD" w:themeColor="accent1"/>
        </w:rPr>
        <w:t xml:space="preserve"> </w:t>
      </w:r>
    </w:p>
    <w:p w14:paraId="04CE0F8E" w14:textId="0A065D83" w:rsidR="006F4A25" w:rsidRPr="003B4C2A" w:rsidRDefault="004B6457" w:rsidP="00CC32FE">
      <w:pPr>
        <w:ind w:left="284"/>
        <w:rPr>
          <w:color w:val="4F81BD" w:themeColor="accent1"/>
        </w:rPr>
      </w:pPr>
      <w:r w:rsidRPr="003B4C2A">
        <w:rPr>
          <w:color w:val="4F81BD" w:themeColor="accent1"/>
        </w:rPr>
        <w:t xml:space="preserve">Patients are generally pre-treated with dual </w:t>
      </w:r>
      <w:proofErr w:type="spellStart"/>
      <w:r w:rsidRPr="003B4C2A">
        <w:rPr>
          <w:color w:val="4F81BD" w:themeColor="accent1"/>
        </w:rPr>
        <w:t>antiplatelets</w:t>
      </w:r>
      <w:proofErr w:type="spellEnd"/>
      <w:r w:rsidRPr="003B4C2A">
        <w:rPr>
          <w:color w:val="4F81BD" w:themeColor="accent1"/>
        </w:rPr>
        <w:t xml:space="preserve"> with aspirin and </w:t>
      </w:r>
      <w:proofErr w:type="spellStart"/>
      <w:r w:rsidRPr="003B4C2A">
        <w:rPr>
          <w:color w:val="4F81BD" w:themeColor="accent1"/>
        </w:rPr>
        <w:t>clopidogrel</w:t>
      </w:r>
      <w:proofErr w:type="spellEnd"/>
      <w:r w:rsidRPr="003B4C2A">
        <w:rPr>
          <w:color w:val="4F81BD" w:themeColor="accent1"/>
        </w:rPr>
        <w:t xml:space="preserve"> with treatment continued for at least 6 months post procedure. The post-procedure antiplatelet protocol in an Australian study stipulated administration for 6</w:t>
      </w:r>
      <w:r w:rsidR="00A21E71" w:rsidRPr="003B4C2A">
        <w:rPr>
          <w:color w:val="4F81BD" w:themeColor="accent1"/>
        </w:rPr>
        <w:t xml:space="preserve"> </w:t>
      </w:r>
      <w:r w:rsidRPr="003B4C2A">
        <w:rPr>
          <w:color w:val="4F81BD" w:themeColor="accent1"/>
        </w:rPr>
        <w:t>months in anterior location and 12 months post procedure in posterior location (McAuliffe et al 2012).</w:t>
      </w:r>
    </w:p>
    <w:p w14:paraId="7A419B76" w14:textId="41F5FE72" w:rsidR="00F829BE" w:rsidRDefault="00F829BE" w:rsidP="006F4A25">
      <w:pPr>
        <w:ind w:left="426"/>
        <w:rPr>
          <w:szCs w:val="20"/>
        </w:rPr>
      </w:pPr>
    </w:p>
    <w:p w14:paraId="152F2991" w14:textId="66DABD7A" w:rsidR="00F829BE" w:rsidRDefault="00F829BE" w:rsidP="00115141">
      <w:pPr>
        <w:keepNext/>
        <w:keepLines/>
        <w:widowControl w:val="0"/>
        <w:ind w:left="426"/>
        <w:rPr>
          <w:szCs w:val="20"/>
        </w:rPr>
      </w:pPr>
      <w:r>
        <w:rPr>
          <w:noProof/>
          <w:lang w:eastAsia="en-AU"/>
        </w:rPr>
        <w:drawing>
          <wp:inline distT="0" distB="0" distL="0" distR="0" wp14:anchorId="0EDD786A" wp14:editId="0662EED8">
            <wp:extent cx="1689812" cy="2355439"/>
            <wp:effectExtent l="0" t="0" r="5715" b="6985"/>
            <wp:docPr id="3" name="Picture 3" title="Picture showing pipeline flow diversion device in U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nznub4x5d61ra4q12fyu67t-wpengine.netdna-ssl.com/img/f6t82n6i.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0002" cy="2369643"/>
                    </a:xfrm>
                    <a:prstGeom prst="rect">
                      <a:avLst/>
                    </a:prstGeom>
                    <a:noFill/>
                    <a:ln>
                      <a:noFill/>
                    </a:ln>
                  </pic:spPr>
                </pic:pic>
              </a:graphicData>
            </a:graphic>
          </wp:inline>
        </w:drawing>
      </w:r>
    </w:p>
    <w:p w14:paraId="70A3E4A2" w14:textId="192F5BBA" w:rsidR="00F829BE" w:rsidRDefault="00F829BE" w:rsidP="00115141">
      <w:pPr>
        <w:pStyle w:val="Caption"/>
        <w:keepNext/>
        <w:keepLines/>
        <w:widowControl w:val="0"/>
        <w:rPr>
          <w:szCs w:val="20"/>
        </w:rPr>
      </w:pPr>
      <w:bookmarkStart w:id="14" w:name="_Ref515526019"/>
      <w:r>
        <w:t xml:space="preserve">Figure </w:t>
      </w:r>
      <w:r w:rsidR="00F64073">
        <w:rPr>
          <w:noProof/>
        </w:rPr>
        <w:fldChar w:fldCharType="begin"/>
      </w:r>
      <w:r w:rsidR="00F64073">
        <w:rPr>
          <w:noProof/>
        </w:rPr>
        <w:instrText xml:space="preserve"> SEQ Figure \* ARABIC </w:instrText>
      </w:r>
      <w:r w:rsidR="00F64073">
        <w:rPr>
          <w:noProof/>
        </w:rPr>
        <w:fldChar w:fldCharType="separate"/>
      </w:r>
      <w:proofErr w:type="gramStart"/>
      <w:r w:rsidR="008335FD">
        <w:rPr>
          <w:noProof/>
        </w:rPr>
        <w:t>2</w:t>
      </w:r>
      <w:r w:rsidR="00F64073">
        <w:rPr>
          <w:noProof/>
        </w:rPr>
        <w:fldChar w:fldCharType="end"/>
      </w:r>
      <w:bookmarkEnd w:id="14"/>
      <w:r>
        <w:tab/>
        <w:t>Pipeline Flow Diversion Devi</w:t>
      </w:r>
      <w:r w:rsidR="007F2E6F">
        <w:t>c</w:t>
      </w:r>
      <w:r>
        <w:t>e</w:t>
      </w:r>
      <w:proofErr w:type="gramEnd"/>
      <w:r>
        <w:t xml:space="preserve"> in UIA</w:t>
      </w:r>
    </w:p>
    <w:p w14:paraId="1FCCD2F8" w14:textId="0FC62E3E" w:rsidR="00F829BE" w:rsidRDefault="00F829BE" w:rsidP="006F4A25">
      <w:pPr>
        <w:ind w:left="426"/>
        <w:rPr>
          <w:szCs w:val="20"/>
        </w:rPr>
      </w:pPr>
    </w:p>
    <w:p w14:paraId="50A423C8"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43FD7F01" w14:textId="415FD286" w:rsidR="002A6753" w:rsidRPr="003B4C2A" w:rsidRDefault="00751E4B" w:rsidP="00E357B9">
      <w:pPr>
        <w:ind w:left="426"/>
        <w:rPr>
          <w:color w:val="4F81BD" w:themeColor="accent1"/>
          <w:szCs w:val="20"/>
        </w:rPr>
      </w:pPr>
      <w:r w:rsidRPr="003B4C2A">
        <w:rPr>
          <w:color w:val="4F81BD" w:themeColor="accent1"/>
        </w:rPr>
        <w:t xml:space="preserve">The proposed medical service does not include a registered trademark component. </w:t>
      </w:r>
    </w:p>
    <w:p w14:paraId="6EFE30E9"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7A92C8C9" w14:textId="4FA4F70F" w:rsidR="001827C9" w:rsidRPr="003B4C2A" w:rsidRDefault="00A24C7A" w:rsidP="001827C9">
      <w:pPr>
        <w:ind w:left="426"/>
        <w:rPr>
          <w:color w:val="4F81BD" w:themeColor="accent1"/>
        </w:rPr>
      </w:pPr>
      <w:r w:rsidRPr="003B4C2A">
        <w:rPr>
          <w:color w:val="4F81BD" w:themeColor="accent1"/>
        </w:rPr>
        <w:t xml:space="preserve">Patients with UIAs are currently managed using endovascular coiling and to a lesser extent by surgical clipping. </w:t>
      </w:r>
      <w:r w:rsidR="001827C9" w:rsidRPr="003B4C2A">
        <w:rPr>
          <w:color w:val="4F81BD" w:themeColor="accent1"/>
        </w:rPr>
        <w:t>The objective of the coiling procedure is to occlude the aneurysm by inserting multiple coils</w:t>
      </w:r>
      <w:r w:rsidR="00086A9C" w:rsidRPr="003B4C2A">
        <w:rPr>
          <w:color w:val="4F81BD" w:themeColor="accent1"/>
        </w:rPr>
        <w:t xml:space="preserve"> into the aneurysm</w:t>
      </w:r>
      <w:r w:rsidR="001827C9" w:rsidRPr="003B4C2A">
        <w:rPr>
          <w:color w:val="4F81BD" w:themeColor="accent1"/>
        </w:rPr>
        <w:t xml:space="preserve">. The insertion of coils is associated with a given small risk of </w:t>
      </w:r>
      <w:r w:rsidR="00086A9C" w:rsidRPr="003B4C2A">
        <w:rPr>
          <w:color w:val="4F81BD" w:themeColor="accent1"/>
        </w:rPr>
        <w:t>rupture</w:t>
      </w:r>
      <w:r w:rsidR="001827C9" w:rsidRPr="003B4C2A">
        <w:rPr>
          <w:color w:val="4F81BD" w:themeColor="accent1"/>
        </w:rPr>
        <w:t xml:space="preserve">. Surgical clipping involves placing a small metallic clip or clips along the neck of the aneurysm, preventing blood from entering into the aneurysm sac. The clip remains in place after the procedure, and over time the aneurysm will shrink and heal. Clipping is a highly invasive procedure that involves accessing the aneurysm via craniotomy. </w:t>
      </w:r>
    </w:p>
    <w:p w14:paraId="3A0F15DF" w14:textId="7E3C3A24" w:rsidR="00086A9C" w:rsidRPr="003B4C2A" w:rsidRDefault="00086A9C" w:rsidP="00086A9C">
      <w:pPr>
        <w:ind w:left="426"/>
        <w:rPr>
          <w:color w:val="4F81BD" w:themeColor="accent1"/>
        </w:rPr>
      </w:pPr>
      <w:r w:rsidRPr="003B4C2A">
        <w:rPr>
          <w:color w:val="4F81BD" w:themeColor="accent1"/>
        </w:rPr>
        <w:t>T</w:t>
      </w:r>
      <w:r w:rsidR="00A24C7A" w:rsidRPr="003B4C2A">
        <w:rPr>
          <w:color w:val="4F81BD" w:themeColor="accent1"/>
        </w:rPr>
        <w:t xml:space="preserve">he proposed medical service involves the endovascular placement of a FDD into the parent artery of patients with UIAs. The FDD is a prosthesis that remains in the artery, and that allows the blood to flow </w:t>
      </w:r>
      <w:r w:rsidR="004D7D28" w:rsidRPr="003B4C2A">
        <w:rPr>
          <w:color w:val="4F81BD" w:themeColor="accent1"/>
        </w:rPr>
        <w:t>through</w:t>
      </w:r>
      <w:r w:rsidR="00A24C7A" w:rsidRPr="003B4C2A">
        <w:rPr>
          <w:color w:val="4F81BD" w:themeColor="accent1"/>
        </w:rPr>
        <w:t xml:space="preserve"> the artery whilst excluding circulation to the aneurysm</w:t>
      </w:r>
      <w:r w:rsidRPr="003B4C2A">
        <w:rPr>
          <w:color w:val="4F81BD" w:themeColor="accent1"/>
        </w:rPr>
        <w:t xml:space="preserve"> which eventually shrinks away</w:t>
      </w:r>
      <w:r w:rsidR="004D7D28" w:rsidRPr="003B4C2A">
        <w:rPr>
          <w:color w:val="4F81BD" w:themeColor="accent1"/>
        </w:rPr>
        <w:t>.</w:t>
      </w:r>
      <w:r w:rsidRPr="003B4C2A">
        <w:rPr>
          <w:color w:val="4F81BD" w:themeColor="accent1"/>
        </w:rPr>
        <w:t xml:space="preserve"> In contrast to coiling, FD removes the need to enter the </w:t>
      </w:r>
      <w:proofErr w:type="gramStart"/>
      <w:r w:rsidRPr="003B4C2A">
        <w:rPr>
          <w:color w:val="4F81BD" w:themeColor="accent1"/>
        </w:rPr>
        <w:t>aneurysm,</w:t>
      </w:r>
      <w:proofErr w:type="gramEnd"/>
      <w:r w:rsidRPr="003B4C2A">
        <w:rPr>
          <w:color w:val="4F81BD" w:themeColor="accent1"/>
        </w:rPr>
        <w:t xml:space="preserve"> rather the objective is to reconstruct the parent vessel. </w:t>
      </w:r>
    </w:p>
    <w:p w14:paraId="1FDCD98B" w14:textId="04CF4709" w:rsidR="00086A9C" w:rsidRPr="003B4C2A" w:rsidRDefault="00086A9C" w:rsidP="00086A9C">
      <w:pPr>
        <w:ind w:left="426"/>
        <w:rPr>
          <w:color w:val="4F81BD" w:themeColor="accent1"/>
        </w:rPr>
      </w:pPr>
      <w:r w:rsidRPr="003B4C2A">
        <w:rPr>
          <w:color w:val="4F81BD" w:themeColor="accent1"/>
        </w:rPr>
        <w:t xml:space="preserve">As such, the endovascular insertion of a FDD provides </w:t>
      </w:r>
      <w:r w:rsidR="00B63CB6" w:rsidRPr="003B4C2A">
        <w:rPr>
          <w:color w:val="4F81BD" w:themeColor="accent1"/>
        </w:rPr>
        <w:t xml:space="preserve">a new treatment approach to managing patients with UIA. </w:t>
      </w:r>
      <w:r w:rsidRPr="003B4C2A">
        <w:rPr>
          <w:color w:val="4F81BD" w:themeColor="accent1"/>
        </w:rPr>
        <w:t xml:space="preserve">As discussed in Q.39 there are some UIAs that are not suitable for coiling or clipping but for which FDD is suitable, for example large aneurysms at the skull of the neck. In this group of patients, listing FDD on the MBS would provide a treatment option. </w:t>
      </w:r>
    </w:p>
    <w:p w14:paraId="458E3764" w14:textId="77777777" w:rsidR="004D7D28" w:rsidRDefault="004D7D28" w:rsidP="00E357B9">
      <w:pPr>
        <w:ind w:left="426"/>
        <w:rPr>
          <w:b/>
          <w:szCs w:val="20"/>
        </w:rPr>
      </w:pPr>
    </w:p>
    <w:p w14:paraId="377D46C5"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5C10C097" w14:textId="5A8A0C51" w:rsidR="00CC09D7" w:rsidRPr="003B4C2A" w:rsidRDefault="00B63CB6" w:rsidP="00E357B9">
      <w:pPr>
        <w:ind w:left="426"/>
        <w:rPr>
          <w:color w:val="4F81BD" w:themeColor="accent1"/>
        </w:rPr>
      </w:pPr>
      <w:r w:rsidRPr="003B4C2A">
        <w:rPr>
          <w:color w:val="4F81BD" w:themeColor="accent1"/>
        </w:rPr>
        <w:lastRenderedPageBreak/>
        <w:t xml:space="preserve">The endovascular insertion of a FDD </w:t>
      </w:r>
      <w:r w:rsidR="00D5472A" w:rsidRPr="003B4C2A">
        <w:rPr>
          <w:color w:val="4F81BD" w:themeColor="accent1"/>
        </w:rPr>
        <w:t xml:space="preserve">is performed by INRs, and as such, accessibility to the service may be limited by the availability of specialists in the local area where the patients resides. There are no other apparent </w:t>
      </w:r>
      <w:r w:rsidR="00DD3552" w:rsidRPr="003B4C2A">
        <w:rPr>
          <w:color w:val="4F81BD" w:themeColor="accent1"/>
        </w:rPr>
        <w:t>limitations</w:t>
      </w:r>
      <w:r w:rsidR="00D5472A" w:rsidRPr="003B4C2A">
        <w:rPr>
          <w:color w:val="4F81BD" w:themeColor="accent1"/>
        </w:rPr>
        <w:t xml:space="preserve"> on the provision of the service. </w:t>
      </w:r>
    </w:p>
    <w:p w14:paraId="51DC70EB" w14:textId="244295AE" w:rsidR="00D5472A" w:rsidRPr="003B4C2A" w:rsidRDefault="00D5472A" w:rsidP="00E357B9">
      <w:pPr>
        <w:ind w:left="426"/>
        <w:rPr>
          <w:color w:val="4F81BD" w:themeColor="accent1"/>
          <w:szCs w:val="20"/>
        </w:rPr>
      </w:pPr>
      <w:bookmarkStart w:id="15" w:name="_Hlk516224006"/>
      <w:r w:rsidRPr="003B4C2A">
        <w:rPr>
          <w:color w:val="4F81BD" w:themeColor="accent1"/>
          <w:szCs w:val="20"/>
        </w:rPr>
        <w:t xml:space="preserve">The insertion of FDD is intended as a </w:t>
      </w:r>
      <w:r w:rsidR="00921A65" w:rsidRPr="003B4C2A">
        <w:rPr>
          <w:color w:val="4F81BD" w:themeColor="accent1"/>
          <w:szCs w:val="20"/>
        </w:rPr>
        <w:t>one</w:t>
      </w:r>
      <w:r w:rsidRPr="003B4C2A">
        <w:rPr>
          <w:color w:val="4F81BD" w:themeColor="accent1"/>
          <w:szCs w:val="20"/>
        </w:rPr>
        <w:t xml:space="preserve"> of</w:t>
      </w:r>
      <w:r w:rsidR="00DD3552" w:rsidRPr="003B4C2A">
        <w:rPr>
          <w:color w:val="4F81BD" w:themeColor="accent1"/>
          <w:szCs w:val="20"/>
        </w:rPr>
        <w:t>f</w:t>
      </w:r>
      <w:r w:rsidRPr="003B4C2A">
        <w:rPr>
          <w:color w:val="4F81BD" w:themeColor="accent1"/>
          <w:szCs w:val="20"/>
        </w:rPr>
        <w:t xml:space="preserve"> procedure, with a proportion of patients requiring re-treatment 2.8–10.3% (</w:t>
      </w:r>
      <w:proofErr w:type="spellStart"/>
      <w:r w:rsidRPr="003B4C2A">
        <w:rPr>
          <w:color w:val="4F81BD" w:themeColor="accent1"/>
          <w:szCs w:val="20"/>
        </w:rPr>
        <w:t>Chaloui</w:t>
      </w:r>
      <w:proofErr w:type="spellEnd"/>
      <w:r w:rsidRPr="003B4C2A">
        <w:rPr>
          <w:color w:val="4F81BD" w:themeColor="accent1"/>
          <w:szCs w:val="20"/>
        </w:rPr>
        <w:t xml:space="preserve"> et al 2013b; </w:t>
      </w:r>
      <w:proofErr w:type="spellStart"/>
      <w:r w:rsidRPr="003B4C2A">
        <w:rPr>
          <w:color w:val="4F81BD" w:themeColor="accent1"/>
          <w:szCs w:val="20"/>
        </w:rPr>
        <w:t>Chaloui</w:t>
      </w:r>
      <w:proofErr w:type="spellEnd"/>
      <w:r w:rsidRPr="003B4C2A">
        <w:rPr>
          <w:color w:val="4F81BD" w:themeColor="accent1"/>
          <w:szCs w:val="20"/>
        </w:rPr>
        <w:t xml:space="preserve"> et al 2014; </w:t>
      </w:r>
      <w:proofErr w:type="spellStart"/>
      <w:r w:rsidRPr="003B4C2A">
        <w:rPr>
          <w:color w:val="4F81BD" w:themeColor="accent1"/>
          <w:szCs w:val="20"/>
        </w:rPr>
        <w:t>Chaloui</w:t>
      </w:r>
      <w:proofErr w:type="spellEnd"/>
      <w:r w:rsidRPr="003B4C2A">
        <w:rPr>
          <w:color w:val="4F81BD" w:themeColor="accent1"/>
          <w:szCs w:val="20"/>
        </w:rPr>
        <w:t xml:space="preserve"> et al 2017). </w:t>
      </w:r>
    </w:p>
    <w:bookmarkEnd w:id="15"/>
    <w:p w14:paraId="09B95692"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6D8A2718" w14:textId="5EC48628" w:rsidR="00045127" w:rsidRPr="003B4C2A" w:rsidRDefault="00045127" w:rsidP="00CC32FE">
      <w:pPr>
        <w:ind w:left="426"/>
        <w:rPr>
          <w:color w:val="4F81BD" w:themeColor="accent1"/>
        </w:rPr>
      </w:pPr>
      <w:r w:rsidRPr="003B4C2A">
        <w:rPr>
          <w:color w:val="4F81BD" w:themeColor="accent1"/>
        </w:rPr>
        <w:t xml:space="preserve">The endovascular insertion of a FDD would be performed in hospital by a specialist (INR or neurosurgeon). </w:t>
      </w:r>
      <w:r w:rsidR="00C852CD" w:rsidRPr="003B4C2A">
        <w:rPr>
          <w:color w:val="4F81BD" w:themeColor="accent1"/>
        </w:rPr>
        <w:t>Pre-operative DSA, i</w:t>
      </w:r>
      <w:r w:rsidR="00B86287" w:rsidRPr="003B4C2A">
        <w:rPr>
          <w:color w:val="4F81BD" w:themeColor="accent1"/>
        </w:rPr>
        <w:t>ntra-operative imaging</w:t>
      </w:r>
      <w:r w:rsidR="00C852CD" w:rsidRPr="003B4C2A">
        <w:rPr>
          <w:color w:val="4F81BD" w:themeColor="accent1"/>
        </w:rPr>
        <w:t xml:space="preserve"> </w:t>
      </w:r>
      <w:r w:rsidR="00B86287" w:rsidRPr="003B4C2A">
        <w:rPr>
          <w:color w:val="4F81BD" w:themeColor="accent1"/>
        </w:rPr>
        <w:t xml:space="preserve">and general anaesthesia would be administered at the same </w:t>
      </w:r>
      <w:r w:rsidR="00C852CD" w:rsidRPr="003B4C2A">
        <w:rPr>
          <w:color w:val="4F81BD" w:themeColor="accent1"/>
        </w:rPr>
        <w:t>time</w:t>
      </w:r>
      <w:r w:rsidR="00B86287" w:rsidRPr="003B4C2A">
        <w:rPr>
          <w:color w:val="4F81BD" w:themeColor="accent1"/>
        </w:rPr>
        <w:t xml:space="preserve"> as the proposed medical service.</w:t>
      </w:r>
      <w:r w:rsidR="00614438" w:rsidRPr="003B4C2A">
        <w:rPr>
          <w:color w:val="4F81BD" w:themeColor="accent1"/>
        </w:rPr>
        <w:t xml:space="preserve"> These resources are the same as those required for endovascular coiling +/- stents. </w:t>
      </w:r>
      <w:r w:rsidR="00B86287" w:rsidRPr="003B4C2A">
        <w:rPr>
          <w:color w:val="4F81BD" w:themeColor="accent1"/>
        </w:rPr>
        <w:t xml:space="preserve"> </w:t>
      </w:r>
      <w:r w:rsidR="00C852CD" w:rsidRPr="003B4C2A">
        <w:rPr>
          <w:color w:val="4F81BD" w:themeColor="accent1"/>
        </w:rPr>
        <w:t xml:space="preserve">The patient will in most cases </w:t>
      </w:r>
      <w:r w:rsidR="00DD3552" w:rsidRPr="003B4C2A">
        <w:rPr>
          <w:color w:val="4F81BD" w:themeColor="accent1"/>
        </w:rPr>
        <w:t xml:space="preserve">be admitted </w:t>
      </w:r>
      <w:r w:rsidR="00C852CD" w:rsidRPr="003B4C2A">
        <w:rPr>
          <w:color w:val="4F81BD" w:themeColor="accent1"/>
        </w:rPr>
        <w:t xml:space="preserve">overnight. </w:t>
      </w:r>
    </w:p>
    <w:p w14:paraId="263AE03B" w14:textId="30B0CF1D" w:rsidR="00791C8D" w:rsidRPr="003B4C2A" w:rsidRDefault="00A21E71" w:rsidP="00C72D96">
      <w:pPr>
        <w:ind w:left="426"/>
        <w:rPr>
          <w:color w:val="4F81BD" w:themeColor="accent1"/>
        </w:rPr>
      </w:pPr>
      <w:r w:rsidRPr="003B4C2A">
        <w:rPr>
          <w:color w:val="4F81BD" w:themeColor="accent1"/>
        </w:rPr>
        <w:t>D</w:t>
      </w:r>
      <w:r w:rsidR="00CC32FE" w:rsidRPr="003B4C2A">
        <w:rPr>
          <w:color w:val="4F81BD" w:themeColor="accent1"/>
        </w:rPr>
        <w:t xml:space="preserve">ual </w:t>
      </w:r>
      <w:proofErr w:type="spellStart"/>
      <w:r w:rsidR="00CC32FE" w:rsidRPr="003B4C2A">
        <w:rPr>
          <w:color w:val="4F81BD" w:themeColor="accent1"/>
        </w:rPr>
        <w:t>antiplatelets</w:t>
      </w:r>
      <w:proofErr w:type="spellEnd"/>
      <w:r w:rsidR="00C72D96" w:rsidRPr="003B4C2A">
        <w:rPr>
          <w:color w:val="4F81BD" w:themeColor="accent1"/>
        </w:rPr>
        <w:t xml:space="preserve"> such as aspirin and </w:t>
      </w:r>
      <w:proofErr w:type="spellStart"/>
      <w:proofErr w:type="gramStart"/>
      <w:r w:rsidR="00C72D96" w:rsidRPr="003B4C2A">
        <w:rPr>
          <w:color w:val="4F81BD" w:themeColor="accent1"/>
        </w:rPr>
        <w:t>clopidogrel</w:t>
      </w:r>
      <w:proofErr w:type="spellEnd"/>
      <w:r w:rsidR="00C72D96" w:rsidRPr="003B4C2A">
        <w:rPr>
          <w:color w:val="4F81BD" w:themeColor="accent1"/>
        </w:rPr>
        <w:t>,</w:t>
      </w:r>
      <w:proofErr w:type="gramEnd"/>
      <w:r w:rsidR="00CC32FE" w:rsidRPr="003B4C2A">
        <w:rPr>
          <w:color w:val="4F81BD" w:themeColor="accent1"/>
        </w:rPr>
        <w:t xml:space="preserve"> are required in conjunction with the endovascular insertion of FDDs. </w:t>
      </w:r>
    </w:p>
    <w:p w14:paraId="3BB8EBF5"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379677F7" w14:textId="2284FE6C" w:rsidR="00A72581" w:rsidRPr="003B4C2A" w:rsidRDefault="00CC32FE" w:rsidP="00A72581">
      <w:pPr>
        <w:ind w:left="426"/>
        <w:rPr>
          <w:color w:val="4F81BD" w:themeColor="accent1"/>
        </w:rPr>
      </w:pPr>
      <w:r w:rsidRPr="003B4C2A">
        <w:rPr>
          <w:color w:val="4F81BD" w:themeColor="accent1"/>
        </w:rPr>
        <w:t xml:space="preserve">The procedure will predominantly be performed by interventional </w:t>
      </w:r>
      <w:proofErr w:type="spellStart"/>
      <w:r w:rsidRPr="003B4C2A">
        <w:rPr>
          <w:color w:val="4F81BD" w:themeColor="accent1"/>
        </w:rPr>
        <w:t>neuroradiologists</w:t>
      </w:r>
      <w:proofErr w:type="spellEnd"/>
      <w:r w:rsidRPr="003B4C2A">
        <w:rPr>
          <w:color w:val="4F81BD" w:themeColor="accent1"/>
        </w:rPr>
        <w:t xml:space="preserve"> (INR)</w:t>
      </w:r>
      <w:r w:rsidR="00A72581" w:rsidRPr="003B4C2A">
        <w:rPr>
          <w:color w:val="4F81BD" w:themeColor="accent1"/>
        </w:rPr>
        <w:t>.</w:t>
      </w:r>
    </w:p>
    <w:p w14:paraId="1823CD4A"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30873CFE" w14:textId="2C27D36B" w:rsidR="00B17E26" w:rsidRPr="003B4C2A" w:rsidRDefault="00CC32FE" w:rsidP="00884E69">
      <w:pPr>
        <w:ind w:left="426"/>
        <w:rPr>
          <w:color w:val="4F81BD" w:themeColor="accent1"/>
          <w:szCs w:val="20"/>
        </w:rPr>
      </w:pPr>
      <w:r w:rsidRPr="003B4C2A">
        <w:rPr>
          <w:color w:val="4F81BD" w:themeColor="accent1"/>
        </w:rPr>
        <w:t>Not applicable</w:t>
      </w:r>
    </w:p>
    <w:p w14:paraId="4F3B9D16"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3D063367" w14:textId="655CBC5A" w:rsidR="00EA0E25" w:rsidRPr="003B4C2A" w:rsidRDefault="00CC32FE" w:rsidP="00BC424B">
      <w:pPr>
        <w:ind w:left="426"/>
        <w:rPr>
          <w:color w:val="4F81BD" w:themeColor="accent1"/>
          <w:szCs w:val="20"/>
        </w:rPr>
      </w:pPr>
      <w:r w:rsidRPr="003B4C2A">
        <w:rPr>
          <w:color w:val="4F81BD" w:themeColor="accent1"/>
        </w:rPr>
        <w:t>Not applicable</w:t>
      </w:r>
    </w:p>
    <w:p w14:paraId="31EECB2A" w14:textId="77777777" w:rsidR="00EA0E25" w:rsidRPr="00154B00" w:rsidRDefault="00EA0E25" w:rsidP="00530204">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7AA7D5CD" w14:textId="0B952A67" w:rsidR="00FE62C3" w:rsidRPr="003B4C2A" w:rsidRDefault="00FE62C3" w:rsidP="0073597B">
      <w:pPr>
        <w:ind w:left="426"/>
        <w:rPr>
          <w:color w:val="4F81BD" w:themeColor="accent1"/>
          <w:szCs w:val="20"/>
        </w:rPr>
      </w:pPr>
      <w:r w:rsidRPr="003B4C2A">
        <w:rPr>
          <w:color w:val="4F81BD" w:themeColor="accent1"/>
          <w:szCs w:val="20"/>
        </w:rPr>
        <w:t>The Conjoint Committee for Recognition of Training in Interventional Neuroradiology (CCINR) was formed in 2014 to develop and monitor guidelines for certification of training in interventional neuroradiology (INR) in Australia and New Zealand (</w:t>
      </w:r>
      <w:hyperlink r:id="rId24" w:tooltip="Link to Conjoint Committee for Recognition of Training in Interventional Neuroradiology website" w:history="1">
        <w:r w:rsidRPr="003B4C2A">
          <w:rPr>
            <w:rStyle w:val="Hyperlink"/>
            <w:color w:val="4F81BD" w:themeColor="accent1"/>
            <w:szCs w:val="20"/>
          </w:rPr>
          <w:t>http://www.ccinr.org.au/</w:t>
        </w:r>
      </w:hyperlink>
      <w:r w:rsidRPr="003B4C2A">
        <w:rPr>
          <w:color w:val="4F81BD" w:themeColor="accent1"/>
          <w:szCs w:val="20"/>
        </w:rPr>
        <w:t xml:space="preserve">). The CCINR would be an appropriate body to consult regarding training, qualification and accreditation requirements. </w:t>
      </w:r>
    </w:p>
    <w:p w14:paraId="3AA0AA21" w14:textId="77777777" w:rsidR="005F3F07" w:rsidRDefault="005C3AE7" w:rsidP="00530204">
      <w:pPr>
        <w:pStyle w:val="Heading2"/>
      </w:pPr>
      <w:r>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40AB8F1A" w14:textId="73E65EC0" w:rsidR="000A478F" w:rsidRPr="003B4C2A" w:rsidRDefault="00CC32FE" w:rsidP="000A478F">
      <w:pPr>
        <w:spacing w:before="0" w:after="0"/>
        <w:ind w:left="426"/>
        <w:rPr>
          <w:color w:val="4F81BD" w:themeColor="accent1"/>
        </w:rPr>
      </w:pPr>
      <w:r w:rsidRPr="003B4C2A">
        <w:rPr>
          <w:color w:val="4F81BD" w:themeColor="accent1"/>
          <w:szCs w:val="20"/>
        </w:rPr>
        <w:fldChar w:fldCharType="begin">
          <w:ffData>
            <w:name w:val=""/>
            <w:enabled/>
            <w:calcOnExit w:val="0"/>
            <w:checkBox>
              <w:sizeAuto/>
              <w:default w:val="1"/>
            </w:checkBox>
          </w:ffData>
        </w:fldChar>
      </w:r>
      <w:r w:rsidRPr="003B4C2A">
        <w:rPr>
          <w:color w:val="4F81BD" w:themeColor="accent1"/>
          <w:szCs w:val="20"/>
        </w:rPr>
        <w:instrText xml:space="preserve"> FORMCHECKBOX </w:instrText>
      </w:r>
      <w:r w:rsidR="00905881" w:rsidRPr="003B4C2A">
        <w:rPr>
          <w:color w:val="4F81BD" w:themeColor="accent1"/>
          <w:szCs w:val="20"/>
        </w:rPr>
      </w:r>
      <w:r w:rsidR="00905881" w:rsidRPr="003B4C2A">
        <w:rPr>
          <w:color w:val="4F81BD" w:themeColor="accent1"/>
          <w:szCs w:val="20"/>
        </w:rPr>
        <w:fldChar w:fldCharType="separate"/>
      </w:r>
      <w:r w:rsidRPr="003B4C2A">
        <w:rPr>
          <w:color w:val="4F81BD" w:themeColor="accent1"/>
          <w:szCs w:val="20"/>
        </w:rPr>
        <w:fldChar w:fldCharType="end"/>
      </w:r>
      <w:r w:rsidR="000A478F" w:rsidRPr="003B4C2A">
        <w:rPr>
          <w:color w:val="4F81BD" w:themeColor="accent1"/>
          <w:szCs w:val="20"/>
        </w:rPr>
        <w:t xml:space="preserve"> </w:t>
      </w:r>
      <w:r w:rsidR="000A478F" w:rsidRPr="003B4C2A">
        <w:rPr>
          <w:color w:val="4F81BD" w:themeColor="accent1"/>
        </w:rPr>
        <w:t>Inpatient private hospital</w:t>
      </w:r>
    </w:p>
    <w:p w14:paraId="109DAD7E" w14:textId="02F48F77" w:rsidR="000A478F" w:rsidRPr="003B4C2A" w:rsidRDefault="00CC32FE" w:rsidP="000A478F">
      <w:pPr>
        <w:spacing w:before="0" w:after="0"/>
        <w:ind w:left="426"/>
        <w:rPr>
          <w:color w:val="4F81BD" w:themeColor="accent1"/>
        </w:rPr>
      </w:pPr>
      <w:r w:rsidRPr="003B4C2A">
        <w:rPr>
          <w:color w:val="4F81BD" w:themeColor="accent1"/>
          <w:szCs w:val="20"/>
        </w:rPr>
        <w:fldChar w:fldCharType="begin">
          <w:ffData>
            <w:name w:val=""/>
            <w:enabled/>
            <w:calcOnExit w:val="0"/>
            <w:checkBox>
              <w:sizeAuto/>
              <w:default w:val="1"/>
            </w:checkBox>
          </w:ffData>
        </w:fldChar>
      </w:r>
      <w:r w:rsidRPr="003B4C2A">
        <w:rPr>
          <w:color w:val="4F81BD" w:themeColor="accent1"/>
          <w:szCs w:val="20"/>
        </w:rPr>
        <w:instrText xml:space="preserve"> FORMCHECKBOX </w:instrText>
      </w:r>
      <w:r w:rsidR="00905881" w:rsidRPr="003B4C2A">
        <w:rPr>
          <w:color w:val="4F81BD" w:themeColor="accent1"/>
          <w:szCs w:val="20"/>
        </w:rPr>
      </w:r>
      <w:r w:rsidR="00905881" w:rsidRPr="003B4C2A">
        <w:rPr>
          <w:color w:val="4F81BD" w:themeColor="accent1"/>
          <w:szCs w:val="20"/>
        </w:rPr>
        <w:fldChar w:fldCharType="separate"/>
      </w:r>
      <w:r w:rsidRPr="003B4C2A">
        <w:rPr>
          <w:color w:val="4F81BD" w:themeColor="accent1"/>
          <w:szCs w:val="20"/>
        </w:rPr>
        <w:fldChar w:fldCharType="end"/>
      </w:r>
      <w:r w:rsidR="000A478F" w:rsidRPr="003B4C2A">
        <w:rPr>
          <w:color w:val="4F81BD" w:themeColor="accent1"/>
          <w:szCs w:val="20"/>
        </w:rPr>
        <w:t xml:space="preserve"> </w:t>
      </w:r>
      <w:r w:rsidR="000A478F" w:rsidRPr="003B4C2A">
        <w:rPr>
          <w:color w:val="4F81BD" w:themeColor="accent1"/>
        </w:rPr>
        <w:t>Inpatient public hospital</w:t>
      </w:r>
    </w:p>
    <w:p w14:paraId="0C15747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05881">
        <w:rPr>
          <w:szCs w:val="20"/>
        </w:rPr>
      </w:r>
      <w:r w:rsidR="00905881">
        <w:rPr>
          <w:szCs w:val="20"/>
        </w:rPr>
        <w:fldChar w:fldCharType="separate"/>
      </w:r>
      <w:r w:rsidRPr="000A5B32">
        <w:rPr>
          <w:szCs w:val="20"/>
        </w:rPr>
        <w:fldChar w:fldCharType="end"/>
      </w:r>
      <w:r>
        <w:rPr>
          <w:szCs w:val="20"/>
        </w:rPr>
        <w:t xml:space="preserve"> </w:t>
      </w:r>
      <w:r>
        <w:t>Outpatient clinic</w:t>
      </w:r>
    </w:p>
    <w:p w14:paraId="2E21F43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05881">
        <w:rPr>
          <w:szCs w:val="20"/>
        </w:rPr>
      </w:r>
      <w:r w:rsidR="00905881">
        <w:rPr>
          <w:szCs w:val="20"/>
        </w:rPr>
        <w:fldChar w:fldCharType="separate"/>
      </w:r>
      <w:r w:rsidRPr="000A5B32">
        <w:rPr>
          <w:szCs w:val="20"/>
        </w:rPr>
        <w:fldChar w:fldCharType="end"/>
      </w:r>
      <w:r>
        <w:rPr>
          <w:szCs w:val="20"/>
        </w:rPr>
        <w:t xml:space="preserve"> </w:t>
      </w:r>
      <w:r>
        <w:t>Emergency Department</w:t>
      </w:r>
    </w:p>
    <w:p w14:paraId="67A1B20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05881">
        <w:rPr>
          <w:szCs w:val="20"/>
        </w:rPr>
      </w:r>
      <w:r w:rsidR="00905881">
        <w:rPr>
          <w:szCs w:val="20"/>
        </w:rPr>
        <w:fldChar w:fldCharType="separate"/>
      </w:r>
      <w:r w:rsidRPr="000A5B32">
        <w:rPr>
          <w:szCs w:val="20"/>
        </w:rPr>
        <w:fldChar w:fldCharType="end"/>
      </w:r>
      <w:r>
        <w:rPr>
          <w:szCs w:val="20"/>
        </w:rPr>
        <w:t xml:space="preserve"> </w:t>
      </w:r>
      <w:r>
        <w:t>Consulting rooms</w:t>
      </w:r>
    </w:p>
    <w:p w14:paraId="413863A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05881">
        <w:rPr>
          <w:szCs w:val="20"/>
        </w:rPr>
      </w:r>
      <w:r w:rsidR="00905881">
        <w:rPr>
          <w:szCs w:val="20"/>
        </w:rPr>
        <w:fldChar w:fldCharType="separate"/>
      </w:r>
      <w:r w:rsidRPr="000A5B32">
        <w:rPr>
          <w:szCs w:val="20"/>
        </w:rPr>
        <w:fldChar w:fldCharType="end"/>
      </w:r>
      <w:r>
        <w:rPr>
          <w:szCs w:val="20"/>
        </w:rPr>
        <w:t xml:space="preserve"> </w:t>
      </w:r>
      <w:r>
        <w:t>Day surgery centre</w:t>
      </w:r>
    </w:p>
    <w:p w14:paraId="2B54E49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05881">
        <w:rPr>
          <w:szCs w:val="20"/>
        </w:rPr>
      </w:r>
      <w:r w:rsidR="00905881">
        <w:rPr>
          <w:szCs w:val="20"/>
        </w:rPr>
        <w:fldChar w:fldCharType="separate"/>
      </w:r>
      <w:r w:rsidRPr="000A5B32">
        <w:rPr>
          <w:szCs w:val="20"/>
        </w:rPr>
        <w:fldChar w:fldCharType="end"/>
      </w:r>
      <w:r>
        <w:rPr>
          <w:szCs w:val="20"/>
        </w:rPr>
        <w:t xml:space="preserve"> </w:t>
      </w:r>
      <w:r>
        <w:t>Residential aged care facility</w:t>
      </w:r>
    </w:p>
    <w:p w14:paraId="72D1B77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05881">
        <w:rPr>
          <w:szCs w:val="20"/>
        </w:rPr>
      </w:r>
      <w:r w:rsidR="00905881">
        <w:rPr>
          <w:szCs w:val="20"/>
        </w:rPr>
        <w:fldChar w:fldCharType="separate"/>
      </w:r>
      <w:r w:rsidRPr="000A5B32">
        <w:rPr>
          <w:szCs w:val="20"/>
        </w:rPr>
        <w:fldChar w:fldCharType="end"/>
      </w:r>
      <w:r>
        <w:rPr>
          <w:szCs w:val="20"/>
        </w:rPr>
        <w:t xml:space="preserve"> </w:t>
      </w:r>
      <w:r>
        <w:t>Patient’s home</w:t>
      </w:r>
    </w:p>
    <w:p w14:paraId="7279195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05881">
        <w:rPr>
          <w:szCs w:val="20"/>
        </w:rPr>
      </w:r>
      <w:r w:rsidR="00905881">
        <w:rPr>
          <w:szCs w:val="20"/>
        </w:rPr>
        <w:fldChar w:fldCharType="separate"/>
      </w:r>
      <w:r w:rsidRPr="000A5B32">
        <w:rPr>
          <w:szCs w:val="20"/>
        </w:rPr>
        <w:fldChar w:fldCharType="end"/>
      </w:r>
      <w:r>
        <w:rPr>
          <w:szCs w:val="20"/>
        </w:rPr>
        <w:t xml:space="preserve"> </w:t>
      </w:r>
      <w:r>
        <w:t>Laboratory</w:t>
      </w:r>
    </w:p>
    <w:p w14:paraId="2ACD0946"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05881">
        <w:rPr>
          <w:szCs w:val="20"/>
        </w:rPr>
      </w:r>
      <w:r w:rsidR="00905881">
        <w:rPr>
          <w:szCs w:val="20"/>
        </w:rPr>
        <w:fldChar w:fldCharType="separate"/>
      </w:r>
      <w:r w:rsidRPr="000A5B32">
        <w:rPr>
          <w:szCs w:val="20"/>
        </w:rPr>
        <w:fldChar w:fldCharType="end"/>
      </w:r>
      <w:r>
        <w:rPr>
          <w:szCs w:val="20"/>
        </w:rPr>
        <w:t xml:space="preserve"> </w:t>
      </w:r>
      <w:r>
        <w:t>Other – please specify below</w:t>
      </w:r>
    </w:p>
    <w:p w14:paraId="16E99BF9" w14:textId="7B30830C" w:rsidR="005F3F07" w:rsidRDefault="005F3F07" w:rsidP="0073597B">
      <w:pPr>
        <w:ind w:left="426"/>
        <w:rPr>
          <w:b/>
          <w:szCs w:val="20"/>
        </w:rPr>
      </w:pPr>
    </w:p>
    <w:p w14:paraId="1B115542"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0300887E" w14:textId="173EAEBE" w:rsidR="0073597B" w:rsidRPr="003B4C2A" w:rsidRDefault="00CC32FE" w:rsidP="0073597B">
      <w:pPr>
        <w:ind w:left="426"/>
        <w:rPr>
          <w:b/>
          <w:color w:val="4F81BD" w:themeColor="accent1"/>
          <w:szCs w:val="20"/>
        </w:rPr>
      </w:pPr>
      <w:r w:rsidRPr="003B4C2A">
        <w:rPr>
          <w:color w:val="4F81BD" w:themeColor="accent1"/>
        </w:rPr>
        <w:t>The procedure will be performed in hospital (public or private)</w:t>
      </w:r>
      <w:r w:rsidR="00B86287" w:rsidRPr="003B4C2A">
        <w:rPr>
          <w:color w:val="4F81BD" w:themeColor="accent1"/>
        </w:rPr>
        <w:t>, with the patient monitored</w:t>
      </w:r>
      <w:r w:rsidR="00C852CD" w:rsidRPr="003B4C2A">
        <w:rPr>
          <w:color w:val="4F81BD" w:themeColor="accent1"/>
        </w:rPr>
        <w:t xml:space="preserve"> </w:t>
      </w:r>
      <w:r w:rsidR="00B86287" w:rsidRPr="003B4C2A">
        <w:rPr>
          <w:color w:val="4F81BD" w:themeColor="accent1"/>
        </w:rPr>
        <w:t xml:space="preserve">and </w:t>
      </w:r>
      <w:r w:rsidR="00C852CD" w:rsidRPr="003B4C2A">
        <w:rPr>
          <w:color w:val="4F81BD" w:themeColor="accent1"/>
        </w:rPr>
        <w:t xml:space="preserve">usually </w:t>
      </w:r>
      <w:r w:rsidR="00B86287" w:rsidRPr="003B4C2A">
        <w:rPr>
          <w:color w:val="4F81BD" w:themeColor="accent1"/>
        </w:rPr>
        <w:t xml:space="preserve">remaining in hospital </w:t>
      </w:r>
      <w:r w:rsidR="00C72D96" w:rsidRPr="003B4C2A">
        <w:rPr>
          <w:color w:val="4F81BD" w:themeColor="accent1"/>
        </w:rPr>
        <w:t>overnight</w:t>
      </w:r>
      <w:r w:rsidR="00B86287" w:rsidRPr="003B4C2A">
        <w:rPr>
          <w:color w:val="4F81BD" w:themeColor="accent1"/>
        </w:rPr>
        <w:t xml:space="preserve">. </w:t>
      </w:r>
    </w:p>
    <w:p w14:paraId="4680F023" w14:textId="77777777" w:rsidR="003E30FB" w:rsidRDefault="003E30FB" w:rsidP="00530204">
      <w:pPr>
        <w:pStyle w:val="Heading2"/>
      </w:pPr>
      <w:r>
        <w:t xml:space="preserve">Is the </w:t>
      </w:r>
      <w:r w:rsidRPr="001B29A1">
        <w:t>proposed</w:t>
      </w:r>
      <w:r>
        <w:t xml:space="preserve"> medical service intended to be entirely rendered in Australia?</w:t>
      </w:r>
    </w:p>
    <w:p w14:paraId="5B89488E" w14:textId="49A1A5E4" w:rsidR="000A478F" w:rsidRPr="003B4C2A" w:rsidRDefault="00EB5290" w:rsidP="000A478F">
      <w:pPr>
        <w:spacing w:before="0" w:after="0"/>
        <w:ind w:left="426"/>
        <w:rPr>
          <w:color w:val="4F81BD" w:themeColor="accent1"/>
          <w:szCs w:val="20"/>
        </w:rPr>
      </w:pPr>
      <w:r w:rsidRPr="003B4C2A">
        <w:rPr>
          <w:color w:val="4F81BD" w:themeColor="accent1"/>
          <w:szCs w:val="20"/>
        </w:rPr>
        <w:fldChar w:fldCharType="begin">
          <w:ffData>
            <w:name w:val=""/>
            <w:enabled/>
            <w:calcOnExit w:val="0"/>
            <w:checkBox>
              <w:sizeAuto/>
              <w:default w:val="1"/>
            </w:checkBox>
          </w:ffData>
        </w:fldChar>
      </w:r>
      <w:r w:rsidRPr="003B4C2A">
        <w:rPr>
          <w:color w:val="4F81BD" w:themeColor="accent1"/>
          <w:szCs w:val="20"/>
        </w:rPr>
        <w:instrText xml:space="preserve"> FORMCHECKBOX </w:instrText>
      </w:r>
      <w:r w:rsidR="00905881" w:rsidRPr="003B4C2A">
        <w:rPr>
          <w:color w:val="4F81BD" w:themeColor="accent1"/>
          <w:szCs w:val="20"/>
        </w:rPr>
      </w:r>
      <w:r w:rsidR="00905881" w:rsidRPr="003B4C2A">
        <w:rPr>
          <w:color w:val="4F81BD" w:themeColor="accent1"/>
          <w:szCs w:val="20"/>
        </w:rPr>
        <w:fldChar w:fldCharType="separate"/>
      </w:r>
      <w:r w:rsidRPr="003B4C2A">
        <w:rPr>
          <w:color w:val="4F81BD" w:themeColor="accent1"/>
          <w:szCs w:val="20"/>
        </w:rPr>
        <w:fldChar w:fldCharType="end"/>
      </w:r>
      <w:r w:rsidR="000A478F" w:rsidRPr="003B4C2A">
        <w:rPr>
          <w:color w:val="4F81BD" w:themeColor="accent1"/>
          <w:szCs w:val="20"/>
        </w:rPr>
        <w:t xml:space="preserve"> Yes</w:t>
      </w:r>
    </w:p>
    <w:p w14:paraId="140592CF" w14:textId="632145B5" w:rsidR="000A478F" w:rsidRDefault="000A478F" w:rsidP="00A72581">
      <w:pPr>
        <w:spacing w:before="0" w:after="0"/>
        <w:ind w:left="426"/>
        <w:rPr>
          <w:b/>
          <w:i/>
          <w:szCs w:val="20"/>
          <w:u w:val="single"/>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905881">
        <w:rPr>
          <w:szCs w:val="20"/>
        </w:rPr>
      </w:r>
      <w:r w:rsidR="00905881">
        <w:rPr>
          <w:szCs w:val="20"/>
        </w:rPr>
        <w:fldChar w:fldCharType="separate"/>
      </w:r>
      <w:r w:rsidRPr="00753C44">
        <w:rPr>
          <w:szCs w:val="20"/>
        </w:rPr>
        <w:fldChar w:fldCharType="end"/>
      </w:r>
      <w:r>
        <w:rPr>
          <w:szCs w:val="20"/>
        </w:rPr>
        <w:t xml:space="preserve"> No</w:t>
      </w:r>
      <w:r w:rsidR="00C4696B">
        <w:rPr>
          <w:szCs w:val="20"/>
        </w:rPr>
        <w:t xml:space="preserve"> – please specify below</w:t>
      </w:r>
      <w:r>
        <w:rPr>
          <w:b/>
          <w:i/>
          <w:szCs w:val="20"/>
          <w:u w:val="single"/>
        </w:rPr>
        <w:br w:type="page"/>
      </w:r>
    </w:p>
    <w:p w14:paraId="34DDDAF4"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3E258E9E"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05B600FA" w14:textId="68B65C39" w:rsidR="00832628" w:rsidRPr="003B4C2A" w:rsidRDefault="00832628" w:rsidP="00832628">
      <w:pPr>
        <w:ind w:left="426"/>
        <w:rPr>
          <w:color w:val="4F81BD" w:themeColor="accent1"/>
        </w:rPr>
      </w:pPr>
      <w:r w:rsidRPr="003B4C2A">
        <w:rPr>
          <w:color w:val="4F81BD" w:themeColor="accent1"/>
        </w:rPr>
        <w:t>The proposed comparators for endovascular insertion of a FDD, consistent with current clinical management of patients (Q40) and current utilisation in clinical practice (Q46) are as follows:</w:t>
      </w:r>
    </w:p>
    <w:p w14:paraId="3250244E" w14:textId="70930547" w:rsidR="00832628" w:rsidRPr="003B4C2A" w:rsidRDefault="00832628" w:rsidP="00A72581">
      <w:pPr>
        <w:pStyle w:val="ListParagraph"/>
        <w:numPr>
          <w:ilvl w:val="0"/>
          <w:numId w:val="45"/>
        </w:numPr>
        <w:rPr>
          <w:color w:val="4F81BD" w:themeColor="accent1"/>
        </w:rPr>
      </w:pPr>
      <w:r w:rsidRPr="003B4C2A">
        <w:rPr>
          <w:color w:val="4F81BD" w:themeColor="accent1"/>
        </w:rPr>
        <w:t xml:space="preserve">Patients with aneurysms &lt; 10 mm, suitable for endovascular or surgical therapy, with wide neck (&gt; 4 mm), fusiform or dysplastic morphology. </w:t>
      </w:r>
      <w:r w:rsidRPr="003B4C2A">
        <w:rPr>
          <w:color w:val="4F81BD" w:themeColor="accent1"/>
          <w:u w:val="single"/>
        </w:rPr>
        <w:t>Comparator</w:t>
      </w:r>
      <w:r w:rsidRPr="003B4C2A">
        <w:rPr>
          <w:color w:val="4F81BD" w:themeColor="accent1"/>
        </w:rPr>
        <w:t>: coiling ± stenting</w:t>
      </w:r>
    </w:p>
    <w:p w14:paraId="478D8D20" w14:textId="100ABF0F" w:rsidR="00832628" w:rsidRPr="003B4C2A" w:rsidRDefault="00832628" w:rsidP="00A72581">
      <w:pPr>
        <w:pStyle w:val="ListParagraph"/>
        <w:numPr>
          <w:ilvl w:val="0"/>
          <w:numId w:val="45"/>
        </w:numPr>
        <w:rPr>
          <w:color w:val="4F81BD" w:themeColor="accent1"/>
        </w:rPr>
      </w:pPr>
      <w:r w:rsidRPr="003B4C2A">
        <w:rPr>
          <w:color w:val="4F81BD" w:themeColor="accent1"/>
        </w:rPr>
        <w:t xml:space="preserve">Patients with aneurysms ≥ 10 mm, suitable for endovascular or surgical therapy. </w:t>
      </w:r>
      <w:r w:rsidRPr="003B4C2A">
        <w:rPr>
          <w:color w:val="4F81BD" w:themeColor="accent1"/>
          <w:u w:val="single"/>
        </w:rPr>
        <w:t>Comparator:</w:t>
      </w:r>
      <w:r w:rsidRPr="003B4C2A">
        <w:rPr>
          <w:color w:val="4F81BD" w:themeColor="accent1"/>
        </w:rPr>
        <w:t xml:space="preserve"> coiling ± stenting</w:t>
      </w:r>
    </w:p>
    <w:p w14:paraId="050F427A" w14:textId="58C83017" w:rsidR="00A72581" w:rsidRPr="003B4C2A" w:rsidRDefault="00832628" w:rsidP="00A72581">
      <w:pPr>
        <w:pStyle w:val="ListParagraph"/>
        <w:numPr>
          <w:ilvl w:val="0"/>
          <w:numId w:val="45"/>
        </w:numPr>
        <w:rPr>
          <w:color w:val="4F81BD" w:themeColor="accent1"/>
        </w:rPr>
      </w:pPr>
      <w:r w:rsidRPr="003B4C2A">
        <w:rPr>
          <w:color w:val="4F81BD" w:themeColor="accent1"/>
        </w:rPr>
        <w:t>Patients with aneurysms ≥ 10 mm, unsuitable for coiling, clipping or parent vessel occlusion typically giant fusiform aneurysms arising at the skull base.</w:t>
      </w:r>
      <w:r w:rsidRPr="003B4C2A">
        <w:rPr>
          <w:color w:val="4F81BD" w:themeColor="accent1"/>
          <w:u w:val="single"/>
        </w:rPr>
        <w:t xml:space="preserve"> Comparator</w:t>
      </w:r>
      <w:r w:rsidRPr="003B4C2A">
        <w:rPr>
          <w:color w:val="4F81BD" w:themeColor="accent1"/>
        </w:rPr>
        <w:t>: conservative management</w:t>
      </w:r>
    </w:p>
    <w:p w14:paraId="55F6DEE8" w14:textId="7A222127" w:rsidR="00A72581" w:rsidRPr="003B4C2A" w:rsidRDefault="00A72581" w:rsidP="00A72581">
      <w:pPr>
        <w:pStyle w:val="ListParagraph"/>
        <w:numPr>
          <w:ilvl w:val="0"/>
          <w:numId w:val="45"/>
        </w:numPr>
        <w:rPr>
          <w:color w:val="4F81BD" w:themeColor="accent1"/>
        </w:rPr>
      </w:pPr>
      <w:r w:rsidRPr="003B4C2A">
        <w:rPr>
          <w:color w:val="4F81BD" w:themeColor="accent1"/>
        </w:rPr>
        <w:t xml:space="preserve">Patients with previously treated intracranial aneurysms of any size that have </w:t>
      </w:r>
      <w:proofErr w:type="spellStart"/>
      <w:r w:rsidRPr="003B4C2A">
        <w:rPr>
          <w:color w:val="4F81BD" w:themeColor="accent1"/>
        </w:rPr>
        <w:t>recanalized</w:t>
      </w:r>
      <w:proofErr w:type="spellEnd"/>
      <w:r w:rsidRPr="003B4C2A">
        <w:rPr>
          <w:color w:val="4F81BD" w:themeColor="accent1"/>
        </w:rPr>
        <w:t xml:space="preserve"> and require retreatment. </w:t>
      </w:r>
      <w:r w:rsidRPr="003B4C2A">
        <w:rPr>
          <w:color w:val="4F81BD" w:themeColor="accent1"/>
          <w:u w:val="single"/>
        </w:rPr>
        <w:t>Comparator</w:t>
      </w:r>
      <w:r w:rsidRPr="003B4C2A">
        <w:rPr>
          <w:color w:val="4F81BD" w:themeColor="accent1"/>
        </w:rPr>
        <w:t>: coiling ± stenting.</w:t>
      </w:r>
    </w:p>
    <w:p w14:paraId="7F667C31" w14:textId="0D230CA5" w:rsidR="004E2836" w:rsidRPr="003B4C2A" w:rsidRDefault="004E2836" w:rsidP="001B29A1">
      <w:pPr>
        <w:ind w:left="426"/>
        <w:rPr>
          <w:color w:val="4F81BD" w:themeColor="accent1"/>
        </w:rPr>
      </w:pPr>
      <w:r w:rsidRPr="003B4C2A">
        <w:rPr>
          <w:color w:val="4F81BD" w:themeColor="accent1"/>
        </w:rPr>
        <w:t xml:space="preserve">Patients with a previously treated aneurysm of any size that require re-treatment also constitute a population with high clinical need of an effective treatment. The current management of these patients is endovascular coiling. </w:t>
      </w:r>
    </w:p>
    <w:p w14:paraId="108FB9F4" w14:textId="1A9756E8" w:rsidR="00A04E20" w:rsidRPr="003B4C2A" w:rsidRDefault="00A04E20" w:rsidP="001B29A1">
      <w:pPr>
        <w:ind w:left="426"/>
        <w:rPr>
          <w:color w:val="4F81BD" w:themeColor="accent1"/>
        </w:rPr>
      </w:pPr>
      <w:r w:rsidRPr="003B4C2A">
        <w:rPr>
          <w:color w:val="4F81BD" w:themeColor="accent1"/>
        </w:rPr>
        <w:t xml:space="preserve">There are two main treatments reimbursed on the MBS for the treatment of intracranial aneurysms, clipping (MBS 39800 and 39806) and endovascular coiling (MBS 35412). Ligation or grafting of the parent vessel is rarely used and not considered further. The MBS item descriptors for clipping, coiling, ligation and grafting are provided in </w:t>
      </w:r>
      <w:r w:rsidRPr="003B4C2A">
        <w:rPr>
          <w:color w:val="4F81BD" w:themeColor="accent1"/>
        </w:rPr>
        <w:fldChar w:fldCharType="begin"/>
      </w:r>
      <w:r w:rsidRPr="003B4C2A">
        <w:rPr>
          <w:color w:val="4F81BD" w:themeColor="accent1"/>
        </w:rPr>
        <w:instrText xml:space="preserve"> REF _Ref507683154 \h </w:instrText>
      </w:r>
      <w:r w:rsidRPr="003B4C2A">
        <w:rPr>
          <w:color w:val="4F81BD" w:themeColor="accent1"/>
        </w:rPr>
      </w:r>
      <w:r w:rsidRPr="003B4C2A">
        <w:rPr>
          <w:color w:val="4F81BD" w:themeColor="accent1"/>
        </w:rPr>
        <w:fldChar w:fldCharType="separate"/>
      </w:r>
      <w:r w:rsidR="008335FD" w:rsidRPr="003B4C2A">
        <w:rPr>
          <w:color w:val="4F81BD" w:themeColor="accent1"/>
        </w:rPr>
        <w:t xml:space="preserve">Table </w:t>
      </w:r>
      <w:r w:rsidR="008335FD" w:rsidRPr="003B4C2A">
        <w:rPr>
          <w:noProof/>
          <w:color w:val="4F81BD" w:themeColor="accent1"/>
        </w:rPr>
        <w:t>3</w:t>
      </w:r>
      <w:r w:rsidRPr="003B4C2A">
        <w:rPr>
          <w:color w:val="4F81BD" w:themeColor="accent1"/>
        </w:rPr>
        <w:fldChar w:fldCharType="end"/>
      </w:r>
      <w:r w:rsidRPr="003B4C2A">
        <w:rPr>
          <w:color w:val="4F81BD" w:themeColor="accent1"/>
        </w:rPr>
        <w:t>.</w:t>
      </w:r>
      <w:r w:rsidR="0019040D" w:rsidRPr="003B4C2A">
        <w:rPr>
          <w:color w:val="4F81BD" w:themeColor="accent1"/>
        </w:rPr>
        <w:t xml:space="preserve"> Details of each of these procedures are provided below. </w:t>
      </w:r>
    </w:p>
    <w:p w14:paraId="28ADA397" w14:textId="13E3914C" w:rsidR="0019040D" w:rsidRPr="009E0571" w:rsidRDefault="0019040D" w:rsidP="00832628">
      <w:pPr>
        <w:pStyle w:val="Caption"/>
        <w:ind w:firstLine="426"/>
      </w:pPr>
      <w:bookmarkStart w:id="16" w:name="_Ref507683154"/>
      <w:r w:rsidRPr="009E0571">
        <w:t xml:space="preserve">Table </w:t>
      </w:r>
      <w:r w:rsidR="00F64073">
        <w:rPr>
          <w:noProof/>
        </w:rPr>
        <w:fldChar w:fldCharType="begin"/>
      </w:r>
      <w:r w:rsidR="00F64073">
        <w:rPr>
          <w:noProof/>
        </w:rPr>
        <w:instrText xml:space="preserve"> SEQ Table \* ARABIC </w:instrText>
      </w:r>
      <w:r w:rsidR="00F64073">
        <w:rPr>
          <w:noProof/>
        </w:rPr>
        <w:fldChar w:fldCharType="separate"/>
      </w:r>
      <w:r w:rsidR="00CA2489">
        <w:rPr>
          <w:noProof/>
        </w:rPr>
        <w:t>4</w:t>
      </w:r>
      <w:r w:rsidR="00F64073">
        <w:rPr>
          <w:noProof/>
        </w:rPr>
        <w:fldChar w:fldCharType="end"/>
      </w:r>
      <w:bookmarkEnd w:id="16"/>
      <w:r w:rsidRPr="009E0571">
        <w:tab/>
        <w:t>Relevant MBS items for potential comparators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5866"/>
        <w:gridCol w:w="1234"/>
      </w:tblGrid>
      <w:tr w:rsidR="0019040D" w:rsidRPr="00C72D96" w14:paraId="183366D3" w14:textId="77777777" w:rsidTr="0019040D">
        <w:tc>
          <w:tcPr>
            <w:tcW w:w="1263" w:type="dxa"/>
            <w:tcBorders>
              <w:bottom w:val="single" w:sz="4" w:space="0" w:color="auto"/>
            </w:tcBorders>
            <w:shd w:val="clear" w:color="auto" w:fill="auto"/>
          </w:tcPr>
          <w:p w14:paraId="28699526" w14:textId="77777777" w:rsidR="0019040D" w:rsidRPr="00C72D96" w:rsidRDefault="0019040D" w:rsidP="00C72D96">
            <w:pPr>
              <w:rPr>
                <w:b/>
              </w:rPr>
            </w:pPr>
            <w:r w:rsidRPr="00C72D96">
              <w:rPr>
                <w:b/>
              </w:rPr>
              <w:t>MBS item</w:t>
            </w:r>
          </w:p>
        </w:tc>
        <w:tc>
          <w:tcPr>
            <w:tcW w:w="5866" w:type="dxa"/>
            <w:tcBorders>
              <w:bottom w:val="single" w:sz="4" w:space="0" w:color="auto"/>
            </w:tcBorders>
            <w:shd w:val="clear" w:color="auto" w:fill="auto"/>
          </w:tcPr>
          <w:p w14:paraId="758B9C9B" w14:textId="77777777" w:rsidR="0019040D" w:rsidRPr="00C72D96" w:rsidRDefault="0019040D" w:rsidP="00C72D96">
            <w:pPr>
              <w:rPr>
                <w:b/>
              </w:rPr>
            </w:pPr>
            <w:r w:rsidRPr="00C72D96">
              <w:rPr>
                <w:b/>
              </w:rPr>
              <w:t>MBS item descriptor</w:t>
            </w:r>
          </w:p>
        </w:tc>
        <w:tc>
          <w:tcPr>
            <w:tcW w:w="1234" w:type="dxa"/>
            <w:tcBorders>
              <w:bottom w:val="single" w:sz="4" w:space="0" w:color="auto"/>
            </w:tcBorders>
            <w:shd w:val="clear" w:color="auto" w:fill="auto"/>
          </w:tcPr>
          <w:p w14:paraId="0803E34B" w14:textId="77777777" w:rsidR="0019040D" w:rsidRPr="00C72D96" w:rsidRDefault="0019040D" w:rsidP="00C72D96">
            <w:pPr>
              <w:rPr>
                <w:b/>
              </w:rPr>
            </w:pPr>
            <w:r w:rsidRPr="00C72D96">
              <w:rPr>
                <w:b/>
              </w:rPr>
              <w:t>Fee</w:t>
            </w:r>
          </w:p>
        </w:tc>
      </w:tr>
      <w:tr w:rsidR="0019040D" w:rsidRPr="00C72D96" w14:paraId="32C79A5E" w14:textId="77777777" w:rsidTr="0019040D">
        <w:tc>
          <w:tcPr>
            <w:tcW w:w="1263" w:type="dxa"/>
            <w:tcBorders>
              <w:right w:val="nil"/>
            </w:tcBorders>
            <w:shd w:val="clear" w:color="auto" w:fill="auto"/>
          </w:tcPr>
          <w:p w14:paraId="56DA2F57" w14:textId="77777777" w:rsidR="0019040D" w:rsidRPr="00C72D96" w:rsidRDefault="0019040D" w:rsidP="00C72D96">
            <w:pPr>
              <w:rPr>
                <w:b/>
                <w:i/>
              </w:rPr>
            </w:pPr>
            <w:r w:rsidRPr="00C72D96">
              <w:rPr>
                <w:b/>
                <w:i/>
              </w:rPr>
              <w:t>Coiling</w:t>
            </w:r>
          </w:p>
        </w:tc>
        <w:tc>
          <w:tcPr>
            <w:tcW w:w="5866" w:type="dxa"/>
            <w:tcBorders>
              <w:left w:val="nil"/>
              <w:right w:val="nil"/>
            </w:tcBorders>
            <w:shd w:val="clear" w:color="auto" w:fill="auto"/>
          </w:tcPr>
          <w:p w14:paraId="0B5711DF" w14:textId="77777777" w:rsidR="0019040D" w:rsidRPr="00C72D96" w:rsidRDefault="0019040D" w:rsidP="00C72D96">
            <w:pPr>
              <w:rPr>
                <w:b/>
                <w:i/>
              </w:rPr>
            </w:pPr>
          </w:p>
        </w:tc>
        <w:tc>
          <w:tcPr>
            <w:tcW w:w="1234" w:type="dxa"/>
            <w:tcBorders>
              <w:left w:val="nil"/>
            </w:tcBorders>
            <w:shd w:val="clear" w:color="auto" w:fill="auto"/>
          </w:tcPr>
          <w:p w14:paraId="265555C1" w14:textId="77777777" w:rsidR="0019040D" w:rsidRPr="00C72D96" w:rsidRDefault="0019040D" w:rsidP="00C72D96">
            <w:pPr>
              <w:rPr>
                <w:b/>
                <w:i/>
              </w:rPr>
            </w:pPr>
          </w:p>
        </w:tc>
      </w:tr>
      <w:tr w:rsidR="0019040D" w:rsidRPr="009E0571" w14:paraId="401E7C20" w14:textId="77777777" w:rsidTr="0019040D">
        <w:tc>
          <w:tcPr>
            <w:tcW w:w="1263" w:type="dxa"/>
            <w:tcBorders>
              <w:bottom w:val="single" w:sz="4" w:space="0" w:color="auto"/>
            </w:tcBorders>
            <w:shd w:val="clear" w:color="auto" w:fill="auto"/>
          </w:tcPr>
          <w:p w14:paraId="2E79C60A" w14:textId="77777777" w:rsidR="0019040D" w:rsidRPr="003B4C2A" w:rsidRDefault="0019040D" w:rsidP="00C72D96">
            <w:pPr>
              <w:rPr>
                <w:color w:val="4F81BD" w:themeColor="accent1"/>
              </w:rPr>
            </w:pPr>
            <w:r w:rsidRPr="003B4C2A">
              <w:rPr>
                <w:color w:val="4F81BD" w:themeColor="accent1"/>
              </w:rPr>
              <w:t>35412</w:t>
            </w:r>
          </w:p>
        </w:tc>
        <w:tc>
          <w:tcPr>
            <w:tcW w:w="5866" w:type="dxa"/>
            <w:tcBorders>
              <w:bottom w:val="single" w:sz="4" w:space="0" w:color="auto"/>
            </w:tcBorders>
            <w:shd w:val="clear" w:color="auto" w:fill="auto"/>
          </w:tcPr>
          <w:p w14:paraId="10AF48D3" w14:textId="77777777" w:rsidR="0019040D" w:rsidRPr="003B4C2A" w:rsidRDefault="0019040D" w:rsidP="00C72D96">
            <w:pPr>
              <w:rPr>
                <w:color w:val="4F81BD" w:themeColor="accent1"/>
              </w:rPr>
            </w:pPr>
            <w:r w:rsidRPr="003B4C2A">
              <w:rPr>
                <w:color w:val="4F81BD" w:themeColor="accent1"/>
              </w:rPr>
              <w:t xml:space="preserve">Intracranial aneurysm, ruptured or </w:t>
            </w:r>
            <w:proofErr w:type="spellStart"/>
            <w:r w:rsidRPr="003B4C2A">
              <w:rPr>
                <w:color w:val="4F81BD" w:themeColor="accent1"/>
              </w:rPr>
              <w:t>unruptured</w:t>
            </w:r>
            <w:proofErr w:type="spellEnd"/>
            <w:r w:rsidRPr="003B4C2A">
              <w:rPr>
                <w:color w:val="4F81BD" w:themeColor="accent1"/>
              </w:rPr>
              <w:t xml:space="preserve">, endovascular occlusion with detachable coils, and assisted coiling if performed, with parent artery preservation, not for use with liquid </w:t>
            </w:r>
            <w:proofErr w:type="spellStart"/>
            <w:r w:rsidRPr="003B4C2A">
              <w:rPr>
                <w:color w:val="4F81BD" w:themeColor="accent1"/>
              </w:rPr>
              <w:t>embolics</w:t>
            </w:r>
            <w:proofErr w:type="spellEnd"/>
            <w:r w:rsidRPr="003B4C2A">
              <w:rPr>
                <w:color w:val="4F81BD" w:themeColor="accent1"/>
              </w:rPr>
              <w:t xml:space="preserve"> only, including aftercare, including intra-operative imaging, but in association with the following pre-operative diagnostic imaging items: </w:t>
            </w:r>
          </w:p>
          <w:p w14:paraId="2F897C4D" w14:textId="77777777" w:rsidR="0019040D" w:rsidRPr="003B4C2A" w:rsidRDefault="0019040D" w:rsidP="00C72D96">
            <w:pPr>
              <w:rPr>
                <w:color w:val="4F81BD" w:themeColor="accent1"/>
              </w:rPr>
            </w:pPr>
            <w:r w:rsidRPr="003B4C2A">
              <w:rPr>
                <w:color w:val="4F81BD" w:themeColor="accent1"/>
              </w:rPr>
              <w:t xml:space="preserve">- either 60009 or 60010; and </w:t>
            </w:r>
          </w:p>
          <w:p w14:paraId="487271E9" w14:textId="77777777" w:rsidR="0019040D" w:rsidRPr="003B4C2A" w:rsidRDefault="0019040D" w:rsidP="00C72D96">
            <w:pPr>
              <w:rPr>
                <w:color w:val="4F81BD" w:themeColor="accent1"/>
              </w:rPr>
            </w:pPr>
            <w:r w:rsidRPr="003B4C2A">
              <w:rPr>
                <w:color w:val="4F81BD" w:themeColor="accent1"/>
              </w:rPr>
              <w:t xml:space="preserve">- either 60072, 60073, 60075, 60076, 60078 or 60079 </w:t>
            </w:r>
          </w:p>
        </w:tc>
        <w:tc>
          <w:tcPr>
            <w:tcW w:w="1234" w:type="dxa"/>
            <w:tcBorders>
              <w:bottom w:val="single" w:sz="4" w:space="0" w:color="auto"/>
            </w:tcBorders>
            <w:shd w:val="clear" w:color="auto" w:fill="auto"/>
          </w:tcPr>
          <w:p w14:paraId="6988CC9C" w14:textId="77777777" w:rsidR="0019040D" w:rsidRPr="009E0571" w:rsidRDefault="0019040D" w:rsidP="00C72D96">
            <w:r w:rsidRPr="009E0571">
              <w:t>$2,857.55</w:t>
            </w:r>
          </w:p>
        </w:tc>
      </w:tr>
      <w:tr w:rsidR="0019040D" w:rsidRPr="00C72D96" w14:paraId="0730D7D5" w14:textId="77777777" w:rsidTr="0019040D">
        <w:tc>
          <w:tcPr>
            <w:tcW w:w="1263" w:type="dxa"/>
            <w:tcBorders>
              <w:right w:val="nil"/>
            </w:tcBorders>
            <w:shd w:val="clear" w:color="auto" w:fill="auto"/>
          </w:tcPr>
          <w:p w14:paraId="6C8CB056" w14:textId="77777777" w:rsidR="0019040D" w:rsidRPr="00C72D96" w:rsidRDefault="0019040D" w:rsidP="00C72D96">
            <w:pPr>
              <w:rPr>
                <w:b/>
                <w:i/>
              </w:rPr>
            </w:pPr>
            <w:r w:rsidRPr="00C72D96">
              <w:rPr>
                <w:b/>
                <w:i/>
              </w:rPr>
              <w:t>Clipping</w:t>
            </w:r>
          </w:p>
        </w:tc>
        <w:tc>
          <w:tcPr>
            <w:tcW w:w="5866" w:type="dxa"/>
            <w:tcBorders>
              <w:left w:val="nil"/>
              <w:right w:val="nil"/>
            </w:tcBorders>
            <w:shd w:val="clear" w:color="auto" w:fill="auto"/>
          </w:tcPr>
          <w:p w14:paraId="6C55D5D7" w14:textId="77777777" w:rsidR="0019040D" w:rsidRPr="00C72D96" w:rsidRDefault="0019040D" w:rsidP="00C72D96">
            <w:pPr>
              <w:rPr>
                <w:b/>
                <w:i/>
              </w:rPr>
            </w:pPr>
          </w:p>
        </w:tc>
        <w:tc>
          <w:tcPr>
            <w:tcW w:w="1234" w:type="dxa"/>
            <w:tcBorders>
              <w:left w:val="nil"/>
            </w:tcBorders>
            <w:shd w:val="clear" w:color="auto" w:fill="auto"/>
          </w:tcPr>
          <w:p w14:paraId="33F98A06" w14:textId="77777777" w:rsidR="0019040D" w:rsidRPr="00C72D96" w:rsidRDefault="0019040D" w:rsidP="00C72D96">
            <w:pPr>
              <w:rPr>
                <w:b/>
                <w:i/>
              </w:rPr>
            </w:pPr>
          </w:p>
        </w:tc>
      </w:tr>
      <w:tr w:rsidR="0019040D" w:rsidRPr="009E0571" w14:paraId="5FDD4D77" w14:textId="77777777" w:rsidTr="0019040D">
        <w:tc>
          <w:tcPr>
            <w:tcW w:w="1263" w:type="dxa"/>
            <w:shd w:val="clear" w:color="auto" w:fill="auto"/>
          </w:tcPr>
          <w:p w14:paraId="77D4BD13" w14:textId="77777777" w:rsidR="0019040D" w:rsidRPr="003B4C2A" w:rsidRDefault="0019040D" w:rsidP="00C72D96">
            <w:pPr>
              <w:rPr>
                <w:color w:val="4F81BD" w:themeColor="accent1"/>
              </w:rPr>
            </w:pPr>
            <w:r w:rsidRPr="003B4C2A">
              <w:rPr>
                <w:color w:val="4F81BD" w:themeColor="accent1"/>
              </w:rPr>
              <w:t>39800</w:t>
            </w:r>
          </w:p>
        </w:tc>
        <w:tc>
          <w:tcPr>
            <w:tcW w:w="5866" w:type="dxa"/>
            <w:shd w:val="clear" w:color="auto" w:fill="auto"/>
          </w:tcPr>
          <w:p w14:paraId="376672AC" w14:textId="77777777" w:rsidR="0019040D" w:rsidRPr="003B4C2A" w:rsidRDefault="0019040D" w:rsidP="00C72D96">
            <w:pPr>
              <w:rPr>
                <w:color w:val="4F81BD" w:themeColor="accent1"/>
              </w:rPr>
            </w:pPr>
            <w:r w:rsidRPr="003B4C2A">
              <w:rPr>
                <w:color w:val="4F81BD" w:themeColor="accent1"/>
              </w:rPr>
              <w:t>ANEURYSM, clipping or reinforcement of sac</w:t>
            </w:r>
          </w:p>
        </w:tc>
        <w:tc>
          <w:tcPr>
            <w:tcW w:w="1234" w:type="dxa"/>
            <w:shd w:val="clear" w:color="auto" w:fill="auto"/>
          </w:tcPr>
          <w:p w14:paraId="7049F232" w14:textId="77777777" w:rsidR="0019040D" w:rsidRPr="009E0571" w:rsidRDefault="0019040D" w:rsidP="00C72D96">
            <w:r w:rsidRPr="009E0571">
              <w:t>$2,857.55</w:t>
            </w:r>
          </w:p>
        </w:tc>
      </w:tr>
      <w:tr w:rsidR="0019040D" w:rsidRPr="009E0571" w14:paraId="38464FF9" w14:textId="77777777" w:rsidTr="0019040D">
        <w:tc>
          <w:tcPr>
            <w:tcW w:w="1263" w:type="dxa"/>
            <w:shd w:val="clear" w:color="auto" w:fill="auto"/>
          </w:tcPr>
          <w:p w14:paraId="47F1BE40" w14:textId="77777777" w:rsidR="0019040D" w:rsidRPr="003B4C2A" w:rsidRDefault="0019040D" w:rsidP="00C72D96">
            <w:pPr>
              <w:rPr>
                <w:color w:val="4F81BD" w:themeColor="accent1"/>
              </w:rPr>
            </w:pPr>
            <w:r w:rsidRPr="003B4C2A">
              <w:rPr>
                <w:color w:val="4F81BD" w:themeColor="accent1"/>
              </w:rPr>
              <w:t>39806</w:t>
            </w:r>
          </w:p>
        </w:tc>
        <w:tc>
          <w:tcPr>
            <w:tcW w:w="5866" w:type="dxa"/>
            <w:shd w:val="clear" w:color="auto" w:fill="auto"/>
          </w:tcPr>
          <w:p w14:paraId="201C65EF" w14:textId="77777777" w:rsidR="0019040D" w:rsidRPr="003B4C2A" w:rsidRDefault="0019040D" w:rsidP="00C72D96">
            <w:pPr>
              <w:rPr>
                <w:color w:val="4F81BD" w:themeColor="accent1"/>
              </w:rPr>
            </w:pPr>
            <w:r w:rsidRPr="003B4C2A">
              <w:rPr>
                <w:color w:val="4F81BD" w:themeColor="accent1"/>
              </w:rPr>
              <w:t>ANEURYSM, or arteriovenous malformation, intracranial proximal artery clipping of</w:t>
            </w:r>
          </w:p>
        </w:tc>
        <w:tc>
          <w:tcPr>
            <w:tcW w:w="1234" w:type="dxa"/>
            <w:shd w:val="clear" w:color="auto" w:fill="auto"/>
          </w:tcPr>
          <w:p w14:paraId="7C7F3CA4" w14:textId="77777777" w:rsidR="0019040D" w:rsidRPr="009E0571" w:rsidRDefault="0019040D" w:rsidP="00C72D96">
            <w:r w:rsidRPr="009E0571">
              <w:t>$1,285.75</w:t>
            </w:r>
          </w:p>
        </w:tc>
      </w:tr>
      <w:tr w:rsidR="00C72D96" w:rsidRPr="00C72D96" w14:paraId="1DB2AEFA" w14:textId="77777777" w:rsidTr="00345E2B">
        <w:tc>
          <w:tcPr>
            <w:tcW w:w="8363" w:type="dxa"/>
            <w:gridSpan w:val="3"/>
            <w:shd w:val="clear" w:color="auto" w:fill="auto"/>
          </w:tcPr>
          <w:p w14:paraId="1CA915B6" w14:textId="77777777" w:rsidR="00C72D96" w:rsidRPr="00C72D96" w:rsidRDefault="00C72D96" w:rsidP="00345E2B">
            <w:pPr>
              <w:rPr>
                <w:rStyle w:val="highlight"/>
                <w:b/>
                <w:i/>
              </w:rPr>
            </w:pPr>
            <w:r w:rsidRPr="00C72D96">
              <w:rPr>
                <w:b/>
                <w:i/>
              </w:rPr>
              <w:t>Ligation or grafting</w:t>
            </w:r>
          </w:p>
        </w:tc>
      </w:tr>
      <w:tr w:rsidR="00C72D96" w:rsidRPr="009E0571" w14:paraId="253F611B" w14:textId="77777777" w:rsidTr="00345E2B">
        <w:tc>
          <w:tcPr>
            <w:tcW w:w="1263" w:type="dxa"/>
            <w:shd w:val="clear" w:color="auto" w:fill="auto"/>
          </w:tcPr>
          <w:p w14:paraId="6AEF67B6" w14:textId="77777777" w:rsidR="00C72D96" w:rsidRPr="003B4C2A" w:rsidRDefault="00C72D96" w:rsidP="00345E2B">
            <w:pPr>
              <w:rPr>
                <w:color w:val="4F81BD" w:themeColor="accent1"/>
              </w:rPr>
            </w:pPr>
            <w:r w:rsidRPr="003B4C2A">
              <w:rPr>
                <w:color w:val="4F81BD" w:themeColor="accent1"/>
              </w:rPr>
              <w:t>33100</w:t>
            </w:r>
          </w:p>
        </w:tc>
        <w:tc>
          <w:tcPr>
            <w:tcW w:w="5866" w:type="dxa"/>
            <w:shd w:val="clear" w:color="auto" w:fill="auto"/>
          </w:tcPr>
          <w:p w14:paraId="7D6AA879" w14:textId="77777777" w:rsidR="00C72D96" w:rsidRPr="003B4C2A" w:rsidRDefault="00C72D96" w:rsidP="00345E2B">
            <w:pPr>
              <w:rPr>
                <w:color w:val="4F81BD" w:themeColor="accent1"/>
              </w:rPr>
            </w:pPr>
            <w:r w:rsidRPr="003B4C2A">
              <w:rPr>
                <w:rStyle w:val="highlight"/>
                <w:color w:val="4F81BD" w:themeColor="accent1"/>
              </w:rPr>
              <w:t>ANEURYSM</w:t>
            </w:r>
            <w:r w:rsidRPr="003B4C2A">
              <w:rPr>
                <w:color w:val="4F81BD" w:themeColor="accent1"/>
              </w:rPr>
              <w:t xml:space="preserve"> OF COMMON OR INTERNAL CAROTID ARTERY, OR BOTH, replacement by graft of vein or synthetic material</w:t>
            </w:r>
          </w:p>
        </w:tc>
        <w:tc>
          <w:tcPr>
            <w:tcW w:w="1234" w:type="dxa"/>
            <w:shd w:val="clear" w:color="auto" w:fill="auto"/>
          </w:tcPr>
          <w:p w14:paraId="7FCE37CB" w14:textId="77777777" w:rsidR="00C72D96" w:rsidRPr="009E0571" w:rsidRDefault="00C72D96" w:rsidP="00345E2B">
            <w:pPr>
              <w:rPr>
                <w:rStyle w:val="highlight"/>
              </w:rPr>
            </w:pPr>
            <w:r w:rsidRPr="009E0571">
              <w:t>$1,436.30</w:t>
            </w:r>
          </w:p>
        </w:tc>
      </w:tr>
      <w:tr w:rsidR="00C72D96" w:rsidRPr="009E0571" w14:paraId="29ADD182" w14:textId="77777777" w:rsidTr="00345E2B">
        <w:tc>
          <w:tcPr>
            <w:tcW w:w="1263" w:type="dxa"/>
            <w:tcBorders>
              <w:bottom w:val="single" w:sz="4" w:space="0" w:color="auto"/>
            </w:tcBorders>
            <w:shd w:val="clear" w:color="auto" w:fill="auto"/>
          </w:tcPr>
          <w:p w14:paraId="0B7D141D" w14:textId="77777777" w:rsidR="00C72D96" w:rsidRPr="003B4C2A" w:rsidRDefault="00C72D96" w:rsidP="00345E2B">
            <w:pPr>
              <w:rPr>
                <w:color w:val="4F81BD" w:themeColor="accent1"/>
              </w:rPr>
            </w:pPr>
            <w:r w:rsidRPr="003B4C2A">
              <w:rPr>
                <w:color w:val="4F81BD" w:themeColor="accent1"/>
              </w:rPr>
              <w:t>39812</w:t>
            </w:r>
          </w:p>
        </w:tc>
        <w:tc>
          <w:tcPr>
            <w:tcW w:w="5866" w:type="dxa"/>
            <w:tcBorders>
              <w:bottom w:val="single" w:sz="4" w:space="0" w:color="auto"/>
            </w:tcBorders>
            <w:shd w:val="clear" w:color="auto" w:fill="auto"/>
          </w:tcPr>
          <w:p w14:paraId="58796511" w14:textId="77777777" w:rsidR="00C72D96" w:rsidRPr="003B4C2A" w:rsidRDefault="00C72D96" w:rsidP="00345E2B">
            <w:pPr>
              <w:rPr>
                <w:color w:val="4F81BD" w:themeColor="accent1"/>
              </w:rPr>
            </w:pPr>
            <w:r w:rsidRPr="003B4C2A">
              <w:rPr>
                <w:color w:val="4F81BD" w:themeColor="accent1"/>
              </w:rPr>
              <w:t xml:space="preserve">INTRACRANIAL ANEURYSM or arteriovenous fistula, ligation of cervical vessel or vessels </w:t>
            </w:r>
          </w:p>
        </w:tc>
        <w:tc>
          <w:tcPr>
            <w:tcW w:w="1234" w:type="dxa"/>
            <w:tcBorders>
              <w:bottom w:val="single" w:sz="4" w:space="0" w:color="auto"/>
            </w:tcBorders>
            <w:shd w:val="clear" w:color="auto" w:fill="auto"/>
          </w:tcPr>
          <w:p w14:paraId="4427106C" w14:textId="77777777" w:rsidR="00C72D96" w:rsidRPr="009E0571" w:rsidRDefault="00C72D96" w:rsidP="00345E2B">
            <w:r w:rsidRPr="009E0571">
              <w:t>$631.75</w:t>
            </w:r>
          </w:p>
        </w:tc>
      </w:tr>
    </w:tbl>
    <w:p w14:paraId="0E3BD6D7" w14:textId="77777777" w:rsidR="0019040D" w:rsidRDefault="0019040D" w:rsidP="001B29A1">
      <w:pPr>
        <w:ind w:left="426"/>
      </w:pPr>
    </w:p>
    <w:p w14:paraId="3C3B6A2E" w14:textId="3DE1329E" w:rsidR="006B6B5E" w:rsidRPr="003B4C2A" w:rsidRDefault="00F6402D" w:rsidP="001B29A1">
      <w:pPr>
        <w:ind w:left="426"/>
        <w:rPr>
          <w:color w:val="4F81BD" w:themeColor="accent1"/>
        </w:rPr>
      </w:pPr>
      <w:r w:rsidRPr="003B4C2A">
        <w:rPr>
          <w:color w:val="4F81BD" w:themeColor="accent1"/>
        </w:rPr>
        <w:t xml:space="preserve">The insertion of a FDD and coiling are both performed </w:t>
      </w:r>
      <w:proofErr w:type="spellStart"/>
      <w:r w:rsidRPr="003B4C2A">
        <w:rPr>
          <w:color w:val="4F81BD" w:themeColor="accent1"/>
        </w:rPr>
        <w:t>endovascularly</w:t>
      </w:r>
      <w:proofErr w:type="spellEnd"/>
      <w:r w:rsidRPr="003B4C2A">
        <w:rPr>
          <w:color w:val="4F81BD" w:themeColor="accent1"/>
        </w:rPr>
        <w:t xml:space="preserve"> via the femoral artery and are less invasive than surgical clipping </w:t>
      </w:r>
      <w:r w:rsidR="006B6B5E" w:rsidRPr="003B4C2A">
        <w:rPr>
          <w:color w:val="4F81BD" w:themeColor="accent1"/>
        </w:rPr>
        <w:t xml:space="preserve">which is performed </w:t>
      </w:r>
      <w:r w:rsidRPr="003B4C2A">
        <w:rPr>
          <w:color w:val="4F81BD" w:themeColor="accent1"/>
        </w:rPr>
        <w:t>via</w:t>
      </w:r>
      <w:r w:rsidR="006B6B5E" w:rsidRPr="003B4C2A">
        <w:rPr>
          <w:color w:val="4F81BD" w:themeColor="accent1"/>
        </w:rPr>
        <w:t xml:space="preserve"> a craniotomy. As demonstrated in </w:t>
      </w:r>
      <w:r w:rsidR="00EF5F73" w:rsidRPr="003B4C2A">
        <w:rPr>
          <w:color w:val="4F81BD" w:themeColor="accent1"/>
        </w:rPr>
        <w:fldChar w:fldCharType="begin"/>
      </w:r>
      <w:r w:rsidR="00EF5F73" w:rsidRPr="003B4C2A">
        <w:rPr>
          <w:color w:val="4F81BD" w:themeColor="accent1"/>
        </w:rPr>
        <w:instrText xml:space="preserve"> REF _Ref516835766 \h </w:instrText>
      </w:r>
      <w:r w:rsidR="00EF5F73" w:rsidRPr="003B4C2A">
        <w:rPr>
          <w:color w:val="4F81BD" w:themeColor="accent1"/>
        </w:rPr>
      </w:r>
      <w:r w:rsidR="00EF5F73" w:rsidRPr="003B4C2A">
        <w:rPr>
          <w:color w:val="4F81BD" w:themeColor="accent1"/>
        </w:rPr>
        <w:fldChar w:fldCharType="separate"/>
      </w:r>
      <w:r w:rsidR="00EF5F73" w:rsidRPr="003B4C2A">
        <w:rPr>
          <w:color w:val="4F81BD" w:themeColor="accent1"/>
        </w:rPr>
        <w:t xml:space="preserve">Figure </w:t>
      </w:r>
      <w:r w:rsidR="00EF5F73" w:rsidRPr="003B4C2A">
        <w:rPr>
          <w:noProof/>
          <w:color w:val="4F81BD" w:themeColor="accent1"/>
        </w:rPr>
        <w:t>3</w:t>
      </w:r>
      <w:r w:rsidR="00EF5F73" w:rsidRPr="003B4C2A">
        <w:rPr>
          <w:color w:val="4F81BD" w:themeColor="accent1"/>
        </w:rPr>
        <w:fldChar w:fldCharType="end"/>
      </w:r>
      <w:r w:rsidR="006B6B5E" w:rsidRPr="003B4C2A">
        <w:rPr>
          <w:color w:val="4F81BD" w:themeColor="accent1"/>
        </w:rPr>
        <w:t>, the utilisation of clipping has remained fairly stable with a</w:t>
      </w:r>
      <w:r w:rsidR="0019040D" w:rsidRPr="003B4C2A">
        <w:rPr>
          <w:color w:val="4F81BD" w:themeColor="accent1"/>
        </w:rPr>
        <w:t xml:space="preserve"> slight </w:t>
      </w:r>
      <w:r w:rsidR="006B6B5E" w:rsidRPr="003B4C2A">
        <w:rPr>
          <w:color w:val="4F81BD" w:themeColor="accent1"/>
        </w:rPr>
        <w:t xml:space="preserve">decrease in utilisation in the last </w:t>
      </w:r>
      <w:r w:rsidR="00C72D96" w:rsidRPr="003B4C2A">
        <w:rPr>
          <w:color w:val="4F81BD" w:themeColor="accent1"/>
        </w:rPr>
        <w:t>year</w:t>
      </w:r>
      <w:r w:rsidR="006B6B5E" w:rsidRPr="003B4C2A">
        <w:rPr>
          <w:color w:val="4F81BD" w:themeColor="accent1"/>
        </w:rPr>
        <w:t xml:space="preserve">. In stark contrast, the utilisation of endovascular coiling has increased steadily since its listing on the MBS. It is acknowledged that the MBS item codes for coiling and clipping do not differentiate between the </w:t>
      </w:r>
      <w:proofErr w:type="gramStart"/>
      <w:r w:rsidR="006B6B5E" w:rsidRPr="003B4C2A">
        <w:rPr>
          <w:color w:val="4F81BD" w:themeColor="accent1"/>
        </w:rPr>
        <w:t>treatment</w:t>
      </w:r>
      <w:proofErr w:type="gramEnd"/>
      <w:r w:rsidR="006B6B5E" w:rsidRPr="003B4C2A">
        <w:rPr>
          <w:color w:val="4F81BD" w:themeColor="accent1"/>
        </w:rPr>
        <w:t xml:space="preserve"> of ruptured versus </w:t>
      </w:r>
      <w:proofErr w:type="spellStart"/>
      <w:r w:rsidR="006B6B5E" w:rsidRPr="003B4C2A">
        <w:rPr>
          <w:color w:val="4F81BD" w:themeColor="accent1"/>
        </w:rPr>
        <w:t>unruptured</w:t>
      </w:r>
      <w:proofErr w:type="spellEnd"/>
      <w:r w:rsidR="006B6B5E" w:rsidRPr="003B4C2A">
        <w:rPr>
          <w:color w:val="4F81BD" w:themeColor="accent1"/>
        </w:rPr>
        <w:t xml:space="preserve"> intracranial aneurysms. Nevertheless, the MBS utilisation data suggests that should FDD be listed for the treatment of the proposed patient populations</w:t>
      </w:r>
      <w:r w:rsidR="00832628" w:rsidRPr="003B4C2A">
        <w:rPr>
          <w:color w:val="4F81BD" w:themeColor="accent1"/>
        </w:rPr>
        <w:t xml:space="preserve"> in those suitable for endovascular or surgical treatment</w:t>
      </w:r>
      <w:r w:rsidR="006B6B5E" w:rsidRPr="003B4C2A">
        <w:rPr>
          <w:color w:val="4F81BD" w:themeColor="accent1"/>
        </w:rPr>
        <w:t xml:space="preserve">, coiling would be the treatment that would most likely be replaced. </w:t>
      </w:r>
      <w:r w:rsidR="0019040D" w:rsidRPr="003B4C2A">
        <w:rPr>
          <w:color w:val="4F81BD" w:themeColor="accent1"/>
        </w:rPr>
        <w:t>Given t</w:t>
      </w:r>
      <w:r w:rsidRPr="003B4C2A">
        <w:rPr>
          <w:color w:val="4F81BD" w:themeColor="accent1"/>
        </w:rPr>
        <w:t xml:space="preserve">he level of invasiveness is similar between FDD and coiling coupled with current utilisation of endovascular and surgical procedures on the MBS, </w:t>
      </w:r>
      <w:r w:rsidR="006B6B5E" w:rsidRPr="003B4C2A">
        <w:rPr>
          <w:color w:val="4F81BD" w:themeColor="accent1"/>
        </w:rPr>
        <w:t xml:space="preserve">coiling </w:t>
      </w:r>
      <w:r w:rsidR="0019040D" w:rsidRPr="003B4C2A">
        <w:rPr>
          <w:color w:val="4F81BD" w:themeColor="accent1"/>
        </w:rPr>
        <w:t xml:space="preserve">is the most appropriate comparator to </w:t>
      </w:r>
      <w:r w:rsidRPr="003B4C2A">
        <w:rPr>
          <w:color w:val="4F81BD" w:themeColor="accent1"/>
        </w:rPr>
        <w:t>FDD in the current application</w:t>
      </w:r>
      <w:r w:rsidR="0019040D" w:rsidRPr="003B4C2A">
        <w:rPr>
          <w:color w:val="4F81BD" w:themeColor="accent1"/>
        </w:rPr>
        <w:t xml:space="preserve"> for aneurysms amenable to treatment</w:t>
      </w:r>
      <w:r w:rsidR="0097539D" w:rsidRPr="003B4C2A">
        <w:rPr>
          <w:color w:val="4F81BD" w:themeColor="accent1"/>
        </w:rPr>
        <w:t xml:space="preserve"> (populations 1 and 2)</w:t>
      </w:r>
      <w:r w:rsidRPr="003B4C2A">
        <w:rPr>
          <w:color w:val="4F81BD" w:themeColor="accent1"/>
        </w:rPr>
        <w:t xml:space="preserve">. </w:t>
      </w:r>
    </w:p>
    <w:p w14:paraId="08E16A8E" w14:textId="5CF16A63" w:rsidR="0097539D" w:rsidRPr="003B4C2A" w:rsidRDefault="0097539D" w:rsidP="001B29A1">
      <w:pPr>
        <w:ind w:left="426"/>
        <w:rPr>
          <w:color w:val="4F81BD" w:themeColor="accent1"/>
        </w:rPr>
      </w:pPr>
      <w:r w:rsidRPr="003B4C2A">
        <w:rPr>
          <w:color w:val="4F81BD" w:themeColor="accent1"/>
        </w:rPr>
        <w:t xml:space="preserve">In the population of patients with aneurysms </w:t>
      </w:r>
      <w:r w:rsidRPr="003B4C2A">
        <w:rPr>
          <w:rFonts w:cstheme="minorHAnsi"/>
          <w:color w:val="4F81BD" w:themeColor="accent1"/>
        </w:rPr>
        <w:t>≥</w:t>
      </w:r>
      <w:r w:rsidRPr="003B4C2A">
        <w:rPr>
          <w:color w:val="4F81BD" w:themeColor="accent1"/>
        </w:rPr>
        <w:t xml:space="preserve">10 mm that are not suitable for endovascular coiling (population 3), surgical clipping or parent vessel occlusion, conservative management is the proposed comparator. Suitability is discussed in more detail in Q40, however in short, these patients tend to have posteriorly located aneurysms with mass effect and for which the risk to benefit ratio of existing treatments is unfavourable. </w:t>
      </w:r>
    </w:p>
    <w:p w14:paraId="348B4CC7" w14:textId="4D336232" w:rsidR="0097539D" w:rsidRPr="003B4C2A" w:rsidRDefault="0097539D" w:rsidP="001B29A1">
      <w:pPr>
        <w:ind w:left="426"/>
        <w:rPr>
          <w:color w:val="4F81BD" w:themeColor="accent1"/>
        </w:rPr>
      </w:pPr>
      <w:r w:rsidRPr="003B4C2A">
        <w:rPr>
          <w:color w:val="4F81BD" w:themeColor="accent1"/>
        </w:rPr>
        <w:t xml:space="preserve">Brief details of the respective treatment options </w:t>
      </w:r>
      <w:r w:rsidR="00A61A6B" w:rsidRPr="003B4C2A">
        <w:rPr>
          <w:color w:val="4F81BD" w:themeColor="accent1"/>
        </w:rPr>
        <w:t>follow</w:t>
      </w:r>
      <w:r w:rsidR="00C72D96" w:rsidRPr="003B4C2A">
        <w:rPr>
          <w:color w:val="4F81BD" w:themeColor="accent1"/>
        </w:rPr>
        <w:t xml:space="preserve"> below</w:t>
      </w:r>
      <w:r w:rsidRPr="003B4C2A">
        <w:rPr>
          <w:color w:val="4F81BD" w:themeColor="accent1"/>
        </w:rPr>
        <w:t xml:space="preserve">. </w:t>
      </w:r>
    </w:p>
    <w:p w14:paraId="6044CBF7" w14:textId="4A51AB41" w:rsidR="006B6B5E" w:rsidRDefault="006B6B5E" w:rsidP="001B29A1">
      <w:pPr>
        <w:ind w:left="426"/>
        <w:rPr>
          <w:szCs w:val="20"/>
        </w:rPr>
      </w:pPr>
    </w:p>
    <w:p w14:paraId="28C1F0A6" w14:textId="77777777" w:rsidR="006B6B5E" w:rsidRDefault="006B6B5E" w:rsidP="006B6B5E">
      <w:r>
        <w:rPr>
          <w:noProof/>
          <w:lang w:eastAsia="en-AU"/>
        </w:rPr>
        <w:drawing>
          <wp:inline distT="0" distB="0" distL="0" distR="0" wp14:anchorId="4EA7ACD2" wp14:editId="68DFD5DA">
            <wp:extent cx="4837740" cy="2337435"/>
            <wp:effectExtent l="0" t="0" r="1270" b="5715"/>
            <wp:docPr id="10" name="Picture 10" title="Diagram showing MBS utilisation of endovascular coiling and surgical clipp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45015" cy="2340950"/>
                    </a:xfrm>
                    <a:prstGeom prst="rect">
                      <a:avLst/>
                    </a:prstGeom>
                    <a:noFill/>
                  </pic:spPr>
                </pic:pic>
              </a:graphicData>
            </a:graphic>
          </wp:inline>
        </w:drawing>
      </w:r>
      <w:r w:rsidRPr="00057715">
        <w:rPr>
          <w:noProof/>
        </w:rPr>
        <w:t xml:space="preserve"> </w:t>
      </w:r>
    </w:p>
    <w:p w14:paraId="3339E234" w14:textId="046BA634" w:rsidR="006B6B5E" w:rsidRDefault="006B6B5E" w:rsidP="002510D0">
      <w:pPr>
        <w:pStyle w:val="Caption"/>
        <w:ind w:firstLine="426"/>
        <w:rPr>
          <w:szCs w:val="20"/>
        </w:rPr>
      </w:pPr>
      <w:bookmarkStart w:id="17" w:name="_Ref516835766"/>
      <w:r>
        <w:t xml:space="preserve">Figure </w:t>
      </w:r>
      <w:r w:rsidR="00F64073">
        <w:rPr>
          <w:noProof/>
        </w:rPr>
        <w:fldChar w:fldCharType="begin"/>
      </w:r>
      <w:r w:rsidR="00F64073">
        <w:rPr>
          <w:noProof/>
        </w:rPr>
        <w:instrText xml:space="preserve"> SEQ Figure \* ARABIC </w:instrText>
      </w:r>
      <w:r w:rsidR="00F64073">
        <w:rPr>
          <w:noProof/>
        </w:rPr>
        <w:fldChar w:fldCharType="separate"/>
      </w:r>
      <w:r w:rsidR="008335FD">
        <w:rPr>
          <w:noProof/>
        </w:rPr>
        <w:t>3</w:t>
      </w:r>
      <w:r w:rsidR="00F64073">
        <w:rPr>
          <w:noProof/>
        </w:rPr>
        <w:fldChar w:fldCharType="end"/>
      </w:r>
      <w:bookmarkEnd w:id="17"/>
      <w:r>
        <w:tab/>
        <w:t xml:space="preserve">MBS utilisation of endovascular coiling and surgical clipping </w:t>
      </w:r>
    </w:p>
    <w:p w14:paraId="3A23C55D" w14:textId="09575815" w:rsidR="006B6B5E" w:rsidRDefault="006B6B5E" w:rsidP="001B29A1">
      <w:pPr>
        <w:ind w:left="426"/>
        <w:rPr>
          <w:szCs w:val="20"/>
        </w:rPr>
      </w:pPr>
    </w:p>
    <w:p w14:paraId="6D92EB20" w14:textId="77777777" w:rsidR="00A04E20" w:rsidRPr="003B4C2A" w:rsidRDefault="00A04E20" w:rsidP="0019040D">
      <w:pPr>
        <w:ind w:left="426"/>
        <w:rPr>
          <w:color w:val="4F81BD" w:themeColor="accent1"/>
          <w:u w:val="single"/>
        </w:rPr>
      </w:pPr>
      <w:r w:rsidRPr="003B4C2A">
        <w:rPr>
          <w:color w:val="4F81BD" w:themeColor="accent1"/>
          <w:u w:val="single"/>
        </w:rPr>
        <w:t>Surgical clipping</w:t>
      </w:r>
    </w:p>
    <w:p w14:paraId="3853268F" w14:textId="77777777" w:rsidR="00A04E20" w:rsidRPr="003B4C2A" w:rsidRDefault="00A04E20" w:rsidP="0019040D">
      <w:pPr>
        <w:ind w:left="426"/>
        <w:rPr>
          <w:color w:val="4F81BD" w:themeColor="accent1"/>
        </w:rPr>
      </w:pPr>
      <w:r w:rsidRPr="003B4C2A">
        <w:rPr>
          <w:color w:val="4F81BD" w:themeColor="accent1"/>
        </w:rPr>
        <w:t xml:space="preserve">Surgical clipping involves placing a small metallic clip or clips along the neck of the aneurysm, preventing blood from entering into the aneurysm sac. The clip remains in place after the procedure, and over time the aneurysm will shrink and heal. Clipping is a highly invasive procedure that involves accessing the aneurysm via craniotomy. </w:t>
      </w:r>
    </w:p>
    <w:p w14:paraId="0043DD4E" w14:textId="77777777" w:rsidR="00A04E20" w:rsidRPr="003B4C2A" w:rsidRDefault="00A04E20" w:rsidP="0019040D">
      <w:pPr>
        <w:ind w:left="426"/>
        <w:rPr>
          <w:color w:val="4F81BD" w:themeColor="accent1"/>
          <w:u w:val="single"/>
        </w:rPr>
      </w:pPr>
      <w:r w:rsidRPr="003B4C2A">
        <w:rPr>
          <w:color w:val="4F81BD" w:themeColor="accent1"/>
          <w:u w:val="single"/>
        </w:rPr>
        <w:t>Coil embolization</w:t>
      </w:r>
    </w:p>
    <w:p w14:paraId="468DA9F7" w14:textId="3B869014" w:rsidR="00A04E20" w:rsidRPr="003B4C2A" w:rsidRDefault="00A04E20" w:rsidP="0019040D">
      <w:pPr>
        <w:ind w:left="426"/>
        <w:rPr>
          <w:color w:val="4F81BD" w:themeColor="accent1"/>
        </w:rPr>
      </w:pPr>
      <w:r w:rsidRPr="003B4C2A">
        <w:rPr>
          <w:color w:val="4F81BD" w:themeColor="accent1"/>
        </w:rPr>
        <w:t xml:space="preserve">Coil </w:t>
      </w:r>
      <w:proofErr w:type="gramStart"/>
      <w:r w:rsidRPr="003B4C2A">
        <w:rPr>
          <w:color w:val="4F81BD" w:themeColor="accent1"/>
        </w:rPr>
        <w:t>embolization of UIAs typically involve</w:t>
      </w:r>
      <w:proofErr w:type="gramEnd"/>
      <w:r w:rsidRPr="003B4C2A">
        <w:rPr>
          <w:color w:val="4F81BD" w:themeColor="accent1"/>
        </w:rPr>
        <w:t xml:space="preserve"> threading a catheter from an artery in the leg up to the aneurysm and placing a metal coil into the aneurysm guided by x-ray. The micro catheter is positioned within the aneurysm sac and a series of detachable coils are deployed into the aneurysm until progressive aneurysm occlusion occurs. Systemic </w:t>
      </w:r>
      <w:proofErr w:type="spellStart"/>
      <w:r w:rsidRPr="003B4C2A">
        <w:rPr>
          <w:color w:val="4F81BD" w:themeColor="accent1"/>
        </w:rPr>
        <w:t>heparinization</w:t>
      </w:r>
      <w:proofErr w:type="spellEnd"/>
      <w:r w:rsidRPr="003B4C2A">
        <w:rPr>
          <w:color w:val="4F81BD" w:themeColor="accent1"/>
        </w:rPr>
        <w:t xml:space="preserve"> is required for the duration of the procedure. This procedure allows for intra-aneurysmal thrombosis whilst maintaining parent vessel flow. Compared with surgical clipping, the coil embolization procedure is much less invasive given craniotomy is not required. </w:t>
      </w:r>
      <w:r w:rsidR="0019040D" w:rsidRPr="003B4C2A">
        <w:rPr>
          <w:color w:val="4F81BD" w:themeColor="accent1"/>
        </w:rPr>
        <w:t xml:space="preserve">The </w:t>
      </w:r>
      <w:r w:rsidR="00832628" w:rsidRPr="003B4C2A">
        <w:rPr>
          <w:color w:val="4F81BD" w:themeColor="accent1"/>
        </w:rPr>
        <w:t xml:space="preserve">objective of the procedure is to occlude the aneurysm using coils, and entering the aneurysm is the </w:t>
      </w:r>
      <w:r w:rsidR="00832628" w:rsidRPr="003B4C2A">
        <w:rPr>
          <w:color w:val="4F81BD" w:themeColor="accent1"/>
        </w:rPr>
        <w:lastRenderedPageBreak/>
        <w:t xml:space="preserve">most dangerous part of the procedure given small risk of rupture. In contrast, </w:t>
      </w:r>
      <w:r w:rsidR="0019040D" w:rsidRPr="003B4C2A">
        <w:rPr>
          <w:color w:val="4F81BD" w:themeColor="accent1"/>
        </w:rPr>
        <w:t xml:space="preserve">FDD removes </w:t>
      </w:r>
      <w:r w:rsidR="00832628" w:rsidRPr="003B4C2A">
        <w:rPr>
          <w:color w:val="4F81BD" w:themeColor="accent1"/>
        </w:rPr>
        <w:t>this</w:t>
      </w:r>
      <w:r w:rsidR="0019040D" w:rsidRPr="003B4C2A">
        <w:rPr>
          <w:color w:val="4F81BD" w:themeColor="accent1"/>
        </w:rPr>
        <w:t xml:space="preserve"> need to enter the aneurysms, </w:t>
      </w:r>
      <w:r w:rsidR="00832628" w:rsidRPr="003B4C2A">
        <w:rPr>
          <w:color w:val="4F81BD" w:themeColor="accent1"/>
        </w:rPr>
        <w:t>and rather the objective is to reconstruct the vessel whilst excluding the aneurysm</w:t>
      </w:r>
      <w:r w:rsidR="0019040D" w:rsidRPr="003B4C2A">
        <w:rPr>
          <w:color w:val="4F81BD" w:themeColor="accent1"/>
        </w:rPr>
        <w:t>.</w:t>
      </w:r>
    </w:p>
    <w:p w14:paraId="746322B9" w14:textId="77777777" w:rsidR="00A04E20" w:rsidRPr="003B4C2A" w:rsidRDefault="00A04E20" w:rsidP="0019040D">
      <w:pPr>
        <w:ind w:left="426"/>
        <w:rPr>
          <w:color w:val="4F81BD" w:themeColor="accent1"/>
        </w:rPr>
      </w:pPr>
      <w:r w:rsidRPr="003B4C2A">
        <w:rPr>
          <w:color w:val="4F81BD" w:themeColor="accent1"/>
        </w:rPr>
        <w:t xml:space="preserve">The adjunct therapy of balloon remodelling and stent assistance allows coiling to be performed on aneurysms with wide neck. Balloon remodelling involves the temporary inflation of a balloon within the parent vessel during coil deployment in the adjacent aneurysm. This allows the coil mass to achieve stability at which point the balloon is deflated and removed. Stent assistance involves the placement of a thin wire-mesh stent within the parent vessel to serve as a scaffold for the coils that are placed into the aneurysm. Stent placement requires dual antiplatelet treatment (typically aspirin and </w:t>
      </w:r>
      <w:proofErr w:type="spellStart"/>
      <w:r w:rsidRPr="003B4C2A">
        <w:rPr>
          <w:color w:val="4F81BD" w:themeColor="accent1"/>
        </w:rPr>
        <w:t>clopidogrel</w:t>
      </w:r>
      <w:proofErr w:type="spellEnd"/>
      <w:r w:rsidRPr="003B4C2A">
        <w:rPr>
          <w:color w:val="4F81BD" w:themeColor="accent1"/>
        </w:rPr>
        <w:t xml:space="preserve">), prior to and post-procedure. Ballooning typically does not require dual antiplatelet therapy post-procedure. </w:t>
      </w:r>
    </w:p>
    <w:p w14:paraId="42E06D93" w14:textId="77777777" w:rsidR="00A04E20" w:rsidRPr="003B4C2A" w:rsidRDefault="00A04E20" w:rsidP="0019040D">
      <w:pPr>
        <w:ind w:left="426"/>
        <w:rPr>
          <w:color w:val="4F81BD" w:themeColor="accent1"/>
          <w:u w:val="single"/>
        </w:rPr>
      </w:pPr>
      <w:r w:rsidRPr="003B4C2A">
        <w:rPr>
          <w:color w:val="4F81BD" w:themeColor="accent1"/>
          <w:u w:val="single"/>
        </w:rPr>
        <w:t xml:space="preserve">Conservative management </w:t>
      </w:r>
    </w:p>
    <w:p w14:paraId="36D87718" w14:textId="4E310E2A" w:rsidR="00A04E20" w:rsidRPr="003B4C2A" w:rsidRDefault="00A04E20" w:rsidP="0019040D">
      <w:pPr>
        <w:ind w:left="426"/>
        <w:rPr>
          <w:color w:val="4F81BD" w:themeColor="accent1"/>
        </w:rPr>
      </w:pPr>
      <w:r w:rsidRPr="003B4C2A">
        <w:rPr>
          <w:color w:val="4F81BD" w:themeColor="accent1"/>
        </w:rPr>
        <w:t>Conservative management involves periodic imaging every 12 months using MRI or less frequently CT scanning, to monitor the aneurysm. Patients with aneurysms less than 7 mm, without family history or risk factors may be managed conservatively. Another group of patients with large aneurysms who are not suitable for endovascular therapy or surgery may be left untreated due to no other treatment option.</w:t>
      </w:r>
    </w:p>
    <w:p w14:paraId="76DAC231" w14:textId="4158C437" w:rsidR="006B6B5E" w:rsidRPr="003B4C2A" w:rsidRDefault="006B6B5E" w:rsidP="0019040D">
      <w:pPr>
        <w:ind w:left="426"/>
        <w:rPr>
          <w:color w:val="4F81BD" w:themeColor="accent1"/>
        </w:rPr>
      </w:pPr>
    </w:p>
    <w:p w14:paraId="5BC5B2AD" w14:textId="77777777"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4A646C7E" w14:textId="52E84D58" w:rsidR="006A1038" w:rsidRPr="003B4C2A" w:rsidRDefault="00CE52BE" w:rsidP="006A1038">
      <w:pPr>
        <w:spacing w:before="0" w:after="0"/>
        <w:ind w:left="426"/>
        <w:rPr>
          <w:color w:val="4F81BD" w:themeColor="accent1"/>
          <w:szCs w:val="20"/>
        </w:rPr>
      </w:pPr>
      <w:r w:rsidRPr="003B4C2A">
        <w:rPr>
          <w:color w:val="4F81BD" w:themeColor="accent1"/>
          <w:szCs w:val="20"/>
        </w:rPr>
        <w:fldChar w:fldCharType="begin">
          <w:ffData>
            <w:name w:val=""/>
            <w:enabled/>
            <w:calcOnExit w:val="0"/>
            <w:checkBox>
              <w:sizeAuto/>
              <w:default w:val="1"/>
            </w:checkBox>
          </w:ffData>
        </w:fldChar>
      </w:r>
      <w:r w:rsidRPr="003B4C2A">
        <w:rPr>
          <w:color w:val="4F81BD" w:themeColor="accent1"/>
          <w:szCs w:val="20"/>
        </w:rPr>
        <w:instrText xml:space="preserve"> FORMCHECKBOX </w:instrText>
      </w:r>
      <w:r w:rsidR="00905881" w:rsidRPr="003B4C2A">
        <w:rPr>
          <w:color w:val="4F81BD" w:themeColor="accent1"/>
          <w:szCs w:val="20"/>
        </w:rPr>
      </w:r>
      <w:r w:rsidR="00905881" w:rsidRPr="003B4C2A">
        <w:rPr>
          <w:color w:val="4F81BD" w:themeColor="accent1"/>
          <w:szCs w:val="20"/>
        </w:rPr>
        <w:fldChar w:fldCharType="separate"/>
      </w:r>
      <w:r w:rsidRPr="003B4C2A">
        <w:rPr>
          <w:color w:val="4F81BD" w:themeColor="accent1"/>
          <w:szCs w:val="20"/>
        </w:rPr>
        <w:fldChar w:fldCharType="end"/>
      </w:r>
      <w:r w:rsidR="006A1038" w:rsidRPr="003B4C2A">
        <w:rPr>
          <w:color w:val="4F81BD" w:themeColor="accent1"/>
          <w:szCs w:val="20"/>
        </w:rPr>
        <w:t xml:space="preserve"> Yes (please provide all relevant MBS item numbers below)</w:t>
      </w:r>
    </w:p>
    <w:p w14:paraId="09A2E8DB" w14:textId="1DFDCD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905881">
        <w:rPr>
          <w:szCs w:val="20"/>
        </w:rPr>
      </w:r>
      <w:r w:rsidR="00905881">
        <w:rPr>
          <w:szCs w:val="20"/>
        </w:rPr>
        <w:fldChar w:fldCharType="separate"/>
      </w:r>
      <w:r w:rsidRPr="00753C44">
        <w:rPr>
          <w:szCs w:val="20"/>
        </w:rPr>
        <w:fldChar w:fldCharType="end"/>
      </w:r>
      <w:r>
        <w:rPr>
          <w:szCs w:val="20"/>
        </w:rPr>
        <w:t xml:space="preserve"> No</w:t>
      </w:r>
    </w:p>
    <w:p w14:paraId="4BD392C6" w14:textId="0EB29910" w:rsidR="00C72D96" w:rsidRDefault="00C72D96" w:rsidP="001B29A1">
      <w:pPr>
        <w:ind w:left="426"/>
      </w:pPr>
    </w:p>
    <w:tbl>
      <w:tblPr>
        <w:tblStyle w:val="TableGrid"/>
        <w:tblW w:w="0" w:type="auto"/>
        <w:tblInd w:w="426" w:type="dxa"/>
        <w:tblLook w:val="04A0" w:firstRow="1" w:lastRow="0" w:firstColumn="1" w:lastColumn="0" w:noHBand="0" w:noVBand="1"/>
        <w:tblCaption w:val="MBS item and descriptor"/>
      </w:tblPr>
      <w:tblGrid>
        <w:gridCol w:w="8816"/>
      </w:tblGrid>
      <w:tr w:rsidR="00C72D96" w14:paraId="6306CC8E" w14:textId="77777777" w:rsidTr="00A03D42">
        <w:trPr>
          <w:tblHeader/>
        </w:trPr>
        <w:tc>
          <w:tcPr>
            <w:tcW w:w="9016" w:type="dxa"/>
            <w:shd w:val="clear" w:color="auto" w:fill="D9D9D9" w:themeFill="background1" w:themeFillShade="D9"/>
          </w:tcPr>
          <w:p w14:paraId="5D0D51C5" w14:textId="36A0CCDD" w:rsidR="00C72D96" w:rsidRDefault="0002143C" w:rsidP="0002143C">
            <w:pPr>
              <w:jc w:val="right"/>
            </w:pPr>
            <w:r>
              <w:t>Category 3 – THERAPEUTIC PROCEDURES</w:t>
            </w:r>
          </w:p>
        </w:tc>
      </w:tr>
      <w:tr w:rsidR="00C72D96" w14:paraId="433FC585" w14:textId="77777777" w:rsidTr="00C72D96">
        <w:tc>
          <w:tcPr>
            <w:tcW w:w="9016" w:type="dxa"/>
          </w:tcPr>
          <w:p w14:paraId="59885E96" w14:textId="77777777" w:rsidR="00C72D96" w:rsidRPr="003B4C2A" w:rsidRDefault="00C72D96" w:rsidP="00C72D96">
            <w:pPr>
              <w:rPr>
                <w:color w:val="4F81BD" w:themeColor="accent1"/>
              </w:rPr>
            </w:pPr>
            <w:r w:rsidRPr="003B4C2A">
              <w:rPr>
                <w:color w:val="4F81BD" w:themeColor="accent1"/>
              </w:rPr>
              <w:t>MBS item: 35412</w:t>
            </w:r>
          </w:p>
          <w:p w14:paraId="5FA19395" w14:textId="77777777" w:rsidR="00C72D96" w:rsidRPr="003B4C2A" w:rsidRDefault="00C72D96" w:rsidP="00C72D96">
            <w:pPr>
              <w:rPr>
                <w:color w:val="4F81BD" w:themeColor="accent1"/>
                <w:szCs w:val="20"/>
              </w:rPr>
            </w:pPr>
            <w:r w:rsidRPr="003B4C2A">
              <w:rPr>
                <w:color w:val="4F81BD" w:themeColor="accent1"/>
                <w:szCs w:val="20"/>
              </w:rPr>
              <w:t xml:space="preserve">Intracranial aneurysm, ruptured or </w:t>
            </w:r>
            <w:proofErr w:type="spellStart"/>
            <w:r w:rsidRPr="003B4C2A">
              <w:rPr>
                <w:color w:val="4F81BD" w:themeColor="accent1"/>
                <w:szCs w:val="20"/>
              </w:rPr>
              <w:t>unruptured</w:t>
            </w:r>
            <w:proofErr w:type="spellEnd"/>
            <w:r w:rsidRPr="003B4C2A">
              <w:rPr>
                <w:color w:val="4F81BD" w:themeColor="accent1"/>
                <w:szCs w:val="20"/>
              </w:rPr>
              <w:t xml:space="preserve">, endovascular occlusion with detachable coils, and assisted coiling if performed, with parent artery preservation, not for use with liquid </w:t>
            </w:r>
            <w:proofErr w:type="spellStart"/>
            <w:r w:rsidRPr="003B4C2A">
              <w:rPr>
                <w:color w:val="4F81BD" w:themeColor="accent1"/>
                <w:szCs w:val="20"/>
              </w:rPr>
              <w:t>embolics</w:t>
            </w:r>
            <w:proofErr w:type="spellEnd"/>
            <w:r w:rsidRPr="003B4C2A">
              <w:rPr>
                <w:color w:val="4F81BD" w:themeColor="accent1"/>
                <w:szCs w:val="20"/>
              </w:rPr>
              <w:t xml:space="preserve"> only, including aftercare, including intra-operative imaging, but in association with the following pre-operative diagnostic imaging items: </w:t>
            </w:r>
          </w:p>
          <w:p w14:paraId="54A794F8" w14:textId="77777777" w:rsidR="00C72D96" w:rsidRPr="003B4C2A" w:rsidRDefault="00C72D96" w:rsidP="00C72D96">
            <w:pPr>
              <w:rPr>
                <w:color w:val="4F81BD" w:themeColor="accent1"/>
                <w:szCs w:val="20"/>
              </w:rPr>
            </w:pPr>
            <w:r w:rsidRPr="003B4C2A">
              <w:rPr>
                <w:color w:val="4F81BD" w:themeColor="accent1"/>
                <w:szCs w:val="20"/>
              </w:rPr>
              <w:t xml:space="preserve">- either 60009 or 60010; and </w:t>
            </w:r>
          </w:p>
          <w:p w14:paraId="3C0ABFC4" w14:textId="77777777" w:rsidR="00C72D96" w:rsidRPr="003B4C2A" w:rsidRDefault="00C72D96" w:rsidP="00C72D96">
            <w:pPr>
              <w:rPr>
                <w:color w:val="4F81BD" w:themeColor="accent1"/>
                <w:szCs w:val="20"/>
              </w:rPr>
            </w:pPr>
            <w:r w:rsidRPr="003B4C2A">
              <w:rPr>
                <w:color w:val="4F81BD" w:themeColor="accent1"/>
                <w:szCs w:val="20"/>
              </w:rPr>
              <w:t>- either 60072, 60073, 60075, 60076, 60078 or 60079</w:t>
            </w:r>
          </w:p>
          <w:p w14:paraId="7AAC68DC" w14:textId="34D14740" w:rsidR="00C72D96" w:rsidRPr="003B4C2A" w:rsidRDefault="0002143C" w:rsidP="001B29A1">
            <w:pPr>
              <w:rPr>
                <w:color w:val="4F81BD" w:themeColor="accent1"/>
              </w:rPr>
            </w:pPr>
            <w:r w:rsidRPr="003B4C2A">
              <w:rPr>
                <w:bCs/>
                <w:color w:val="4F81BD" w:themeColor="accent1"/>
              </w:rPr>
              <w:t>Fee:</w:t>
            </w:r>
            <w:r w:rsidRPr="003B4C2A">
              <w:rPr>
                <w:color w:val="4F81BD" w:themeColor="accent1"/>
              </w:rPr>
              <w:t xml:space="preserve"> $2,857.55 </w:t>
            </w:r>
            <w:r w:rsidRPr="003B4C2A">
              <w:rPr>
                <w:bCs/>
                <w:color w:val="4F81BD" w:themeColor="accent1"/>
              </w:rPr>
              <w:t>Benefit:</w:t>
            </w:r>
            <w:r w:rsidRPr="003B4C2A">
              <w:rPr>
                <w:color w:val="4F81BD" w:themeColor="accent1"/>
              </w:rPr>
              <w:t xml:space="preserve"> 75% = $2,143.20 85% = $2,775.85</w:t>
            </w:r>
          </w:p>
        </w:tc>
      </w:tr>
    </w:tbl>
    <w:p w14:paraId="74A6BA33" w14:textId="77777777" w:rsidR="00C72D96" w:rsidRDefault="00C72D96" w:rsidP="001B29A1">
      <w:pPr>
        <w:ind w:left="426"/>
      </w:pPr>
    </w:p>
    <w:p w14:paraId="2A8B63AF"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5F7E2379" w14:textId="4D46C78B" w:rsidR="00284EB6" w:rsidRPr="003B4C2A" w:rsidRDefault="00284EB6" w:rsidP="00284EB6">
      <w:pPr>
        <w:ind w:left="426"/>
        <w:rPr>
          <w:color w:val="4F81BD" w:themeColor="accent1"/>
        </w:rPr>
      </w:pPr>
      <w:r w:rsidRPr="003B4C2A">
        <w:rPr>
          <w:color w:val="4F81BD" w:themeColor="accent1"/>
        </w:rPr>
        <w:t xml:space="preserve">After the endovascular insertion of a FDD or coiling, it is anticipated patients would have an initial follow-up one month post-procedure with an angiogram 3-6 months post-procedure. At follow-up, imaging is performed to identify residuals, device migration, new aneurysms and any parent vessel changes (Thompson et al., 2015). A proportion of patients would require retreatment. </w:t>
      </w:r>
      <w:r w:rsidR="002978F1" w:rsidRPr="003B4C2A">
        <w:rPr>
          <w:color w:val="4F81BD" w:themeColor="accent1"/>
        </w:rPr>
        <w:t>According to KOL feedback FD is more likely to be used in patients who have recurrence after coiling.</w:t>
      </w:r>
    </w:p>
    <w:p w14:paraId="588FADCB" w14:textId="77777777" w:rsidR="00284EB6" w:rsidRDefault="00284EB6" w:rsidP="00284EB6">
      <w:pPr>
        <w:ind w:left="426"/>
      </w:pPr>
    </w:p>
    <w:p w14:paraId="705AE52E" w14:textId="0523B845" w:rsidR="00A83EC6" w:rsidRPr="00154B00" w:rsidRDefault="00284EB6" w:rsidP="00284EB6">
      <w:pPr>
        <w:pStyle w:val="Heading2"/>
      </w:pPr>
      <w:r>
        <w:t xml:space="preserve"> </w:t>
      </w:r>
      <w:r w:rsidR="005C3AE7">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6A1700C8" w14:textId="0A283F8A" w:rsidR="001B29A1" w:rsidRPr="003B4C2A" w:rsidRDefault="00C62F2A" w:rsidP="001B29A1">
      <w:pPr>
        <w:spacing w:before="0" w:after="0"/>
        <w:ind w:left="426"/>
        <w:rPr>
          <w:color w:val="4F81BD" w:themeColor="accent1"/>
          <w:szCs w:val="20"/>
        </w:rPr>
      </w:pPr>
      <w:r w:rsidRPr="003B4C2A">
        <w:rPr>
          <w:color w:val="4F81BD" w:themeColor="accent1"/>
          <w:szCs w:val="20"/>
        </w:rPr>
        <w:fldChar w:fldCharType="begin">
          <w:ffData>
            <w:name w:val=""/>
            <w:enabled/>
            <w:calcOnExit w:val="0"/>
            <w:checkBox>
              <w:sizeAuto/>
              <w:default w:val="1"/>
            </w:checkBox>
          </w:ffData>
        </w:fldChar>
      </w:r>
      <w:r w:rsidRPr="003B4C2A">
        <w:rPr>
          <w:color w:val="4F81BD" w:themeColor="accent1"/>
          <w:szCs w:val="20"/>
        </w:rPr>
        <w:instrText xml:space="preserve"> FORMCHECKBOX </w:instrText>
      </w:r>
      <w:r w:rsidR="00905881" w:rsidRPr="003B4C2A">
        <w:rPr>
          <w:color w:val="4F81BD" w:themeColor="accent1"/>
          <w:szCs w:val="20"/>
        </w:rPr>
      </w:r>
      <w:r w:rsidR="00905881" w:rsidRPr="003B4C2A">
        <w:rPr>
          <w:color w:val="4F81BD" w:themeColor="accent1"/>
          <w:szCs w:val="20"/>
        </w:rPr>
        <w:fldChar w:fldCharType="separate"/>
      </w:r>
      <w:r w:rsidRPr="003B4C2A">
        <w:rPr>
          <w:color w:val="4F81BD" w:themeColor="accent1"/>
          <w:szCs w:val="20"/>
        </w:rPr>
        <w:fldChar w:fldCharType="end"/>
      </w:r>
      <w:r w:rsidR="001B29A1" w:rsidRPr="003B4C2A">
        <w:rPr>
          <w:color w:val="4F81BD" w:themeColor="accent1"/>
          <w:szCs w:val="20"/>
        </w:rPr>
        <w:t xml:space="preserve"> Yes </w:t>
      </w:r>
    </w:p>
    <w:p w14:paraId="0F85E83A"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905881">
        <w:rPr>
          <w:szCs w:val="20"/>
        </w:rPr>
      </w:r>
      <w:r w:rsidR="00905881">
        <w:rPr>
          <w:szCs w:val="20"/>
        </w:rPr>
        <w:fldChar w:fldCharType="separate"/>
      </w:r>
      <w:r w:rsidRPr="00753C44">
        <w:rPr>
          <w:szCs w:val="20"/>
        </w:rPr>
        <w:fldChar w:fldCharType="end"/>
      </w:r>
      <w:r>
        <w:rPr>
          <w:szCs w:val="20"/>
        </w:rPr>
        <w:t xml:space="preserve"> No  </w:t>
      </w:r>
    </w:p>
    <w:p w14:paraId="1F2ABE4E" w14:textId="77777777" w:rsidR="00E70D86" w:rsidRPr="00154B00" w:rsidRDefault="00E70D86" w:rsidP="005C3AE7">
      <w:pPr>
        <w:pStyle w:val="Heading2"/>
        <w:numPr>
          <w:ilvl w:val="0"/>
          <w:numId w:val="30"/>
        </w:numPr>
      </w:pPr>
      <w:r w:rsidRPr="00154B00">
        <w:lastRenderedPageBreak/>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45D389E2" w14:textId="19F18532" w:rsidR="003433D1" w:rsidRPr="003B4C2A" w:rsidRDefault="005478BD" w:rsidP="001B29A1">
      <w:pPr>
        <w:ind w:left="426"/>
        <w:rPr>
          <w:color w:val="4F81BD" w:themeColor="accent1"/>
          <w:szCs w:val="20"/>
        </w:rPr>
      </w:pPr>
      <w:r w:rsidRPr="003B4C2A">
        <w:rPr>
          <w:color w:val="4F81BD" w:themeColor="accent1"/>
        </w:rPr>
        <w:t xml:space="preserve">FDD </w:t>
      </w:r>
      <w:r w:rsidR="0002143C" w:rsidRPr="003B4C2A">
        <w:rPr>
          <w:color w:val="4F81BD" w:themeColor="accent1"/>
        </w:rPr>
        <w:t>will</w:t>
      </w:r>
      <w:r w:rsidRPr="003B4C2A">
        <w:rPr>
          <w:color w:val="4F81BD" w:themeColor="accent1"/>
        </w:rPr>
        <w:t xml:space="preserve"> be used instead of the nominated comparator, coiling. </w:t>
      </w:r>
      <w:r w:rsidR="00E93EF0" w:rsidRPr="003B4C2A">
        <w:rPr>
          <w:color w:val="4F81BD" w:themeColor="accent1"/>
        </w:rPr>
        <w:t>Clinical</w:t>
      </w:r>
      <w:r w:rsidR="00C62F2A" w:rsidRPr="003B4C2A">
        <w:rPr>
          <w:color w:val="4F81BD" w:themeColor="accent1"/>
        </w:rPr>
        <w:t xml:space="preserve"> evidence</w:t>
      </w:r>
      <w:r w:rsidR="00E93EF0" w:rsidRPr="003B4C2A">
        <w:rPr>
          <w:color w:val="4F81BD" w:themeColor="accent1"/>
        </w:rPr>
        <w:t xml:space="preserve"> suggests</w:t>
      </w:r>
      <w:r w:rsidR="00C62F2A" w:rsidRPr="003B4C2A">
        <w:rPr>
          <w:color w:val="4F81BD" w:themeColor="accent1"/>
        </w:rPr>
        <w:t xml:space="preserve"> that endovascular insertion of FDD has a lower rate of retreatment when compared to endovascular coiling</w:t>
      </w:r>
      <w:r w:rsidR="00E93EF0" w:rsidRPr="003B4C2A">
        <w:rPr>
          <w:color w:val="4F81BD" w:themeColor="accent1"/>
        </w:rPr>
        <w:t xml:space="preserve"> (</w:t>
      </w:r>
      <w:proofErr w:type="spellStart"/>
      <w:r w:rsidR="00E93EF0" w:rsidRPr="003B4C2A">
        <w:rPr>
          <w:color w:val="4F81BD" w:themeColor="accent1"/>
        </w:rPr>
        <w:t>Chaloui</w:t>
      </w:r>
      <w:proofErr w:type="spellEnd"/>
      <w:r w:rsidR="00E93EF0" w:rsidRPr="003B4C2A">
        <w:rPr>
          <w:color w:val="4F81BD" w:themeColor="accent1"/>
        </w:rPr>
        <w:t xml:space="preserve"> et al 2013b)</w:t>
      </w:r>
      <w:r w:rsidR="00C62F2A" w:rsidRPr="003B4C2A">
        <w:rPr>
          <w:color w:val="4F81BD" w:themeColor="accent1"/>
        </w:rPr>
        <w:t>. As such, it could reasonably be assumed that the utilisation of endovascular insertion of FDD will reduce the substitute</w:t>
      </w:r>
      <w:r w:rsidR="00C23BED" w:rsidRPr="003B4C2A">
        <w:rPr>
          <w:color w:val="4F81BD" w:themeColor="accent1"/>
        </w:rPr>
        <w:t>d</w:t>
      </w:r>
      <w:r w:rsidR="00C62F2A" w:rsidRPr="003B4C2A">
        <w:rPr>
          <w:color w:val="4F81BD" w:themeColor="accent1"/>
        </w:rPr>
        <w:t xml:space="preserve"> endovascular coiling procedures at a rate greater than 1. </w:t>
      </w:r>
    </w:p>
    <w:p w14:paraId="5F5D6AE2"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57FEE372" w14:textId="63567EAF" w:rsidR="002053F2" w:rsidRPr="003B4C2A" w:rsidRDefault="00C23BED" w:rsidP="00C23BED">
      <w:pPr>
        <w:ind w:left="426"/>
        <w:rPr>
          <w:color w:val="4F81BD" w:themeColor="accent1"/>
        </w:rPr>
      </w:pPr>
      <w:r w:rsidRPr="003B4C2A">
        <w:rPr>
          <w:color w:val="4F81BD" w:themeColor="accent1"/>
        </w:rPr>
        <w:t xml:space="preserve">At the time of the procedure, the healthcare </w:t>
      </w:r>
      <w:r w:rsidR="000D64CC" w:rsidRPr="003B4C2A">
        <w:rPr>
          <w:color w:val="4F81BD" w:themeColor="accent1"/>
        </w:rPr>
        <w:t>resource utilisation</w:t>
      </w:r>
      <w:r w:rsidR="00DD3552" w:rsidRPr="003B4C2A">
        <w:rPr>
          <w:color w:val="4F81BD" w:themeColor="accent1"/>
        </w:rPr>
        <w:t xml:space="preserve">s, including to pre- and intra-operative imaging, anaesthesia, professional attendance time and hospitalisation stay, associated with FDD </w:t>
      </w:r>
      <w:r w:rsidR="000D64CC" w:rsidRPr="003B4C2A">
        <w:rPr>
          <w:color w:val="4F81BD" w:themeColor="accent1"/>
        </w:rPr>
        <w:t>is expected to be similar</w:t>
      </w:r>
      <w:r w:rsidR="00DD3552" w:rsidRPr="003B4C2A">
        <w:rPr>
          <w:color w:val="4F81BD" w:themeColor="accent1"/>
        </w:rPr>
        <w:t xml:space="preserve"> to those associated with coiling</w:t>
      </w:r>
      <w:r w:rsidR="000D64CC" w:rsidRPr="003B4C2A">
        <w:rPr>
          <w:color w:val="4F81BD" w:themeColor="accent1"/>
        </w:rPr>
        <w:t xml:space="preserve">. </w:t>
      </w:r>
      <w:r w:rsidR="00186F60" w:rsidRPr="003B4C2A">
        <w:rPr>
          <w:color w:val="4F81BD" w:themeColor="accent1"/>
        </w:rPr>
        <w:t>However, a proportion of aneurysms treated with endovascular coiling require additional stent placement – this is not required for FDD</w:t>
      </w:r>
      <w:r w:rsidR="002275A1" w:rsidRPr="003B4C2A">
        <w:rPr>
          <w:color w:val="4F81BD" w:themeColor="accent1"/>
        </w:rPr>
        <w:t>.</w:t>
      </w:r>
      <w:r w:rsidR="00186F60" w:rsidRPr="003B4C2A">
        <w:rPr>
          <w:color w:val="4F81BD" w:themeColor="accent1"/>
        </w:rPr>
        <w:t xml:space="preserve"> Both FDD and coiling may require balloon remodelling in a small proportion of patients. </w:t>
      </w:r>
      <w:r w:rsidR="009A4D3E" w:rsidRPr="003B4C2A">
        <w:rPr>
          <w:color w:val="4F81BD" w:themeColor="accent1"/>
        </w:rPr>
        <w:t>The follow up of patients after the procedure is the same for FDD and coiling.</w:t>
      </w:r>
    </w:p>
    <w:p w14:paraId="68687370" w14:textId="47C42F1F" w:rsidR="001B29A1" w:rsidRPr="003B4C2A" w:rsidRDefault="00186F60" w:rsidP="002275A1">
      <w:pPr>
        <w:ind w:left="426"/>
        <w:rPr>
          <w:b/>
          <w:i/>
          <w:color w:val="4F81BD" w:themeColor="accent1"/>
          <w:szCs w:val="20"/>
          <w:u w:val="single"/>
        </w:rPr>
      </w:pPr>
      <w:r w:rsidRPr="003B4C2A">
        <w:rPr>
          <w:color w:val="4F81BD" w:themeColor="accent1"/>
        </w:rPr>
        <w:t xml:space="preserve">The proportion of patients requiring retreatment is significantly lower with FDD compared with coiling, especially in larger aneurysms (2.8% vs 36.7% in aneurysms &gt; 10 mm; </w:t>
      </w:r>
      <w:proofErr w:type="spellStart"/>
      <w:r w:rsidRPr="003B4C2A">
        <w:rPr>
          <w:color w:val="4F81BD" w:themeColor="accent1"/>
        </w:rPr>
        <w:t>Chaloui</w:t>
      </w:r>
      <w:proofErr w:type="spellEnd"/>
      <w:r w:rsidRPr="003B4C2A">
        <w:rPr>
          <w:color w:val="4F81BD" w:themeColor="accent1"/>
        </w:rPr>
        <w:t xml:space="preserve"> et al 2013b), representing healthcare resource </w:t>
      </w:r>
      <w:r w:rsidR="00EE5774" w:rsidRPr="003B4C2A">
        <w:rPr>
          <w:color w:val="4F81BD" w:themeColor="accent1"/>
        </w:rPr>
        <w:t>utilisation</w:t>
      </w:r>
      <w:r w:rsidRPr="003B4C2A">
        <w:rPr>
          <w:color w:val="4F81BD" w:themeColor="accent1"/>
        </w:rPr>
        <w:t xml:space="preserve"> savings for FDD. </w:t>
      </w:r>
      <w:r w:rsidR="001B29A1" w:rsidRPr="003B4C2A">
        <w:rPr>
          <w:b/>
          <w:i/>
          <w:color w:val="4F81BD" w:themeColor="accent1"/>
          <w:szCs w:val="20"/>
          <w:u w:val="single"/>
        </w:rPr>
        <w:br w:type="page"/>
      </w:r>
    </w:p>
    <w:p w14:paraId="0A218687"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43329FAA"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6C82887B" w14:textId="6F13BE96" w:rsidR="00BB67F8" w:rsidRPr="003B4C2A" w:rsidRDefault="00EE5774" w:rsidP="00EE5774">
      <w:pPr>
        <w:ind w:left="426"/>
        <w:rPr>
          <w:color w:val="4F81BD" w:themeColor="accent1"/>
        </w:rPr>
      </w:pPr>
      <w:r w:rsidRPr="003B4C2A">
        <w:rPr>
          <w:color w:val="4F81BD" w:themeColor="accent1"/>
        </w:rPr>
        <w:t>The clinical claim for FDD relative to endovascular coiling in UIAs is superior effectiveness (</w:t>
      </w:r>
      <w:r w:rsidR="00BB67F8" w:rsidRPr="003B4C2A">
        <w:rPr>
          <w:color w:val="4F81BD" w:themeColor="accent1"/>
        </w:rPr>
        <w:t xml:space="preserve">based on complete occlusion and </w:t>
      </w:r>
      <w:r w:rsidR="000675EB" w:rsidRPr="003B4C2A">
        <w:rPr>
          <w:color w:val="4F81BD" w:themeColor="accent1"/>
        </w:rPr>
        <w:t xml:space="preserve">significantly lower </w:t>
      </w:r>
      <w:r w:rsidR="00BB67F8" w:rsidRPr="003B4C2A">
        <w:rPr>
          <w:color w:val="4F81BD" w:themeColor="accent1"/>
        </w:rPr>
        <w:t>retreatment rates</w:t>
      </w:r>
      <w:r w:rsidRPr="003B4C2A">
        <w:rPr>
          <w:color w:val="4F81BD" w:themeColor="accent1"/>
        </w:rPr>
        <w:t xml:space="preserve">) and </w:t>
      </w:r>
      <w:r w:rsidRPr="003B4C2A">
        <w:rPr>
          <w:color w:val="4F81BD" w:themeColor="accent1"/>
          <w:szCs w:val="20"/>
        </w:rPr>
        <w:t>n</w:t>
      </w:r>
      <w:r w:rsidR="00BB67F8" w:rsidRPr="003B4C2A">
        <w:rPr>
          <w:color w:val="4F81BD" w:themeColor="accent1"/>
          <w:szCs w:val="20"/>
        </w:rPr>
        <w:t xml:space="preserve">on-inferior safety </w:t>
      </w:r>
      <w:r w:rsidRPr="003B4C2A">
        <w:rPr>
          <w:color w:val="4F81BD" w:themeColor="accent1"/>
          <w:szCs w:val="20"/>
        </w:rPr>
        <w:t>(</w:t>
      </w:r>
      <w:r w:rsidR="00BB67F8" w:rsidRPr="003B4C2A">
        <w:rPr>
          <w:color w:val="4F81BD" w:themeColor="accent1"/>
          <w:szCs w:val="20"/>
        </w:rPr>
        <w:t>based on procedural complications and long term rates of stroke and mortality</w:t>
      </w:r>
      <w:r w:rsidRPr="003B4C2A">
        <w:rPr>
          <w:color w:val="4F81BD" w:themeColor="accent1"/>
          <w:szCs w:val="20"/>
        </w:rPr>
        <w:t>)</w:t>
      </w:r>
      <w:r w:rsidR="00BB67F8" w:rsidRPr="003B4C2A">
        <w:rPr>
          <w:color w:val="4F81BD" w:themeColor="accent1"/>
          <w:szCs w:val="20"/>
        </w:rPr>
        <w:t>.</w:t>
      </w:r>
    </w:p>
    <w:p w14:paraId="38F88468" w14:textId="488AAE50" w:rsidR="00EE5774" w:rsidRPr="003B4C2A" w:rsidRDefault="00EE5774" w:rsidP="00EE5774">
      <w:pPr>
        <w:ind w:left="426"/>
        <w:rPr>
          <w:color w:val="4F81BD" w:themeColor="accent1"/>
        </w:rPr>
      </w:pPr>
      <w:r w:rsidRPr="003B4C2A">
        <w:rPr>
          <w:color w:val="4F81BD" w:themeColor="accent1"/>
        </w:rPr>
        <w:t xml:space="preserve">The clinical claim for FDD relative to conservative management is superior effectiveness based on mortality and rupture rates from natural history data. </w:t>
      </w:r>
    </w:p>
    <w:p w14:paraId="6DE801B4"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78965AB6" w14:textId="07F231E4" w:rsidR="001B29A1" w:rsidRPr="001B29A1" w:rsidRDefault="00BB67F8" w:rsidP="001B29A1">
      <w:pPr>
        <w:spacing w:before="0" w:after="0"/>
        <w:ind w:left="426"/>
        <w:rPr>
          <w:szCs w:val="20"/>
        </w:rPr>
      </w:pPr>
      <w:r w:rsidRPr="003B4C2A">
        <w:rPr>
          <w:color w:val="4F81BD" w:themeColor="accent1"/>
          <w:szCs w:val="20"/>
        </w:rPr>
        <w:fldChar w:fldCharType="begin">
          <w:ffData>
            <w:name w:val=""/>
            <w:enabled/>
            <w:calcOnExit w:val="0"/>
            <w:checkBox>
              <w:sizeAuto/>
              <w:default w:val="1"/>
            </w:checkBox>
          </w:ffData>
        </w:fldChar>
      </w:r>
      <w:r w:rsidRPr="003B4C2A">
        <w:rPr>
          <w:color w:val="4F81BD" w:themeColor="accent1"/>
          <w:szCs w:val="20"/>
        </w:rPr>
        <w:instrText xml:space="preserve"> FORMCHECKBOX </w:instrText>
      </w:r>
      <w:r w:rsidR="00905881" w:rsidRPr="003B4C2A">
        <w:rPr>
          <w:color w:val="4F81BD" w:themeColor="accent1"/>
          <w:szCs w:val="20"/>
        </w:rPr>
      </w:r>
      <w:r w:rsidR="00905881" w:rsidRPr="003B4C2A">
        <w:rPr>
          <w:color w:val="4F81BD" w:themeColor="accent1"/>
          <w:szCs w:val="20"/>
        </w:rPr>
        <w:fldChar w:fldCharType="separate"/>
      </w:r>
      <w:r w:rsidRPr="003B4C2A">
        <w:rPr>
          <w:color w:val="4F81BD" w:themeColor="accent1"/>
          <w:szCs w:val="20"/>
        </w:rPr>
        <w:fldChar w:fldCharType="end"/>
      </w:r>
      <w:r w:rsidR="001B29A1" w:rsidRPr="003B4C2A">
        <w:rPr>
          <w:color w:val="4F81BD" w:themeColor="accent1"/>
          <w:szCs w:val="20"/>
        </w:rPr>
        <w:t xml:space="preserve"> Superiority</w:t>
      </w:r>
      <w:r w:rsidR="001B29A1" w:rsidRPr="001B29A1">
        <w:rPr>
          <w:szCs w:val="20"/>
        </w:rPr>
        <w:tab/>
      </w:r>
    </w:p>
    <w:p w14:paraId="3B22EFEE"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905881">
        <w:rPr>
          <w:szCs w:val="20"/>
        </w:rPr>
      </w:r>
      <w:r w:rsidR="00905881">
        <w:rPr>
          <w:szCs w:val="20"/>
        </w:rPr>
        <w:fldChar w:fldCharType="separate"/>
      </w:r>
      <w:r w:rsidRPr="001B29A1">
        <w:rPr>
          <w:szCs w:val="20"/>
        </w:rPr>
        <w:fldChar w:fldCharType="end"/>
      </w:r>
      <w:r w:rsidRPr="001B29A1">
        <w:rPr>
          <w:szCs w:val="20"/>
        </w:rPr>
        <w:t xml:space="preserve"> Non-inferiority</w:t>
      </w:r>
      <w:r w:rsidRPr="001B29A1">
        <w:rPr>
          <w:szCs w:val="20"/>
        </w:rPr>
        <w:tab/>
      </w:r>
    </w:p>
    <w:p w14:paraId="465B4205"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36009B60" w14:textId="7170B5CB" w:rsidR="001B29A1" w:rsidRPr="003B4C2A" w:rsidRDefault="001B29A1" w:rsidP="001B29A1">
      <w:pPr>
        <w:pBdr>
          <w:top w:val="single" w:sz="4" w:space="1" w:color="auto"/>
          <w:left w:val="single" w:sz="4" w:space="4" w:color="auto"/>
          <w:bottom w:val="single" w:sz="4" w:space="1" w:color="auto"/>
          <w:right w:val="single" w:sz="4" w:space="4" w:color="auto"/>
        </w:pBdr>
        <w:rPr>
          <w:b/>
          <w:color w:val="4F81BD" w:themeColor="accent1"/>
          <w:szCs w:val="20"/>
        </w:rPr>
      </w:pPr>
      <w:r w:rsidRPr="003B4C2A">
        <w:rPr>
          <w:b/>
          <w:color w:val="4F81BD" w:themeColor="accent1"/>
          <w:szCs w:val="20"/>
        </w:rPr>
        <w:t xml:space="preserve">Safety Outcomes: </w:t>
      </w:r>
    </w:p>
    <w:p w14:paraId="50557862" w14:textId="28540F8D" w:rsidR="001B29A1" w:rsidRPr="003B4C2A" w:rsidRDefault="00BB67F8" w:rsidP="001B29A1">
      <w:pPr>
        <w:pBdr>
          <w:top w:val="single" w:sz="4" w:space="1" w:color="auto"/>
          <w:left w:val="single" w:sz="4" w:space="4" w:color="auto"/>
          <w:bottom w:val="single" w:sz="4" w:space="1" w:color="auto"/>
          <w:right w:val="single" w:sz="4" w:space="4" w:color="auto"/>
        </w:pBdr>
        <w:rPr>
          <w:color w:val="4F81BD" w:themeColor="accent1"/>
          <w:szCs w:val="20"/>
        </w:rPr>
      </w:pPr>
      <w:r w:rsidRPr="003B4C2A">
        <w:rPr>
          <w:color w:val="4F81BD" w:themeColor="accent1"/>
          <w:szCs w:val="20"/>
        </w:rPr>
        <w:t xml:space="preserve">Procedural complications (stroke, </w:t>
      </w:r>
      <w:r w:rsidR="00033FA4" w:rsidRPr="003B4C2A">
        <w:rPr>
          <w:color w:val="4F81BD" w:themeColor="accent1"/>
          <w:szCs w:val="20"/>
        </w:rPr>
        <w:t>intracranial haemorrhage</w:t>
      </w:r>
      <w:r w:rsidRPr="003B4C2A">
        <w:rPr>
          <w:color w:val="4F81BD" w:themeColor="accent1"/>
          <w:szCs w:val="20"/>
        </w:rPr>
        <w:t xml:space="preserve">, perforation, </w:t>
      </w:r>
      <w:r w:rsidR="00EE5774" w:rsidRPr="003B4C2A">
        <w:rPr>
          <w:color w:val="4F81BD" w:themeColor="accent1"/>
          <w:szCs w:val="20"/>
        </w:rPr>
        <w:t>device</w:t>
      </w:r>
      <w:r w:rsidRPr="003B4C2A">
        <w:rPr>
          <w:color w:val="4F81BD" w:themeColor="accent1"/>
          <w:szCs w:val="20"/>
        </w:rPr>
        <w:t xml:space="preserve"> migration, mortality)</w:t>
      </w:r>
    </w:p>
    <w:p w14:paraId="48EB81D9" w14:textId="3E95564D" w:rsidR="00BB67F8" w:rsidRPr="003B4C2A" w:rsidRDefault="00BB67F8" w:rsidP="001B29A1">
      <w:pPr>
        <w:pBdr>
          <w:top w:val="single" w:sz="4" w:space="1" w:color="auto"/>
          <w:left w:val="single" w:sz="4" w:space="4" w:color="auto"/>
          <w:bottom w:val="single" w:sz="4" w:space="1" w:color="auto"/>
          <w:right w:val="single" w:sz="4" w:space="4" w:color="auto"/>
        </w:pBdr>
        <w:rPr>
          <w:color w:val="4F81BD" w:themeColor="accent1"/>
          <w:szCs w:val="20"/>
        </w:rPr>
      </w:pPr>
      <w:r w:rsidRPr="003B4C2A">
        <w:rPr>
          <w:color w:val="4F81BD" w:themeColor="accent1"/>
          <w:szCs w:val="20"/>
        </w:rPr>
        <w:t xml:space="preserve">Long term </w:t>
      </w:r>
      <w:r w:rsidR="00033FA4" w:rsidRPr="003B4C2A">
        <w:rPr>
          <w:color w:val="4F81BD" w:themeColor="accent1"/>
          <w:szCs w:val="20"/>
        </w:rPr>
        <w:t>complications (</w:t>
      </w:r>
      <w:r w:rsidRPr="003B4C2A">
        <w:rPr>
          <w:color w:val="4F81BD" w:themeColor="accent1"/>
          <w:szCs w:val="20"/>
        </w:rPr>
        <w:t>stroke</w:t>
      </w:r>
      <w:r w:rsidR="00033FA4" w:rsidRPr="003B4C2A">
        <w:rPr>
          <w:color w:val="4F81BD" w:themeColor="accent1"/>
          <w:szCs w:val="20"/>
        </w:rPr>
        <w:t>, mortality, restenosis, rupture)</w:t>
      </w:r>
      <w:r w:rsidRPr="003B4C2A">
        <w:rPr>
          <w:color w:val="4F81BD" w:themeColor="accent1"/>
          <w:szCs w:val="20"/>
        </w:rPr>
        <w:t xml:space="preserve"> </w:t>
      </w:r>
    </w:p>
    <w:p w14:paraId="79F81E84" w14:textId="375CA48D" w:rsidR="00B25D20" w:rsidRPr="003B4C2A" w:rsidRDefault="001B29A1" w:rsidP="001B29A1">
      <w:pPr>
        <w:pBdr>
          <w:top w:val="single" w:sz="4" w:space="1" w:color="auto"/>
          <w:left w:val="single" w:sz="4" w:space="4" w:color="auto"/>
          <w:bottom w:val="single" w:sz="4" w:space="1" w:color="auto"/>
          <w:right w:val="single" w:sz="4" w:space="4" w:color="auto"/>
        </w:pBdr>
        <w:rPr>
          <w:color w:val="4F81BD" w:themeColor="accent1"/>
          <w:szCs w:val="20"/>
        </w:rPr>
      </w:pPr>
      <w:r w:rsidRPr="003B4C2A">
        <w:rPr>
          <w:b/>
          <w:color w:val="4F81BD" w:themeColor="accent1"/>
          <w:szCs w:val="20"/>
        </w:rPr>
        <w:t xml:space="preserve">Clinical Effectiveness Outcomes: </w:t>
      </w:r>
    </w:p>
    <w:p w14:paraId="3A653E62" w14:textId="77777777" w:rsidR="00BB67F8" w:rsidRPr="003B4C2A" w:rsidRDefault="00BB67F8" w:rsidP="00BB67F8">
      <w:pPr>
        <w:pBdr>
          <w:top w:val="single" w:sz="4" w:space="1" w:color="auto"/>
          <w:left w:val="single" w:sz="4" w:space="4" w:color="auto"/>
          <w:bottom w:val="single" w:sz="4" w:space="1" w:color="auto"/>
          <w:right w:val="single" w:sz="4" w:space="4" w:color="auto"/>
        </w:pBdr>
        <w:rPr>
          <w:color w:val="4F81BD" w:themeColor="accent1"/>
          <w:szCs w:val="20"/>
        </w:rPr>
      </w:pPr>
      <w:r w:rsidRPr="003B4C2A">
        <w:rPr>
          <w:color w:val="4F81BD" w:themeColor="accent1"/>
          <w:szCs w:val="20"/>
        </w:rPr>
        <w:t>Complete occlusion</w:t>
      </w:r>
    </w:p>
    <w:p w14:paraId="59171954" w14:textId="77777777" w:rsidR="00BB67F8" w:rsidRPr="003B4C2A" w:rsidRDefault="00BB67F8" w:rsidP="00BB67F8">
      <w:pPr>
        <w:pBdr>
          <w:top w:val="single" w:sz="4" w:space="1" w:color="auto"/>
          <w:left w:val="single" w:sz="4" w:space="4" w:color="auto"/>
          <w:bottom w:val="single" w:sz="4" w:space="1" w:color="auto"/>
          <w:right w:val="single" w:sz="4" w:space="4" w:color="auto"/>
        </w:pBdr>
        <w:rPr>
          <w:color w:val="4F81BD" w:themeColor="accent1"/>
          <w:szCs w:val="20"/>
        </w:rPr>
      </w:pPr>
      <w:r w:rsidRPr="003B4C2A">
        <w:rPr>
          <w:color w:val="4F81BD" w:themeColor="accent1"/>
          <w:szCs w:val="20"/>
        </w:rPr>
        <w:t>Retreatment or recurrence</w:t>
      </w:r>
    </w:p>
    <w:p w14:paraId="6633A2A6" w14:textId="02038EF0" w:rsidR="00BB67F8" w:rsidRPr="003B4C2A" w:rsidRDefault="00BB67F8" w:rsidP="00BB67F8">
      <w:pPr>
        <w:pBdr>
          <w:top w:val="single" w:sz="4" w:space="1" w:color="auto"/>
          <w:left w:val="single" w:sz="4" w:space="4" w:color="auto"/>
          <w:bottom w:val="single" w:sz="4" w:space="1" w:color="auto"/>
          <w:right w:val="single" w:sz="4" w:space="4" w:color="auto"/>
        </w:pBdr>
        <w:rPr>
          <w:color w:val="4F81BD" w:themeColor="accent1"/>
          <w:szCs w:val="20"/>
        </w:rPr>
      </w:pPr>
      <w:r w:rsidRPr="003B4C2A">
        <w:rPr>
          <w:color w:val="4F81BD" w:themeColor="accent1"/>
          <w:szCs w:val="20"/>
        </w:rPr>
        <w:t xml:space="preserve">Modified Rankin scale (patient function/disability measure/quality of life measure) </w:t>
      </w:r>
    </w:p>
    <w:p w14:paraId="65F3B329" w14:textId="77777777" w:rsidR="00BB67F8" w:rsidRPr="003B4C2A" w:rsidRDefault="00BB67F8" w:rsidP="00BB67F8">
      <w:pPr>
        <w:pBdr>
          <w:top w:val="single" w:sz="4" w:space="1" w:color="auto"/>
          <w:left w:val="single" w:sz="4" w:space="4" w:color="auto"/>
          <w:bottom w:val="single" w:sz="4" w:space="1" w:color="auto"/>
          <w:right w:val="single" w:sz="4" w:space="4" w:color="auto"/>
        </w:pBdr>
        <w:rPr>
          <w:color w:val="4F81BD" w:themeColor="accent1"/>
          <w:szCs w:val="20"/>
        </w:rPr>
      </w:pPr>
      <w:r w:rsidRPr="003B4C2A">
        <w:rPr>
          <w:color w:val="4F81BD" w:themeColor="accent1"/>
          <w:szCs w:val="20"/>
        </w:rPr>
        <w:t>Neurological symptoms (alleviation of mass effect)</w:t>
      </w:r>
    </w:p>
    <w:p w14:paraId="25EC19F0"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6DABD2C4"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5285CB95" w14:textId="4C9EB61A" w:rsidR="002978F1" w:rsidRPr="003B4C2A" w:rsidRDefault="002978F1" w:rsidP="002978F1">
      <w:pPr>
        <w:ind w:left="426"/>
        <w:rPr>
          <w:color w:val="4F81BD" w:themeColor="accent1"/>
          <w:szCs w:val="20"/>
        </w:rPr>
      </w:pPr>
      <w:r w:rsidRPr="003B4C2A">
        <w:rPr>
          <w:color w:val="4F81BD" w:themeColor="accent1"/>
          <w:szCs w:val="20"/>
        </w:rPr>
        <w:t>UIAs are often asymptomatic and therefore remain undiagnosed. Furthermore, as outlined in Q</w:t>
      </w:r>
      <w:r w:rsidR="008335FD" w:rsidRPr="003B4C2A">
        <w:rPr>
          <w:color w:val="4F81BD" w:themeColor="accent1"/>
          <w:szCs w:val="20"/>
        </w:rPr>
        <w:t>25</w:t>
      </w:r>
      <w:r w:rsidRPr="003B4C2A">
        <w:rPr>
          <w:color w:val="4F81BD" w:themeColor="accent1"/>
          <w:szCs w:val="20"/>
        </w:rPr>
        <w:t xml:space="preserve"> aneurysms of size less than 7 mm, in patients without family history or other risk factors, are regularly managed conservatively, and remain untreated. </w:t>
      </w:r>
      <w:r w:rsidR="00885D71" w:rsidRPr="003B4C2A">
        <w:rPr>
          <w:color w:val="4F81BD" w:themeColor="accent1"/>
          <w:szCs w:val="20"/>
        </w:rPr>
        <w:t xml:space="preserve">As such, incidence of diagnosis and treatment of UIAs, as opposed to the underlying prevalence of the condition, is proposed to be the most accurate method for estimating the proposed population. </w:t>
      </w:r>
      <w:r w:rsidRPr="003B4C2A">
        <w:rPr>
          <w:color w:val="4F81BD" w:themeColor="accent1"/>
          <w:szCs w:val="20"/>
        </w:rPr>
        <w:t xml:space="preserve">The disparity between the two measures is illustrated below through a comparison of UIA prevalence estimates and the reported number of UIA treatment procedures performed in Australian hospitals. </w:t>
      </w:r>
    </w:p>
    <w:p w14:paraId="71DFFFD9" w14:textId="36393F8D" w:rsidR="002978F1" w:rsidRPr="003B4C2A" w:rsidRDefault="002978F1" w:rsidP="002978F1">
      <w:pPr>
        <w:ind w:left="426"/>
        <w:rPr>
          <w:color w:val="4F81BD" w:themeColor="accent1"/>
          <w:szCs w:val="20"/>
        </w:rPr>
      </w:pPr>
      <w:r w:rsidRPr="003B4C2A">
        <w:rPr>
          <w:color w:val="4F81BD" w:themeColor="accent1"/>
          <w:szCs w:val="20"/>
        </w:rPr>
        <w:t>A meta-analysis of 83 study populations, across 21 countries, including 94,912 patients reported a UIA prevalence of 3.2% (</w:t>
      </w:r>
      <w:proofErr w:type="spellStart"/>
      <w:r w:rsidRPr="003B4C2A">
        <w:rPr>
          <w:color w:val="4F81BD" w:themeColor="accent1"/>
          <w:szCs w:val="20"/>
        </w:rPr>
        <w:t>Vlak</w:t>
      </w:r>
      <w:proofErr w:type="spellEnd"/>
      <w:r w:rsidRPr="003B4C2A">
        <w:rPr>
          <w:color w:val="4F81BD" w:themeColor="accent1"/>
          <w:szCs w:val="20"/>
        </w:rPr>
        <w:t xml:space="preserve"> 2011). </w:t>
      </w:r>
      <w:proofErr w:type="spellStart"/>
      <w:r w:rsidRPr="003B4C2A">
        <w:rPr>
          <w:color w:val="4F81BD" w:themeColor="accent1"/>
          <w:szCs w:val="20"/>
        </w:rPr>
        <w:t>Vlaks</w:t>
      </w:r>
      <w:proofErr w:type="spellEnd"/>
      <w:r w:rsidRPr="003B4C2A">
        <w:rPr>
          <w:color w:val="4F81BD" w:themeColor="accent1"/>
          <w:szCs w:val="20"/>
        </w:rPr>
        <w:t>’ (2011) prevalence estimates are based on population screening studies and post-mortem studies, therefore capturing the underlying presence of the disease irrespective of diagnosis</w:t>
      </w:r>
      <w:r w:rsidR="00885D71" w:rsidRPr="003B4C2A">
        <w:rPr>
          <w:color w:val="4F81BD" w:themeColor="accent1"/>
          <w:szCs w:val="20"/>
        </w:rPr>
        <w:t xml:space="preserve"> and treatment requirements</w:t>
      </w:r>
      <w:r w:rsidRPr="003B4C2A">
        <w:rPr>
          <w:color w:val="4F81BD" w:themeColor="accent1"/>
          <w:szCs w:val="20"/>
        </w:rPr>
        <w:t xml:space="preserve">. Applying this prevalence to the Australian population in 2019 (25,862,832) results in an estimated </w:t>
      </w:r>
      <w:r w:rsidR="00357521" w:rsidRPr="003B4C2A">
        <w:rPr>
          <w:color w:val="4F81BD" w:themeColor="accent1"/>
          <w:szCs w:val="20"/>
        </w:rPr>
        <w:t xml:space="preserve">patient population of </w:t>
      </w:r>
      <w:r w:rsidRPr="003B4C2A">
        <w:rPr>
          <w:color w:val="4F81BD" w:themeColor="accent1"/>
          <w:szCs w:val="20"/>
        </w:rPr>
        <w:t xml:space="preserve">830,000 with UIAs. </w:t>
      </w:r>
    </w:p>
    <w:p w14:paraId="2828464A" w14:textId="178F0A1A" w:rsidR="00554EAE" w:rsidRPr="003B4C2A" w:rsidRDefault="002978F1" w:rsidP="00D229C4">
      <w:pPr>
        <w:ind w:left="426"/>
        <w:rPr>
          <w:color w:val="4F81BD" w:themeColor="accent1"/>
          <w:szCs w:val="20"/>
        </w:rPr>
      </w:pPr>
      <w:r w:rsidRPr="003B4C2A">
        <w:rPr>
          <w:color w:val="4F81BD" w:themeColor="accent1"/>
          <w:szCs w:val="20"/>
        </w:rPr>
        <w:t>In comparison, AIHW procedure statistics data for Australia</w:t>
      </w:r>
      <w:r w:rsidR="00357521" w:rsidRPr="003B4C2A">
        <w:rPr>
          <w:color w:val="4F81BD" w:themeColor="accent1"/>
          <w:szCs w:val="20"/>
        </w:rPr>
        <w:t>n</w:t>
      </w:r>
      <w:r w:rsidRPr="003B4C2A">
        <w:rPr>
          <w:color w:val="4F81BD" w:themeColor="accent1"/>
          <w:szCs w:val="20"/>
        </w:rPr>
        <w:t xml:space="preserve"> hospitals reports between 2,024 and 2,351 procedures for endovascular </w:t>
      </w:r>
      <w:r w:rsidR="00D20826" w:rsidRPr="003B4C2A">
        <w:rPr>
          <w:color w:val="4F81BD" w:themeColor="accent1"/>
          <w:szCs w:val="20"/>
        </w:rPr>
        <w:t>occlusion</w:t>
      </w:r>
      <w:r w:rsidR="00264DF0" w:rsidRPr="003B4C2A">
        <w:rPr>
          <w:color w:val="4F81BD" w:themeColor="accent1"/>
          <w:szCs w:val="20"/>
        </w:rPr>
        <w:t xml:space="preserve"> (assumed to comprise coiling and FDD)</w:t>
      </w:r>
      <w:r w:rsidR="00D20826" w:rsidRPr="003B4C2A">
        <w:rPr>
          <w:color w:val="4F81BD" w:themeColor="accent1"/>
          <w:szCs w:val="20"/>
        </w:rPr>
        <w:t xml:space="preserve"> </w:t>
      </w:r>
      <w:r w:rsidRPr="003B4C2A">
        <w:rPr>
          <w:color w:val="4F81BD" w:themeColor="accent1"/>
          <w:szCs w:val="20"/>
        </w:rPr>
        <w:t xml:space="preserve">or surgical clipping of cerebral aneurysms between 2011-12 and 2015-16, </w:t>
      </w:r>
      <w:r w:rsidRPr="003B4C2A">
        <w:rPr>
          <w:color w:val="4F81BD" w:themeColor="accent1"/>
          <w:szCs w:val="20"/>
        </w:rPr>
        <w:fldChar w:fldCharType="begin"/>
      </w:r>
      <w:r w:rsidRPr="003B4C2A">
        <w:rPr>
          <w:color w:val="4F81BD" w:themeColor="accent1"/>
          <w:szCs w:val="20"/>
        </w:rPr>
        <w:instrText xml:space="preserve"> REF _Ref516215130 \h </w:instrText>
      </w:r>
      <w:r w:rsidRPr="003B4C2A">
        <w:rPr>
          <w:color w:val="4F81BD" w:themeColor="accent1"/>
          <w:szCs w:val="20"/>
        </w:rPr>
      </w:r>
      <w:r w:rsidRPr="003B4C2A">
        <w:rPr>
          <w:color w:val="4F81BD" w:themeColor="accent1"/>
          <w:szCs w:val="20"/>
        </w:rPr>
        <w:fldChar w:fldCharType="separate"/>
      </w:r>
      <w:r w:rsidR="008335FD" w:rsidRPr="003B4C2A">
        <w:rPr>
          <w:color w:val="4F81BD" w:themeColor="accent1"/>
        </w:rPr>
        <w:t xml:space="preserve">Table </w:t>
      </w:r>
      <w:r w:rsidR="008335FD" w:rsidRPr="003B4C2A">
        <w:rPr>
          <w:noProof/>
          <w:color w:val="4F81BD" w:themeColor="accent1"/>
        </w:rPr>
        <w:t>4</w:t>
      </w:r>
      <w:r w:rsidRPr="003B4C2A">
        <w:rPr>
          <w:color w:val="4F81BD" w:themeColor="accent1"/>
          <w:szCs w:val="20"/>
        </w:rPr>
        <w:fldChar w:fldCharType="end"/>
      </w:r>
      <w:r w:rsidRPr="003B4C2A">
        <w:rPr>
          <w:color w:val="4F81BD" w:themeColor="accent1"/>
          <w:szCs w:val="20"/>
        </w:rPr>
        <w:t xml:space="preserve">. </w:t>
      </w:r>
      <w:r w:rsidR="006F7058" w:rsidRPr="003B4C2A">
        <w:rPr>
          <w:color w:val="4F81BD" w:themeColor="accent1"/>
          <w:szCs w:val="20"/>
        </w:rPr>
        <w:t xml:space="preserve">It is acknowledged that these </w:t>
      </w:r>
      <w:r w:rsidR="00EF167E" w:rsidRPr="003B4C2A">
        <w:rPr>
          <w:color w:val="4F81BD" w:themeColor="accent1"/>
          <w:szCs w:val="20"/>
        </w:rPr>
        <w:t xml:space="preserve">procedures include both ruptured and </w:t>
      </w:r>
      <w:proofErr w:type="spellStart"/>
      <w:r w:rsidR="00EF167E" w:rsidRPr="003B4C2A">
        <w:rPr>
          <w:color w:val="4F81BD" w:themeColor="accent1"/>
          <w:szCs w:val="20"/>
        </w:rPr>
        <w:t>unruptured</w:t>
      </w:r>
      <w:proofErr w:type="spellEnd"/>
      <w:r w:rsidR="00EF167E" w:rsidRPr="003B4C2A">
        <w:rPr>
          <w:color w:val="4F81BD" w:themeColor="accent1"/>
          <w:szCs w:val="20"/>
        </w:rPr>
        <w:t xml:space="preserve"> aneurysms</w:t>
      </w:r>
      <w:r w:rsidR="00D725BD" w:rsidRPr="003B4C2A">
        <w:rPr>
          <w:color w:val="4F81BD" w:themeColor="accent1"/>
          <w:szCs w:val="20"/>
        </w:rPr>
        <w:t xml:space="preserve">. </w:t>
      </w:r>
      <w:r w:rsidR="009449D1" w:rsidRPr="003B4C2A">
        <w:rPr>
          <w:color w:val="4F81BD" w:themeColor="accent1"/>
          <w:szCs w:val="20"/>
        </w:rPr>
        <w:t>However,</w:t>
      </w:r>
      <w:r w:rsidR="006F7058" w:rsidRPr="003B4C2A">
        <w:rPr>
          <w:color w:val="4F81BD" w:themeColor="accent1"/>
          <w:szCs w:val="20"/>
        </w:rPr>
        <w:t xml:space="preserve"> </w:t>
      </w:r>
      <w:r w:rsidR="009449D1" w:rsidRPr="003B4C2A">
        <w:rPr>
          <w:color w:val="4F81BD" w:themeColor="accent1"/>
          <w:szCs w:val="20"/>
        </w:rPr>
        <w:t xml:space="preserve">AIHW principal diagnosis data reports between </w:t>
      </w:r>
      <w:r w:rsidR="00D725BD" w:rsidRPr="003B4C2A">
        <w:rPr>
          <w:color w:val="4F81BD" w:themeColor="accent1"/>
          <w:szCs w:val="20"/>
        </w:rPr>
        <w:t xml:space="preserve">1,983 and 2,674 </w:t>
      </w:r>
      <w:r w:rsidR="009449D1" w:rsidRPr="003B4C2A">
        <w:rPr>
          <w:color w:val="4F81BD" w:themeColor="accent1"/>
          <w:szCs w:val="20"/>
        </w:rPr>
        <w:t xml:space="preserve">hospitalisations </w:t>
      </w:r>
      <w:r w:rsidR="00D725BD" w:rsidRPr="003B4C2A">
        <w:rPr>
          <w:color w:val="4F81BD" w:themeColor="accent1"/>
          <w:szCs w:val="20"/>
        </w:rPr>
        <w:t xml:space="preserve">annually due to </w:t>
      </w:r>
      <w:proofErr w:type="spellStart"/>
      <w:r w:rsidR="00A61A6B" w:rsidRPr="003B4C2A">
        <w:rPr>
          <w:color w:val="4F81BD" w:themeColor="accent1"/>
          <w:szCs w:val="20"/>
        </w:rPr>
        <w:t>un</w:t>
      </w:r>
      <w:r w:rsidR="00D725BD" w:rsidRPr="003B4C2A">
        <w:rPr>
          <w:color w:val="4F81BD" w:themeColor="accent1"/>
          <w:szCs w:val="20"/>
        </w:rPr>
        <w:t>ruptured</w:t>
      </w:r>
      <w:proofErr w:type="spellEnd"/>
      <w:r w:rsidR="00D725BD" w:rsidRPr="003B4C2A">
        <w:rPr>
          <w:color w:val="4F81BD" w:themeColor="accent1"/>
          <w:szCs w:val="20"/>
        </w:rPr>
        <w:t xml:space="preserve"> cerebral aneurysms over the same period</w:t>
      </w:r>
      <w:r w:rsidR="009449D1" w:rsidRPr="003B4C2A">
        <w:rPr>
          <w:color w:val="4F81BD" w:themeColor="accent1"/>
          <w:szCs w:val="20"/>
        </w:rPr>
        <w:t xml:space="preserve">. </w:t>
      </w:r>
      <w:r w:rsidR="00203E7C" w:rsidRPr="003B4C2A">
        <w:rPr>
          <w:color w:val="4F81BD" w:themeColor="accent1"/>
          <w:szCs w:val="20"/>
        </w:rPr>
        <w:t>Therefore, i</w:t>
      </w:r>
      <w:r w:rsidR="00D725BD" w:rsidRPr="003B4C2A">
        <w:rPr>
          <w:color w:val="4F81BD" w:themeColor="accent1"/>
          <w:szCs w:val="20"/>
        </w:rPr>
        <w:t xml:space="preserve">t is proposed </w:t>
      </w:r>
      <w:r w:rsidR="009449D1" w:rsidRPr="003B4C2A">
        <w:rPr>
          <w:color w:val="4F81BD" w:themeColor="accent1"/>
          <w:szCs w:val="20"/>
        </w:rPr>
        <w:t xml:space="preserve">AIHW </w:t>
      </w:r>
      <w:r w:rsidR="00D725BD" w:rsidRPr="003B4C2A">
        <w:rPr>
          <w:color w:val="4F81BD" w:themeColor="accent1"/>
          <w:szCs w:val="20"/>
        </w:rPr>
        <w:t xml:space="preserve">procedure numbers </w:t>
      </w:r>
      <w:r w:rsidR="009449D1" w:rsidRPr="003B4C2A">
        <w:rPr>
          <w:color w:val="4F81BD" w:themeColor="accent1"/>
          <w:szCs w:val="20"/>
        </w:rPr>
        <w:t xml:space="preserve">are </w:t>
      </w:r>
      <w:r w:rsidR="00D725BD" w:rsidRPr="003B4C2A">
        <w:rPr>
          <w:color w:val="4F81BD" w:themeColor="accent1"/>
          <w:szCs w:val="20"/>
        </w:rPr>
        <w:t xml:space="preserve">likely </w:t>
      </w:r>
      <w:r w:rsidR="009449D1" w:rsidRPr="003B4C2A">
        <w:rPr>
          <w:color w:val="4F81BD" w:themeColor="accent1"/>
          <w:szCs w:val="20"/>
        </w:rPr>
        <w:t xml:space="preserve">indicative of </w:t>
      </w:r>
      <w:r w:rsidR="00D725BD" w:rsidRPr="003B4C2A">
        <w:rPr>
          <w:color w:val="4F81BD" w:themeColor="accent1"/>
          <w:szCs w:val="20"/>
        </w:rPr>
        <w:t xml:space="preserve">the total proposed population. </w:t>
      </w:r>
    </w:p>
    <w:p w14:paraId="303B4F49" w14:textId="7E054D01" w:rsidR="002978F1" w:rsidRDefault="002978F1" w:rsidP="002978F1">
      <w:pPr>
        <w:pStyle w:val="Caption"/>
        <w:keepNext/>
        <w:ind w:firstLine="426"/>
      </w:pPr>
      <w:bookmarkStart w:id="18" w:name="_Ref516215130"/>
      <w:r>
        <w:t xml:space="preserve">Table </w:t>
      </w:r>
      <w:r w:rsidR="00F64073">
        <w:rPr>
          <w:noProof/>
        </w:rPr>
        <w:fldChar w:fldCharType="begin"/>
      </w:r>
      <w:r w:rsidR="00F64073">
        <w:rPr>
          <w:noProof/>
        </w:rPr>
        <w:instrText xml:space="preserve"> SEQ Table \* ARABIC </w:instrText>
      </w:r>
      <w:r w:rsidR="00F64073">
        <w:rPr>
          <w:noProof/>
        </w:rPr>
        <w:fldChar w:fldCharType="separate"/>
      </w:r>
      <w:r w:rsidR="00CA2489">
        <w:rPr>
          <w:noProof/>
        </w:rPr>
        <w:t>5</w:t>
      </w:r>
      <w:r w:rsidR="00F64073">
        <w:rPr>
          <w:noProof/>
        </w:rPr>
        <w:fldChar w:fldCharType="end"/>
      </w:r>
      <w:bookmarkEnd w:id="18"/>
      <w:r>
        <w:tab/>
        <w:t>AIHW hospital statistics, 2011-12 to 2015-16</w:t>
      </w:r>
    </w:p>
    <w:tbl>
      <w:tblPr>
        <w:tblStyle w:val="TableGrid"/>
        <w:tblW w:w="0" w:type="auto"/>
        <w:tblInd w:w="421" w:type="dxa"/>
        <w:tblLayout w:type="fixed"/>
        <w:tblLook w:val="04A0" w:firstRow="1" w:lastRow="0" w:firstColumn="1" w:lastColumn="0" w:noHBand="0" w:noVBand="1"/>
        <w:tblCaption w:val="Table showing procedure and years"/>
      </w:tblPr>
      <w:tblGrid>
        <w:gridCol w:w="3543"/>
        <w:gridCol w:w="1010"/>
        <w:gridCol w:w="1010"/>
        <w:gridCol w:w="1011"/>
        <w:gridCol w:w="1010"/>
        <w:gridCol w:w="1011"/>
      </w:tblGrid>
      <w:tr w:rsidR="002978F1" w:rsidRPr="002978F1" w14:paraId="61F32D91" w14:textId="77777777" w:rsidTr="00A03D42">
        <w:trPr>
          <w:trHeight w:val="300"/>
          <w:tblHeader/>
        </w:trPr>
        <w:tc>
          <w:tcPr>
            <w:tcW w:w="3543" w:type="dxa"/>
            <w:tcBorders>
              <w:bottom w:val="single" w:sz="4" w:space="0" w:color="auto"/>
            </w:tcBorders>
            <w:noWrap/>
            <w:hideMark/>
          </w:tcPr>
          <w:p w14:paraId="6E5D61EF" w14:textId="77777777" w:rsidR="002978F1" w:rsidRPr="002978F1" w:rsidRDefault="002978F1" w:rsidP="00345E2B">
            <w:pPr>
              <w:spacing w:before="0" w:after="0"/>
              <w:rPr>
                <w:b/>
              </w:rPr>
            </w:pPr>
            <w:r w:rsidRPr="002978F1">
              <w:rPr>
                <w:b/>
              </w:rPr>
              <w:t>Procedure</w:t>
            </w:r>
          </w:p>
        </w:tc>
        <w:tc>
          <w:tcPr>
            <w:tcW w:w="1010" w:type="dxa"/>
            <w:tcBorders>
              <w:bottom w:val="single" w:sz="4" w:space="0" w:color="auto"/>
            </w:tcBorders>
            <w:noWrap/>
            <w:hideMark/>
          </w:tcPr>
          <w:p w14:paraId="0F82F36E" w14:textId="77777777" w:rsidR="002978F1" w:rsidRPr="002978F1" w:rsidRDefault="002978F1" w:rsidP="00345E2B">
            <w:pPr>
              <w:spacing w:before="0" w:after="0"/>
              <w:rPr>
                <w:b/>
              </w:rPr>
            </w:pPr>
            <w:r w:rsidRPr="002978F1">
              <w:rPr>
                <w:b/>
              </w:rPr>
              <w:t>2011-12</w:t>
            </w:r>
          </w:p>
        </w:tc>
        <w:tc>
          <w:tcPr>
            <w:tcW w:w="1010" w:type="dxa"/>
            <w:tcBorders>
              <w:bottom w:val="single" w:sz="4" w:space="0" w:color="auto"/>
            </w:tcBorders>
            <w:noWrap/>
            <w:hideMark/>
          </w:tcPr>
          <w:p w14:paraId="2DC18220" w14:textId="77777777" w:rsidR="002978F1" w:rsidRPr="002978F1" w:rsidRDefault="002978F1" w:rsidP="00345E2B">
            <w:pPr>
              <w:spacing w:before="0" w:after="0"/>
              <w:rPr>
                <w:b/>
              </w:rPr>
            </w:pPr>
            <w:r w:rsidRPr="002978F1">
              <w:rPr>
                <w:b/>
              </w:rPr>
              <w:t>2012-13</w:t>
            </w:r>
          </w:p>
        </w:tc>
        <w:tc>
          <w:tcPr>
            <w:tcW w:w="1011" w:type="dxa"/>
            <w:tcBorders>
              <w:bottom w:val="single" w:sz="4" w:space="0" w:color="auto"/>
            </w:tcBorders>
            <w:noWrap/>
            <w:hideMark/>
          </w:tcPr>
          <w:p w14:paraId="73A9E42F" w14:textId="77777777" w:rsidR="002978F1" w:rsidRPr="002978F1" w:rsidRDefault="002978F1" w:rsidP="00345E2B">
            <w:pPr>
              <w:spacing w:before="0" w:after="0"/>
              <w:rPr>
                <w:b/>
              </w:rPr>
            </w:pPr>
            <w:r w:rsidRPr="002978F1">
              <w:rPr>
                <w:b/>
              </w:rPr>
              <w:t>2013-14</w:t>
            </w:r>
          </w:p>
        </w:tc>
        <w:tc>
          <w:tcPr>
            <w:tcW w:w="1010" w:type="dxa"/>
            <w:tcBorders>
              <w:bottom w:val="single" w:sz="4" w:space="0" w:color="auto"/>
            </w:tcBorders>
            <w:noWrap/>
            <w:hideMark/>
          </w:tcPr>
          <w:p w14:paraId="57A3C1C1" w14:textId="77777777" w:rsidR="002978F1" w:rsidRPr="002978F1" w:rsidRDefault="002978F1" w:rsidP="00345E2B">
            <w:pPr>
              <w:spacing w:before="0" w:after="0"/>
              <w:rPr>
                <w:b/>
              </w:rPr>
            </w:pPr>
            <w:r w:rsidRPr="002978F1">
              <w:rPr>
                <w:b/>
              </w:rPr>
              <w:t>2014-15</w:t>
            </w:r>
          </w:p>
        </w:tc>
        <w:tc>
          <w:tcPr>
            <w:tcW w:w="1011" w:type="dxa"/>
            <w:tcBorders>
              <w:bottom w:val="single" w:sz="4" w:space="0" w:color="auto"/>
            </w:tcBorders>
            <w:noWrap/>
            <w:hideMark/>
          </w:tcPr>
          <w:p w14:paraId="404CEB7F" w14:textId="77777777" w:rsidR="002978F1" w:rsidRPr="002978F1" w:rsidRDefault="002978F1" w:rsidP="00345E2B">
            <w:pPr>
              <w:spacing w:before="0" w:after="0"/>
              <w:rPr>
                <w:b/>
              </w:rPr>
            </w:pPr>
            <w:r w:rsidRPr="002978F1">
              <w:rPr>
                <w:b/>
              </w:rPr>
              <w:t>2015-16</w:t>
            </w:r>
          </w:p>
        </w:tc>
      </w:tr>
      <w:tr w:rsidR="002978F1" w:rsidRPr="007B3961" w14:paraId="0A15B4D5" w14:textId="77777777" w:rsidTr="00941152">
        <w:trPr>
          <w:trHeight w:val="300"/>
        </w:trPr>
        <w:tc>
          <w:tcPr>
            <w:tcW w:w="3543" w:type="dxa"/>
            <w:tcBorders>
              <w:right w:val="nil"/>
            </w:tcBorders>
            <w:noWrap/>
          </w:tcPr>
          <w:p w14:paraId="492809FD" w14:textId="525C47C7" w:rsidR="002978F1" w:rsidRPr="003B4C2A" w:rsidRDefault="002978F1" w:rsidP="00345E2B">
            <w:pPr>
              <w:spacing w:before="0" w:after="0"/>
              <w:rPr>
                <w:color w:val="4F81BD" w:themeColor="accent1"/>
              </w:rPr>
            </w:pPr>
            <w:r w:rsidRPr="003B4C2A">
              <w:rPr>
                <w:color w:val="4F81BD" w:themeColor="accent1"/>
              </w:rPr>
              <w:t>ACHI 9</w:t>
            </w:r>
            <w:r w:rsidRPr="003B4C2A">
              <w:rPr>
                <w:color w:val="4F81BD" w:themeColor="accent1"/>
                <w:vertAlign w:val="superscript"/>
              </w:rPr>
              <w:t>th</w:t>
            </w:r>
            <w:r w:rsidRPr="003B4C2A">
              <w:rPr>
                <w:color w:val="4F81BD" w:themeColor="accent1"/>
              </w:rPr>
              <w:t xml:space="preserve"> </w:t>
            </w:r>
            <w:proofErr w:type="spellStart"/>
            <w:r w:rsidRPr="003B4C2A">
              <w:rPr>
                <w:color w:val="4F81BD" w:themeColor="accent1"/>
              </w:rPr>
              <w:t>ed</w:t>
            </w:r>
            <w:proofErr w:type="spellEnd"/>
          </w:p>
        </w:tc>
        <w:tc>
          <w:tcPr>
            <w:tcW w:w="1010" w:type="dxa"/>
            <w:tcBorders>
              <w:left w:val="nil"/>
              <w:right w:val="nil"/>
            </w:tcBorders>
            <w:noWrap/>
          </w:tcPr>
          <w:p w14:paraId="2014017C" w14:textId="77777777" w:rsidR="002978F1" w:rsidRPr="003B4C2A" w:rsidRDefault="002978F1" w:rsidP="00345E2B">
            <w:pPr>
              <w:spacing w:before="0" w:after="0"/>
              <w:rPr>
                <w:color w:val="4F81BD" w:themeColor="accent1"/>
              </w:rPr>
            </w:pPr>
          </w:p>
        </w:tc>
        <w:tc>
          <w:tcPr>
            <w:tcW w:w="1010" w:type="dxa"/>
            <w:tcBorders>
              <w:left w:val="nil"/>
              <w:right w:val="nil"/>
            </w:tcBorders>
            <w:noWrap/>
          </w:tcPr>
          <w:p w14:paraId="3A89ABF8" w14:textId="77777777" w:rsidR="002978F1" w:rsidRPr="003B4C2A" w:rsidRDefault="002978F1" w:rsidP="00345E2B">
            <w:pPr>
              <w:spacing w:before="0" w:after="0"/>
              <w:rPr>
                <w:color w:val="4F81BD" w:themeColor="accent1"/>
              </w:rPr>
            </w:pPr>
          </w:p>
        </w:tc>
        <w:tc>
          <w:tcPr>
            <w:tcW w:w="1011" w:type="dxa"/>
            <w:tcBorders>
              <w:left w:val="nil"/>
              <w:right w:val="nil"/>
            </w:tcBorders>
            <w:noWrap/>
          </w:tcPr>
          <w:p w14:paraId="4E970C3B" w14:textId="77777777" w:rsidR="002978F1" w:rsidRPr="003B4C2A" w:rsidRDefault="002978F1" w:rsidP="00345E2B">
            <w:pPr>
              <w:spacing w:before="0" w:after="0"/>
              <w:rPr>
                <w:color w:val="4F81BD" w:themeColor="accent1"/>
              </w:rPr>
            </w:pPr>
          </w:p>
        </w:tc>
        <w:tc>
          <w:tcPr>
            <w:tcW w:w="1010" w:type="dxa"/>
            <w:tcBorders>
              <w:left w:val="nil"/>
              <w:right w:val="nil"/>
            </w:tcBorders>
            <w:noWrap/>
          </w:tcPr>
          <w:p w14:paraId="13BD03AF" w14:textId="77777777" w:rsidR="002978F1" w:rsidRPr="003B4C2A" w:rsidRDefault="002978F1" w:rsidP="00345E2B">
            <w:pPr>
              <w:spacing w:before="0" w:after="0"/>
              <w:rPr>
                <w:color w:val="4F81BD" w:themeColor="accent1"/>
              </w:rPr>
            </w:pPr>
          </w:p>
        </w:tc>
        <w:tc>
          <w:tcPr>
            <w:tcW w:w="1011" w:type="dxa"/>
            <w:tcBorders>
              <w:left w:val="nil"/>
            </w:tcBorders>
            <w:noWrap/>
          </w:tcPr>
          <w:p w14:paraId="554318A7" w14:textId="77777777" w:rsidR="002978F1" w:rsidRPr="003B4C2A" w:rsidRDefault="002978F1" w:rsidP="00345E2B">
            <w:pPr>
              <w:spacing w:before="0" w:after="0"/>
              <w:rPr>
                <w:color w:val="4F81BD" w:themeColor="accent1"/>
              </w:rPr>
            </w:pPr>
          </w:p>
        </w:tc>
      </w:tr>
      <w:tr w:rsidR="002978F1" w:rsidRPr="007B3961" w14:paraId="468BFA5F" w14:textId="77777777" w:rsidTr="00941152">
        <w:trPr>
          <w:trHeight w:val="300"/>
        </w:trPr>
        <w:tc>
          <w:tcPr>
            <w:tcW w:w="3543" w:type="dxa"/>
            <w:noWrap/>
            <w:hideMark/>
          </w:tcPr>
          <w:p w14:paraId="7DC71403" w14:textId="77777777" w:rsidR="002978F1" w:rsidRPr="003B4C2A" w:rsidRDefault="002978F1" w:rsidP="00345E2B">
            <w:pPr>
              <w:spacing w:before="0" w:after="0"/>
              <w:rPr>
                <w:color w:val="4F81BD" w:themeColor="accent1"/>
              </w:rPr>
            </w:pPr>
            <w:r w:rsidRPr="003B4C2A">
              <w:rPr>
                <w:color w:val="4F81BD" w:themeColor="accent1"/>
              </w:rPr>
              <w:t>Endovascular occlusion of cerebral aneurysm or arteriovenous malformation</w:t>
            </w:r>
          </w:p>
        </w:tc>
        <w:tc>
          <w:tcPr>
            <w:tcW w:w="1010" w:type="dxa"/>
            <w:noWrap/>
            <w:hideMark/>
          </w:tcPr>
          <w:p w14:paraId="59579F9D" w14:textId="77777777" w:rsidR="002978F1" w:rsidRPr="003B4C2A" w:rsidRDefault="002978F1" w:rsidP="00345E2B">
            <w:pPr>
              <w:spacing w:before="0" w:after="0"/>
              <w:rPr>
                <w:color w:val="4F81BD" w:themeColor="accent1"/>
              </w:rPr>
            </w:pPr>
            <w:r w:rsidRPr="003B4C2A">
              <w:rPr>
                <w:color w:val="4F81BD" w:themeColor="accent1"/>
              </w:rPr>
              <w:t>1,150</w:t>
            </w:r>
          </w:p>
        </w:tc>
        <w:tc>
          <w:tcPr>
            <w:tcW w:w="1010" w:type="dxa"/>
            <w:noWrap/>
            <w:hideMark/>
          </w:tcPr>
          <w:p w14:paraId="119332DD" w14:textId="77777777" w:rsidR="002978F1" w:rsidRPr="003B4C2A" w:rsidRDefault="002978F1" w:rsidP="00345E2B">
            <w:pPr>
              <w:spacing w:before="0" w:after="0"/>
              <w:rPr>
                <w:color w:val="4F81BD" w:themeColor="accent1"/>
              </w:rPr>
            </w:pPr>
            <w:r w:rsidRPr="003B4C2A">
              <w:rPr>
                <w:color w:val="4F81BD" w:themeColor="accent1"/>
              </w:rPr>
              <w:t>1,122</w:t>
            </w:r>
          </w:p>
        </w:tc>
        <w:tc>
          <w:tcPr>
            <w:tcW w:w="1011" w:type="dxa"/>
            <w:noWrap/>
            <w:hideMark/>
          </w:tcPr>
          <w:p w14:paraId="5713002E" w14:textId="77777777" w:rsidR="002978F1" w:rsidRPr="003B4C2A" w:rsidRDefault="002978F1" w:rsidP="00345E2B">
            <w:pPr>
              <w:spacing w:before="0" w:after="0"/>
              <w:rPr>
                <w:color w:val="4F81BD" w:themeColor="accent1"/>
              </w:rPr>
            </w:pPr>
            <w:r w:rsidRPr="003B4C2A">
              <w:rPr>
                <w:color w:val="4F81BD" w:themeColor="accent1"/>
              </w:rPr>
              <w:t>1,280</w:t>
            </w:r>
          </w:p>
        </w:tc>
        <w:tc>
          <w:tcPr>
            <w:tcW w:w="1010" w:type="dxa"/>
            <w:noWrap/>
            <w:hideMark/>
          </w:tcPr>
          <w:p w14:paraId="0EFAD1E3" w14:textId="77777777" w:rsidR="002978F1" w:rsidRPr="003B4C2A" w:rsidRDefault="002978F1" w:rsidP="00345E2B">
            <w:pPr>
              <w:spacing w:before="0" w:after="0"/>
              <w:rPr>
                <w:color w:val="4F81BD" w:themeColor="accent1"/>
              </w:rPr>
            </w:pPr>
            <w:r w:rsidRPr="003B4C2A">
              <w:rPr>
                <w:color w:val="4F81BD" w:themeColor="accent1"/>
              </w:rPr>
              <w:t>1,416</w:t>
            </w:r>
          </w:p>
        </w:tc>
        <w:tc>
          <w:tcPr>
            <w:tcW w:w="1011" w:type="dxa"/>
            <w:noWrap/>
            <w:hideMark/>
          </w:tcPr>
          <w:p w14:paraId="47529787" w14:textId="77777777" w:rsidR="002978F1" w:rsidRPr="003B4C2A" w:rsidRDefault="002978F1" w:rsidP="00345E2B">
            <w:pPr>
              <w:spacing w:before="0" w:after="0"/>
              <w:rPr>
                <w:color w:val="4F81BD" w:themeColor="accent1"/>
              </w:rPr>
            </w:pPr>
            <w:r w:rsidRPr="003B4C2A">
              <w:rPr>
                <w:color w:val="4F81BD" w:themeColor="accent1"/>
              </w:rPr>
              <w:t>1,518</w:t>
            </w:r>
          </w:p>
        </w:tc>
      </w:tr>
      <w:tr w:rsidR="002978F1" w:rsidRPr="007B3961" w14:paraId="7688586D" w14:textId="77777777" w:rsidTr="00941152">
        <w:trPr>
          <w:trHeight w:val="300"/>
        </w:trPr>
        <w:tc>
          <w:tcPr>
            <w:tcW w:w="3543" w:type="dxa"/>
            <w:noWrap/>
            <w:hideMark/>
          </w:tcPr>
          <w:p w14:paraId="0310F0AC" w14:textId="77777777" w:rsidR="002978F1" w:rsidRPr="003B4C2A" w:rsidRDefault="002978F1" w:rsidP="00345E2B">
            <w:pPr>
              <w:spacing w:before="0" w:after="0"/>
              <w:rPr>
                <w:color w:val="4F81BD" w:themeColor="accent1"/>
              </w:rPr>
            </w:pPr>
            <w:r w:rsidRPr="003B4C2A">
              <w:rPr>
                <w:color w:val="4F81BD" w:themeColor="accent1"/>
              </w:rPr>
              <w:t>Clipping of cerebral aneurysm</w:t>
            </w:r>
          </w:p>
        </w:tc>
        <w:tc>
          <w:tcPr>
            <w:tcW w:w="1010" w:type="dxa"/>
            <w:noWrap/>
            <w:hideMark/>
          </w:tcPr>
          <w:p w14:paraId="3BEDA803" w14:textId="77777777" w:rsidR="002978F1" w:rsidRPr="003B4C2A" w:rsidRDefault="002978F1" w:rsidP="00345E2B">
            <w:pPr>
              <w:spacing w:before="0" w:after="0"/>
              <w:rPr>
                <w:color w:val="4F81BD" w:themeColor="accent1"/>
              </w:rPr>
            </w:pPr>
            <w:r w:rsidRPr="003B4C2A">
              <w:rPr>
                <w:color w:val="4F81BD" w:themeColor="accent1"/>
              </w:rPr>
              <w:t>874</w:t>
            </w:r>
          </w:p>
        </w:tc>
        <w:tc>
          <w:tcPr>
            <w:tcW w:w="1010" w:type="dxa"/>
            <w:noWrap/>
            <w:hideMark/>
          </w:tcPr>
          <w:p w14:paraId="27535768" w14:textId="77777777" w:rsidR="002978F1" w:rsidRPr="003B4C2A" w:rsidRDefault="002978F1" w:rsidP="00345E2B">
            <w:pPr>
              <w:spacing w:before="0" w:after="0"/>
              <w:rPr>
                <w:color w:val="4F81BD" w:themeColor="accent1"/>
              </w:rPr>
            </w:pPr>
            <w:r w:rsidRPr="003B4C2A">
              <w:rPr>
                <w:color w:val="4F81BD" w:themeColor="accent1"/>
              </w:rPr>
              <w:t>900</w:t>
            </w:r>
          </w:p>
        </w:tc>
        <w:tc>
          <w:tcPr>
            <w:tcW w:w="1011" w:type="dxa"/>
            <w:noWrap/>
            <w:hideMark/>
          </w:tcPr>
          <w:p w14:paraId="434CF2DE" w14:textId="77777777" w:rsidR="002978F1" w:rsidRPr="003B4C2A" w:rsidRDefault="002978F1" w:rsidP="00345E2B">
            <w:pPr>
              <w:spacing w:before="0" w:after="0"/>
              <w:rPr>
                <w:color w:val="4F81BD" w:themeColor="accent1"/>
              </w:rPr>
            </w:pPr>
            <w:r w:rsidRPr="003B4C2A">
              <w:rPr>
                <w:color w:val="4F81BD" w:themeColor="accent1"/>
              </w:rPr>
              <w:t>913</w:t>
            </w:r>
          </w:p>
        </w:tc>
        <w:tc>
          <w:tcPr>
            <w:tcW w:w="1010" w:type="dxa"/>
            <w:noWrap/>
            <w:hideMark/>
          </w:tcPr>
          <w:p w14:paraId="7A0E106D" w14:textId="77777777" w:rsidR="002978F1" w:rsidRPr="003B4C2A" w:rsidRDefault="002978F1" w:rsidP="00345E2B">
            <w:pPr>
              <w:spacing w:before="0" w:after="0"/>
              <w:rPr>
                <w:color w:val="4F81BD" w:themeColor="accent1"/>
              </w:rPr>
            </w:pPr>
            <w:r w:rsidRPr="003B4C2A">
              <w:rPr>
                <w:color w:val="4F81BD" w:themeColor="accent1"/>
              </w:rPr>
              <w:t>838</w:t>
            </w:r>
          </w:p>
        </w:tc>
        <w:tc>
          <w:tcPr>
            <w:tcW w:w="1011" w:type="dxa"/>
            <w:noWrap/>
            <w:hideMark/>
          </w:tcPr>
          <w:p w14:paraId="08992761" w14:textId="77777777" w:rsidR="002978F1" w:rsidRPr="003B4C2A" w:rsidRDefault="002978F1" w:rsidP="00345E2B">
            <w:pPr>
              <w:spacing w:before="0" w:after="0"/>
              <w:rPr>
                <w:color w:val="4F81BD" w:themeColor="accent1"/>
              </w:rPr>
            </w:pPr>
            <w:r w:rsidRPr="003B4C2A">
              <w:rPr>
                <w:color w:val="4F81BD" w:themeColor="accent1"/>
              </w:rPr>
              <w:t>833</w:t>
            </w:r>
          </w:p>
        </w:tc>
      </w:tr>
      <w:tr w:rsidR="002978F1" w:rsidRPr="007B3961" w14:paraId="15F0E1EC" w14:textId="77777777" w:rsidTr="00D725BD">
        <w:trPr>
          <w:trHeight w:val="300"/>
        </w:trPr>
        <w:tc>
          <w:tcPr>
            <w:tcW w:w="3543" w:type="dxa"/>
            <w:tcBorders>
              <w:bottom w:val="single" w:sz="4" w:space="0" w:color="auto"/>
            </w:tcBorders>
            <w:noWrap/>
          </w:tcPr>
          <w:p w14:paraId="67B54388" w14:textId="77777777" w:rsidR="002978F1" w:rsidRPr="003B4C2A" w:rsidRDefault="002978F1" w:rsidP="00345E2B">
            <w:pPr>
              <w:spacing w:before="0" w:after="0"/>
              <w:rPr>
                <w:color w:val="4F81BD" w:themeColor="accent1"/>
              </w:rPr>
            </w:pPr>
            <w:r w:rsidRPr="003B4C2A">
              <w:rPr>
                <w:color w:val="4F81BD" w:themeColor="accent1"/>
              </w:rPr>
              <w:t>Total</w:t>
            </w:r>
          </w:p>
        </w:tc>
        <w:tc>
          <w:tcPr>
            <w:tcW w:w="1010" w:type="dxa"/>
            <w:tcBorders>
              <w:bottom w:val="single" w:sz="4" w:space="0" w:color="auto"/>
            </w:tcBorders>
            <w:noWrap/>
          </w:tcPr>
          <w:p w14:paraId="2FECB503" w14:textId="77777777" w:rsidR="002978F1" w:rsidRPr="003B4C2A" w:rsidRDefault="002978F1" w:rsidP="00345E2B">
            <w:pPr>
              <w:spacing w:before="0" w:after="0"/>
              <w:rPr>
                <w:color w:val="4F81BD" w:themeColor="accent1"/>
              </w:rPr>
            </w:pPr>
            <w:r w:rsidRPr="003B4C2A">
              <w:rPr>
                <w:color w:val="4F81BD" w:themeColor="accent1"/>
              </w:rPr>
              <w:t>2,024</w:t>
            </w:r>
          </w:p>
        </w:tc>
        <w:tc>
          <w:tcPr>
            <w:tcW w:w="1010" w:type="dxa"/>
            <w:tcBorders>
              <w:bottom w:val="single" w:sz="4" w:space="0" w:color="auto"/>
            </w:tcBorders>
            <w:noWrap/>
          </w:tcPr>
          <w:p w14:paraId="26E9108E" w14:textId="77777777" w:rsidR="002978F1" w:rsidRPr="003B4C2A" w:rsidRDefault="002978F1" w:rsidP="00345E2B">
            <w:pPr>
              <w:spacing w:before="0" w:after="0"/>
              <w:rPr>
                <w:color w:val="4F81BD" w:themeColor="accent1"/>
              </w:rPr>
            </w:pPr>
            <w:r w:rsidRPr="003B4C2A">
              <w:rPr>
                <w:color w:val="4F81BD" w:themeColor="accent1"/>
              </w:rPr>
              <w:t>2,022</w:t>
            </w:r>
          </w:p>
        </w:tc>
        <w:tc>
          <w:tcPr>
            <w:tcW w:w="1011" w:type="dxa"/>
            <w:tcBorders>
              <w:bottom w:val="single" w:sz="4" w:space="0" w:color="auto"/>
            </w:tcBorders>
            <w:noWrap/>
          </w:tcPr>
          <w:p w14:paraId="562CD09B" w14:textId="77777777" w:rsidR="002978F1" w:rsidRPr="003B4C2A" w:rsidRDefault="002978F1" w:rsidP="00345E2B">
            <w:pPr>
              <w:spacing w:before="0" w:after="0"/>
              <w:rPr>
                <w:color w:val="4F81BD" w:themeColor="accent1"/>
              </w:rPr>
            </w:pPr>
            <w:r w:rsidRPr="003B4C2A">
              <w:rPr>
                <w:color w:val="4F81BD" w:themeColor="accent1"/>
              </w:rPr>
              <w:t>2,193</w:t>
            </w:r>
          </w:p>
        </w:tc>
        <w:tc>
          <w:tcPr>
            <w:tcW w:w="1010" w:type="dxa"/>
            <w:tcBorders>
              <w:bottom w:val="single" w:sz="4" w:space="0" w:color="auto"/>
            </w:tcBorders>
            <w:noWrap/>
          </w:tcPr>
          <w:p w14:paraId="104BACEB" w14:textId="77777777" w:rsidR="002978F1" w:rsidRPr="003B4C2A" w:rsidRDefault="002978F1" w:rsidP="00345E2B">
            <w:pPr>
              <w:spacing w:before="0" w:after="0"/>
              <w:rPr>
                <w:color w:val="4F81BD" w:themeColor="accent1"/>
              </w:rPr>
            </w:pPr>
            <w:r w:rsidRPr="003B4C2A">
              <w:rPr>
                <w:color w:val="4F81BD" w:themeColor="accent1"/>
              </w:rPr>
              <w:t>2,254</w:t>
            </w:r>
          </w:p>
        </w:tc>
        <w:tc>
          <w:tcPr>
            <w:tcW w:w="1011" w:type="dxa"/>
            <w:tcBorders>
              <w:bottom w:val="single" w:sz="4" w:space="0" w:color="auto"/>
            </w:tcBorders>
            <w:noWrap/>
          </w:tcPr>
          <w:p w14:paraId="42356858" w14:textId="77777777" w:rsidR="002978F1" w:rsidRPr="003B4C2A" w:rsidRDefault="002978F1" w:rsidP="00345E2B">
            <w:pPr>
              <w:spacing w:before="0" w:after="0"/>
              <w:rPr>
                <w:color w:val="4F81BD" w:themeColor="accent1"/>
              </w:rPr>
            </w:pPr>
            <w:r w:rsidRPr="003B4C2A">
              <w:rPr>
                <w:color w:val="4F81BD" w:themeColor="accent1"/>
              </w:rPr>
              <w:t>2,351</w:t>
            </w:r>
          </w:p>
        </w:tc>
      </w:tr>
      <w:tr w:rsidR="00D725BD" w:rsidRPr="007B3961" w14:paraId="74AF936C" w14:textId="77777777" w:rsidTr="00D725BD">
        <w:trPr>
          <w:trHeight w:val="300"/>
        </w:trPr>
        <w:tc>
          <w:tcPr>
            <w:tcW w:w="3543" w:type="dxa"/>
            <w:tcBorders>
              <w:right w:val="nil"/>
            </w:tcBorders>
            <w:noWrap/>
          </w:tcPr>
          <w:p w14:paraId="419F9BD0" w14:textId="497F9571" w:rsidR="00D725BD" w:rsidRPr="003B4C2A" w:rsidRDefault="00D725BD" w:rsidP="00D725BD">
            <w:pPr>
              <w:spacing w:before="0" w:after="0"/>
              <w:rPr>
                <w:color w:val="4F81BD" w:themeColor="accent1"/>
              </w:rPr>
            </w:pPr>
            <w:r w:rsidRPr="003B4C2A">
              <w:rPr>
                <w:color w:val="4F81BD" w:themeColor="accent1"/>
              </w:rPr>
              <w:t>Principal diagnosis ICD-10-AM 9</w:t>
            </w:r>
            <w:r w:rsidRPr="003B4C2A">
              <w:rPr>
                <w:color w:val="4F81BD" w:themeColor="accent1"/>
                <w:vertAlign w:val="superscript"/>
              </w:rPr>
              <w:t>th</w:t>
            </w:r>
            <w:r w:rsidRPr="003B4C2A">
              <w:rPr>
                <w:color w:val="4F81BD" w:themeColor="accent1"/>
              </w:rPr>
              <w:t xml:space="preserve"> </w:t>
            </w:r>
            <w:proofErr w:type="spellStart"/>
            <w:r w:rsidRPr="003B4C2A">
              <w:rPr>
                <w:color w:val="4F81BD" w:themeColor="accent1"/>
              </w:rPr>
              <w:t>ed</w:t>
            </w:r>
            <w:proofErr w:type="spellEnd"/>
          </w:p>
        </w:tc>
        <w:tc>
          <w:tcPr>
            <w:tcW w:w="1010" w:type="dxa"/>
            <w:tcBorders>
              <w:left w:val="nil"/>
              <w:right w:val="nil"/>
            </w:tcBorders>
            <w:noWrap/>
          </w:tcPr>
          <w:p w14:paraId="23293FA6" w14:textId="77777777" w:rsidR="00D725BD" w:rsidRPr="003B4C2A" w:rsidRDefault="00D725BD" w:rsidP="00D725BD">
            <w:pPr>
              <w:spacing w:before="0" w:after="0"/>
              <w:rPr>
                <w:color w:val="4F81BD" w:themeColor="accent1"/>
              </w:rPr>
            </w:pPr>
          </w:p>
        </w:tc>
        <w:tc>
          <w:tcPr>
            <w:tcW w:w="1010" w:type="dxa"/>
            <w:tcBorders>
              <w:left w:val="nil"/>
              <w:right w:val="nil"/>
            </w:tcBorders>
            <w:noWrap/>
          </w:tcPr>
          <w:p w14:paraId="007B88EB" w14:textId="77777777" w:rsidR="00D725BD" w:rsidRPr="003B4C2A" w:rsidRDefault="00D725BD" w:rsidP="00D725BD">
            <w:pPr>
              <w:spacing w:before="0" w:after="0"/>
              <w:rPr>
                <w:color w:val="4F81BD" w:themeColor="accent1"/>
              </w:rPr>
            </w:pPr>
          </w:p>
        </w:tc>
        <w:tc>
          <w:tcPr>
            <w:tcW w:w="1011" w:type="dxa"/>
            <w:tcBorders>
              <w:left w:val="nil"/>
              <w:right w:val="nil"/>
            </w:tcBorders>
            <w:noWrap/>
          </w:tcPr>
          <w:p w14:paraId="1E404909" w14:textId="77777777" w:rsidR="00D725BD" w:rsidRPr="003B4C2A" w:rsidRDefault="00D725BD" w:rsidP="00D725BD">
            <w:pPr>
              <w:spacing w:before="0" w:after="0"/>
              <w:rPr>
                <w:color w:val="4F81BD" w:themeColor="accent1"/>
              </w:rPr>
            </w:pPr>
          </w:p>
        </w:tc>
        <w:tc>
          <w:tcPr>
            <w:tcW w:w="1010" w:type="dxa"/>
            <w:tcBorders>
              <w:left w:val="nil"/>
              <w:right w:val="nil"/>
            </w:tcBorders>
            <w:noWrap/>
          </w:tcPr>
          <w:p w14:paraId="233E9173" w14:textId="77777777" w:rsidR="00D725BD" w:rsidRPr="003B4C2A" w:rsidRDefault="00D725BD" w:rsidP="00D725BD">
            <w:pPr>
              <w:spacing w:before="0" w:after="0"/>
              <w:rPr>
                <w:color w:val="4F81BD" w:themeColor="accent1"/>
              </w:rPr>
            </w:pPr>
          </w:p>
        </w:tc>
        <w:tc>
          <w:tcPr>
            <w:tcW w:w="1011" w:type="dxa"/>
            <w:tcBorders>
              <w:left w:val="nil"/>
            </w:tcBorders>
            <w:noWrap/>
          </w:tcPr>
          <w:p w14:paraId="325EAA14" w14:textId="77777777" w:rsidR="00D725BD" w:rsidRPr="003B4C2A" w:rsidRDefault="00D725BD" w:rsidP="00D725BD">
            <w:pPr>
              <w:spacing w:before="0" w:after="0"/>
              <w:rPr>
                <w:color w:val="4F81BD" w:themeColor="accent1"/>
              </w:rPr>
            </w:pPr>
          </w:p>
        </w:tc>
      </w:tr>
      <w:tr w:rsidR="00D725BD" w:rsidRPr="007B3961" w14:paraId="5117E9A1" w14:textId="77777777" w:rsidTr="00CD363F">
        <w:trPr>
          <w:trHeight w:val="300"/>
        </w:trPr>
        <w:tc>
          <w:tcPr>
            <w:tcW w:w="3543" w:type="dxa"/>
            <w:noWrap/>
          </w:tcPr>
          <w:p w14:paraId="5421A074" w14:textId="3E94E818" w:rsidR="00D725BD" w:rsidRPr="003B4C2A" w:rsidRDefault="00D725BD" w:rsidP="00D725BD">
            <w:pPr>
              <w:spacing w:before="0" w:after="0"/>
              <w:rPr>
                <w:color w:val="4F81BD" w:themeColor="accent1"/>
              </w:rPr>
            </w:pPr>
            <w:r w:rsidRPr="003B4C2A">
              <w:rPr>
                <w:color w:val="4F81BD" w:themeColor="accent1"/>
              </w:rPr>
              <w:t xml:space="preserve">Cerebral aneurysm, </w:t>
            </w:r>
            <w:proofErr w:type="spellStart"/>
            <w:r w:rsidRPr="003B4C2A">
              <w:rPr>
                <w:color w:val="4F81BD" w:themeColor="accent1"/>
              </w:rPr>
              <w:t>nonruptured</w:t>
            </w:r>
            <w:proofErr w:type="spellEnd"/>
          </w:p>
        </w:tc>
        <w:tc>
          <w:tcPr>
            <w:tcW w:w="1010" w:type="dxa"/>
            <w:noWrap/>
          </w:tcPr>
          <w:p w14:paraId="29157635" w14:textId="7198A49A" w:rsidR="00D725BD" w:rsidRPr="003B4C2A" w:rsidRDefault="00D725BD" w:rsidP="00D725BD">
            <w:pPr>
              <w:spacing w:before="0" w:after="0"/>
              <w:rPr>
                <w:color w:val="4F81BD" w:themeColor="accent1"/>
              </w:rPr>
            </w:pPr>
            <w:r w:rsidRPr="003B4C2A">
              <w:rPr>
                <w:color w:val="4F81BD" w:themeColor="accent1"/>
              </w:rPr>
              <w:t>1,983</w:t>
            </w:r>
          </w:p>
        </w:tc>
        <w:tc>
          <w:tcPr>
            <w:tcW w:w="1010" w:type="dxa"/>
            <w:noWrap/>
          </w:tcPr>
          <w:p w14:paraId="37649098" w14:textId="07EF9784" w:rsidR="00D725BD" w:rsidRPr="003B4C2A" w:rsidRDefault="00D725BD" w:rsidP="00D725BD">
            <w:pPr>
              <w:spacing w:before="0" w:after="0"/>
              <w:rPr>
                <w:color w:val="4F81BD" w:themeColor="accent1"/>
              </w:rPr>
            </w:pPr>
            <w:r w:rsidRPr="003B4C2A">
              <w:rPr>
                <w:color w:val="4F81BD" w:themeColor="accent1"/>
              </w:rPr>
              <w:t>2,080</w:t>
            </w:r>
          </w:p>
        </w:tc>
        <w:tc>
          <w:tcPr>
            <w:tcW w:w="1011" w:type="dxa"/>
            <w:noWrap/>
          </w:tcPr>
          <w:p w14:paraId="280BD9AF" w14:textId="0D946844" w:rsidR="00D725BD" w:rsidRPr="003B4C2A" w:rsidRDefault="00D725BD" w:rsidP="00D725BD">
            <w:pPr>
              <w:spacing w:before="0" w:after="0"/>
              <w:rPr>
                <w:color w:val="4F81BD" w:themeColor="accent1"/>
              </w:rPr>
            </w:pPr>
            <w:r w:rsidRPr="003B4C2A">
              <w:rPr>
                <w:color w:val="4F81BD" w:themeColor="accent1"/>
              </w:rPr>
              <w:t>2,249</w:t>
            </w:r>
          </w:p>
        </w:tc>
        <w:tc>
          <w:tcPr>
            <w:tcW w:w="1010" w:type="dxa"/>
            <w:noWrap/>
          </w:tcPr>
          <w:p w14:paraId="69AAC678" w14:textId="1170ACDB" w:rsidR="00D725BD" w:rsidRPr="003B4C2A" w:rsidRDefault="00D725BD" w:rsidP="00D725BD">
            <w:pPr>
              <w:spacing w:before="0" w:after="0"/>
              <w:rPr>
                <w:color w:val="4F81BD" w:themeColor="accent1"/>
              </w:rPr>
            </w:pPr>
            <w:r w:rsidRPr="003B4C2A">
              <w:rPr>
                <w:color w:val="4F81BD" w:themeColor="accent1"/>
              </w:rPr>
              <w:t>2,318</w:t>
            </w:r>
          </w:p>
        </w:tc>
        <w:tc>
          <w:tcPr>
            <w:tcW w:w="1011" w:type="dxa"/>
            <w:noWrap/>
          </w:tcPr>
          <w:p w14:paraId="578CD6C3" w14:textId="2AA41138" w:rsidR="00D725BD" w:rsidRPr="003B4C2A" w:rsidRDefault="00D725BD" w:rsidP="00D725BD">
            <w:pPr>
              <w:spacing w:before="0" w:after="0"/>
              <w:rPr>
                <w:color w:val="4F81BD" w:themeColor="accent1"/>
              </w:rPr>
            </w:pPr>
            <w:r w:rsidRPr="003B4C2A">
              <w:rPr>
                <w:color w:val="4F81BD" w:themeColor="accent1"/>
              </w:rPr>
              <w:t>2,674</w:t>
            </w:r>
          </w:p>
        </w:tc>
      </w:tr>
    </w:tbl>
    <w:p w14:paraId="5517C811" w14:textId="2D38BBA9" w:rsidR="002978F1" w:rsidRPr="003B4C2A" w:rsidRDefault="009449D1" w:rsidP="002978F1">
      <w:pPr>
        <w:ind w:left="426"/>
        <w:rPr>
          <w:color w:val="4F81BD" w:themeColor="accent1"/>
        </w:rPr>
      </w:pPr>
      <w:r w:rsidRPr="003B4C2A">
        <w:rPr>
          <w:color w:val="4F81BD" w:themeColor="accent1"/>
        </w:rPr>
        <w:t xml:space="preserve">Procedure </w:t>
      </w:r>
      <w:r w:rsidR="00264DF0" w:rsidRPr="003B4C2A">
        <w:rPr>
          <w:color w:val="4F81BD" w:themeColor="accent1"/>
        </w:rPr>
        <w:t xml:space="preserve">data are </w:t>
      </w:r>
      <w:r w:rsidR="006F7058" w:rsidRPr="003B4C2A">
        <w:rPr>
          <w:color w:val="4F81BD" w:themeColor="accent1"/>
        </w:rPr>
        <w:t xml:space="preserve">linearly extrapolated </w:t>
      </w:r>
      <w:r w:rsidR="00264DF0" w:rsidRPr="003B4C2A">
        <w:rPr>
          <w:color w:val="4F81BD" w:themeColor="accent1"/>
        </w:rPr>
        <w:t>out to 202</w:t>
      </w:r>
      <w:r w:rsidR="000A3913" w:rsidRPr="003B4C2A">
        <w:rPr>
          <w:color w:val="4F81BD" w:themeColor="accent1"/>
        </w:rPr>
        <w:t>2</w:t>
      </w:r>
      <w:r w:rsidR="00264DF0" w:rsidRPr="003B4C2A">
        <w:rPr>
          <w:color w:val="4F81BD" w:themeColor="accent1"/>
        </w:rPr>
        <w:t xml:space="preserve">, </w:t>
      </w:r>
      <w:r w:rsidR="00264DF0" w:rsidRPr="003B4C2A">
        <w:rPr>
          <w:color w:val="4F81BD" w:themeColor="accent1"/>
          <w:szCs w:val="20"/>
        </w:rPr>
        <w:fldChar w:fldCharType="begin"/>
      </w:r>
      <w:r w:rsidR="00264DF0" w:rsidRPr="003B4C2A">
        <w:rPr>
          <w:color w:val="4F81BD" w:themeColor="accent1"/>
          <w:szCs w:val="20"/>
        </w:rPr>
        <w:instrText xml:space="preserve"> REF _Ref516229337 \h </w:instrText>
      </w:r>
      <w:r w:rsidR="00264DF0" w:rsidRPr="003B4C2A">
        <w:rPr>
          <w:color w:val="4F81BD" w:themeColor="accent1"/>
          <w:szCs w:val="20"/>
        </w:rPr>
      </w:r>
      <w:r w:rsidR="00264DF0" w:rsidRPr="003B4C2A">
        <w:rPr>
          <w:color w:val="4F81BD" w:themeColor="accent1"/>
          <w:szCs w:val="20"/>
        </w:rPr>
        <w:fldChar w:fldCharType="separate"/>
      </w:r>
      <w:r w:rsidR="00264DF0" w:rsidRPr="003B4C2A">
        <w:rPr>
          <w:color w:val="4F81BD" w:themeColor="accent1"/>
        </w:rPr>
        <w:t xml:space="preserve">Figure </w:t>
      </w:r>
      <w:r w:rsidR="00264DF0" w:rsidRPr="003B4C2A">
        <w:rPr>
          <w:noProof/>
          <w:color w:val="4F81BD" w:themeColor="accent1"/>
        </w:rPr>
        <w:t>4</w:t>
      </w:r>
      <w:r w:rsidR="00264DF0" w:rsidRPr="003B4C2A">
        <w:rPr>
          <w:color w:val="4F81BD" w:themeColor="accent1"/>
          <w:szCs w:val="20"/>
        </w:rPr>
        <w:fldChar w:fldCharType="end"/>
      </w:r>
      <w:r w:rsidR="00264DF0" w:rsidRPr="003B4C2A">
        <w:rPr>
          <w:color w:val="4F81BD" w:themeColor="accent1"/>
        </w:rPr>
        <w:t xml:space="preserve">, for use in utilisation estimates in Q48 and Q49. </w:t>
      </w:r>
    </w:p>
    <w:p w14:paraId="53013FAD" w14:textId="77777777" w:rsidR="00264DF0" w:rsidRDefault="00264DF0" w:rsidP="00264DF0">
      <w:pPr>
        <w:keepNext/>
        <w:ind w:left="426"/>
      </w:pPr>
      <w:r>
        <w:rPr>
          <w:noProof/>
          <w:lang w:eastAsia="en-AU"/>
        </w:rPr>
        <w:drawing>
          <wp:inline distT="0" distB="0" distL="0" distR="0" wp14:anchorId="536C079B" wp14:editId="28182752">
            <wp:extent cx="4993442" cy="2051050"/>
            <wp:effectExtent l="0" t="0" r="0" b="6350"/>
            <wp:docPr id="11" name="Picture 11" title="Chart showing Projected procedures performed in Australian hospitals for the treatment of UIAs, 2011-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05239" cy="2055896"/>
                    </a:xfrm>
                    <a:prstGeom prst="rect">
                      <a:avLst/>
                    </a:prstGeom>
                    <a:noFill/>
                  </pic:spPr>
                </pic:pic>
              </a:graphicData>
            </a:graphic>
          </wp:inline>
        </w:drawing>
      </w:r>
    </w:p>
    <w:p w14:paraId="71F4B260" w14:textId="77777777" w:rsidR="00264DF0" w:rsidRDefault="00264DF0" w:rsidP="00264DF0">
      <w:pPr>
        <w:pStyle w:val="Caption"/>
        <w:ind w:firstLine="426"/>
      </w:pPr>
      <w:bookmarkStart w:id="19" w:name="_Ref516229337"/>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bookmarkEnd w:id="19"/>
      <w:r>
        <w:tab/>
        <w:t>Projected procedures performed in Australian hospitals for the treatment of UIAs, 2011-2020</w:t>
      </w:r>
    </w:p>
    <w:p w14:paraId="53C1F5D8" w14:textId="77777777" w:rsidR="00264DF0" w:rsidRDefault="00264DF0" w:rsidP="002978F1">
      <w:pPr>
        <w:ind w:left="426"/>
      </w:pPr>
    </w:p>
    <w:p w14:paraId="6828058B"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271CABBD" w14:textId="189A5DA7" w:rsidR="002978F1" w:rsidRPr="003B4C2A" w:rsidRDefault="002978F1" w:rsidP="002978F1">
      <w:pPr>
        <w:ind w:left="426"/>
        <w:rPr>
          <w:color w:val="4F81BD" w:themeColor="accent1"/>
          <w:szCs w:val="20"/>
        </w:rPr>
      </w:pPr>
      <w:r w:rsidRPr="003B4C2A">
        <w:rPr>
          <w:color w:val="4F81BD" w:themeColor="accent1"/>
        </w:rPr>
        <w:t>The objective of the treatment is to be a once off service. Endovascular insertion of FDDs is associated with an estimated reintervention rate of between 2.8–10.3% (</w:t>
      </w:r>
      <w:proofErr w:type="spellStart"/>
      <w:r w:rsidRPr="003B4C2A">
        <w:rPr>
          <w:color w:val="4F81BD" w:themeColor="accent1"/>
        </w:rPr>
        <w:t>Chalouhi</w:t>
      </w:r>
      <w:proofErr w:type="spellEnd"/>
      <w:r w:rsidRPr="003B4C2A">
        <w:rPr>
          <w:color w:val="4F81BD" w:themeColor="accent1"/>
        </w:rPr>
        <w:t xml:space="preserve"> et al 2013b; </w:t>
      </w:r>
      <w:proofErr w:type="spellStart"/>
      <w:r w:rsidRPr="003B4C2A">
        <w:rPr>
          <w:color w:val="4F81BD" w:themeColor="accent1"/>
        </w:rPr>
        <w:t>Chalouhi</w:t>
      </w:r>
      <w:proofErr w:type="spellEnd"/>
      <w:r w:rsidRPr="003B4C2A">
        <w:rPr>
          <w:color w:val="4F81BD" w:themeColor="accent1"/>
        </w:rPr>
        <w:t xml:space="preserve"> et al 2014; </w:t>
      </w:r>
      <w:proofErr w:type="spellStart"/>
      <w:r w:rsidRPr="003B4C2A">
        <w:rPr>
          <w:color w:val="4F81BD" w:themeColor="accent1"/>
        </w:rPr>
        <w:t>Chalouhi</w:t>
      </w:r>
      <w:proofErr w:type="spellEnd"/>
      <w:r w:rsidRPr="003B4C2A">
        <w:rPr>
          <w:color w:val="4F81BD" w:themeColor="accent1"/>
        </w:rPr>
        <w:t xml:space="preserve"> et al 2017). As such, a proportion of patients will access a second FDD endovascular service.</w:t>
      </w:r>
      <w:r w:rsidR="00D20826" w:rsidRPr="003B4C2A">
        <w:rPr>
          <w:color w:val="4F81BD" w:themeColor="accent1"/>
        </w:rPr>
        <w:t xml:space="preserve"> Evidence in </w:t>
      </w:r>
      <w:r w:rsidR="006F7058" w:rsidRPr="003B4C2A">
        <w:rPr>
          <w:color w:val="4F81BD" w:themeColor="accent1"/>
        </w:rPr>
        <w:t xml:space="preserve">a </w:t>
      </w:r>
      <w:r w:rsidR="00D20826" w:rsidRPr="003B4C2A">
        <w:rPr>
          <w:color w:val="4F81BD" w:themeColor="accent1"/>
        </w:rPr>
        <w:t xml:space="preserve">population with aneurysms larger than 10 mm, suggests that retreatment rates are lower with FD compared to coiling (2.8% vs 36.7%; </w:t>
      </w:r>
      <w:proofErr w:type="spellStart"/>
      <w:r w:rsidR="00D20826" w:rsidRPr="003B4C2A">
        <w:rPr>
          <w:color w:val="4F81BD" w:themeColor="accent1"/>
        </w:rPr>
        <w:t>Chalouhi</w:t>
      </w:r>
      <w:proofErr w:type="spellEnd"/>
      <w:r w:rsidR="00D20826" w:rsidRPr="003B4C2A">
        <w:rPr>
          <w:color w:val="4F81BD" w:themeColor="accent1"/>
        </w:rPr>
        <w:t xml:space="preserve"> et al 2013b). </w:t>
      </w:r>
    </w:p>
    <w:p w14:paraId="0668FF59" w14:textId="5B27C148" w:rsidR="00382407" w:rsidRDefault="00382407" w:rsidP="00530204">
      <w:pPr>
        <w:pStyle w:val="Heading2"/>
      </w:pPr>
      <w:r w:rsidRPr="00154B00">
        <w:t>How many years would the proposed medical service</w:t>
      </w:r>
      <w:r w:rsidR="005A58BA">
        <w:t>(s)</w:t>
      </w:r>
      <w:r w:rsidRPr="00154B00">
        <w:t xml:space="preserve"> be required for the patient?</w:t>
      </w:r>
    </w:p>
    <w:p w14:paraId="6146F5F1" w14:textId="25A6E492" w:rsidR="002978F1" w:rsidRPr="003B4C2A" w:rsidRDefault="002978F1" w:rsidP="002978F1">
      <w:pPr>
        <w:ind w:left="426"/>
        <w:rPr>
          <w:b/>
          <w:color w:val="4F81BD" w:themeColor="accent1"/>
          <w:szCs w:val="20"/>
        </w:rPr>
      </w:pPr>
      <w:r w:rsidRPr="003B4C2A">
        <w:rPr>
          <w:color w:val="4F81BD" w:themeColor="accent1"/>
        </w:rPr>
        <w:t xml:space="preserve">As stated in Q.46 FDD is to be a once off service. Any reinterventions are </w:t>
      </w:r>
      <w:r w:rsidR="006F7058" w:rsidRPr="003B4C2A">
        <w:rPr>
          <w:color w:val="4F81BD" w:themeColor="accent1"/>
        </w:rPr>
        <w:t>assumed</w:t>
      </w:r>
      <w:r w:rsidRPr="003B4C2A">
        <w:rPr>
          <w:color w:val="4F81BD" w:themeColor="accent1"/>
        </w:rPr>
        <w:t xml:space="preserve"> to occur within the first-year post index treatment.</w:t>
      </w:r>
    </w:p>
    <w:p w14:paraId="1C3D6ECF" w14:textId="325F36A1" w:rsidR="002A6753" w:rsidRDefault="000E47E7" w:rsidP="00530204">
      <w:pPr>
        <w:pStyle w:val="Heading2"/>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7FA03CDC" w14:textId="6A2322D6" w:rsidR="00D725BD" w:rsidRPr="003B4C2A" w:rsidRDefault="00264DF0" w:rsidP="00264DF0">
      <w:pPr>
        <w:ind w:left="426"/>
        <w:rPr>
          <w:color w:val="4F81BD" w:themeColor="accent1"/>
          <w:szCs w:val="20"/>
        </w:rPr>
      </w:pPr>
      <w:r w:rsidRPr="003B4C2A">
        <w:rPr>
          <w:color w:val="4F81BD" w:themeColor="accent1"/>
          <w:szCs w:val="20"/>
        </w:rPr>
        <w:t xml:space="preserve">The applicant estimates that approximately 400 procedures for the endovascular insertion of FDD were conducted in Australian hospitals in 2017. This reflects approximately 25% of total 1,628 endovascular occlusion procedures in 2017 based on the linear extrapolation presented in </w:t>
      </w:r>
      <w:r w:rsidRPr="003B4C2A">
        <w:rPr>
          <w:color w:val="4F81BD" w:themeColor="accent1"/>
          <w:szCs w:val="20"/>
        </w:rPr>
        <w:fldChar w:fldCharType="begin"/>
      </w:r>
      <w:r w:rsidRPr="003B4C2A">
        <w:rPr>
          <w:color w:val="4F81BD" w:themeColor="accent1"/>
          <w:szCs w:val="20"/>
        </w:rPr>
        <w:instrText xml:space="preserve"> REF _Ref516229337 \h </w:instrText>
      </w:r>
      <w:r w:rsidRPr="003B4C2A">
        <w:rPr>
          <w:color w:val="4F81BD" w:themeColor="accent1"/>
          <w:szCs w:val="20"/>
        </w:rPr>
      </w:r>
      <w:r w:rsidRPr="003B4C2A">
        <w:rPr>
          <w:color w:val="4F81BD" w:themeColor="accent1"/>
          <w:szCs w:val="20"/>
        </w:rPr>
        <w:fldChar w:fldCharType="separate"/>
      </w:r>
      <w:r w:rsidRPr="003B4C2A">
        <w:rPr>
          <w:color w:val="4F81BD" w:themeColor="accent1"/>
        </w:rPr>
        <w:t xml:space="preserve">Figure </w:t>
      </w:r>
      <w:r w:rsidRPr="003B4C2A">
        <w:rPr>
          <w:noProof/>
          <w:color w:val="4F81BD" w:themeColor="accent1"/>
        </w:rPr>
        <w:t>4</w:t>
      </w:r>
      <w:r w:rsidRPr="003B4C2A">
        <w:rPr>
          <w:color w:val="4F81BD" w:themeColor="accent1"/>
          <w:szCs w:val="20"/>
        </w:rPr>
        <w:fldChar w:fldCharType="end"/>
      </w:r>
      <w:r w:rsidRPr="003B4C2A">
        <w:rPr>
          <w:color w:val="4F81BD" w:themeColor="accent1"/>
          <w:szCs w:val="20"/>
        </w:rPr>
        <w:t xml:space="preserve">. </w:t>
      </w:r>
      <w:r w:rsidR="00D725BD" w:rsidRPr="003B4C2A">
        <w:rPr>
          <w:color w:val="4F81BD" w:themeColor="accent1"/>
          <w:szCs w:val="20"/>
        </w:rPr>
        <w:t xml:space="preserve">Current utilisation of FDD is expected to bias towards a public setting due to a lack of MBS and </w:t>
      </w:r>
      <w:r w:rsidR="00154379" w:rsidRPr="003B4C2A">
        <w:rPr>
          <w:color w:val="4F81BD" w:themeColor="accent1"/>
          <w:szCs w:val="20"/>
        </w:rPr>
        <w:t xml:space="preserve">prosthesis list </w:t>
      </w:r>
      <w:r w:rsidR="00D725BD" w:rsidRPr="003B4C2A">
        <w:rPr>
          <w:color w:val="4F81BD" w:themeColor="accent1"/>
          <w:szCs w:val="20"/>
        </w:rPr>
        <w:t xml:space="preserve">reimbursement. Post MBS and </w:t>
      </w:r>
      <w:r w:rsidR="00154379" w:rsidRPr="003B4C2A">
        <w:rPr>
          <w:color w:val="4F81BD" w:themeColor="accent1"/>
          <w:szCs w:val="20"/>
        </w:rPr>
        <w:t>listing on the prosthesis list</w:t>
      </w:r>
      <w:r w:rsidR="00D725BD" w:rsidRPr="003B4C2A">
        <w:rPr>
          <w:color w:val="4F81BD" w:themeColor="accent1"/>
          <w:szCs w:val="20"/>
        </w:rPr>
        <w:t xml:space="preserve">, the </w:t>
      </w:r>
      <w:r w:rsidR="00EA6E11" w:rsidRPr="003B4C2A">
        <w:rPr>
          <w:color w:val="4F81BD" w:themeColor="accent1"/>
          <w:szCs w:val="20"/>
        </w:rPr>
        <w:t>current</w:t>
      </w:r>
      <w:r w:rsidR="009449D1" w:rsidRPr="003B4C2A">
        <w:rPr>
          <w:color w:val="4F81BD" w:themeColor="accent1"/>
          <w:szCs w:val="20"/>
        </w:rPr>
        <w:t xml:space="preserve"> </w:t>
      </w:r>
      <w:r w:rsidR="00D725BD" w:rsidRPr="003B4C2A">
        <w:rPr>
          <w:color w:val="4F81BD" w:themeColor="accent1"/>
          <w:szCs w:val="20"/>
        </w:rPr>
        <w:t xml:space="preserve">FDD </w:t>
      </w:r>
      <w:r w:rsidR="00EA6E11" w:rsidRPr="003B4C2A">
        <w:rPr>
          <w:color w:val="4F81BD" w:themeColor="accent1"/>
          <w:szCs w:val="20"/>
        </w:rPr>
        <w:t>market share</w:t>
      </w:r>
      <w:r w:rsidR="00203E7C" w:rsidRPr="003B4C2A">
        <w:rPr>
          <w:color w:val="4F81BD" w:themeColor="accent1"/>
          <w:szCs w:val="20"/>
        </w:rPr>
        <w:t xml:space="preserve"> (25%)</w:t>
      </w:r>
      <w:r w:rsidR="00EA6E11" w:rsidRPr="003B4C2A">
        <w:rPr>
          <w:color w:val="4F81BD" w:themeColor="accent1"/>
          <w:szCs w:val="20"/>
        </w:rPr>
        <w:t xml:space="preserve"> is expected to be distributed </w:t>
      </w:r>
      <w:r w:rsidR="00D725BD" w:rsidRPr="003B4C2A">
        <w:rPr>
          <w:color w:val="4F81BD" w:themeColor="accent1"/>
          <w:szCs w:val="20"/>
        </w:rPr>
        <w:t xml:space="preserve">between private and public settings </w:t>
      </w:r>
      <w:r w:rsidR="00EA6E11" w:rsidRPr="003B4C2A">
        <w:rPr>
          <w:color w:val="4F81BD" w:themeColor="accent1"/>
          <w:szCs w:val="20"/>
        </w:rPr>
        <w:t xml:space="preserve">as is currently experienced in </w:t>
      </w:r>
      <w:r w:rsidR="00D725BD" w:rsidRPr="003B4C2A">
        <w:rPr>
          <w:color w:val="4F81BD" w:themeColor="accent1"/>
          <w:szCs w:val="20"/>
        </w:rPr>
        <w:t xml:space="preserve">coiling and clipping procedures. </w:t>
      </w:r>
      <w:r w:rsidR="00EA6E11" w:rsidRPr="003B4C2A">
        <w:rPr>
          <w:color w:val="4F81BD" w:themeColor="accent1"/>
          <w:szCs w:val="20"/>
        </w:rPr>
        <w:t>Based on 2017 AIHW data, Medicare dat</w:t>
      </w:r>
      <w:r w:rsidR="00154379" w:rsidRPr="003B4C2A">
        <w:rPr>
          <w:color w:val="4F81BD" w:themeColor="accent1"/>
          <w:szCs w:val="20"/>
        </w:rPr>
        <w:t>a</w:t>
      </w:r>
      <w:r w:rsidR="00EA6E11" w:rsidRPr="003B4C2A">
        <w:rPr>
          <w:color w:val="4F81BD" w:themeColor="accent1"/>
          <w:szCs w:val="20"/>
        </w:rPr>
        <w:t xml:space="preserve"> and estimates, presented in </w:t>
      </w:r>
      <w:r w:rsidR="00EA6E11" w:rsidRPr="003B4C2A">
        <w:rPr>
          <w:color w:val="4F81BD" w:themeColor="accent1"/>
          <w:szCs w:val="20"/>
        </w:rPr>
        <w:fldChar w:fldCharType="begin"/>
      </w:r>
      <w:r w:rsidR="00EA6E11" w:rsidRPr="003B4C2A">
        <w:rPr>
          <w:color w:val="4F81BD" w:themeColor="accent1"/>
          <w:szCs w:val="20"/>
        </w:rPr>
        <w:instrText xml:space="preserve"> REF _Ref517199285 \h </w:instrText>
      </w:r>
      <w:r w:rsidR="00EA6E11" w:rsidRPr="003B4C2A">
        <w:rPr>
          <w:color w:val="4F81BD" w:themeColor="accent1"/>
          <w:szCs w:val="20"/>
        </w:rPr>
      </w:r>
      <w:r w:rsidR="00EA6E11" w:rsidRPr="003B4C2A">
        <w:rPr>
          <w:color w:val="4F81BD" w:themeColor="accent1"/>
          <w:szCs w:val="20"/>
        </w:rPr>
        <w:fldChar w:fldCharType="separate"/>
      </w:r>
      <w:r w:rsidR="00EA6E11" w:rsidRPr="003B4C2A">
        <w:rPr>
          <w:color w:val="4F81BD" w:themeColor="accent1"/>
        </w:rPr>
        <w:t xml:space="preserve">Table </w:t>
      </w:r>
      <w:r w:rsidR="00EA6E11" w:rsidRPr="003B4C2A">
        <w:rPr>
          <w:noProof/>
          <w:color w:val="4F81BD" w:themeColor="accent1"/>
        </w:rPr>
        <w:t>6</w:t>
      </w:r>
      <w:r w:rsidR="00EA6E11" w:rsidRPr="003B4C2A">
        <w:rPr>
          <w:color w:val="4F81BD" w:themeColor="accent1"/>
          <w:szCs w:val="20"/>
        </w:rPr>
        <w:fldChar w:fldCharType="end"/>
      </w:r>
      <w:r w:rsidR="00EA6E11" w:rsidRPr="003B4C2A">
        <w:rPr>
          <w:color w:val="4F81BD" w:themeColor="accent1"/>
          <w:szCs w:val="20"/>
        </w:rPr>
        <w:t xml:space="preserve">, </w:t>
      </w:r>
      <w:r w:rsidR="00D725BD" w:rsidRPr="003B4C2A">
        <w:rPr>
          <w:color w:val="4F81BD" w:themeColor="accent1"/>
          <w:szCs w:val="20"/>
        </w:rPr>
        <w:t xml:space="preserve">38.6% of coiling and clipping procedures are performed in a private setting. </w:t>
      </w:r>
    </w:p>
    <w:p w14:paraId="11535012" w14:textId="77777777" w:rsidR="00264DF0" w:rsidRDefault="00264DF0" w:rsidP="00264DF0">
      <w:pPr>
        <w:pStyle w:val="Caption"/>
        <w:ind w:firstLine="426"/>
      </w:pPr>
      <w:bookmarkStart w:id="20" w:name="_Ref517199285"/>
      <w:r>
        <w:t xml:space="preserve">Table </w:t>
      </w:r>
      <w:r w:rsidR="00837E12">
        <w:rPr>
          <w:noProof/>
        </w:rPr>
        <w:fldChar w:fldCharType="begin"/>
      </w:r>
      <w:r w:rsidR="00837E12">
        <w:rPr>
          <w:noProof/>
        </w:rPr>
        <w:instrText xml:space="preserve"> SEQ Table \* ARABIC </w:instrText>
      </w:r>
      <w:r w:rsidR="00837E12">
        <w:rPr>
          <w:noProof/>
        </w:rPr>
        <w:fldChar w:fldCharType="separate"/>
      </w:r>
      <w:r>
        <w:rPr>
          <w:noProof/>
        </w:rPr>
        <w:t>6</w:t>
      </w:r>
      <w:r w:rsidR="00837E12">
        <w:rPr>
          <w:noProof/>
        </w:rPr>
        <w:fldChar w:fldCharType="end"/>
      </w:r>
      <w:bookmarkEnd w:id="20"/>
      <w:r>
        <w:tab/>
        <w:t>Estimated distribution of UIA procedures between public and private settings</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478"/>
        <w:gridCol w:w="1112"/>
        <w:gridCol w:w="1244"/>
      </w:tblGrid>
      <w:tr w:rsidR="00264DF0" w:rsidRPr="003B4C2A" w14:paraId="4C5AAE65" w14:textId="77777777" w:rsidTr="009449D1">
        <w:tc>
          <w:tcPr>
            <w:tcW w:w="766" w:type="dxa"/>
          </w:tcPr>
          <w:p w14:paraId="443384ED" w14:textId="77777777" w:rsidR="00264DF0" w:rsidRPr="003B4C2A" w:rsidRDefault="00264DF0" w:rsidP="009449D1">
            <w:pPr>
              <w:spacing w:before="0" w:after="0"/>
              <w:rPr>
                <w:b/>
                <w:color w:val="4F81BD" w:themeColor="accent1"/>
              </w:rPr>
            </w:pPr>
            <w:r w:rsidRPr="003B4C2A">
              <w:rPr>
                <w:b/>
                <w:color w:val="4F81BD" w:themeColor="accent1"/>
              </w:rPr>
              <w:t>Row</w:t>
            </w:r>
          </w:p>
        </w:tc>
        <w:tc>
          <w:tcPr>
            <w:tcW w:w="5478" w:type="dxa"/>
            <w:tcMar>
              <w:top w:w="0" w:type="dxa"/>
              <w:left w:w="108" w:type="dxa"/>
              <w:bottom w:w="0" w:type="dxa"/>
              <w:right w:w="108" w:type="dxa"/>
            </w:tcMar>
            <w:hideMark/>
          </w:tcPr>
          <w:p w14:paraId="077F4F65" w14:textId="77777777" w:rsidR="00264DF0" w:rsidRPr="003B4C2A" w:rsidRDefault="00264DF0" w:rsidP="009449D1">
            <w:pPr>
              <w:spacing w:before="0" w:after="0"/>
              <w:rPr>
                <w:b/>
                <w:color w:val="4F81BD" w:themeColor="accent1"/>
              </w:rPr>
            </w:pPr>
            <w:r w:rsidRPr="003B4C2A">
              <w:rPr>
                <w:b/>
                <w:color w:val="4F81BD" w:themeColor="accent1"/>
              </w:rPr>
              <w:t>Parameter</w:t>
            </w:r>
          </w:p>
        </w:tc>
        <w:tc>
          <w:tcPr>
            <w:tcW w:w="1112" w:type="dxa"/>
            <w:tcMar>
              <w:top w:w="0" w:type="dxa"/>
              <w:left w:w="108" w:type="dxa"/>
              <w:bottom w:w="0" w:type="dxa"/>
              <w:right w:w="108" w:type="dxa"/>
            </w:tcMar>
            <w:hideMark/>
          </w:tcPr>
          <w:p w14:paraId="3A157A42" w14:textId="77777777" w:rsidR="00264DF0" w:rsidRPr="003B4C2A" w:rsidRDefault="00264DF0" w:rsidP="009449D1">
            <w:pPr>
              <w:spacing w:before="0" w:after="0"/>
              <w:rPr>
                <w:b/>
                <w:color w:val="4F81BD" w:themeColor="accent1"/>
              </w:rPr>
            </w:pPr>
            <w:r w:rsidRPr="003B4C2A">
              <w:rPr>
                <w:b/>
                <w:color w:val="4F81BD" w:themeColor="accent1"/>
              </w:rPr>
              <w:t>2017</w:t>
            </w:r>
          </w:p>
        </w:tc>
        <w:tc>
          <w:tcPr>
            <w:tcW w:w="1244" w:type="dxa"/>
          </w:tcPr>
          <w:p w14:paraId="65000207" w14:textId="77777777" w:rsidR="00264DF0" w:rsidRPr="003B4C2A" w:rsidRDefault="00264DF0" w:rsidP="009449D1">
            <w:pPr>
              <w:spacing w:before="0" w:after="0"/>
              <w:rPr>
                <w:b/>
                <w:color w:val="4F81BD" w:themeColor="accent1"/>
              </w:rPr>
            </w:pPr>
            <w:r w:rsidRPr="003B4C2A">
              <w:rPr>
                <w:b/>
                <w:color w:val="4F81BD" w:themeColor="accent1"/>
              </w:rPr>
              <w:t>Source</w:t>
            </w:r>
          </w:p>
        </w:tc>
      </w:tr>
      <w:tr w:rsidR="00264DF0" w:rsidRPr="003B4C2A" w14:paraId="51F22D5F" w14:textId="77777777" w:rsidTr="009449D1">
        <w:trPr>
          <w:trHeight w:val="211"/>
        </w:trPr>
        <w:tc>
          <w:tcPr>
            <w:tcW w:w="8600" w:type="dxa"/>
            <w:gridSpan w:val="4"/>
          </w:tcPr>
          <w:p w14:paraId="4DE12917" w14:textId="77777777" w:rsidR="00264DF0" w:rsidRPr="003B4C2A" w:rsidRDefault="00264DF0" w:rsidP="009449D1">
            <w:pPr>
              <w:spacing w:before="0" w:after="0"/>
              <w:rPr>
                <w:color w:val="4F81BD" w:themeColor="accent1"/>
              </w:rPr>
            </w:pPr>
            <w:r w:rsidRPr="003B4C2A">
              <w:rPr>
                <w:color w:val="4F81BD" w:themeColor="accent1"/>
              </w:rPr>
              <w:t>Endovascular coiling</w:t>
            </w:r>
          </w:p>
        </w:tc>
      </w:tr>
      <w:tr w:rsidR="00264DF0" w:rsidRPr="003B4C2A" w14:paraId="4C50E411" w14:textId="77777777" w:rsidTr="009449D1">
        <w:trPr>
          <w:trHeight w:val="211"/>
        </w:trPr>
        <w:tc>
          <w:tcPr>
            <w:tcW w:w="766" w:type="dxa"/>
          </w:tcPr>
          <w:p w14:paraId="52C3836E" w14:textId="77777777" w:rsidR="00264DF0" w:rsidRPr="003B4C2A" w:rsidRDefault="00264DF0" w:rsidP="009449D1">
            <w:pPr>
              <w:spacing w:before="0" w:after="0"/>
              <w:rPr>
                <w:color w:val="4F81BD" w:themeColor="accent1"/>
              </w:rPr>
            </w:pPr>
            <w:r w:rsidRPr="003B4C2A">
              <w:rPr>
                <w:color w:val="4F81BD" w:themeColor="accent1"/>
              </w:rPr>
              <w:t>A</w:t>
            </w:r>
          </w:p>
        </w:tc>
        <w:tc>
          <w:tcPr>
            <w:tcW w:w="5478" w:type="dxa"/>
            <w:tcMar>
              <w:top w:w="0" w:type="dxa"/>
              <w:left w:w="108" w:type="dxa"/>
              <w:bottom w:w="0" w:type="dxa"/>
              <w:right w:w="108" w:type="dxa"/>
            </w:tcMar>
            <w:hideMark/>
          </w:tcPr>
          <w:p w14:paraId="3195FEB6" w14:textId="77777777" w:rsidR="00264DF0" w:rsidRPr="003B4C2A" w:rsidRDefault="00264DF0" w:rsidP="009449D1">
            <w:pPr>
              <w:spacing w:before="0" w:after="0"/>
              <w:rPr>
                <w:color w:val="4F81BD" w:themeColor="accent1"/>
              </w:rPr>
            </w:pPr>
            <w:r w:rsidRPr="003B4C2A">
              <w:rPr>
                <w:color w:val="4F81BD" w:themeColor="accent1"/>
              </w:rPr>
              <w:t>Endovascular occlusion of cerebral aneurysm or arteriovenous malformation – private and public</w:t>
            </w:r>
          </w:p>
        </w:tc>
        <w:tc>
          <w:tcPr>
            <w:tcW w:w="1112" w:type="dxa"/>
            <w:tcMar>
              <w:top w:w="0" w:type="dxa"/>
              <w:left w:w="108" w:type="dxa"/>
              <w:bottom w:w="0" w:type="dxa"/>
              <w:right w:w="108" w:type="dxa"/>
            </w:tcMar>
            <w:hideMark/>
          </w:tcPr>
          <w:p w14:paraId="6259473C" w14:textId="77777777" w:rsidR="00264DF0" w:rsidRPr="003B4C2A" w:rsidRDefault="00264DF0" w:rsidP="009449D1">
            <w:pPr>
              <w:spacing w:before="0" w:after="0"/>
              <w:rPr>
                <w:color w:val="4F81BD" w:themeColor="accent1"/>
              </w:rPr>
            </w:pPr>
            <w:r w:rsidRPr="003B4C2A">
              <w:rPr>
                <w:color w:val="4F81BD" w:themeColor="accent1"/>
              </w:rPr>
              <w:t>1,628</w:t>
            </w:r>
          </w:p>
        </w:tc>
        <w:tc>
          <w:tcPr>
            <w:tcW w:w="1244" w:type="dxa"/>
          </w:tcPr>
          <w:p w14:paraId="160EAEB4" w14:textId="77777777" w:rsidR="00264DF0" w:rsidRPr="003B4C2A" w:rsidRDefault="00264DF0" w:rsidP="009449D1">
            <w:pPr>
              <w:spacing w:before="0" w:after="0"/>
              <w:rPr>
                <w:color w:val="4F81BD" w:themeColor="accent1"/>
              </w:rPr>
            </w:pPr>
            <w:proofErr w:type="spellStart"/>
            <w:r w:rsidRPr="003B4C2A">
              <w:rPr>
                <w:color w:val="4F81BD" w:themeColor="accent1"/>
              </w:rPr>
              <w:t>AIHW</w:t>
            </w:r>
            <w:r w:rsidRPr="003B4C2A">
              <w:rPr>
                <w:color w:val="4F81BD" w:themeColor="accent1"/>
                <w:vertAlign w:val="superscript"/>
              </w:rPr>
              <w:t>a</w:t>
            </w:r>
            <w:proofErr w:type="spellEnd"/>
          </w:p>
        </w:tc>
      </w:tr>
      <w:tr w:rsidR="00264DF0" w:rsidRPr="003B4C2A" w14:paraId="02213309" w14:textId="77777777" w:rsidTr="009449D1">
        <w:tc>
          <w:tcPr>
            <w:tcW w:w="766" w:type="dxa"/>
          </w:tcPr>
          <w:p w14:paraId="564A2E40" w14:textId="77777777" w:rsidR="00264DF0" w:rsidRPr="003B4C2A" w:rsidRDefault="00264DF0" w:rsidP="009449D1">
            <w:pPr>
              <w:spacing w:before="0" w:after="0"/>
              <w:rPr>
                <w:color w:val="4F81BD" w:themeColor="accent1"/>
              </w:rPr>
            </w:pPr>
            <w:r w:rsidRPr="003B4C2A">
              <w:rPr>
                <w:color w:val="4F81BD" w:themeColor="accent1"/>
              </w:rPr>
              <w:t>B</w:t>
            </w:r>
          </w:p>
        </w:tc>
        <w:tc>
          <w:tcPr>
            <w:tcW w:w="5478" w:type="dxa"/>
            <w:tcMar>
              <w:top w:w="0" w:type="dxa"/>
              <w:left w:w="108" w:type="dxa"/>
              <w:bottom w:w="0" w:type="dxa"/>
              <w:right w:w="108" w:type="dxa"/>
            </w:tcMar>
            <w:hideMark/>
          </w:tcPr>
          <w:p w14:paraId="76DD316D" w14:textId="77777777" w:rsidR="00264DF0" w:rsidRPr="003B4C2A" w:rsidRDefault="00264DF0" w:rsidP="009449D1">
            <w:pPr>
              <w:spacing w:before="0" w:after="0"/>
              <w:rPr>
                <w:color w:val="4F81BD" w:themeColor="accent1"/>
              </w:rPr>
            </w:pPr>
            <w:r w:rsidRPr="003B4C2A">
              <w:rPr>
                <w:color w:val="4F81BD" w:themeColor="accent1"/>
              </w:rPr>
              <w:t>Endovascular FDD – private and public</w:t>
            </w:r>
          </w:p>
        </w:tc>
        <w:tc>
          <w:tcPr>
            <w:tcW w:w="1112" w:type="dxa"/>
            <w:tcMar>
              <w:top w:w="0" w:type="dxa"/>
              <w:left w:w="108" w:type="dxa"/>
              <w:bottom w:w="0" w:type="dxa"/>
              <w:right w:w="108" w:type="dxa"/>
            </w:tcMar>
            <w:hideMark/>
          </w:tcPr>
          <w:p w14:paraId="1EBE1D2F" w14:textId="77777777" w:rsidR="00264DF0" w:rsidRPr="003B4C2A" w:rsidRDefault="00264DF0" w:rsidP="009449D1">
            <w:pPr>
              <w:spacing w:before="0" w:after="0"/>
              <w:rPr>
                <w:color w:val="4F81BD" w:themeColor="accent1"/>
              </w:rPr>
            </w:pPr>
            <w:r w:rsidRPr="003B4C2A">
              <w:rPr>
                <w:color w:val="4F81BD" w:themeColor="accent1"/>
              </w:rPr>
              <w:t>400</w:t>
            </w:r>
          </w:p>
        </w:tc>
        <w:tc>
          <w:tcPr>
            <w:tcW w:w="1244" w:type="dxa"/>
          </w:tcPr>
          <w:p w14:paraId="7E724DD7" w14:textId="77777777" w:rsidR="00264DF0" w:rsidRPr="003B4C2A" w:rsidRDefault="00264DF0" w:rsidP="009449D1">
            <w:pPr>
              <w:spacing w:before="0" w:after="0"/>
              <w:rPr>
                <w:color w:val="4F81BD" w:themeColor="accent1"/>
              </w:rPr>
            </w:pPr>
            <w:r w:rsidRPr="003B4C2A">
              <w:rPr>
                <w:color w:val="4F81BD" w:themeColor="accent1"/>
              </w:rPr>
              <w:t>Applicant</w:t>
            </w:r>
          </w:p>
        </w:tc>
      </w:tr>
      <w:tr w:rsidR="00264DF0" w:rsidRPr="003B4C2A" w14:paraId="15E14D2A" w14:textId="77777777" w:rsidTr="009449D1">
        <w:tc>
          <w:tcPr>
            <w:tcW w:w="766" w:type="dxa"/>
          </w:tcPr>
          <w:p w14:paraId="4EAF928C" w14:textId="77777777" w:rsidR="00264DF0" w:rsidRPr="003B4C2A" w:rsidRDefault="00264DF0" w:rsidP="009449D1">
            <w:pPr>
              <w:spacing w:before="0" w:after="0"/>
              <w:rPr>
                <w:color w:val="4F81BD" w:themeColor="accent1"/>
              </w:rPr>
            </w:pPr>
            <w:r w:rsidRPr="003B4C2A">
              <w:rPr>
                <w:color w:val="4F81BD" w:themeColor="accent1"/>
              </w:rPr>
              <w:t>C</w:t>
            </w:r>
          </w:p>
        </w:tc>
        <w:tc>
          <w:tcPr>
            <w:tcW w:w="5478" w:type="dxa"/>
            <w:tcMar>
              <w:top w:w="0" w:type="dxa"/>
              <w:left w:w="108" w:type="dxa"/>
              <w:bottom w:w="0" w:type="dxa"/>
              <w:right w:w="108" w:type="dxa"/>
            </w:tcMar>
          </w:tcPr>
          <w:p w14:paraId="4095DA21" w14:textId="412CEEC7" w:rsidR="00264DF0" w:rsidRPr="003B4C2A" w:rsidRDefault="00203E7C" w:rsidP="009449D1">
            <w:pPr>
              <w:spacing w:before="0" w:after="0"/>
              <w:rPr>
                <w:color w:val="4F81BD" w:themeColor="accent1"/>
              </w:rPr>
            </w:pPr>
            <w:r w:rsidRPr="003B4C2A">
              <w:rPr>
                <w:color w:val="4F81BD" w:themeColor="accent1"/>
              </w:rPr>
              <w:t>Endovascular</w:t>
            </w:r>
            <w:r w:rsidR="00264DF0" w:rsidRPr="003B4C2A">
              <w:rPr>
                <w:color w:val="4F81BD" w:themeColor="accent1"/>
              </w:rPr>
              <w:t xml:space="preserve"> coiling – private and public</w:t>
            </w:r>
          </w:p>
        </w:tc>
        <w:tc>
          <w:tcPr>
            <w:tcW w:w="1112" w:type="dxa"/>
            <w:tcMar>
              <w:top w:w="0" w:type="dxa"/>
              <w:left w:w="108" w:type="dxa"/>
              <w:bottom w:w="0" w:type="dxa"/>
              <w:right w:w="108" w:type="dxa"/>
            </w:tcMar>
          </w:tcPr>
          <w:p w14:paraId="4FDE0997" w14:textId="77777777" w:rsidR="00264DF0" w:rsidRPr="003B4C2A" w:rsidRDefault="00264DF0" w:rsidP="009449D1">
            <w:pPr>
              <w:spacing w:before="0" w:after="0"/>
              <w:rPr>
                <w:color w:val="4F81BD" w:themeColor="accent1"/>
              </w:rPr>
            </w:pPr>
            <w:r w:rsidRPr="003B4C2A">
              <w:rPr>
                <w:color w:val="4F81BD" w:themeColor="accent1"/>
              </w:rPr>
              <w:t>1,228</w:t>
            </w:r>
          </w:p>
        </w:tc>
        <w:tc>
          <w:tcPr>
            <w:tcW w:w="1244" w:type="dxa"/>
          </w:tcPr>
          <w:p w14:paraId="1422CB63" w14:textId="77777777" w:rsidR="00264DF0" w:rsidRPr="003B4C2A" w:rsidRDefault="00264DF0" w:rsidP="009449D1">
            <w:pPr>
              <w:spacing w:before="0" w:after="0"/>
              <w:rPr>
                <w:color w:val="4F81BD" w:themeColor="accent1"/>
              </w:rPr>
            </w:pPr>
            <w:r w:rsidRPr="003B4C2A">
              <w:rPr>
                <w:color w:val="4F81BD" w:themeColor="accent1"/>
              </w:rPr>
              <w:t>A-B</w:t>
            </w:r>
          </w:p>
        </w:tc>
      </w:tr>
      <w:tr w:rsidR="00264DF0" w:rsidRPr="003B4C2A" w14:paraId="4F1778B9" w14:textId="77777777" w:rsidTr="009449D1">
        <w:tc>
          <w:tcPr>
            <w:tcW w:w="766" w:type="dxa"/>
          </w:tcPr>
          <w:p w14:paraId="7F5A0092" w14:textId="77777777" w:rsidR="00264DF0" w:rsidRPr="003B4C2A" w:rsidRDefault="00264DF0" w:rsidP="009449D1">
            <w:pPr>
              <w:spacing w:before="0" w:after="0"/>
              <w:rPr>
                <w:color w:val="4F81BD" w:themeColor="accent1"/>
              </w:rPr>
            </w:pPr>
            <w:r w:rsidRPr="003B4C2A">
              <w:rPr>
                <w:color w:val="4F81BD" w:themeColor="accent1"/>
              </w:rPr>
              <w:t>D</w:t>
            </w:r>
          </w:p>
        </w:tc>
        <w:tc>
          <w:tcPr>
            <w:tcW w:w="5478" w:type="dxa"/>
            <w:tcMar>
              <w:top w:w="0" w:type="dxa"/>
              <w:left w:w="108" w:type="dxa"/>
              <w:bottom w:w="0" w:type="dxa"/>
              <w:right w:w="108" w:type="dxa"/>
            </w:tcMar>
          </w:tcPr>
          <w:p w14:paraId="3AD4E9B5" w14:textId="77777777" w:rsidR="00264DF0" w:rsidRPr="003B4C2A" w:rsidRDefault="00264DF0" w:rsidP="009449D1">
            <w:pPr>
              <w:spacing w:before="0" w:after="0"/>
              <w:rPr>
                <w:color w:val="4F81BD" w:themeColor="accent1"/>
              </w:rPr>
            </w:pPr>
            <w:r w:rsidRPr="003B4C2A">
              <w:rPr>
                <w:color w:val="4F81BD" w:themeColor="accent1"/>
              </w:rPr>
              <w:t>Endovascular coiling – private only (MBS item 35412)</w:t>
            </w:r>
          </w:p>
        </w:tc>
        <w:tc>
          <w:tcPr>
            <w:tcW w:w="1112" w:type="dxa"/>
            <w:tcMar>
              <w:top w:w="0" w:type="dxa"/>
              <w:left w:w="108" w:type="dxa"/>
              <w:bottom w:w="0" w:type="dxa"/>
              <w:right w:w="108" w:type="dxa"/>
            </w:tcMar>
          </w:tcPr>
          <w:p w14:paraId="1516AA96" w14:textId="77777777" w:rsidR="00264DF0" w:rsidRPr="003B4C2A" w:rsidRDefault="00264DF0" w:rsidP="009449D1">
            <w:pPr>
              <w:spacing w:before="0" w:after="0"/>
              <w:rPr>
                <w:color w:val="4F81BD" w:themeColor="accent1"/>
              </w:rPr>
            </w:pPr>
            <w:r w:rsidRPr="003B4C2A">
              <w:rPr>
                <w:color w:val="4F81BD" w:themeColor="accent1"/>
              </w:rPr>
              <w:t>470</w:t>
            </w:r>
          </w:p>
        </w:tc>
        <w:tc>
          <w:tcPr>
            <w:tcW w:w="1244" w:type="dxa"/>
          </w:tcPr>
          <w:p w14:paraId="219AEA33" w14:textId="77777777" w:rsidR="00264DF0" w:rsidRPr="003B4C2A" w:rsidRDefault="00264DF0" w:rsidP="009449D1">
            <w:pPr>
              <w:spacing w:before="0" w:after="0"/>
              <w:rPr>
                <w:color w:val="4F81BD" w:themeColor="accent1"/>
              </w:rPr>
            </w:pPr>
            <w:proofErr w:type="spellStart"/>
            <w:r w:rsidRPr="003B4C2A">
              <w:rPr>
                <w:color w:val="4F81BD" w:themeColor="accent1"/>
              </w:rPr>
              <w:t>Medicare</w:t>
            </w:r>
            <w:r w:rsidRPr="003B4C2A">
              <w:rPr>
                <w:color w:val="4F81BD" w:themeColor="accent1"/>
                <w:vertAlign w:val="superscript"/>
              </w:rPr>
              <w:t>b</w:t>
            </w:r>
            <w:proofErr w:type="spellEnd"/>
          </w:p>
        </w:tc>
      </w:tr>
      <w:tr w:rsidR="00264DF0" w:rsidRPr="003B4C2A" w14:paraId="1D8DEB51" w14:textId="77777777" w:rsidTr="009449D1">
        <w:tc>
          <w:tcPr>
            <w:tcW w:w="766" w:type="dxa"/>
          </w:tcPr>
          <w:p w14:paraId="527F3503" w14:textId="77777777" w:rsidR="00264DF0" w:rsidRPr="003B4C2A" w:rsidRDefault="00264DF0" w:rsidP="009449D1">
            <w:pPr>
              <w:spacing w:before="0" w:after="0"/>
              <w:rPr>
                <w:color w:val="4F81BD" w:themeColor="accent1"/>
              </w:rPr>
            </w:pPr>
            <w:r w:rsidRPr="003B4C2A">
              <w:rPr>
                <w:color w:val="4F81BD" w:themeColor="accent1"/>
              </w:rPr>
              <w:t>E</w:t>
            </w:r>
          </w:p>
        </w:tc>
        <w:tc>
          <w:tcPr>
            <w:tcW w:w="5478" w:type="dxa"/>
            <w:tcMar>
              <w:top w:w="0" w:type="dxa"/>
              <w:left w:w="108" w:type="dxa"/>
              <w:bottom w:w="0" w:type="dxa"/>
              <w:right w:w="108" w:type="dxa"/>
            </w:tcMar>
          </w:tcPr>
          <w:p w14:paraId="75218BD4" w14:textId="77777777" w:rsidR="00264DF0" w:rsidRPr="003B4C2A" w:rsidRDefault="00264DF0" w:rsidP="009449D1">
            <w:pPr>
              <w:spacing w:before="0" w:after="0"/>
              <w:rPr>
                <w:color w:val="4F81BD" w:themeColor="accent1"/>
              </w:rPr>
            </w:pPr>
            <w:r w:rsidRPr="003B4C2A">
              <w:rPr>
                <w:color w:val="4F81BD" w:themeColor="accent1"/>
              </w:rPr>
              <w:t>% performed in private setting</w:t>
            </w:r>
          </w:p>
        </w:tc>
        <w:tc>
          <w:tcPr>
            <w:tcW w:w="1112" w:type="dxa"/>
            <w:tcMar>
              <w:top w:w="0" w:type="dxa"/>
              <w:left w:w="108" w:type="dxa"/>
              <w:bottom w:w="0" w:type="dxa"/>
              <w:right w:w="108" w:type="dxa"/>
            </w:tcMar>
          </w:tcPr>
          <w:p w14:paraId="22FE38C2" w14:textId="3D82ABC8" w:rsidR="00264DF0" w:rsidRPr="003B4C2A" w:rsidRDefault="00264DF0" w:rsidP="009449D1">
            <w:pPr>
              <w:spacing w:before="0" w:after="0"/>
              <w:rPr>
                <w:color w:val="4F81BD" w:themeColor="accent1"/>
              </w:rPr>
            </w:pPr>
            <w:r w:rsidRPr="003B4C2A">
              <w:rPr>
                <w:color w:val="4F81BD" w:themeColor="accent1"/>
              </w:rPr>
              <w:t>38</w:t>
            </w:r>
            <w:r w:rsidR="00D725BD" w:rsidRPr="003B4C2A">
              <w:rPr>
                <w:color w:val="4F81BD" w:themeColor="accent1"/>
              </w:rPr>
              <w:t>.3</w:t>
            </w:r>
            <w:r w:rsidRPr="003B4C2A">
              <w:rPr>
                <w:color w:val="4F81BD" w:themeColor="accent1"/>
              </w:rPr>
              <w:t>%</w:t>
            </w:r>
          </w:p>
        </w:tc>
        <w:tc>
          <w:tcPr>
            <w:tcW w:w="1244" w:type="dxa"/>
          </w:tcPr>
          <w:p w14:paraId="0DD41DF5" w14:textId="77777777" w:rsidR="00264DF0" w:rsidRPr="003B4C2A" w:rsidRDefault="00264DF0" w:rsidP="009449D1">
            <w:pPr>
              <w:spacing w:before="0" w:after="0"/>
              <w:rPr>
                <w:color w:val="4F81BD" w:themeColor="accent1"/>
              </w:rPr>
            </w:pPr>
            <w:r w:rsidRPr="003B4C2A">
              <w:rPr>
                <w:color w:val="4F81BD" w:themeColor="accent1"/>
              </w:rPr>
              <w:t>D/C</w:t>
            </w:r>
          </w:p>
        </w:tc>
      </w:tr>
      <w:tr w:rsidR="00264DF0" w:rsidRPr="003B4C2A" w14:paraId="72D4715D" w14:textId="77777777" w:rsidTr="009449D1">
        <w:tc>
          <w:tcPr>
            <w:tcW w:w="8600" w:type="dxa"/>
            <w:gridSpan w:val="4"/>
          </w:tcPr>
          <w:p w14:paraId="68893573" w14:textId="77777777" w:rsidR="00264DF0" w:rsidRPr="003B4C2A" w:rsidRDefault="00264DF0" w:rsidP="009449D1">
            <w:pPr>
              <w:spacing w:before="0" w:after="0"/>
              <w:rPr>
                <w:color w:val="4F81BD" w:themeColor="accent1"/>
              </w:rPr>
            </w:pPr>
            <w:r w:rsidRPr="003B4C2A">
              <w:rPr>
                <w:color w:val="4F81BD" w:themeColor="accent1"/>
              </w:rPr>
              <w:t>Surgical clipping</w:t>
            </w:r>
          </w:p>
        </w:tc>
      </w:tr>
      <w:tr w:rsidR="00264DF0" w:rsidRPr="003B4C2A" w14:paraId="12D7CB15" w14:textId="77777777" w:rsidTr="009449D1">
        <w:tc>
          <w:tcPr>
            <w:tcW w:w="766" w:type="dxa"/>
          </w:tcPr>
          <w:p w14:paraId="5B0DEEE6" w14:textId="77777777" w:rsidR="00264DF0" w:rsidRPr="003B4C2A" w:rsidRDefault="00264DF0" w:rsidP="009449D1">
            <w:pPr>
              <w:spacing w:before="0" w:after="0"/>
              <w:rPr>
                <w:color w:val="4F81BD" w:themeColor="accent1"/>
              </w:rPr>
            </w:pPr>
            <w:r w:rsidRPr="003B4C2A">
              <w:rPr>
                <w:color w:val="4F81BD" w:themeColor="accent1"/>
              </w:rPr>
              <w:t>F</w:t>
            </w:r>
          </w:p>
        </w:tc>
        <w:tc>
          <w:tcPr>
            <w:tcW w:w="5478" w:type="dxa"/>
            <w:tcMar>
              <w:top w:w="0" w:type="dxa"/>
              <w:left w:w="108" w:type="dxa"/>
              <w:bottom w:w="0" w:type="dxa"/>
              <w:right w:w="108" w:type="dxa"/>
            </w:tcMar>
          </w:tcPr>
          <w:p w14:paraId="4092DFF8" w14:textId="77777777" w:rsidR="00264DF0" w:rsidRPr="003B4C2A" w:rsidRDefault="00264DF0" w:rsidP="009449D1">
            <w:pPr>
              <w:spacing w:before="0" w:after="0"/>
              <w:rPr>
                <w:color w:val="4F81BD" w:themeColor="accent1"/>
              </w:rPr>
            </w:pPr>
            <w:r w:rsidRPr="003B4C2A">
              <w:rPr>
                <w:color w:val="4F81BD" w:themeColor="accent1"/>
              </w:rPr>
              <w:t xml:space="preserve">Clipping of cerebral aneurysm – private and public </w:t>
            </w:r>
          </w:p>
        </w:tc>
        <w:tc>
          <w:tcPr>
            <w:tcW w:w="1112" w:type="dxa"/>
            <w:tcMar>
              <w:top w:w="0" w:type="dxa"/>
              <w:left w:w="108" w:type="dxa"/>
              <w:bottom w:w="0" w:type="dxa"/>
              <w:right w:w="108" w:type="dxa"/>
            </w:tcMar>
          </w:tcPr>
          <w:p w14:paraId="5DA714F1" w14:textId="77777777" w:rsidR="00264DF0" w:rsidRPr="003B4C2A" w:rsidRDefault="00264DF0" w:rsidP="009449D1">
            <w:pPr>
              <w:spacing w:before="0" w:after="0"/>
              <w:rPr>
                <w:color w:val="4F81BD" w:themeColor="accent1"/>
              </w:rPr>
            </w:pPr>
            <w:r w:rsidRPr="003B4C2A">
              <w:rPr>
                <w:color w:val="4F81BD" w:themeColor="accent1"/>
              </w:rPr>
              <w:t>872</w:t>
            </w:r>
          </w:p>
        </w:tc>
        <w:tc>
          <w:tcPr>
            <w:tcW w:w="1244" w:type="dxa"/>
          </w:tcPr>
          <w:p w14:paraId="6DDB584F" w14:textId="77777777" w:rsidR="00264DF0" w:rsidRPr="003B4C2A" w:rsidRDefault="00264DF0" w:rsidP="009449D1">
            <w:pPr>
              <w:spacing w:before="0" w:after="0"/>
              <w:rPr>
                <w:color w:val="4F81BD" w:themeColor="accent1"/>
              </w:rPr>
            </w:pPr>
            <w:proofErr w:type="spellStart"/>
            <w:r w:rsidRPr="003B4C2A">
              <w:rPr>
                <w:color w:val="4F81BD" w:themeColor="accent1"/>
              </w:rPr>
              <w:t>AIHW</w:t>
            </w:r>
            <w:r w:rsidRPr="003B4C2A">
              <w:rPr>
                <w:color w:val="4F81BD" w:themeColor="accent1"/>
                <w:vertAlign w:val="superscript"/>
              </w:rPr>
              <w:t>a</w:t>
            </w:r>
            <w:proofErr w:type="spellEnd"/>
          </w:p>
        </w:tc>
      </w:tr>
      <w:tr w:rsidR="00264DF0" w:rsidRPr="003B4C2A" w14:paraId="0347A46B" w14:textId="77777777" w:rsidTr="009449D1">
        <w:tc>
          <w:tcPr>
            <w:tcW w:w="766" w:type="dxa"/>
          </w:tcPr>
          <w:p w14:paraId="7B96AC2F" w14:textId="77777777" w:rsidR="00264DF0" w:rsidRPr="003B4C2A" w:rsidRDefault="00264DF0" w:rsidP="009449D1">
            <w:pPr>
              <w:spacing w:before="0" w:after="0"/>
              <w:rPr>
                <w:color w:val="4F81BD" w:themeColor="accent1"/>
              </w:rPr>
            </w:pPr>
            <w:r w:rsidRPr="003B4C2A">
              <w:rPr>
                <w:color w:val="4F81BD" w:themeColor="accent1"/>
              </w:rPr>
              <w:t>G</w:t>
            </w:r>
          </w:p>
        </w:tc>
        <w:tc>
          <w:tcPr>
            <w:tcW w:w="5478" w:type="dxa"/>
            <w:tcMar>
              <w:top w:w="0" w:type="dxa"/>
              <w:left w:w="108" w:type="dxa"/>
              <w:bottom w:w="0" w:type="dxa"/>
              <w:right w:w="108" w:type="dxa"/>
            </w:tcMar>
          </w:tcPr>
          <w:p w14:paraId="5E5872D2" w14:textId="77777777" w:rsidR="00264DF0" w:rsidRPr="003B4C2A" w:rsidRDefault="00264DF0" w:rsidP="009449D1">
            <w:pPr>
              <w:spacing w:before="0" w:after="0"/>
              <w:rPr>
                <w:color w:val="4F81BD" w:themeColor="accent1"/>
              </w:rPr>
            </w:pPr>
            <w:r w:rsidRPr="003B4C2A">
              <w:rPr>
                <w:color w:val="4F81BD" w:themeColor="accent1"/>
              </w:rPr>
              <w:t>Surgical clipping – private only (MBS items 39806 and 39800)</w:t>
            </w:r>
          </w:p>
        </w:tc>
        <w:tc>
          <w:tcPr>
            <w:tcW w:w="1112" w:type="dxa"/>
            <w:tcMar>
              <w:top w:w="0" w:type="dxa"/>
              <w:left w:w="108" w:type="dxa"/>
              <w:bottom w:w="0" w:type="dxa"/>
              <w:right w:w="108" w:type="dxa"/>
            </w:tcMar>
          </w:tcPr>
          <w:p w14:paraId="0239C3ED" w14:textId="77777777" w:rsidR="00264DF0" w:rsidRPr="003B4C2A" w:rsidRDefault="00264DF0" w:rsidP="009449D1">
            <w:pPr>
              <w:spacing w:before="0" w:after="0"/>
              <w:rPr>
                <w:color w:val="4F81BD" w:themeColor="accent1"/>
              </w:rPr>
            </w:pPr>
            <w:r w:rsidRPr="003B4C2A">
              <w:rPr>
                <w:color w:val="4F81BD" w:themeColor="accent1"/>
              </w:rPr>
              <w:t>340</w:t>
            </w:r>
          </w:p>
        </w:tc>
        <w:tc>
          <w:tcPr>
            <w:tcW w:w="1244" w:type="dxa"/>
          </w:tcPr>
          <w:p w14:paraId="7D1E0235" w14:textId="77777777" w:rsidR="00264DF0" w:rsidRPr="003B4C2A" w:rsidRDefault="00264DF0" w:rsidP="009449D1">
            <w:pPr>
              <w:spacing w:before="0" w:after="0"/>
              <w:rPr>
                <w:color w:val="4F81BD" w:themeColor="accent1"/>
              </w:rPr>
            </w:pPr>
            <w:proofErr w:type="spellStart"/>
            <w:r w:rsidRPr="003B4C2A">
              <w:rPr>
                <w:color w:val="4F81BD" w:themeColor="accent1"/>
              </w:rPr>
              <w:t>Medicare</w:t>
            </w:r>
            <w:r w:rsidRPr="003B4C2A">
              <w:rPr>
                <w:color w:val="4F81BD" w:themeColor="accent1"/>
                <w:vertAlign w:val="superscript"/>
              </w:rPr>
              <w:t>b</w:t>
            </w:r>
            <w:proofErr w:type="spellEnd"/>
          </w:p>
        </w:tc>
      </w:tr>
      <w:tr w:rsidR="00264DF0" w:rsidRPr="003B4C2A" w14:paraId="5132B7B9" w14:textId="77777777" w:rsidTr="00D725BD">
        <w:tc>
          <w:tcPr>
            <w:tcW w:w="766" w:type="dxa"/>
            <w:tcBorders>
              <w:bottom w:val="single" w:sz="4" w:space="0" w:color="auto"/>
            </w:tcBorders>
          </w:tcPr>
          <w:p w14:paraId="6E7B5C55" w14:textId="77777777" w:rsidR="00264DF0" w:rsidRPr="003B4C2A" w:rsidRDefault="00264DF0" w:rsidP="009449D1">
            <w:pPr>
              <w:spacing w:before="0" w:after="0"/>
              <w:rPr>
                <w:color w:val="4F81BD" w:themeColor="accent1"/>
              </w:rPr>
            </w:pPr>
            <w:r w:rsidRPr="003B4C2A">
              <w:rPr>
                <w:color w:val="4F81BD" w:themeColor="accent1"/>
              </w:rPr>
              <w:t>H</w:t>
            </w:r>
          </w:p>
        </w:tc>
        <w:tc>
          <w:tcPr>
            <w:tcW w:w="5478" w:type="dxa"/>
            <w:tcBorders>
              <w:bottom w:val="single" w:sz="4" w:space="0" w:color="auto"/>
            </w:tcBorders>
            <w:tcMar>
              <w:top w:w="0" w:type="dxa"/>
              <w:left w:w="108" w:type="dxa"/>
              <w:bottom w:w="0" w:type="dxa"/>
              <w:right w:w="108" w:type="dxa"/>
            </w:tcMar>
          </w:tcPr>
          <w:p w14:paraId="0D922351" w14:textId="6C131024" w:rsidR="00264DF0" w:rsidRPr="003B4C2A" w:rsidRDefault="00264DF0" w:rsidP="009449D1">
            <w:pPr>
              <w:spacing w:before="0" w:after="0"/>
              <w:rPr>
                <w:color w:val="4F81BD" w:themeColor="accent1"/>
              </w:rPr>
            </w:pPr>
            <w:r w:rsidRPr="003B4C2A">
              <w:rPr>
                <w:color w:val="4F81BD" w:themeColor="accent1"/>
              </w:rPr>
              <w:t>% performed in private setting</w:t>
            </w:r>
          </w:p>
        </w:tc>
        <w:tc>
          <w:tcPr>
            <w:tcW w:w="1112" w:type="dxa"/>
            <w:tcBorders>
              <w:bottom w:val="single" w:sz="4" w:space="0" w:color="auto"/>
            </w:tcBorders>
            <w:tcMar>
              <w:top w:w="0" w:type="dxa"/>
              <w:left w:w="108" w:type="dxa"/>
              <w:bottom w:w="0" w:type="dxa"/>
              <w:right w:w="108" w:type="dxa"/>
            </w:tcMar>
          </w:tcPr>
          <w:p w14:paraId="3A619D56" w14:textId="038456BF" w:rsidR="00264DF0" w:rsidRPr="003B4C2A" w:rsidRDefault="00264DF0" w:rsidP="009449D1">
            <w:pPr>
              <w:spacing w:before="0" w:after="0"/>
              <w:rPr>
                <w:color w:val="4F81BD" w:themeColor="accent1"/>
              </w:rPr>
            </w:pPr>
            <w:r w:rsidRPr="003B4C2A">
              <w:rPr>
                <w:color w:val="4F81BD" w:themeColor="accent1"/>
              </w:rPr>
              <w:t>39</w:t>
            </w:r>
            <w:r w:rsidR="00D725BD" w:rsidRPr="003B4C2A">
              <w:rPr>
                <w:color w:val="4F81BD" w:themeColor="accent1"/>
              </w:rPr>
              <w:t>.0</w:t>
            </w:r>
            <w:r w:rsidRPr="003B4C2A">
              <w:rPr>
                <w:color w:val="4F81BD" w:themeColor="accent1"/>
              </w:rPr>
              <w:t>%</w:t>
            </w:r>
          </w:p>
        </w:tc>
        <w:tc>
          <w:tcPr>
            <w:tcW w:w="1244" w:type="dxa"/>
            <w:tcBorders>
              <w:bottom w:val="single" w:sz="4" w:space="0" w:color="auto"/>
            </w:tcBorders>
          </w:tcPr>
          <w:p w14:paraId="4DDDCDF3" w14:textId="77777777" w:rsidR="00264DF0" w:rsidRPr="003B4C2A" w:rsidRDefault="00264DF0" w:rsidP="009449D1">
            <w:pPr>
              <w:spacing w:before="0" w:after="0"/>
              <w:rPr>
                <w:color w:val="4F81BD" w:themeColor="accent1"/>
              </w:rPr>
            </w:pPr>
            <w:r w:rsidRPr="003B4C2A">
              <w:rPr>
                <w:color w:val="4F81BD" w:themeColor="accent1"/>
              </w:rPr>
              <w:t>G/F</w:t>
            </w:r>
          </w:p>
        </w:tc>
      </w:tr>
      <w:tr w:rsidR="00D725BD" w:rsidRPr="003B4C2A" w14:paraId="3C726F9D" w14:textId="77777777" w:rsidTr="009449D1">
        <w:tc>
          <w:tcPr>
            <w:tcW w:w="8600" w:type="dxa"/>
            <w:gridSpan w:val="4"/>
          </w:tcPr>
          <w:p w14:paraId="65AD17AF" w14:textId="747DAE83" w:rsidR="00D725BD" w:rsidRPr="003B4C2A" w:rsidRDefault="00D725BD" w:rsidP="009449D1">
            <w:pPr>
              <w:spacing w:before="0" w:after="0"/>
              <w:rPr>
                <w:color w:val="4F81BD" w:themeColor="accent1"/>
              </w:rPr>
            </w:pPr>
            <w:r w:rsidRPr="003B4C2A">
              <w:rPr>
                <w:color w:val="4F81BD" w:themeColor="accent1"/>
              </w:rPr>
              <w:t>Combined clipping and coiling</w:t>
            </w:r>
          </w:p>
        </w:tc>
      </w:tr>
      <w:tr w:rsidR="00D725BD" w:rsidRPr="003B4C2A" w14:paraId="0957F61E" w14:textId="77777777" w:rsidTr="009449D1">
        <w:tc>
          <w:tcPr>
            <w:tcW w:w="766" w:type="dxa"/>
          </w:tcPr>
          <w:p w14:paraId="58D233A4" w14:textId="7C479228" w:rsidR="00D725BD" w:rsidRPr="003B4C2A" w:rsidRDefault="00D725BD" w:rsidP="009449D1">
            <w:pPr>
              <w:spacing w:before="0" w:after="0"/>
              <w:rPr>
                <w:color w:val="4F81BD" w:themeColor="accent1"/>
              </w:rPr>
            </w:pPr>
            <w:r w:rsidRPr="003B4C2A">
              <w:rPr>
                <w:color w:val="4F81BD" w:themeColor="accent1"/>
              </w:rPr>
              <w:t>I</w:t>
            </w:r>
          </w:p>
        </w:tc>
        <w:tc>
          <w:tcPr>
            <w:tcW w:w="5478" w:type="dxa"/>
            <w:tcMar>
              <w:top w:w="0" w:type="dxa"/>
              <w:left w:w="108" w:type="dxa"/>
              <w:bottom w:w="0" w:type="dxa"/>
              <w:right w:w="108" w:type="dxa"/>
            </w:tcMar>
          </w:tcPr>
          <w:p w14:paraId="1313F312" w14:textId="44D8017A" w:rsidR="00D725BD" w:rsidRPr="003B4C2A" w:rsidRDefault="00D725BD" w:rsidP="009449D1">
            <w:pPr>
              <w:spacing w:before="0" w:after="0"/>
              <w:rPr>
                <w:color w:val="4F81BD" w:themeColor="accent1"/>
              </w:rPr>
            </w:pPr>
            <w:r w:rsidRPr="003B4C2A">
              <w:rPr>
                <w:color w:val="4F81BD" w:themeColor="accent1"/>
              </w:rPr>
              <w:t>Private and public</w:t>
            </w:r>
          </w:p>
        </w:tc>
        <w:tc>
          <w:tcPr>
            <w:tcW w:w="1112" w:type="dxa"/>
            <w:tcMar>
              <w:top w:w="0" w:type="dxa"/>
              <w:left w:w="108" w:type="dxa"/>
              <w:bottom w:w="0" w:type="dxa"/>
              <w:right w:w="108" w:type="dxa"/>
            </w:tcMar>
          </w:tcPr>
          <w:p w14:paraId="7F60C0DE" w14:textId="4ED72ACA" w:rsidR="00D725BD" w:rsidRPr="003B4C2A" w:rsidRDefault="00D725BD" w:rsidP="009449D1">
            <w:pPr>
              <w:spacing w:before="0" w:after="0"/>
              <w:rPr>
                <w:color w:val="4F81BD" w:themeColor="accent1"/>
              </w:rPr>
            </w:pPr>
            <w:r w:rsidRPr="003B4C2A">
              <w:rPr>
                <w:color w:val="4F81BD" w:themeColor="accent1"/>
              </w:rPr>
              <w:t>2,500</w:t>
            </w:r>
          </w:p>
        </w:tc>
        <w:tc>
          <w:tcPr>
            <w:tcW w:w="1244" w:type="dxa"/>
          </w:tcPr>
          <w:p w14:paraId="3DD401DB" w14:textId="47C9EA5A" w:rsidR="00D725BD" w:rsidRPr="003B4C2A" w:rsidRDefault="00D725BD" w:rsidP="009449D1">
            <w:pPr>
              <w:spacing w:before="0" w:after="0"/>
              <w:rPr>
                <w:color w:val="4F81BD" w:themeColor="accent1"/>
              </w:rPr>
            </w:pPr>
            <w:r w:rsidRPr="003B4C2A">
              <w:rPr>
                <w:color w:val="4F81BD" w:themeColor="accent1"/>
              </w:rPr>
              <w:t>C+F</w:t>
            </w:r>
          </w:p>
        </w:tc>
      </w:tr>
      <w:tr w:rsidR="00D725BD" w:rsidRPr="003B4C2A" w14:paraId="347A1A7B" w14:textId="77777777" w:rsidTr="009449D1">
        <w:tc>
          <w:tcPr>
            <w:tcW w:w="766" w:type="dxa"/>
          </w:tcPr>
          <w:p w14:paraId="43E2DE43" w14:textId="60BF09C8" w:rsidR="00D725BD" w:rsidRPr="003B4C2A" w:rsidRDefault="00D725BD" w:rsidP="009449D1">
            <w:pPr>
              <w:spacing w:before="0" w:after="0"/>
              <w:rPr>
                <w:color w:val="4F81BD" w:themeColor="accent1"/>
              </w:rPr>
            </w:pPr>
            <w:r w:rsidRPr="003B4C2A">
              <w:rPr>
                <w:color w:val="4F81BD" w:themeColor="accent1"/>
              </w:rPr>
              <w:t>J</w:t>
            </w:r>
          </w:p>
        </w:tc>
        <w:tc>
          <w:tcPr>
            <w:tcW w:w="5478" w:type="dxa"/>
            <w:tcMar>
              <w:top w:w="0" w:type="dxa"/>
              <w:left w:w="108" w:type="dxa"/>
              <w:bottom w:w="0" w:type="dxa"/>
              <w:right w:w="108" w:type="dxa"/>
            </w:tcMar>
          </w:tcPr>
          <w:p w14:paraId="71759484" w14:textId="7BEC5B44" w:rsidR="00D725BD" w:rsidRPr="003B4C2A" w:rsidRDefault="00D725BD" w:rsidP="009449D1">
            <w:pPr>
              <w:spacing w:before="0" w:after="0"/>
              <w:rPr>
                <w:color w:val="4F81BD" w:themeColor="accent1"/>
              </w:rPr>
            </w:pPr>
            <w:r w:rsidRPr="003B4C2A">
              <w:rPr>
                <w:color w:val="4F81BD" w:themeColor="accent1"/>
              </w:rPr>
              <w:t>Private only</w:t>
            </w:r>
          </w:p>
        </w:tc>
        <w:tc>
          <w:tcPr>
            <w:tcW w:w="1112" w:type="dxa"/>
            <w:tcMar>
              <w:top w:w="0" w:type="dxa"/>
              <w:left w:w="108" w:type="dxa"/>
              <w:bottom w:w="0" w:type="dxa"/>
              <w:right w:w="108" w:type="dxa"/>
            </w:tcMar>
          </w:tcPr>
          <w:p w14:paraId="46CF8689" w14:textId="3B65FC34" w:rsidR="00D725BD" w:rsidRPr="003B4C2A" w:rsidRDefault="00D725BD" w:rsidP="009449D1">
            <w:pPr>
              <w:spacing w:before="0" w:after="0"/>
              <w:rPr>
                <w:color w:val="4F81BD" w:themeColor="accent1"/>
              </w:rPr>
            </w:pPr>
            <w:r w:rsidRPr="003B4C2A">
              <w:rPr>
                <w:color w:val="4F81BD" w:themeColor="accent1"/>
              </w:rPr>
              <w:t>810</w:t>
            </w:r>
          </w:p>
        </w:tc>
        <w:tc>
          <w:tcPr>
            <w:tcW w:w="1244" w:type="dxa"/>
          </w:tcPr>
          <w:p w14:paraId="226915E8" w14:textId="42918491" w:rsidR="00D725BD" w:rsidRPr="003B4C2A" w:rsidRDefault="00D725BD" w:rsidP="009449D1">
            <w:pPr>
              <w:spacing w:before="0" w:after="0"/>
              <w:rPr>
                <w:color w:val="4F81BD" w:themeColor="accent1"/>
              </w:rPr>
            </w:pPr>
            <w:r w:rsidRPr="003B4C2A">
              <w:rPr>
                <w:color w:val="4F81BD" w:themeColor="accent1"/>
              </w:rPr>
              <w:t>D+G</w:t>
            </w:r>
          </w:p>
        </w:tc>
      </w:tr>
      <w:tr w:rsidR="00D725BD" w:rsidRPr="003B4C2A" w14:paraId="795B6122" w14:textId="77777777" w:rsidTr="009449D1">
        <w:tc>
          <w:tcPr>
            <w:tcW w:w="766" w:type="dxa"/>
          </w:tcPr>
          <w:p w14:paraId="30C5B8B4" w14:textId="60FC6DE4" w:rsidR="00D725BD" w:rsidRPr="003B4C2A" w:rsidRDefault="00154379" w:rsidP="009449D1">
            <w:pPr>
              <w:spacing w:before="0" w:after="0"/>
              <w:rPr>
                <w:color w:val="4F81BD" w:themeColor="accent1"/>
              </w:rPr>
            </w:pPr>
            <w:r w:rsidRPr="003B4C2A">
              <w:rPr>
                <w:color w:val="4F81BD" w:themeColor="accent1"/>
              </w:rPr>
              <w:t>K</w:t>
            </w:r>
          </w:p>
        </w:tc>
        <w:tc>
          <w:tcPr>
            <w:tcW w:w="5478" w:type="dxa"/>
            <w:tcMar>
              <w:top w:w="0" w:type="dxa"/>
              <w:left w:w="108" w:type="dxa"/>
              <w:bottom w:w="0" w:type="dxa"/>
              <w:right w:w="108" w:type="dxa"/>
            </w:tcMar>
          </w:tcPr>
          <w:p w14:paraId="2C4B8FA8" w14:textId="062C580B" w:rsidR="00D725BD" w:rsidRPr="003B4C2A" w:rsidRDefault="00D725BD" w:rsidP="009449D1">
            <w:pPr>
              <w:spacing w:before="0" w:after="0"/>
              <w:rPr>
                <w:color w:val="4F81BD" w:themeColor="accent1"/>
              </w:rPr>
            </w:pPr>
            <w:r w:rsidRPr="003B4C2A">
              <w:rPr>
                <w:color w:val="4F81BD" w:themeColor="accent1"/>
              </w:rPr>
              <w:t>% performed in private setting</w:t>
            </w:r>
          </w:p>
        </w:tc>
        <w:tc>
          <w:tcPr>
            <w:tcW w:w="1112" w:type="dxa"/>
            <w:tcMar>
              <w:top w:w="0" w:type="dxa"/>
              <w:left w:w="108" w:type="dxa"/>
              <w:bottom w:w="0" w:type="dxa"/>
              <w:right w:w="108" w:type="dxa"/>
            </w:tcMar>
          </w:tcPr>
          <w:p w14:paraId="69D2F7B2" w14:textId="76746E13" w:rsidR="00D725BD" w:rsidRPr="003B4C2A" w:rsidRDefault="00D725BD" w:rsidP="009449D1">
            <w:pPr>
              <w:spacing w:before="0" w:after="0"/>
              <w:rPr>
                <w:color w:val="4F81BD" w:themeColor="accent1"/>
              </w:rPr>
            </w:pPr>
            <w:r w:rsidRPr="003B4C2A">
              <w:rPr>
                <w:color w:val="4F81BD" w:themeColor="accent1"/>
              </w:rPr>
              <w:t>38.6%</w:t>
            </w:r>
          </w:p>
        </w:tc>
        <w:tc>
          <w:tcPr>
            <w:tcW w:w="1244" w:type="dxa"/>
          </w:tcPr>
          <w:p w14:paraId="5D75556F" w14:textId="4C729F16" w:rsidR="00D725BD" w:rsidRPr="003B4C2A" w:rsidRDefault="00D725BD" w:rsidP="009449D1">
            <w:pPr>
              <w:spacing w:before="0" w:after="0"/>
              <w:rPr>
                <w:color w:val="4F81BD" w:themeColor="accent1"/>
              </w:rPr>
            </w:pPr>
            <w:r w:rsidRPr="003B4C2A">
              <w:rPr>
                <w:color w:val="4F81BD" w:themeColor="accent1"/>
              </w:rPr>
              <w:t>I/J</w:t>
            </w:r>
          </w:p>
        </w:tc>
      </w:tr>
    </w:tbl>
    <w:p w14:paraId="21BF02E2" w14:textId="77777777" w:rsidR="00264DF0" w:rsidRPr="003B4C2A" w:rsidRDefault="00264DF0" w:rsidP="00264DF0">
      <w:pPr>
        <w:pStyle w:val="Tablenotes"/>
        <w:ind w:left="425"/>
        <w:rPr>
          <w:color w:val="4F81BD" w:themeColor="accent1"/>
        </w:rPr>
      </w:pPr>
      <w:proofErr w:type="gramStart"/>
      <w:r w:rsidRPr="003B4C2A">
        <w:rPr>
          <w:color w:val="4F81BD" w:themeColor="accent1"/>
          <w:vertAlign w:val="superscript"/>
        </w:rPr>
        <w:t>a</w:t>
      </w:r>
      <w:proofErr w:type="gramEnd"/>
      <w:r w:rsidRPr="003B4C2A">
        <w:rPr>
          <w:color w:val="4F81BD" w:themeColor="accent1"/>
        </w:rPr>
        <w:t xml:space="preserve"> AIHW: Procedure data cubes (ACHI 9th </w:t>
      </w:r>
      <w:proofErr w:type="spellStart"/>
      <w:r w:rsidRPr="003B4C2A">
        <w:rPr>
          <w:color w:val="4F81BD" w:themeColor="accent1"/>
        </w:rPr>
        <w:t>ed</w:t>
      </w:r>
      <w:proofErr w:type="spellEnd"/>
      <w:r w:rsidRPr="003B4C2A">
        <w:rPr>
          <w:color w:val="4F81BD" w:themeColor="accent1"/>
        </w:rPr>
        <w:t>): linearly extrapolated out to 2017</w:t>
      </w:r>
    </w:p>
    <w:p w14:paraId="37DE674D" w14:textId="77777777" w:rsidR="00264DF0" w:rsidRPr="003B4C2A" w:rsidRDefault="00264DF0" w:rsidP="00264DF0">
      <w:pPr>
        <w:pStyle w:val="Tablenotes"/>
        <w:ind w:left="425"/>
        <w:rPr>
          <w:color w:val="4F81BD" w:themeColor="accent1"/>
        </w:rPr>
      </w:pPr>
      <w:proofErr w:type="gramStart"/>
      <w:r w:rsidRPr="003B4C2A">
        <w:rPr>
          <w:color w:val="4F81BD" w:themeColor="accent1"/>
          <w:vertAlign w:val="superscript"/>
        </w:rPr>
        <w:t>b</w:t>
      </w:r>
      <w:proofErr w:type="gramEnd"/>
      <w:r w:rsidRPr="003B4C2A">
        <w:rPr>
          <w:color w:val="4F81BD" w:themeColor="accent1"/>
        </w:rPr>
        <w:t xml:space="preserve"> Medicare statistics: http://medicarestatistics.humanservices.gov.au/statistics/pbs_item.jsp</w:t>
      </w:r>
    </w:p>
    <w:p w14:paraId="3945392E" w14:textId="323D83B2" w:rsidR="00D725BD" w:rsidRPr="003B4C2A" w:rsidRDefault="00D725BD" w:rsidP="002978F1">
      <w:pPr>
        <w:ind w:left="426"/>
        <w:rPr>
          <w:color w:val="4F81BD" w:themeColor="accent1"/>
          <w:szCs w:val="20"/>
        </w:rPr>
      </w:pPr>
      <w:r w:rsidRPr="003B4C2A">
        <w:rPr>
          <w:color w:val="4F81BD" w:themeColor="accent1"/>
          <w:szCs w:val="20"/>
        </w:rPr>
        <w:t>Applying this distribution, 38.3%, and current FDD market share, 25%, to 2019 endovascular occlusion procedure estimates results in 168 FDD procedures being performed in a private setting</w:t>
      </w:r>
      <w:r w:rsidR="00EA6E11" w:rsidRPr="003B4C2A">
        <w:rPr>
          <w:color w:val="4F81BD" w:themeColor="accent1"/>
          <w:szCs w:val="20"/>
        </w:rPr>
        <w:t xml:space="preserve"> in Year 1</w:t>
      </w:r>
      <w:r w:rsidRPr="003B4C2A">
        <w:rPr>
          <w:color w:val="4F81BD" w:themeColor="accent1"/>
          <w:szCs w:val="20"/>
        </w:rPr>
        <w:t xml:space="preserve">, </w:t>
      </w:r>
      <w:r w:rsidRPr="003B4C2A">
        <w:rPr>
          <w:color w:val="4F81BD" w:themeColor="accent1"/>
          <w:szCs w:val="20"/>
        </w:rPr>
        <w:fldChar w:fldCharType="begin"/>
      </w:r>
      <w:r w:rsidRPr="003B4C2A">
        <w:rPr>
          <w:color w:val="4F81BD" w:themeColor="accent1"/>
          <w:szCs w:val="20"/>
        </w:rPr>
        <w:instrText xml:space="preserve"> REF _Ref517201029 \h </w:instrText>
      </w:r>
      <w:r w:rsidRPr="003B4C2A">
        <w:rPr>
          <w:color w:val="4F81BD" w:themeColor="accent1"/>
          <w:szCs w:val="20"/>
        </w:rPr>
      </w:r>
      <w:r w:rsidRPr="003B4C2A">
        <w:rPr>
          <w:color w:val="4F81BD" w:themeColor="accent1"/>
          <w:szCs w:val="20"/>
        </w:rPr>
        <w:fldChar w:fldCharType="separate"/>
      </w:r>
      <w:r w:rsidRPr="003B4C2A">
        <w:rPr>
          <w:color w:val="4F81BD" w:themeColor="accent1"/>
        </w:rPr>
        <w:t xml:space="preserve">Table </w:t>
      </w:r>
      <w:r w:rsidRPr="003B4C2A">
        <w:rPr>
          <w:noProof/>
          <w:color w:val="4F81BD" w:themeColor="accent1"/>
        </w:rPr>
        <w:t>7</w:t>
      </w:r>
      <w:r w:rsidRPr="003B4C2A">
        <w:rPr>
          <w:color w:val="4F81BD" w:themeColor="accent1"/>
          <w:szCs w:val="20"/>
        </w:rPr>
        <w:fldChar w:fldCharType="end"/>
      </w:r>
      <w:r w:rsidRPr="003B4C2A">
        <w:rPr>
          <w:color w:val="4F81BD" w:themeColor="accent1"/>
          <w:szCs w:val="20"/>
        </w:rPr>
        <w:t xml:space="preserve">. </w:t>
      </w:r>
      <w:r w:rsidR="00EA6E11" w:rsidRPr="003B4C2A">
        <w:rPr>
          <w:color w:val="4F81BD" w:themeColor="accent1"/>
          <w:szCs w:val="20"/>
        </w:rPr>
        <w:t>FDD m</w:t>
      </w:r>
      <w:r w:rsidRPr="003B4C2A">
        <w:rPr>
          <w:color w:val="4F81BD" w:themeColor="accent1"/>
          <w:szCs w:val="20"/>
        </w:rPr>
        <w:t xml:space="preserve">arket share </w:t>
      </w:r>
      <w:r w:rsidR="00EA6E11" w:rsidRPr="003B4C2A">
        <w:rPr>
          <w:color w:val="4F81BD" w:themeColor="accent1"/>
          <w:szCs w:val="20"/>
        </w:rPr>
        <w:t xml:space="preserve">in a private setting </w:t>
      </w:r>
      <w:r w:rsidRPr="003B4C2A">
        <w:rPr>
          <w:color w:val="4F81BD" w:themeColor="accent1"/>
          <w:szCs w:val="20"/>
        </w:rPr>
        <w:t>is expected to increase through the substitution of coiling and clipping procedures. In Year 1, it is estimated that 20% of MBS coiling and clipping procedures will be substituted by FDD</w:t>
      </w:r>
      <w:r w:rsidR="009449D1" w:rsidRPr="003B4C2A">
        <w:rPr>
          <w:color w:val="4F81BD" w:themeColor="accent1"/>
          <w:szCs w:val="20"/>
        </w:rPr>
        <w:t xml:space="preserve"> due </w:t>
      </w:r>
      <w:r w:rsidR="00730E5B" w:rsidRPr="003B4C2A">
        <w:rPr>
          <w:color w:val="4F81BD" w:themeColor="accent1"/>
          <w:szCs w:val="20"/>
        </w:rPr>
        <w:t xml:space="preserve">the availability </w:t>
      </w:r>
      <w:r w:rsidR="00EA6E11" w:rsidRPr="003B4C2A">
        <w:rPr>
          <w:color w:val="4F81BD" w:themeColor="accent1"/>
          <w:szCs w:val="20"/>
        </w:rPr>
        <w:t>of reimbursement and superior effectiveness</w:t>
      </w:r>
      <w:r w:rsidR="009449D1" w:rsidRPr="003B4C2A">
        <w:rPr>
          <w:color w:val="4F81BD" w:themeColor="accent1"/>
          <w:szCs w:val="20"/>
        </w:rPr>
        <w:t>, resulting in an additional 178 FDD procedures provided in a private setting</w:t>
      </w:r>
      <w:r w:rsidRPr="003B4C2A">
        <w:rPr>
          <w:color w:val="4F81BD" w:themeColor="accent1"/>
          <w:szCs w:val="20"/>
        </w:rPr>
        <w:t>.</w:t>
      </w:r>
      <w:r w:rsidR="009449D1" w:rsidRPr="003B4C2A">
        <w:rPr>
          <w:color w:val="4F81BD" w:themeColor="accent1"/>
          <w:szCs w:val="20"/>
        </w:rPr>
        <w:t xml:space="preserve"> </w:t>
      </w:r>
      <w:r w:rsidR="00A72581" w:rsidRPr="003B4C2A">
        <w:rPr>
          <w:color w:val="4F81BD" w:themeColor="accent1"/>
          <w:szCs w:val="20"/>
        </w:rPr>
        <w:t>Substitution is expected to primarily comprise treatment of aneurysms ≥ 10 mm and aneurysms &lt;</w:t>
      </w:r>
      <w:r w:rsidR="00154379" w:rsidRPr="003B4C2A">
        <w:rPr>
          <w:color w:val="4F81BD" w:themeColor="accent1"/>
          <w:szCs w:val="20"/>
        </w:rPr>
        <w:t xml:space="preserve"> </w:t>
      </w:r>
      <w:r w:rsidR="00A72581" w:rsidRPr="003B4C2A">
        <w:rPr>
          <w:color w:val="4F81BD" w:themeColor="accent1"/>
          <w:szCs w:val="20"/>
        </w:rPr>
        <w:t xml:space="preserve">10 mm with complex anatomy (wide neck, fusiform, dysplastic). </w:t>
      </w:r>
      <w:r w:rsidR="009449D1" w:rsidRPr="003B4C2A">
        <w:rPr>
          <w:color w:val="4F81BD" w:themeColor="accent1"/>
          <w:szCs w:val="20"/>
        </w:rPr>
        <w:t xml:space="preserve">As a result, </w:t>
      </w:r>
      <w:r w:rsidR="00EA6E11" w:rsidRPr="003B4C2A">
        <w:rPr>
          <w:color w:val="4F81BD" w:themeColor="accent1"/>
          <w:szCs w:val="20"/>
        </w:rPr>
        <w:t>it</w:t>
      </w:r>
      <w:r w:rsidR="009449D1" w:rsidRPr="003B4C2A">
        <w:rPr>
          <w:color w:val="4F81BD" w:themeColor="accent1"/>
          <w:szCs w:val="20"/>
        </w:rPr>
        <w:t xml:space="preserve"> is estimated that the proposed medical service will be utilised </w:t>
      </w:r>
      <w:r w:rsidR="00EA6E11" w:rsidRPr="003B4C2A">
        <w:rPr>
          <w:color w:val="4F81BD" w:themeColor="accent1"/>
          <w:szCs w:val="20"/>
        </w:rPr>
        <w:t xml:space="preserve">privately </w:t>
      </w:r>
      <w:r w:rsidR="009449D1" w:rsidRPr="003B4C2A">
        <w:rPr>
          <w:color w:val="4F81BD" w:themeColor="accent1"/>
          <w:szCs w:val="20"/>
        </w:rPr>
        <w:t>346 times in Year 1 of listing.</w:t>
      </w:r>
    </w:p>
    <w:p w14:paraId="4676F317" w14:textId="413580FE" w:rsidR="002978F1" w:rsidRDefault="002978F1" w:rsidP="00A61A6B">
      <w:pPr>
        <w:pStyle w:val="Caption"/>
        <w:keepNext/>
        <w:keepLines/>
        <w:widowControl w:val="0"/>
        <w:ind w:firstLine="426"/>
        <w:rPr>
          <w:noProof/>
        </w:rPr>
      </w:pPr>
      <w:bookmarkStart w:id="21" w:name="_Ref517201029"/>
      <w:r>
        <w:lastRenderedPageBreak/>
        <w:t xml:space="preserve">Table </w:t>
      </w:r>
      <w:r w:rsidR="00F64073">
        <w:rPr>
          <w:noProof/>
        </w:rPr>
        <w:fldChar w:fldCharType="begin"/>
      </w:r>
      <w:r w:rsidR="00F64073">
        <w:rPr>
          <w:noProof/>
        </w:rPr>
        <w:instrText xml:space="preserve"> SEQ Table \* ARABIC </w:instrText>
      </w:r>
      <w:r w:rsidR="00F64073">
        <w:rPr>
          <w:noProof/>
        </w:rPr>
        <w:fldChar w:fldCharType="separate"/>
      </w:r>
      <w:r w:rsidR="00CA2489">
        <w:rPr>
          <w:noProof/>
        </w:rPr>
        <w:t>7</w:t>
      </w:r>
      <w:r w:rsidR="00F64073">
        <w:rPr>
          <w:noProof/>
        </w:rPr>
        <w:fldChar w:fldCharType="end"/>
      </w:r>
      <w:bookmarkEnd w:id="21"/>
      <w:r>
        <w:rPr>
          <w:noProof/>
        </w:rPr>
        <w:tab/>
        <w:t xml:space="preserve">Estimated utilisation of endovascular FDD insertion in Year 1 (2019) </w:t>
      </w:r>
    </w:p>
    <w:tbl>
      <w:tblPr>
        <w:tblW w:w="8226"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4820"/>
        <w:gridCol w:w="1417"/>
        <w:gridCol w:w="1276"/>
      </w:tblGrid>
      <w:tr w:rsidR="00D725BD" w:rsidRPr="003B4C2A" w14:paraId="1AC67B09" w14:textId="1B041260" w:rsidTr="009449D1">
        <w:tc>
          <w:tcPr>
            <w:tcW w:w="713" w:type="dxa"/>
            <w:tcBorders>
              <w:bottom w:val="single" w:sz="4" w:space="0" w:color="auto"/>
            </w:tcBorders>
          </w:tcPr>
          <w:p w14:paraId="00A83162" w14:textId="6B4943C4" w:rsidR="00D725BD" w:rsidRPr="003B4C2A" w:rsidRDefault="00D725BD" w:rsidP="00A61A6B">
            <w:pPr>
              <w:keepNext/>
              <w:keepLines/>
              <w:widowControl w:val="0"/>
              <w:spacing w:before="0" w:after="0"/>
              <w:rPr>
                <w:b/>
                <w:color w:val="4F81BD" w:themeColor="accent1"/>
              </w:rPr>
            </w:pPr>
            <w:r w:rsidRPr="003B4C2A">
              <w:rPr>
                <w:b/>
                <w:color w:val="4F81BD" w:themeColor="accent1"/>
              </w:rPr>
              <w:t>Row</w:t>
            </w:r>
          </w:p>
        </w:tc>
        <w:tc>
          <w:tcPr>
            <w:tcW w:w="4820" w:type="dxa"/>
            <w:tcBorders>
              <w:bottom w:val="single" w:sz="4" w:space="0" w:color="auto"/>
            </w:tcBorders>
            <w:tcMar>
              <w:top w:w="0" w:type="dxa"/>
              <w:left w:w="108" w:type="dxa"/>
              <w:bottom w:w="0" w:type="dxa"/>
              <w:right w:w="108" w:type="dxa"/>
            </w:tcMar>
            <w:hideMark/>
          </w:tcPr>
          <w:p w14:paraId="00593EC3" w14:textId="24162578" w:rsidR="00D725BD" w:rsidRPr="003B4C2A" w:rsidRDefault="00D725BD" w:rsidP="00A61A6B">
            <w:pPr>
              <w:keepNext/>
              <w:keepLines/>
              <w:widowControl w:val="0"/>
              <w:spacing w:before="0" w:after="0"/>
              <w:rPr>
                <w:b/>
                <w:color w:val="4F81BD" w:themeColor="accent1"/>
              </w:rPr>
            </w:pPr>
            <w:r w:rsidRPr="003B4C2A">
              <w:rPr>
                <w:b/>
                <w:color w:val="4F81BD" w:themeColor="accent1"/>
              </w:rPr>
              <w:t>Parameter</w:t>
            </w:r>
          </w:p>
        </w:tc>
        <w:tc>
          <w:tcPr>
            <w:tcW w:w="1417" w:type="dxa"/>
            <w:tcBorders>
              <w:bottom w:val="single" w:sz="4" w:space="0" w:color="auto"/>
            </w:tcBorders>
            <w:tcMar>
              <w:top w:w="0" w:type="dxa"/>
              <w:left w:w="108" w:type="dxa"/>
              <w:bottom w:w="0" w:type="dxa"/>
              <w:right w:w="108" w:type="dxa"/>
            </w:tcMar>
            <w:hideMark/>
          </w:tcPr>
          <w:p w14:paraId="7AC96221" w14:textId="77777777" w:rsidR="00D725BD" w:rsidRPr="003B4C2A" w:rsidRDefault="00D725BD" w:rsidP="00A61A6B">
            <w:pPr>
              <w:keepNext/>
              <w:keepLines/>
              <w:widowControl w:val="0"/>
              <w:spacing w:before="0" w:after="0"/>
              <w:rPr>
                <w:b/>
                <w:color w:val="4F81BD" w:themeColor="accent1"/>
              </w:rPr>
            </w:pPr>
            <w:r w:rsidRPr="003B4C2A">
              <w:rPr>
                <w:b/>
                <w:color w:val="4F81BD" w:themeColor="accent1"/>
              </w:rPr>
              <w:t>Year 1 (2019)</w:t>
            </w:r>
          </w:p>
        </w:tc>
        <w:tc>
          <w:tcPr>
            <w:tcW w:w="1276" w:type="dxa"/>
            <w:tcBorders>
              <w:bottom w:val="single" w:sz="4" w:space="0" w:color="auto"/>
            </w:tcBorders>
          </w:tcPr>
          <w:p w14:paraId="0641B0FD" w14:textId="36B68DFA" w:rsidR="00D725BD" w:rsidRPr="003B4C2A" w:rsidRDefault="00D725BD" w:rsidP="00A61A6B">
            <w:pPr>
              <w:keepNext/>
              <w:keepLines/>
              <w:widowControl w:val="0"/>
              <w:spacing w:before="0" w:after="0"/>
              <w:rPr>
                <w:b/>
                <w:color w:val="4F81BD" w:themeColor="accent1"/>
              </w:rPr>
            </w:pPr>
            <w:r w:rsidRPr="003B4C2A">
              <w:rPr>
                <w:b/>
                <w:color w:val="4F81BD" w:themeColor="accent1"/>
              </w:rPr>
              <w:t>Source</w:t>
            </w:r>
          </w:p>
        </w:tc>
      </w:tr>
      <w:tr w:rsidR="00D725BD" w:rsidRPr="003B4C2A" w14:paraId="37D6E8DD" w14:textId="212F91A9" w:rsidTr="009449D1">
        <w:trPr>
          <w:trHeight w:val="201"/>
        </w:trPr>
        <w:tc>
          <w:tcPr>
            <w:tcW w:w="713" w:type="dxa"/>
            <w:tcBorders>
              <w:right w:val="nil"/>
            </w:tcBorders>
          </w:tcPr>
          <w:p w14:paraId="427A91C0" w14:textId="0EBADD9B" w:rsidR="00D725BD" w:rsidRPr="003B4C2A" w:rsidRDefault="00D725BD" w:rsidP="00A61A6B">
            <w:pPr>
              <w:keepNext/>
              <w:keepLines/>
              <w:widowControl w:val="0"/>
              <w:spacing w:before="0" w:after="0"/>
              <w:rPr>
                <w:color w:val="4F81BD" w:themeColor="accent1"/>
              </w:rPr>
            </w:pPr>
          </w:p>
        </w:tc>
        <w:tc>
          <w:tcPr>
            <w:tcW w:w="4820" w:type="dxa"/>
            <w:tcBorders>
              <w:left w:val="nil"/>
              <w:right w:val="nil"/>
            </w:tcBorders>
            <w:tcMar>
              <w:top w:w="0" w:type="dxa"/>
              <w:left w:w="108" w:type="dxa"/>
              <w:bottom w:w="0" w:type="dxa"/>
              <w:right w:w="108" w:type="dxa"/>
            </w:tcMar>
          </w:tcPr>
          <w:p w14:paraId="77568302" w14:textId="4B6B4561" w:rsidR="00D725BD" w:rsidRPr="003B4C2A" w:rsidRDefault="009449D1" w:rsidP="00A61A6B">
            <w:pPr>
              <w:keepNext/>
              <w:keepLines/>
              <w:widowControl w:val="0"/>
              <w:spacing w:before="0" w:after="0"/>
              <w:rPr>
                <w:color w:val="4F81BD" w:themeColor="accent1"/>
              </w:rPr>
            </w:pPr>
            <w:r w:rsidRPr="003B4C2A">
              <w:rPr>
                <w:color w:val="4F81BD" w:themeColor="accent1"/>
              </w:rPr>
              <w:t>Utilisation based on current market share</w:t>
            </w:r>
            <w:r w:rsidR="00D725BD" w:rsidRPr="003B4C2A">
              <w:rPr>
                <w:color w:val="4F81BD" w:themeColor="accent1"/>
              </w:rPr>
              <w:t xml:space="preserve"> </w:t>
            </w:r>
          </w:p>
        </w:tc>
        <w:tc>
          <w:tcPr>
            <w:tcW w:w="1417" w:type="dxa"/>
            <w:tcBorders>
              <w:left w:val="nil"/>
              <w:right w:val="nil"/>
            </w:tcBorders>
            <w:tcMar>
              <w:top w:w="0" w:type="dxa"/>
              <w:left w:w="108" w:type="dxa"/>
              <w:bottom w:w="0" w:type="dxa"/>
              <w:right w:w="108" w:type="dxa"/>
            </w:tcMar>
          </w:tcPr>
          <w:p w14:paraId="4CECE9EC" w14:textId="77777777" w:rsidR="00D725BD" w:rsidRPr="003B4C2A" w:rsidRDefault="00D725BD" w:rsidP="00A61A6B">
            <w:pPr>
              <w:keepNext/>
              <w:keepLines/>
              <w:widowControl w:val="0"/>
              <w:spacing w:before="0" w:after="0"/>
              <w:rPr>
                <w:color w:val="4F81BD" w:themeColor="accent1"/>
              </w:rPr>
            </w:pPr>
          </w:p>
        </w:tc>
        <w:tc>
          <w:tcPr>
            <w:tcW w:w="1276" w:type="dxa"/>
            <w:tcBorders>
              <w:left w:val="nil"/>
            </w:tcBorders>
          </w:tcPr>
          <w:p w14:paraId="38F3B944" w14:textId="77777777" w:rsidR="00D725BD" w:rsidRPr="003B4C2A" w:rsidRDefault="00D725BD" w:rsidP="00A61A6B">
            <w:pPr>
              <w:keepNext/>
              <w:keepLines/>
              <w:widowControl w:val="0"/>
              <w:spacing w:before="0" w:after="0"/>
              <w:rPr>
                <w:color w:val="4F81BD" w:themeColor="accent1"/>
              </w:rPr>
            </w:pPr>
          </w:p>
        </w:tc>
      </w:tr>
      <w:tr w:rsidR="00D725BD" w:rsidRPr="003B4C2A" w14:paraId="1382ED22" w14:textId="79173A5E" w:rsidTr="00D725BD">
        <w:trPr>
          <w:trHeight w:val="201"/>
        </w:trPr>
        <w:tc>
          <w:tcPr>
            <w:tcW w:w="713" w:type="dxa"/>
          </w:tcPr>
          <w:p w14:paraId="0697DDD9" w14:textId="31D431B1" w:rsidR="00D725BD" w:rsidRPr="003B4C2A" w:rsidRDefault="00D725BD" w:rsidP="00A61A6B">
            <w:pPr>
              <w:keepNext/>
              <w:keepLines/>
              <w:widowControl w:val="0"/>
              <w:spacing w:before="0" w:after="0"/>
              <w:rPr>
                <w:color w:val="4F81BD" w:themeColor="accent1"/>
              </w:rPr>
            </w:pPr>
            <w:r w:rsidRPr="003B4C2A">
              <w:rPr>
                <w:color w:val="4F81BD" w:themeColor="accent1"/>
              </w:rPr>
              <w:t>A</w:t>
            </w:r>
          </w:p>
        </w:tc>
        <w:tc>
          <w:tcPr>
            <w:tcW w:w="4820" w:type="dxa"/>
            <w:tcMar>
              <w:top w:w="0" w:type="dxa"/>
              <w:left w:w="108" w:type="dxa"/>
              <w:bottom w:w="0" w:type="dxa"/>
              <w:right w:w="108" w:type="dxa"/>
            </w:tcMar>
          </w:tcPr>
          <w:p w14:paraId="4B6AD179" w14:textId="73365641" w:rsidR="00D725BD" w:rsidRPr="003B4C2A" w:rsidRDefault="00D725BD" w:rsidP="00A61A6B">
            <w:pPr>
              <w:keepNext/>
              <w:keepLines/>
              <w:widowControl w:val="0"/>
              <w:spacing w:before="0" w:after="0"/>
              <w:rPr>
                <w:color w:val="4F81BD" w:themeColor="accent1"/>
              </w:rPr>
            </w:pPr>
            <w:r w:rsidRPr="003B4C2A">
              <w:rPr>
                <w:color w:val="4F81BD" w:themeColor="accent1"/>
              </w:rPr>
              <w:t>Total endovascular occlusion procedures</w:t>
            </w:r>
          </w:p>
        </w:tc>
        <w:tc>
          <w:tcPr>
            <w:tcW w:w="1417" w:type="dxa"/>
            <w:tcMar>
              <w:top w:w="0" w:type="dxa"/>
              <w:left w:w="108" w:type="dxa"/>
              <w:bottom w:w="0" w:type="dxa"/>
              <w:right w:w="108" w:type="dxa"/>
            </w:tcMar>
          </w:tcPr>
          <w:p w14:paraId="5BF2FA8D" w14:textId="2C5D1970" w:rsidR="00D725BD" w:rsidRPr="003B4C2A" w:rsidRDefault="00D725BD" w:rsidP="00A61A6B">
            <w:pPr>
              <w:keepNext/>
              <w:keepLines/>
              <w:widowControl w:val="0"/>
              <w:spacing w:before="0" w:after="0"/>
              <w:rPr>
                <w:color w:val="4F81BD" w:themeColor="accent1"/>
              </w:rPr>
            </w:pPr>
            <w:r w:rsidRPr="003B4C2A">
              <w:rPr>
                <w:color w:val="4F81BD" w:themeColor="accent1"/>
              </w:rPr>
              <w:t>1,776</w:t>
            </w:r>
          </w:p>
        </w:tc>
        <w:tc>
          <w:tcPr>
            <w:tcW w:w="1276" w:type="dxa"/>
          </w:tcPr>
          <w:p w14:paraId="0B273218" w14:textId="14719101" w:rsidR="00D725BD" w:rsidRPr="003B4C2A" w:rsidRDefault="00D725BD" w:rsidP="00A61A6B">
            <w:pPr>
              <w:keepNext/>
              <w:keepLines/>
              <w:widowControl w:val="0"/>
              <w:spacing w:before="0" w:after="0"/>
              <w:rPr>
                <w:color w:val="4F81BD" w:themeColor="accent1"/>
              </w:rPr>
            </w:pPr>
            <w:proofErr w:type="spellStart"/>
            <w:r w:rsidRPr="003B4C2A">
              <w:rPr>
                <w:color w:val="4F81BD" w:themeColor="accent1"/>
              </w:rPr>
              <w:t>AIHW</w:t>
            </w:r>
            <w:r w:rsidRPr="003B4C2A">
              <w:rPr>
                <w:color w:val="4F81BD" w:themeColor="accent1"/>
                <w:vertAlign w:val="superscript"/>
              </w:rPr>
              <w:t>a</w:t>
            </w:r>
            <w:proofErr w:type="spellEnd"/>
          </w:p>
        </w:tc>
      </w:tr>
      <w:tr w:rsidR="00D725BD" w:rsidRPr="003B4C2A" w14:paraId="2FB5D3B3" w14:textId="79B985A0" w:rsidTr="00D725BD">
        <w:tc>
          <w:tcPr>
            <w:tcW w:w="713" w:type="dxa"/>
          </w:tcPr>
          <w:p w14:paraId="5FFEFC93" w14:textId="3483177D" w:rsidR="00D725BD" w:rsidRPr="003B4C2A" w:rsidRDefault="00D725BD" w:rsidP="00A61A6B">
            <w:pPr>
              <w:keepNext/>
              <w:keepLines/>
              <w:widowControl w:val="0"/>
              <w:spacing w:before="0" w:after="0"/>
              <w:rPr>
                <w:color w:val="4F81BD" w:themeColor="accent1"/>
              </w:rPr>
            </w:pPr>
            <w:r w:rsidRPr="003B4C2A">
              <w:rPr>
                <w:color w:val="4F81BD" w:themeColor="accent1"/>
              </w:rPr>
              <w:t>B</w:t>
            </w:r>
          </w:p>
        </w:tc>
        <w:tc>
          <w:tcPr>
            <w:tcW w:w="4820" w:type="dxa"/>
            <w:tcMar>
              <w:top w:w="0" w:type="dxa"/>
              <w:left w:w="108" w:type="dxa"/>
              <w:bottom w:w="0" w:type="dxa"/>
              <w:right w:w="108" w:type="dxa"/>
            </w:tcMar>
          </w:tcPr>
          <w:p w14:paraId="20CFF923" w14:textId="0B268668" w:rsidR="00D725BD" w:rsidRPr="003B4C2A" w:rsidRDefault="00D725BD" w:rsidP="00A61A6B">
            <w:pPr>
              <w:keepNext/>
              <w:keepLines/>
              <w:widowControl w:val="0"/>
              <w:spacing w:before="0" w:after="0"/>
              <w:rPr>
                <w:color w:val="4F81BD" w:themeColor="accent1"/>
              </w:rPr>
            </w:pPr>
            <w:r w:rsidRPr="003B4C2A">
              <w:rPr>
                <w:color w:val="4F81BD" w:themeColor="accent1"/>
              </w:rPr>
              <w:t>% of endovascular occlusion procedures, FDD</w:t>
            </w:r>
          </w:p>
        </w:tc>
        <w:tc>
          <w:tcPr>
            <w:tcW w:w="1417" w:type="dxa"/>
            <w:tcMar>
              <w:top w:w="0" w:type="dxa"/>
              <w:left w:w="108" w:type="dxa"/>
              <w:bottom w:w="0" w:type="dxa"/>
              <w:right w:w="108" w:type="dxa"/>
            </w:tcMar>
          </w:tcPr>
          <w:p w14:paraId="659567A3" w14:textId="7990D4EA" w:rsidR="00D725BD" w:rsidRPr="003B4C2A" w:rsidRDefault="00D725BD" w:rsidP="00A61A6B">
            <w:pPr>
              <w:keepNext/>
              <w:keepLines/>
              <w:widowControl w:val="0"/>
              <w:spacing w:before="0" w:after="0"/>
              <w:rPr>
                <w:color w:val="4F81BD" w:themeColor="accent1"/>
              </w:rPr>
            </w:pPr>
            <w:r w:rsidRPr="003B4C2A">
              <w:rPr>
                <w:color w:val="4F81BD" w:themeColor="accent1"/>
              </w:rPr>
              <w:t>25%</w:t>
            </w:r>
          </w:p>
        </w:tc>
        <w:tc>
          <w:tcPr>
            <w:tcW w:w="1276" w:type="dxa"/>
          </w:tcPr>
          <w:p w14:paraId="5D485331" w14:textId="5A281A3A" w:rsidR="00D725BD" w:rsidRPr="003B4C2A" w:rsidRDefault="009449D1" w:rsidP="00A61A6B">
            <w:pPr>
              <w:keepNext/>
              <w:keepLines/>
              <w:widowControl w:val="0"/>
              <w:spacing w:before="0" w:after="0"/>
              <w:rPr>
                <w:color w:val="4F81BD" w:themeColor="accent1"/>
              </w:rPr>
            </w:pPr>
            <w:r w:rsidRPr="003B4C2A">
              <w:rPr>
                <w:color w:val="4F81BD" w:themeColor="accent1"/>
              </w:rPr>
              <w:t>400/1,628</w:t>
            </w:r>
          </w:p>
        </w:tc>
      </w:tr>
      <w:tr w:rsidR="00D725BD" w:rsidRPr="003B4C2A" w14:paraId="7C5D0AD2" w14:textId="3AAC799C" w:rsidTr="00D725BD">
        <w:tc>
          <w:tcPr>
            <w:tcW w:w="713" w:type="dxa"/>
          </w:tcPr>
          <w:p w14:paraId="4B55C7EE" w14:textId="2428D521" w:rsidR="00D725BD" w:rsidRPr="003B4C2A" w:rsidRDefault="00D725BD" w:rsidP="00A61A6B">
            <w:pPr>
              <w:keepNext/>
              <w:keepLines/>
              <w:widowControl w:val="0"/>
              <w:spacing w:before="0" w:after="0"/>
              <w:rPr>
                <w:color w:val="4F81BD" w:themeColor="accent1"/>
              </w:rPr>
            </w:pPr>
            <w:r w:rsidRPr="003B4C2A">
              <w:rPr>
                <w:color w:val="4F81BD" w:themeColor="accent1"/>
              </w:rPr>
              <w:t>C</w:t>
            </w:r>
          </w:p>
        </w:tc>
        <w:tc>
          <w:tcPr>
            <w:tcW w:w="4820" w:type="dxa"/>
            <w:tcMar>
              <w:top w:w="0" w:type="dxa"/>
              <w:left w:w="108" w:type="dxa"/>
              <w:bottom w:w="0" w:type="dxa"/>
              <w:right w:w="108" w:type="dxa"/>
            </w:tcMar>
          </w:tcPr>
          <w:p w14:paraId="41DB38D6" w14:textId="542C8777" w:rsidR="00D725BD" w:rsidRPr="003B4C2A" w:rsidRDefault="00D725BD" w:rsidP="00A61A6B">
            <w:pPr>
              <w:keepNext/>
              <w:keepLines/>
              <w:widowControl w:val="0"/>
              <w:spacing w:before="0" w:after="0"/>
              <w:rPr>
                <w:color w:val="4F81BD" w:themeColor="accent1"/>
              </w:rPr>
            </w:pPr>
            <w:r w:rsidRPr="003B4C2A">
              <w:rPr>
                <w:color w:val="4F81BD" w:themeColor="accent1"/>
              </w:rPr>
              <w:t>FDD procedures based on current utilisation</w:t>
            </w:r>
          </w:p>
        </w:tc>
        <w:tc>
          <w:tcPr>
            <w:tcW w:w="1417" w:type="dxa"/>
            <w:tcMar>
              <w:top w:w="0" w:type="dxa"/>
              <w:left w:w="108" w:type="dxa"/>
              <w:bottom w:w="0" w:type="dxa"/>
              <w:right w:w="108" w:type="dxa"/>
            </w:tcMar>
          </w:tcPr>
          <w:p w14:paraId="12204E00" w14:textId="03BB0E93" w:rsidR="00D725BD" w:rsidRPr="003B4C2A" w:rsidRDefault="00D725BD" w:rsidP="00A61A6B">
            <w:pPr>
              <w:keepNext/>
              <w:keepLines/>
              <w:widowControl w:val="0"/>
              <w:spacing w:before="0" w:after="0"/>
              <w:rPr>
                <w:color w:val="4F81BD" w:themeColor="accent1"/>
              </w:rPr>
            </w:pPr>
            <w:r w:rsidRPr="003B4C2A">
              <w:rPr>
                <w:color w:val="4F81BD" w:themeColor="accent1"/>
              </w:rPr>
              <w:t>436</w:t>
            </w:r>
          </w:p>
        </w:tc>
        <w:tc>
          <w:tcPr>
            <w:tcW w:w="1276" w:type="dxa"/>
          </w:tcPr>
          <w:p w14:paraId="05C2245A" w14:textId="78E76107" w:rsidR="00D725BD" w:rsidRPr="003B4C2A" w:rsidRDefault="009449D1" w:rsidP="00A61A6B">
            <w:pPr>
              <w:keepNext/>
              <w:keepLines/>
              <w:widowControl w:val="0"/>
              <w:spacing w:before="0" w:after="0"/>
              <w:rPr>
                <w:color w:val="4F81BD" w:themeColor="accent1"/>
              </w:rPr>
            </w:pPr>
            <w:r w:rsidRPr="003B4C2A">
              <w:rPr>
                <w:color w:val="4F81BD" w:themeColor="accent1"/>
              </w:rPr>
              <w:t>A*B</w:t>
            </w:r>
          </w:p>
        </w:tc>
      </w:tr>
      <w:tr w:rsidR="00D725BD" w:rsidRPr="003B4C2A" w14:paraId="6A375110" w14:textId="03F93989" w:rsidTr="00D725BD">
        <w:tc>
          <w:tcPr>
            <w:tcW w:w="713" w:type="dxa"/>
          </w:tcPr>
          <w:p w14:paraId="24D374C8" w14:textId="4D8507BD" w:rsidR="00D725BD" w:rsidRPr="003B4C2A" w:rsidRDefault="00D725BD" w:rsidP="00A61A6B">
            <w:pPr>
              <w:keepNext/>
              <w:keepLines/>
              <w:widowControl w:val="0"/>
              <w:spacing w:before="0" w:after="0"/>
              <w:rPr>
                <w:color w:val="4F81BD" w:themeColor="accent1"/>
              </w:rPr>
            </w:pPr>
            <w:r w:rsidRPr="003B4C2A">
              <w:rPr>
                <w:color w:val="4F81BD" w:themeColor="accent1"/>
              </w:rPr>
              <w:t>D</w:t>
            </w:r>
          </w:p>
        </w:tc>
        <w:tc>
          <w:tcPr>
            <w:tcW w:w="4820" w:type="dxa"/>
            <w:tcMar>
              <w:top w:w="0" w:type="dxa"/>
              <w:left w:w="108" w:type="dxa"/>
              <w:bottom w:w="0" w:type="dxa"/>
              <w:right w:w="108" w:type="dxa"/>
            </w:tcMar>
          </w:tcPr>
          <w:p w14:paraId="6D873AB0" w14:textId="34E3DE49" w:rsidR="00D725BD" w:rsidRPr="003B4C2A" w:rsidRDefault="00D725BD" w:rsidP="00A61A6B">
            <w:pPr>
              <w:keepNext/>
              <w:keepLines/>
              <w:widowControl w:val="0"/>
              <w:spacing w:before="0" w:after="0"/>
              <w:rPr>
                <w:color w:val="4F81BD" w:themeColor="accent1"/>
              </w:rPr>
            </w:pPr>
            <w:r w:rsidRPr="003B4C2A">
              <w:rPr>
                <w:color w:val="4F81BD" w:themeColor="accent1"/>
              </w:rPr>
              <w:t>% performed in private setting</w:t>
            </w:r>
          </w:p>
        </w:tc>
        <w:tc>
          <w:tcPr>
            <w:tcW w:w="1417" w:type="dxa"/>
            <w:tcMar>
              <w:top w:w="0" w:type="dxa"/>
              <w:left w:w="108" w:type="dxa"/>
              <w:bottom w:w="0" w:type="dxa"/>
              <w:right w:w="108" w:type="dxa"/>
            </w:tcMar>
          </w:tcPr>
          <w:p w14:paraId="77E368C5" w14:textId="60C16092" w:rsidR="00D725BD" w:rsidRPr="003B4C2A" w:rsidRDefault="00D725BD" w:rsidP="00A61A6B">
            <w:pPr>
              <w:keepNext/>
              <w:keepLines/>
              <w:widowControl w:val="0"/>
              <w:spacing w:before="0" w:after="0"/>
              <w:rPr>
                <w:color w:val="4F81BD" w:themeColor="accent1"/>
              </w:rPr>
            </w:pPr>
            <w:r w:rsidRPr="003B4C2A">
              <w:rPr>
                <w:color w:val="4F81BD" w:themeColor="accent1"/>
              </w:rPr>
              <w:t>38.6%</w:t>
            </w:r>
          </w:p>
        </w:tc>
        <w:tc>
          <w:tcPr>
            <w:tcW w:w="1276" w:type="dxa"/>
          </w:tcPr>
          <w:p w14:paraId="0B20F006" w14:textId="0EC0CD23" w:rsidR="00D725BD" w:rsidRPr="003B4C2A" w:rsidRDefault="009449D1" w:rsidP="00A61A6B">
            <w:pPr>
              <w:keepNext/>
              <w:keepLines/>
              <w:widowControl w:val="0"/>
              <w:spacing w:before="0" w:after="0"/>
              <w:rPr>
                <w:color w:val="4F81BD" w:themeColor="accent1"/>
              </w:rPr>
            </w:pPr>
            <w:r w:rsidRPr="003B4C2A">
              <w:rPr>
                <w:color w:val="4F81BD" w:themeColor="accent1"/>
              </w:rPr>
              <w:fldChar w:fldCharType="begin"/>
            </w:r>
            <w:r w:rsidRPr="003B4C2A">
              <w:rPr>
                <w:color w:val="4F81BD" w:themeColor="accent1"/>
              </w:rPr>
              <w:instrText xml:space="preserve"> REF _Ref517199285 \h </w:instrText>
            </w:r>
            <w:r w:rsidRPr="003B4C2A">
              <w:rPr>
                <w:color w:val="4F81BD" w:themeColor="accent1"/>
              </w:rPr>
            </w:r>
            <w:r w:rsidRPr="003B4C2A">
              <w:rPr>
                <w:color w:val="4F81BD" w:themeColor="accent1"/>
              </w:rPr>
              <w:fldChar w:fldCharType="separate"/>
            </w:r>
            <w:r w:rsidRPr="003B4C2A">
              <w:rPr>
                <w:color w:val="4F81BD" w:themeColor="accent1"/>
              </w:rPr>
              <w:t xml:space="preserve">Table </w:t>
            </w:r>
            <w:r w:rsidRPr="003B4C2A">
              <w:rPr>
                <w:noProof/>
                <w:color w:val="4F81BD" w:themeColor="accent1"/>
              </w:rPr>
              <w:t>6</w:t>
            </w:r>
            <w:r w:rsidRPr="003B4C2A">
              <w:rPr>
                <w:color w:val="4F81BD" w:themeColor="accent1"/>
              </w:rPr>
              <w:fldChar w:fldCharType="end"/>
            </w:r>
          </w:p>
        </w:tc>
      </w:tr>
      <w:tr w:rsidR="00D725BD" w:rsidRPr="003B4C2A" w14:paraId="3CBAC536" w14:textId="09A4D2F3" w:rsidTr="009449D1">
        <w:tc>
          <w:tcPr>
            <w:tcW w:w="713" w:type="dxa"/>
            <w:tcBorders>
              <w:bottom w:val="single" w:sz="4" w:space="0" w:color="auto"/>
            </w:tcBorders>
          </w:tcPr>
          <w:p w14:paraId="64AA18A8" w14:textId="0386B2B5" w:rsidR="00D725BD" w:rsidRPr="003B4C2A" w:rsidRDefault="00D725BD" w:rsidP="00A61A6B">
            <w:pPr>
              <w:keepNext/>
              <w:keepLines/>
              <w:widowControl w:val="0"/>
              <w:spacing w:before="0" w:after="0"/>
              <w:rPr>
                <w:color w:val="4F81BD" w:themeColor="accent1"/>
              </w:rPr>
            </w:pPr>
            <w:r w:rsidRPr="003B4C2A">
              <w:rPr>
                <w:color w:val="4F81BD" w:themeColor="accent1"/>
              </w:rPr>
              <w:t>E</w:t>
            </w:r>
          </w:p>
        </w:tc>
        <w:tc>
          <w:tcPr>
            <w:tcW w:w="4820" w:type="dxa"/>
            <w:tcBorders>
              <w:bottom w:val="single" w:sz="4" w:space="0" w:color="auto"/>
            </w:tcBorders>
            <w:tcMar>
              <w:top w:w="0" w:type="dxa"/>
              <w:left w:w="108" w:type="dxa"/>
              <w:bottom w:w="0" w:type="dxa"/>
              <w:right w:w="108" w:type="dxa"/>
            </w:tcMar>
          </w:tcPr>
          <w:p w14:paraId="7809F56F" w14:textId="5F33E376" w:rsidR="00D725BD" w:rsidRPr="003B4C2A" w:rsidRDefault="00D725BD" w:rsidP="00A61A6B">
            <w:pPr>
              <w:keepNext/>
              <w:keepLines/>
              <w:widowControl w:val="0"/>
              <w:spacing w:before="0" w:after="0"/>
              <w:rPr>
                <w:color w:val="4F81BD" w:themeColor="accent1"/>
              </w:rPr>
            </w:pPr>
            <w:r w:rsidRPr="003B4C2A">
              <w:rPr>
                <w:color w:val="4F81BD" w:themeColor="accent1"/>
              </w:rPr>
              <w:t>Total performed in a private setting</w:t>
            </w:r>
          </w:p>
        </w:tc>
        <w:tc>
          <w:tcPr>
            <w:tcW w:w="1417" w:type="dxa"/>
            <w:tcBorders>
              <w:bottom w:val="single" w:sz="4" w:space="0" w:color="auto"/>
            </w:tcBorders>
            <w:tcMar>
              <w:top w:w="0" w:type="dxa"/>
              <w:left w:w="108" w:type="dxa"/>
              <w:bottom w:w="0" w:type="dxa"/>
              <w:right w:w="108" w:type="dxa"/>
            </w:tcMar>
          </w:tcPr>
          <w:p w14:paraId="3119901F" w14:textId="56F237C9" w:rsidR="00D725BD" w:rsidRPr="003B4C2A" w:rsidRDefault="00D725BD" w:rsidP="00A61A6B">
            <w:pPr>
              <w:keepNext/>
              <w:keepLines/>
              <w:widowControl w:val="0"/>
              <w:spacing w:before="0" w:after="0"/>
              <w:rPr>
                <w:color w:val="4F81BD" w:themeColor="accent1"/>
              </w:rPr>
            </w:pPr>
            <w:r w:rsidRPr="003B4C2A">
              <w:rPr>
                <w:color w:val="4F81BD" w:themeColor="accent1"/>
              </w:rPr>
              <w:t>168</w:t>
            </w:r>
          </w:p>
        </w:tc>
        <w:tc>
          <w:tcPr>
            <w:tcW w:w="1276" w:type="dxa"/>
            <w:tcBorders>
              <w:bottom w:val="single" w:sz="4" w:space="0" w:color="auto"/>
            </w:tcBorders>
          </w:tcPr>
          <w:p w14:paraId="133D73AB" w14:textId="5F36983D" w:rsidR="00D725BD" w:rsidRPr="003B4C2A" w:rsidRDefault="009449D1" w:rsidP="00A61A6B">
            <w:pPr>
              <w:keepNext/>
              <w:keepLines/>
              <w:widowControl w:val="0"/>
              <w:spacing w:before="0" w:after="0"/>
              <w:rPr>
                <w:color w:val="4F81BD" w:themeColor="accent1"/>
              </w:rPr>
            </w:pPr>
            <w:r w:rsidRPr="003B4C2A">
              <w:rPr>
                <w:color w:val="4F81BD" w:themeColor="accent1"/>
              </w:rPr>
              <w:t>C*D</w:t>
            </w:r>
          </w:p>
        </w:tc>
      </w:tr>
      <w:tr w:rsidR="00D725BD" w:rsidRPr="003B4C2A" w14:paraId="45F679B3" w14:textId="378B3439" w:rsidTr="009449D1">
        <w:tc>
          <w:tcPr>
            <w:tcW w:w="713" w:type="dxa"/>
            <w:tcBorders>
              <w:right w:val="nil"/>
            </w:tcBorders>
          </w:tcPr>
          <w:p w14:paraId="23B9B094" w14:textId="77777777" w:rsidR="00D725BD" w:rsidRPr="003B4C2A" w:rsidRDefault="00D725BD" w:rsidP="00A61A6B">
            <w:pPr>
              <w:keepNext/>
              <w:keepLines/>
              <w:widowControl w:val="0"/>
              <w:spacing w:before="0" w:after="0"/>
              <w:rPr>
                <w:color w:val="4F81BD" w:themeColor="accent1"/>
              </w:rPr>
            </w:pPr>
          </w:p>
        </w:tc>
        <w:tc>
          <w:tcPr>
            <w:tcW w:w="4820" w:type="dxa"/>
            <w:tcBorders>
              <w:left w:val="nil"/>
              <w:right w:val="nil"/>
            </w:tcBorders>
            <w:tcMar>
              <w:top w:w="0" w:type="dxa"/>
              <w:left w:w="108" w:type="dxa"/>
              <w:bottom w:w="0" w:type="dxa"/>
              <w:right w:w="108" w:type="dxa"/>
            </w:tcMar>
          </w:tcPr>
          <w:p w14:paraId="5B9DB99D" w14:textId="03A3B29D" w:rsidR="00D725BD" w:rsidRPr="003B4C2A" w:rsidRDefault="009449D1" w:rsidP="00A61A6B">
            <w:pPr>
              <w:keepNext/>
              <w:keepLines/>
              <w:widowControl w:val="0"/>
              <w:spacing w:before="0" w:after="0"/>
              <w:rPr>
                <w:color w:val="4F81BD" w:themeColor="accent1"/>
              </w:rPr>
            </w:pPr>
            <w:r w:rsidRPr="003B4C2A">
              <w:rPr>
                <w:color w:val="4F81BD" w:themeColor="accent1"/>
              </w:rPr>
              <w:t xml:space="preserve">Additional utilisation post listing </w:t>
            </w:r>
          </w:p>
        </w:tc>
        <w:tc>
          <w:tcPr>
            <w:tcW w:w="1417" w:type="dxa"/>
            <w:tcBorders>
              <w:left w:val="nil"/>
              <w:right w:val="nil"/>
            </w:tcBorders>
            <w:tcMar>
              <w:top w:w="0" w:type="dxa"/>
              <w:left w:w="108" w:type="dxa"/>
              <w:bottom w:w="0" w:type="dxa"/>
              <w:right w:w="108" w:type="dxa"/>
            </w:tcMar>
          </w:tcPr>
          <w:p w14:paraId="4CE69BDE" w14:textId="77777777" w:rsidR="00D725BD" w:rsidRPr="003B4C2A" w:rsidRDefault="00D725BD" w:rsidP="00A61A6B">
            <w:pPr>
              <w:keepNext/>
              <w:keepLines/>
              <w:widowControl w:val="0"/>
              <w:spacing w:before="0" w:after="0"/>
              <w:rPr>
                <w:color w:val="4F81BD" w:themeColor="accent1"/>
              </w:rPr>
            </w:pPr>
          </w:p>
        </w:tc>
        <w:tc>
          <w:tcPr>
            <w:tcW w:w="1276" w:type="dxa"/>
            <w:tcBorders>
              <w:left w:val="nil"/>
            </w:tcBorders>
          </w:tcPr>
          <w:p w14:paraId="725F4506" w14:textId="77777777" w:rsidR="00D725BD" w:rsidRPr="003B4C2A" w:rsidRDefault="00D725BD" w:rsidP="00A61A6B">
            <w:pPr>
              <w:keepNext/>
              <w:keepLines/>
              <w:widowControl w:val="0"/>
              <w:spacing w:before="0" w:after="0"/>
              <w:rPr>
                <w:color w:val="4F81BD" w:themeColor="accent1"/>
              </w:rPr>
            </w:pPr>
          </w:p>
        </w:tc>
      </w:tr>
      <w:tr w:rsidR="00D725BD" w:rsidRPr="003B4C2A" w14:paraId="4F56486D" w14:textId="4BE7DA9C" w:rsidTr="00D725BD">
        <w:tc>
          <w:tcPr>
            <w:tcW w:w="713" w:type="dxa"/>
          </w:tcPr>
          <w:p w14:paraId="1D5DCA16" w14:textId="61828372" w:rsidR="00D725BD" w:rsidRPr="003B4C2A" w:rsidRDefault="00D725BD" w:rsidP="00A61A6B">
            <w:pPr>
              <w:keepNext/>
              <w:keepLines/>
              <w:widowControl w:val="0"/>
              <w:spacing w:before="0" w:after="0"/>
              <w:rPr>
                <w:color w:val="4F81BD" w:themeColor="accent1"/>
              </w:rPr>
            </w:pPr>
            <w:r w:rsidRPr="003B4C2A">
              <w:rPr>
                <w:color w:val="4F81BD" w:themeColor="accent1"/>
              </w:rPr>
              <w:t>F</w:t>
            </w:r>
          </w:p>
        </w:tc>
        <w:tc>
          <w:tcPr>
            <w:tcW w:w="4820" w:type="dxa"/>
            <w:tcMar>
              <w:top w:w="0" w:type="dxa"/>
              <w:left w:w="108" w:type="dxa"/>
              <w:bottom w:w="0" w:type="dxa"/>
              <w:right w:w="108" w:type="dxa"/>
            </w:tcMar>
          </w:tcPr>
          <w:p w14:paraId="2EB43C58" w14:textId="25B7F5CF" w:rsidR="00D725BD" w:rsidRPr="003B4C2A" w:rsidRDefault="00D725BD" w:rsidP="00A61A6B">
            <w:pPr>
              <w:keepNext/>
              <w:keepLines/>
              <w:widowControl w:val="0"/>
              <w:spacing w:before="0" w:after="0"/>
              <w:rPr>
                <w:color w:val="4F81BD" w:themeColor="accent1"/>
              </w:rPr>
            </w:pPr>
            <w:r w:rsidRPr="003B4C2A">
              <w:rPr>
                <w:color w:val="4F81BD" w:themeColor="accent1"/>
              </w:rPr>
              <w:t xml:space="preserve">Total clipping and coiling procedures in private setting </w:t>
            </w:r>
          </w:p>
        </w:tc>
        <w:tc>
          <w:tcPr>
            <w:tcW w:w="1417" w:type="dxa"/>
            <w:tcMar>
              <w:top w:w="0" w:type="dxa"/>
              <w:left w:w="108" w:type="dxa"/>
              <w:bottom w:w="0" w:type="dxa"/>
              <w:right w:w="108" w:type="dxa"/>
            </w:tcMar>
          </w:tcPr>
          <w:p w14:paraId="537BCC37" w14:textId="162ED3C1" w:rsidR="00D725BD" w:rsidRPr="003B4C2A" w:rsidRDefault="00D725BD" w:rsidP="00A61A6B">
            <w:pPr>
              <w:keepNext/>
              <w:keepLines/>
              <w:widowControl w:val="0"/>
              <w:spacing w:before="0" w:after="0"/>
              <w:rPr>
                <w:color w:val="4F81BD" w:themeColor="accent1"/>
              </w:rPr>
            </w:pPr>
            <w:r w:rsidRPr="003B4C2A">
              <w:rPr>
                <w:color w:val="4F81BD" w:themeColor="accent1"/>
              </w:rPr>
              <w:t>890</w:t>
            </w:r>
          </w:p>
        </w:tc>
        <w:tc>
          <w:tcPr>
            <w:tcW w:w="1276" w:type="dxa"/>
          </w:tcPr>
          <w:p w14:paraId="18BA6E03" w14:textId="5C99DF08" w:rsidR="00D725BD" w:rsidRPr="003B4C2A" w:rsidRDefault="00D725BD" w:rsidP="00A61A6B">
            <w:pPr>
              <w:keepNext/>
              <w:keepLines/>
              <w:widowControl w:val="0"/>
              <w:spacing w:before="0" w:after="0"/>
              <w:rPr>
                <w:color w:val="4F81BD" w:themeColor="accent1"/>
              </w:rPr>
            </w:pPr>
            <w:proofErr w:type="spellStart"/>
            <w:r w:rsidRPr="003B4C2A">
              <w:rPr>
                <w:color w:val="4F81BD" w:themeColor="accent1"/>
              </w:rPr>
              <w:t>Medicare</w:t>
            </w:r>
            <w:r w:rsidRPr="003B4C2A">
              <w:rPr>
                <w:color w:val="4F81BD" w:themeColor="accent1"/>
                <w:vertAlign w:val="superscript"/>
              </w:rPr>
              <w:t>b</w:t>
            </w:r>
            <w:proofErr w:type="spellEnd"/>
          </w:p>
        </w:tc>
      </w:tr>
      <w:tr w:rsidR="00D725BD" w:rsidRPr="003B4C2A" w14:paraId="6ED0E58F" w14:textId="431B2CAD" w:rsidTr="00D725BD">
        <w:tc>
          <w:tcPr>
            <w:tcW w:w="713" w:type="dxa"/>
          </w:tcPr>
          <w:p w14:paraId="55CFA4C3" w14:textId="66F9A75F" w:rsidR="00D725BD" w:rsidRPr="003B4C2A" w:rsidRDefault="00D725BD" w:rsidP="00A61A6B">
            <w:pPr>
              <w:keepNext/>
              <w:keepLines/>
              <w:widowControl w:val="0"/>
              <w:spacing w:before="0" w:after="0"/>
              <w:rPr>
                <w:color w:val="4F81BD" w:themeColor="accent1"/>
              </w:rPr>
            </w:pPr>
            <w:r w:rsidRPr="003B4C2A">
              <w:rPr>
                <w:color w:val="4F81BD" w:themeColor="accent1"/>
              </w:rPr>
              <w:t>G</w:t>
            </w:r>
          </w:p>
        </w:tc>
        <w:tc>
          <w:tcPr>
            <w:tcW w:w="4820" w:type="dxa"/>
            <w:tcMar>
              <w:top w:w="0" w:type="dxa"/>
              <w:left w:w="108" w:type="dxa"/>
              <w:bottom w:w="0" w:type="dxa"/>
              <w:right w:w="108" w:type="dxa"/>
            </w:tcMar>
          </w:tcPr>
          <w:p w14:paraId="54687676" w14:textId="321E7733" w:rsidR="00D725BD" w:rsidRPr="003B4C2A" w:rsidRDefault="00D725BD" w:rsidP="00A61A6B">
            <w:pPr>
              <w:keepNext/>
              <w:keepLines/>
              <w:widowControl w:val="0"/>
              <w:spacing w:before="0" w:after="0"/>
              <w:rPr>
                <w:color w:val="4F81BD" w:themeColor="accent1"/>
              </w:rPr>
            </w:pPr>
            <w:r w:rsidRPr="003B4C2A">
              <w:rPr>
                <w:color w:val="4F81BD" w:themeColor="accent1"/>
              </w:rPr>
              <w:t xml:space="preserve">% of clipping and coiling procedures substituted with FDD in private setting </w:t>
            </w:r>
          </w:p>
        </w:tc>
        <w:tc>
          <w:tcPr>
            <w:tcW w:w="1417" w:type="dxa"/>
            <w:tcMar>
              <w:top w:w="0" w:type="dxa"/>
              <w:left w:w="108" w:type="dxa"/>
              <w:bottom w:w="0" w:type="dxa"/>
              <w:right w:w="108" w:type="dxa"/>
            </w:tcMar>
          </w:tcPr>
          <w:p w14:paraId="469575B1" w14:textId="02D39447" w:rsidR="00D725BD" w:rsidRPr="003B4C2A" w:rsidRDefault="00D725BD" w:rsidP="00A61A6B">
            <w:pPr>
              <w:keepNext/>
              <w:keepLines/>
              <w:widowControl w:val="0"/>
              <w:spacing w:before="0" w:after="0"/>
              <w:rPr>
                <w:color w:val="4F81BD" w:themeColor="accent1"/>
              </w:rPr>
            </w:pPr>
            <w:r w:rsidRPr="003B4C2A">
              <w:rPr>
                <w:color w:val="4F81BD" w:themeColor="accent1"/>
              </w:rPr>
              <w:t>20%</w:t>
            </w:r>
          </w:p>
        </w:tc>
        <w:tc>
          <w:tcPr>
            <w:tcW w:w="1276" w:type="dxa"/>
          </w:tcPr>
          <w:p w14:paraId="048DBC8C" w14:textId="25C535A0" w:rsidR="00D725BD" w:rsidRPr="003B4C2A" w:rsidRDefault="009449D1" w:rsidP="00A61A6B">
            <w:pPr>
              <w:keepNext/>
              <w:keepLines/>
              <w:widowControl w:val="0"/>
              <w:spacing w:before="0" w:after="0"/>
              <w:rPr>
                <w:color w:val="4F81BD" w:themeColor="accent1"/>
              </w:rPr>
            </w:pPr>
            <w:r w:rsidRPr="003B4C2A">
              <w:rPr>
                <w:color w:val="4F81BD" w:themeColor="accent1"/>
              </w:rPr>
              <w:t>Assumption</w:t>
            </w:r>
          </w:p>
        </w:tc>
      </w:tr>
      <w:tr w:rsidR="00D725BD" w:rsidRPr="003B4C2A" w14:paraId="36A28D26" w14:textId="4C86F637" w:rsidTr="00D725BD">
        <w:tc>
          <w:tcPr>
            <w:tcW w:w="713" w:type="dxa"/>
          </w:tcPr>
          <w:p w14:paraId="3F45BDBF" w14:textId="1296C420" w:rsidR="00D725BD" w:rsidRPr="003B4C2A" w:rsidRDefault="00D725BD" w:rsidP="00A61A6B">
            <w:pPr>
              <w:keepNext/>
              <w:keepLines/>
              <w:widowControl w:val="0"/>
              <w:spacing w:before="0" w:after="0"/>
              <w:rPr>
                <w:color w:val="4F81BD" w:themeColor="accent1"/>
              </w:rPr>
            </w:pPr>
            <w:r w:rsidRPr="003B4C2A">
              <w:rPr>
                <w:color w:val="4F81BD" w:themeColor="accent1"/>
              </w:rPr>
              <w:t>H</w:t>
            </w:r>
          </w:p>
        </w:tc>
        <w:tc>
          <w:tcPr>
            <w:tcW w:w="4820" w:type="dxa"/>
            <w:tcMar>
              <w:top w:w="0" w:type="dxa"/>
              <w:left w:w="108" w:type="dxa"/>
              <w:bottom w:w="0" w:type="dxa"/>
              <w:right w:w="108" w:type="dxa"/>
            </w:tcMar>
          </w:tcPr>
          <w:p w14:paraId="7EC92FBB" w14:textId="19F0A063" w:rsidR="00D725BD" w:rsidRPr="003B4C2A" w:rsidRDefault="00D725BD" w:rsidP="00A61A6B">
            <w:pPr>
              <w:keepNext/>
              <w:keepLines/>
              <w:widowControl w:val="0"/>
              <w:spacing w:before="0" w:after="0"/>
              <w:rPr>
                <w:color w:val="4F81BD" w:themeColor="accent1"/>
              </w:rPr>
            </w:pPr>
            <w:r w:rsidRPr="003B4C2A">
              <w:rPr>
                <w:color w:val="4F81BD" w:themeColor="accent1"/>
              </w:rPr>
              <w:t xml:space="preserve">FDD substituted from clipping and coiling </w:t>
            </w:r>
          </w:p>
        </w:tc>
        <w:tc>
          <w:tcPr>
            <w:tcW w:w="1417" w:type="dxa"/>
            <w:tcMar>
              <w:top w:w="0" w:type="dxa"/>
              <w:left w:w="108" w:type="dxa"/>
              <w:bottom w:w="0" w:type="dxa"/>
              <w:right w:w="108" w:type="dxa"/>
            </w:tcMar>
          </w:tcPr>
          <w:p w14:paraId="0739273A" w14:textId="29C5DC3A" w:rsidR="00D725BD" w:rsidRPr="003B4C2A" w:rsidRDefault="00D725BD" w:rsidP="00A61A6B">
            <w:pPr>
              <w:keepNext/>
              <w:keepLines/>
              <w:widowControl w:val="0"/>
              <w:spacing w:before="0" w:after="0"/>
              <w:rPr>
                <w:color w:val="4F81BD" w:themeColor="accent1"/>
              </w:rPr>
            </w:pPr>
            <w:r w:rsidRPr="003B4C2A">
              <w:rPr>
                <w:color w:val="4F81BD" w:themeColor="accent1"/>
              </w:rPr>
              <w:t>178</w:t>
            </w:r>
          </w:p>
        </w:tc>
        <w:tc>
          <w:tcPr>
            <w:tcW w:w="1276" w:type="dxa"/>
          </w:tcPr>
          <w:p w14:paraId="70A06E06" w14:textId="2E90ADEF" w:rsidR="00D725BD" w:rsidRPr="003B4C2A" w:rsidRDefault="009449D1" w:rsidP="00A61A6B">
            <w:pPr>
              <w:keepNext/>
              <w:keepLines/>
              <w:widowControl w:val="0"/>
              <w:spacing w:before="0" w:after="0"/>
              <w:rPr>
                <w:color w:val="4F81BD" w:themeColor="accent1"/>
              </w:rPr>
            </w:pPr>
            <w:r w:rsidRPr="003B4C2A">
              <w:rPr>
                <w:color w:val="4F81BD" w:themeColor="accent1"/>
              </w:rPr>
              <w:t>F*G</w:t>
            </w:r>
          </w:p>
        </w:tc>
      </w:tr>
      <w:tr w:rsidR="00D725BD" w:rsidRPr="003B4C2A" w14:paraId="63A54C9B" w14:textId="55A9D869" w:rsidTr="00D725BD">
        <w:tc>
          <w:tcPr>
            <w:tcW w:w="713" w:type="dxa"/>
          </w:tcPr>
          <w:p w14:paraId="4E781BF7" w14:textId="3CEEC695" w:rsidR="00D725BD" w:rsidRPr="003B4C2A" w:rsidRDefault="00D725BD" w:rsidP="00A61A6B">
            <w:pPr>
              <w:keepNext/>
              <w:keepLines/>
              <w:widowControl w:val="0"/>
              <w:spacing w:before="0" w:after="0"/>
              <w:rPr>
                <w:b/>
                <w:color w:val="4F81BD" w:themeColor="accent1"/>
              </w:rPr>
            </w:pPr>
            <w:r w:rsidRPr="003B4C2A">
              <w:rPr>
                <w:b/>
                <w:color w:val="4F81BD" w:themeColor="accent1"/>
              </w:rPr>
              <w:t>I</w:t>
            </w:r>
          </w:p>
        </w:tc>
        <w:tc>
          <w:tcPr>
            <w:tcW w:w="4820" w:type="dxa"/>
            <w:tcMar>
              <w:top w:w="0" w:type="dxa"/>
              <w:left w:w="108" w:type="dxa"/>
              <w:bottom w:w="0" w:type="dxa"/>
              <w:right w:w="108" w:type="dxa"/>
            </w:tcMar>
          </w:tcPr>
          <w:p w14:paraId="5E5962D8" w14:textId="718D22AC" w:rsidR="00D725BD" w:rsidRPr="003B4C2A" w:rsidRDefault="00D725BD" w:rsidP="00A61A6B">
            <w:pPr>
              <w:keepNext/>
              <w:keepLines/>
              <w:widowControl w:val="0"/>
              <w:spacing w:before="0" w:after="0"/>
              <w:rPr>
                <w:b/>
                <w:color w:val="4F81BD" w:themeColor="accent1"/>
              </w:rPr>
            </w:pPr>
            <w:r w:rsidRPr="003B4C2A">
              <w:rPr>
                <w:b/>
                <w:color w:val="4F81BD" w:themeColor="accent1"/>
              </w:rPr>
              <w:t>Total estimated utilisation of the proposed medical service via MBS</w:t>
            </w:r>
          </w:p>
        </w:tc>
        <w:tc>
          <w:tcPr>
            <w:tcW w:w="1417" w:type="dxa"/>
            <w:tcMar>
              <w:top w:w="0" w:type="dxa"/>
              <w:left w:w="108" w:type="dxa"/>
              <w:bottom w:w="0" w:type="dxa"/>
              <w:right w:w="108" w:type="dxa"/>
            </w:tcMar>
          </w:tcPr>
          <w:p w14:paraId="2631E830" w14:textId="76D82138" w:rsidR="00D725BD" w:rsidRPr="003B4C2A" w:rsidRDefault="00D725BD" w:rsidP="00A61A6B">
            <w:pPr>
              <w:keepNext/>
              <w:keepLines/>
              <w:widowControl w:val="0"/>
              <w:spacing w:before="0" w:after="0"/>
              <w:rPr>
                <w:b/>
                <w:color w:val="4F81BD" w:themeColor="accent1"/>
              </w:rPr>
            </w:pPr>
            <w:r w:rsidRPr="003B4C2A">
              <w:rPr>
                <w:b/>
                <w:color w:val="4F81BD" w:themeColor="accent1"/>
              </w:rPr>
              <w:t>346</w:t>
            </w:r>
          </w:p>
        </w:tc>
        <w:tc>
          <w:tcPr>
            <w:tcW w:w="1276" w:type="dxa"/>
          </w:tcPr>
          <w:p w14:paraId="6FE01446" w14:textId="58692E60" w:rsidR="00D725BD" w:rsidRPr="003B4C2A" w:rsidRDefault="009449D1" w:rsidP="00A61A6B">
            <w:pPr>
              <w:keepNext/>
              <w:keepLines/>
              <w:widowControl w:val="0"/>
              <w:spacing w:before="0" w:after="0"/>
              <w:rPr>
                <w:b/>
                <w:color w:val="4F81BD" w:themeColor="accent1"/>
              </w:rPr>
            </w:pPr>
            <w:r w:rsidRPr="003B4C2A">
              <w:rPr>
                <w:b/>
                <w:color w:val="4F81BD" w:themeColor="accent1"/>
              </w:rPr>
              <w:t>E+H</w:t>
            </w:r>
          </w:p>
        </w:tc>
      </w:tr>
    </w:tbl>
    <w:p w14:paraId="1572A7C6" w14:textId="4795DF6B" w:rsidR="00D725BD" w:rsidRPr="003B4C2A" w:rsidRDefault="00D725BD" w:rsidP="00A61A6B">
      <w:pPr>
        <w:pStyle w:val="Tablenotes"/>
        <w:keepNext/>
        <w:keepLines/>
        <w:widowControl w:val="0"/>
        <w:ind w:left="425"/>
        <w:rPr>
          <w:color w:val="4F81BD" w:themeColor="accent1"/>
        </w:rPr>
      </w:pPr>
      <w:proofErr w:type="gramStart"/>
      <w:r w:rsidRPr="003B4C2A">
        <w:rPr>
          <w:color w:val="4F81BD" w:themeColor="accent1"/>
          <w:vertAlign w:val="superscript"/>
        </w:rPr>
        <w:t>a</w:t>
      </w:r>
      <w:proofErr w:type="gramEnd"/>
      <w:r w:rsidRPr="003B4C2A">
        <w:rPr>
          <w:color w:val="4F81BD" w:themeColor="accent1"/>
        </w:rPr>
        <w:t xml:space="preserve"> AIHW: Procedure data cubes</w:t>
      </w:r>
      <w:r w:rsidR="000A3913" w:rsidRPr="003B4C2A">
        <w:rPr>
          <w:color w:val="4F81BD" w:themeColor="accent1"/>
        </w:rPr>
        <w:t xml:space="preserve"> (2011/12</w:t>
      </w:r>
      <w:r w:rsidR="002F6026" w:rsidRPr="003B4C2A">
        <w:rPr>
          <w:color w:val="4F81BD" w:themeColor="accent1"/>
        </w:rPr>
        <w:t>-2015/16)</w:t>
      </w:r>
      <w:r w:rsidRPr="003B4C2A">
        <w:rPr>
          <w:color w:val="4F81BD" w:themeColor="accent1"/>
        </w:rPr>
        <w:t xml:space="preserve"> (ACHI 9th </w:t>
      </w:r>
      <w:proofErr w:type="spellStart"/>
      <w:r w:rsidRPr="003B4C2A">
        <w:rPr>
          <w:color w:val="4F81BD" w:themeColor="accent1"/>
        </w:rPr>
        <w:t>ed</w:t>
      </w:r>
      <w:proofErr w:type="spellEnd"/>
      <w:r w:rsidRPr="003B4C2A">
        <w:rPr>
          <w:color w:val="4F81BD" w:themeColor="accent1"/>
        </w:rPr>
        <w:t xml:space="preserve">): linearly extrapolated </w:t>
      </w:r>
      <w:r w:rsidR="009449D1" w:rsidRPr="003B4C2A">
        <w:rPr>
          <w:color w:val="4F81BD" w:themeColor="accent1"/>
        </w:rPr>
        <w:t xml:space="preserve">out to </w:t>
      </w:r>
      <w:r w:rsidR="000A3913" w:rsidRPr="003B4C2A">
        <w:rPr>
          <w:color w:val="4F81BD" w:themeColor="accent1"/>
        </w:rPr>
        <w:t>2022</w:t>
      </w:r>
    </w:p>
    <w:p w14:paraId="492B96A2" w14:textId="52740C57" w:rsidR="00D725BD" w:rsidRPr="003B4C2A" w:rsidRDefault="00D725BD" w:rsidP="00A61A6B">
      <w:pPr>
        <w:pStyle w:val="Tablenotes"/>
        <w:keepNext/>
        <w:keepLines/>
        <w:widowControl w:val="0"/>
        <w:tabs>
          <w:tab w:val="left" w:pos="5392"/>
        </w:tabs>
        <w:ind w:left="425"/>
        <w:rPr>
          <w:color w:val="4F81BD" w:themeColor="accent1"/>
        </w:rPr>
      </w:pPr>
      <w:proofErr w:type="gramStart"/>
      <w:r w:rsidRPr="003B4C2A">
        <w:rPr>
          <w:color w:val="4F81BD" w:themeColor="accent1"/>
          <w:vertAlign w:val="superscript"/>
        </w:rPr>
        <w:t>b</w:t>
      </w:r>
      <w:proofErr w:type="gramEnd"/>
      <w:r w:rsidRPr="003B4C2A">
        <w:rPr>
          <w:color w:val="4F81BD" w:themeColor="accent1"/>
        </w:rPr>
        <w:t xml:space="preserve"> Medicare statistics</w:t>
      </w:r>
      <w:r w:rsidR="000A3913" w:rsidRPr="003B4C2A">
        <w:rPr>
          <w:color w:val="4F81BD" w:themeColor="accent1"/>
        </w:rPr>
        <w:t xml:space="preserve"> (2006-2017)</w:t>
      </w:r>
      <w:r w:rsidRPr="003B4C2A">
        <w:rPr>
          <w:color w:val="4F81BD" w:themeColor="accent1"/>
        </w:rPr>
        <w:t>:</w:t>
      </w:r>
      <w:r w:rsidR="009449D1" w:rsidRPr="003B4C2A">
        <w:rPr>
          <w:color w:val="4F81BD" w:themeColor="accent1"/>
        </w:rPr>
        <w:t xml:space="preserve"> linearly extrapolated out to </w:t>
      </w:r>
      <w:r w:rsidR="000A3913" w:rsidRPr="003B4C2A">
        <w:rPr>
          <w:color w:val="4F81BD" w:themeColor="accent1"/>
        </w:rPr>
        <w:t>2022</w:t>
      </w:r>
    </w:p>
    <w:p w14:paraId="10E3A7D9"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44EECF6E" w14:textId="2C9AB042" w:rsidR="009449D1" w:rsidRPr="003B4C2A" w:rsidRDefault="009449D1" w:rsidP="008335FD">
      <w:pPr>
        <w:ind w:left="426"/>
        <w:rPr>
          <w:color w:val="4F81BD" w:themeColor="accent1"/>
        </w:rPr>
      </w:pPr>
      <w:r w:rsidRPr="003B4C2A">
        <w:rPr>
          <w:color w:val="4F81BD" w:themeColor="accent1"/>
        </w:rPr>
        <w:t xml:space="preserve">Estimates of utilisation through Years 2 to 4 of listing are estimated using the same approach as </w:t>
      </w:r>
      <w:r w:rsidR="00203E7C" w:rsidRPr="003B4C2A">
        <w:rPr>
          <w:color w:val="4F81BD" w:themeColor="accent1"/>
        </w:rPr>
        <w:t>presented</w:t>
      </w:r>
      <w:r w:rsidRPr="003B4C2A">
        <w:rPr>
          <w:color w:val="4F81BD" w:themeColor="accent1"/>
        </w:rPr>
        <w:t xml:space="preserve"> in Q4</w:t>
      </w:r>
      <w:r w:rsidR="008E67D3" w:rsidRPr="003B4C2A">
        <w:rPr>
          <w:color w:val="4F81BD" w:themeColor="accent1"/>
        </w:rPr>
        <w:t>8</w:t>
      </w:r>
      <w:r w:rsidRPr="003B4C2A">
        <w:rPr>
          <w:color w:val="4F81BD" w:themeColor="accent1"/>
        </w:rPr>
        <w:t xml:space="preserve">. Substitution from clipping and coiling procedures performed in a private setting is assumed to increase from 20% in Year 1, to </w:t>
      </w:r>
      <w:r w:rsidR="00152284" w:rsidRPr="003B4C2A">
        <w:rPr>
          <w:color w:val="4F81BD" w:themeColor="accent1"/>
        </w:rPr>
        <w:t>3</w:t>
      </w:r>
      <w:r w:rsidRPr="003B4C2A">
        <w:rPr>
          <w:color w:val="4F81BD" w:themeColor="accent1"/>
        </w:rPr>
        <w:t xml:space="preserve">5% by Year </w:t>
      </w:r>
      <w:r w:rsidR="00A21E71" w:rsidRPr="003B4C2A">
        <w:rPr>
          <w:color w:val="4F81BD" w:themeColor="accent1"/>
        </w:rPr>
        <w:t>4</w:t>
      </w:r>
      <w:r w:rsidRPr="003B4C2A">
        <w:rPr>
          <w:color w:val="4F81BD" w:themeColor="accent1"/>
        </w:rPr>
        <w:t xml:space="preserve">. This </w:t>
      </w:r>
      <w:r w:rsidRPr="003B4C2A">
        <w:rPr>
          <w:color w:val="4F81BD" w:themeColor="accent1"/>
          <w:szCs w:val="20"/>
        </w:rPr>
        <w:t>incremental increase over the first few years of listing is applied to account for the learning curve associated with the listing of a new medical service</w:t>
      </w:r>
      <w:r w:rsidRPr="003B4C2A">
        <w:rPr>
          <w:color w:val="4F81BD" w:themeColor="accent1"/>
        </w:rPr>
        <w:t xml:space="preserve">. </w:t>
      </w:r>
    </w:p>
    <w:p w14:paraId="2FF33252" w14:textId="14C5154F" w:rsidR="00152284" w:rsidRPr="003B4C2A" w:rsidRDefault="00EA6E11" w:rsidP="00152284">
      <w:pPr>
        <w:ind w:left="426"/>
        <w:rPr>
          <w:color w:val="4F81BD" w:themeColor="accent1"/>
        </w:rPr>
      </w:pPr>
      <w:r w:rsidRPr="003B4C2A">
        <w:rPr>
          <w:color w:val="4F81BD" w:themeColor="accent1"/>
        </w:rPr>
        <w:t xml:space="preserve">Private utilisation of FDD procedures is expected to increase from </w:t>
      </w:r>
      <w:r w:rsidR="00152284" w:rsidRPr="003B4C2A">
        <w:rPr>
          <w:color w:val="4F81BD" w:themeColor="accent1"/>
        </w:rPr>
        <w:t>408</w:t>
      </w:r>
      <w:r w:rsidRPr="003B4C2A">
        <w:rPr>
          <w:color w:val="4F81BD" w:themeColor="accent1"/>
        </w:rPr>
        <w:t xml:space="preserve"> in Year 2 to </w:t>
      </w:r>
      <w:r w:rsidR="00152284" w:rsidRPr="003B4C2A">
        <w:rPr>
          <w:color w:val="4F81BD" w:themeColor="accent1"/>
        </w:rPr>
        <w:t>543</w:t>
      </w:r>
      <w:r w:rsidRPr="003B4C2A">
        <w:rPr>
          <w:color w:val="4F81BD" w:themeColor="accent1"/>
        </w:rPr>
        <w:t xml:space="preserve"> in Year 4, as presented in </w:t>
      </w:r>
      <w:r w:rsidRPr="003B4C2A">
        <w:rPr>
          <w:color w:val="4F81BD" w:themeColor="accent1"/>
        </w:rPr>
        <w:fldChar w:fldCharType="begin"/>
      </w:r>
      <w:r w:rsidRPr="003B4C2A">
        <w:rPr>
          <w:color w:val="4F81BD" w:themeColor="accent1"/>
        </w:rPr>
        <w:instrText xml:space="preserve"> REF _Ref517203137 \h </w:instrText>
      </w:r>
      <w:r w:rsidRPr="003B4C2A">
        <w:rPr>
          <w:color w:val="4F81BD" w:themeColor="accent1"/>
        </w:rPr>
      </w:r>
      <w:r w:rsidRPr="003B4C2A">
        <w:rPr>
          <w:color w:val="4F81BD" w:themeColor="accent1"/>
        </w:rPr>
        <w:fldChar w:fldCharType="separate"/>
      </w:r>
      <w:r w:rsidRPr="003B4C2A">
        <w:rPr>
          <w:color w:val="4F81BD" w:themeColor="accent1"/>
        </w:rPr>
        <w:t xml:space="preserve">Table </w:t>
      </w:r>
      <w:r w:rsidRPr="003B4C2A">
        <w:rPr>
          <w:noProof/>
          <w:color w:val="4F81BD" w:themeColor="accent1"/>
        </w:rPr>
        <w:t>8</w:t>
      </w:r>
      <w:r w:rsidRPr="003B4C2A">
        <w:rPr>
          <w:color w:val="4F81BD" w:themeColor="accent1"/>
        </w:rPr>
        <w:fldChar w:fldCharType="end"/>
      </w:r>
      <w:r w:rsidRPr="003B4C2A">
        <w:rPr>
          <w:color w:val="4F81BD" w:themeColor="accent1"/>
        </w:rPr>
        <w:t xml:space="preserve">. </w:t>
      </w:r>
      <w:bookmarkStart w:id="22" w:name="_Ref517203137"/>
      <w:r w:rsidR="00152284" w:rsidRPr="003B4C2A">
        <w:rPr>
          <w:color w:val="4F81BD" w:themeColor="accent1"/>
        </w:rPr>
        <w:t>Please note, the</w:t>
      </w:r>
      <w:r w:rsidR="00A21E71" w:rsidRPr="003B4C2A">
        <w:rPr>
          <w:color w:val="4F81BD" w:themeColor="accent1"/>
        </w:rPr>
        <w:t>se</w:t>
      </w:r>
      <w:r w:rsidR="00152284" w:rsidRPr="003B4C2A">
        <w:rPr>
          <w:color w:val="4F81BD" w:themeColor="accent1"/>
        </w:rPr>
        <w:t xml:space="preserve"> estimates will be confirmed in a submission-based assessment (SBA).</w:t>
      </w:r>
    </w:p>
    <w:p w14:paraId="7CEC3760" w14:textId="1FDE4EAE" w:rsidR="008335FD" w:rsidRPr="003B4C2A" w:rsidRDefault="008335FD" w:rsidP="00152284">
      <w:pPr>
        <w:ind w:left="426"/>
        <w:rPr>
          <w:color w:val="4F81BD" w:themeColor="accent1"/>
        </w:rPr>
      </w:pPr>
      <w:r w:rsidRPr="003B4C2A">
        <w:rPr>
          <w:color w:val="4F81BD" w:themeColor="accent1"/>
        </w:rPr>
        <w:t xml:space="preserve">Table </w:t>
      </w:r>
      <w:r w:rsidR="00F64073" w:rsidRPr="003B4C2A">
        <w:rPr>
          <w:noProof/>
          <w:color w:val="4F81BD" w:themeColor="accent1"/>
        </w:rPr>
        <w:fldChar w:fldCharType="begin"/>
      </w:r>
      <w:r w:rsidR="00F64073" w:rsidRPr="003B4C2A">
        <w:rPr>
          <w:noProof/>
          <w:color w:val="4F81BD" w:themeColor="accent1"/>
        </w:rPr>
        <w:instrText xml:space="preserve"> SEQ Table \* ARABIC </w:instrText>
      </w:r>
      <w:r w:rsidR="00F64073" w:rsidRPr="003B4C2A">
        <w:rPr>
          <w:noProof/>
          <w:color w:val="4F81BD" w:themeColor="accent1"/>
        </w:rPr>
        <w:fldChar w:fldCharType="separate"/>
      </w:r>
      <w:r w:rsidR="00CA2489" w:rsidRPr="003B4C2A">
        <w:rPr>
          <w:noProof/>
          <w:color w:val="4F81BD" w:themeColor="accent1"/>
        </w:rPr>
        <w:t>8</w:t>
      </w:r>
      <w:r w:rsidR="00F64073" w:rsidRPr="003B4C2A">
        <w:rPr>
          <w:noProof/>
          <w:color w:val="4F81BD" w:themeColor="accent1"/>
        </w:rPr>
        <w:fldChar w:fldCharType="end"/>
      </w:r>
      <w:bookmarkEnd w:id="22"/>
      <w:r w:rsidRPr="003B4C2A">
        <w:rPr>
          <w:color w:val="4F81BD" w:themeColor="accent1"/>
        </w:rPr>
        <w:tab/>
      </w:r>
      <w:r w:rsidRPr="003B4C2A">
        <w:rPr>
          <w:noProof/>
          <w:color w:val="4F81BD" w:themeColor="accent1"/>
        </w:rPr>
        <w:t xml:space="preserve">Estimated utilisation of endovascular FDD insertion in Years 2 to 4 (2020-22) </w:t>
      </w:r>
    </w:p>
    <w:tbl>
      <w:tblPr>
        <w:tblStyle w:val="TableGrid"/>
        <w:tblW w:w="0" w:type="auto"/>
        <w:tblInd w:w="421" w:type="dxa"/>
        <w:tblLayout w:type="fixed"/>
        <w:tblLook w:val="04A0" w:firstRow="1" w:lastRow="0" w:firstColumn="1" w:lastColumn="0" w:noHBand="0" w:noVBand="1"/>
        <w:tblCaption w:val="Table showing estimated utilisation"/>
      </w:tblPr>
      <w:tblGrid>
        <w:gridCol w:w="4903"/>
        <w:gridCol w:w="1173"/>
        <w:gridCol w:w="1173"/>
        <w:gridCol w:w="1172"/>
      </w:tblGrid>
      <w:tr w:rsidR="00D725BD" w:rsidRPr="003B4C2A" w14:paraId="18FDD2DE" w14:textId="77777777" w:rsidTr="00A03D42">
        <w:trPr>
          <w:tblHeader/>
        </w:trPr>
        <w:tc>
          <w:tcPr>
            <w:tcW w:w="4903" w:type="dxa"/>
            <w:tcBorders>
              <w:bottom w:val="single" w:sz="4" w:space="0" w:color="auto"/>
            </w:tcBorders>
          </w:tcPr>
          <w:p w14:paraId="0D154CC6" w14:textId="4641F06B" w:rsidR="00D725BD" w:rsidRPr="003B4C2A" w:rsidRDefault="00D725BD" w:rsidP="00D725BD">
            <w:pPr>
              <w:spacing w:before="0" w:after="0"/>
              <w:rPr>
                <w:b/>
                <w:color w:val="4F81BD" w:themeColor="accent1"/>
                <w:szCs w:val="20"/>
              </w:rPr>
            </w:pPr>
            <w:r w:rsidRPr="003B4C2A">
              <w:rPr>
                <w:b/>
                <w:color w:val="4F81BD" w:themeColor="accent1"/>
              </w:rPr>
              <w:t>Parameter</w:t>
            </w:r>
          </w:p>
        </w:tc>
        <w:tc>
          <w:tcPr>
            <w:tcW w:w="1173" w:type="dxa"/>
            <w:tcBorders>
              <w:bottom w:val="single" w:sz="4" w:space="0" w:color="auto"/>
            </w:tcBorders>
          </w:tcPr>
          <w:p w14:paraId="052EF4D1" w14:textId="4603EB4C" w:rsidR="00D725BD" w:rsidRPr="003B4C2A" w:rsidRDefault="00D725BD" w:rsidP="00D725BD">
            <w:pPr>
              <w:spacing w:before="0" w:after="0"/>
              <w:rPr>
                <w:b/>
                <w:color w:val="4F81BD" w:themeColor="accent1"/>
                <w:szCs w:val="20"/>
              </w:rPr>
            </w:pPr>
            <w:r w:rsidRPr="003B4C2A">
              <w:rPr>
                <w:b/>
                <w:color w:val="4F81BD" w:themeColor="accent1"/>
              </w:rPr>
              <w:t>Year 2 (2020)</w:t>
            </w:r>
          </w:p>
        </w:tc>
        <w:tc>
          <w:tcPr>
            <w:tcW w:w="1173" w:type="dxa"/>
            <w:tcBorders>
              <w:bottom w:val="single" w:sz="4" w:space="0" w:color="auto"/>
            </w:tcBorders>
          </w:tcPr>
          <w:p w14:paraId="7D626BE5" w14:textId="1AA13378" w:rsidR="00D725BD" w:rsidRPr="003B4C2A" w:rsidRDefault="00D725BD" w:rsidP="00D725BD">
            <w:pPr>
              <w:spacing w:before="0" w:after="0"/>
              <w:rPr>
                <w:b/>
                <w:color w:val="4F81BD" w:themeColor="accent1"/>
              </w:rPr>
            </w:pPr>
            <w:r w:rsidRPr="003B4C2A">
              <w:rPr>
                <w:b/>
                <w:color w:val="4F81BD" w:themeColor="accent1"/>
              </w:rPr>
              <w:t>Year 3</w:t>
            </w:r>
          </w:p>
          <w:p w14:paraId="7572A1D5" w14:textId="5C59B72A" w:rsidR="00D725BD" w:rsidRPr="003B4C2A" w:rsidRDefault="00A21E71" w:rsidP="00D725BD">
            <w:pPr>
              <w:spacing w:before="0" w:after="0"/>
              <w:rPr>
                <w:b/>
                <w:color w:val="4F81BD" w:themeColor="accent1"/>
                <w:szCs w:val="20"/>
              </w:rPr>
            </w:pPr>
            <w:r w:rsidRPr="003B4C2A">
              <w:rPr>
                <w:b/>
                <w:color w:val="4F81BD" w:themeColor="accent1"/>
              </w:rPr>
              <w:t>(</w:t>
            </w:r>
            <w:r w:rsidR="00D725BD" w:rsidRPr="003B4C2A">
              <w:rPr>
                <w:b/>
                <w:color w:val="4F81BD" w:themeColor="accent1"/>
              </w:rPr>
              <w:t>2021</w:t>
            </w:r>
            <w:r w:rsidRPr="003B4C2A">
              <w:rPr>
                <w:b/>
                <w:color w:val="4F81BD" w:themeColor="accent1"/>
              </w:rPr>
              <w:t>)</w:t>
            </w:r>
          </w:p>
        </w:tc>
        <w:tc>
          <w:tcPr>
            <w:tcW w:w="1172" w:type="dxa"/>
            <w:tcBorders>
              <w:bottom w:val="single" w:sz="4" w:space="0" w:color="auto"/>
            </w:tcBorders>
          </w:tcPr>
          <w:p w14:paraId="563A2761" w14:textId="77777777" w:rsidR="00D725BD" w:rsidRPr="003B4C2A" w:rsidRDefault="00D725BD" w:rsidP="00D725BD">
            <w:pPr>
              <w:spacing w:before="0" w:after="0"/>
              <w:rPr>
                <w:b/>
                <w:color w:val="4F81BD" w:themeColor="accent1"/>
              </w:rPr>
            </w:pPr>
            <w:r w:rsidRPr="003B4C2A">
              <w:rPr>
                <w:b/>
                <w:color w:val="4F81BD" w:themeColor="accent1"/>
              </w:rPr>
              <w:t>Year 4</w:t>
            </w:r>
          </w:p>
          <w:p w14:paraId="49B75327" w14:textId="12CC1134" w:rsidR="00D725BD" w:rsidRPr="003B4C2A" w:rsidRDefault="00A21E71" w:rsidP="00D725BD">
            <w:pPr>
              <w:spacing w:before="0" w:after="0"/>
              <w:rPr>
                <w:b/>
                <w:color w:val="4F81BD" w:themeColor="accent1"/>
                <w:szCs w:val="20"/>
              </w:rPr>
            </w:pPr>
            <w:r w:rsidRPr="003B4C2A">
              <w:rPr>
                <w:b/>
                <w:color w:val="4F81BD" w:themeColor="accent1"/>
              </w:rPr>
              <w:t>(</w:t>
            </w:r>
            <w:r w:rsidR="00D725BD" w:rsidRPr="003B4C2A">
              <w:rPr>
                <w:b/>
                <w:color w:val="4F81BD" w:themeColor="accent1"/>
              </w:rPr>
              <w:t>2022</w:t>
            </w:r>
            <w:r w:rsidRPr="003B4C2A">
              <w:rPr>
                <w:b/>
                <w:color w:val="4F81BD" w:themeColor="accent1"/>
              </w:rPr>
              <w:t>)</w:t>
            </w:r>
          </w:p>
        </w:tc>
      </w:tr>
      <w:tr w:rsidR="009449D1" w:rsidRPr="003B4C2A" w14:paraId="3C5BA545" w14:textId="77777777" w:rsidTr="009449D1">
        <w:trPr>
          <w:trHeight w:val="245"/>
        </w:trPr>
        <w:tc>
          <w:tcPr>
            <w:tcW w:w="4903" w:type="dxa"/>
            <w:tcBorders>
              <w:right w:val="nil"/>
            </w:tcBorders>
          </w:tcPr>
          <w:p w14:paraId="5C8F3E00" w14:textId="10591902" w:rsidR="009449D1" w:rsidRPr="003B4C2A" w:rsidRDefault="009449D1" w:rsidP="009449D1">
            <w:pPr>
              <w:spacing w:before="0" w:after="0"/>
              <w:rPr>
                <w:color w:val="4F81BD" w:themeColor="accent1"/>
              </w:rPr>
            </w:pPr>
            <w:r w:rsidRPr="003B4C2A">
              <w:rPr>
                <w:color w:val="4F81BD" w:themeColor="accent1"/>
              </w:rPr>
              <w:t xml:space="preserve">Utilisation based on current market share </w:t>
            </w:r>
          </w:p>
        </w:tc>
        <w:tc>
          <w:tcPr>
            <w:tcW w:w="1173" w:type="dxa"/>
            <w:tcBorders>
              <w:left w:val="nil"/>
              <w:right w:val="nil"/>
            </w:tcBorders>
          </w:tcPr>
          <w:p w14:paraId="7E4A7E68" w14:textId="15C9AAB2" w:rsidR="009449D1" w:rsidRPr="003B4C2A" w:rsidRDefault="009449D1" w:rsidP="009449D1">
            <w:pPr>
              <w:spacing w:before="0" w:after="0"/>
              <w:rPr>
                <w:color w:val="4F81BD" w:themeColor="accent1"/>
              </w:rPr>
            </w:pPr>
          </w:p>
        </w:tc>
        <w:tc>
          <w:tcPr>
            <w:tcW w:w="1173" w:type="dxa"/>
            <w:tcBorders>
              <w:left w:val="nil"/>
              <w:right w:val="nil"/>
            </w:tcBorders>
            <w:vAlign w:val="bottom"/>
          </w:tcPr>
          <w:p w14:paraId="0AE05804" w14:textId="412A7B51" w:rsidR="009449D1" w:rsidRPr="003B4C2A" w:rsidRDefault="009449D1" w:rsidP="009449D1">
            <w:pPr>
              <w:spacing w:before="0" w:after="0"/>
              <w:rPr>
                <w:color w:val="4F81BD" w:themeColor="accent1"/>
              </w:rPr>
            </w:pPr>
          </w:p>
        </w:tc>
        <w:tc>
          <w:tcPr>
            <w:tcW w:w="1172" w:type="dxa"/>
            <w:tcBorders>
              <w:left w:val="nil"/>
            </w:tcBorders>
            <w:vAlign w:val="bottom"/>
          </w:tcPr>
          <w:p w14:paraId="5B9D4B39" w14:textId="1F66ADE9" w:rsidR="009449D1" w:rsidRPr="003B4C2A" w:rsidRDefault="009449D1" w:rsidP="009449D1">
            <w:pPr>
              <w:spacing w:before="0" w:after="0"/>
              <w:rPr>
                <w:color w:val="4F81BD" w:themeColor="accent1"/>
              </w:rPr>
            </w:pPr>
          </w:p>
        </w:tc>
      </w:tr>
      <w:tr w:rsidR="009449D1" w:rsidRPr="003B4C2A" w14:paraId="40A53076" w14:textId="77777777" w:rsidTr="00B5325A">
        <w:tc>
          <w:tcPr>
            <w:tcW w:w="4903" w:type="dxa"/>
          </w:tcPr>
          <w:p w14:paraId="22E0208F" w14:textId="245C195A" w:rsidR="009449D1" w:rsidRPr="003B4C2A" w:rsidRDefault="009449D1" w:rsidP="009449D1">
            <w:pPr>
              <w:spacing w:before="0" w:after="0"/>
              <w:rPr>
                <w:color w:val="4F81BD" w:themeColor="accent1"/>
              </w:rPr>
            </w:pPr>
            <w:r w:rsidRPr="003B4C2A">
              <w:rPr>
                <w:color w:val="4F81BD" w:themeColor="accent1"/>
              </w:rPr>
              <w:t>Total endovascular occlusion procedures</w:t>
            </w:r>
          </w:p>
        </w:tc>
        <w:tc>
          <w:tcPr>
            <w:tcW w:w="1173" w:type="dxa"/>
          </w:tcPr>
          <w:p w14:paraId="0B4DD549" w14:textId="42A35F5B" w:rsidR="009449D1" w:rsidRPr="003B4C2A" w:rsidRDefault="009449D1" w:rsidP="009449D1">
            <w:pPr>
              <w:spacing w:before="0" w:after="0"/>
              <w:rPr>
                <w:color w:val="4F81BD" w:themeColor="accent1"/>
              </w:rPr>
            </w:pPr>
            <w:r w:rsidRPr="003B4C2A">
              <w:rPr>
                <w:color w:val="4F81BD" w:themeColor="accent1"/>
              </w:rPr>
              <w:t>1,849</w:t>
            </w:r>
            <w:r w:rsidR="000A3913" w:rsidRPr="003B4C2A">
              <w:rPr>
                <w:color w:val="4F81BD" w:themeColor="accent1"/>
                <w:vertAlign w:val="superscript"/>
              </w:rPr>
              <w:t>a</w:t>
            </w:r>
          </w:p>
        </w:tc>
        <w:tc>
          <w:tcPr>
            <w:tcW w:w="1173" w:type="dxa"/>
          </w:tcPr>
          <w:p w14:paraId="43FC0200" w14:textId="108DF3EA" w:rsidR="009449D1" w:rsidRPr="003B4C2A" w:rsidRDefault="009449D1" w:rsidP="009449D1">
            <w:pPr>
              <w:spacing w:before="0" w:after="0"/>
              <w:rPr>
                <w:color w:val="4F81BD" w:themeColor="accent1"/>
              </w:rPr>
            </w:pPr>
            <w:r w:rsidRPr="003B4C2A">
              <w:rPr>
                <w:color w:val="4F81BD" w:themeColor="accent1"/>
              </w:rPr>
              <w:t>1,923</w:t>
            </w:r>
            <w:r w:rsidR="000A3913" w:rsidRPr="003B4C2A">
              <w:rPr>
                <w:color w:val="4F81BD" w:themeColor="accent1"/>
                <w:vertAlign w:val="superscript"/>
              </w:rPr>
              <w:t>a</w:t>
            </w:r>
          </w:p>
        </w:tc>
        <w:tc>
          <w:tcPr>
            <w:tcW w:w="1172" w:type="dxa"/>
          </w:tcPr>
          <w:p w14:paraId="35E5817C" w14:textId="30D300EB" w:rsidR="009449D1" w:rsidRPr="003B4C2A" w:rsidRDefault="009449D1" w:rsidP="009449D1">
            <w:pPr>
              <w:spacing w:before="0" w:after="0"/>
              <w:rPr>
                <w:color w:val="4F81BD" w:themeColor="accent1"/>
              </w:rPr>
            </w:pPr>
            <w:r w:rsidRPr="003B4C2A">
              <w:rPr>
                <w:color w:val="4F81BD" w:themeColor="accent1"/>
              </w:rPr>
              <w:t>1,996</w:t>
            </w:r>
            <w:r w:rsidR="000A3913" w:rsidRPr="003B4C2A">
              <w:rPr>
                <w:color w:val="4F81BD" w:themeColor="accent1"/>
                <w:vertAlign w:val="superscript"/>
              </w:rPr>
              <w:t>a</w:t>
            </w:r>
          </w:p>
        </w:tc>
      </w:tr>
      <w:tr w:rsidR="009449D1" w:rsidRPr="003B4C2A" w14:paraId="4F344266" w14:textId="77777777" w:rsidTr="00B5325A">
        <w:tc>
          <w:tcPr>
            <w:tcW w:w="4903" w:type="dxa"/>
          </w:tcPr>
          <w:p w14:paraId="1C410479" w14:textId="0DB6FE65" w:rsidR="009449D1" w:rsidRPr="003B4C2A" w:rsidRDefault="009449D1" w:rsidP="009449D1">
            <w:pPr>
              <w:spacing w:before="0" w:after="0"/>
              <w:rPr>
                <w:color w:val="4F81BD" w:themeColor="accent1"/>
              </w:rPr>
            </w:pPr>
            <w:r w:rsidRPr="003B4C2A">
              <w:rPr>
                <w:color w:val="4F81BD" w:themeColor="accent1"/>
              </w:rPr>
              <w:t>% of endovascular occlusion procedures, FDD</w:t>
            </w:r>
          </w:p>
        </w:tc>
        <w:tc>
          <w:tcPr>
            <w:tcW w:w="1173" w:type="dxa"/>
          </w:tcPr>
          <w:p w14:paraId="05555520" w14:textId="71B74A5A" w:rsidR="009449D1" w:rsidRPr="003B4C2A" w:rsidRDefault="009449D1" w:rsidP="009449D1">
            <w:pPr>
              <w:spacing w:before="0" w:after="0"/>
              <w:rPr>
                <w:color w:val="4F81BD" w:themeColor="accent1"/>
              </w:rPr>
            </w:pPr>
            <w:r w:rsidRPr="003B4C2A">
              <w:rPr>
                <w:color w:val="4F81BD" w:themeColor="accent1"/>
              </w:rPr>
              <w:t>25%</w:t>
            </w:r>
          </w:p>
        </w:tc>
        <w:tc>
          <w:tcPr>
            <w:tcW w:w="1173" w:type="dxa"/>
          </w:tcPr>
          <w:p w14:paraId="35AF64D2" w14:textId="1FAC53CF" w:rsidR="009449D1" w:rsidRPr="003B4C2A" w:rsidRDefault="009449D1" w:rsidP="009449D1">
            <w:pPr>
              <w:spacing w:before="0" w:after="0"/>
              <w:rPr>
                <w:color w:val="4F81BD" w:themeColor="accent1"/>
              </w:rPr>
            </w:pPr>
            <w:r w:rsidRPr="003B4C2A">
              <w:rPr>
                <w:color w:val="4F81BD" w:themeColor="accent1"/>
              </w:rPr>
              <w:t>25%</w:t>
            </w:r>
          </w:p>
        </w:tc>
        <w:tc>
          <w:tcPr>
            <w:tcW w:w="1172" w:type="dxa"/>
          </w:tcPr>
          <w:p w14:paraId="24BBAEF9" w14:textId="31180271" w:rsidR="009449D1" w:rsidRPr="003B4C2A" w:rsidRDefault="009449D1" w:rsidP="009449D1">
            <w:pPr>
              <w:spacing w:before="0" w:after="0"/>
              <w:rPr>
                <w:color w:val="4F81BD" w:themeColor="accent1"/>
              </w:rPr>
            </w:pPr>
            <w:r w:rsidRPr="003B4C2A">
              <w:rPr>
                <w:color w:val="4F81BD" w:themeColor="accent1"/>
              </w:rPr>
              <w:t>25%</w:t>
            </w:r>
          </w:p>
        </w:tc>
      </w:tr>
      <w:tr w:rsidR="009449D1" w:rsidRPr="003B4C2A" w14:paraId="1BB5453D" w14:textId="77777777" w:rsidTr="00B5325A">
        <w:tc>
          <w:tcPr>
            <w:tcW w:w="4903" w:type="dxa"/>
          </w:tcPr>
          <w:p w14:paraId="6F549F47" w14:textId="75BFF3F2" w:rsidR="009449D1" w:rsidRPr="003B4C2A" w:rsidRDefault="009449D1" w:rsidP="009449D1">
            <w:pPr>
              <w:spacing w:before="0" w:after="0"/>
              <w:rPr>
                <w:color w:val="4F81BD" w:themeColor="accent1"/>
              </w:rPr>
            </w:pPr>
            <w:r w:rsidRPr="003B4C2A">
              <w:rPr>
                <w:color w:val="4F81BD" w:themeColor="accent1"/>
              </w:rPr>
              <w:t>FDD procedures based on current utilisation</w:t>
            </w:r>
          </w:p>
        </w:tc>
        <w:tc>
          <w:tcPr>
            <w:tcW w:w="1173" w:type="dxa"/>
          </w:tcPr>
          <w:p w14:paraId="1C6F4ECC" w14:textId="580A7B99" w:rsidR="009449D1" w:rsidRPr="003B4C2A" w:rsidRDefault="009449D1" w:rsidP="009449D1">
            <w:pPr>
              <w:spacing w:before="0" w:after="0"/>
              <w:rPr>
                <w:color w:val="4F81BD" w:themeColor="accent1"/>
                <w:szCs w:val="20"/>
              </w:rPr>
            </w:pPr>
            <w:r w:rsidRPr="003B4C2A">
              <w:rPr>
                <w:color w:val="4F81BD" w:themeColor="accent1"/>
              </w:rPr>
              <w:t>454</w:t>
            </w:r>
          </w:p>
        </w:tc>
        <w:tc>
          <w:tcPr>
            <w:tcW w:w="1173" w:type="dxa"/>
          </w:tcPr>
          <w:p w14:paraId="752EA014" w14:textId="253484BC" w:rsidR="009449D1" w:rsidRPr="003B4C2A" w:rsidRDefault="009449D1" w:rsidP="009449D1">
            <w:pPr>
              <w:spacing w:before="0" w:after="0"/>
              <w:rPr>
                <w:color w:val="4F81BD" w:themeColor="accent1"/>
                <w:szCs w:val="20"/>
              </w:rPr>
            </w:pPr>
            <w:r w:rsidRPr="003B4C2A">
              <w:rPr>
                <w:color w:val="4F81BD" w:themeColor="accent1"/>
              </w:rPr>
              <w:t>472</w:t>
            </w:r>
          </w:p>
        </w:tc>
        <w:tc>
          <w:tcPr>
            <w:tcW w:w="1172" w:type="dxa"/>
          </w:tcPr>
          <w:p w14:paraId="18C01368" w14:textId="6AD4E634" w:rsidR="009449D1" w:rsidRPr="003B4C2A" w:rsidRDefault="009449D1" w:rsidP="009449D1">
            <w:pPr>
              <w:spacing w:before="0" w:after="0"/>
              <w:rPr>
                <w:color w:val="4F81BD" w:themeColor="accent1"/>
                <w:szCs w:val="20"/>
              </w:rPr>
            </w:pPr>
            <w:r w:rsidRPr="003B4C2A">
              <w:rPr>
                <w:color w:val="4F81BD" w:themeColor="accent1"/>
              </w:rPr>
              <w:t>490</w:t>
            </w:r>
          </w:p>
        </w:tc>
      </w:tr>
      <w:tr w:rsidR="009449D1" w:rsidRPr="003B4C2A" w14:paraId="78FBBA04" w14:textId="77777777" w:rsidTr="00B5325A">
        <w:tc>
          <w:tcPr>
            <w:tcW w:w="4903" w:type="dxa"/>
          </w:tcPr>
          <w:p w14:paraId="523F47E9" w14:textId="42571937" w:rsidR="009449D1" w:rsidRPr="003B4C2A" w:rsidRDefault="009449D1" w:rsidP="009449D1">
            <w:pPr>
              <w:spacing w:before="0" w:after="0"/>
              <w:rPr>
                <w:color w:val="4F81BD" w:themeColor="accent1"/>
              </w:rPr>
            </w:pPr>
            <w:r w:rsidRPr="003B4C2A">
              <w:rPr>
                <w:color w:val="4F81BD" w:themeColor="accent1"/>
              </w:rPr>
              <w:t>% performed in private setting</w:t>
            </w:r>
          </w:p>
        </w:tc>
        <w:tc>
          <w:tcPr>
            <w:tcW w:w="1173" w:type="dxa"/>
          </w:tcPr>
          <w:p w14:paraId="60B689F0" w14:textId="049044CB" w:rsidR="009449D1" w:rsidRPr="003B4C2A" w:rsidRDefault="009449D1" w:rsidP="009449D1">
            <w:pPr>
              <w:spacing w:before="0" w:after="0"/>
              <w:rPr>
                <w:color w:val="4F81BD" w:themeColor="accent1"/>
                <w:szCs w:val="20"/>
              </w:rPr>
            </w:pPr>
            <w:r w:rsidRPr="003B4C2A">
              <w:rPr>
                <w:color w:val="4F81BD" w:themeColor="accent1"/>
              </w:rPr>
              <w:t>38.6%</w:t>
            </w:r>
          </w:p>
        </w:tc>
        <w:tc>
          <w:tcPr>
            <w:tcW w:w="1173" w:type="dxa"/>
          </w:tcPr>
          <w:p w14:paraId="55D6A34A" w14:textId="2DABC270" w:rsidR="009449D1" w:rsidRPr="003B4C2A" w:rsidRDefault="009449D1" w:rsidP="009449D1">
            <w:pPr>
              <w:spacing w:before="0" w:after="0"/>
              <w:rPr>
                <w:color w:val="4F81BD" w:themeColor="accent1"/>
                <w:szCs w:val="20"/>
              </w:rPr>
            </w:pPr>
            <w:r w:rsidRPr="003B4C2A">
              <w:rPr>
                <w:color w:val="4F81BD" w:themeColor="accent1"/>
              </w:rPr>
              <w:t>38.6%</w:t>
            </w:r>
          </w:p>
        </w:tc>
        <w:tc>
          <w:tcPr>
            <w:tcW w:w="1172" w:type="dxa"/>
          </w:tcPr>
          <w:p w14:paraId="26432553" w14:textId="314F2059" w:rsidR="009449D1" w:rsidRPr="003B4C2A" w:rsidRDefault="009449D1" w:rsidP="009449D1">
            <w:pPr>
              <w:spacing w:before="0" w:after="0"/>
              <w:rPr>
                <w:color w:val="4F81BD" w:themeColor="accent1"/>
                <w:szCs w:val="20"/>
              </w:rPr>
            </w:pPr>
            <w:r w:rsidRPr="003B4C2A">
              <w:rPr>
                <w:color w:val="4F81BD" w:themeColor="accent1"/>
              </w:rPr>
              <w:t>38.6%</w:t>
            </w:r>
          </w:p>
        </w:tc>
      </w:tr>
      <w:tr w:rsidR="009449D1" w:rsidRPr="003B4C2A" w14:paraId="7E11AA98" w14:textId="77777777" w:rsidTr="009449D1">
        <w:tc>
          <w:tcPr>
            <w:tcW w:w="4903" w:type="dxa"/>
            <w:tcBorders>
              <w:bottom w:val="single" w:sz="4" w:space="0" w:color="auto"/>
            </w:tcBorders>
          </w:tcPr>
          <w:p w14:paraId="7A31F24B" w14:textId="1EC69E13" w:rsidR="009449D1" w:rsidRPr="003B4C2A" w:rsidRDefault="009449D1" w:rsidP="009449D1">
            <w:pPr>
              <w:spacing w:before="0" w:after="0"/>
              <w:rPr>
                <w:color w:val="4F81BD" w:themeColor="accent1"/>
              </w:rPr>
            </w:pPr>
            <w:r w:rsidRPr="003B4C2A">
              <w:rPr>
                <w:color w:val="4F81BD" w:themeColor="accent1"/>
              </w:rPr>
              <w:t>Total performed in a private setting</w:t>
            </w:r>
          </w:p>
        </w:tc>
        <w:tc>
          <w:tcPr>
            <w:tcW w:w="1173" w:type="dxa"/>
            <w:tcBorders>
              <w:bottom w:val="single" w:sz="4" w:space="0" w:color="auto"/>
            </w:tcBorders>
          </w:tcPr>
          <w:p w14:paraId="69291071" w14:textId="4398D21F" w:rsidR="009449D1" w:rsidRPr="003B4C2A" w:rsidRDefault="009449D1" w:rsidP="009449D1">
            <w:pPr>
              <w:spacing w:before="0" w:after="0"/>
              <w:rPr>
                <w:color w:val="4F81BD" w:themeColor="accent1"/>
              </w:rPr>
            </w:pPr>
            <w:r w:rsidRPr="003B4C2A">
              <w:rPr>
                <w:color w:val="4F81BD" w:themeColor="accent1"/>
                <w:szCs w:val="20"/>
              </w:rPr>
              <w:t>175</w:t>
            </w:r>
          </w:p>
        </w:tc>
        <w:tc>
          <w:tcPr>
            <w:tcW w:w="1173" w:type="dxa"/>
            <w:tcBorders>
              <w:bottom w:val="single" w:sz="4" w:space="0" w:color="auto"/>
            </w:tcBorders>
          </w:tcPr>
          <w:p w14:paraId="6768C026" w14:textId="58C1B64B" w:rsidR="009449D1" w:rsidRPr="003B4C2A" w:rsidRDefault="009449D1" w:rsidP="009449D1">
            <w:pPr>
              <w:spacing w:before="0" w:after="0"/>
              <w:rPr>
                <w:color w:val="4F81BD" w:themeColor="accent1"/>
              </w:rPr>
            </w:pPr>
            <w:r w:rsidRPr="003B4C2A">
              <w:rPr>
                <w:color w:val="4F81BD" w:themeColor="accent1"/>
                <w:szCs w:val="20"/>
              </w:rPr>
              <w:t>182</w:t>
            </w:r>
          </w:p>
        </w:tc>
        <w:tc>
          <w:tcPr>
            <w:tcW w:w="1172" w:type="dxa"/>
            <w:tcBorders>
              <w:bottom w:val="single" w:sz="4" w:space="0" w:color="auto"/>
            </w:tcBorders>
          </w:tcPr>
          <w:p w14:paraId="38A070BC" w14:textId="1A7B3C95" w:rsidR="009449D1" w:rsidRPr="003B4C2A" w:rsidRDefault="009449D1" w:rsidP="009449D1">
            <w:pPr>
              <w:spacing w:before="0" w:after="0"/>
              <w:rPr>
                <w:color w:val="4F81BD" w:themeColor="accent1"/>
              </w:rPr>
            </w:pPr>
            <w:r w:rsidRPr="003B4C2A">
              <w:rPr>
                <w:color w:val="4F81BD" w:themeColor="accent1"/>
                <w:szCs w:val="20"/>
              </w:rPr>
              <w:t>189</w:t>
            </w:r>
          </w:p>
        </w:tc>
      </w:tr>
      <w:tr w:rsidR="009449D1" w:rsidRPr="003B4C2A" w14:paraId="67710A8D" w14:textId="77777777" w:rsidTr="009449D1">
        <w:tc>
          <w:tcPr>
            <w:tcW w:w="4903" w:type="dxa"/>
            <w:tcBorders>
              <w:right w:val="nil"/>
            </w:tcBorders>
          </w:tcPr>
          <w:p w14:paraId="36C907D1" w14:textId="6FA24811" w:rsidR="009449D1" w:rsidRPr="003B4C2A" w:rsidRDefault="009449D1" w:rsidP="009449D1">
            <w:pPr>
              <w:spacing w:before="0" w:after="0"/>
              <w:rPr>
                <w:color w:val="4F81BD" w:themeColor="accent1"/>
              </w:rPr>
            </w:pPr>
            <w:r w:rsidRPr="003B4C2A">
              <w:rPr>
                <w:color w:val="4F81BD" w:themeColor="accent1"/>
              </w:rPr>
              <w:t xml:space="preserve">Additional utilisation post listing </w:t>
            </w:r>
          </w:p>
        </w:tc>
        <w:tc>
          <w:tcPr>
            <w:tcW w:w="1173" w:type="dxa"/>
            <w:tcBorders>
              <w:left w:val="nil"/>
              <w:right w:val="nil"/>
            </w:tcBorders>
          </w:tcPr>
          <w:p w14:paraId="593DA9E0" w14:textId="5AE466DE" w:rsidR="009449D1" w:rsidRPr="003B4C2A" w:rsidRDefault="009449D1" w:rsidP="009449D1">
            <w:pPr>
              <w:spacing w:before="0" w:after="0"/>
              <w:rPr>
                <w:color w:val="4F81BD" w:themeColor="accent1"/>
              </w:rPr>
            </w:pPr>
          </w:p>
        </w:tc>
        <w:tc>
          <w:tcPr>
            <w:tcW w:w="1173" w:type="dxa"/>
            <w:tcBorders>
              <w:left w:val="nil"/>
              <w:right w:val="nil"/>
            </w:tcBorders>
          </w:tcPr>
          <w:p w14:paraId="2DAAE51F" w14:textId="68CEA6DD" w:rsidR="009449D1" w:rsidRPr="003B4C2A" w:rsidRDefault="009449D1" w:rsidP="009449D1">
            <w:pPr>
              <w:spacing w:before="0" w:after="0"/>
              <w:rPr>
                <w:color w:val="4F81BD" w:themeColor="accent1"/>
              </w:rPr>
            </w:pPr>
          </w:p>
        </w:tc>
        <w:tc>
          <w:tcPr>
            <w:tcW w:w="1172" w:type="dxa"/>
            <w:tcBorders>
              <w:left w:val="nil"/>
            </w:tcBorders>
          </w:tcPr>
          <w:p w14:paraId="10249B93" w14:textId="5C314270" w:rsidR="009449D1" w:rsidRPr="003B4C2A" w:rsidRDefault="009449D1" w:rsidP="009449D1">
            <w:pPr>
              <w:spacing w:before="0" w:after="0"/>
              <w:rPr>
                <w:color w:val="4F81BD" w:themeColor="accent1"/>
              </w:rPr>
            </w:pPr>
          </w:p>
        </w:tc>
      </w:tr>
      <w:tr w:rsidR="009449D1" w:rsidRPr="003B4C2A" w14:paraId="1513A226" w14:textId="77777777" w:rsidTr="00B5325A">
        <w:tc>
          <w:tcPr>
            <w:tcW w:w="4903" w:type="dxa"/>
          </w:tcPr>
          <w:p w14:paraId="14E0E0FD" w14:textId="3FB3B5A7" w:rsidR="009449D1" w:rsidRPr="003B4C2A" w:rsidRDefault="009449D1" w:rsidP="009449D1">
            <w:pPr>
              <w:spacing w:before="0" w:after="0"/>
              <w:rPr>
                <w:color w:val="4F81BD" w:themeColor="accent1"/>
              </w:rPr>
            </w:pPr>
            <w:r w:rsidRPr="003B4C2A">
              <w:rPr>
                <w:color w:val="4F81BD" w:themeColor="accent1"/>
              </w:rPr>
              <w:t xml:space="preserve">Total clipping and coiling procedures in private setting </w:t>
            </w:r>
          </w:p>
        </w:tc>
        <w:tc>
          <w:tcPr>
            <w:tcW w:w="1173" w:type="dxa"/>
          </w:tcPr>
          <w:p w14:paraId="1224136B" w14:textId="2171286F" w:rsidR="009449D1" w:rsidRPr="003B4C2A" w:rsidRDefault="009449D1" w:rsidP="009449D1">
            <w:pPr>
              <w:spacing w:before="0" w:after="0"/>
              <w:rPr>
                <w:color w:val="4F81BD" w:themeColor="accent1"/>
              </w:rPr>
            </w:pPr>
            <w:r w:rsidRPr="003B4C2A">
              <w:rPr>
                <w:color w:val="4F81BD" w:themeColor="accent1"/>
              </w:rPr>
              <w:t>930</w:t>
            </w:r>
            <w:r w:rsidR="000A3913" w:rsidRPr="003B4C2A">
              <w:rPr>
                <w:color w:val="4F81BD" w:themeColor="accent1"/>
                <w:vertAlign w:val="superscript"/>
              </w:rPr>
              <w:t>b</w:t>
            </w:r>
          </w:p>
        </w:tc>
        <w:tc>
          <w:tcPr>
            <w:tcW w:w="1173" w:type="dxa"/>
          </w:tcPr>
          <w:p w14:paraId="0D09AA9E" w14:textId="0D28F3E8" w:rsidR="009449D1" w:rsidRPr="003B4C2A" w:rsidRDefault="009449D1" w:rsidP="009449D1">
            <w:pPr>
              <w:spacing w:before="0" w:after="0"/>
              <w:rPr>
                <w:color w:val="4F81BD" w:themeColor="accent1"/>
              </w:rPr>
            </w:pPr>
            <w:r w:rsidRPr="003B4C2A">
              <w:rPr>
                <w:color w:val="4F81BD" w:themeColor="accent1"/>
              </w:rPr>
              <w:t>970</w:t>
            </w:r>
            <w:r w:rsidR="000A3913" w:rsidRPr="003B4C2A">
              <w:rPr>
                <w:color w:val="4F81BD" w:themeColor="accent1"/>
                <w:vertAlign w:val="superscript"/>
              </w:rPr>
              <w:t>b</w:t>
            </w:r>
          </w:p>
        </w:tc>
        <w:tc>
          <w:tcPr>
            <w:tcW w:w="1172" w:type="dxa"/>
          </w:tcPr>
          <w:p w14:paraId="46E33276" w14:textId="7721CCFE" w:rsidR="009449D1" w:rsidRPr="003B4C2A" w:rsidRDefault="009449D1" w:rsidP="009449D1">
            <w:pPr>
              <w:spacing w:before="0" w:after="0"/>
              <w:rPr>
                <w:color w:val="4F81BD" w:themeColor="accent1"/>
              </w:rPr>
            </w:pPr>
            <w:r w:rsidRPr="003B4C2A">
              <w:rPr>
                <w:color w:val="4F81BD" w:themeColor="accent1"/>
              </w:rPr>
              <w:t>1,011</w:t>
            </w:r>
            <w:r w:rsidR="000A3913" w:rsidRPr="003B4C2A">
              <w:rPr>
                <w:color w:val="4F81BD" w:themeColor="accent1"/>
                <w:vertAlign w:val="superscript"/>
              </w:rPr>
              <w:t>b</w:t>
            </w:r>
          </w:p>
        </w:tc>
      </w:tr>
      <w:tr w:rsidR="00152284" w:rsidRPr="003B4C2A" w14:paraId="389F89FD" w14:textId="77777777" w:rsidTr="00B5325A">
        <w:tc>
          <w:tcPr>
            <w:tcW w:w="4903" w:type="dxa"/>
          </w:tcPr>
          <w:p w14:paraId="4393903F" w14:textId="6C4C9CB6" w:rsidR="00152284" w:rsidRPr="003B4C2A" w:rsidRDefault="00152284" w:rsidP="00152284">
            <w:pPr>
              <w:spacing w:before="0" w:after="0"/>
              <w:rPr>
                <w:color w:val="4F81BD" w:themeColor="accent1"/>
              </w:rPr>
            </w:pPr>
            <w:r w:rsidRPr="003B4C2A">
              <w:rPr>
                <w:color w:val="4F81BD" w:themeColor="accent1"/>
              </w:rPr>
              <w:t xml:space="preserve">% of clipping and coiling procedures substituted with FDD in private setting </w:t>
            </w:r>
          </w:p>
        </w:tc>
        <w:tc>
          <w:tcPr>
            <w:tcW w:w="1173" w:type="dxa"/>
          </w:tcPr>
          <w:p w14:paraId="0F11A9CA" w14:textId="410EEF3B" w:rsidR="00152284" w:rsidRPr="003B4C2A" w:rsidRDefault="00152284" w:rsidP="00152284">
            <w:pPr>
              <w:spacing w:before="0" w:after="0"/>
              <w:rPr>
                <w:color w:val="4F81BD" w:themeColor="accent1"/>
              </w:rPr>
            </w:pPr>
            <w:r w:rsidRPr="003B4C2A">
              <w:rPr>
                <w:color w:val="4F81BD" w:themeColor="accent1"/>
              </w:rPr>
              <w:t>25%</w:t>
            </w:r>
          </w:p>
        </w:tc>
        <w:tc>
          <w:tcPr>
            <w:tcW w:w="1173" w:type="dxa"/>
          </w:tcPr>
          <w:p w14:paraId="33AB6940" w14:textId="17E3D22A" w:rsidR="00152284" w:rsidRPr="003B4C2A" w:rsidRDefault="00152284" w:rsidP="00152284">
            <w:pPr>
              <w:spacing w:before="0" w:after="0"/>
              <w:rPr>
                <w:color w:val="4F81BD" w:themeColor="accent1"/>
              </w:rPr>
            </w:pPr>
            <w:r w:rsidRPr="003B4C2A">
              <w:rPr>
                <w:color w:val="4F81BD" w:themeColor="accent1"/>
              </w:rPr>
              <w:t>30%</w:t>
            </w:r>
          </w:p>
        </w:tc>
        <w:tc>
          <w:tcPr>
            <w:tcW w:w="1172" w:type="dxa"/>
          </w:tcPr>
          <w:p w14:paraId="51F17EEF" w14:textId="64346B66" w:rsidR="00152284" w:rsidRPr="003B4C2A" w:rsidRDefault="00152284" w:rsidP="00152284">
            <w:pPr>
              <w:spacing w:before="0" w:after="0"/>
              <w:rPr>
                <w:color w:val="4F81BD" w:themeColor="accent1"/>
              </w:rPr>
            </w:pPr>
            <w:r w:rsidRPr="003B4C2A">
              <w:rPr>
                <w:color w:val="4F81BD" w:themeColor="accent1"/>
              </w:rPr>
              <w:t>35%</w:t>
            </w:r>
          </w:p>
        </w:tc>
      </w:tr>
      <w:tr w:rsidR="00152284" w:rsidRPr="003B4C2A" w14:paraId="18ABC630" w14:textId="77777777" w:rsidTr="00B5325A">
        <w:tc>
          <w:tcPr>
            <w:tcW w:w="4903" w:type="dxa"/>
          </w:tcPr>
          <w:p w14:paraId="344A3082" w14:textId="5224D22D" w:rsidR="00152284" w:rsidRPr="003B4C2A" w:rsidRDefault="00152284" w:rsidP="00152284">
            <w:pPr>
              <w:spacing w:before="0" w:after="0"/>
              <w:rPr>
                <w:color w:val="4F81BD" w:themeColor="accent1"/>
              </w:rPr>
            </w:pPr>
            <w:r w:rsidRPr="003B4C2A">
              <w:rPr>
                <w:color w:val="4F81BD" w:themeColor="accent1"/>
              </w:rPr>
              <w:t xml:space="preserve">FDD substituted from clipping and coiling </w:t>
            </w:r>
          </w:p>
        </w:tc>
        <w:tc>
          <w:tcPr>
            <w:tcW w:w="1173" w:type="dxa"/>
          </w:tcPr>
          <w:p w14:paraId="1D33B0D6" w14:textId="597A5EC1" w:rsidR="00152284" w:rsidRPr="003B4C2A" w:rsidRDefault="00152284" w:rsidP="00152284">
            <w:pPr>
              <w:spacing w:before="0" w:after="0"/>
              <w:rPr>
                <w:color w:val="4F81BD" w:themeColor="accent1"/>
              </w:rPr>
            </w:pPr>
            <w:r w:rsidRPr="003B4C2A">
              <w:rPr>
                <w:color w:val="4F81BD" w:themeColor="accent1"/>
              </w:rPr>
              <w:t>233</w:t>
            </w:r>
          </w:p>
        </w:tc>
        <w:tc>
          <w:tcPr>
            <w:tcW w:w="1173" w:type="dxa"/>
          </w:tcPr>
          <w:p w14:paraId="6313D1C4" w14:textId="69E460FB" w:rsidR="00152284" w:rsidRPr="003B4C2A" w:rsidRDefault="00152284" w:rsidP="00152284">
            <w:pPr>
              <w:spacing w:before="0" w:after="0"/>
              <w:rPr>
                <w:color w:val="4F81BD" w:themeColor="accent1"/>
              </w:rPr>
            </w:pPr>
            <w:r w:rsidRPr="003B4C2A">
              <w:rPr>
                <w:color w:val="4F81BD" w:themeColor="accent1"/>
              </w:rPr>
              <w:t>291</w:t>
            </w:r>
          </w:p>
        </w:tc>
        <w:tc>
          <w:tcPr>
            <w:tcW w:w="1172" w:type="dxa"/>
          </w:tcPr>
          <w:p w14:paraId="0A6325BF" w14:textId="59FFCA0E" w:rsidR="00152284" w:rsidRPr="003B4C2A" w:rsidRDefault="00152284" w:rsidP="00152284">
            <w:pPr>
              <w:spacing w:before="0" w:after="0"/>
              <w:rPr>
                <w:color w:val="4F81BD" w:themeColor="accent1"/>
              </w:rPr>
            </w:pPr>
            <w:r w:rsidRPr="003B4C2A">
              <w:rPr>
                <w:color w:val="4F81BD" w:themeColor="accent1"/>
              </w:rPr>
              <w:t>354</w:t>
            </w:r>
          </w:p>
        </w:tc>
      </w:tr>
      <w:tr w:rsidR="00152284" w:rsidRPr="003B4C2A" w14:paraId="1324F254" w14:textId="77777777" w:rsidTr="00B5325A">
        <w:tc>
          <w:tcPr>
            <w:tcW w:w="4903" w:type="dxa"/>
          </w:tcPr>
          <w:p w14:paraId="59CEAEB3" w14:textId="699FDD17" w:rsidR="00152284" w:rsidRPr="003B4C2A" w:rsidRDefault="00152284" w:rsidP="00152284">
            <w:pPr>
              <w:spacing w:before="0" w:after="0"/>
              <w:rPr>
                <w:color w:val="4F81BD" w:themeColor="accent1"/>
              </w:rPr>
            </w:pPr>
            <w:r w:rsidRPr="003B4C2A">
              <w:rPr>
                <w:b/>
                <w:color w:val="4F81BD" w:themeColor="accent1"/>
              </w:rPr>
              <w:t>Total estimated utilisation of the proposed medical service via MBS</w:t>
            </w:r>
          </w:p>
        </w:tc>
        <w:tc>
          <w:tcPr>
            <w:tcW w:w="1173" w:type="dxa"/>
          </w:tcPr>
          <w:p w14:paraId="6910FD9D" w14:textId="6375AC3F" w:rsidR="00152284" w:rsidRPr="003B4C2A" w:rsidRDefault="00152284" w:rsidP="00152284">
            <w:pPr>
              <w:spacing w:before="0" w:after="0"/>
              <w:rPr>
                <w:b/>
                <w:color w:val="4F81BD" w:themeColor="accent1"/>
              </w:rPr>
            </w:pPr>
            <w:r w:rsidRPr="003B4C2A">
              <w:rPr>
                <w:b/>
                <w:color w:val="4F81BD" w:themeColor="accent1"/>
              </w:rPr>
              <w:t>408</w:t>
            </w:r>
          </w:p>
        </w:tc>
        <w:tc>
          <w:tcPr>
            <w:tcW w:w="1173" w:type="dxa"/>
          </w:tcPr>
          <w:p w14:paraId="4BDE6227" w14:textId="0DA0539B" w:rsidR="00152284" w:rsidRPr="003B4C2A" w:rsidRDefault="00152284" w:rsidP="00152284">
            <w:pPr>
              <w:spacing w:before="0" w:after="0"/>
              <w:rPr>
                <w:b/>
                <w:color w:val="4F81BD" w:themeColor="accent1"/>
              </w:rPr>
            </w:pPr>
            <w:r w:rsidRPr="003B4C2A">
              <w:rPr>
                <w:b/>
                <w:color w:val="4F81BD" w:themeColor="accent1"/>
              </w:rPr>
              <w:t>473</w:t>
            </w:r>
          </w:p>
        </w:tc>
        <w:tc>
          <w:tcPr>
            <w:tcW w:w="1172" w:type="dxa"/>
          </w:tcPr>
          <w:p w14:paraId="2D683E26" w14:textId="4B659F7B" w:rsidR="00152284" w:rsidRPr="003B4C2A" w:rsidRDefault="00152284" w:rsidP="00152284">
            <w:pPr>
              <w:spacing w:before="0" w:after="0"/>
              <w:rPr>
                <w:b/>
                <w:color w:val="4F81BD" w:themeColor="accent1"/>
              </w:rPr>
            </w:pPr>
            <w:r w:rsidRPr="003B4C2A">
              <w:rPr>
                <w:b/>
                <w:color w:val="4F81BD" w:themeColor="accent1"/>
              </w:rPr>
              <w:t>543</w:t>
            </w:r>
          </w:p>
        </w:tc>
      </w:tr>
    </w:tbl>
    <w:p w14:paraId="3453D4C4" w14:textId="77777777" w:rsidR="002F6026" w:rsidRPr="003B4C2A" w:rsidRDefault="002F6026" w:rsidP="002F6026">
      <w:pPr>
        <w:pStyle w:val="Tablenotes"/>
        <w:ind w:left="425"/>
        <w:rPr>
          <w:color w:val="4F81BD" w:themeColor="accent1"/>
        </w:rPr>
      </w:pPr>
      <w:proofErr w:type="gramStart"/>
      <w:r w:rsidRPr="003B4C2A">
        <w:rPr>
          <w:color w:val="4F81BD" w:themeColor="accent1"/>
          <w:vertAlign w:val="superscript"/>
        </w:rPr>
        <w:t>a</w:t>
      </w:r>
      <w:proofErr w:type="gramEnd"/>
      <w:r w:rsidRPr="003B4C2A">
        <w:rPr>
          <w:color w:val="4F81BD" w:themeColor="accent1"/>
        </w:rPr>
        <w:t xml:space="preserve"> AIHW: Procedure data cubes (2011/12-2015/16) (ACHI 9th </w:t>
      </w:r>
      <w:proofErr w:type="spellStart"/>
      <w:r w:rsidRPr="003B4C2A">
        <w:rPr>
          <w:color w:val="4F81BD" w:themeColor="accent1"/>
        </w:rPr>
        <w:t>ed</w:t>
      </w:r>
      <w:proofErr w:type="spellEnd"/>
      <w:r w:rsidRPr="003B4C2A">
        <w:rPr>
          <w:color w:val="4F81BD" w:themeColor="accent1"/>
        </w:rPr>
        <w:t>): linearly extrapolated out to 2022</w:t>
      </w:r>
    </w:p>
    <w:p w14:paraId="0F162EBC" w14:textId="77777777" w:rsidR="002F6026" w:rsidRPr="003B4C2A" w:rsidRDefault="002F6026" w:rsidP="002F6026">
      <w:pPr>
        <w:pStyle w:val="Tablenotes"/>
        <w:tabs>
          <w:tab w:val="left" w:pos="5392"/>
        </w:tabs>
        <w:ind w:left="425"/>
        <w:rPr>
          <w:color w:val="4F81BD" w:themeColor="accent1"/>
        </w:rPr>
      </w:pPr>
      <w:proofErr w:type="gramStart"/>
      <w:r w:rsidRPr="003B4C2A">
        <w:rPr>
          <w:color w:val="4F81BD" w:themeColor="accent1"/>
          <w:vertAlign w:val="superscript"/>
        </w:rPr>
        <w:t>b</w:t>
      </w:r>
      <w:proofErr w:type="gramEnd"/>
      <w:r w:rsidRPr="003B4C2A">
        <w:rPr>
          <w:color w:val="4F81BD" w:themeColor="accent1"/>
        </w:rPr>
        <w:t xml:space="preserve"> Medicare statistics (2006-2017): linearly extrapolated out to 2022</w:t>
      </w:r>
    </w:p>
    <w:p w14:paraId="08AAF4FF" w14:textId="25EA83DF" w:rsidR="001B171D" w:rsidRPr="00154B00" w:rsidRDefault="001B171D" w:rsidP="00AE1188">
      <w:pPr>
        <w:ind w:left="426"/>
        <w:rPr>
          <w:szCs w:val="20"/>
        </w:rPr>
      </w:pPr>
    </w:p>
    <w:p w14:paraId="218580DA" w14:textId="77777777" w:rsidR="003433D1" w:rsidRDefault="003433D1">
      <w:pPr>
        <w:rPr>
          <w:b/>
          <w:sz w:val="32"/>
          <w:szCs w:val="32"/>
        </w:rPr>
      </w:pPr>
      <w:r>
        <w:rPr>
          <w:b/>
          <w:sz w:val="32"/>
          <w:szCs w:val="32"/>
        </w:rPr>
        <w:br w:type="page"/>
      </w:r>
    </w:p>
    <w:p w14:paraId="19ACF71A"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1B905400"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5E0E412E" w14:textId="6A9CC297" w:rsidR="0068115F" w:rsidRPr="003B4C2A" w:rsidRDefault="0068115F" w:rsidP="0068115F">
      <w:pPr>
        <w:ind w:left="426"/>
        <w:rPr>
          <w:color w:val="4F81BD" w:themeColor="accent1"/>
          <w:szCs w:val="20"/>
        </w:rPr>
      </w:pPr>
      <w:r w:rsidRPr="003B4C2A">
        <w:rPr>
          <w:color w:val="4F81BD" w:themeColor="accent1"/>
          <w:szCs w:val="20"/>
        </w:rPr>
        <w:t>The provision of the proposed medical service, endovascular insertion of FDD, is estimated to cost $</w:t>
      </w:r>
      <w:r w:rsidR="00EA6E11" w:rsidRPr="003B4C2A">
        <w:rPr>
          <w:color w:val="4F81BD" w:themeColor="accent1"/>
          <w:szCs w:val="20"/>
        </w:rPr>
        <w:t>23,103</w:t>
      </w:r>
      <w:r w:rsidRPr="003B4C2A">
        <w:rPr>
          <w:color w:val="4F81BD" w:themeColor="accent1"/>
          <w:szCs w:val="20"/>
        </w:rPr>
        <w:t xml:space="preserve"> for the treatment of UIA &lt; 10mm) and $</w:t>
      </w:r>
      <w:r w:rsidR="00EA6E11" w:rsidRPr="003B4C2A">
        <w:rPr>
          <w:color w:val="4F81BD" w:themeColor="accent1"/>
          <w:szCs w:val="20"/>
        </w:rPr>
        <w:t>25,042</w:t>
      </w:r>
      <w:r w:rsidRPr="003B4C2A">
        <w:rPr>
          <w:color w:val="4F81BD" w:themeColor="accent1"/>
          <w:szCs w:val="20"/>
        </w:rPr>
        <w:t xml:space="preserve"> for the treatment of UIAs ≥ 10mm. Cost estimates are comprised of; device (FDDs), </w:t>
      </w:r>
      <w:r w:rsidR="00242C53" w:rsidRPr="003B4C2A">
        <w:rPr>
          <w:color w:val="4F81BD" w:themeColor="accent1"/>
          <w:szCs w:val="20"/>
        </w:rPr>
        <w:t xml:space="preserve">FDD insertion, </w:t>
      </w:r>
      <w:r w:rsidRPr="003B4C2A">
        <w:rPr>
          <w:color w:val="4F81BD" w:themeColor="accent1"/>
          <w:szCs w:val="20"/>
        </w:rPr>
        <w:t>anaesthesia (initiation and time units), imaging (</w:t>
      </w:r>
      <w:r w:rsidR="00EF1E73" w:rsidRPr="003B4C2A">
        <w:rPr>
          <w:color w:val="4F81BD" w:themeColor="accent1"/>
          <w:szCs w:val="20"/>
        </w:rPr>
        <w:t>DSA</w:t>
      </w:r>
      <w:r w:rsidRPr="003B4C2A">
        <w:rPr>
          <w:color w:val="4F81BD" w:themeColor="accent1"/>
          <w:szCs w:val="20"/>
        </w:rPr>
        <w:t xml:space="preserve">) and consumable (catheters and </w:t>
      </w:r>
      <w:proofErr w:type="spellStart"/>
      <w:r w:rsidRPr="003B4C2A">
        <w:rPr>
          <w:color w:val="4F81BD" w:themeColor="accent1"/>
          <w:szCs w:val="20"/>
        </w:rPr>
        <w:t>microwires</w:t>
      </w:r>
      <w:proofErr w:type="spellEnd"/>
      <w:r w:rsidRPr="003B4C2A">
        <w:rPr>
          <w:color w:val="4F81BD" w:themeColor="accent1"/>
          <w:szCs w:val="20"/>
        </w:rPr>
        <w:t xml:space="preserve">) costs. </w:t>
      </w:r>
      <w:r w:rsidRPr="003B4C2A">
        <w:rPr>
          <w:color w:val="4F81BD" w:themeColor="accent1"/>
          <w:szCs w:val="20"/>
        </w:rPr>
        <w:fldChar w:fldCharType="begin"/>
      </w:r>
      <w:r w:rsidRPr="003B4C2A">
        <w:rPr>
          <w:color w:val="4F81BD" w:themeColor="accent1"/>
          <w:szCs w:val="20"/>
        </w:rPr>
        <w:instrText xml:space="preserve"> REF _Ref516231804 \h </w:instrText>
      </w:r>
      <w:r w:rsidRPr="003B4C2A">
        <w:rPr>
          <w:color w:val="4F81BD" w:themeColor="accent1"/>
          <w:szCs w:val="20"/>
        </w:rPr>
      </w:r>
      <w:r w:rsidRPr="003B4C2A">
        <w:rPr>
          <w:color w:val="4F81BD" w:themeColor="accent1"/>
          <w:szCs w:val="20"/>
        </w:rPr>
        <w:fldChar w:fldCharType="separate"/>
      </w:r>
      <w:r w:rsidRPr="003B4C2A">
        <w:rPr>
          <w:color w:val="4F81BD" w:themeColor="accent1"/>
        </w:rPr>
        <w:t xml:space="preserve">Table </w:t>
      </w:r>
      <w:r w:rsidRPr="003B4C2A">
        <w:rPr>
          <w:noProof/>
          <w:color w:val="4F81BD" w:themeColor="accent1"/>
        </w:rPr>
        <w:t>7</w:t>
      </w:r>
      <w:r w:rsidRPr="003B4C2A">
        <w:rPr>
          <w:color w:val="4F81BD" w:themeColor="accent1"/>
          <w:szCs w:val="20"/>
        </w:rPr>
        <w:fldChar w:fldCharType="end"/>
      </w:r>
      <w:r w:rsidRPr="003B4C2A">
        <w:rPr>
          <w:color w:val="4F81BD" w:themeColor="accent1"/>
          <w:szCs w:val="20"/>
        </w:rPr>
        <w:t xml:space="preserve"> provides breakdown of estimated procedure costs associated with the endovascular insertion of FDD.</w:t>
      </w:r>
    </w:p>
    <w:p w14:paraId="63E775B3" w14:textId="023B4810" w:rsidR="0068115F" w:rsidRDefault="0068115F" w:rsidP="0068115F">
      <w:pPr>
        <w:pStyle w:val="Caption"/>
        <w:keepNext/>
        <w:ind w:left="425"/>
      </w:pPr>
      <w:bookmarkStart w:id="23" w:name="_Ref516231804"/>
      <w:r>
        <w:t xml:space="preserve">Table </w:t>
      </w:r>
      <w:r w:rsidR="00F64073">
        <w:rPr>
          <w:noProof/>
        </w:rPr>
        <w:fldChar w:fldCharType="begin"/>
      </w:r>
      <w:r w:rsidR="00F64073">
        <w:rPr>
          <w:noProof/>
        </w:rPr>
        <w:instrText xml:space="preserve"> SEQ Table \* ARABIC </w:instrText>
      </w:r>
      <w:r w:rsidR="00F64073">
        <w:rPr>
          <w:noProof/>
        </w:rPr>
        <w:fldChar w:fldCharType="separate"/>
      </w:r>
      <w:r w:rsidR="00CA2489">
        <w:rPr>
          <w:noProof/>
        </w:rPr>
        <w:t>9</w:t>
      </w:r>
      <w:r w:rsidR="00F64073">
        <w:rPr>
          <w:noProof/>
        </w:rPr>
        <w:fldChar w:fldCharType="end"/>
      </w:r>
      <w:bookmarkEnd w:id="23"/>
      <w:r>
        <w:tab/>
        <w:t>Costs associated with the endovascular insertion of FDD</w:t>
      </w:r>
    </w:p>
    <w:tbl>
      <w:tblPr>
        <w:tblStyle w:val="TableGrid"/>
        <w:tblW w:w="0" w:type="auto"/>
        <w:tblInd w:w="426" w:type="dxa"/>
        <w:tblLook w:val="04A0" w:firstRow="1" w:lastRow="0" w:firstColumn="1" w:lastColumn="0" w:noHBand="0" w:noVBand="1"/>
        <w:tblCaption w:val="Table showing Costs associated with the endovascular insertion of FDD"/>
      </w:tblPr>
      <w:tblGrid>
        <w:gridCol w:w="1009"/>
        <w:gridCol w:w="2810"/>
        <w:gridCol w:w="1477"/>
        <w:gridCol w:w="1477"/>
        <w:gridCol w:w="1817"/>
      </w:tblGrid>
      <w:tr w:rsidR="0068115F" w:rsidRPr="003B4C2A" w14:paraId="0D9EE8D1" w14:textId="77777777" w:rsidTr="00A03D42">
        <w:trPr>
          <w:tblHeader/>
        </w:trPr>
        <w:tc>
          <w:tcPr>
            <w:tcW w:w="1009" w:type="dxa"/>
          </w:tcPr>
          <w:p w14:paraId="419B34C3" w14:textId="77777777" w:rsidR="0068115F" w:rsidRPr="003B4C2A" w:rsidRDefault="0068115F" w:rsidP="00345E2B">
            <w:pPr>
              <w:pStyle w:val="Tables"/>
              <w:rPr>
                <w:b/>
                <w:color w:val="4F81BD" w:themeColor="accent1"/>
              </w:rPr>
            </w:pPr>
            <w:r w:rsidRPr="003B4C2A">
              <w:rPr>
                <w:b/>
                <w:color w:val="4F81BD" w:themeColor="accent1"/>
              </w:rPr>
              <w:t>Row</w:t>
            </w:r>
          </w:p>
        </w:tc>
        <w:tc>
          <w:tcPr>
            <w:tcW w:w="2810" w:type="dxa"/>
          </w:tcPr>
          <w:p w14:paraId="7A43E36B" w14:textId="77777777" w:rsidR="0068115F" w:rsidRPr="003B4C2A" w:rsidRDefault="0068115F" w:rsidP="00345E2B">
            <w:pPr>
              <w:pStyle w:val="Tables"/>
              <w:rPr>
                <w:b/>
                <w:color w:val="4F81BD" w:themeColor="accent1"/>
              </w:rPr>
            </w:pPr>
            <w:r w:rsidRPr="003B4C2A">
              <w:rPr>
                <w:b/>
                <w:color w:val="4F81BD" w:themeColor="accent1"/>
              </w:rPr>
              <w:t>Parameter</w:t>
            </w:r>
          </w:p>
        </w:tc>
        <w:tc>
          <w:tcPr>
            <w:tcW w:w="1477" w:type="dxa"/>
          </w:tcPr>
          <w:p w14:paraId="1978841F" w14:textId="2F957C0A" w:rsidR="0068115F" w:rsidRPr="003B4C2A" w:rsidRDefault="0068115F" w:rsidP="00345E2B">
            <w:pPr>
              <w:pStyle w:val="Tables"/>
              <w:rPr>
                <w:b/>
                <w:color w:val="4F81BD" w:themeColor="accent1"/>
              </w:rPr>
            </w:pPr>
            <w:r w:rsidRPr="003B4C2A">
              <w:rPr>
                <w:b/>
                <w:color w:val="4F81BD" w:themeColor="accent1"/>
              </w:rPr>
              <w:t>&lt; 10 mm aneurysms</w:t>
            </w:r>
          </w:p>
        </w:tc>
        <w:tc>
          <w:tcPr>
            <w:tcW w:w="1477" w:type="dxa"/>
          </w:tcPr>
          <w:p w14:paraId="3F7163AA" w14:textId="4B9AB7DD" w:rsidR="0068115F" w:rsidRPr="003B4C2A" w:rsidRDefault="0068115F" w:rsidP="00345E2B">
            <w:pPr>
              <w:pStyle w:val="Tables"/>
              <w:rPr>
                <w:b/>
                <w:color w:val="4F81BD" w:themeColor="accent1"/>
              </w:rPr>
            </w:pPr>
            <w:r w:rsidRPr="003B4C2A">
              <w:rPr>
                <w:b/>
                <w:color w:val="4F81BD" w:themeColor="accent1"/>
              </w:rPr>
              <w:t>≥ 10 mm aneurysms</w:t>
            </w:r>
          </w:p>
        </w:tc>
        <w:tc>
          <w:tcPr>
            <w:tcW w:w="1817" w:type="dxa"/>
          </w:tcPr>
          <w:p w14:paraId="7C0958C1" w14:textId="77777777" w:rsidR="0068115F" w:rsidRPr="003B4C2A" w:rsidRDefault="0068115F" w:rsidP="00345E2B">
            <w:pPr>
              <w:pStyle w:val="Tables"/>
              <w:rPr>
                <w:b/>
                <w:color w:val="4F81BD" w:themeColor="accent1"/>
              </w:rPr>
            </w:pPr>
            <w:r w:rsidRPr="003B4C2A">
              <w:rPr>
                <w:b/>
                <w:color w:val="4F81BD" w:themeColor="accent1"/>
              </w:rPr>
              <w:t>Source/calculation</w:t>
            </w:r>
          </w:p>
        </w:tc>
      </w:tr>
      <w:tr w:rsidR="0068115F" w:rsidRPr="003B4C2A" w14:paraId="65317054" w14:textId="77777777" w:rsidTr="00242C53">
        <w:tc>
          <w:tcPr>
            <w:tcW w:w="1009" w:type="dxa"/>
          </w:tcPr>
          <w:p w14:paraId="2456416A" w14:textId="77777777" w:rsidR="0068115F" w:rsidRPr="003B4C2A" w:rsidRDefault="0068115F" w:rsidP="00345E2B">
            <w:pPr>
              <w:pStyle w:val="Tables"/>
              <w:rPr>
                <w:color w:val="4F81BD" w:themeColor="accent1"/>
              </w:rPr>
            </w:pPr>
            <w:r w:rsidRPr="003B4C2A">
              <w:rPr>
                <w:color w:val="4F81BD" w:themeColor="accent1"/>
              </w:rPr>
              <w:t>A</w:t>
            </w:r>
          </w:p>
        </w:tc>
        <w:tc>
          <w:tcPr>
            <w:tcW w:w="2810" w:type="dxa"/>
          </w:tcPr>
          <w:p w14:paraId="1C184EC9" w14:textId="4BF66E2F" w:rsidR="0068115F" w:rsidRPr="003B4C2A" w:rsidRDefault="0068115F" w:rsidP="00345E2B">
            <w:pPr>
              <w:pStyle w:val="Tables"/>
              <w:rPr>
                <w:color w:val="4F81BD" w:themeColor="accent1"/>
              </w:rPr>
            </w:pPr>
            <w:r w:rsidRPr="003B4C2A">
              <w:rPr>
                <w:color w:val="4F81BD" w:themeColor="accent1"/>
              </w:rPr>
              <w:t>Mean</w:t>
            </w:r>
            <w:r w:rsidR="00EF1E73" w:rsidRPr="003B4C2A">
              <w:rPr>
                <w:color w:val="4F81BD" w:themeColor="accent1"/>
              </w:rPr>
              <w:t xml:space="preserve"> </w:t>
            </w:r>
            <w:r w:rsidRPr="003B4C2A">
              <w:rPr>
                <w:color w:val="4F81BD" w:themeColor="accent1"/>
              </w:rPr>
              <w:t>FDDs per procedure</w:t>
            </w:r>
          </w:p>
        </w:tc>
        <w:tc>
          <w:tcPr>
            <w:tcW w:w="1477" w:type="dxa"/>
          </w:tcPr>
          <w:p w14:paraId="6B932F3D" w14:textId="77777777" w:rsidR="0068115F" w:rsidRPr="003B4C2A" w:rsidRDefault="0068115F" w:rsidP="00345E2B">
            <w:pPr>
              <w:pStyle w:val="Tables"/>
              <w:rPr>
                <w:color w:val="4F81BD" w:themeColor="accent1"/>
              </w:rPr>
            </w:pPr>
            <w:r w:rsidRPr="003B4C2A">
              <w:rPr>
                <w:color w:val="4F81BD" w:themeColor="accent1"/>
              </w:rPr>
              <w:t>1.0</w:t>
            </w:r>
          </w:p>
        </w:tc>
        <w:tc>
          <w:tcPr>
            <w:tcW w:w="1477" w:type="dxa"/>
          </w:tcPr>
          <w:p w14:paraId="0888162C" w14:textId="77777777" w:rsidR="0068115F" w:rsidRPr="003B4C2A" w:rsidRDefault="0068115F" w:rsidP="00345E2B">
            <w:pPr>
              <w:pStyle w:val="Tables"/>
              <w:rPr>
                <w:color w:val="4F81BD" w:themeColor="accent1"/>
              </w:rPr>
            </w:pPr>
            <w:r w:rsidRPr="003B4C2A">
              <w:rPr>
                <w:color w:val="4F81BD" w:themeColor="accent1"/>
              </w:rPr>
              <w:t>1.67</w:t>
            </w:r>
          </w:p>
        </w:tc>
        <w:tc>
          <w:tcPr>
            <w:tcW w:w="1817" w:type="dxa"/>
          </w:tcPr>
          <w:p w14:paraId="67C755BF" w14:textId="77777777" w:rsidR="0068115F" w:rsidRPr="003B4C2A" w:rsidRDefault="0068115F" w:rsidP="00345E2B">
            <w:pPr>
              <w:pStyle w:val="Tables"/>
              <w:rPr>
                <w:color w:val="4F81BD" w:themeColor="accent1"/>
              </w:rPr>
            </w:pPr>
            <w:r w:rsidRPr="003B4C2A">
              <w:rPr>
                <w:color w:val="4F81BD" w:themeColor="accent1"/>
              </w:rPr>
              <w:t>Chiu (2013)</w:t>
            </w:r>
            <w:r w:rsidRPr="003B4C2A">
              <w:rPr>
                <w:color w:val="4F81BD" w:themeColor="accent1"/>
                <w:vertAlign w:val="superscript"/>
              </w:rPr>
              <w:t>a</w:t>
            </w:r>
          </w:p>
        </w:tc>
      </w:tr>
      <w:tr w:rsidR="0068115F" w:rsidRPr="003B4C2A" w14:paraId="45922E1A" w14:textId="77777777" w:rsidTr="00242C53">
        <w:tc>
          <w:tcPr>
            <w:tcW w:w="1009" w:type="dxa"/>
          </w:tcPr>
          <w:p w14:paraId="34AF2E98" w14:textId="77777777" w:rsidR="0068115F" w:rsidRPr="003B4C2A" w:rsidRDefault="0068115F" w:rsidP="00345E2B">
            <w:pPr>
              <w:pStyle w:val="Tables"/>
              <w:rPr>
                <w:color w:val="4F81BD" w:themeColor="accent1"/>
              </w:rPr>
            </w:pPr>
            <w:r w:rsidRPr="003B4C2A">
              <w:rPr>
                <w:color w:val="4F81BD" w:themeColor="accent1"/>
              </w:rPr>
              <w:t>B</w:t>
            </w:r>
          </w:p>
        </w:tc>
        <w:tc>
          <w:tcPr>
            <w:tcW w:w="2810" w:type="dxa"/>
          </w:tcPr>
          <w:p w14:paraId="3F9B3C29" w14:textId="77777777" w:rsidR="0068115F" w:rsidRPr="003B4C2A" w:rsidRDefault="0068115F" w:rsidP="00345E2B">
            <w:pPr>
              <w:pStyle w:val="Tables"/>
              <w:rPr>
                <w:color w:val="4F81BD" w:themeColor="accent1"/>
              </w:rPr>
            </w:pPr>
            <w:r w:rsidRPr="003B4C2A">
              <w:rPr>
                <w:color w:val="4F81BD" w:themeColor="accent1"/>
              </w:rPr>
              <w:t>Cost per FDD</w:t>
            </w:r>
          </w:p>
        </w:tc>
        <w:tc>
          <w:tcPr>
            <w:tcW w:w="2954" w:type="dxa"/>
            <w:gridSpan w:val="2"/>
          </w:tcPr>
          <w:p w14:paraId="415FBA8D" w14:textId="77777777" w:rsidR="0068115F" w:rsidRPr="003B4C2A" w:rsidRDefault="0068115F" w:rsidP="00345E2B">
            <w:pPr>
              <w:pStyle w:val="Tables"/>
              <w:rPr>
                <w:color w:val="4F81BD" w:themeColor="accent1"/>
              </w:rPr>
            </w:pPr>
            <w:r w:rsidRPr="003B4C2A">
              <w:rPr>
                <w:color w:val="4F81BD" w:themeColor="accent1"/>
              </w:rPr>
              <w:t>$14,995</w:t>
            </w:r>
          </w:p>
        </w:tc>
        <w:tc>
          <w:tcPr>
            <w:tcW w:w="1817" w:type="dxa"/>
          </w:tcPr>
          <w:p w14:paraId="10847BE8" w14:textId="77777777" w:rsidR="0068115F" w:rsidRPr="003B4C2A" w:rsidRDefault="0068115F" w:rsidP="00345E2B">
            <w:pPr>
              <w:pStyle w:val="Tables"/>
              <w:rPr>
                <w:color w:val="4F81BD" w:themeColor="accent1"/>
              </w:rPr>
            </w:pPr>
            <w:r w:rsidRPr="003B4C2A">
              <w:rPr>
                <w:color w:val="4F81BD" w:themeColor="accent1"/>
              </w:rPr>
              <w:t>Applicant</w:t>
            </w:r>
          </w:p>
        </w:tc>
      </w:tr>
      <w:tr w:rsidR="0068115F" w:rsidRPr="003B4C2A" w14:paraId="0F520055" w14:textId="77777777" w:rsidTr="00242C53">
        <w:tc>
          <w:tcPr>
            <w:tcW w:w="1009" w:type="dxa"/>
          </w:tcPr>
          <w:p w14:paraId="13FF657A" w14:textId="77777777" w:rsidR="0068115F" w:rsidRPr="003B4C2A" w:rsidRDefault="0068115F" w:rsidP="00345E2B">
            <w:pPr>
              <w:pStyle w:val="Tables"/>
              <w:rPr>
                <w:color w:val="4F81BD" w:themeColor="accent1"/>
              </w:rPr>
            </w:pPr>
            <w:r w:rsidRPr="003B4C2A">
              <w:rPr>
                <w:color w:val="4F81BD" w:themeColor="accent1"/>
              </w:rPr>
              <w:t>C</w:t>
            </w:r>
          </w:p>
        </w:tc>
        <w:tc>
          <w:tcPr>
            <w:tcW w:w="2810" w:type="dxa"/>
          </w:tcPr>
          <w:p w14:paraId="47E4BE7B" w14:textId="77777777" w:rsidR="0068115F" w:rsidRPr="003B4C2A" w:rsidRDefault="0068115F" w:rsidP="00345E2B">
            <w:pPr>
              <w:pStyle w:val="Tables"/>
              <w:rPr>
                <w:color w:val="4F81BD" w:themeColor="accent1"/>
              </w:rPr>
            </w:pPr>
            <w:r w:rsidRPr="003B4C2A">
              <w:rPr>
                <w:color w:val="4F81BD" w:themeColor="accent1"/>
              </w:rPr>
              <w:t>Cost of FDDs per procedure</w:t>
            </w:r>
          </w:p>
        </w:tc>
        <w:tc>
          <w:tcPr>
            <w:tcW w:w="1477" w:type="dxa"/>
          </w:tcPr>
          <w:p w14:paraId="2D6C4143" w14:textId="77777777" w:rsidR="0068115F" w:rsidRPr="003B4C2A" w:rsidRDefault="0068115F" w:rsidP="00345E2B">
            <w:pPr>
              <w:pStyle w:val="Tables"/>
              <w:rPr>
                <w:color w:val="4F81BD" w:themeColor="accent1"/>
              </w:rPr>
            </w:pPr>
            <w:r w:rsidRPr="003B4C2A">
              <w:rPr>
                <w:color w:val="4F81BD" w:themeColor="accent1"/>
              </w:rPr>
              <w:t>$14,995</w:t>
            </w:r>
          </w:p>
        </w:tc>
        <w:tc>
          <w:tcPr>
            <w:tcW w:w="1477" w:type="dxa"/>
          </w:tcPr>
          <w:p w14:paraId="2D10733E" w14:textId="77777777" w:rsidR="0068115F" w:rsidRPr="003B4C2A" w:rsidRDefault="0068115F" w:rsidP="00345E2B">
            <w:pPr>
              <w:pStyle w:val="Tables"/>
              <w:rPr>
                <w:color w:val="4F81BD" w:themeColor="accent1"/>
              </w:rPr>
            </w:pPr>
            <w:r w:rsidRPr="003B4C2A">
              <w:rPr>
                <w:color w:val="4F81BD" w:themeColor="accent1"/>
              </w:rPr>
              <w:t>$25,042</w:t>
            </w:r>
          </w:p>
        </w:tc>
        <w:tc>
          <w:tcPr>
            <w:tcW w:w="1817" w:type="dxa"/>
          </w:tcPr>
          <w:p w14:paraId="6B21EB6F" w14:textId="77777777" w:rsidR="0068115F" w:rsidRPr="003B4C2A" w:rsidRDefault="0068115F" w:rsidP="00345E2B">
            <w:pPr>
              <w:pStyle w:val="Tables"/>
              <w:rPr>
                <w:color w:val="4F81BD" w:themeColor="accent1"/>
              </w:rPr>
            </w:pPr>
            <w:r w:rsidRPr="003B4C2A">
              <w:rPr>
                <w:color w:val="4F81BD" w:themeColor="accent1"/>
              </w:rPr>
              <w:t>A*B</w:t>
            </w:r>
          </w:p>
        </w:tc>
      </w:tr>
      <w:tr w:rsidR="00242C53" w:rsidRPr="003B4C2A" w14:paraId="118B89D3" w14:textId="77777777" w:rsidTr="00242C53">
        <w:tc>
          <w:tcPr>
            <w:tcW w:w="1009" w:type="dxa"/>
          </w:tcPr>
          <w:p w14:paraId="4A19A0B9" w14:textId="7D0CD176" w:rsidR="00242C53" w:rsidRPr="003B4C2A" w:rsidRDefault="00242C53" w:rsidP="00242C53">
            <w:pPr>
              <w:pStyle w:val="Tables"/>
              <w:rPr>
                <w:color w:val="4F81BD" w:themeColor="accent1"/>
              </w:rPr>
            </w:pPr>
            <w:r w:rsidRPr="003B4C2A">
              <w:rPr>
                <w:color w:val="4F81BD" w:themeColor="accent1"/>
              </w:rPr>
              <w:t>D</w:t>
            </w:r>
          </w:p>
        </w:tc>
        <w:tc>
          <w:tcPr>
            <w:tcW w:w="2810" w:type="dxa"/>
          </w:tcPr>
          <w:p w14:paraId="5437B2AC" w14:textId="65B5002E" w:rsidR="00242C53" w:rsidRPr="003B4C2A" w:rsidRDefault="00242C53" w:rsidP="00242C53">
            <w:pPr>
              <w:pStyle w:val="Tables"/>
              <w:rPr>
                <w:color w:val="4F81BD" w:themeColor="accent1"/>
              </w:rPr>
            </w:pPr>
            <w:r w:rsidRPr="003B4C2A">
              <w:rPr>
                <w:color w:val="4F81BD" w:themeColor="accent1"/>
              </w:rPr>
              <w:t>Cost of FDD insertion</w:t>
            </w:r>
          </w:p>
        </w:tc>
        <w:tc>
          <w:tcPr>
            <w:tcW w:w="2954" w:type="dxa"/>
            <w:gridSpan w:val="2"/>
          </w:tcPr>
          <w:p w14:paraId="77CE45AD" w14:textId="6CF8069E" w:rsidR="00242C53" w:rsidRPr="003B4C2A" w:rsidRDefault="00242C53" w:rsidP="00242C53">
            <w:pPr>
              <w:pStyle w:val="Tables"/>
              <w:rPr>
                <w:color w:val="4F81BD" w:themeColor="accent1"/>
              </w:rPr>
            </w:pPr>
            <w:r w:rsidRPr="003B4C2A">
              <w:rPr>
                <w:color w:val="4F81BD" w:themeColor="accent1"/>
              </w:rPr>
              <w:t>$2,857.55</w:t>
            </w:r>
          </w:p>
        </w:tc>
        <w:tc>
          <w:tcPr>
            <w:tcW w:w="1817" w:type="dxa"/>
          </w:tcPr>
          <w:p w14:paraId="3F53EBD8" w14:textId="463762DE" w:rsidR="00242C53" w:rsidRPr="003B4C2A" w:rsidRDefault="00242C53" w:rsidP="00242C53">
            <w:pPr>
              <w:pStyle w:val="Tables"/>
              <w:rPr>
                <w:color w:val="4F81BD" w:themeColor="accent1"/>
              </w:rPr>
            </w:pPr>
            <w:r w:rsidRPr="003B4C2A">
              <w:rPr>
                <w:color w:val="4F81BD" w:themeColor="accent1"/>
              </w:rPr>
              <w:t>MBS item 35412</w:t>
            </w:r>
          </w:p>
        </w:tc>
      </w:tr>
      <w:tr w:rsidR="00242C53" w:rsidRPr="003B4C2A" w14:paraId="16652BDB" w14:textId="77777777" w:rsidTr="00242C53">
        <w:tc>
          <w:tcPr>
            <w:tcW w:w="1009" w:type="dxa"/>
          </w:tcPr>
          <w:p w14:paraId="57E36BDC" w14:textId="6D281F27" w:rsidR="00242C53" w:rsidRPr="003B4C2A" w:rsidRDefault="00242C53" w:rsidP="00242C53">
            <w:pPr>
              <w:pStyle w:val="Tables"/>
              <w:rPr>
                <w:color w:val="4F81BD" w:themeColor="accent1"/>
              </w:rPr>
            </w:pPr>
            <w:r w:rsidRPr="003B4C2A">
              <w:rPr>
                <w:color w:val="4F81BD" w:themeColor="accent1"/>
              </w:rPr>
              <w:t>E</w:t>
            </w:r>
          </w:p>
        </w:tc>
        <w:tc>
          <w:tcPr>
            <w:tcW w:w="2810" w:type="dxa"/>
          </w:tcPr>
          <w:p w14:paraId="4AADAC7D" w14:textId="77777777" w:rsidR="00242C53" w:rsidRPr="003B4C2A" w:rsidRDefault="00242C53" w:rsidP="00242C53">
            <w:pPr>
              <w:pStyle w:val="Tables"/>
              <w:rPr>
                <w:color w:val="4F81BD" w:themeColor="accent1"/>
              </w:rPr>
            </w:pPr>
            <w:r w:rsidRPr="003B4C2A">
              <w:rPr>
                <w:color w:val="4F81BD" w:themeColor="accent1"/>
              </w:rPr>
              <w:t xml:space="preserve">Cost of </w:t>
            </w:r>
            <w:proofErr w:type="spellStart"/>
            <w:r w:rsidRPr="003B4C2A">
              <w:rPr>
                <w:color w:val="4F81BD" w:themeColor="accent1"/>
              </w:rPr>
              <w:t>anaesthesia</w:t>
            </w:r>
            <w:r w:rsidRPr="003B4C2A">
              <w:rPr>
                <w:color w:val="4F81BD" w:themeColor="accent1"/>
                <w:vertAlign w:val="superscript"/>
              </w:rPr>
              <w:t>b</w:t>
            </w:r>
            <w:proofErr w:type="spellEnd"/>
          </w:p>
        </w:tc>
        <w:tc>
          <w:tcPr>
            <w:tcW w:w="2954" w:type="dxa"/>
            <w:gridSpan w:val="2"/>
          </w:tcPr>
          <w:p w14:paraId="03BF21E3" w14:textId="77777777" w:rsidR="00242C53" w:rsidRPr="003B4C2A" w:rsidRDefault="00242C53" w:rsidP="00242C53">
            <w:pPr>
              <w:pStyle w:val="Tables"/>
              <w:rPr>
                <w:color w:val="4F81BD" w:themeColor="accent1"/>
              </w:rPr>
            </w:pPr>
            <w:r w:rsidRPr="003B4C2A">
              <w:rPr>
                <w:color w:val="4F81BD" w:themeColor="accent1"/>
              </w:rPr>
              <w:t>$574.20</w:t>
            </w:r>
          </w:p>
        </w:tc>
        <w:tc>
          <w:tcPr>
            <w:tcW w:w="1817" w:type="dxa"/>
          </w:tcPr>
          <w:p w14:paraId="5683B936" w14:textId="77777777" w:rsidR="00242C53" w:rsidRPr="003B4C2A" w:rsidRDefault="00242C53" w:rsidP="00242C53">
            <w:pPr>
              <w:pStyle w:val="Tables"/>
              <w:rPr>
                <w:color w:val="4F81BD" w:themeColor="accent1"/>
              </w:rPr>
            </w:pPr>
            <w:r w:rsidRPr="003B4C2A">
              <w:rPr>
                <w:color w:val="4F81BD" w:themeColor="accent1"/>
              </w:rPr>
              <w:t>MBS item 20216 and 23072</w:t>
            </w:r>
          </w:p>
        </w:tc>
      </w:tr>
      <w:tr w:rsidR="00242C53" w:rsidRPr="003B4C2A" w14:paraId="16874C96" w14:textId="77777777" w:rsidTr="00242C53">
        <w:tc>
          <w:tcPr>
            <w:tcW w:w="1009" w:type="dxa"/>
          </w:tcPr>
          <w:p w14:paraId="42501EDD" w14:textId="3013AC85" w:rsidR="00242C53" w:rsidRPr="003B4C2A" w:rsidRDefault="00242C53" w:rsidP="00242C53">
            <w:pPr>
              <w:pStyle w:val="Tables"/>
              <w:rPr>
                <w:color w:val="4F81BD" w:themeColor="accent1"/>
              </w:rPr>
            </w:pPr>
            <w:r w:rsidRPr="003B4C2A">
              <w:rPr>
                <w:color w:val="4F81BD" w:themeColor="accent1"/>
              </w:rPr>
              <w:t>F</w:t>
            </w:r>
          </w:p>
        </w:tc>
        <w:tc>
          <w:tcPr>
            <w:tcW w:w="2810" w:type="dxa"/>
          </w:tcPr>
          <w:p w14:paraId="16BCE7DE" w14:textId="77777777" w:rsidR="00242C53" w:rsidRPr="003B4C2A" w:rsidRDefault="00242C53" w:rsidP="00242C53">
            <w:pPr>
              <w:pStyle w:val="Tables"/>
              <w:rPr>
                <w:color w:val="4F81BD" w:themeColor="accent1"/>
              </w:rPr>
            </w:pPr>
            <w:r w:rsidRPr="003B4C2A">
              <w:rPr>
                <w:color w:val="4F81BD" w:themeColor="accent1"/>
              </w:rPr>
              <w:t xml:space="preserve">Cost of </w:t>
            </w:r>
            <w:proofErr w:type="spellStart"/>
            <w:r w:rsidRPr="003B4C2A">
              <w:rPr>
                <w:color w:val="4F81BD" w:themeColor="accent1"/>
              </w:rPr>
              <w:t>DSA</w:t>
            </w:r>
            <w:r w:rsidRPr="003B4C2A">
              <w:rPr>
                <w:color w:val="4F81BD" w:themeColor="accent1"/>
                <w:vertAlign w:val="superscript"/>
              </w:rPr>
              <w:t>c</w:t>
            </w:r>
            <w:proofErr w:type="spellEnd"/>
          </w:p>
        </w:tc>
        <w:tc>
          <w:tcPr>
            <w:tcW w:w="2954" w:type="dxa"/>
            <w:gridSpan w:val="2"/>
          </w:tcPr>
          <w:p w14:paraId="6817F27B" w14:textId="77777777" w:rsidR="00242C53" w:rsidRPr="003B4C2A" w:rsidRDefault="00242C53" w:rsidP="00242C53">
            <w:pPr>
              <w:pStyle w:val="Tables"/>
              <w:rPr>
                <w:rStyle w:val="CommentReference"/>
                <w:rFonts w:asciiTheme="minorHAnsi" w:eastAsiaTheme="minorHAnsi" w:hAnsiTheme="minorHAnsi" w:cstheme="minorBidi"/>
                <w:color w:val="4F81BD" w:themeColor="accent1"/>
              </w:rPr>
            </w:pPr>
            <w:r w:rsidRPr="003B4C2A">
              <w:rPr>
                <w:color w:val="4F81BD" w:themeColor="accent1"/>
              </w:rPr>
              <w:t>$1,376.30</w:t>
            </w:r>
          </w:p>
        </w:tc>
        <w:tc>
          <w:tcPr>
            <w:tcW w:w="1817" w:type="dxa"/>
          </w:tcPr>
          <w:p w14:paraId="79BE59C8" w14:textId="77777777" w:rsidR="00242C53" w:rsidRPr="003B4C2A" w:rsidRDefault="00242C53" w:rsidP="00242C53">
            <w:pPr>
              <w:pStyle w:val="Tables"/>
              <w:rPr>
                <w:color w:val="4F81BD" w:themeColor="accent1"/>
              </w:rPr>
            </w:pPr>
            <w:r w:rsidRPr="003B4C2A">
              <w:rPr>
                <w:color w:val="4F81BD" w:themeColor="accent1"/>
              </w:rPr>
              <w:t>MBS item 60009</w:t>
            </w:r>
          </w:p>
        </w:tc>
      </w:tr>
      <w:tr w:rsidR="00D13055" w:rsidRPr="003B4C2A" w14:paraId="644A8FCE" w14:textId="77777777" w:rsidTr="00837E12">
        <w:tc>
          <w:tcPr>
            <w:tcW w:w="1009" w:type="dxa"/>
          </w:tcPr>
          <w:p w14:paraId="5F91E4F1" w14:textId="6C366E6B" w:rsidR="00D13055" w:rsidRPr="003B4C2A" w:rsidRDefault="00D13055" w:rsidP="00242C53">
            <w:pPr>
              <w:pStyle w:val="Tables"/>
              <w:rPr>
                <w:color w:val="4F81BD" w:themeColor="accent1"/>
              </w:rPr>
            </w:pPr>
            <w:r w:rsidRPr="003B4C2A">
              <w:rPr>
                <w:color w:val="4F81BD" w:themeColor="accent1"/>
              </w:rPr>
              <w:t>G</w:t>
            </w:r>
          </w:p>
        </w:tc>
        <w:tc>
          <w:tcPr>
            <w:tcW w:w="2810" w:type="dxa"/>
          </w:tcPr>
          <w:p w14:paraId="7B08D234" w14:textId="77777777" w:rsidR="00D13055" w:rsidRPr="003B4C2A" w:rsidRDefault="00D13055" w:rsidP="00242C53">
            <w:pPr>
              <w:pStyle w:val="Tables"/>
              <w:rPr>
                <w:color w:val="4F81BD" w:themeColor="accent1"/>
              </w:rPr>
            </w:pPr>
            <w:r w:rsidRPr="003B4C2A">
              <w:rPr>
                <w:color w:val="4F81BD" w:themeColor="accent1"/>
              </w:rPr>
              <w:t xml:space="preserve">Cost of consumables (catheters, </w:t>
            </w:r>
            <w:proofErr w:type="spellStart"/>
            <w:r w:rsidRPr="003B4C2A">
              <w:rPr>
                <w:color w:val="4F81BD" w:themeColor="accent1"/>
              </w:rPr>
              <w:t>microwires</w:t>
            </w:r>
            <w:proofErr w:type="spellEnd"/>
            <w:r w:rsidRPr="003B4C2A">
              <w:rPr>
                <w:color w:val="4F81BD" w:themeColor="accent1"/>
              </w:rPr>
              <w:t xml:space="preserve">, </w:t>
            </w:r>
            <w:proofErr w:type="spellStart"/>
            <w:r w:rsidRPr="003B4C2A">
              <w:rPr>
                <w:color w:val="4F81BD" w:themeColor="accent1"/>
              </w:rPr>
              <w:t>etc</w:t>
            </w:r>
            <w:proofErr w:type="spellEnd"/>
            <w:r w:rsidRPr="003B4C2A">
              <w:rPr>
                <w:color w:val="4F81BD" w:themeColor="accent1"/>
              </w:rPr>
              <w:t>)</w:t>
            </w:r>
          </w:p>
        </w:tc>
        <w:tc>
          <w:tcPr>
            <w:tcW w:w="2954" w:type="dxa"/>
            <w:gridSpan w:val="2"/>
          </w:tcPr>
          <w:p w14:paraId="5488B684" w14:textId="5582A4F4" w:rsidR="00D13055" w:rsidRPr="003B4C2A" w:rsidRDefault="00D13055" w:rsidP="00242C53">
            <w:pPr>
              <w:pStyle w:val="Tables"/>
              <w:rPr>
                <w:color w:val="4F81BD" w:themeColor="accent1"/>
              </w:rPr>
            </w:pPr>
            <w:r w:rsidRPr="003B4C2A">
              <w:rPr>
                <w:color w:val="4F81BD" w:themeColor="accent1"/>
              </w:rPr>
              <w:t>$3,300</w:t>
            </w:r>
            <w:r w:rsidRPr="003B4C2A">
              <w:rPr>
                <w:color w:val="4F81BD" w:themeColor="accent1"/>
                <w:vertAlign w:val="superscript"/>
              </w:rPr>
              <w:t>d</w:t>
            </w:r>
          </w:p>
        </w:tc>
        <w:tc>
          <w:tcPr>
            <w:tcW w:w="1817" w:type="dxa"/>
          </w:tcPr>
          <w:p w14:paraId="1BCEB6E1" w14:textId="77777777" w:rsidR="00D13055" w:rsidRPr="003B4C2A" w:rsidRDefault="00D13055" w:rsidP="00242C53">
            <w:pPr>
              <w:pStyle w:val="Tables"/>
              <w:rPr>
                <w:color w:val="4F81BD" w:themeColor="accent1"/>
              </w:rPr>
            </w:pPr>
            <w:r w:rsidRPr="003B4C2A">
              <w:rPr>
                <w:color w:val="4F81BD" w:themeColor="accent1"/>
              </w:rPr>
              <w:t>Applicant</w:t>
            </w:r>
          </w:p>
        </w:tc>
      </w:tr>
      <w:tr w:rsidR="00D13055" w:rsidRPr="003B4C2A" w14:paraId="734C2C35" w14:textId="77777777" w:rsidTr="00242C53">
        <w:tc>
          <w:tcPr>
            <w:tcW w:w="1009" w:type="dxa"/>
          </w:tcPr>
          <w:p w14:paraId="1B7BC946" w14:textId="7F36EAFD" w:rsidR="00D13055" w:rsidRPr="003B4C2A" w:rsidRDefault="00D13055" w:rsidP="00D13055">
            <w:pPr>
              <w:pStyle w:val="Tables"/>
              <w:rPr>
                <w:color w:val="4F81BD" w:themeColor="accent1"/>
              </w:rPr>
            </w:pPr>
            <w:r w:rsidRPr="003B4C2A">
              <w:rPr>
                <w:color w:val="4F81BD" w:themeColor="accent1"/>
              </w:rPr>
              <w:t>H</w:t>
            </w:r>
          </w:p>
        </w:tc>
        <w:tc>
          <w:tcPr>
            <w:tcW w:w="2810" w:type="dxa"/>
          </w:tcPr>
          <w:p w14:paraId="76E54A6F" w14:textId="77777777" w:rsidR="00D13055" w:rsidRPr="003B4C2A" w:rsidRDefault="00D13055" w:rsidP="00D13055">
            <w:pPr>
              <w:pStyle w:val="Tables"/>
              <w:rPr>
                <w:color w:val="4F81BD" w:themeColor="accent1"/>
              </w:rPr>
            </w:pPr>
            <w:r w:rsidRPr="003B4C2A">
              <w:rPr>
                <w:color w:val="4F81BD" w:themeColor="accent1"/>
              </w:rPr>
              <w:t>Total cost per procedure</w:t>
            </w:r>
          </w:p>
        </w:tc>
        <w:tc>
          <w:tcPr>
            <w:tcW w:w="1477" w:type="dxa"/>
          </w:tcPr>
          <w:p w14:paraId="55657384" w14:textId="3C064F34" w:rsidR="00D13055" w:rsidRPr="003B4C2A" w:rsidRDefault="00D13055" w:rsidP="00D13055">
            <w:pPr>
              <w:pStyle w:val="Tables"/>
              <w:rPr>
                <w:color w:val="4F81BD" w:themeColor="accent1"/>
              </w:rPr>
            </w:pPr>
            <w:r w:rsidRPr="003B4C2A">
              <w:rPr>
                <w:color w:val="4F81BD" w:themeColor="accent1"/>
              </w:rPr>
              <w:t>$23,103.05</w:t>
            </w:r>
          </w:p>
        </w:tc>
        <w:tc>
          <w:tcPr>
            <w:tcW w:w="1477" w:type="dxa"/>
          </w:tcPr>
          <w:p w14:paraId="300D7E13" w14:textId="5919606C" w:rsidR="00D13055" w:rsidRPr="003B4C2A" w:rsidRDefault="00D13055" w:rsidP="00D13055">
            <w:pPr>
              <w:pStyle w:val="Tables"/>
              <w:rPr>
                <w:color w:val="4F81BD" w:themeColor="accent1"/>
              </w:rPr>
            </w:pPr>
            <w:r w:rsidRPr="003B4C2A">
              <w:rPr>
                <w:color w:val="4F81BD" w:themeColor="accent1"/>
              </w:rPr>
              <w:t>$25,042.00</w:t>
            </w:r>
          </w:p>
        </w:tc>
        <w:tc>
          <w:tcPr>
            <w:tcW w:w="1817" w:type="dxa"/>
          </w:tcPr>
          <w:p w14:paraId="10AA60B1" w14:textId="6674B4E5" w:rsidR="00D13055" w:rsidRPr="003B4C2A" w:rsidRDefault="00D13055" w:rsidP="00D13055">
            <w:pPr>
              <w:pStyle w:val="Tables"/>
              <w:rPr>
                <w:color w:val="4F81BD" w:themeColor="accent1"/>
              </w:rPr>
            </w:pPr>
            <w:r w:rsidRPr="003B4C2A">
              <w:rPr>
                <w:color w:val="4F81BD" w:themeColor="accent1"/>
              </w:rPr>
              <w:t>C+D+E+F+G</w:t>
            </w:r>
          </w:p>
        </w:tc>
      </w:tr>
    </w:tbl>
    <w:p w14:paraId="4C48D926" w14:textId="77777777" w:rsidR="0068115F" w:rsidRPr="003B4C2A" w:rsidRDefault="0068115F" w:rsidP="0068115F">
      <w:pPr>
        <w:pStyle w:val="Tablenotes"/>
        <w:ind w:left="425"/>
        <w:rPr>
          <w:color w:val="4F81BD" w:themeColor="accent1"/>
        </w:rPr>
      </w:pPr>
      <w:proofErr w:type="gramStart"/>
      <w:r w:rsidRPr="003B4C2A">
        <w:rPr>
          <w:color w:val="4F81BD" w:themeColor="accent1"/>
          <w:vertAlign w:val="superscript"/>
        </w:rPr>
        <w:t>a</w:t>
      </w:r>
      <w:proofErr w:type="gramEnd"/>
      <w:r w:rsidRPr="003B4C2A">
        <w:rPr>
          <w:color w:val="4F81BD" w:themeColor="accent1"/>
        </w:rPr>
        <w:t xml:space="preserve"> FDD per patient estimates are based on cut-offs of &lt;7 mm and &gt;12 mm.</w:t>
      </w:r>
    </w:p>
    <w:p w14:paraId="21BF763A" w14:textId="77777777" w:rsidR="0068115F" w:rsidRPr="003B4C2A" w:rsidRDefault="0068115F" w:rsidP="0068115F">
      <w:pPr>
        <w:pStyle w:val="Tablenotes"/>
        <w:ind w:left="425"/>
        <w:rPr>
          <w:color w:val="4F81BD" w:themeColor="accent1"/>
        </w:rPr>
      </w:pPr>
      <w:proofErr w:type="gramStart"/>
      <w:r w:rsidRPr="003B4C2A">
        <w:rPr>
          <w:color w:val="4F81BD" w:themeColor="accent1"/>
          <w:vertAlign w:val="superscript"/>
        </w:rPr>
        <w:t>b</w:t>
      </w:r>
      <w:proofErr w:type="gramEnd"/>
      <w:r w:rsidRPr="003B4C2A">
        <w:rPr>
          <w:color w:val="4F81BD" w:themeColor="accent1"/>
        </w:rPr>
        <w:t xml:space="preserve"> Assumed that all patients receive general anaesthesia. MSAC item 20216: Initiation of management of anaesthesia for intracranial vascular procedures including those for aneurysms or </w:t>
      </w:r>
      <w:proofErr w:type="spellStart"/>
      <w:r w:rsidRPr="003B4C2A">
        <w:rPr>
          <w:color w:val="4F81BD" w:themeColor="accent1"/>
        </w:rPr>
        <w:t>arterio</w:t>
      </w:r>
      <w:proofErr w:type="spellEnd"/>
      <w:r w:rsidRPr="003B4C2A">
        <w:rPr>
          <w:color w:val="4F81BD" w:themeColor="accent1"/>
        </w:rPr>
        <w:t xml:space="preserve">-venous abnormalities. MSAC item 23072: 1:36 hours to 1:40 </w:t>
      </w:r>
      <w:proofErr w:type="gramStart"/>
      <w:r w:rsidRPr="003B4C2A">
        <w:rPr>
          <w:color w:val="4F81BD" w:themeColor="accent1"/>
        </w:rPr>
        <w:t>hours</w:t>
      </w:r>
      <w:proofErr w:type="gramEnd"/>
      <w:r w:rsidRPr="003B4C2A">
        <w:rPr>
          <w:color w:val="4F81BD" w:themeColor="accent1"/>
        </w:rPr>
        <w:t xml:space="preserve"> anaesthesia time units.</w:t>
      </w:r>
    </w:p>
    <w:p w14:paraId="4927465E" w14:textId="0FFF0855" w:rsidR="0068115F" w:rsidRPr="003B4C2A" w:rsidRDefault="0068115F" w:rsidP="0068115F">
      <w:pPr>
        <w:pStyle w:val="Tablenotes"/>
        <w:ind w:left="425"/>
        <w:rPr>
          <w:color w:val="4F81BD" w:themeColor="accent1"/>
        </w:rPr>
      </w:pPr>
      <w:proofErr w:type="gramStart"/>
      <w:r w:rsidRPr="003B4C2A">
        <w:rPr>
          <w:color w:val="4F81BD" w:themeColor="accent1"/>
          <w:vertAlign w:val="superscript"/>
        </w:rPr>
        <w:t>c</w:t>
      </w:r>
      <w:proofErr w:type="gramEnd"/>
      <w:r w:rsidRPr="003B4C2A">
        <w:rPr>
          <w:color w:val="4F81BD" w:themeColor="accent1"/>
          <w:vertAlign w:val="superscript"/>
        </w:rPr>
        <w:t xml:space="preserve"> </w:t>
      </w:r>
      <w:r w:rsidRPr="003B4C2A">
        <w:rPr>
          <w:color w:val="4F81BD" w:themeColor="accent1"/>
        </w:rPr>
        <w:t>Assumed that all patients receive a DSA (digital subtraction angiography).</w:t>
      </w:r>
    </w:p>
    <w:p w14:paraId="45EF6E62" w14:textId="0DC9C47F" w:rsidR="00D13055" w:rsidRPr="003B4C2A" w:rsidRDefault="00D13055" w:rsidP="00D13055">
      <w:pPr>
        <w:pStyle w:val="Tablenotes"/>
        <w:ind w:left="425"/>
        <w:rPr>
          <w:color w:val="4F81BD" w:themeColor="accent1"/>
        </w:rPr>
      </w:pPr>
      <w:proofErr w:type="gramStart"/>
      <w:r w:rsidRPr="003B4C2A">
        <w:rPr>
          <w:color w:val="4F81BD" w:themeColor="accent1"/>
          <w:vertAlign w:val="superscript"/>
        </w:rPr>
        <w:t>d</w:t>
      </w:r>
      <w:proofErr w:type="gramEnd"/>
      <w:r w:rsidRPr="003B4C2A">
        <w:rPr>
          <w:color w:val="4F81BD" w:themeColor="accent1"/>
        </w:rPr>
        <w:t xml:space="preserve"> Introducer (1x $300), Sheath (1x$600), Guidewires (2x$500), Distal access catheter (1x$700) and </w:t>
      </w:r>
      <w:proofErr w:type="spellStart"/>
      <w:r w:rsidRPr="003B4C2A">
        <w:rPr>
          <w:color w:val="4F81BD" w:themeColor="accent1"/>
        </w:rPr>
        <w:t>Microcatheter</w:t>
      </w:r>
      <w:proofErr w:type="spellEnd"/>
      <w:r w:rsidRPr="003B4C2A">
        <w:rPr>
          <w:color w:val="4F81BD" w:themeColor="accent1"/>
        </w:rPr>
        <w:t xml:space="preserve"> (1x$700)</w:t>
      </w:r>
    </w:p>
    <w:p w14:paraId="0AF33648" w14:textId="523F6F1E" w:rsidR="00951933" w:rsidRPr="00154B00" w:rsidRDefault="00951933" w:rsidP="00AE1188">
      <w:pPr>
        <w:ind w:left="426"/>
        <w:rPr>
          <w:szCs w:val="20"/>
        </w:rPr>
      </w:pPr>
    </w:p>
    <w:p w14:paraId="2F761710"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605F8F69" w14:textId="2A15C523" w:rsidR="00951933" w:rsidRPr="003B4C2A" w:rsidRDefault="00EF1E73" w:rsidP="00D229C4">
      <w:pPr>
        <w:ind w:left="426"/>
        <w:rPr>
          <w:b/>
          <w:color w:val="4F81BD" w:themeColor="accent1"/>
          <w:szCs w:val="20"/>
        </w:rPr>
      </w:pPr>
      <w:r w:rsidRPr="003B4C2A">
        <w:rPr>
          <w:color w:val="4F81BD" w:themeColor="accent1"/>
        </w:rPr>
        <w:t xml:space="preserve">Park (2016) reported a mean treatment duration of 97 minutes (SD: 46.2) for the endovascular insertion of FDD alone. Park (2016) is an international retrospective study of the Pipeline Embolization Device </w:t>
      </w:r>
      <w:r w:rsidR="00D229C4" w:rsidRPr="003B4C2A">
        <w:rPr>
          <w:color w:val="4F81BD" w:themeColor="accent1"/>
        </w:rPr>
        <w:t>registry and</w:t>
      </w:r>
      <w:r w:rsidRPr="003B4C2A">
        <w:rPr>
          <w:color w:val="4F81BD" w:themeColor="accent1"/>
        </w:rPr>
        <w:t xml:space="preserve"> included the treatment of 797 aneurysms using FDD alone across 689 patients. </w:t>
      </w:r>
    </w:p>
    <w:p w14:paraId="4D0D9DBD" w14:textId="3D0EFD3C"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0315B720" w14:textId="46099298" w:rsidR="00EF1E73" w:rsidRPr="003B4C2A" w:rsidRDefault="00EF1E73" w:rsidP="00EF167E">
      <w:pPr>
        <w:ind w:left="426"/>
        <w:rPr>
          <w:color w:val="4F81BD" w:themeColor="accent1"/>
        </w:rPr>
      </w:pPr>
      <w:r w:rsidRPr="003B4C2A">
        <w:rPr>
          <w:color w:val="4F81BD" w:themeColor="accent1"/>
        </w:rPr>
        <w:t xml:space="preserve">The proposed MBS item descriptor for endovascular insertion of FDD is </w:t>
      </w:r>
      <w:r w:rsidR="008A704A" w:rsidRPr="003B4C2A">
        <w:rPr>
          <w:color w:val="4F81BD" w:themeColor="accent1"/>
        </w:rPr>
        <w:t xml:space="preserve">an amendment of </w:t>
      </w:r>
      <w:r w:rsidRPr="003B4C2A">
        <w:rPr>
          <w:color w:val="4F81BD" w:themeColor="accent1"/>
        </w:rPr>
        <w:t xml:space="preserve">the existing item number for endovascular coiling. </w:t>
      </w:r>
      <w:r w:rsidR="00115141" w:rsidRPr="003B4C2A">
        <w:rPr>
          <w:color w:val="4F81BD" w:themeColor="accent1"/>
        </w:rPr>
        <w:t xml:space="preserve">Given the management of patients with UIA is performed on a case by case </w:t>
      </w:r>
      <w:proofErr w:type="gramStart"/>
      <w:r w:rsidR="00115141" w:rsidRPr="003B4C2A">
        <w:rPr>
          <w:color w:val="4F81BD" w:themeColor="accent1"/>
        </w:rPr>
        <w:t>basis,</w:t>
      </w:r>
      <w:proofErr w:type="gramEnd"/>
      <w:r w:rsidR="00115141" w:rsidRPr="003B4C2A">
        <w:rPr>
          <w:color w:val="4F81BD" w:themeColor="accent1"/>
        </w:rPr>
        <w:t xml:space="preserve"> it is proposed the item descriptor allows flexibility for FDD as it does for coiling. </w:t>
      </w:r>
    </w:p>
    <w:p w14:paraId="04CF9BBF" w14:textId="68A8F21E" w:rsidR="00EF1E73" w:rsidRPr="003B4C2A" w:rsidRDefault="00D229C4" w:rsidP="00EF167E">
      <w:pPr>
        <w:ind w:left="426"/>
        <w:rPr>
          <w:color w:val="4F81BD" w:themeColor="accent1"/>
        </w:rPr>
      </w:pPr>
      <w:r w:rsidRPr="003B4C2A">
        <w:rPr>
          <w:color w:val="4F81BD" w:themeColor="accent1"/>
        </w:rPr>
        <w:t xml:space="preserve">It is </w:t>
      </w:r>
      <w:r w:rsidR="00EF167E" w:rsidRPr="003B4C2A">
        <w:rPr>
          <w:color w:val="4F81BD" w:themeColor="accent1"/>
        </w:rPr>
        <w:t>acknowledged</w:t>
      </w:r>
      <w:r w:rsidRPr="003B4C2A">
        <w:rPr>
          <w:color w:val="4F81BD" w:themeColor="accent1"/>
        </w:rPr>
        <w:t xml:space="preserve"> that the current MBS item for endovascular coiling explicitly includes both ruptured and </w:t>
      </w:r>
      <w:proofErr w:type="spellStart"/>
      <w:r w:rsidRPr="003B4C2A">
        <w:rPr>
          <w:color w:val="4F81BD" w:themeColor="accent1"/>
        </w:rPr>
        <w:t>unruptured</w:t>
      </w:r>
      <w:proofErr w:type="spellEnd"/>
      <w:r w:rsidRPr="003B4C2A">
        <w:rPr>
          <w:color w:val="4F81BD" w:themeColor="accent1"/>
        </w:rPr>
        <w:t xml:space="preserve"> aneurysms</w:t>
      </w:r>
      <w:r w:rsidR="00EF167E" w:rsidRPr="003B4C2A">
        <w:rPr>
          <w:color w:val="4F81BD" w:themeColor="accent1"/>
        </w:rPr>
        <w:t xml:space="preserve">, whilst the current application addresses the treatment of </w:t>
      </w:r>
      <w:proofErr w:type="spellStart"/>
      <w:r w:rsidR="00EF167E" w:rsidRPr="003B4C2A">
        <w:rPr>
          <w:color w:val="4F81BD" w:themeColor="accent1"/>
        </w:rPr>
        <w:t>unruptured</w:t>
      </w:r>
      <w:proofErr w:type="spellEnd"/>
      <w:r w:rsidR="00EF167E" w:rsidRPr="003B4C2A">
        <w:rPr>
          <w:color w:val="4F81BD" w:themeColor="accent1"/>
        </w:rPr>
        <w:t xml:space="preserve"> aneurysms with FDD. </w:t>
      </w:r>
      <w:r w:rsidR="00A21E71" w:rsidRPr="003B4C2A">
        <w:rPr>
          <w:color w:val="4F81BD" w:themeColor="accent1"/>
        </w:rPr>
        <w:t xml:space="preserve">According to KOL feedback, FDD </w:t>
      </w:r>
      <w:r w:rsidR="00A61A6B" w:rsidRPr="003B4C2A">
        <w:rPr>
          <w:color w:val="4F81BD" w:themeColor="accent1"/>
        </w:rPr>
        <w:t>will rarely be used in the</w:t>
      </w:r>
      <w:r w:rsidR="00A21E71" w:rsidRPr="003B4C2A">
        <w:rPr>
          <w:color w:val="4F81BD" w:themeColor="accent1"/>
        </w:rPr>
        <w:t xml:space="preserve"> treatment of ruptured aneurysms, </w:t>
      </w:r>
      <w:r w:rsidR="00A61A6B" w:rsidRPr="003B4C2A">
        <w:rPr>
          <w:color w:val="4F81BD" w:themeColor="accent1"/>
        </w:rPr>
        <w:t xml:space="preserve">because FDD required dual </w:t>
      </w:r>
      <w:proofErr w:type="spellStart"/>
      <w:r w:rsidR="00A61A6B" w:rsidRPr="003B4C2A">
        <w:rPr>
          <w:color w:val="4F81BD" w:themeColor="accent1"/>
        </w:rPr>
        <w:t>antiplatelets</w:t>
      </w:r>
      <w:proofErr w:type="spellEnd"/>
      <w:r w:rsidR="00A61A6B" w:rsidRPr="003B4C2A">
        <w:rPr>
          <w:color w:val="4F81BD" w:themeColor="accent1"/>
        </w:rPr>
        <w:t xml:space="preserve"> post-procedure which may increase risk of bleeding. </w:t>
      </w:r>
    </w:p>
    <w:p w14:paraId="1E693966" w14:textId="55469ED6" w:rsidR="00AE1188" w:rsidRPr="003B4C2A" w:rsidRDefault="00AE1188" w:rsidP="00A61A6B">
      <w:pPr>
        <w:keepNext/>
        <w:keepLines/>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color w:val="4F81BD" w:themeColor="accent1"/>
          <w:szCs w:val="20"/>
        </w:rPr>
      </w:pPr>
      <w:r w:rsidRPr="003B4C2A">
        <w:rPr>
          <w:color w:val="4F81BD" w:themeColor="accent1"/>
          <w:szCs w:val="20"/>
        </w:rPr>
        <w:lastRenderedPageBreak/>
        <w:t xml:space="preserve">Category </w:t>
      </w:r>
      <w:r w:rsidR="007C6FA9" w:rsidRPr="003B4C2A">
        <w:rPr>
          <w:color w:val="4F81BD" w:themeColor="accent1"/>
        </w:rPr>
        <w:t>3</w:t>
      </w:r>
      <w:r w:rsidRPr="003B4C2A">
        <w:rPr>
          <w:color w:val="4F81BD" w:themeColor="accent1"/>
          <w:szCs w:val="20"/>
        </w:rPr>
        <w:t xml:space="preserve"> – </w:t>
      </w:r>
      <w:r w:rsidR="007C6FA9" w:rsidRPr="003B4C2A">
        <w:rPr>
          <w:color w:val="4F81BD" w:themeColor="accent1"/>
        </w:rPr>
        <w:t>THERAPEUTIC PROCEDURES</w:t>
      </w:r>
      <w:r w:rsidRPr="003B4C2A">
        <w:rPr>
          <w:color w:val="4F81BD" w:themeColor="accent1"/>
          <w:szCs w:val="20"/>
        </w:rPr>
        <w:t xml:space="preserve"> </w:t>
      </w:r>
    </w:p>
    <w:p w14:paraId="33BC90B0" w14:textId="6EBCA991" w:rsidR="00AE1188" w:rsidRPr="003B4C2A" w:rsidRDefault="00AE1188" w:rsidP="00A61A6B">
      <w:pPr>
        <w:keepNext/>
        <w:keepLines/>
        <w:widowControl w:val="0"/>
        <w:pBdr>
          <w:top w:val="single" w:sz="4" w:space="1" w:color="auto"/>
          <w:left w:val="single" w:sz="4" w:space="4" w:color="auto"/>
          <w:bottom w:val="single" w:sz="4" w:space="1" w:color="auto"/>
          <w:right w:val="single" w:sz="4" w:space="4" w:color="auto"/>
        </w:pBdr>
        <w:rPr>
          <w:color w:val="4F81BD" w:themeColor="accent1"/>
        </w:rPr>
      </w:pPr>
      <w:r w:rsidRPr="003B4C2A">
        <w:rPr>
          <w:color w:val="4F81BD" w:themeColor="accent1"/>
          <w:szCs w:val="20"/>
        </w:rPr>
        <w:t xml:space="preserve">Proposed item descriptor: </w:t>
      </w:r>
    </w:p>
    <w:p w14:paraId="6D2EC55F" w14:textId="2C0171C9" w:rsidR="007C6FA9" w:rsidRPr="003B4C2A" w:rsidRDefault="005A1001" w:rsidP="00A61A6B">
      <w:pPr>
        <w:keepNext/>
        <w:keepLines/>
        <w:widowControl w:val="0"/>
        <w:pBdr>
          <w:top w:val="single" w:sz="4" w:space="1" w:color="auto"/>
          <w:left w:val="single" w:sz="4" w:space="4" w:color="auto"/>
          <w:bottom w:val="single" w:sz="4" w:space="1" w:color="auto"/>
          <w:right w:val="single" w:sz="4" w:space="4" w:color="auto"/>
        </w:pBdr>
        <w:rPr>
          <w:color w:val="4F81BD" w:themeColor="accent1"/>
          <w:szCs w:val="20"/>
        </w:rPr>
      </w:pPr>
      <w:r w:rsidRPr="003B4C2A">
        <w:rPr>
          <w:color w:val="4F81BD" w:themeColor="accent1"/>
          <w:szCs w:val="20"/>
        </w:rPr>
        <w:t xml:space="preserve">Intracranial aneurysm, ruptured or </w:t>
      </w:r>
      <w:proofErr w:type="spellStart"/>
      <w:r w:rsidRPr="003B4C2A">
        <w:rPr>
          <w:color w:val="4F81BD" w:themeColor="accent1"/>
          <w:szCs w:val="20"/>
        </w:rPr>
        <w:t>unruptured</w:t>
      </w:r>
      <w:proofErr w:type="spellEnd"/>
      <w:r w:rsidRPr="003B4C2A">
        <w:rPr>
          <w:color w:val="4F81BD" w:themeColor="accent1"/>
          <w:szCs w:val="20"/>
        </w:rPr>
        <w:t xml:space="preserve">, endovascular embolization, with parent artery preservation, not for use with liquid </w:t>
      </w:r>
      <w:proofErr w:type="spellStart"/>
      <w:r w:rsidRPr="003B4C2A">
        <w:rPr>
          <w:color w:val="4F81BD" w:themeColor="accent1"/>
          <w:szCs w:val="20"/>
        </w:rPr>
        <w:t>embolics</w:t>
      </w:r>
      <w:proofErr w:type="spellEnd"/>
      <w:r w:rsidRPr="003B4C2A">
        <w:rPr>
          <w:color w:val="4F81BD" w:themeColor="accent1"/>
          <w:szCs w:val="20"/>
        </w:rPr>
        <w:t xml:space="preserve"> only, including aftercare, including intra-operative imaging, but in association with the following pre-operative diagnostic imaging items</w:t>
      </w:r>
      <w:proofErr w:type="gramStart"/>
      <w:r w:rsidRPr="003B4C2A">
        <w:rPr>
          <w:color w:val="4F81BD" w:themeColor="accent1"/>
          <w:szCs w:val="20"/>
        </w:rPr>
        <w:t>:</w:t>
      </w:r>
      <w:r w:rsidR="007C6FA9" w:rsidRPr="003B4C2A">
        <w:rPr>
          <w:color w:val="4F81BD" w:themeColor="accent1"/>
          <w:szCs w:val="20"/>
        </w:rPr>
        <w:t>-</w:t>
      </w:r>
      <w:proofErr w:type="gramEnd"/>
      <w:r w:rsidR="007C6FA9" w:rsidRPr="003B4C2A">
        <w:rPr>
          <w:color w:val="4F81BD" w:themeColor="accent1"/>
          <w:szCs w:val="20"/>
        </w:rPr>
        <w:t xml:space="preserve"> either 60009 or 60010; and </w:t>
      </w:r>
    </w:p>
    <w:p w14:paraId="56C21FE1" w14:textId="3656C5C6" w:rsidR="007C6FA9" w:rsidRPr="003B4C2A" w:rsidRDefault="007C6FA9" w:rsidP="00A61A6B">
      <w:pPr>
        <w:keepNext/>
        <w:keepLines/>
        <w:widowControl w:val="0"/>
        <w:pBdr>
          <w:top w:val="single" w:sz="4" w:space="1" w:color="auto"/>
          <w:left w:val="single" w:sz="4" w:space="4" w:color="auto"/>
          <w:bottom w:val="single" w:sz="4" w:space="1" w:color="auto"/>
          <w:right w:val="single" w:sz="4" w:space="4" w:color="auto"/>
        </w:pBdr>
        <w:rPr>
          <w:color w:val="4F81BD" w:themeColor="accent1"/>
          <w:szCs w:val="20"/>
        </w:rPr>
      </w:pPr>
      <w:r w:rsidRPr="003B4C2A">
        <w:rPr>
          <w:color w:val="4F81BD" w:themeColor="accent1"/>
          <w:szCs w:val="20"/>
        </w:rPr>
        <w:t xml:space="preserve">- </w:t>
      </w:r>
      <w:proofErr w:type="gramStart"/>
      <w:r w:rsidRPr="003B4C2A">
        <w:rPr>
          <w:color w:val="4F81BD" w:themeColor="accent1"/>
          <w:szCs w:val="20"/>
        </w:rPr>
        <w:t>either</w:t>
      </w:r>
      <w:proofErr w:type="gramEnd"/>
      <w:r w:rsidRPr="003B4C2A">
        <w:rPr>
          <w:color w:val="4F81BD" w:themeColor="accent1"/>
          <w:szCs w:val="20"/>
        </w:rPr>
        <w:t xml:space="preserve"> 60072, 60073, 60075, 60076, 60078 or 60079</w:t>
      </w:r>
    </w:p>
    <w:p w14:paraId="640791A4" w14:textId="14ACDCEE" w:rsidR="00AE1188" w:rsidRPr="003B4C2A" w:rsidRDefault="00AE1188" w:rsidP="00A61A6B">
      <w:pPr>
        <w:keepNext/>
        <w:keepLines/>
        <w:widowControl w:val="0"/>
        <w:pBdr>
          <w:top w:val="single" w:sz="4" w:space="1" w:color="auto"/>
          <w:left w:val="single" w:sz="4" w:space="4" w:color="auto"/>
          <w:bottom w:val="single" w:sz="4" w:space="1" w:color="auto"/>
          <w:right w:val="single" w:sz="4" w:space="4" w:color="auto"/>
        </w:pBdr>
        <w:rPr>
          <w:color w:val="4F81BD" w:themeColor="accent1"/>
          <w:szCs w:val="20"/>
        </w:rPr>
      </w:pPr>
      <w:r w:rsidRPr="003B4C2A">
        <w:rPr>
          <w:color w:val="4F81BD" w:themeColor="accent1"/>
          <w:szCs w:val="20"/>
        </w:rPr>
        <w:t xml:space="preserve">Fee: </w:t>
      </w:r>
      <w:r w:rsidR="00393369" w:rsidRPr="003B4C2A">
        <w:rPr>
          <w:color w:val="4F81BD" w:themeColor="accent1"/>
          <w:szCs w:val="20"/>
        </w:rPr>
        <w:t>$2,857.55 Benefit: 75% = $2,143.20 85% = $2,775.85</w:t>
      </w:r>
    </w:p>
    <w:p w14:paraId="116B3B64" w14:textId="77777777" w:rsidR="00AE1188" w:rsidRDefault="00AE1188" w:rsidP="004A0BF4">
      <w:pPr>
        <w:pStyle w:val="Heading2"/>
        <w:numPr>
          <w:ilvl w:val="0"/>
          <w:numId w:val="0"/>
        </w:numPr>
        <w:ind w:left="360"/>
      </w:pPr>
      <w:r>
        <w:br w:type="page"/>
      </w:r>
    </w:p>
    <w:p w14:paraId="1D7E1BAA" w14:textId="77777777" w:rsidR="008924C7" w:rsidRDefault="008924C7" w:rsidP="00AE1188">
      <w:pPr>
        <w:pStyle w:val="Heading1"/>
        <w:sectPr w:rsidR="008924C7" w:rsidSect="00DD308E">
          <w:pgSz w:w="11906" w:h="16838"/>
          <w:pgMar w:top="1440" w:right="1440" w:bottom="1440" w:left="1440" w:header="708" w:footer="708" w:gutter="0"/>
          <w:cols w:space="708"/>
          <w:docGrid w:linePitch="360"/>
        </w:sectPr>
      </w:pPr>
    </w:p>
    <w:p w14:paraId="36BE6807" w14:textId="77777777" w:rsidR="008924C7" w:rsidRDefault="008924C7" w:rsidP="00AE1188">
      <w:pPr>
        <w:pStyle w:val="Heading1"/>
      </w:pPr>
      <w:r>
        <w:lastRenderedPageBreak/>
        <w:t>Appendix 1</w:t>
      </w:r>
    </w:p>
    <w:p w14:paraId="3F3D9EC3" w14:textId="4C0B08C2" w:rsidR="005478BD" w:rsidRDefault="00A72581" w:rsidP="001A13E8">
      <w:r w:rsidRPr="00A72581">
        <w:rPr>
          <w:noProof/>
          <w:lang w:eastAsia="en-AU"/>
        </w:rPr>
        <w:drawing>
          <wp:inline distT="0" distB="0" distL="0" distR="0" wp14:anchorId="5E5BE2DA" wp14:editId="228E06A6">
            <wp:extent cx="6554581" cy="3686861"/>
            <wp:effectExtent l="0" t="0" r="0" b="8890"/>
            <wp:docPr id="4" name="Picture 4" title="Diagram showing clinical algorithm of U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568563" cy="3694726"/>
                    </a:xfrm>
                    <a:prstGeom prst="rect">
                      <a:avLst/>
                    </a:prstGeom>
                  </pic:spPr>
                </pic:pic>
              </a:graphicData>
            </a:graphic>
          </wp:inline>
        </w:drawing>
      </w:r>
    </w:p>
    <w:p w14:paraId="5A05864E" w14:textId="48FB7E0B" w:rsidR="005478BD" w:rsidRPr="003B4C2A" w:rsidRDefault="005478BD" w:rsidP="005478BD">
      <w:pPr>
        <w:keepNext/>
        <w:ind w:firstLine="360"/>
        <w:rPr>
          <w:color w:val="4F81BD" w:themeColor="accent1"/>
        </w:rPr>
      </w:pPr>
      <w:bookmarkStart w:id="24" w:name="_Ref515450931"/>
      <w:bookmarkStart w:id="25" w:name="_Ref516232328"/>
      <w:r w:rsidRPr="003B4C2A">
        <w:rPr>
          <w:color w:val="4F81BD" w:themeColor="accent1"/>
        </w:rPr>
        <w:t xml:space="preserve">Figure </w:t>
      </w:r>
      <w:r w:rsidR="00F64073" w:rsidRPr="003B4C2A">
        <w:rPr>
          <w:noProof/>
          <w:color w:val="4F81BD" w:themeColor="accent1"/>
        </w:rPr>
        <w:fldChar w:fldCharType="begin"/>
      </w:r>
      <w:r w:rsidR="00F64073" w:rsidRPr="003B4C2A">
        <w:rPr>
          <w:noProof/>
          <w:color w:val="4F81BD" w:themeColor="accent1"/>
        </w:rPr>
        <w:instrText xml:space="preserve"> SEQ Figure \* ARABIC </w:instrText>
      </w:r>
      <w:r w:rsidR="00F64073" w:rsidRPr="003B4C2A">
        <w:rPr>
          <w:noProof/>
          <w:color w:val="4F81BD" w:themeColor="accent1"/>
        </w:rPr>
        <w:fldChar w:fldCharType="separate"/>
      </w:r>
      <w:proofErr w:type="gramStart"/>
      <w:r w:rsidR="008335FD" w:rsidRPr="003B4C2A">
        <w:rPr>
          <w:noProof/>
          <w:color w:val="4F81BD" w:themeColor="accent1"/>
        </w:rPr>
        <w:t>5</w:t>
      </w:r>
      <w:r w:rsidR="00F64073" w:rsidRPr="003B4C2A">
        <w:rPr>
          <w:noProof/>
          <w:color w:val="4F81BD" w:themeColor="accent1"/>
        </w:rPr>
        <w:fldChar w:fldCharType="end"/>
      </w:r>
      <w:bookmarkEnd w:id="24"/>
      <w:bookmarkEnd w:id="25"/>
      <w:r w:rsidRPr="003B4C2A">
        <w:rPr>
          <w:color w:val="4F81BD" w:themeColor="accent1"/>
        </w:rPr>
        <w:tab/>
        <w:t>Clinical algorithm</w:t>
      </w:r>
      <w:proofErr w:type="gramEnd"/>
      <w:r w:rsidRPr="003B4C2A">
        <w:rPr>
          <w:color w:val="4F81BD" w:themeColor="accent1"/>
        </w:rPr>
        <w:t xml:space="preserve"> </w:t>
      </w:r>
      <w:r w:rsidR="00AC2664" w:rsidRPr="003B4C2A">
        <w:rPr>
          <w:color w:val="4F81BD" w:themeColor="accent1"/>
        </w:rPr>
        <w:t>of UIAs</w:t>
      </w:r>
    </w:p>
    <w:p w14:paraId="4147842F" w14:textId="77777777" w:rsidR="005478BD" w:rsidRDefault="005478BD" w:rsidP="001A13E8"/>
    <w:p w14:paraId="0BE08B21" w14:textId="77777777" w:rsidR="001A13E8" w:rsidRDefault="001A13E8" w:rsidP="008924C7"/>
    <w:p w14:paraId="0C407CB1" w14:textId="7DE92EF0" w:rsidR="008924C7" w:rsidRPr="008924C7" w:rsidRDefault="008924C7" w:rsidP="008924C7">
      <w:pPr>
        <w:sectPr w:rsidR="008924C7" w:rsidRPr="008924C7" w:rsidSect="00DD308E">
          <w:pgSz w:w="11906" w:h="16838"/>
          <w:pgMar w:top="1440" w:right="1440" w:bottom="1440" w:left="1440" w:header="708" w:footer="708" w:gutter="0"/>
          <w:cols w:space="708"/>
          <w:docGrid w:linePitch="360"/>
        </w:sectPr>
      </w:pPr>
    </w:p>
    <w:p w14:paraId="7C9CB153" w14:textId="77777777" w:rsidR="006222A6" w:rsidRDefault="006222A6" w:rsidP="00AE1188">
      <w:pPr>
        <w:pStyle w:val="Heading1"/>
      </w:pPr>
      <w:r>
        <w:lastRenderedPageBreak/>
        <w:t>References</w:t>
      </w:r>
    </w:p>
    <w:p w14:paraId="0BEE120E" w14:textId="77777777" w:rsidR="00C66FF2" w:rsidRPr="003B4C2A" w:rsidRDefault="00C66FF2" w:rsidP="00C66FF2">
      <w:pPr>
        <w:rPr>
          <w:color w:val="4F81BD" w:themeColor="accent1"/>
        </w:rPr>
      </w:pPr>
      <w:proofErr w:type="spellStart"/>
      <w:r w:rsidRPr="003B4C2A">
        <w:rPr>
          <w:color w:val="4F81BD" w:themeColor="accent1"/>
        </w:rPr>
        <w:t>Baek</w:t>
      </w:r>
      <w:proofErr w:type="spellEnd"/>
      <w:r w:rsidRPr="003B4C2A">
        <w:rPr>
          <w:color w:val="4F81BD" w:themeColor="accent1"/>
        </w:rPr>
        <w:t xml:space="preserve"> JW, Kim YD. 2014. </w:t>
      </w:r>
      <w:proofErr w:type="gramStart"/>
      <w:r w:rsidRPr="003B4C2A">
        <w:rPr>
          <w:color w:val="4F81BD" w:themeColor="accent1"/>
        </w:rPr>
        <w:t xml:space="preserve">Cerebral dissecting aneurysms in patients with essential </w:t>
      </w:r>
      <w:proofErr w:type="spellStart"/>
      <w:r w:rsidRPr="003B4C2A">
        <w:rPr>
          <w:color w:val="4F81BD" w:themeColor="accent1"/>
        </w:rPr>
        <w:t>thrombocythemia</w:t>
      </w:r>
      <w:proofErr w:type="spellEnd"/>
      <w:r w:rsidRPr="003B4C2A">
        <w:rPr>
          <w:color w:val="4F81BD" w:themeColor="accent1"/>
        </w:rPr>
        <w:t>.</w:t>
      </w:r>
      <w:proofErr w:type="gramEnd"/>
      <w:r w:rsidRPr="003B4C2A">
        <w:rPr>
          <w:color w:val="4F81BD" w:themeColor="accent1"/>
        </w:rPr>
        <w:t xml:space="preserve"> J Korean </w:t>
      </w:r>
      <w:proofErr w:type="spellStart"/>
      <w:r w:rsidRPr="003B4C2A">
        <w:rPr>
          <w:color w:val="4F81BD" w:themeColor="accent1"/>
        </w:rPr>
        <w:t>Neurosurg</w:t>
      </w:r>
      <w:proofErr w:type="spellEnd"/>
      <w:r w:rsidRPr="003B4C2A">
        <w:rPr>
          <w:color w:val="4F81BD" w:themeColor="accent1"/>
        </w:rPr>
        <w:t xml:space="preserve"> </w:t>
      </w:r>
      <w:proofErr w:type="spellStart"/>
      <w:r w:rsidRPr="003B4C2A">
        <w:rPr>
          <w:color w:val="4F81BD" w:themeColor="accent1"/>
        </w:rPr>
        <w:t>Soc</w:t>
      </w:r>
      <w:proofErr w:type="spellEnd"/>
      <w:r w:rsidRPr="003B4C2A">
        <w:rPr>
          <w:color w:val="4F81BD" w:themeColor="accent1"/>
        </w:rPr>
        <w:t xml:space="preserve"> 56(3):257–260.</w:t>
      </w:r>
    </w:p>
    <w:p w14:paraId="47376566" w14:textId="77777777" w:rsidR="00C66FF2" w:rsidRPr="003B4C2A" w:rsidRDefault="00C66FF2" w:rsidP="00C66FF2">
      <w:pPr>
        <w:rPr>
          <w:color w:val="4F81BD" w:themeColor="accent1"/>
        </w:rPr>
      </w:pPr>
      <w:proofErr w:type="spellStart"/>
      <w:r w:rsidRPr="003B4C2A">
        <w:rPr>
          <w:color w:val="4F81BD" w:themeColor="accent1"/>
        </w:rPr>
        <w:t>Becske</w:t>
      </w:r>
      <w:proofErr w:type="spellEnd"/>
      <w:r w:rsidRPr="003B4C2A">
        <w:rPr>
          <w:color w:val="4F81BD" w:themeColor="accent1"/>
        </w:rPr>
        <w:t xml:space="preserve"> T, </w:t>
      </w:r>
      <w:proofErr w:type="spellStart"/>
      <w:r w:rsidRPr="003B4C2A">
        <w:rPr>
          <w:color w:val="4F81BD" w:themeColor="accent1"/>
        </w:rPr>
        <w:t>Brinjikji</w:t>
      </w:r>
      <w:proofErr w:type="spellEnd"/>
      <w:r w:rsidRPr="003B4C2A">
        <w:rPr>
          <w:color w:val="4F81BD" w:themeColor="accent1"/>
        </w:rPr>
        <w:t xml:space="preserve"> W, Potts MB, </w:t>
      </w:r>
      <w:proofErr w:type="spellStart"/>
      <w:r w:rsidRPr="003B4C2A">
        <w:rPr>
          <w:color w:val="4F81BD" w:themeColor="accent1"/>
        </w:rPr>
        <w:t>Kallmes</w:t>
      </w:r>
      <w:proofErr w:type="spellEnd"/>
      <w:r w:rsidRPr="003B4C2A">
        <w:rPr>
          <w:color w:val="4F81BD" w:themeColor="accent1"/>
        </w:rPr>
        <w:t xml:space="preserve"> DF, Shapiro M, Moran CJ, Levy EI, McDougall CG, </w:t>
      </w:r>
      <w:proofErr w:type="spellStart"/>
      <w:r w:rsidRPr="003B4C2A">
        <w:rPr>
          <w:color w:val="4F81BD" w:themeColor="accent1"/>
        </w:rPr>
        <w:t>Szikora</w:t>
      </w:r>
      <w:proofErr w:type="spellEnd"/>
      <w:r w:rsidRPr="003B4C2A">
        <w:rPr>
          <w:color w:val="4F81BD" w:themeColor="accent1"/>
        </w:rPr>
        <w:t xml:space="preserve"> I, </w:t>
      </w:r>
      <w:proofErr w:type="spellStart"/>
      <w:r w:rsidRPr="003B4C2A">
        <w:rPr>
          <w:color w:val="4F81BD" w:themeColor="accent1"/>
        </w:rPr>
        <w:t>Lanzino</w:t>
      </w:r>
      <w:proofErr w:type="spellEnd"/>
      <w:r w:rsidRPr="003B4C2A">
        <w:rPr>
          <w:color w:val="4F81BD" w:themeColor="accent1"/>
        </w:rPr>
        <w:t xml:space="preserve"> G, Woo HH, Lopes DK, Siddiqui AH, Albuquerque FC, </w:t>
      </w:r>
      <w:proofErr w:type="spellStart"/>
      <w:r w:rsidRPr="003B4C2A">
        <w:rPr>
          <w:color w:val="4F81BD" w:themeColor="accent1"/>
        </w:rPr>
        <w:t>Fiorella</w:t>
      </w:r>
      <w:proofErr w:type="spellEnd"/>
      <w:r w:rsidRPr="003B4C2A">
        <w:rPr>
          <w:color w:val="4F81BD" w:themeColor="accent1"/>
        </w:rPr>
        <w:t xml:space="preserve"> DJ, </w:t>
      </w:r>
      <w:proofErr w:type="spellStart"/>
      <w:r w:rsidRPr="003B4C2A">
        <w:rPr>
          <w:color w:val="4F81BD" w:themeColor="accent1"/>
        </w:rPr>
        <w:t>Saatci</w:t>
      </w:r>
      <w:proofErr w:type="spellEnd"/>
      <w:r w:rsidRPr="003B4C2A">
        <w:rPr>
          <w:color w:val="4F81BD" w:themeColor="accent1"/>
        </w:rPr>
        <w:t xml:space="preserve"> I, </w:t>
      </w:r>
      <w:proofErr w:type="spellStart"/>
      <w:r w:rsidRPr="003B4C2A">
        <w:rPr>
          <w:color w:val="4F81BD" w:themeColor="accent1"/>
        </w:rPr>
        <w:t>Cekirge</w:t>
      </w:r>
      <w:proofErr w:type="spellEnd"/>
      <w:r w:rsidRPr="003B4C2A">
        <w:rPr>
          <w:color w:val="4F81BD" w:themeColor="accent1"/>
        </w:rPr>
        <w:t xml:space="preserve"> SH, </w:t>
      </w:r>
      <w:proofErr w:type="spellStart"/>
      <w:r w:rsidRPr="003B4C2A">
        <w:rPr>
          <w:color w:val="4F81BD" w:themeColor="accent1"/>
        </w:rPr>
        <w:t>Berez</w:t>
      </w:r>
      <w:proofErr w:type="spellEnd"/>
      <w:r w:rsidRPr="003B4C2A">
        <w:rPr>
          <w:color w:val="4F81BD" w:themeColor="accent1"/>
        </w:rPr>
        <w:t xml:space="preserve"> AL, Cher DJ, </w:t>
      </w:r>
      <w:proofErr w:type="spellStart"/>
      <w:r w:rsidRPr="003B4C2A">
        <w:rPr>
          <w:color w:val="4F81BD" w:themeColor="accent1"/>
        </w:rPr>
        <w:t>Berentei</w:t>
      </w:r>
      <w:proofErr w:type="spellEnd"/>
      <w:r w:rsidRPr="003B4C2A">
        <w:rPr>
          <w:color w:val="4F81BD" w:themeColor="accent1"/>
        </w:rPr>
        <w:t xml:space="preserve"> Z, </w:t>
      </w:r>
      <w:proofErr w:type="spellStart"/>
      <w:r w:rsidRPr="003B4C2A">
        <w:rPr>
          <w:color w:val="4F81BD" w:themeColor="accent1"/>
        </w:rPr>
        <w:t>Marosfoi</w:t>
      </w:r>
      <w:proofErr w:type="spellEnd"/>
      <w:r w:rsidRPr="003B4C2A">
        <w:rPr>
          <w:color w:val="4F81BD" w:themeColor="accent1"/>
        </w:rPr>
        <w:t xml:space="preserve"> M, Nelson PK. 20.178. Long-term clinical and angiographic outcomes following pipeline embolization device treatment of complex internal carotid artery aneurysms: five-year results of the pipeline for </w:t>
      </w:r>
      <w:proofErr w:type="spellStart"/>
      <w:r w:rsidRPr="003B4C2A">
        <w:rPr>
          <w:color w:val="4F81BD" w:themeColor="accent1"/>
        </w:rPr>
        <w:t>uncoilable</w:t>
      </w:r>
      <w:proofErr w:type="spellEnd"/>
      <w:r w:rsidRPr="003B4C2A">
        <w:rPr>
          <w:color w:val="4F81BD" w:themeColor="accent1"/>
        </w:rPr>
        <w:t xml:space="preserve"> or failed aneurysms trial. </w:t>
      </w:r>
      <w:proofErr w:type="gramStart"/>
      <w:r w:rsidRPr="003B4C2A">
        <w:rPr>
          <w:color w:val="4F81BD" w:themeColor="accent1"/>
        </w:rPr>
        <w:t>Neurosurgery.</w:t>
      </w:r>
      <w:proofErr w:type="gramEnd"/>
      <w:r w:rsidRPr="003B4C2A">
        <w:rPr>
          <w:color w:val="4F81BD" w:themeColor="accent1"/>
        </w:rPr>
        <w:t xml:space="preserve"> 2017 Jan 1</w:t>
      </w:r>
      <w:proofErr w:type="gramStart"/>
      <w:r w:rsidRPr="003B4C2A">
        <w:rPr>
          <w:color w:val="4F81BD" w:themeColor="accent1"/>
        </w:rPr>
        <w:t>;80</w:t>
      </w:r>
      <w:proofErr w:type="gramEnd"/>
      <w:r w:rsidRPr="003B4C2A">
        <w:rPr>
          <w:color w:val="4F81BD" w:themeColor="accent1"/>
        </w:rPr>
        <w:t>(1):40-48</w:t>
      </w:r>
    </w:p>
    <w:p w14:paraId="3339CA61" w14:textId="77777777" w:rsidR="00C66FF2" w:rsidRPr="003B4C2A" w:rsidRDefault="00C66FF2" w:rsidP="00C66FF2">
      <w:pPr>
        <w:spacing w:after="240"/>
        <w:rPr>
          <w:color w:val="4F81BD" w:themeColor="accent1"/>
        </w:rPr>
      </w:pPr>
      <w:proofErr w:type="spellStart"/>
      <w:r w:rsidRPr="003B4C2A">
        <w:rPr>
          <w:color w:val="4F81BD" w:themeColor="accent1"/>
        </w:rPr>
        <w:t>Brisman</w:t>
      </w:r>
      <w:proofErr w:type="spellEnd"/>
      <w:r w:rsidRPr="003B4C2A">
        <w:rPr>
          <w:color w:val="4F81BD" w:themeColor="accent1"/>
        </w:rPr>
        <w:t xml:space="preserve">, JL; Song, JK; Newell, DW (Aug 31, 2006). </w:t>
      </w:r>
      <w:proofErr w:type="gramStart"/>
      <w:r w:rsidRPr="003B4C2A">
        <w:rPr>
          <w:color w:val="4F81BD" w:themeColor="accent1"/>
        </w:rPr>
        <w:t>Cerebral aneurysms.</w:t>
      </w:r>
      <w:proofErr w:type="gramEnd"/>
      <w:r w:rsidRPr="003B4C2A">
        <w:rPr>
          <w:color w:val="4F81BD" w:themeColor="accent1"/>
        </w:rPr>
        <w:t xml:space="preserve"> </w:t>
      </w:r>
      <w:proofErr w:type="gramStart"/>
      <w:r w:rsidRPr="003B4C2A">
        <w:rPr>
          <w:color w:val="4F81BD" w:themeColor="accent1"/>
        </w:rPr>
        <w:t>The New England Journal of Medicine.</w:t>
      </w:r>
      <w:proofErr w:type="gramEnd"/>
      <w:r w:rsidRPr="003B4C2A">
        <w:rPr>
          <w:color w:val="4F81BD" w:themeColor="accent1"/>
        </w:rPr>
        <w:t xml:space="preserve"> 355 (9): 928–39</w:t>
      </w:r>
    </w:p>
    <w:p w14:paraId="4B15BA4A" w14:textId="77777777" w:rsidR="00C66FF2" w:rsidRPr="003B4C2A" w:rsidRDefault="00C66FF2" w:rsidP="00C66FF2">
      <w:pPr>
        <w:spacing w:after="240"/>
        <w:rPr>
          <w:color w:val="4F81BD" w:themeColor="accent1"/>
        </w:rPr>
      </w:pPr>
      <w:proofErr w:type="spellStart"/>
      <w:r w:rsidRPr="003B4C2A">
        <w:rPr>
          <w:color w:val="4F81BD" w:themeColor="accent1"/>
        </w:rPr>
        <w:t>Chalouhi</w:t>
      </w:r>
      <w:proofErr w:type="spellEnd"/>
      <w:r w:rsidRPr="003B4C2A">
        <w:rPr>
          <w:color w:val="4F81BD" w:themeColor="accent1"/>
        </w:rPr>
        <w:t xml:space="preserve"> N, </w:t>
      </w:r>
      <w:proofErr w:type="spellStart"/>
      <w:r w:rsidRPr="003B4C2A">
        <w:rPr>
          <w:color w:val="4F81BD" w:themeColor="accent1"/>
        </w:rPr>
        <w:t>Tjoumakaris</w:t>
      </w:r>
      <w:proofErr w:type="spellEnd"/>
      <w:r w:rsidRPr="003B4C2A">
        <w:rPr>
          <w:color w:val="4F81BD" w:themeColor="accent1"/>
        </w:rPr>
        <w:t xml:space="preserve"> S, Starke RM, Gonzalez LF, </w:t>
      </w:r>
      <w:proofErr w:type="spellStart"/>
      <w:r w:rsidRPr="003B4C2A">
        <w:rPr>
          <w:color w:val="4F81BD" w:themeColor="accent1"/>
        </w:rPr>
        <w:t>Randazzo</w:t>
      </w:r>
      <w:proofErr w:type="spellEnd"/>
      <w:r w:rsidRPr="003B4C2A">
        <w:rPr>
          <w:color w:val="4F81BD" w:themeColor="accent1"/>
        </w:rPr>
        <w:t xml:space="preserve"> C, Hasan D, et al. Comparison of flow diversion and coiling in large </w:t>
      </w:r>
      <w:proofErr w:type="spellStart"/>
      <w:r w:rsidRPr="003B4C2A">
        <w:rPr>
          <w:color w:val="4F81BD" w:themeColor="accent1"/>
        </w:rPr>
        <w:t>unruptured</w:t>
      </w:r>
      <w:proofErr w:type="spellEnd"/>
      <w:r w:rsidRPr="003B4C2A">
        <w:rPr>
          <w:color w:val="4F81BD" w:themeColor="accent1"/>
        </w:rPr>
        <w:t xml:space="preserve"> intracranial saccular aneurysms. </w:t>
      </w:r>
      <w:proofErr w:type="gramStart"/>
      <w:r w:rsidRPr="003B4C2A">
        <w:rPr>
          <w:color w:val="4F81BD" w:themeColor="accent1"/>
        </w:rPr>
        <w:t>Stroke.</w:t>
      </w:r>
      <w:proofErr w:type="gramEnd"/>
      <w:r w:rsidRPr="003B4C2A">
        <w:rPr>
          <w:color w:val="4F81BD" w:themeColor="accent1"/>
        </w:rPr>
        <w:t xml:space="preserve"> 2013B</w:t>
      </w:r>
      <w:proofErr w:type="gramStart"/>
      <w:r w:rsidRPr="003B4C2A">
        <w:rPr>
          <w:color w:val="4F81BD" w:themeColor="accent1"/>
        </w:rPr>
        <w:t>;44</w:t>
      </w:r>
      <w:proofErr w:type="gramEnd"/>
      <w:r w:rsidRPr="003B4C2A">
        <w:rPr>
          <w:color w:val="4F81BD" w:themeColor="accent1"/>
        </w:rPr>
        <w:t>(8):2150-4.</w:t>
      </w:r>
    </w:p>
    <w:p w14:paraId="1B987490" w14:textId="77777777" w:rsidR="00C66FF2" w:rsidRPr="003B4C2A" w:rsidRDefault="00C66FF2" w:rsidP="00C66FF2">
      <w:pPr>
        <w:spacing w:after="240"/>
        <w:rPr>
          <w:color w:val="4F81BD" w:themeColor="accent1"/>
        </w:rPr>
      </w:pPr>
      <w:proofErr w:type="spellStart"/>
      <w:r w:rsidRPr="003B4C2A">
        <w:rPr>
          <w:color w:val="4F81BD" w:themeColor="accent1"/>
        </w:rPr>
        <w:t>Chalouhi</w:t>
      </w:r>
      <w:proofErr w:type="spellEnd"/>
      <w:r w:rsidRPr="003B4C2A">
        <w:rPr>
          <w:color w:val="4F81BD" w:themeColor="accent1"/>
        </w:rPr>
        <w:t xml:space="preserve"> N, Starke RM, Yang S, </w:t>
      </w:r>
      <w:proofErr w:type="spellStart"/>
      <w:r w:rsidRPr="003B4C2A">
        <w:rPr>
          <w:color w:val="4F81BD" w:themeColor="accent1"/>
        </w:rPr>
        <w:t>Bovenzi</w:t>
      </w:r>
      <w:proofErr w:type="spellEnd"/>
      <w:r w:rsidRPr="003B4C2A">
        <w:rPr>
          <w:color w:val="4F81BD" w:themeColor="accent1"/>
        </w:rPr>
        <w:t xml:space="preserve"> CD, </w:t>
      </w:r>
      <w:proofErr w:type="spellStart"/>
      <w:r w:rsidRPr="003B4C2A">
        <w:rPr>
          <w:color w:val="4F81BD" w:themeColor="accent1"/>
        </w:rPr>
        <w:t>Tjoumakaris</w:t>
      </w:r>
      <w:proofErr w:type="spellEnd"/>
      <w:r w:rsidRPr="003B4C2A">
        <w:rPr>
          <w:color w:val="4F81BD" w:themeColor="accent1"/>
        </w:rPr>
        <w:t xml:space="preserve"> S, Hasan D, et al. Extending the indications of flow diversion to small, </w:t>
      </w:r>
      <w:proofErr w:type="spellStart"/>
      <w:r w:rsidRPr="003B4C2A">
        <w:rPr>
          <w:color w:val="4F81BD" w:themeColor="accent1"/>
        </w:rPr>
        <w:t>unruptured</w:t>
      </w:r>
      <w:proofErr w:type="spellEnd"/>
      <w:r w:rsidRPr="003B4C2A">
        <w:rPr>
          <w:color w:val="4F81BD" w:themeColor="accent1"/>
        </w:rPr>
        <w:t xml:space="preserve">, saccular aneurysms of the anterior circulation. </w:t>
      </w:r>
      <w:proofErr w:type="gramStart"/>
      <w:r w:rsidRPr="003B4C2A">
        <w:rPr>
          <w:color w:val="4F81BD" w:themeColor="accent1"/>
        </w:rPr>
        <w:t>Stroke.</w:t>
      </w:r>
      <w:proofErr w:type="gramEnd"/>
      <w:r w:rsidRPr="003B4C2A">
        <w:rPr>
          <w:color w:val="4F81BD" w:themeColor="accent1"/>
        </w:rPr>
        <w:t xml:space="preserve"> 2014</w:t>
      </w:r>
      <w:proofErr w:type="gramStart"/>
      <w:r w:rsidRPr="003B4C2A">
        <w:rPr>
          <w:color w:val="4F81BD" w:themeColor="accent1"/>
        </w:rPr>
        <w:t>;45</w:t>
      </w:r>
      <w:proofErr w:type="gramEnd"/>
      <w:r w:rsidRPr="003B4C2A">
        <w:rPr>
          <w:color w:val="4F81BD" w:themeColor="accent1"/>
        </w:rPr>
        <w:t>(1):54-8.</w:t>
      </w:r>
    </w:p>
    <w:p w14:paraId="42BC7D52" w14:textId="77777777" w:rsidR="00C66FF2" w:rsidRPr="003B4C2A" w:rsidRDefault="00C66FF2" w:rsidP="00C66FF2">
      <w:pPr>
        <w:spacing w:after="240"/>
        <w:rPr>
          <w:rFonts w:ascii="Calibri" w:hAnsi="Calibri"/>
          <w:color w:val="4F81BD" w:themeColor="accent1"/>
        </w:rPr>
      </w:pPr>
      <w:proofErr w:type="spellStart"/>
      <w:r w:rsidRPr="003B4C2A">
        <w:rPr>
          <w:color w:val="4F81BD" w:themeColor="accent1"/>
        </w:rPr>
        <w:t>Chaloui</w:t>
      </w:r>
      <w:proofErr w:type="spellEnd"/>
      <w:r w:rsidRPr="003B4C2A">
        <w:rPr>
          <w:color w:val="4F81BD" w:themeColor="accent1"/>
        </w:rPr>
        <w:t xml:space="preserve"> et al 2017. </w:t>
      </w:r>
      <w:proofErr w:type="gramStart"/>
      <w:r w:rsidRPr="003B4C2A">
        <w:rPr>
          <w:color w:val="4F81BD" w:themeColor="accent1"/>
        </w:rPr>
        <w:t>Matched Comparison of Flow Diversion and Coiling in Small, Noncomplex Intracranial Aneurysms.</w:t>
      </w:r>
      <w:proofErr w:type="gramEnd"/>
      <w:r w:rsidRPr="003B4C2A">
        <w:rPr>
          <w:color w:val="4F81BD" w:themeColor="accent1"/>
        </w:rPr>
        <w:t xml:space="preserve"> </w:t>
      </w:r>
      <w:r w:rsidRPr="003B4C2A">
        <w:rPr>
          <w:rFonts w:ascii="Calibri" w:hAnsi="Calibri"/>
          <w:color w:val="4F81BD" w:themeColor="accent1"/>
        </w:rPr>
        <w:t>Neurosurgery 00:1–6, 2017</w:t>
      </w:r>
    </w:p>
    <w:p w14:paraId="542097CB" w14:textId="77777777" w:rsidR="00C66FF2" w:rsidRPr="003B4C2A" w:rsidRDefault="00C66FF2" w:rsidP="00C66FF2">
      <w:pPr>
        <w:rPr>
          <w:color w:val="4F81BD" w:themeColor="accent1"/>
        </w:rPr>
      </w:pPr>
      <w:proofErr w:type="spellStart"/>
      <w:r w:rsidRPr="003B4C2A">
        <w:rPr>
          <w:color w:val="4F81BD" w:themeColor="accent1"/>
        </w:rPr>
        <w:t>Chinchure</w:t>
      </w:r>
      <w:proofErr w:type="spellEnd"/>
      <w:r w:rsidRPr="003B4C2A">
        <w:rPr>
          <w:color w:val="4F81BD" w:themeColor="accent1"/>
        </w:rPr>
        <w:t xml:space="preserve"> SD, Gupta V, </w:t>
      </w:r>
      <w:proofErr w:type="spellStart"/>
      <w:r w:rsidRPr="003B4C2A">
        <w:rPr>
          <w:color w:val="4F81BD" w:themeColor="accent1"/>
        </w:rPr>
        <w:t>Goel</w:t>
      </w:r>
      <w:proofErr w:type="spellEnd"/>
      <w:r w:rsidRPr="003B4C2A">
        <w:rPr>
          <w:color w:val="4F81BD" w:themeColor="accent1"/>
        </w:rPr>
        <w:t xml:space="preserve"> G, Gupta A, </w:t>
      </w:r>
      <w:proofErr w:type="spellStart"/>
      <w:r w:rsidRPr="003B4C2A">
        <w:rPr>
          <w:color w:val="4F81BD" w:themeColor="accent1"/>
        </w:rPr>
        <w:t>Jha</w:t>
      </w:r>
      <w:proofErr w:type="spellEnd"/>
      <w:r w:rsidRPr="003B4C2A">
        <w:rPr>
          <w:color w:val="4F81BD" w:themeColor="accent1"/>
        </w:rPr>
        <w:t xml:space="preserve"> A. 2014. </w:t>
      </w:r>
      <w:proofErr w:type="spellStart"/>
      <w:r w:rsidRPr="003B4C2A">
        <w:rPr>
          <w:color w:val="4F81BD" w:themeColor="accent1"/>
        </w:rPr>
        <w:t>Subaracnoid</w:t>
      </w:r>
      <w:proofErr w:type="spellEnd"/>
      <w:r w:rsidRPr="003B4C2A">
        <w:rPr>
          <w:color w:val="4F81BD" w:themeColor="accent1"/>
        </w:rPr>
        <w:t xml:space="preserve"> haemorrhage with blister aneurysms: endovascular management. </w:t>
      </w:r>
      <w:proofErr w:type="spellStart"/>
      <w:proofErr w:type="gramStart"/>
      <w:r w:rsidRPr="003B4C2A">
        <w:rPr>
          <w:color w:val="4F81BD" w:themeColor="accent1"/>
        </w:rPr>
        <w:t>Neurol</w:t>
      </w:r>
      <w:proofErr w:type="spellEnd"/>
      <w:r w:rsidRPr="003B4C2A">
        <w:rPr>
          <w:color w:val="4F81BD" w:themeColor="accent1"/>
        </w:rPr>
        <w:t xml:space="preserve"> India.</w:t>
      </w:r>
      <w:proofErr w:type="gramEnd"/>
      <w:r w:rsidRPr="003B4C2A">
        <w:rPr>
          <w:color w:val="4F81BD" w:themeColor="accent1"/>
        </w:rPr>
        <w:t xml:space="preserve"> 2014 Jul-Aug</w:t>
      </w:r>
      <w:proofErr w:type="gramStart"/>
      <w:r w:rsidRPr="003B4C2A">
        <w:rPr>
          <w:color w:val="4F81BD" w:themeColor="accent1"/>
        </w:rPr>
        <w:t>;62</w:t>
      </w:r>
      <w:proofErr w:type="gramEnd"/>
      <w:r w:rsidRPr="003B4C2A">
        <w:rPr>
          <w:color w:val="4F81BD" w:themeColor="accent1"/>
        </w:rPr>
        <w:t>(4):393-9</w:t>
      </w:r>
    </w:p>
    <w:p w14:paraId="016C1AE5" w14:textId="77777777" w:rsidR="00C66FF2" w:rsidRPr="003B4C2A" w:rsidRDefault="00C66FF2" w:rsidP="00C66FF2">
      <w:pPr>
        <w:spacing w:after="240"/>
        <w:rPr>
          <w:color w:val="4F81BD" w:themeColor="accent1"/>
        </w:rPr>
      </w:pPr>
      <w:r w:rsidRPr="003B4C2A">
        <w:rPr>
          <w:color w:val="4F81BD" w:themeColor="accent1"/>
        </w:rPr>
        <w:t xml:space="preserve">Di Maria et al. 2015. </w:t>
      </w:r>
      <w:r w:rsidRPr="003B4C2A">
        <w:rPr>
          <w:rFonts w:ascii="Calibri" w:hAnsi="Calibri"/>
          <w:color w:val="4F81BD" w:themeColor="accent1"/>
        </w:rPr>
        <w:t>Flow Diversion versus Standard Endovascular Techniques for</w:t>
      </w:r>
      <w:r w:rsidRPr="003B4C2A">
        <w:rPr>
          <w:color w:val="4F81BD" w:themeColor="accent1"/>
        </w:rPr>
        <w:t xml:space="preserve"> </w:t>
      </w:r>
      <w:r w:rsidRPr="003B4C2A">
        <w:rPr>
          <w:rFonts w:ascii="Calibri" w:hAnsi="Calibri"/>
          <w:color w:val="4F81BD" w:themeColor="accent1"/>
        </w:rPr>
        <w:t xml:space="preserve">the Treatment of </w:t>
      </w:r>
      <w:proofErr w:type="spellStart"/>
      <w:r w:rsidRPr="003B4C2A">
        <w:rPr>
          <w:rFonts w:ascii="Calibri" w:hAnsi="Calibri"/>
          <w:color w:val="4F81BD" w:themeColor="accent1"/>
        </w:rPr>
        <w:t>Unruptured</w:t>
      </w:r>
      <w:proofErr w:type="spellEnd"/>
      <w:r w:rsidRPr="003B4C2A">
        <w:rPr>
          <w:rFonts w:ascii="Calibri" w:hAnsi="Calibri"/>
          <w:color w:val="4F81BD" w:themeColor="accent1"/>
        </w:rPr>
        <w:t xml:space="preserve"> Carotid-Ophthalmic Aneurysms</w:t>
      </w:r>
      <w:r w:rsidRPr="003B4C2A">
        <w:rPr>
          <w:color w:val="4F81BD" w:themeColor="accent1"/>
        </w:rPr>
        <w:t xml:space="preserve">. AJNR Am J </w:t>
      </w:r>
      <w:proofErr w:type="spellStart"/>
      <w:r w:rsidRPr="003B4C2A">
        <w:rPr>
          <w:color w:val="4F81BD" w:themeColor="accent1"/>
        </w:rPr>
        <w:t>Neuroradiol</w:t>
      </w:r>
      <w:proofErr w:type="spellEnd"/>
      <w:r w:rsidRPr="003B4C2A">
        <w:rPr>
          <w:color w:val="4F81BD" w:themeColor="accent1"/>
        </w:rPr>
        <w:t xml:space="preserve"> 36:2325–30</w:t>
      </w:r>
    </w:p>
    <w:p w14:paraId="2B5075FF" w14:textId="77777777" w:rsidR="00C66FF2" w:rsidRPr="003B4C2A" w:rsidRDefault="00C66FF2" w:rsidP="00C66FF2">
      <w:pPr>
        <w:rPr>
          <w:color w:val="4F81BD" w:themeColor="accent1"/>
        </w:rPr>
      </w:pPr>
      <w:r w:rsidRPr="003B4C2A">
        <w:rPr>
          <w:color w:val="4F81BD" w:themeColor="accent1"/>
        </w:rPr>
        <w:t xml:space="preserve">Durst C, Starke R, </w:t>
      </w:r>
      <w:proofErr w:type="spellStart"/>
      <w:r w:rsidRPr="003B4C2A">
        <w:rPr>
          <w:color w:val="4F81BD" w:themeColor="accent1"/>
        </w:rPr>
        <w:t>Gingras</w:t>
      </w:r>
      <w:proofErr w:type="spellEnd"/>
      <w:r w:rsidRPr="003B4C2A">
        <w:rPr>
          <w:color w:val="4F81BD" w:themeColor="accent1"/>
        </w:rPr>
        <w:t xml:space="preserve"> J, Hixson H, Liu K, Crowley R, et al. Single </w:t>
      </w:r>
      <w:proofErr w:type="spellStart"/>
      <w:r w:rsidRPr="003B4C2A">
        <w:rPr>
          <w:color w:val="4F81BD" w:themeColor="accent1"/>
        </w:rPr>
        <w:t>center</w:t>
      </w:r>
      <w:proofErr w:type="spellEnd"/>
      <w:r w:rsidRPr="003B4C2A">
        <w:rPr>
          <w:color w:val="4F81BD" w:themeColor="accent1"/>
        </w:rPr>
        <w:t xml:space="preserve"> comparison of ophthalmic aneurysm treatment using pipeline embolization device versus coil embolization. </w:t>
      </w:r>
      <w:proofErr w:type="gramStart"/>
      <w:r w:rsidRPr="003B4C2A">
        <w:rPr>
          <w:color w:val="4F81BD" w:themeColor="accent1"/>
        </w:rPr>
        <w:t xml:space="preserve">Journal of </w:t>
      </w:r>
      <w:proofErr w:type="spellStart"/>
      <w:r w:rsidRPr="003B4C2A">
        <w:rPr>
          <w:color w:val="4F81BD" w:themeColor="accent1"/>
        </w:rPr>
        <w:t>NeuroInterventional</w:t>
      </w:r>
      <w:proofErr w:type="spellEnd"/>
      <w:r w:rsidRPr="003B4C2A">
        <w:rPr>
          <w:color w:val="4F81BD" w:themeColor="accent1"/>
        </w:rPr>
        <w:t xml:space="preserve"> Surgery.</w:t>
      </w:r>
      <w:proofErr w:type="gramEnd"/>
      <w:r w:rsidRPr="003B4C2A">
        <w:rPr>
          <w:color w:val="4F81BD" w:themeColor="accent1"/>
        </w:rPr>
        <w:t xml:space="preserve"> 2014</w:t>
      </w:r>
      <w:proofErr w:type="gramStart"/>
      <w:r w:rsidRPr="003B4C2A">
        <w:rPr>
          <w:color w:val="4F81BD" w:themeColor="accent1"/>
        </w:rPr>
        <w:t>;6:A54</w:t>
      </w:r>
      <w:proofErr w:type="gramEnd"/>
      <w:r w:rsidRPr="003B4C2A">
        <w:rPr>
          <w:color w:val="4F81BD" w:themeColor="accent1"/>
        </w:rPr>
        <w:t>-A5.</w:t>
      </w:r>
    </w:p>
    <w:p w14:paraId="48CB70F5" w14:textId="0B6E8939" w:rsidR="00C66FF2" w:rsidRPr="003B4C2A" w:rsidRDefault="00C66FF2" w:rsidP="00C66FF2">
      <w:pPr>
        <w:rPr>
          <w:color w:val="4F81BD" w:themeColor="accent1"/>
        </w:rPr>
      </w:pPr>
      <w:proofErr w:type="spellStart"/>
      <w:proofErr w:type="gramStart"/>
      <w:r w:rsidRPr="003B4C2A">
        <w:rPr>
          <w:color w:val="4F81BD" w:themeColor="accent1"/>
        </w:rPr>
        <w:t>Keddy</w:t>
      </w:r>
      <w:proofErr w:type="spellEnd"/>
      <w:r w:rsidRPr="003B4C2A">
        <w:rPr>
          <w:color w:val="4F81BD" w:themeColor="accent1"/>
        </w:rPr>
        <w:t xml:space="preserve"> 2006.</w:t>
      </w:r>
      <w:proofErr w:type="gramEnd"/>
      <w:r w:rsidRPr="003B4C2A">
        <w:rPr>
          <w:color w:val="4F81BD" w:themeColor="accent1"/>
        </w:rPr>
        <w:t xml:space="preserve"> </w:t>
      </w:r>
      <w:proofErr w:type="gramStart"/>
      <w:r w:rsidRPr="003B4C2A">
        <w:rPr>
          <w:color w:val="4F81BD" w:themeColor="accent1"/>
        </w:rPr>
        <w:t>An overview of intracranial aneurysms.</w:t>
      </w:r>
      <w:proofErr w:type="gramEnd"/>
      <w:r w:rsidRPr="003B4C2A">
        <w:rPr>
          <w:color w:val="4F81BD" w:themeColor="accent1"/>
        </w:rPr>
        <w:t xml:space="preserve"> </w:t>
      </w:r>
      <w:proofErr w:type="spellStart"/>
      <w:r w:rsidRPr="003B4C2A">
        <w:rPr>
          <w:color w:val="4F81BD" w:themeColor="accent1"/>
        </w:rPr>
        <w:t>Mcgill</w:t>
      </w:r>
      <w:proofErr w:type="spellEnd"/>
      <w:r w:rsidRPr="003B4C2A">
        <w:rPr>
          <w:color w:val="4F81BD" w:themeColor="accent1"/>
        </w:rPr>
        <w:t xml:space="preserve"> J Med 9(2):141–146. </w:t>
      </w:r>
      <w:hyperlink r:id="rId28" w:tooltip="Link to US National Library of Medicine National Institutes of Health website" w:history="1">
        <w:r w:rsidRPr="003B4C2A">
          <w:rPr>
            <w:rStyle w:val="Hyperlink"/>
            <w:color w:val="4F81BD" w:themeColor="accent1"/>
          </w:rPr>
          <w:t>https://www.ncbi.nlm.nih.gov/pmc/articles/PMC2323531/</w:t>
        </w:r>
      </w:hyperlink>
      <w:r w:rsidRPr="003B4C2A">
        <w:rPr>
          <w:color w:val="4F81BD" w:themeColor="accent1"/>
        </w:rPr>
        <w:t xml:space="preserve"> (accessed 19th June 20185)</w:t>
      </w:r>
    </w:p>
    <w:p w14:paraId="3FB94A9F" w14:textId="77777777" w:rsidR="00C66FF2" w:rsidRPr="003B4C2A" w:rsidRDefault="00C66FF2" w:rsidP="00C66FF2">
      <w:pPr>
        <w:spacing w:before="0" w:after="160"/>
        <w:rPr>
          <w:color w:val="4F81BD" w:themeColor="accent1"/>
          <w:sz w:val="22"/>
        </w:rPr>
      </w:pPr>
      <w:r w:rsidRPr="003B4C2A">
        <w:rPr>
          <w:color w:val="4F81BD" w:themeColor="accent1"/>
        </w:rPr>
        <w:t xml:space="preserve">McAuliffe W, </w:t>
      </w:r>
      <w:proofErr w:type="spellStart"/>
      <w:r w:rsidRPr="003B4C2A">
        <w:rPr>
          <w:color w:val="4F81BD" w:themeColor="accent1"/>
        </w:rPr>
        <w:t>Wycoco</w:t>
      </w:r>
      <w:proofErr w:type="spellEnd"/>
      <w:r w:rsidRPr="003B4C2A">
        <w:rPr>
          <w:color w:val="4F81BD" w:themeColor="accent1"/>
        </w:rPr>
        <w:t xml:space="preserve"> V, Rice H, </w:t>
      </w:r>
      <w:proofErr w:type="spellStart"/>
      <w:r w:rsidRPr="003B4C2A">
        <w:rPr>
          <w:color w:val="4F81BD" w:themeColor="accent1"/>
        </w:rPr>
        <w:t>Phatouros</w:t>
      </w:r>
      <w:proofErr w:type="spellEnd"/>
      <w:r w:rsidRPr="003B4C2A">
        <w:rPr>
          <w:color w:val="4F81BD" w:themeColor="accent1"/>
        </w:rPr>
        <w:t xml:space="preserve"> C, Singh TJ, </w:t>
      </w:r>
      <w:proofErr w:type="spellStart"/>
      <w:r w:rsidRPr="003B4C2A">
        <w:rPr>
          <w:color w:val="4F81BD" w:themeColor="accent1"/>
        </w:rPr>
        <w:t>Wenderoth</w:t>
      </w:r>
      <w:proofErr w:type="spellEnd"/>
      <w:r w:rsidRPr="003B4C2A">
        <w:rPr>
          <w:color w:val="4F81BD" w:themeColor="accent1"/>
        </w:rPr>
        <w:t xml:space="preserve"> J. 2012. </w:t>
      </w:r>
      <w:proofErr w:type="gramStart"/>
      <w:r w:rsidRPr="003B4C2A">
        <w:rPr>
          <w:color w:val="4F81BD" w:themeColor="accent1"/>
          <w:sz w:val="22"/>
        </w:rPr>
        <w:t xml:space="preserve">Immediate and Midterm Results following Treatment of </w:t>
      </w:r>
      <w:proofErr w:type="spellStart"/>
      <w:r w:rsidRPr="003B4C2A">
        <w:rPr>
          <w:color w:val="4F81BD" w:themeColor="accent1"/>
          <w:sz w:val="22"/>
        </w:rPr>
        <w:t>Unruptured</w:t>
      </w:r>
      <w:proofErr w:type="spellEnd"/>
      <w:r w:rsidRPr="003B4C2A">
        <w:rPr>
          <w:color w:val="4F81BD" w:themeColor="accent1"/>
          <w:sz w:val="22"/>
        </w:rPr>
        <w:t xml:space="preserve"> Intracranial Aneurysms with the Pipeline Embolization Device.</w:t>
      </w:r>
      <w:proofErr w:type="gramEnd"/>
      <w:r w:rsidRPr="003B4C2A">
        <w:rPr>
          <w:color w:val="4F81BD" w:themeColor="accent1"/>
          <w:sz w:val="22"/>
        </w:rPr>
        <w:t xml:space="preserve"> </w:t>
      </w:r>
      <w:r w:rsidRPr="003B4C2A">
        <w:rPr>
          <w:color w:val="4F81BD" w:themeColor="accent1"/>
        </w:rPr>
        <w:t>AJNR 33” 164-170.</w:t>
      </w:r>
    </w:p>
    <w:p w14:paraId="42708F3A" w14:textId="77777777" w:rsidR="00C66FF2" w:rsidRPr="003B4C2A" w:rsidRDefault="00C66FF2" w:rsidP="00C66FF2">
      <w:pPr>
        <w:spacing w:after="240"/>
        <w:rPr>
          <w:color w:val="4F81BD" w:themeColor="accent1"/>
        </w:rPr>
      </w:pPr>
      <w:r w:rsidRPr="003B4C2A">
        <w:rPr>
          <w:color w:val="4F81BD" w:themeColor="accent1"/>
        </w:rPr>
        <w:t xml:space="preserve">Miller et al 2014. Impact of Endovascular Technique on Fluoroscopy Usage: Stent-Assisted Coiling versus Flow Diversion for </w:t>
      </w:r>
      <w:proofErr w:type="spellStart"/>
      <w:r w:rsidRPr="003B4C2A">
        <w:rPr>
          <w:color w:val="4F81BD" w:themeColor="accent1"/>
        </w:rPr>
        <w:t>Paraclinoid</w:t>
      </w:r>
      <w:proofErr w:type="spellEnd"/>
      <w:r w:rsidRPr="003B4C2A">
        <w:rPr>
          <w:color w:val="4F81BD" w:themeColor="accent1"/>
        </w:rPr>
        <w:t xml:space="preserve"> Internal Carotid Artery Aneurysms. The Neuroradiology Journal 27: 725-731.</w:t>
      </w:r>
    </w:p>
    <w:p w14:paraId="73337943" w14:textId="77777777" w:rsidR="00C66FF2" w:rsidRPr="003B4C2A" w:rsidRDefault="00C66FF2" w:rsidP="00C66FF2">
      <w:pPr>
        <w:spacing w:after="240"/>
        <w:rPr>
          <w:color w:val="4F81BD" w:themeColor="accent1"/>
        </w:rPr>
      </w:pPr>
      <w:r w:rsidRPr="003B4C2A">
        <w:rPr>
          <w:color w:val="4F81BD" w:themeColor="accent1"/>
        </w:rPr>
        <w:t xml:space="preserve">Petr O, </w:t>
      </w:r>
      <w:proofErr w:type="spellStart"/>
      <w:r w:rsidRPr="003B4C2A">
        <w:rPr>
          <w:color w:val="4F81BD" w:themeColor="accent1"/>
        </w:rPr>
        <w:t>Brinjikji</w:t>
      </w:r>
      <w:proofErr w:type="spellEnd"/>
      <w:r w:rsidRPr="003B4C2A">
        <w:rPr>
          <w:color w:val="4F81BD" w:themeColor="accent1"/>
        </w:rPr>
        <w:t xml:space="preserve"> W, </w:t>
      </w:r>
      <w:proofErr w:type="spellStart"/>
      <w:r w:rsidRPr="003B4C2A">
        <w:rPr>
          <w:color w:val="4F81BD" w:themeColor="accent1"/>
        </w:rPr>
        <w:t>Cloft</w:t>
      </w:r>
      <w:proofErr w:type="spellEnd"/>
      <w:r w:rsidRPr="003B4C2A">
        <w:rPr>
          <w:color w:val="4F81BD" w:themeColor="accent1"/>
        </w:rPr>
        <w:t xml:space="preserve"> H, </w:t>
      </w:r>
      <w:proofErr w:type="spellStart"/>
      <w:r w:rsidRPr="003B4C2A">
        <w:rPr>
          <w:color w:val="4F81BD" w:themeColor="accent1"/>
        </w:rPr>
        <w:t>Kallmes</w:t>
      </w:r>
      <w:proofErr w:type="spellEnd"/>
      <w:r w:rsidRPr="003B4C2A">
        <w:rPr>
          <w:color w:val="4F81BD" w:themeColor="accent1"/>
        </w:rPr>
        <w:t xml:space="preserve"> DF, </w:t>
      </w:r>
      <w:proofErr w:type="spellStart"/>
      <w:r w:rsidRPr="003B4C2A">
        <w:rPr>
          <w:color w:val="4F81BD" w:themeColor="accent1"/>
        </w:rPr>
        <w:t>Lanzino</w:t>
      </w:r>
      <w:proofErr w:type="spellEnd"/>
      <w:r w:rsidRPr="003B4C2A">
        <w:rPr>
          <w:color w:val="4F81BD" w:themeColor="accent1"/>
        </w:rPr>
        <w:t xml:space="preserve"> G. Current trends and results of endovascular treatment of </w:t>
      </w:r>
      <w:proofErr w:type="spellStart"/>
      <w:r w:rsidRPr="003B4C2A">
        <w:rPr>
          <w:color w:val="4F81BD" w:themeColor="accent1"/>
        </w:rPr>
        <w:t>unruptured</w:t>
      </w:r>
      <w:proofErr w:type="spellEnd"/>
      <w:r w:rsidRPr="003B4C2A">
        <w:rPr>
          <w:color w:val="4F81BD" w:themeColor="accent1"/>
        </w:rPr>
        <w:t xml:space="preserve"> intracranial aneurysms at a single institution in the flow-diverter era. </w:t>
      </w:r>
      <w:proofErr w:type="gramStart"/>
      <w:r w:rsidRPr="003B4C2A">
        <w:rPr>
          <w:color w:val="4F81BD" w:themeColor="accent1"/>
        </w:rPr>
        <w:t>American Journal of Neuroradiology.</w:t>
      </w:r>
      <w:proofErr w:type="gramEnd"/>
      <w:r w:rsidRPr="003B4C2A">
        <w:rPr>
          <w:color w:val="4F81BD" w:themeColor="accent1"/>
        </w:rPr>
        <w:t xml:space="preserve"> 2016</w:t>
      </w:r>
      <w:proofErr w:type="gramStart"/>
      <w:r w:rsidRPr="003B4C2A">
        <w:rPr>
          <w:color w:val="4F81BD" w:themeColor="accent1"/>
        </w:rPr>
        <w:t>;37</w:t>
      </w:r>
      <w:proofErr w:type="gramEnd"/>
      <w:r w:rsidRPr="003B4C2A">
        <w:rPr>
          <w:color w:val="4F81BD" w:themeColor="accent1"/>
        </w:rPr>
        <w:t>(6):1106-13.</w:t>
      </w:r>
    </w:p>
    <w:p w14:paraId="18BFED56" w14:textId="77777777" w:rsidR="00C66FF2" w:rsidRPr="003B4C2A" w:rsidRDefault="00C66FF2" w:rsidP="00C66FF2">
      <w:pPr>
        <w:rPr>
          <w:color w:val="4F81BD" w:themeColor="accent1"/>
        </w:rPr>
      </w:pPr>
      <w:proofErr w:type="spellStart"/>
      <w:r w:rsidRPr="003B4C2A">
        <w:rPr>
          <w:color w:val="4F81BD" w:themeColor="accent1"/>
        </w:rPr>
        <w:t>Rooij</w:t>
      </w:r>
      <w:proofErr w:type="spellEnd"/>
      <w:r w:rsidRPr="003B4C2A">
        <w:rPr>
          <w:color w:val="4F81BD" w:themeColor="accent1"/>
        </w:rPr>
        <w:t xml:space="preserve"> WJ, </w:t>
      </w:r>
      <w:proofErr w:type="spellStart"/>
      <w:r w:rsidRPr="003B4C2A">
        <w:rPr>
          <w:color w:val="4F81BD" w:themeColor="accent1"/>
        </w:rPr>
        <w:t>Sluzewski</w:t>
      </w:r>
      <w:proofErr w:type="spellEnd"/>
      <w:r w:rsidRPr="003B4C2A">
        <w:rPr>
          <w:color w:val="4F81BD" w:themeColor="accent1"/>
        </w:rPr>
        <w:t xml:space="preserve"> M. 2008. </w:t>
      </w:r>
      <w:proofErr w:type="spellStart"/>
      <w:r w:rsidRPr="003B4C2A">
        <w:rPr>
          <w:color w:val="4F81BD" w:themeColor="accent1"/>
        </w:rPr>
        <w:t>Unruptured</w:t>
      </w:r>
      <w:proofErr w:type="spellEnd"/>
      <w:r w:rsidRPr="003B4C2A">
        <w:rPr>
          <w:color w:val="4F81BD" w:themeColor="accent1"/>
        </w:rPr>
        <w:t xml:space="preserve"> Large and Giant Carotid Artery Aneurysms Presenting with Cranial Nerve Palsy: Comparison of Clinical Recovery after Selective Aneurysm Coiling and Therapeutic Carotid Artery Occlusion. Am J </w:t>
      </w:r>
      <w:proofErr w:type="spellStart"/>
      <w:r w:rsidRPr="003B4C2A">
        <w:rPr>
          <w:color w:val="4F81BD" w:themeColor="accent1"/>
        </w:rPr>
        <w:t>Neuroradiol</w:t>
      </w:r>
      <w:proofErr w:type="spellEnd"/>
      <w:r w:rsidRPr="003B4C2A">
        <w:rPr>
          <w:color w:val="4F81BD" w:themeColor="accent1"/>
        </w:rPr>
        <w:t xml:space="preserve"> 29:997–</w:t>
      </w:r>
      <w:proofErr w:type="gramStart"/>
      <w:r w:rsidRPr="003B4C2A">
        <w:rPr>
          <w:color w:val="4F81BD" w:themeColor="accent1"/>
        </w:rPr>
        <w:t>1002</w:t>
      </w:r>
      <w:proofErr w:type="gramEnd"/>
    </w:p>
    <w:p w14:paraId="1600C899" w14:textId="77777777" w:rsidR="00C66FF2" w:rsidRPr="003B4C2A" w:rsidRDefault="00C66FF2" w:rsidP="00C66FF2">
      <w:pPr>
        <w:rPr>
          <w:color w:val="4F81BD" w:themeColor="accent1"/>
        </w:rPr>
      </w:pPr>
      <w:r w:rsidRPr="003B4C2A">
        <w:rPr>
          <w:color w:val="4F81BD" w:themeColor="accent1"/>
        </w:rPr>
        <w:t>Steiner, T., Al‐</w:t>
      </w:r>
      <w:proofErr w:type="spellStart"/>
      <w:r w:rsidRPr="003B4C2A">
        <w:rPr>
          <w:color w:val="4F81BD" w:themeColor="accent1"/>
        </w:rPr>
        <w:t>Shahi</w:t>
      </w:r>
      <w:proofErr w:type="spellEnd"/>
      <w:r w:rsidRPr="003B4C2A">
        <w:rPr>
          <w:color w:val="4F81BD" w:themeColor="accent1"/>
        </w:rPr>
        <w:t xml:space="preserve"> Salman, R., Beer, R., Christensen, H., </w:t>
      </w:r>
      <w:proofErr w:type="spellStart"/>
      <w:r w:rsidRPr="003B4C2A">
        <w:rPr>
          <w:color w:val="4F81BD" w:themeColor="accent1"/>
        </w:rPr>
        <w:t>Cordonnier</w:t>
      </w:r>
      <w:proofErr w:type="spellEnd"/>
      <w:r w:rsidRPr="003B4C2A">
        <w:rPr>
          <w:color w:val="4F81BD" w:themeColor="accent1"/>
        </w:rPr>
        <w:t xml:space="preserve">, C., </w:t>
      </w:r>
      <w:proofErr w:type="spellStart"/>
      <w:r w:rsidRPr="003B4C2A">
        <w:rPr>
          <w:color w:val="4F81BD" w:themeColor="accent1"/>
        </w:rPr>
        <w:t>Csiba</w:t>
      </w:r>
      <w:proofErr w:type="spellEnd"/>
      <w:r w:rsidRPr="003B4C2A">
        <w:rPr>
          <w:color w:val="4F81BD" w:themeColor="accent1"/>
        </w:rPr>
        <w:t>, L</w:t>
      </w:r>
      <w:proofErr w:type="gramStart"/>
      <w:r w:rsidRPr="003B4C2A">
        <w:rPr>
          <w:color w:val="4F81BD" w:themeColor="accent1"/>
        </w:rPr>
        <w:t>., ...</w:t>
      </w:r>
      <w:proofErr w:type="gramEnd"/>
      <w:r w:rsidRPr="003B4C2A">
        <w:rPr>
          <w:color w:val="4F81BD" w:themeColor="accent1"/>
        </w:rPr>
        <w:t xml:space="preserve"> &amp; </w:t>
      </w:r>
      <w:proofErr w:type="spellStart"/>
      <w:r w:rsidRPr="003B4C2A">
        <w:rPr>
          <w:color w:val="4F81BD" w:themeColor="accent1"/>
        </w:rPr>
        <w:t>Mendelow</w:t>
      </w:r>
      <w:proofErr w:type="spellEnd"/>
      <w:r w:rsidRPr="003B4C2A">
        <w:rPr>
          <w:color w:val="4F81BD" w:themeColor="accent1"/>
        </w:rPr>
        <w:t xml:space="preserve">, A. D. (2014). </w:t>
      </w:r>
      <w:proofErr w:type="gramStart"/>
      <w:r w:rsidRPr="003B4C2A">
        <w:rPr>
          <w:color w:val="4F81BD" w:themeColor="accent1"/>
        </w:rPr>
        <w:t xml:space="preserve">European Stroke Organisation (ESO) guidelines for the management of spontaneous intracerebral </w:t>
      </w:r>
      <w:proofErr w:type="spellStart"/>
      <w:r w:rsidRPr="003B4C2A">
        <w:rPr>
          <w:color w:val="4F81BD" w:themeColor="accent1"/>
        </w:rPr>
        <w:t>hemorrhage</w:t>
      </w:r>
      <w:proofErr w:type="spellEnd"/>
      <w:r w:rsidRPr="003B4C2A">
        <w:rPr>
          <w:color w:val="4F81BD" w:themeColor="accent1"/>
        </w:rPr>
        <w:t>.</w:t>
      </w:r>
      <w:proofErr w:type="gramEnd"/>
      <w:r w:rsidRPr="003B4C2A">
        <w:rPr>
          <w:color w:val="4F81BD" w:themeColor="accent1"/>
        </w:rPr>
        <w:t xml:space="preserve"> International journal of stroke, 9(7), 840-855</w:t>
      </w:r>
    </w:p>
    <w:p w14:paraId="371C4C95" w14:textId="77777777" w:rsidR="00C66FF2" w:rsidRPr="003B4C2A" w:rsidRDefault="00C66FF2" w:rsidP="00C66FF2">
      <w:pPr>
        <w:rPr>
          <w:color w:val="4F81BD" w:themeColor="accent1"/>
        </w:rPr>
      </w:pPr>
      <w:r w:rsidRPr="003B4C2A">
        <w:rPr>
          <w:color w:val="4F81BD" w:themeColor="accent1"/>
        </w:rPr>
        <w:t xml:space="preserve">Thompson et al 2015. Guidelines for the Management of Patients With </w:t>
      </w:r>
      <w:proofErr w:type="spellStart"/>
      <w:r w:rsidRPr="003B4C2A">
        <w:rPr>
          <w:color w:val="4F81BD" w:themeColor="accent1"/>
        </w:rPr>
        <w:t>Unruptured</w:t>
      </w:r>
      <w:proofErr w:type="spellEnd"/>
      <w:r w:rsidRPr="003B4C2A">
        <w:rPr>
          <w:color w:val="4F81BD" w:themeColor="accent1"/>
        </w:rPr>
        <w:t xml:space="preserve"> Intracranial Aneurysms A Guideline for Healthcare Professionals From the American Heart Association/American Stroke Association. </w:t>
      </w:r>
      <w:proofErr w:type="gramStart"/>
      <w:r w:rsidRPr="003B4C2A">
        <w:rPr>
          <w:color w:val="4F81BD" w:themeColor="accent1"/>
        </w:rPr>
        <w:t>Stroke.</w:t>
      </w:r>
      <w:proofErr w:type="gramEnd"/>
      <w:r w:rsidRPr="003B4C2A">
        <w:rPr>
          <w:color w:val="4F81BD" w:themeColor="accent1"/>
        </w:rPr>
        <w:t xml:space="preserve"> 2015</w:t>
      </w:r>
      <w:proofErr w:type="gramStart"/>
      <w:r w:rsidRPr="003B4C2A">
        <w:rPr>
          <w:color w:val="4F81BD" w:themeColor="accent1"/>
        </w:rPr>
        <w:t>;46:000</w:t>
      </w:r>
      <w:proofErr w:type="gramEnd"/>
      <w:r w:rsidRPr="003B4C2A">
        <w:rPr>
          <w:color w:val="4F81BD" w:themeColor="accent1"/>
        </w:rPr>
        <w:t>-000.</w:t>
      </w:r>
    </w:p>
    <w:p w14:paraId="53B2B00B" w14:textId="77777777" w:rsidR="00C66FF2" w:rsidRPr="003B4C2A" w:rsidRDefault="00C66FF2" w:rsidP="00C66FF2">
      <w:pPr>
        <w:spacing w:after="240"/>
        <w:rPr>
          <w:color w:val="4F81BD" w:themeColor="accent1"/>
          <w:shd w:val="clear" w:color="auto" w:fill="FFFFFF"/>
        </w:rPr>
      </w:pPr>
      <w:proofErr w:type="spellStart"/>
      <w:r w:rsidRPr="003B4C2A">
        <w:rPr>
          <w:color w:val="4F81BD" w:themeColor="accent1"/>
          <w:shd w:val="clear" w:color="auto" w:fill="FFFFFF"/>
        </w:rPr>
        <w:lastRenderedPageBreak/>
        <w:t>Vernooij</w:t>
      </w:r>
      <w:proofErr w:type="spellEnd"/>
      <w:r w:rsidRPr="003B4C2A">
        <w:rPr>
          <w:color w:val="4F81BD" w:themeColor="accent1"/>
          <w:shd w:val="clear" w:color="auto" w:fill="FFFFFF"/>
        </w:rPr>
        <w:t xml:space="preserve">, M. W., </w:t>
      </w:r>
      <w:proofErr w:type="spellStart"/>
      <w:r w:rsidRPr="003B4C2A">
        <w:rPr>
          <w:color w:val="4F81BD" w:themeColor="accent1"/>
          <w:shd w:val="clear" w:color="auto" w:fill="FFFFFF"/>
        </w:rPr>
        <w:t>Ikram</w:t>
      </w:r>
      <w:proofErr w:type="spellEnd"/>
      <w:r w:rsidRPr="003B4C2A">
        <w:rPr>
          <w:color w:val="4F81BD" w:themeColor="accent1"/>
          <w:shd w:val="clear" w:color="auto" w:fill="FFFFFF"/>
        </w:rPr>
        <w:t xml:space="preserve">, M. A., </w:t>
      </w:r>
      <w:proofErr w:type="spellStart"/>
      <w:r w:rsidRPr="003B4C2A">
        <w:rPr>
          <w:color w:val="4F81BD" w:themeColor="accent1"/>
          <w:shd w:val="clear" w:color="auto" w:fill="FFFFFF"/>
        </w:rPr>
        <w:t>Tanghe</w:t>
      </w:r>
      <w:proofErr w:type="spellEnd"/>
      <w:r w:rsidRPr="003B4C2A">
        <w:rPr>
          <w:color w:val="4F81BD" w:themeColor="accent1"/>
          <w:shd w:val="clear" w:color="auto" w:fill="FFFFFF"/>
        </w:rPr>
        <w:t xml:space="preserve">, H. L., Vincent, A. J., </w:t>
      </w:r>
      <w:proofErr w:type="spellStart"/>
      <w:r w:rsidRPr="003B4C2A">
        <w:rPr>
          <w:color w:val="4F81BD" w:themeColor="accent1"/>
          <w:shd w:val="clear" w:color="auto" w:fill="FFFFFF"/>
        </w:rPr>
        <w:t>Hofman</w:t>
      </w:r>
      <w:proofErr w:type="spellEnd"/>
      <w:r w:rsidRPr="003B4C2A">
        <w:rPr>
          <w:color w:val="4F81BD" w:themeColor="accent1"/>
          <w:shd w:val="clear" w:color="auto" w:fill="FFFFFF"/>
        </w:rPr>
        <w:t xml:space="preserve">, A., </w:t>
      </w:r>
      <w:proofErr w:type="spellStart"/>
      <w:r w:rsidRPr="003B4C2A">
        <w:rPr>
          <w:color w:val="4F81BD" w:themeColor="accent1"/>
          <w:shd w:val="clear" w:color="auto" w:fill="FFFFFF"/>
        </w:rPr>
        <w:t>Krestin</w:t>
      </w:r>
      <w:proofErr w:type="spellEnd"/>
      <w:r w:rsidRPr="003B4C2A">
        <w:rPr>
          <w:color w:val="4F81BD" w:themeColor="accent1"/>
          <w:shd w:val="clear" w:color="auto" w:fill="FFFFFF"/>
        </w:rPr>
        <w:t xml:space="preserve">, G. P., ... &amp; van der </w:t>
      </w:r>
      <w:proofErr w:type="spellStart"/>
      <w:r w:rsidRPr="003B4C2A">
        <w:rPr>
          <w:color w:val="4F81BD" w:themeColor="accent1"/>
          <w:shd w:val="clear" w:color="auto" w:fill="FFFFFF"/>
        </w:rPr>
        <w:t>Lugt</w:t>
      </w:r>
      <w:proofErr w:type="spellEnd"/>
      <w:r w:rsidRPr="003B4C2A">
        <w:rPr>
          <w:color w:val="4F81BD" w:themeColor="accent1"/>
          <w:shd w:val="clear" w:color="auto" w:fill="FFFFFF"/>
        </w:rPr>
        <w:t xml:space="preserve">, A. (2007). </w:t>
      </w:r>
      <w:proofErr w:type="gramStart"/>
      <w:r w:rsidRPr="003B4C2A">
        <w:rPr>
          <w:color w:val="4F81BD" w:themeColor="accent1"/>
          <w:shd w:val="clear" w:color="auto" w:fill="FFFFFF"/>
        </w:rPr>
        <w:t>Incidental findings on brain MRI in the general population.</w:t>
      </w:r>
      <w:proofErr w:type="gramEnd"/>
      <w:r w:rsidRPr="003B4C2A">
        <w:rPr>
          <w:rStyle w:val="apple-converted-space"/>
          <w:color w:val="4F81BD" w:themeColor="accent1"/>
          <w:shd w:val="clear" w:color="auto" w:fill="FFFFFF"/>
        </w:rPr>
        <w:t> </w:t>
      </w:r>
      <w:r w:rsidRPr="003B4C2A">
        <w:rPr>
          <w:i/>
          <w:iCs/>
          <w:color w:val="4F81BD" w:themeColor="accent1"/>
          <w:shd w:val="clear" w:color="auto" w:fill="FFFFFF"/>
        </w:rPr>
        <w:t>New England Journal of Medicine</w:t>
      </w:r>
      <w:r w:rsidRPr="003B4C2A">
        <w:rPr>
          <w:color w:val="4F81BD" w:themeColor="accent1"/>
          <w:shd w:val="clear" w:color="auto" w:fill="FFFFFF"/>
        </w:rPr>
        <w:t>,</w:t>
      </w:r>
      <w:r w:rsidRPr="003B4C2A">
        <w:rPr>
          <w:rStyle w:val="apple-converted-space"/>
          <w:color w:val="4F81BD" w:themeColor="accent1"/>
          <w:shd w:val="clear" w:color="auto" w:fill="FFFFFF"/>
        </w:rPr>
        <w:t> </w:t>
      </w:r>
      <w:r w:rsidRPr="003B4C2A">
        <w:rPr>
          <w:i/>
          <w:iCs/>
          <w:color w:val="4F81BD" w:themeColor="accent1"/>
          <w:shd w:val="clear" w:color="auto" w:fill="FFFFFF"/>
        </w:rPr>
        <w:t>357</w:t>
      </w:r>
      <w:r w:rsidRPr="003B4C2A">
        <w:rPr>
          <w:color w:val="4F81BD" w:themeColor="accent1"/>
          <w:shd w:val="clear" w:color="auto" w:fill="FFFFFF"/>
        </w:rPr>
        <w:t>(18), 1821-1828.</w:t>
      </w:r>
    </w:p>
    <w:p w14:paraId="09186D84" w14:textId="77777777" w:rsidR="00C66FF2" w:rsidRPr="003B4C2A" w:rsidRDefault="00C66FF2" w:rsidP="00C66FF2">
      <w:pPr>
        <w:rPr>
          <w:color w:val="4F81BD" w:themeColor="accent1"/>
        </w:rPr>
      </w:pPr>
      <w:proofErr w:type="spellStart"/>
      <w:proofErr w:type="gramStart"/>
      <w:r w:rsidRPr="003B4C2A">
        <w:rPr>
          <w:color w:val="4F81BD" w:themeColor="accent1"/>
        </w:rPr>
        <w:t>Vlak</w:t>
      </w:r>
      <w:proofErr w:type="spellEnd"/>
      <w:r w:rsidRPr="003B4C2A">
        <w:rPr>
          <w:color w:val="4F81BD" w:themeColor="accent1"/>
        </w:rPr>
        <w:t xml:space="preserve">, M. H., </w:t>
      </w:r>
      <w:proofErr w:type="spellStart"/>
      <w:r w:rsidRPr="003B4C2A">
        <w:rPr>
          <w:color w:val="4F81BD" w:themeColor="accent1"/>
        </w:rPr>
        <w:t>Algra</w:t>
      </w:r>
      <w:proofErr w:type="spellEnd"/>
      <w:r w:rsidRPr="003B4C2A">
        <w:rPr>
          <w:color w:val="4F81BD" w:themeColor="accent1"/>
        </w:rPr>
        <w:t xml:space="preserve">, A., Brandenburg, R., &amp; </w:t>
      </w:r>
      <w:proofErr w:type="spellStart"/>
      <w:r w:rsidRPr="003B4C2A">
        <w:rPr>
          <w:color w:val="4F81BD" w:themeColor="accent1"/>
        </w:rPr>
        <w:t>Rinkel</w:t>
      </w:r>
      <w:proofErr w:type="spellEnd"/>
      <w:r w:rsidRPr="003B4C2A">
        <w:rPr>
          <w:color w:val="4F81BD" w:themeColor="accent1"/>
        </w:rPr>
        <w:t>, G. J. (2011).</w:t>
      </w:r>
      <w:proofErr w:type="gramEnd"/>
      <w:r w:rsidRPr="003B4C2A">
        <w:rPr>
          <w:color w:val="4F81BD" w:themeColor="accent1"/>
        </w:rPr>
        <w:t xml:space="preserve"> Prevalence of </w:t>
      </w:r>
      <w:proofErr w:type="spellStart"/>
      <w:r w:rsidRPr="003B4C2A">
        <w:rPr>
          <w:color w:val="4F81BD" w:themeColor="accent1"/>
        </w:rPr>
        <w:t>unruptured</w:t>
      </w:r>
      <w:proofErr w:type="spellEnd"/>
      <w:r w:rsidRPr="003B4C2A">
        <w:rPr>
          <w:color w:val="4F81BD" w:themeColor="accent1"/>
        </w:rPr>
        <w:t xml:space="preserve"> intracranial aneurysms, with emphasis on sex, age, comorbidity, country, and time period: a systematic review and meta-analysis. The Lancet Neurology, 10(7), 626-636.</w:t>
      </w:r>
    </w:p>
    <w:p w14:paraId="092E1A6D" w14:textId="77777777" w:rsidR="00C66FF2" w:rsidRPr="003B4C2A" w:rsidRDefault="00C66FF2" w:rsidP="00C66FF2">
      <w:pPr>
        <w:spacing w:after="240"/>
        <w:rPr>
          <w:color w:val="4F81BD" w:themeColor="accent1"/>
          <w:shd w:val="clear" w:color="auto" w:fill="FFFFFF"/>
        </w:rPr>
      </w:pPr>
      <w:proofErr w:type="spellStart"/>
      <w:r w:rsidRPr="003B4C2A">
        <w:rPr>
          <w:color w:val="4F81BD" w:themeColor="accent1"/>
          <w:shd w:val="clear" w:color="auto" w:fill="FFFFFF"/>
        </w:rPr>
        <w:t>Wiebers</w:t>
      </w:r>
      <w:proofErr w:type="spellEnd"/>
      <w:r w:rsidRPr="003B4C2A">
        <w:rPr>
          <w:color w:val="4F81BD" w:themeColor="accent1"/>
          <w:shd w:val="clear" w:color="auto" w:fill="FFFFFF"/>
        </w:rPr>
        <w:t xml:space="preserve">, D. O., &amp; International Study of </w:t>
      </w:r>
      <w:proofErr w:type="spellStart"/>
      <w:r w:rsidRPr="003B4C2A">
        <w:rPr>
          <w:color w:val="4F81BD" w:themeColor="accent1"/>
          <w:shd w:val="clear" w:color="auto" w:fill="FFFFFF"/>
        </w:rPr>
        <w:t>Unruptured</w:t>
      </w:r>
      <w:proofErr w:type="spellEnd"/>
      <w:r w:rsidRPr="003B4C2A">
        <w:rPr>
          <w:color w:val="4F81BD" w:themeColor="accent1"/>
          <w:shd w:val="clear" w:color="auto" w:fill="FFFFFF"/>
        </w:rPr>
        <w:t xml:space="preserve"> Intracranial Aneurysms Investigators. (2003). </w:t>
      </w:r>
      <w:proofErr w:type="spellStart"/>
      <w:proofErr w:type="gramStart"/>
      <w:r w:rsidRPr="003B4C2A">
        <w:rPr>
          <w:color w:val="4F81BD" w:themeColor="accent1"/>
          <w:shd w:val="clear" w:color="auto" w:fill="FFFFFF"/>
        </w:rPr>
        <w:t>Unruptured</w:t>
      </w:r>
      <w:proofErr w:type="spellEnd"/>
      <w:proofErr w:type="gramEnd"/>
      <w:r w:rsidRPr="003B4C2A">
        <w:rPr>
          <w:color w:val="4F81BD" w:themeColor="accent1"/>
          <w:shd w:val="clear" w:color="auto" w:fill="FFFFFF"/>
        </w:rPr>
        <w:t xml:space="preserve"> intracranial aneurysms: natural history, clinical outcome, and risks of surgical and endovascular treatment.</w:t>
      </w:r>
      <w:r w:rsidRPr="003B4C2A">
        <w:rPr>
          <w:rStyle w:val="apple-converted-space"/>
          <w:color w:val="4F81BD" w:themeColor="accent1"/>
          <w:shd w:val="clear" w:color="auto" w:fill="FFFFFF"/>
        </w:rPr>
        <w:t> </w:t>
      </w:r>
      <w:r w:rsidRPr="003B4C2A">
        <w:rPr>
          <w:i/>
          <w:iCs/>
          <w:color w:val="4F81BD" w:themeColor="accent1"/>
          <w:shd w:val="clear" w:color="auto" w:fill="FFFFFF"/>
        </w:rPr>
        <w:t>The Lancet</w:t>
      </w:r>
      <w:r w:rsidRPr="003B4C2A">
        <w:rPr>
          <w:color w:val="4F81BD" w:themeColor="accent1"/>
          <w:shd w:val="clear" w:color="auto" w:fill="FFFFFF"/>
        </w:rPr>
        <w:t>,</w:t>
      </w:r>
      <w:r w:rsidRPr="003B4C2A">
        <w:rPr>
          <w:rStyle w:val="apple-converted-space"/>
          <w:color w:val="4F81BD" w:themeColor="accent1"/>
          <w:shd w:val="clear" w:color="auto" w:fill="FFFFFF"/>
        </w:rPr>
        <w:t> </w:t>
      </w:r>
      <w:r w:rsidRPr="003B4C2A">
        <w:rPr>
          <w:i/>
          <w:iCs/>
          <w:color w:val="4F81BD" w:themeColor="accent1"/>
          <w:shd w:val="clear" w:color="auto" w:fill="FFFFFF"/>
        </w:rPr>
        <w:t>362</w:t>
      </w:r>
      <w:r w:rsidRPr="003B4C2A">
        <w:rPr>
          <w:color w:val="4F81BD" w:themeColor="accent1"/>
          <w:shd w:val="clear" w:color="auto" w:fill="FFFFFF"/>
        </w:rPr>
        <w:t>(9378), 103-110.</w:t>
      </w:r>
    </w:p>
    <w:p w14:paraId="48B88749" w14:textId="77777777" w:rsidR="00C66FF2" w:rsidRPr="003B4C2A" w:rsidRDefault="00C66FF2" w:rsidP="00C66FF2">
      <w:pPr>
        <w:spacing w:after="240"/>
        <w:rPr>
          <w:color w:val="4F81BD" w:themeColor="accent1"/>
          <w:shd w:val="clear" w:color="auto" w:fill="FFFFFF"/>
        </w:rPr>
      </w:pPr>
      <w:proofErr w:type="gramStart"/>
      <w:r w:rsidRPr="003B4C2A">
        <w:rPr>
          <w:color w:val="4F81BD" w:themeColor="accent1"/>
          <w:shd w:val="clear" w:color="auto" w:fill="FFFFFF"/>
        </w:rPr>
        <w:t xml:space="preserve">Withers, K., </w:t>
      </w:r>
      <w:proofErr w:type="spellStart"/>
      <w:r w:rsidRPr="003B4C2A">
        <w:rPr>
          <w:color w:val="4F81BD" w:themeColor="accent1"/>
          <w:shd w:val="clear" w:color="auto" w:fill="FFFFFF"/>
        </w:rPr>
        <w:t>Carolan</w:t>
      </w:r>
      <w:proofErr w:type="spellEnd"/>
      <w:r w:rsidRPr="003B4C2A">
        <w:rPr>
          <w:color w:val="4F81BD" w:themeColor="accent1"/>
          <w:shd w:val="clear" w:color="auto" w:fill="FFFFFF"/>
        </w:rPr>
        <w:t>-Rees, G., &amp; Dale, M. (2013).</w:t>
      </w:r>
      <w:proofErr w:type="gramEnd"/>
      <w:r w:rsidRPr="003B4C2A">
        <w:rPr>
          <w:color w:val="4F81BD" w:themeColor="accent1"/>
          <w:shd w:val="clear" w:color="auto" w:fill="FFFFFF"/>
        </w:rPr>
        <w:t xml:space="preserve"> </w:t>
      </w:r>
      <w:proofErr w:type="gramStart"/>
      <w:r w:rsidRPr="003B4C2A">
        <w:rPr>
          <w:color w:val="4F81BD" w:themeColor="accent1"/>
          <w:shd w:val="clear" w:color="auto" w:fill="FFFFFF"/>
        </w:rPr>
        <w:t>Pipeline™ embolization device for the treatment of complex intracranial aneurysms.</w:t>
      </w:r>
      <w:proofErr w:type="gramEnd"/>
      <w:r w:rsidRPr="003B4C2A">
        <w:rPr>
          <w:rStyle w:val="apple-converted-space"/>
          <w:color w:val="4F81BD" w:themeColor="accent1"/>
          <w:shd w:val="clear" w:color="auto" w:fill="FFFFFF"/>
        </w:rPr>
        <w:t xml:space="preserve">  </w:t>
      </w:r>
      <w:proofErr w:type="gramStart"/>
      <w:r w:rsidRPr="003B4C2A">
        <w:rPr>
          <w:rStyle w:val="apple-converted-space"/>
          <w:color w:val="4F81BD" w:themeColor="accent1"/>
          <w:shd w:val="clear" w:color="auto" w:fill="FFFFFF"/>
        </w:rPr>
        <w:t>A NICE Medical Technology Guidance.</w:t>
      </w:r>
      <w:proofErr w:type="gramEnd"/>
      <w:r w:rsidRPr="003B4C2A">
        <w:rPr>
          <w:rStyle w:val="apple-converted-space"/>
          <w:color w:val="4F81BD" w:themeColor="accent1"/>
          <w:shd w:val="clear" w:color="auto" w:fill="FFFFFF"/>
        </w:rPr>
        <w:t xml:space="preserve"> </w:t>
      </w:r>
      <w:proofErr w:type="gramStart"/>
      <w:r w:rsidRPr="003B4C2A">
        <w:rPr>
          <w:i/>
          <w:iCs/>
          <w:color w:val="4F81BD" w:themeColor="accent1"/>
          <w:shd w:val="clear" w:color="auto" w:fill="FFFFFF"/>
        </w:rPr>
        <w:t>Applied health economics and health policy</w:t>
      </w:r>
      <w:r w:rsidRPr="003B4C2A">
        <w:rPr>
          <w:color w:val="4F81BD" w:themeColor="accent1"/>
          <w:shd w:val="clear" w:color="auto" w:fill="FFFFFF"/>
        </w:rPr>
        <w:t>,</w:t>
      </w:r>
      <w:r w:rsidRPr="003B4C2A">
        <w:rPr>
          <w:rStyle w:val="apple-converted-space"/>
          <w:color w:val="4F81BD" w:themeColor="accent1"/>
          <w:shd w:val="clear" w:color="auto" w:fill="FFFFFF"/>
        </w:rPr>
        <w:t> </w:t>
      </w:r>
      <w:r w:rsidRPr="003B4C2A">
        <w:rPr>
          <w:i/>
          <w:iCs/>
          <w:color w:val="4F81BD" w:themeColor="accent1"/>
          <w:shd w:val="clear" w:color="auto" w:fill="FFFFFF"/>
        </w:rPr>
        <w:t>11</w:t>
      </w:r>
      <w:r w:rsidRPr="003B4C2A">
        <w:rPr>
          <w:color w:val="4F81BD" w:themeColor="accent1"/>
          <w:shd w:val="clear" w:color="auto" w:fill="FFFFFF"/>
        </w:rPr>
        <w:t>(1), 5-13.</w:t>
      </w:r>
      <w:proofErr w:type="gramEnd"/>
    </w:p>
    <w:p w14:paraId="6A2AE47E" w14:textId="77777777" w:rsidR="00C66FF2" w:rsidRPr="003B4C2A" w:rsidRDefault="00C66FF2" w:rsidP="00C66FF2">
      <w:pPr>
        <w:spacing w:after="240"/>
        <w:rPr>
          <w:color w:val="4F81BD" w:themeColor="accent1"/>
        </w:rPr>
      </w:pPr>
      <w:proofErr w:type="spellStart"/>
      <w:r w:rsidRPr="003B4C2A">
        <w:rPr>
          <w:color w:val="4F81BD" w:themeColor="accent1"/>
        </w:rPr>
        <w:t>Zanaty</w:t>
      </w:r>
      <w:proofErr w:type="spellEnd"/>
      <w:r w:rsidRPr="003B4C2A">
        <w:rPr>
          <w:color w:val="4F81BD" w:themeColor="accent1"/>
        </w:rPr>
        <w:t xml:space="preserve"> et al 2014. Flow Diversion </w:t>
      </w:r>
      <w:proofErr w:type="gramStart"/>
      <w:r w:rsidRPr="003B4C2A">
        <w:rPr>
          <w:color w:val="4F81BD" w:themeColor="accent1"/>
        </w:rPr>
        <w:t>Versus</w:t>
      </w:r>
      <w:proofErr w:type="gramEnd"/>
      <w:r w:rsidRPr="003B4C2A">
        <w:rPr>
          <w:color w:val="4F81BD" w:themeColor="accent1"/>
        </w:rPr>
        <w:t xml:space="preserve"> Conventional Treatment for Carotid Cavernous Aneurysms. </w:t>
      </w:r>
      <w:proofErr w:type="gramStart"/>
      <w:r w:rsidRPr="003B4C2A">
        <w:rPr>
          <w:color w:val="4F81BD" w:themeColor="accent1"/>
        </w:rPr>
        <w:t>Stroke.</w:t>
      </w:r>
      <w:proofErr w:type="gramEnd"/>
      <w:r w:rsidRPr="003B4C2A">
        <w:rPr>
          <w:color w:val="4F81BD" w:themeColor="accent1"/>
        </w:rPr>
        <w:t xml:space="preserve"> 2014</w:t>
      </w:r>
      <w:proofErr w:type="gramStart"/>
      <w:r w:rsidRPr="003B4C2A">
        <w:rPr>
          <w:color w:val="4F81BD" w:themeColor="accent1"/>
        </w:rPr>
        <w:t>;45:2656</w:t>
      </w:r>
      <w:proofErr w:type="gramEnd"/>
      <w:r w:rsidRPr="003B4C2A">
        <w:rPr>
          <w:color w:val="4F81BD" w:themeColor="accent1"/>
        </w:rPr>
        <w:t>-2661.</w:t>
      </w:r>
    </w:p>
    <w:p w14:paraId="629F5802" w14:textId="77777777" w:rsidR="006222A6" w:rsidRPr="003B4C2A" w:rsidRDefault="006222A6" w:rsidP="006222A6">
      <w:pPr>
        <w:rPr>
          <w:color w:val="4F81BD" w:themeColor="accent1"/>
        </w:rPr>
      </w:pPr>
    </w:p>
    <w:p w14:paraId="1C4983A9" w14:textId="77777777" w:rsidR="006222A6" w:rsidRPr="003B4C2A" w:rsidRDefault="006222A6" w:rsidP="006222A6">
      <w:pPr>
        <w:rPr>
          <w:color w:val="4F81BD" w:themeColor="accent1"/>
        </w:rPr>
      </w:pPr>
    </w:p>
    <w:p w14:paraId="0914FE53" w14:textId="777D483F" w:rsidR="006222A6" w:rsidRPr="006222A6" w:rsidRDefault="006222A6" w:rsidP="006222A6">
      <w:pPr>
        <w:sectPr w:rsidR="006222A6" w:rsidRPr="006222A6" w:rsidSect="00DD308E">
          <w:pgSz w:w="11906" w:h="16838"/>
          <w:pgMar w:top="1440" w:right="1440" w:bottom="1440" w:left="1440" w:header="708" w:footer="708" w:gutter="0"/>
          <w:cols w:space="708"/>
          <w:docGrid w:linePitch="360"/>
        </w:sectPr>
      </w:pPr>
    </w:p>
    <w:p w14:paraId="59D213A3" w14:textId="1C4473A3" w:rsidR="00E058F2" w:rsidRPr="00C776B1" w:rsidRDefault="001B5169" w:rsidP="00AE1188">
      <w:pPr>
        <w:pStyle w:val="Heading1"/>
      </w:pPr>
      <w:r>
        <w:lastRenderedPageBreak/>
        <w:t>PART 9</w:t>
      </w:r>
      <w:r w:rsidR="00F93784">
        <w:t xml:space="preserve"> – </w:t>
      </w:r>
      <w:r w:rsidR="00E058F2" w:rsidRPr="00C776B1">
        <w:t>FEEDBACK</w:t>
      </w:r>
    </w:p>
    <w:p w14:paraId="6B4849C6"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4F4330E8" w14:textId="77777777" w:rsidR="00E058F2" w:rsidRPr="00AE1188" w:rsidRDefault="00E058F2" w:rsidP="001B5169">
      <w:pPr>
        <w:pStyle w:val="Heading2"/>
      </w:pPr>
      <w:r w:rsidRPr="00AE1188">
        <w:t>How long did it take to complete the Application Form?</w:t>
      </w:r>
    </w:p>
    <w:p w14:paraId="5FB81769" w14:textId="1E4FB094" w:rsidR="00E058F2" w:rsidRPr="003B4C2A" w:rsidRDefault="003B4C2A" w:rsidP="003B4C2A">
      <w:pPr>
        <w:rPr>
          <w:color w:val="4F81BD" w:themeColor="accent1"/>
          <w:szCs w:val="20"/>
        </w:rPr>
      </w:pPr>
      <w:r w:rsidRPr="003B4C2A">
        <w:rPr>
          <w:color w:val="4F81BD" w:themeColor="accent1"/>
          <w:szCs w:val="20"/>
        </w:rPr>
        <w:t>N/A</w:t>
      </w:r>
    </w:p>
    <w:p w14:paraId="3466FCE6" w14:textId="77777777" w:rsidR="001845D9"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30A04EAF" w14:textId="10F75197" w:rsidR="003B4C2A" w:rsidRPr="003B4C2A" w:rsidRDefault="003B4C2A" w:rsidP="003B4C2A">
      <w:pPr>
        <w:rPr>
          <w:color w:val="4F81BD" w:themeColor="accent1"/>
        </w:rPr>
      </w:pPr>
      <w:r w:rsidRPr="003B4C2A">
        <w:rPr>
          <w:color w:val="4F81BD" w:themeColor="accent1"/>
        </w:rPr>
        <w:t>N/A</w:t>
      </w:r>
    </w:p>
    <w:p w14:paraId="6E00D0A7"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905881">
        <w:rPr>
          <w:szCs w:val="20"/>
        </w:rPr>
      </w:r>
      <w:r w:rsidR="00905881">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3051935A"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905881">
        <w:rPr>
          <w:szCs w:val="20"/>
        </w:rPr>
      </w:r>
      <w:r w:rsidR="00905881">
        <w:rPr>
          <w:szCs w:val="20"/>
        </w:rPr>
        <w:fldChar w:fldCharType="separate"/>
      </w:r>
      <w:r w:rsidRPr="001B29A1">
        <w:rPr>
          <w:szCs w:val="20"/>
        </w:rPr>
        <w:fldChar w:fldCharType="end"/>
      </w:r>
      <w:r w:rsidRPr="001B29A1">
        <w:rPr>
          <w:szCs w:val="20"/>
        </w:rPr>
        <w:t xml:space="preserve"> </w:t>
      </w:r>
      <w:r>
        <w:rPr>
          <w:szCs w:val="20"/>
        </w:rPr>
        <w:t>No</w:t>
      </w:r>
    </w:p>
    <w:p w14:paraId="448EA0C3" w14:textId="77777777" w:rsidR="003D6DE1" w:rsidRDefault="00603D04" w:rsidP="001B5169">
      <w:pPr>
        <w:pStyle w:val="Heading2"/>
        <w:numPr>
          <w:ilvl w:val="0"/>
          <w:numId w:val="31"/>
        </w:numPr>
      </w:pPr>
      <w:r>
        <w:t>If no, provide areas of concern:</w:t>
      </w:r>
    </w:p>
    <w:p w14:paraId="7B01C24D" w14:textId="0D8809DF" w:rsidR="003B4C2A" w:rsidRPr="003B4C2A" w:rsidRDefault="003B4C2A" w:rsidP="003B4C2A">
      <w:pPr>
        <w:rPr>
          <w:color w:val="4F81BD" w:themeColor="accent1"/>
        </w:rPr>
      </w:pPr>
      <w:r w:rsidRPr="003B4C2A">
        <w:rPr>
          <w:color w:val="4F81BD" w:themeColor="accent1"/>
        </w:rPr>
        <w:t>N/A</w:t>
      </w:r>
    </w:p>
    <w:p w14:paraId="2EBA341B" w14:textId="77777777" w:rsidR="003D6DE1" w:rsidRPr="00154B00" w:rsidRDefault="00603D04" w:rsidP="00603D04">
      <w:pPr>
        <w:ind w:left="426"/>
        <w:rPr>
          <w:szCs w:val="20"/>
        </w:rPr>
      </w:pPr>
      <w:r>
        <w:fldChar w:fldCharType="begin">
          <w:ffData>
            <w:name w:val=""/>
            <w:enabled/>
            <w:calcOnExit w:val="0"/>
            <w:textInput>
              <w:default w:val="Describe areas of concern here"/>
            </w:textInput>
          </w:ffData>
        </w:fldChar>
      </w:r>
      <w:r>
        <w:instrText xml:space="preserve"> FORMTEXT </w:instrText>
      </w:r>
      <w:r>
        <w:fldChar w:fldCharType="separate"/>
      </w:r>
      <w:r>
        <w:rPr>
          <w:noProof/>
        </w:rPr>
        <w:t>Describe areas of concern here</w:t>
      </w:r>
      <w:r>
        <w:fldChar w:fldCharType="end"/>
      </w:r>
    </w:p>
    <w:p w14:paraId="386DAC6D" w14:textId="77777777" w:rsidR="00E058F2" w:rsidRDefault="001B5169" w:rsidP="00530204">
      <w:pPr>
        <w:pStyle w:val="Heading2"/>
      </w:pPr>
      <w:r>
        <w:t xml:space="preserve">(a) </w:t>
      </w:r>
      <w:r w:rsidR="00E058F2" w:rsidRPr="00603D04">
        <w:t>Are</w:t>
      </w:r>
      <w:r w:rsidR="00E058F2" w:rsidRPr="00154B00">
        <w:t xml:space="preserve"> the associated Guidelines to the Application Form useful?</w:t>
      </w:r>
    </w:p>
    <w:p w14:paraId="36EF7A44" w14:textId="1C325CC5" w:rsidR="003B4C2A" w:rsidRPr="003B4C2A" w:rsidRDefault="003B4C2A" w:rsidP="003B4C2A">
      <w:pPr>
        <w:rPr>
          <w:color w:val="4F81BD" w:themeColor="accent1"/>
        </w:rPr>
      </w:pPr>
      <w:r w:rsidRPr="003B4C2A">
        <w:rPr>
          <w:color w:val="4F81BD" w:themeColor="accent1"/>
        </w:rPr>
        <w:t>N/A</w:t>
      </w:r>
    </w:p>
    <w:p w14:paraId="627CA969"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905881">
        <w:rPr>
          <w:szCs w:val="20"/>
        </w:rPr>
      </w:r>
      <w:r w:rsidR="00905881">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637C1CD9"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905881">
        <w:rPr>
          <w:szCs w:val="20"/>
        </w:rPr>
      </w:r>
      <w:r w:rsidR="00905881">
        <w:rPr>
          <w:szCs w:val="20"/>
        </w:rPr>
        <w:fldChar w:fldCharType="separate"/>
      </w:r>
      <w:r w:rsidRPr="001B29A1">
        <w:rPr>
          <w:szCs w:val="20"/>
        </w:rPr>
        <w:fldChar w:fldCharType="end"/>
      </w:r>
      <w:r w:rsidRPr="001B29A1">
        <w:rPr>
          <w:szCs w:val="20"/>
        </w:rPr>
        <w:t xml:space="preserve"> </w:t>
      </w:r>
      <w:r>
        <w:rPr>
          <w:szCs w:val="20"/>
        </w:rPr>
        <w:t>No</w:t>
      </w:r>
    </w:p>
    <w:p w14:paraId="2B6BACC4" w14:textId="77777777" w:rsidR="003D6DE1" w:rsidRDefault="003D6DE1" w:rsidP="001B5169">
      <w:pPr>
        <w:pStyle w:val="Heading2"/>
        <w:numPr>
          <w:ilvl w:val="0"/>
          <w:numId w:val="32"/>
        </w:numPr>
      </w:pPr>
      <w:r>
        <w:t>If no, what areas did you find not to be useful?</w:t>
      </w:r>
    </w:p>
    <w:p w14:paraId="531DB1C7" w14:textId="353A12AF" w:rsidR="003B4C2A" w:rsidRPr="003B4C2A" w:rsidRDefault="003B4C2A" w:rsidP="003B4C2A">
      <w:pPr>
        <w:rPr>
          <w:color w:val="4F81BD" w:themeColor="accent1"/>
        </w:rPr>
      </w:pPr>
      <w:r w:rsidRPr="003B4C2A">
        <w:rPr>
          <w:color w:val="4F81BD" w:themeColor="accent1"/>
        </w:rPr>
        <w:t>N/A</w:t>
      </w:r>
    </w:p>
    <w:p w14:paraId="5CCF9F50" w14:textId="77777777"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241F9E2D" w14:textId="77777777" w:rsidR="00E058F2"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0FEB92ED" w14:textId="5B704F49" w:rsidR="003B4C2A" w:rsidRPr="003B4C2A" w:rsidRDefault="003B4C2A" w:rsidP="003B4C2A">
      <w:pPr>
        <w:rPr>
          <w:color w:val="4F81BD" w:themeColor="accent1"/>
        </w:rPr>
      </w:pPr>
      <w:r w:rsidRPr="003B4C2A">
        <w:rPr>
          <w:color w:val="4F81BD" w:themeColor="accent1"/>
        </w:rPr>
        <w:t>N/A</w:t>
      </w:r>
    </w:p>
    <w:p w14:paraId="6C03DD37"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905881">
        <w:rPr>
          <w:szCs w:val="20"/>
        </w:rPr>
      </w:r>
      <w:r w:rsidR="00905881">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6B4A8203"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905881">
        <w:rPr>
          <w:szCs w:val="20"/>
        </w:rPr>
      </w:r>
      <w:r w:rsidR="00905881">
        <w:rPr>
          <w:szCs w:val="20"/>
        </w:rPr>
        <w:fldChar w:fldCharType="separate"/>
      </w:r>
      <w:r w:rsidRPr="001B29A1">
        <w:rPr>
          <w:szCs w:val="20"/>
        </w:rPr>
        <w:fldChar w:fldCharType="end"/>
      </w:r>
      <w:r w:rsidRPr="001B29A1">
        <w:rPr>
          <w:szCs w:val="20"/>
        </w:rPr>
        <w:t xml:space="preserve"> </w:t>
      </w:r>
      <w:r>
        <w:rPr>
          <w:szCs w:val="20"/>
        </w:rPr>
        <w:t>No</w:t>
      </w:r>
    </w:p>
    <w:p w14:paraId="246A90D2" w14:textId="77777777" w:rsidR="001845D9" w:rsidRDefault="001845D9" w:rsidP="001B5169">
      <w:pPr>
        <w:pStyle w:val="Heading2"/>
        <w:numPr>
          <w:ilvl w:val="0"/>
          <w:numId w:val="33"/>
        </w:numPr>
      </w:pPr>
      <w:r w:rsidRPr="00154B00">
        <w:t xml:space="preserve">If yes, please </w:t>
      </w:r>
      <w:proofErr w:type="gramStart"/>
      <w:r w:rsidRPr="00154B00">
        <w:t>advise</w:t>
      </w:r>
      <w:proofErr w:type="gramEnd"/>
      <w:r w:rsidRPr="00154B00">
        <w:t>:</w:t>
      </w:r>
    </w:p>
    <w:p w14:paraId="7E9E7E67" w14:textId="21644249" w:rsidR="003B4C2A" w:rsidRPr="003B4C2A" w:rsidRDefault="003B4C2A" w:rsidP="003B4C2A">
      <w:pPr>
        <w:rPr>
          <w:color w:val="4F81BD" w:themeColor="accent1"/>
        </w:rPr>
      </w:pPr>
      <w:r w:rsidRPr="003B4C2A">
        <w:rPr>
          <w:color w:val="4F81BD" w:themeColor="accent1"/>
        </w:rPr>
        <w:t>N/A</w:t>
      </w:r>
    </w:p>
    <w:p w14:paraId="27429923" w14:textId="77777777" w:rsidR="0045184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sectPr w:rsidR="00451840" w:rsidSect="00DD308E">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8870C" w14:textId="77777777" w:rsidR="00905881" w:rsidRDefault="00905881" w:rsidP="00CF2DFA">
      <w:pPr>
        <w:spacing w:after="0"/>
      </w:pPr>
      <w:r>
        <w:separator/>
      </w:r>
    </w:p>
  </w:endnote>
  <w:endnote w:type="continuationSeparator" w:id="0">
    <w:p w14:paraId="7AA1300E" w14:textId="77777777" w:rsidR="00905881" w:rsidRDefault="00905881"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46CCE7AE" w14:textId="77777777" w:rsidR="00905881" w:rsidRDefault="00905881">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3E06AB" w:rsidRPr="003E06AB">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3DE0E0D1" w14:textId="77777777" w:rsidR="00905881" w:rsidRPr="003F7CB9" w:rsidRDefault="00905881"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69A57" w14:textId="77777777" w:rsidR="00905881" w:rsidRDefault="00905881" w:rsidP="00CF2DFA">
      <w:pPr>
        <w:spacing w:after="0"/>
      </w:pPr>
      <w:r>
        <w:separator/>
      </w:r>
    </w:p>
  </w:footnote>
  <w:footnote w:type="continuationSeparator" w:id="0">
    <w:p w14:paraId="040E3DBE" w14:textId="77777777" w:rsidR="00905881" w:rsidRDefault="00905881" w:rsidP="00CF2DFA">
      <w:pPr>
        <w:spacing w:after="0"/>
      </w:pPr>
      <w:r>
        <w:continuationSeparator/>
      </w:r>
    </w:p>
  </w:footnote>
  <w:footnote w:id="1">
    <w:p w14:paraId="6E1E8BF5" w14:textId="4B7590BE" w:rsidR="00905881" w:rsidRPr="003E6681" w:rsidRDefault="00905881" w:rsidP="00065600">
      <w:pPr>
        <w:pStyle w:val="FootnoteText"/>
        <w:rPr>
          <w:lang w:val="en-US"/>
        </w:rPr>
      </w:pPr>
      <w:r w:rsidRPr="003B4C2A">
        <w:rPr>
          <w:rStyle w:val="FootnoteReference"/>
          <w:color w:val="4F81BD" w:themeColor="accent1"/>
        </w:rPr>
        <w:footnoteRef/>
      </w:r>
      <w:r w:rsidRPr="003B4C2A">
        <w:rPr>
          <w:color w:val="4F81BD" w:themeColor="accent1"/>
        </w:rPr>
        <w:t xml:space="preserve"> </w:t>
      </w:r>
      <w:hyperlink r:id="rId1" w:tooltip="Link to website" w:history="1">
        <w:r w:rsidRPr="003B4C2A">
          <w:rPr>
            <w:rStyle w:val="Hyperlink"/>
            <w:color w:val="4F81BD" w:themeColor="accent1"/>
          </w:rPr>
          <w:t>http://weillcornellbrainandspine.org/condition/aneurysm</w:t>
        </w:r>
      </w:hyperlink>
      <w:r w:rsidRPr="003B4C2A">
        <w:rPr>
          <w:color w:val="4F81BD" w:themeColor="accent1"/>
        </w:rPr>
        <w:t xml:space="preserve"> (accessed 8th June 2018)</w:t>
      </w:r>
    </w:p>
  </w:footnote>
  <w:footnote w:id="2">
    <w:p w14:paraId="53776169" w14:textId="77777777" w:rsidR="00905881" w:rsidRPr="00A24C7A" w:rsidRDefault="00905881" w:rsidP="003757D0">
      <w:pPr>
        <w:pStyle w:val="FootnoteText"/>
        <w:rPr>
          <w:lang w:val="en-US"/>
        </w:rPr>
      </w:pPr>
      <w:r>
        <w:rPr>
          <w:rStyle w:val="FootnoteReference"/>
        </w:rPr>
        <w:footnoteRef/>
      </w:r>
      <w:r>
        <w:t xml:space="preserve"> </w:t>
      </w:r>
      <w:hyperlink r:id="rId2" w:anchor=".Ww4G3CC-m28" w:history="1">
        <w:r w:rsidRPr="00B42256">
          <w:rPr>
            <w:rStyle w:val="Hyperlink"/>
          </w:rPr>
          <w:t>http://www.strokeassociation.org/STROKEORG/AboutStroke/TypesofStroke/HemorrhagicBleeds/What-You-Should-Know-About-Cerebral-Aneurysms_UCM_310103_Article.jsp#.Ww4G3CC-m28</w:t>
        </w:r>
      </w:hyperlink>
      <w:r>
        <w:t xml:space="preserve"> (accessed 8</w:t>
      </w:r>
      <w:r w:rsidRPr="00A24C7A">
        <w:rPr>
          <w:vertAlign w:val="superscript"/>
        </w:rPr>
        <w:t>th</w:t>
      </w:r>
      <w:r>
        <w:t xml:space="preserve"> June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B24192"/>
    <w:multiLevelType w:val="hybridMultilevel"/>
    <w:tmpl w:val="6CEE6A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EF78FF"/>
    <w:multiLevelType w:val="hybridMultilevel"/>
    <w:tmpl w:val="3580BA7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F64640F"/>
    <w:multiLevelType w:val="hybridMultilevel"/>
    <w:tmpl w:val="D03E5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nsid w:val="33016CA3"/>
    <w:multiLevelType w:val="hybridMultilevel"/>
    <w:tmpl w:val="DD8E46D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2">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533D1BB3"/>
    <w:multiLevelType w:val="hybridMultilevel"/>
    <w:tmpl w:val="C94AA0E8"/>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7">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4951346"/>
    <w:multiLevelType w:val="hybridMultilevel"/>
    <w:tmpl w:val="1F2AF338"/>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9">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E0776B3"/>
    <w:multiLevelType w:val="hybridMultilevel"/>
    <w:tmpl w:val="08D2DD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5BD4EF9"/>
    <w:multiLevelType w:val="hybridMultilevel"/>
    <w:tmpl w:val="6CEE6A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00F524E"/>
    <w:multiLevelType w:val="hybridMultilevel"/>
    <w:tmpl w:val="76D431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5"/>
  </w:num>
  <w:num w:numId="2">
    <w:abstractNumId w:val="6"/>
    <w:lvlOverride w:ilvl="0"/>
    <w:lvlOverride w:ilvl="1">
      <w:startOverride w:val="1"/>
    </w:lvlOverride>
    <w:lvlOverride w:ilvl="2"/>
    <w:lvlOverride w:ilvl="3"/>
    <w:lvlOverride w:ilvl="4"/>
    <w:lvlOverride w:ilvl="5"/>
    <w:lvlOverride w:ilvl="6"/>
    <w:lvlOverride w:ilvl="7"/>
    <w:lvlOverride w:ilvl="8"/>
  </w:num>
  <w:num w:numId="3">
    <w:abstractNumId w:val="12"/>
  </w:num>
  <w:num w:numId="4">
    <w:abstractNumId w:val="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7"/>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23"/>
  </w:num>
  <w:num w:numId="26">
    <w:abstractNumId w:val="5"/>
  </w:num>
  <w:num w:numId="27">
    <w:abstractNumId w:val="19"/>
  </w:num>
  <w:num w:numId="28">
    <w:abstractNumId w:val="13"/>
  </w:num>
  <w:num w:numId="29">
    <w:abstractNumId w:val="25"/>
  </w:num>
  <w:num w:numId="30">
    <w:abstractNumId w:val="4"/>
  </w:num>
  <w:num w:numId="31">
    <w:abstractNumId w:val="21"/>
  </w:num>
  <w:num w:numId="32">
    <w:abstractNumId w:val="8"/>
  </w:num>
  <w:num w:numId="33">
    <w:abstractNumId w:val="20"/>
  </w:num>
  <w:num w:numId="34">
    <w:abstractNumId w:val="7"/>
  </w:num>
  <w:num w:numId="35">
    <w:abstractNumId w:val="14"/>
  </w:num>
  <w:num w:numId="36">
    <w:abstractNumId w:val="0"/>
  </w:num>
  <w:num w:numId="37">
    <w:abstractNumId w:val="2"/>
  </w:num>
  <w:num w:numId="38">
    <w:abstractNumId w:val="22"/>
  </w:num>
  <w:num w:numId="39">
    <w:abstractNumId w:val="3"/>
  </w:num>
  <w:num w:numId="40">
    <w:abstractNumId w:val="24"/>
  </w:num>
  <w:num w:numId="41">
    <w:abstractNumId w:val="11"/>
  </w:num>
  <w:num w:numId="42">
    <w:abstractNumId w:val="9"/>
  </w:num>
  <w:num w:numId="43">
    <w:abstractNumId w:val="27"/>
  </w:num>
  <w:num w:numId="44">
    <w:abstractNumId w:val="18"/>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015AA"/>
    <w:rsid w:val="000110DC"/>
    <w:rsid w:val="000158AA"/>
    <w:rsid w:val="000159B9"/>
    <w:rsid w:val="00016909"/>
    <w:rsid w:val="00016B6E"/>
    <w:rsid w:val="0002143C"/>
    <w:rsid w:val="00023E21"/>
    <w:rsid w:val="00025ABC"/>
    <w:rsid w:val="00026412"/>
    <w:rsid w:val="0002725D"/>
    <w:rsid w:val="00031F6F"/>
    <w:rsid w:val="00033FA4"/>
    <w:rsid w:val="00034D6E"/>
    <w:rsid w:val="00037CC0"/>
    <w:rsid w:val="00040A79"/>
    <w:rsid w:val="00045127"/>
    <w:rsid w:val="00046A99"/>
    <w:rsid w:val="000473CD"/>
    <w:rsid w:val="0005089D"/>
    <w:rsid w:val="000525BC"/>
    <w:rsid w:val="000542D6"/>
    <w:rsid w:val="00057715"/>
    <w:rsid w:val="00060735"/>
    <w:rsid w:val="00065600"/>
    <w:rsid w:val="000675EB"/>
    <w:rsid w:val="00073222"/>
    <w:rsid w:val="000758E3"/>
    <w:rsid w:val="000770BA"/>
    <w:rsid w:val="00080A7C"/>
    <w:rsid w:val="00086424"/>
    <w:rsid w:val="00086A9C"/>
    <w:rsid w:val="00092580"/>
    <w:rsid w:val="000955E7"/>
    <w:rsid w:val="000A110D"/>
    <w:rsid w:val="000A3913"/>
    <w:rsid w:val="000A478F"/>
    <w:rsid w:val="000A5B32"/>
    <w:rsid w:val="000B23A8"/>
    <w:rsid w:val="000B3CD0"/>
    <w:rsid w:val="000B685C"/>
    <w:rsid w:val="000D066E"/>
    <w:rsid w:val="000D0831"/>
    <w:rsid w:val="000D2809"/>
    <w:rsid w:val="000D64CC"/>
    <w:rsid w:val="000E47E7"/>
    <w:rsid w:val="000E5439"/>
    <w:rsid w:val="00100495"/>
    <w:rsid w:val="00102686"/>
    <w:rsid w:val="0011036E"/>
    <w:rsid w:val="001130B0"/>
    <w:rsid w:val="0011369B"/>
    <w:rsid w:val="00115141"/>
    <w:rsid w:val="0011566B"/>
    <w:rsid w:val="0011742E"/>
    <w:rsid w:val="00123D10"/>
    <w:rsid w:val="00126B33"/>
    <w:rsid w:val="00130098"/>
    <w:rsid w:val="00141D6A"/>
    <w:rsid w:val="00152284"/>
    <w:rsid w:val="00152EA2"/>
    <w:rsid w:val="00154379"/>
    <w:rsid w:val="00154B00"/>
    <w:rsid w:val="001644E9"/>
    <w:rsid w:val="001664B7"/>
    <w:rsid w:val="001827C9"/>
    <w:rsid w:val="00182A8B"/>
    <w:rsid w:val="001845D9"/>
    <w:rsid w:val="0018630F"/>
    <w:rsid w:val="00186F60"/>
    <w:rsid w:val="0019040D"/>
    <w:rsid w:val="001906CD"/>
    <w:rsid w:val="00191B99"/>
    <w:rsid w:val="0019308B"/>
    <w:rsid w:val="0019694B"/>
    <w:rsid w:val="00197795"/>
    <w:rsid w:val="00197D29"/>
    <w:rsid w:val="001A02E3"/>
    <w:rsid w:val="001A0A26"/>
    <w:rsid w:val="001A13E8"/>
    <w:rsid w:val="001A165B"/>
    <w:rsid w:val="001A1ADF"/>
    <w:rsid w:val="001A365C"/>
    <w:rsid w:val="001B171D"/>
    <w:rsid w:val="001B20A2"/>
    <w:rsid w:val="001B29A1"/>
    <w:rsid w:val="001B5169"/>
    <w:rsid w:val="001B6164"/>
    <w:rsid w:val="001C1F87"/>
    <w:rsid w:val="001D77ED"/>
    <w:rsid w:val="001E1180"/>
    <w:rsid w:val="001E23EA"/>
    <w:rsid w:val="001E6919"/>
    <w:rsid w:val="001E6958"/>
    <w:rsid w:val="001F21EF"/>
    <w:rsid w:val="001F7539"/>
    <w:rsid w:val="00201924"/>
    <w:rsid w:val="00202473"/>
    <w:rsid w:val="00203E7C"/>
    <w:rsid w:val="00204298"/>
    <w:rsid w:val="002053F2"/>
    <w:rsid w:val="00206D63"/>
    <w:rsid w:val="0021185D"/>
    <w:rsid w:val="00226777"/>
    <w:rsid w:val="002275A1"/>
    <w:rsid w:val="002333B3"/>
    <w:rsid w:val="00235BD1"/>
    <w:rsid w:val="0024144C"/>
    <w:rsid w:val="00242B0E"/>
    <w:rsid w:val="00242C53"/>
    <w:rsid w:val="00247DF0"/>
    <w:rsid w:val="002510D0"/>
    <w:rsid w:val="0025329F"/>
    <w:rsid w:val="00254813"/>
    <w:rsid w:val="00257FF2"/>
    <w:rsid w:val="00262F09"/>
    <w:rsid w:val="00264DF0"/>
    <w:rsid w:val="00265822"/>
    <w:rsid w:val="0027105F"/>
    <w:rsid w:val="002711FB"/>
    <w:rsid w:val="00283318"/>
    <w:rsid w:val="00284EB6"/>
    <w:rsid w:val="00285525"/>
    <w:rsid w:val="0029387B"/>
    <w:rsid w:val="00294CD8"/>
    <w:rsid w:val="002978F1"/>
    <w:rsid w:val="002A270B"/>
    <w:rsid w:val="002A50FD"/>
    <w:rsid w:val="002A6753"/>
    <w:rsid w:val="002B28D7"/>
    <w:rsid w:val="002B7EB6"/>
    <w:rsid w:val="002C0B61"/>
    <w:rsid w:val="002C15E6"/>
    <w:rsid w:val="002C247D"/>
    <w:rsid w:val="002C3345"/>
    <w:rsid w:val="002C64A7"/>
    <w:rsid w:val="002C789D"/>
    <w:rsid w:val="002C7C52"/>
    <w:rsid w:val="002D409A"/>
    <w:rsid w:val="002E1B44"/>
    <w:rsid w:val="002E443D"/>
    <w:rsid w:val="002F30E7"/>
    <w:rsid w:val="002F6026"/>
    <w:rsid w:val="002F7268"/>
    <w:rsid w:val="00300EEB"/>
    <w:rsid w:val="003013A9"/>
    <w:rsid w:val="003020B5"/>
    <w:rsid w:val="003027BB"/>
    <w:rsid w:val="00310A10"/>
    <w:rsid w:val="00315CD0"/>
    <w:rsid w:val="00327D25"/>
    <w:rsid w:val="003319A7"/>
    <w:rsid w:val="00332742"/>
    <w:rsid w:val="00334FE3"/>
    <w:rsid w:val="003421AE"/>
    <w:rsid w:val="003433D1"/>
    <w:rsid w:val="00344B24"/>
    <w:rsid w:val="003456B9"/>
    <w:rsid w:val="00345E2B"/>
    <w:rsid w:val="00345FAA"/>
    <w:rsid w:val="0035067D"/>
    <w:rsid w:val="00353A16"/>
    <w:rsid w:val="00354CC6"/>
    <w:rsid w:val="00355D36"/>
    <w:rsid w:val="00357521"/>
    <w:rsid w:val="0035776D"/>
    <w:rsid w:val="00360D45"/>
    <w:rsid w:val="0036485F"/>
    <w:rsid w:val="00364FD9"/>
    <w:rsid w:val="00367C1B"/>
    <w:rsid w:val="003757D0"/>
    <w:rsid w:val="00376B61"/>
    <w:rsid w:val="00382407"/>
    <w:rsid w:val="00386A64"/>
    <w:rsid w:val="00386FA1"/>
    <w:rsid w:val="00390142"/>
    <w:rsid w:val="00391DD5"/>
    <w:rsid w:val="00392F00"/>
    <w:rsid w:val="00393369"/>
    <w:rsid w:val="00397377"/>
    <w:rsid w:val="003A22DE"/>
    <w:rsid w:val="003A2860"/>
    <w:rsid w:val="003A3C35"/>
    <w:rsid w:val="003A7032"/>
    <w:rsid w:val="003A7D30"/>
    <w:rsid w:val="003B069A"/>
    <w:rsid w:val="003B3C5C"/>
    <w:rsid w:val="003B4C2A"/>
    <w:rsid w:val="003C41BD"/>
    <w:rsid w:val="003C47CA"/>
    <w:rsid w:val="003D18EC"/>
    <w:rsid w:val="003D6DE1"/>
    <w:rsid w:val="003D795C"/>
    <w:rsid w:val="003E01D9"/>
    <w:rsid w:val="003E06AB"/>
    <w:rsid w:val="003E30FB"/>
    <w:rsid w:val="003E6681"/>
    <w:rsid w:val="003F2711"/>
    <w:rsid w:val="003F29D1"/>
    <w:rsid w:val="003F2A25"/>
    <w:rsid w:val="003F6C70"/>
    <w:rsid w:val="003F7CB9"/>
    <w:rsid w:val="00403333"/>
    <w:rsid w:val="00411735"/>
    <w:rsid w:val="00415C74"/>
    <w:rsid w:val="0043654D"/>
    <w:rsid w:val="00451840"/>
    <w:rsid w:val="00457361"/>
    <w:rsid w:val="00460C9A"/>
    <w:rsid w:val="0046296B"/>
    <w:rsid w:val="00464924"/>
    <w:rsid w:val="0047581D"/>
    <w:rsid w:val="00480289"/>
    <w:rsid w:val="00481279"/>
    <w:rsid w:val="00483368"/>
    <w:rsid w:val="00486AB6"/>
    <w:rsid w:val="00491E05"/>
    <w:rsid w:val="00494011"/>
    <w:rsid w:val="004A0BF4"/>
    <w:rsid w:val="004A0C3D"/>
    <w:rsid w:val="004A0F59"/>
    <w:rsid w:val="004A263B"/>
    <w:rsid w:val="004A2B7A"/>
    <w:rsid w:val="004B0F36"/>
    <w:rsid w:val="004B5B02"/>
    <w:rsid w:val="004B6457"/>
    <w:rsid w:val="004B68AE"/>
    <w:rsid w:val="004C35B0"/>
    <w:rsid w:val="004C49EF"/>
    <w:rsid w:val="004C4A19"/>
    <w:rsid w:val="004C5570"/>
    <w:rsid w:val="004D00C9"/>
    <w:rsid w:val="004D4011"/>
    <w:rsid w:val="004D7D28"/>
    <w:rsid w:val="004E05BC"/>
    <w:rsid w:val="004E16F5"/>
    <w:rsid w:val="004E2836"/>
    <w:rsid w:val="004E3CC7"/>
    <w:rsid w:val="004E5B69"/>
    <w:rsid w:val="004F2A87"/>
    <w:rsid w:val="00503C93"/>
    <w:rsid w:val="00503E7C"/>
    <w:rsid w:val="00507C56"/>
    <w:rsid w:val="0052344E"/>
    <w:rsid w:val="00526478"/>
    <w:rsid w:val="00530204"/>
    <w:rsid w:val="00534C5F"/>
    <w:rsid w:val="00540257"/>
    <w:rsid w:val="0054192F"/>
    <w:rsid w:val="00544EB3"/>
    <w:rsid w:val="0054594B"/>
    <w:rsid w:val="0054749B"/>
    <w:rsid w:val="005478BD"/>
    <w:rsid w:val="00551CC6"/>
    <w:rsid w:val="00552A42"/>
    <w:rsid w:val="00554EAE"/>
    <w:rsid w:val="0055621A"/>
    <w:rsid w:val="00560541"/>
    <w:rsid w:val="00566D3A"/>
    <w:rsid w:val="005672D0"/>
    <w:rsid w:val="005727D8"/>
    <w:rsid w:val="00572CEB"/>
    <w:rsid w:val="005834C9"/>
    <w:rsid w:val="0059543C"/>
    <w:rsid w:val="005A1001"/>
    <w:rsid w:val="005A5606"/>
    <w:rsid w:val="005A58BA"/>
    <w:rsid w:val="005A5D30"/>
    <w:rsid w:val="005A6AB9"/>
    <w:rsid w:val="005A6EAB"/>
    <w:rsid w:val="005B211C"/>
    <w:rsid w:val="005C333E"/>
    <w:rsid w:val="005C3AE7"/>
    <w:rsid w:val="005D0677"/>
    <w:rsid w:val="005E294C"/>
    <w:rsid w:val="005E2CE3"/>
    <w:rsid w:val="005F3F07"/>
    <w:rsid w:val="005F4CE4"/>
    <w:rsid w:val="00603D04"/>
    <w:rsid w:val="006049E7"/>
    <w:rsid w:val="00606857"/>
    <w:rsid w:val="0061262A"/>
    <w:rsid w:val="00614438"/>
    <w:rsid w:val="00615F42"/>
    <w:rsid w:val="006222A6"/>
    <w:rsid w:val="00625644"/>
    <w:rsid w:val="006258C2"/>
    <w:rsid w:val="00626365"/>
    <w:rsid w:val="00630E22"/>
    <w:rsid w:val="0064168C"/>
    <w:rsid w:val="006441BF"/>
    <w:rsid w:val="00644341"/>
    <w:rsid w:val="00652E08"/>
    <w:rsid w:val="006575B3"/>
    <w:rsid w:val="00657B46"/>
    <w:rsid w:val="006625FE"/>
    <w:rsid w:val="0066551C"/>
    <w:rsid w:val="006764EC"/>
    <w:rsid w:val="0068115F"/>
    <w:rsid w:val="006835FE"/>
    <w:rsid w:val="006850D0"/>
    <w:rsid w:val="006923F3"/>
    <w:rsid w:val="00693BFD"/>
    <w:rsid w:val="00695065"/>
    <w:rsid w:val="006A1038"/>
    <w:rsid w:val="006A2D3B"/>
    <w:rsid w:val="006A649A"/>
    <w:rsid w:val="006A7FD1"/>
    <w:rsid w:val="006B1B49"/>
    <w:rsid w:val="006B6390"/>
    <w:rsid w:val="006B6B5E"/>
    <w:rsid w:val="006C0356"/>
    <w:rsid w:val="006C0843"/>
    <w:rsid w:val="006C74B1"/>
    <w:rsid w:val="006E57AA"/>
    <w:rsid w:val="006F0123"/>
    <w:rsid w:val="006F20CF"/>
    <w:rsid w:val="006F38ED"/>
    <w:rsid w:val="006F4A25"/>
    <w:rsid w:val="006F5E4D"/>
    <w:rsid w:val="006F7058"/>
    <w:rsid w:val="00707D4D"/>
    <w:rsid w:val="00723503"/>
    <w:rsid w:val="00730C04"/>
    <w:rsid w:val="00730E5B"/>
    <w:rsid w:val="00731C25"/>
    <w:rsid w:val="0073597B"/>
    <w:rsid w:val="00735A84"/>
    <w:rsid w:val="007378F6"/>
    <w:rsid w:val="00744067"/>
    <w:rsid w:val="0074545D"/>
    <w:rsid w:val="00745A50"/>
    <w:rsid w:val="00751E4B"/>
    <w:rsid w:val="007522E3"/>
    <w:rsid w:val="0075335B"/>
    <w:rsid w:val="00753C44"/>
    <w:rsid w:val="00754383"/>
    <w:rsid w:val="00754387"/>
    <w:rsid w:val="007557C6"/>
    <w:rsid w:val="007564D1"/>
    <w:rsid w:val="00757232"/>
    <w:rsid w:val="00760679"/>
    <w:rsid w:val="00763401"/>
    <w:rsid w:val="00763628"/>
    <w:rsid w:val="00767E99"/>
    <w:rsid w:val="00772E62"/>
    <w:rsid w:val="0077789B"/>
    <w:rsid w:val="00780D29"/>
    <w:rsid w:val="00786AB5"/>
    <w:rsid w:val="007902FF"/>
    <w:rsid w:val="007919A6"/>
    <w:rsid w:val="00791C8D"/>
    <w:rsid w:val="00794181"/>
    <w:rsid w:val="007A7F6F"/>
    <w:rsid w:val="007B3961"/>
    <w:rsid w:val="007B4C76"/>
    <w:rsid w:val="007C126E"/>
    <w:rsid w:val="007C2260"/>
    <w:rsid w:val="007C6FA9"/>
    <w:rsid w:val="007D15CD"/>
    <w:rsid w:val="007D1E52"/>
    <w:rsid w:val="007D2358"/>
    <w:rsid w:val="007E1BC1"/>
    <w:rsid w:val="007E39E4"/>
    <w:rsid w:val="007E6FB3"/>
    <w:rsid w:val="007F21B4"/>
    <w:rsid w:val="007F2E6F"/>
    <w:rsid w:val="008011FD"/>
    <w:rsid w:val="00802553"/>
    <w:rsid w:val="00803EAB"/>
    <w:rsid w:val="008046B5"/>
    <w:rsid w:val="00804F6B"/>
    <w:rsid w:val="008127C0"/>
    <w:rsid w:val="00812EDD"/>
    <w:rsid w:val="008139C5"/>
    <w:rsid w:val="00816000"/>
    <w:rsid w:val="0081650F"/>
    <w:rsid w:val="00832628"/>
    <w:rsid w:val="00832B31"/>
    <w:rsid w:val="008335FD"/>
    <w:rsid w:val="00837E12"/>
    <w:rsid w:val="008403E0"/>
    <w:rsid w:val="008439BA"/>
    <w:rsid w:val="0084657B"/>
    <w:rsid w:val="00855944"/>
    <w:rsid w:val="008633C3"/>
    <w:rsid w:val="00864A18"/>
    <w:rsid w:val="00870833"/>
    <w:rsid w:val="00871B6A"/>
    <w:rsid w:val="00874571"/>
    <w:rsid w:val="00881F93"/>
    <w:rsid w:val="00882CB5"/>
    <w:rsid w:val="00883641"/>
    <w:rsid w:val="00884E69"/>
    <w:rsid w:val="00885D71"/>
    <w:rsid w:val="00890082"/>
    <w:rsid w:val="008924C7"/>
    <w:rsid w:val="00894A07"/>
    <w:rsid w:val="00895E8E"/>
    <w:rsid w:val="0089789D"/>
    <w:rsid w:val="008A48D2"/>
    <w:rsid w:val="008A4E4C"/>
    <w:rsid w:val="008A55BE"/>
    <w:rsid w:val="008A704A"/>
    <w:rsid w:val="008B2610"/>
    <w:rsid w:val="008B471D"/>
    <w:rsid w:val="008B49E4"/>
    <w:rsid w:val="008B729C"/>
    <w:rsid w:val="008C4A93"/>
    <w:rsid w:val="008E0E49"/>
    <w:rsid w:val="008E35FD"/>
    <w:rsid w:val="008E50FE"/>
    <w:rsid w:val="008E6227"/>
    <w:rsid w:val="008E67D3"/>
    <w:rsid w:val="008E78B9"/>
    <w:rsid w:val="008F0567"/>
    <w:rsid w:val="0090543D"/>
    <w:rsid w:val="009056C5"/>
    <w:rsid w:val="00905881"/>
    <w:rsid w:val="0090646D"/>
    <w:rsid w:val="0091431C"/>
    <w:rsid w:val="00915AE1"/>
    <w:rsid w:val="00921A65"/>
    <w:rsid w:val="00925EBF"/>
    <w:rsid w:val="009262F2"/>
    <w:rsid w:val="00937791"/>
    <w:rsid w:val="009378FD"/>
    <w:rsid w:val="00941152"/>
    <w:rsid w:val="009449D1"/>
    <w:rsid w:val="00951933"/>
    <w:rsid w:val="00954343"/>
    <w:rsid w:val="009544ED"/>
    <w:rsid w:val="00955271"/>
    <w:rsid w:val="00955CE2"/>
    <w:rsid w:val="00963C9C"/>
    <w:rsid w:val="00965B6B"/>
    <w:rsid w:val="0096631E"/>
    <w:rsid w:val="00971EDB"/>
    <w:rsid w:val="009732EB"/>
    <w:rsid w:val="00974D50"/>
    <w:rsid w:val="0097539D"/>
    <w:rsid w:val="00987ABE"/>
    <w:rsid w:val="00991EE4"/>
    <w:rsid w:val="009939DC"/>
    <w:rsid w:val="00993B9C"/>
    <w:rsid w:val="009A4D3E"/>
    <w:rsid w:val="009B4E1E"/>
    <w:rsid w:val="009B58C1"/>
    <w:rsid w:val="009C03FB"/>
    <w:rsid w:val="009C26A4"/>
    <w:rsid w:val="009C4B4F"/>
    <w:rsid w:val="009D73BE"/>
    <w:rsid w:val="009F0C02"/>
    <w:rsid w:val="009F5758"/>
    <w:rsid w:val="009F62FC"/>
    <w:rsid w:val="00A0283F"/>
    <w:rsid w:val="00A03D42"/>
    <w:rsid w:val="00A04E20"/>
    <w:rsid w:val="00A04F4A"/>
    <w:rsid w:val="00A11F6D"/>
    <w:rsid w:val="00A21E71"/>
    <w:rsid w:val="00A24C7A"/>
    <w:rsid w:val="00A26343"/>
    <w:rsid w:val="00A32B28"/>
    <w:rsid w:val="00A408B5"/>
    <w:rsid w:val="00A51977"/>
    <w:rsid w:val="00A529E2"/>
    <w:rsid w:val="00A539F8"/>
    <w:rsid w:val="00A60B21"/>
    <w:rsid w:val="00A61A6B"/>
    <w:rsid w:val="00A6491A"/>
    <w:rsid w:val="00A6594E"/>
    <w:rsid w:val="00A72581"/>
    <w:rsid w:val="00A727B6"/>
    <w:rsid w:val="00A8140C"/>
    <w:rsid w:val="00A81CC6"/>
    <w:rsid w:val="00A83EC6"/>
    <w:rsid w:val="00A848E1"/>
    <w:rsid w:val="00A8732C"/>
    <w:rsid w:val="00A9062D"/>
    <w:rsid w:val="00A93F58"/>
    <w:rsid w:val="00A96329"/>
    <w:rsid w:val="00AA134B"/>
    <w:rsid w:val="00AA190A"/>
    <w:rsid w:val="00AA2CFE"/>
    <w:rsid w:val="00AA5FDA"/>
    <w:rsid w:val="00AA6291"/>
    <w:rsid w:val="00AB313D"/>
    <w:rsid w:val="00AB67B4"/>
    <w:rsid w:val="00AC0C91"/>
    <w:rsid w:val="00AC2664"/>
    <w:rsid w:val="00AD37D4"/>
    <w:rsid w:val="00AD7986"/>
    <w:rsid w:val="00AE1188"/>
    <w:rsid w:val="00AE738C"/>
    <w:rsid w:val="00AE7E68"/>
    <w:rsid w:val="00AF1046"/>
    <w:rsid w:val="00AF4466"/>
    <w:rsid w:val="00AF5D1E"/>
    <w:rsid w:val="00B040A9"/>
    <w:rsid w:val="00B07191"/>
    <w:rsid w:val="00B1711E"/>
    <w:rsid w:val="00B17CBE"/>
    <w:rsid w:val="00B17E26"/>
    <w:rsid w:val="00B231A4"/>
    <w:rsid w:val="00B245E5"/>
    <w:rsid w:val="00B25D20"/>
    <w:rsid w:val="00B31C99"/>
    <w:rsid w:val="00B3429E"/>
    <w:rsid w:val="00B35A17"/>
    <w:rsid w:val="00B4500E"/>
    <w:rsid w:val="00B46737"/>
    <w:rsid w:val="00B5325A"/>
    <w:rsid w:val="00B53BA6"/>
    <w:rsid w:val="00B544A7"/>
    <w:rsid w:val="00B5731D"/>
    <w:rsid w:val="00B62644"/>
    <w:rsid w:val="00B6378B"/>
    <w:rsid w:val="00B63CB6"/>
    <w:rsid w:val="00B63E3A"/>
    <w:rsid w:val="00B729E6"/>
    <w:rsid w:val="00B73325"/>
    <w:rsid w:val="00B73414"/>
    <w:rsid w:val="00B75965"/>
    <w:rsid w:val="00B771AD"/>
    <w:rsid w:val="00B80068"/>
    <w:rsid w:val="00B814CB"/>
    <w:rsid w:val="00B86287"/>
    <w:rsid w:val="00B93964"/>
    <w:rsid w:val="00BA0CF8"/>
    <w:rsid w:val="00BA1ADF"/>
    <w:rsid w:val="00BA51FC"/>
    <w:rsid w:val="00BA5202"/>
    <w:rsid w:val="00BB003A"/>
    <w:rsid w:val="00BB3358"/>
    <w:rsid w:val="00BB3382"/>
    <w:rsid w:val="00BB3643"/>
    <w:rsid w:val="00BB67F8"/>
    <w:rsid w:val="00BC3DA0"/>
    <w:rsid w:val="00BC424B"/>
    <w:rsid w:val="00BE0FDE"/>
    <w:rsid w:val="00BE4254"/>
    <w:rsid w:val="00BF6AC5"/>
    <w:rsid w:val="00C01121"/>
    <w:rsid w:val="00C030A5"/>
    <w:rsid w:val="00C05A45"/>
    <w:rsid w:val="00C0796F"/>
    <w:rsid w:val="00C11B34"/>
    <w:rsid w:val="00C12B9F"/>
    <w:rsid w:val="00C12C5C"/>
    <w:rsid w:val="00C13947"/>
    <w:rsid w:val="00C171FB"/>
    <w:rsid w:val="00C209C2"/>
    <w:rsid w:val="00C218CC"/>
    <w:rsid w:val="00C2267F"/>
    <w:rsid w:val="00C22AD8"/>
    <w:rsid w:val="00C23BED"/>
    <w:rsid w:val="00C30093"/>
    <w:rsid w:val="00C34E56"/>
    <w:rsid w:val="00C3557E"/>
    <w:rsid w:val="00C3594B"/>
    <w:rsid w:val="00C367A0"/>
    <w:rsid w:val="00C3750B"/>
    <w:rsid w:val="00C43102"/>
    <w:rsid w:val="00C4696B"/>
    <w:rsid w:val="00C50513"/>
    <w:rsid w:val="00C54503"/>
    <w:rsid w:val="00C62F2A"/>
    <w:rsid w:val="00C63055"/>
    <w:rsid w:val="00C63D89"/>
    <w:rsid w:val="00C66FF2"/>
    <w:rsid w:val="00C72D96"/>
    <w:rsid w:val="00C73B62"/>
    <w:rsid w:val="00C73F90"/>
    <w:rsid w:val="00C776B1"/>
    <w:rsid w:val="00C815FE"/>
    <w:rsid w:val="00C829CC"/>
    <w:rsid w:val="00C838AB"/>
    <w:rsid w:val="00C847AE"/>
    <w:rsid w:val="00C852CD"/>
    <w:rsid w:val="00C90AE4"/>
    <w:rsid w:val="00C93B67"/>
    <w:rsid w:val="00CA04C6"/>
    <w:rsid w:val="00CA16CB"/>
    <w:rsid w:val="00CA2489"/>
    <w:rsid w:val="00CA26DD"/>
    <w:rsid w:val="00CA5BB5"/>
    <w:rsid w:val="00CA7191"/>
    <w:rsid w:val="00CB12EC"/>
    <w:rsid w:val="00CB204E"/>
    <w:rsid w:val="00CC09D7"/>
    <w:rsid w:val="00CC12B8"/>
    <w:rsid w:val="00CC32FE"/>
    <w:rsid w:val="00CC553B"/>
    <w:rsid w:val="00CD22E3"/>
    <w:rsid w:val="00CD363F"/>
    <w:rsid w:val="00CD3B30"/>
    <w:rsid w:val="00CD4345"/>
    <w:rsid w:val="00CD4E44"/>
    <w:rsid w:val="00CD4EA6"/>
    <w:rsid w:val="00CD5AE4"/>
    <w:rsid w:val="00CD7A7D"/>
    <w:rsid w:val="00CE0981"/>
    <w:rsid w:val="00CE380E"/>
    <w:rsid w:val="00CE52BE"/>
    <w:rsid w:val="00CF2D8E"/>
    <w:rsid w:val="00CF2DFA"/>
    <w:rsid w:val="00CF2E83"/>
    <w:rsid w:val="00CF5885"/>
    <w:rsid w:val="00CF5AD8"/>
    <w:rsid w:val="00CF7C2B"/>
    <w:rsid w:val="00D00122"/>
    <w:rsid w:val="00D01D2A"/>
    <w:rsid w:val="00D025E3"/>
    <w:rsid w:val="00D10B47"/>
    <w:rsid w:val="00D11EB1"/>
    <w:rsid w:val="00D120B1"/>
    <w:rsid w:val="00D13055"/>
    <w:rsid w:val="00D1743E"/>
    <w:rsid w:val="00D17F17"/>
    <w:rsid w:val="00D20826"/>
    <w:rsid w:val="00D229C4"/>
    <w:rsid w:val="00D23597"/>
    <w:rsid w:val="00D30BDC"/>
    <w:rsid w:val="00D312A9"/>
    <w:rsid w:val="00D36476"/>
    <w:rsid w:val="00D41C7B"/>
    <w:rsid w:val="00D43716"/>
    <w:rsid w:val="00D5472A"/>
    <w:rsid w:val="00D561D2"/>
    <w:rsid w:val="00D57DE7"/>
    <w:rsid w:val="00D57F88"/>
    <w:rsid w:val="00D6256D"/>
    <w:rsid w:val="00D7105C"/>
    <w:rsid w:val="00D725BD"/>
    <w:rsid w:val="00D73646"/>
    <w:rsid w:val="00D777B4"/>
    <w:rsid w:val="00D77A90"/>
    <w:rsid w:val="00D8360B"/>
    <w:rsid w:val="00D85676"/>
    <w:rsid w:val="00D92E5B"/>
    <w:rsid w:val="00D96ADA"/>
    <w:rsid w:val="00D96BB1"/>
    <w:rsid w:val="00DA2886"/>
    <w:rsid w:val="00DA3A00"/>
    <w:rsid w:val="00DA5E50"/>
    <w:rsid w:val="00DA7D0C"/>
    <w:rsid w:val="00DA7E30"/>
    <w:rsid w:val="00DB2ECE"/>
    <w:rsid w:val="00DB311C"/>
    <w:rsid w:val="00DB432D"/>
    <w:rsid w:val="00DB519B"/>
    <w:rsid w:val="00DB72CA"/>
    <w:rsid w:val="00DB78AE"/>
    <w:rsid w:val="00DC7694"/>
    <w:rsid w:val="00DC7FBE"/>
    <w:rsid w:val="00DD130E"/>
    <w:rsid w:val="00DD308E"/>
    <w:rsid w:val="00DD3552"/>
    <w:rsid w:val="00DF0C51"/>
    <w:rsid w:val="00DF0D47"/>
    <w:rsid w:val="00DF1652"/>
    <w:rsid w:val="00DF4864"/>
    <w:rsid w:val="00DF6D37"/>
    <w:rsid w:val="00E023BF"/>
    <w:rsid w:val="00E048ED"/>
    <w:rsid w:val="00E04FB3"/>
    <w:rsid w:val="00E054D8"/>
    <w:rsid w:val="00E058F2"/>
    <w:rsid w:val="00E05D9C"/>
    <w:rsid w:val="00E06102"/>
    <w:rsid w:val="00E07E11"/>
    <w:rsid w:val="00E23E71"/>
    <w:rsid w:val="00E26B93"/>
    <w:rsid w:val="00E30F19"/>
    <w:rsid w:val="00E33C4A"/>
    <w:rsid w:val="00E357B9"/>
    <w:rsid w:val="00E4321E"/>
    <w:rsid w:val="00E44B80"/>
    <w:rsid w:val="00E47623"/>
    <w:rsid w:val="00E57079"/>
    <w:rsid w:val="00E60529"/>
    <w:rsid w:val="00E61E58"/>
    <w:rsid w:val="00E63DD6"/>
    <w:rsid w:val="00E66B5D"/>
    <w:rsid w:val="00E70D86"/>
    <w:rsid w:val="00E7628E"/>
    <w:rsid w:val="00E82F54"/>
    <w:rsid w:val="00E85432"/>
    <w:rsid w:val="00E8649B"/>
    <w:rsid w:val="00E871CD"/>
    <w:rsid w:val="00E9080D"/>
    <w:rsid w:val="00E90990"/>
    <w:rsid w:val="00E93EF0"/>
    <w:rsid w:val="00E95D3D"/>
    <w:rsid w:val="00EA0E25"/>
    <w:rsid w:val="00EA173C"/>
    <w:rsid w:val="00EA6E11"/>
    <w:rsid w:val="00EA7F46"/>
    <w:rsid w:val="00EB483A"/>
    <w:rsid w:val="00EB5290"/>
    <w:rsid w:val="00EC127A"/>
    <w:rsid w:val="00EC1401"/>
    <w:rsid w:val="00EC1FF9"/>
    <w:rsid w:val="00EC2737"/>
    <w:rsid w:val="00ED5E6D"/>
    <w:rsid w:val="00ED635D"/>
    <w:rsid w:val="00EE1BF5"/>
    <w:rsid w:val="00EE2716"/>
    <w:rsid w:val="00EE5774"/>
    <w:rsid w:val="00EE6450"/>
    <w:rsid w:val="00EF167E"/>
    <w:rsid w:val="00EF1E73"/>
    <w:rsid w:val="00EF5F73"/>
    <w:rsid w:val="00F01C2C"/>
    <w:rsid w:val="00F10ED8"/>
    <w:rsid w:val="00F222BE"/>
    <w:rsid w:val="00F24179"/>
    <w:rsid w:val="00F301F1"/>
    <w:rsid w:val="00F30C22"/>
    <w:rsid w:val="00F3255E"/>
    <w:rsid w:val="00F33F1A"/>
    <w:rsid w:val="00F35182"/>
    <w:rsid w:val="00F45D91"/>
    <w:rsid w:val="00F547F7"/>
    <w:rsid w:val="00F54CCF"/>
    <w:rsid w:val="00F61D7A"/>
    <w:rsid w:val="00F6321B"/>
    <w:rsid w:val="00F637B3"/>
    <w:rsid w:val="00F6402D"/>
    <w:rsid w:val="00F64073"/>
    <w:rsid w:val="00F6699F"/>
    <w:rsid w:val="00F66CF7"/>
    <w:rsid w:val="00F67BCB"/>
    <w:rsid w:val="00F77C57"/>
    <w:rsid w:val="00F813C7"/>
    <w:rsid w:val="00F829BE"/>
    <w:rsid w:val="00F832E6"/>
    <w:rsid w:val="00F83566"/>
    <w:rsid w:val="00F83A9D"/>
    <w:rsid w:val="00F906B5"/>
    <w:rsid w:val="00F93784"/>
    <w:rsid w:val="00F96B3A"/>
    <w:rsid w:val="00F97183"/>
    <w:rsid w:val="00F971CC"/>
    <w:rsid w:val="00FA2CAA"/>
    <w:rsid w:val="00FA3DA1"/>
    <w:rsid w:val="00FA6554"/>
    <w:rsid w:val="00FB07AB"/>
    <w:rsid w:val="00FC4736"/>
    <w:rsid w:val="00FD1DAD"/>
    <w:rsid w:val="00FE16C1"/>
    <w:rsid w:val="00FE19FF"/>
    <w:rsid w:val="00FE33A6"/>
    <w:rsid w:val="00FE5452"/>
    <w:rsid w:val="00FE62C3"/>
    <w:rsid w:val="00FF2CD3"/>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37A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43C"/>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4">
    <w:name w:val="heading 4"/>
    <w:basedOn w:val="Normal"/>
    <w:next w:val="Normal"/>
    <w:link w:val="Heading4Char"/>
    <w:uiPriority w:val="9"/>
    <w:semiHidden/>
    <w:unhideWhenUsed/>
    <w:qFormat/>
    <w:rsid w:val="002C7C5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unhideWhenUsed/>
    <w:qFormat/>
    <w:rsid w:val="000758E3"/>
    <w:pPr>
      <w:spacing w:after="60"/>
    </w:pPr>
    <w:rPr>
      <w:i/>
      <w:iCs/>
      <w:color w:val="1F497D" w:themeColor="text2"/>
      <w:sz w:val="18"/>
      <w:szCs w:val="18"/>
    </w:rPr>
  </w:style>
  <w:style w:type="paragraph" w:customStyle="1" w:styleId="Tablenotes">
    <w:name w:val="Table_notes"/>
    <w:basedOn w:val="Normal"/>
    <w:link w:val="TablenotesChar"/>
    <w:qFormat/>
    <w:rsid w:val="00C838AB"/>
    <w:pPr>
      <w:spacing w:before="0"/>
      <w:contextualSpacing/>
    </w:pPr>
    <w:rPr>
      <w:sz w:val="16"/>
    </w:rPr>
  </w:style>
  <w:style w:type="character" w:customStyle="1" w:styleId="TablenotesChar">
    <w:name w:val="Table_notes Char"/>
    <w:basedOn w:val="DefaultParagraphFont"/>
    <w:link w:val="Tablenotes"/>
    <w:rsid w:val="00C838AB"/>
    <w:rPr>
      <w:sz w:val="16"/>
    </w:rPr>
  </w:style>
  <w:style w:type="character" w:customStyle="1" w:styleId="UnresolvedMention">
    <w:name w:val="Unresolved Mention"/>
    <w:basedOn w:val="DefaultParagraphFont"/>
    <w:uiPriority w:val="99"/>
    <w:semiHidden/>
    <w:unhideWhenUsed/>
    <w:rsid w:val="00E07E11"/>
    <w:rPr>
      <w:color w:val="808080"/>
      <w:shd w:val="clear" w:color="auto" w:fill="E6E6E6"/>
    </w:rPr>
  </w:style>
  <w:style w:type="character" w:styleId="Emphasis">
    <w:name w:val="Emphasis"/>
    <w:basedOn w:val="DefaultParagraphFont"/>
    <w:uiPriority w:val="20"/>
    <w:qFormat/>
    <w:rsid w:val="00E07E11"/>
    <w:rPr>
      <w:i/>
      <w:iCs/>
    </w:rPr>
  </w:style>
  <w:style w:type="character" w:styleId="FollowedHyperlink">
    <w:name w:val="FollowedHyperlink"/>
    <w:basedOn w:val="DefaultParagraphFont"/>
    <w:uiPriority w:val="99"/>
    <w:semiHidden/>
    <w:unhideWhenUsed/>
    <w:rsid w:val="00E07E11"/>
    <w:rPr>
      <w:color w:val="800080" w:themeColor="followedHyperlink"/>
      <w:u w:val="single"/>
    </w:rPr>
  </w:style>
  <w:style w:type="paragraph" w:customStyle="1" w:styleId="TableText">
    <w:name w:val="TableText"/>
    <w:basedOn w:val="Normal"/>
    <w:qFormat/>
    <w:rsid w:val="003F2A25"/>
    <w:pPr>
      <w:keepNext/>
      <w:keepLines/>
      <w:autoSpaceDE w:val="0"/>
      <w:autoSpaceDN w:val="0"/>
      <w:adjustRightInd w:val="0"/>
      <w:spacing w:before="40"/>
    </w:pPr>
    <w:rPr>
      <w:rFonts w:ascii="Arial" w:eastAsia="Times New Roman" w:hAnsi="Arial" w:cs="Times New Roman"/>
      <w:sz w:val="18"/>
      <w:szCs w:val="20"/>
      <w:lang w:val="en-US"/>
    </w:rPr>
  </w:style>
  <w:style w:type="character" w:customStyle="1" w:styleId="Heading4Char">
    <w:name w:val="Heading 4 Char"/>
    <w:basedOn w:val="DefaultParagraphFont"/>
    <w:link w:val="Heading4"/>
    <w:uiPriority w:val="9"/>
    <w:semiHidden/>
    <w:rsid w:val="002C7C52"/>
    <w:rPr>
      <w:rFonts w:asciiTheme="majorHAnsi" w:eastAsiaTheme="majorEastAsia" w:hAnsiTheme="majorHAnsi" w:cstheme="majorBidi"/>
      <w:i/>
      <w:iCs/>
      <w:color w:val="365F91" w:themeColor="accent1" w:themeShade="BF"/>
      <w:sz w:val="20"/>
    </w:rPr>
  </w:style>
  <w:style w:type="paragraph" w:styleId="NormalWeb">
    <w:name w:val="Normal (Web)"/>
    <w:basedOn w:val="Normal"/>
    <w:uiPriority w:val="99"/>
    <w:semiHidden/>
    <w:unhideWhenUsed/>
    <w:rsid w:val="002C7C52"/>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s">
    <w:name w:val="Tables"/>
    <w:basedOn w:val="Normal"/>
    <w:qFormat/>
    <w:rsid w:val="002C789D"/>
    <w:pPr>
      <w:keepNext/>
      <w:keepLines/>
      <w:spacing w:before="40" w:after="40"/>
    </w:pPr>
    <w:rPr>
      <w:rFonts w:ascii="Arial" w:eastAsia="Calibri" w:hAnsi="Arial" w:cs="Arial"/>
      <w:sz w:val="18"/>
      <w:szCs w:val="18"/>
    </w:rPr>
  </w:style>
  <w:style w:type="paragraph" w:customStyle="1" w:styleId="TableNote">
    <w:name w:val="Table Note"/>
    <w:basedOn w:val="Normal"/>
    <w:qFormat/>
    <w:rsid w:val="002C789D"/>
    <w:pPr>
      <w:keepNext/>
      <w:keepLines/>
      <w:spacing w:before="0" w:after="240"/>
    </w:pPr>
    <w:rPr>
      <w:rFonts w:ascii="Arial" w:eastAsia="Calibri" w:hAnsi="Arial" w:cs="Arial"/>
      <w:sz w:val="16"/>
      <w:szCs w:val="16"/>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link w:val="Caption"/>
    <w:locked/>
    <w:rsid w:val="002C789D"/>
    <w:rPr>
      <w:i/>
      <w:iCs/>
      <w:color w:val="1F497D" w:themeColor="text2"/>
      <w:sz w:val="18"/>
      <w:szCs w:val="18"/>
    </w:rPr>
  </w:style>
  <w:style w:type="character" w:customStyle="1" w:styleId="highlight">
    <w:name w:val="highlight"/>
    <w:rsid w:val="00A04E20"/>
  </w:style>
  <w:style w:type="paragraph" w:styleId="FootnoteText">
    <w:name w:val="footnote text"/>
    <w:basedOn w:val="Normal"/>
    <w:link w:val="FootnoteTextChar"/>
    <w:uiPriority w:val="99"/>
    <w:semiHidden/>
    <w:unhideWhenUsed/>
    <w:rsid w:val="003E6681"/>
    <w:pPr>
      <w:spacing w:before="0" w:after="0"/>
    </w:pPr>
    <w:rPr>
      <w:szCs w:val="20"/>
    </w:rPr>
  </w:style>
  <w:style w:type="character" w:customStyle="1" w:styleId="FootnoteTextChar">
    <w:name w:val="Footnote Text Char"/>
    <w:basedOn w:val="DefaultParagraphFont"/>
    <w:link w:val="FootnoteText"/>
    <w:uiPriority w:val="99"/>
    <w:semiHidden/>
    <w:rsid w:val="003E6681"/>
    <w:rPr>
      <w:sz w:val="20"/>
      <w:szCs w:val="20"/>
    </w:rPr>
  </w:style>
  <w:style w:type="character" w:styleId="FootnoteReference">
    <w:name w:val="footnote reference"/>
    <w:basedOn w:val="DefaultParagraphFont"/>
    <w:uiPriority w:val="99"/>
    <w:semiHidden/>
    <w:unhideWhenUsed/>
    <w:rsid w:val="003E6681"/>
    <w:rPr>
      <w:vertAlign w:val="superscript"/>
    </w:rPr>
  </w:style>
  <w:style w:type="character" w:customStyle="1" w:styleId="apple-converted-space">
    <w:name w:val="apple-converted-space"/>
    <w:rsid w:val="00C66F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43C"/>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4">
    <w:name w:val="heading 4"/>
    <w:basedOn w:val="Normal"/>
    <w:next w:val="Normal"/>
    <w:link w:val="Heading4Char"/>
    <w:uiPriority w:val="9"/>
    <w:semiHidden/>
    <w:unhideWhenUsed/>
    <w:qFormat/>
    <w:rsid w:val="002C7C5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unhideWhenUsed/>
    <w:qFormat/>
    <w:rsid w:val="000758E3"/>
    <w:pPr>
      <w:spacing w:after="60"/>
    </w:pPr>
    <w:rPr>
      <w:i/>
      <w:iCs/>
      <w:color w:val="1F497D" w:themeColor="text2"/>
      <w:sz w:val="18"/>
      <w:szCs w:val="18"/>
    </w:rPr>
  </w:style>
  <w:style w:type="paragraph" w:customStyle="1" w:styleId="Tablenotes">
    <w:name w:val="Table_notes"/>
    <w:basedOn w:val="Normal"/>
    <w:link w:val="TablenotesChar"/>
    <w:qFormat/>
    <w:rsid w:val="00C838AB"/>
    <w:pPr>
      <w:spacing w:before="0"/>
      <w:contextualSpacing/>
    </w:pPr>
    <w:rPr>
      <w:sz w:val="16"/>
    </w:rPr>
  </w:style>
  <w:style w:type="character" w:customStyle="1" w:styleId="TablenotesChar">
    <w:name w:val="Table_notes Char"/>
    <w:basedOn w:val="DefaultParagraphFont"/>
    <w:link w:val="Tablenotes"/>
    <w:rsid w:val="00C838AB"/>
    <w:rPr>
      <w:sz w:val="16"/>
    </w:rPr>
  </w:style>
  <w:style w:type="character" w:customStyle="1" w:styleId="UnresolvedMention">
    <w:name w:val="Unresolved Mention"/>
    <w:basedOn w:val="DefaultParagraphFont"/>
    <w:uiPriority w:val="99"/>
    <w:semiHidden/>
    <w:unhideWhenUsed/>
    <w:rsid w:val="00E07E11"/>
    <w:rPr>
      <w:color w:val="808080"/>
      <w:shd w:val="clear" w:color="auto" w:fill="E6E6E6"/>
    </w:rPr>
  </w:style>
  <w:style w:type="character" w:styleId="Emphasis">
    <w:name w:val="Emphasis"/>
    <w:basedOn w:val="DefaultParagraphFont"/>
    <w:uiPriority w:val="20"/>
    <w:qFormat/>
    <w:rsid w:val="00E07E11"/>
    <w:rPr>
      <w:i/>
      <w:iCs/>
    </w:rPr>
  </w:style>
  <w:style w:type="character" w:styleId="FollowedHyperlink">
    <w:name w:val="FollowedHyperlink"/>
    <w:basedOn w:val="DefaultParagraphFont"/>
    <w:uiPriority w:val="99"/>
    <w:semiHidden/>
    <w:unhideWhenUsed/>
    <w:rsid w:val="00E07E11"/>
    <w:rPr>
      <w:color w:val="800080" w:themeColor="followedHyperlink"/>
      <w:u w:val="single"/>
    </w:rPr>
  </w:style>
  <w:style w:type="paragraph" w:customStyle="1" w:styleId="TableText">
    <w:name w:val="TableText"/>
    <w:basedOn w:val="Normal"/>
    <w:qFormat/>
    <w:rsid w:val="003F2A25"/>
    <w:pPr>
      <w:keepNext/>
      <w:keepLines/>
      <w:autoSpaceDE w:val="0"/>
      <w:autoSpaceDN w:val="0"/>
      <w:adjustRightInd w:val="0"/>
      <w:spacing w:before="40"/>
    </w:pPr>
    <w:rPr>
      <w:rFonts w:ascii="Arial" w:eastAsia="Times New Roman" w:hAnsi="Arial" w:cs="Times New Roman"/>
      <w:sz w:val="18"/>
      <w:szCs w:val="20"/>
      <w:lang w:val="en-US"/>
    </w:rPr>
  </w:style>
  <w:style w:type="character" w:customStyle="1" w:styleId="Heading4Char">
    <w:name w:val="Heading 4 Char"/>
    <w:basedOn w:val="DefaultParagraphFont"/>
    <w:link w:val="Heading4"/>
    <w:uiPriority w:val="9"/>
    <w:semiHidden/>
    <w:rsid w:val="002C7C52"/>
    <w:rPr>
      <w:rFonts w:asciiTheme="majorHAnsi" w:eastAsiaTheme="majorEastAsia" w:hAnsiTheme="majorHAnsi" w:cstheme="majorBidi"/>
      <w:i/>
      <w:iCs/>
      <w:color w:val="365F91" w:themeColor="accent1" w:themeShade="BF"/>
      <w:sz w:val="20"/>
    </w:rPr>
  </w:style>
  <w:style w:type="paragraph" w:styleId="NormalWeb">
    <w:name w:val="Normal (Web)"/>
    <w:basedOn w:val="Normal"/>
    <w:uiPriority w:val="99"/>
    <w:semiHidden/>
    <w:unhideWhenUsed/>
    <w:rsid w:val="002C7C52"/>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s">
    <w:name w:val="Tables"/>
    <w:basedOn w:val="Normal"/>
    <w:qFormat/>
    <w:rsid w:val="002C789D"/>
    <w:pPr>
      <w:keepNext/>
      <w:keepLines/>
      <w:spacing w:before="40" w:after="40"/>
    </w:pPr>
    <w:rPr>
      <w:rFonts w:ascii="Arial" w:eastAsia="Calibri" w:hAnsi="Arial" w:cs="Arial"/>
      <w:sz w:val="18"/>
      <w:szCs w:val="18"/>
    </w:rPr>
  </w:style>
  <w:style w:type="paragraph" w:customStyle="1" w:styleId="TableNote">
    <w:name w:val="Table Note"/>
    <w:basedOn w:val="Normal"/>
    <w:qFormat/>
    <w:rsid w:val="002C789D"/>
    <w:pPr>
      <w:keepNext/>
      <w:keepLines/>
      <w:spacing w:before="0" w:after="240"/>
    </w:pPr>
    <w:rPr>
      <w:rFonts w:ascii="Arial" w:eastAsia="Calibri" w:hAnsi="Arial" w:cs="Arial"/>
      <w:sz w:val="16"/>
      <w:szCs w:val="16"/>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link w:val="Caption"/>
    <w:locked/>
    <w:rsid w:val="002C789D"/>
    <w:rPr>
      <w:i/>
      <w:iCs/>
      <w:color w:val="1F497D" w:themeColor="text2"/>
      <w:sz w:val="18"/>
      <w:szCs w:val="18"/>
    </w:rPr>
  </w:style>
  <w:style w:type="character" w:customStyle="1" w:styleId="highlight">
    <w:name w:val="highlight"/>
    <w:rsid w:val="00A04E20"/>
  </w:style>
  <w:style w:type="paragraph" w:styleId="FootnoteText">
    <w:name w:val="footnote text"/>
    <w:basedOn w:val="Normal"/>
    <w:link w:val="FootnoteTextChar"/>
    <w:uiPriority w:val="99"/>
    <w:semiHidden/>
    <w:unhideWhenUsed/>
    <w:rsid w:val="003E6681"/>
    <w:pPr>
      <w:spacing w:before="0" w:after="0"/>
    </w:pPr>
    <w:rPr>
      <w:szCs w:val="20"/>
    </w:rPr>
  </w:style>
  <w:style w:type="character" w:customStyle="1" w:styleId="FootnoteTextChar">
    <w:name w:val="Footnote Text Char"/>
    <w:basedOn w:val="DefaultParagraphFont"/>
    <w:link w:val="FootnoteText"/>
    <w:uiPriority w:val="99"/>
    <w:semiHidden/>
    <w:rsid w:val="003E6681"/>
    <w:rPr>
      <w:sz w:val="20"/>
      <w:szCs w:val="20"/>
    </w:rPr>
  </w:style>
  <w:style w:type="character" w:styleId="FootnoteReference">
    <w:name w:val="footnote reference"/>
    <w:basedOn w:val="DefaultParagraphFont"/>
    <w:uiPriority w:val="99"/>
    <w:semiHidden/>
    <w:unhideWhenUsed/>
    <w:rsid w:val="003E6681"/>
    <w:rPr>
      <w:vertAlign w:val="superscript"/>
    </w:rPr>
  </w:style>
  <w:style w:type="character" w:customStyle="1" w:styleId="apple-converted-space">
    <w:name w:val="apple-converted-space"/>
    <w:rsid w:val="00C66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4635">
      <w:bodyDiv w:val="1"/>
      <w:marLeft w:val="0"/>
      <w:marRight w:val="0"/>
      <w:marTop w:val="0"/>
      <w:marBottom w:val="0"/>
      <w:divBdr>
        <w:top w:val="none" w:sz="0" w:space="0" w:color="auto"/>
        <w:left w:val="none" w:sz="0" w:space="0" w:color="auto"/>
        <w:bottom w:val="none" w:sz="0" w:space="0" w:color="auto"/>
        <w:right w:val="none" w:sz="0" w:space="0" w:color="auto"/>
      </w:divBdr>
    </w:div>
    <w:div w:id="45105133">
      <w:bodyDiv w:val="1"/>
      <w:marLeft w:val="0"/>
      <w:marRight w:val="0"/>
      <w:marTop w:val="0"/>
      <w:marBottom w:val="0"/>
      <w:divBdr>
        <w:top w:val="none" w:sz="0" w:space="0" w:color="auto"/>
        <w:left w:val="none" w:sz="0" w:space="0" w:color="auto"/>
        <w:bottom w:val="none" w:sz="0" w:space="0" w:color="auto"/>
        <w:right w:val="none" w:sz="0" w:space="0" w:color="auto"/>
      </w:divBdr>
    </w:div>
    <w:div w:id="256334553">
      <w:bodyDiv w:val="1"/>
      <w:marLeft w:val="0"/>
      <w:marRight w:val="0"/>
      <w:marTop w:val="0"/>
      <w:marBottom w:val="0"/>
      <w:divBdr>
        <w:top w:val="none" w:sz="0" w:space="0" w:color="auto"/>
        <w:left w:val="none" w:sz="0" w:space="0" w:color="auto"/>
        <w:bottom w:val="none" w:sz="0" w:space="0" w:color="auto"/>
        <w:right w:val="none" w:sz="0" w:space="0" w:color="auto"/>
      </w:divBdr>
    </w:div>
    <w:div w:id="293029869">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74089363">
      <w:bodyDiv w:val="1"/>
      <w:marLeft w:val="0"/>
      <w:marRight w:val="0"/>
      <w:marTop w:val="0"/>
      <w:marBottom w:val="0"/>
      <w:divBdr>
        <w:top w:val="none" w:sz="0" w:space="0" w:color="auto"/>
        <w:left w:val="none" w:sz="0" w:space="0" w:color="auto"/>
        <w:bottom w:val="none" w:sz="0" w:space="0" w:color="auto"/>
        <w:right w:val="none" w:sz="0" w:space="0" w:color="auto"/>
      </w:divBdr>
    </w:div>
    <w:div w:id="418913837">
      <w:bodyDiv w:val="1"/>
      <w:marLeft w:val="0"/>
      <w:marRight w:val="0"/>
      <w:marTop w:val="0"/>
      <w:marBottom w:val="0"/>
      <w:divBdr>
        <w:top w:val="none" w:sz="0" w:space="0" w:color="auto"/>
        <w:left w:val="none" w:sz="0" w:space="0" w:color="auto"/>
        <w:bottom w:val="none" w:sz="0" w:space="0" w:color="auto"/>
        <w:right w:val="none" w:sz="0" w:space="0" w:color="auto"/>
      </w:divBdr>
    </w:div>
    <w:div w:id="495921590">
      <w:bodyDiv w:val="1"/>
      <w:marLeft w:val="0"/>
      <w:marRight w:val="0"/>
      <w:marTop w:val="0"/>
      <w:marBottom w:val="0"/>
      <w:divBdr>
        <w:top w:val="none" w:sz="0" w:space="0" w:color="auto"/>
        <w:left w:val="none" w:sz="0" w:space="0" w:color="auto"/>
        <w:bottom w:val="none" w:sz="0" w:space="0" w:color="auto"/>
        <w:right w:val="none" w:sz="0" w:space="0" w:color="auto"/>
      </w:divBdr>
    </w:div>
    <w:div w:id="513032835">
      <w:bodyDiv w:val="1"/>
      <w:marLeft w:val="0"/>
      <w:marRight w:val="0"/>
      <w:marTop w:val="0"/>
      <w:marBottom w:val="0"/>
      <w:divBdr>
        <w:top w:val="none" w:sz="0" w:space="0" w:color="auto"/>
        <w:left w:val="none" w:sz="0" w:space="0" w:color="auto"/>
        <w:bottom w:val="none" w:sz="0" w:space="0" w:color="auto"/>
        <w:right w:val="none" w:sz="0" w:space="0" w:color="auto"/>
      </w:divBdr>
      <w:divsChild>
        <w:div w:id="1669138965">
          <w:marLeft w:val="0"/>
          <w:marRight w:val="0"/>
          <w:marTop w:val="0"/>
          <w:marBottom w:val="0"/>
          <w:divBdr>
            <w:top w:val="none" w:sz="0" w:space="0" w:color="auto"/>
            <w:left w:val="none" w:sz="0" w:space="0" w:color="auto"/>
            <w:bottom w:val="none" w:sz="0" w:space="0" w:color="auto"/>
            <w:right w:val="none" w:sz="0" w:space="0" w:color="auto"/>
          </w:divBdr>
        </w:div>
        <w:div w:id="1186406818">
          <w:marLeft w:val="0"/>
          <w:marRight w:val="0"/>
          <w:marTop w:val="0"/>
          <w:marBottom w:val="0"/>
          <w:divBdr>
            <w:top w:val="none" w:sz="0" w:space="0" w:color="auto"/>
            <w:left w:val="none" w:sz="0" w:space="0" w:color="auto"/>
            <w:bottom w:val="none" w:sz="0" w:space="0" w:color="auto"/>
            <w:right w:val="none" w:sz="0" w:space="0" w:color="auto"/>
          </w:divBdr>
        </w:div>
        <w:div w:id="1369573221">
          <w:marLeft w:val="0"/>
          <w:marRight w:val="0"/>
          <w:marTop w:val="0"/>
          <w:marBottom w:val="0"/>
          <w:divBdr>
            <w:top w:val="none" w:sz="0" w:space="0" w:color="auto"/>
            <w:left w:val="none" w:sz="0" w:space="0" w:color="auto"/>
            <w:bottom w:val="none" w:sz="0" w:space="0" w:color="auto"/>
            <w:right w:val="none" w:sz="0" w:space="0" w:color="auto"/>
          </w:divBdr>
        </w:div>
        <w:div w:id="996617721">
          <w:marLeft w:val="0"/>
          <w:marRight w:val="0"/>
          <w:marTop w:val="0"/>
          <w:marBottom w:val="0"/>
          <w:divBdr>
            <w:top w:val="none" w:sz="0" w:space="0" w:color="auto"/>
            <w:left w:val="none" w:sz="0" w:space="0" w:color="auto"/>
            <w:bottom w:val="none" w:sz="0" w:space="0" w:color="auto"/>
            <w:right w:val="none" w:sz="0" w:space="0" w:color="auto"/>
          </w:divBdr>
        </w:div>
        <w:div w:id="923883153">
          <w:marLeft w:val="0"/>
          <w:marRight w:val="0"/>
          <w:marTop w:val="0"/>
          <w:marBottom w:val="0"/>
          <w:divBdr>
            <w:top w:val="none" w:sz="0" w:space="0" w:color="auto"/>
            <w:left w:val="none" w:sz="0" w:space="0" w:color="auto"/>
            <w:bottom w:val="none" w:sz="0" w:space="0" w:color="auto"/>
            <w:right w:val="none" w:sz="0" w:space="0" w:color="auto"/>
          </w:divBdr>
        </w:div>
      </w:divsChild>
    </w:div>
    <w:div w:id="518347746">
      <w:bodyDiv w:val="1"/>
      <w:marLeft w:val="0"/>
      <w:marRight w:val="0"/>
      <w:marTop w:val="0"/>
      <w:marBottom w:val="0"/>
      <w:divBdr>
        <w:top w:val="none" w:sz="0" w:space="0" w:color="auto"/>
        <w:left w:val="none" w:sz="0" w:space="0" w:color="auto"/>
        <w:bottom w:val="none" w:sz="0" w:space="0" w:color="auto"/>
        <w:right w:val="none" w:sz="0" w:space="0" w:color="auto"/>
      </w:divBdr>
    </w:div>
    <w:div w:id="684870056">
      <w:bodyDiv w:val="1"/>
      <w:marLeft w:val="0"/>
      <w:marRight w:val="0"/>
      <w:marTop w:val="0"/>
      <w:marBottom w:val="0"/>
      <w:divBdr>
        <w:top w:val="none" w:sz="0" w:space="0" w:color="auto"/>
        <w:left w:val="none" w:sz="0" w:space="0" w:color="auto"/>
        <w:bottom w:val="none" w:sz="0" w:space="0" w:color="auto"/>
        <w:right w:val="none" w:sz="0" w:space="0" w:color="auto"/>
      </w:divBdr>
    </w:div>
    <w:div w:id="932275660">
      <w:bodyDiv w:val="1"/>
      <w:marLeft w:val="0"/>
      <w:marRight w:val="0"/>
      <w:marTop w:val="0"/>
      <w:marBottom w:val="0"/>
      <w:divBdr>
        <w:top w:val="none" w:sz="0" w:space="0" w:color="auto"/>
        <w:left w:val="none" w:sz="0" w:space="0" w:color="auto"/>
        <w:bottom w:val="none" w:sz="0" w:space="0" w:color="auto"/>
        <w:right w:val="none" w:sz="0" w:space="0" w:color="auto"/>
      </w:divBdr>
    </w:div>
    <w:div w:id="969632694">
      <w:bodyDiv w:val="1"/>
      <w:marLeft w:val="0"/>
      <w:marRight w:val="0"/>
      <w:marTop w:val="0"/>
      <w:marBottom w:val="0"/>
      <w:divBdr>
        <w:top w:val="none" w:sz="0" w:space="0" w:color="auto"/>
        <w:left w:val="none" w:sz="0" w:space="0" w:color="auto"/>
        <w:bottom w:val="none" w:sz="0" w:space="0" w:color="auto"/>
        <w:right w:val="none" w:sz="0" w:space="0" w:color="auto"/>
      </w:divBdr>
    </w:div>
    <w:div w:id="1058895697">
      <w:bodyDiv w:val="1"/>
      <w:marLeft w:val="0"/>
      <w:marRight w:val="0"/>
      <w:marTop w:val="0"/>
      <w:marBottom w:val="0"/>
      <w:divBdr>
        <w:top w:val="none" w:sz="0" w:space="0" w:color="auto"/>
        <w:left w:val="none" w:sz="0" w:space="0" w:color="auto"/>
        <w:bottom w:val="none" w:sz="0" w:space="0" w:color="auto"/>
        <w:right w:val="none" w:sz="0" w:space="0" w:color="auto"/>
      </w:divBdr>
    </w:div>
    <w:div w:id="1099527774">
      <w:bodyDiv w:val="1"/>
      <w:marLeft w:val="0"/>
      <w:marRight w:val="0"/>
      <w:marTop w:val="0"/>
      <w:marBottom w:val="0"/>
      <w:divBdr>
        <w:top w:val="none" w:sz="0" w:space="0" w:color="auto"/>
        <w:left w:val="none" w:sz="0" w:space="0" w:color="auto"/>
        <w:bottom w:val="none" w:sz="0" w:space="0" w:color="auto"/>
        <w:right w:val="none" w:sz="0" w:space="0" w:color="auto"/>
      </w:divBdr>
    </w:div>
    <w:div w:id="1178815001">
      <w:bodyDiv w:val="1"/>
      <w:marLeft w:val="0"/>
      <w:marRight w:val="0"/>
      <w:marTop w:val="0"/>
      <w:marBottom w:val="0"/>
      <w:divBdr>
        <w:top w:val="none" w:sz="0" w:space="0" w:color="auto"/>
        <w:left w:val="none" w:sz="0" w:space="0" w:color="auto"/>
        <w:bottom w:val="none" w:sz="0" w:space="0" w:color="auto"/>
        <w:right w:val="none" w:sz="0" w:space="0" w:color="auto"/>
      </w:divBdr>
    </w:div>
    <w:div w:id="1206336509">
      <w:bodyDiv w:val="1"/>
      <w:marLeft w:val="0"/>
      <w:marRight w:val="0"/>
      <w:marTop w:val="0"/>
      <w:marBottom w:val="0"/>
      <w:divBdr>
        <w:top w:val="none" w:sz="0" w:space="0" w:color="auto"/>
        <w:left w:val="none" w:sz="0" w:space="0" w:color="auto"/>
        <w:bottom w:val="none" w:sz="0" w:space="0" w:color="auto"/>
        <w:right w:val="none" w:sz="0" w:space="0" w:color="auto"/>
      </w:divBdr>
    </w:div>
    <w:div w:id="1367559799">
      <w:bodyDiv w:val="1"/>
      <w:marLeft w:val="0"/>
      <w:marRight w:val="0"/>
      <w:marTop w:val="0"/>
      <w:marBottom w:val="0"/>
      <w:divBdr>
        <w:top w:val="none" w:sz="0" w:space="0" w:color="auto"/>
        <w:left w:val="none" w:sz="0" w:space="0" w:color="auto"/>
        <w:bottom w:val="none" w:sz="0" w:space="0" w:color="auto"/>
        <w:right w:val="none" w:sz="0" w:space="0" w:color="auto"/>
      </w:divBdr>
      <w:divsChild>
        <w:div w:id="529027944">
          <w:marLeft w:val="0"/>
          <w:marRight w:val="0"/>
          <w:marTop w:val="0"/>
          <w:marBottom w:val="0"/>
          <w:divBdr>
            <w:top w:val="none" w:sz="0" w:space="0" w:color="auto"/>
            <w:left w:val="none" w:sz="0" w:space="0" w:color="auto"/>
            <w:bottom w:val="none" w:sz="0" w:space="0" w:color="auto"/>
            <w:right w:val="none" w:sz="0" w:space="0" w:color="auto"/>
          </w:divBdr>
          <w:divsChild>
            <w:div w:id="1253978306">
              <w:marLeft w:val="0"/>
              <w:marRight w:val="0"/>
              <w:marTop w:val="0"/>
              <w:marBottom w:val="0"/>
              <w:divBdr>
                <w:top w:val="none" w:sz="0" w:space="0" w:color="auto"/>
                <w:left w:val="none" w:sz="0" w:space="0" w:color="auto"/>
                <w:bottom w:val="none" w:sz="0" w:space="0" w:color="auto"/>
                <w:right w:val="none" w:sz="0" w:space="0" w:color="auto"/>
              </w:divBdr>
              <w:divsChild>
                <w:div w:id="1474759672">
                  <w:marLeft w:val="0"/>
                  <w:marRight w:val="0"/>
                  <w:marTop w:val="0"/>
                  <w:marBottom w:val="0"/>
                  <w:divBdr>
                    <w:top w:val="none" w:sz="0" w:space="0" w:color="auto"/>
                    <w:left w:val="none" w:sz="0" w:space="0" w:color="auto"/>
                    <w:bottom w:val="none" w:sz="0" w:space="0" w:color="auto"/>
                    <w:right w:val="none" w:sz="0" w:space="0" w:color="auto"/>
                  </w:divBdr>
                  <w:divsChild>
                    <w:div w:id="1221940829">
                      <w:marLeft w:val="0"/>
                      <w:marRight w:val="0"/>
                      <w:marTop w:val="0"/>
                      <w:marBottom w:val="0"/>
                      <w:divBdr>
                        <w:top w:val="none" w:sz="0" w:space="0" w:color="auto"/>
                        <w:left w:val="none" w:sz="0" w:space="0" w:color="auto"/>
                        <w:bottom w:val="none" w:sz="0" w:space="0" w:color="auto"/>
                        <w:right w:val="none" w:sz="0" w:space="0" w:color="auto"/>
                      </w:divBdr>
                    </w:div>
                  </w:divsChild>
                </w:div>
                <w:div w:id="1716393550">
                  <w:marLeft w:val="0"/>
                  <w:marRight w:val="0"/>
                  <w:marTop w:val="0"/>
                  <w:marBottom w:val="0"/>
                  <w:divBdr>
                    <w:top w:val="none" w:sz="0" w:space="0" w:color="auto"/>
                    <w:left w:val="none" w:sz="0" w:space="0" w:color="auto"/>
                    <w:bottom w:val="none" w:sz="0" w:space="0" w:color="auto"/>
                    <w:right w:val="none" w:sz="0" w:space="0" w:color="auto"/>
                  </w:divBdr>
                  <w:divsChild>
                    <w:div w:id="761687067">
                      <w:marLeft w:val="0"/>
                      <w:marRight w:val="0"/>
                      <w:marTop w:val="0"/>
                      <w:marBottom w:val="0"/>
                      <w:divBdr>
                        <w:top w:val="none" w:sz="0" w:space="0" w:color="auto"/>
                        <w:left w:val="none" w:sz="0" w:space="0" w:color="auto"/>
                        <w:bottom w:val="none" w:sz="0" w:space="0" w:color="auto"/>
                        <w:right w:val="none" w:sz="0" w:space="0" w:color="auto"/>
                      </w:divBdr>
                      <w:divsChild>
                        <w:div w:id="776099270">
                          <w:marLeft w:val="0"/>
                          <w:marRight w:val="0"/>
                          <w:marTop w:val="0"/>
                          <w:marBottom w:val="0"/>
                          <w:divBdr>
                            <w:top w:val="none" w:sz="0" w:space="0" w:color="auto"/>
                            <w:left w:val="none" w:sz="0" w:space="0" w:color="auto"/>
                            <w:bottom w:val="none" w:sz="0" w:space="0" w:color="auto"/>
                            <w:right w:val="none" w:sz="0" w:space="0" w:color="auto"/>
                          </w:divBdr>
                        </w:div>
                      </w:divsChild>
                    </w:div>
                    <w:div w:id="10839283">
                      <w:marLeft w:val="0"/>
                      <w:marRight w:val="0"/>
                      <w:marTop w:val="0"/>
                      <w:marBottom w:val="0"/>
                      <w:divBdr>
                        <w:top w:val="none" w:sz="0" w:space="0" w:color="auto"/>
                        <w:left w:val="none" w:sz="0" w:space="0" w:color="auto"/>
                        <w:bottom w:val="none" w:sz="0" w:space="0" w:color="auto"/>
                        <w:right w:val="none" w:sz="0" w:space="0" w:color="auto"/>
                      </w:divBdr>
                      <w:divsChild>
                        <w:div w:id="20078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442015">
          <w:marLeft w:val="0"/>
          <w:marRight w:val="0"/>
          <w:marTop w:val="0"/>
          <w:marBottom w:val="0"/>
          <w:divBdr>
            <w:top w:val="none" w:sz="0" w:space="0" w:color="auto"/>
            <w:left w:val="none" w:sz="0" w:space="0" w:color="auto"/>
            <w:bottom w:val="none" w:sz="0" w:space="0" w:color="auto"/>
            <w:right w:val="none" w:sz="0" w:space="0" w:color="auto"/>
          </w:divBdr>
          <w:divsChild>
            <w:div w:id="1492676144">
              <w:marLeft w:val="0"/>
              <w:marRight w:val="0"/>
              <w:marTop w:val="0"/>
              <w:marBottom w:val="0"/>
              <w:divBdr>
                <w:top w:val="none" w:sz="0" w:space="0" w:color="auto"/>
                <w:left w:val="none" w:sz="0" w:space="0" w:color="auto"/>
                <w:bottom w:val="none" w:sz="0" w:space="0" w:color="auto"/>
                <w:right w:val="none" w:sz="0" w:space="0" w:color="auto"/>
              </w:divBdr>
            </w:div>
          </w:divsChild>
        </w:div>
        <w:div w:id="1912961188">
          <w:marLeft w:val="0"/>
          <w:marRight w:val="0"/>
          <w:marTop w:val="0"/>
          <w:marBottom w:val="0"/>
          <w:divBdr>
            <w:top w:val="none" w:sz="0" w:space="0" w:color="auto"/>
            <w:left w:val="none" w:sz="0" w:space="0" w:color="auto"/>
            <w:bottom w:val="none" w:sz="0" w:space="0" w:color="auto"/>
            <w:right w:val="none" w:sz="0" w:space="0" w:color="auto"/>
          </w:divBdr>
          <w:divsChild>
            <w:div w:id="1541355570">
              <w:marLeft w:val="0"/>
              <w:marRight w:val="0"/>
              <w:marTop w:val="0"/>
              <w:marBottom w:val="0"/>
              <w:divBdr>
                <w:top w:val="none" w:sz="0" w:space="0" w:color="auto"/>
                <w:left w:val="none" w:sz="0" w:space="0" w:color="auto"/>
                <w:bottom w:val="none" w:sz="0" w:space="0" w:color="auto"/>
                <w:right w:val="none" w:sz="0" w:space="0" w:color="auto"/>
              </w:divBdr>
            </w:div>
          </w:divsChild>
        </w:div>
        <w:div w:id="1331982547">
          <w:marLeft w:val="0"/>
          <w:marRight w:val="0"/>
          <w:marTop w:val="0"/>
          <w:marBottom w:val="0"/>
          <w:divBdr>
            <w:top w:val="none" w:sz="0" w:space="0" w:color="auto"/>
            <w:left w:val="none" w:sz="0" w:space="0" w:color="auto"/>
            <w:bottom w:val="none" w:sz="0" w:space="0" w:color="auto"/>
            <w:right w:val="none" w:sz="0" w:space="0" w:color="auto"/>
          </w:divBdr>
        </w:div>
        <w:div w:id="1974483537">
          <w:marLeft w:val="0"/>
          <w:marRight w:val="0"/>
          <w:marTop w:val="0"/>
          <w:marBottom w:val="0"/>
          <w:divBdr>
            <w:top w:val="none" w:sz="0" w:space="0" w:color="auto"/>
            <w:left w:val="none" w:sz="0" w:space="0" w:color="auto"/>
            <w:bottom w:val="none" w:sz="0" w:space="0" w:color="auto"/>
            <w:right w:val="none" w:sz="0" w:space="0" w:color="auto"/>
          </w:divBdr>
          <w:divsChild>
            <w:div w:id="2039154955">
              <w:marLeft w:val="0"/>
              <w:marRight w:val="0"/>
              <w:marTop w:val="0"/>
              <w:marBottom w:val="0"/>
              <w:divBdr>
                <w:top w:val="none" w:sz="0" w:space="0" w:color="auto"/>
                <w:left w:val="none" w:sz="0" w:space="0" w:color="auto"/>
                <w:bottom w:val="none" w:sz="0" w:space="0" w:color="auto"/>
                <w:right w:val="none" w:sz="0" w:space="0" w:color="auto"/>
              </w:divBdr>
              <w:divsChild>
                <w:div w:id="1856919918">
                  <w:marLeft w:val="0"/>
                  <w:marRight w:val="0"/>
                  <w:marTop w:val="0"/>
                  <w:marBottom w:val="0"/>
                  <w:divBdr>
                    <w:top w:val="none" w:sz="0" w:space="0" w:color="auto"/>
                    <w:left w:val="none" w:sz="0" w:space="0" w:color="auto"/>
                    <w:bottom w:val="none" w:sz="0" w:space="0" w:color="auto"/>
                    <w:right w:val="none" w:sz="0" w:space="0" w:color="auto"/>
                  </w:divBdr>
                </w:div>
                <w:div w:id="1677465501">
                  <w:marLeft w:val="0"/>
                  <w:marRight w:val="0"/>
                  <w:marTop w:val="0"/>
                  <w:marBottom w:val="0"/>
                  <w:divBdr>
                    <w:top w:val="none" w:sz="0" w:space="0" w:color="auto"/>
                    <w:left w:val="none" w:sz="0" w:space="0" w:color="auto"/>
                    <w:bottom w:val="none" w:sz="0" w:space="0" w:color="auto"/>
                    <w:right w:val="none" w:sz="0" w:space="0" w:color="auto"/>
                  </w:divBdr>
                  <w:divsChild>
                    <w:div w:id="1104378918">
                      <w:marLeft w:val="0"/>
                      <w:marRight w:val="0"/>
                      <w:marTop w:val="0"/>
                      <w:marBottom w:val="0"/>
                      <w:divBdr>
                        <w:top w:val="none" w:sz="0" w:space="0" w:color="auto"/>
                        <w:left w:val="none" w:sz="0" w:space="0" w:color="auto"/>
                        <w:bottom w:val="none" w:sz="0" w:space="0" w:color="auto"/>
                        <w:right w:val="none" w:sz="0" w:space="0" w:color="auto"/>
                      </w:divBdr>
                      <w:divsChild>
                        <w:div w:id="293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848049">
      <w:bodyDiv w:val="1"/>
      <w:marLeft w:val="0"/>
      <w:marRight w:val="0"/>
      <w:marTop w:val="0"/>
      <w:marBottom w:val="0"/>
      <w:divBdr>
        <w:top w:val="none" w:sz="0" w:space="0" w:color="auto"/>
        <w:left w:val="none" w:sz="0" w:space="0" w:color="auto"/>
        <w:bottom w:val="none" w:sz="0" w:space="0" w:color="auto"/>
        <w:right w:val="none" w:sz="0" w:space="0" w:color="auto"/>
      </w:divBdr>
    </w:div>
    <w:div w:id="1396978192">
      <w:bodyDiv w:val="1"/>
      <w:marLeft w:val="0"/>
      <w:marRight w:val="0"/>
      <w:marTop w:val="0"/>
      <w:marBottom w:val="0"/>
      <w:divBdr>
        <w:top w:val="none" w:sz="0" w:space="0" w:color="auto"/>
        <w:left w:val="none" w:sz="0" w:space="0" w:color="auto"/>
        <w:bottom w:val="none" w:sz="0" w:space="0" w:color="auto"/>
        <w:right w:val="none" w:sz="0" w:space="0" w:color="auto"/>
      </w:divBdr>
    </w:div>
    <w:div w:id="1439596538">
      <w:bodyDiv w:val="1"/>
      <w:marLeft w:val="0"/>
      <w:marRight w:val="0"/>
      <w:marTop w:val="0"/>
      <w:marBottom w:val="0"/>
      <w:divBdr>
        <w:top w:val="none" w:sz="0" w:space="0" w:color="auto"/>
        <w:left w:val="none" w:sz="0" w:space="0" w:color="auto"/>
        <w:bottom w:val="none" w:sz="0" w:space="0" w:color="auto"/>
        <w:right w:val="none" w:sz="0" w:space="0" w:color="auto"/>
      </w:divBdr>
    </w:div>
    <w:div w:id="1477601222">
      <w:bodyDiv w:val="1"/>
      <w:marLeft w:val="0"/>
      <w:marRight w:val="0"/>
      <w:marTop w:val="0"/>
      <w:marBottom w:val="0"/>
      <w:divBdr>
        <w:top w:val="none" w:sz="0" w:space="0" w:color="auto"/>
        <w:left w:val="none" w:sz="0" w:space="0" w:color="auto"/>
        <w:bottom w:val="none" w:sz="0" w:space="0" w:color="auto"/>
        <w:right w:val="none" w:sz="0" w:space="0" w:color="auto"/>
      </w:divBdr>
    </w:div>
    <w:div w:id="1583299861">
      <w:bodyDiv w:val="1"/>
      <w:marLeft w:val="0"/>
      <w:marRight w:val="0"/>
      <w:marTop w:val="0"/>
      <w:marBottom w:val="0"/>
      <w:divBdr>
        <w:top w:val="none" w:sz="0" w:space="0" w:color="auto"/>
        <w:left w:val="none" w:sz="0" w:space="0" w:color="auto"/>
        <w:bottom w:val="none" w:sz="0" w:space="0" w:color="auto"/>
        <w:right w:val="none" w:sz="0" w:space="0" w:color="auto"/>
      </w:divBdr>
    </w:div>
    <w:div w:id="1626539459">
      <w:bodyDiv w:val="1"/>
      <w:marLeft w:val="0"/>
      <w:marRight w:val="0"/>
      <w:marTop w:val="0"/>
      <w:marBottom w:val="0"/>
      <w:divBdr>
        <w:top w:val="none" w:sz="0" w:space="0" w:color="auto"/>
        <w:left w:val="none" w:sz="0" w:space="0" w:color="auto"/>
        <w:bottom w:val="none" w:sz="0" w:space="0" w:color="auto"/>
        <w:right w:val="none" w:sz="0" w:space="0" w:color="auto"/>
      </w:divBdr>
    </w:div>
    <w:div w:id="1681196248">
      <w:bodyDiv w:val="1"/>
      <w:marLeft w:val="0"/>
      <w:marRight w:val="0"/>
      <w:marTop w:val="0"/>
      <w:marBottom w:val="0"/>
      <w:divBdr>
        <w:top w:val="none" w:sz="0" w:space="0" w:color="auto"/>
        <w:left w:val="none" w:sz="0" w:space="0" w:color="auto"/>
        <w:bottom w:val="none" w:sz="0" w:space="0" w:color="auto"/>
        <w:right w:val="none" w:sz="0" w:space="0" w:color="auto"/>
      </w:divBdr>
      <w:divsChild>
        <w:div w:id="168369959">
          <w:marLeft w:val="0"/>
          <w:marRight w:val="0"/>
          <w:marTop w:val="0"/>
          <w:marBottom w:val="0"/>
          <w:divBdr>
            <w:top w:val="none" w:sz="0" w:space="0" w:color="auto"/>
            <w:left w:val="none" w:sz="0" w:space="0" w:color="auto"/>
            <w:bottom w:val="none" w:sz="0" w:space="0" w:color="auto"/>
            <w:right w:val="none" w:sz="0" w:space="0" w:color="auto"/>
          </w:divBdr>
        </w:div>
        <w:div w:id="882328770">
          <w:marLeft w:val="0"/>
          <w:marRight w:val="0"/>
          <w:marTop w:val="0"/>
          <w:marBottom w:val="0"/>
          <w:divBdr>
            <w:top w:val="none" w:sz="0" w:space="0" w:color="auto"/>
            <w:left w:val="none" w:sz="0" w:space="0" w:color="auto"/>
            <w:bottom w:val="none" w:sz="0" w:space="0" w:color="auto"/>
            <w:right w:val="none" w:sz="0" w:space="0" w:color="auto"/>
          </w:divBdr>
        </w:div>
      </w:divsChild>
    </w:div>
    <w:div w:id="1712803262">
      <w:bodyDiv w:val="1"/>
      <w:marLeft w:val="0"/>
      <w:marRight w:val="0"/>
      <w:marTop w:val="0"/>
      <w:marBottom w:val="0"/>
      <w:divBdr>
        <w:top w:val="none" w:sz="0" w:space="0" w:color="auto"/>
        <w:left w:val="none" w:sz="0" w:space="0" w:color="auto"/>
        <w:bottom w:val="none" w:sz="0" w:space="0" w:color="auto"/>
        <w:right w:val="none" w:sz="0" w:space="0" w:color="auto"/>
      </w:divBdr>
    </w:div>
    <w:div w:id="1719354178">
      <w:bodyDiv w:val="1"/>
      <w:marLeft w:val="0"/>
      <w:marRight w:val="0"/>
      <w:marTop w:val="0"/>
      <w:marBottom w:val="0"/>
      <w:divBdr>
        <w:top w:val="none" w:sz="0" w:space="0" w:color="auto"/>
        <w:left w:val="none" w:sz="0" w:space="0" w:color="auto"/>
        <w:bottom w:val="none" w:sz="0" w:space="0" w:color="auto"/>
        <w:right w:val="none" w:sz="0" w:space="0" w:color="auto"/>
      </w:divBdr>
    </w:div>
    <w:div w:id="1743794125">
      <w:bodyDiv w:val="1"/>
      <w:marLeft w:val="0"/>
      <w:marRight w:val="0"/>
      <w:marTop w:val="0"/>
      <w:marBottom w:val="0"/>
      <w:divBdr>
        <w:top w:val="none" w:sz="0" w:space="0" w:color="auto"/>
        <w:left w:val="none" w:sz="0" w:space="0" w:color="auto"/>
        <w:bottom w:val="none" w:sz="0" w:space="0" w:color="auto"/>
        <w:right w:val="none" w:sz="0" w:space="0" w:color="auto"/>
      </w:divBdr>
      <w:divsChild>
        <w:div w:id="2003848899">
          <w:marLeft w:val="0"/>
          <w:marRight w:val="0"/>
          <w:marTop w:val="0"/>
          <w:marBottom w:val="0"/>
          <w:divBdr>
            <w:top w:val="none" w:sz="0" w:space="0" w:color="auto"/>
            <w:left w:val="none" w:sz="0" w:space="0" w:color="auto"/>
            <w:bottom w:val="none" w:sz="0" w:space="0" w:color="auto"/>
            <w:right w:val="none" w:sz="0" w:space="0" w:color="auto"/>
          </w:divBdr>
        </w:div>
        <w:div w:id="1095711680">
          <w:marLeft w:val="0"/>
          <w:marRight w:val="0"/>
          <w:marTop w:val="0"/>
          <w:marBottom w:val="0"/>
          <w:divBdr>
            <w:top w:val="none" w:sz="0" w:space="0" w:color="auto"/>
            <w:left w:val="none" w:sz="0" w:space="0" w:color="auto"/>
            <w:bottom w:val="none" w:sz="0" w:space="0" w:color="auto"/>
            <w:right w:val="none" w:sz="0" w:space="0" w:color="auto"/>
          </w:divBdr>
        </w:div>
        <w:div w:id="1175606991">
          <w:marLeft w:val="0"/>
          <w:marRight w:val="0"/>
          <w:marTop w:val="0"/>
          <w:marBottom w:val="0"/>
          <w:divBdr>
            <w:top w:val="none" w:sz="0" w:space="0" w:color="auto"/>
            <w:left w:val="none" w:sz="0" w:space="0" w:color="auto"/>
            <w:bottom w:val="none" w:sz="0" w:space="0" w:color="auto"/>
            <w:right w:val="none" w:sz="0" w:space="0" w:color="auto"/>
          </w:divBdr>
        </w:div>
        <w:div w:id="1640769347">
          <w:marLeft w:val="0"/>
          <w:marRight w:val="0"/>
          <w:marTop w:val="0"/>
          <w:marBottom w:val="0"/>
          <w:divBdr>
            <w:top w:val="none" w:sz="0" w:space="0" w:color="auto"/>
            <w:left w:val="none" w:sz="0" w:space="0" w:color="auto"/>
            <w:bottom w:val="none" w:sz="0" w:space="0" w:color="auto"/>
            <w:right w:val="none" w:sz="0" w:space="0" w:color="auto"/>
          </w:divBdr>
        </w:div>
        <w:div w:id="1129975208">
          <w:marLeft w:val="0"/>
          <w:marRight w:val="0"/>
          <w:marTop w:val="0"/>
          <w:marBottom w:val="0"/>
          <w:divBdr>
            <w:top w:val="none" w:sz="0" w:space="0" w:color="auto"/>
            <w:left w:val="none" w:sz="0" w:space="0" w:color="auto"/>
            <w:bottom w:val="none" w:sz="0" w:space="0" w:color="auto"/>
            <w:right w:val="none" w:sz="0" w:space="0" w:color="auto"/>
          </w:divBdr>
        </w:div>
      </w:divsChild>
    </w:div>
    <w:div w:id="1768887838">
      <w:bodyDiv w:val="1"/>
      <w:marLeft w:val="0"/>
      <w:marRight w:val="0"/>
      <w:marTop w:val="0"/>
      <w:marBottom w:val="0"/>
      <w:divBdr>
        <w:top w:val="none" w:sz="0" w:space="0" w:color="auto"/>
        <w:left w:val="none" w:sz="0" w:space="0" w:color="auto"/>
        <w:bottom w:val="none" w:sz="0" w:space="0" w:color="auto"/>
        <w:right w:val="none" w:sz="0" w:space="0" w:color="auto"/>
      </w:divBdr>
    </w:div>
    <w:div w:id="1803644978">
      <w:bodyDiv w:val="1"/>
      <w:marLeft w:val="0"/>
      <w:marRight w:val="0"/>
      <w:marTop w:val="0"/>
      <w:marBottom w:val="0"/>
      <w:divBdr>
        <w:top w:val="none" w:sz="0" w:space="0" w:color="auto"/>
        <w:left w:val="none" w:sz="0" w:space="0" w:color="auto"/>
        <w:bottom w:val="none" w:sz="0" w:space="0" w:color="auto"/>
        <w:right w:val="none" w:sz="0" w:space="0" w:color="auto"/>
      </w:divBdr>
    </w:div>
    <w:div w:id="1895919779">
      <w:bodyDiv w:val="1"/>
      <w:marLeft w:val="0"/>
      <w:marRight w:val="0"/>
      <w:marTop w:val="0"/>
      <w:marBottom w:val="0"/>
      <w:divBdr>
        <w:top w:val="none" w:sz="0" w:space="0" w:color="auto"/>
        <w:left w:val="none" w:sz="0" w:space="0" w:color="auto"/>
        <w:bottom w:val="none" w:sz="0" w:space="0" w:color="auto"/>
        <w:right w:val="none" w:sz="0" w:space="0" w:color="auto"/>
      </w:divBdr>
    </w:div>
    <w:div w:id="2031449565">
      <w:bodyDiv w:val="1"/>
      <w:marLeft w:val="0"/>
      <w:marRight w:val="0"/>
      <w:marTop w:val="0"/>
      <w:marBottom w:val="0"/>
      <w:divBdr>
        <w:top w:val="none" w:sz="0" w:space="0" w:color="auto"/>
        <w:left w:val="none" w:sz="0" w:space="0" w:color="auto"/>
        <w:bottom w:val="none" w:sz="0" w:space="0" w:color="auto"/>
        <w:right w:val="none" w:sz="0" w:space="0" w:color="auto"/>
      </w:divBdr>
      <w:divsChild>
        <w:div w:id="866332394">
          <w:marLeft w:val="0"/>
          <w:marRight w:val="0"/>
          <w:marTop w:val="0"/>
          <w:marBottom w:val="0"/>
          <w:divBdr>
            <w:top w:val="none" w:sz="0" w:space="0" w:color="auto"/>
            <w:left w:val="none" w:sz="0" w:space="0" w:color="auto"/>
            <w:bottom w:val="none" w:sz="0" w:space="0" w:color="auto"/>
            <w:right w:val="none" w:sz="0" w:space="0" w:color="auto"/>
          </w:divBdr>
        </w:div>
        <w:div w:id="1315338188">
          <w:marLeft w:val="0"/>
          <w:marRight w:val="0"/>
          <w:marTop w:val="0"/>
          <w:marBottom w:val="0"/>
          <w:divBdr>
            <w:top w:val="none" w:sz="0" w:space="0" w:color="auto"/>
            <w:left w:val="none" w:sz="0" w:space="0" w:color="auto"/>
            <w:bottom w:val="none" w:sz="0" w:space="0" w:color="auto"/>
            <w:right w:val="none" w:sz="0" w:space="0" w:color="auto"/>
          </w:divBdr>
        </w:div>
        <w:div w:id="1761415746">
          <w:marLeft w:val="0"/>
          <w:marRight w:val="0"/>
          <w:marTop w:val="0"/>
          <w:marBottom w:val="0"/>
          <w:divBdr>
            <w:top w:val="none" w:sz="0" w:space="0" w:color="auto"/>
            <w:left w:val="none" w:sz="0" w:space="0" w:color="auto"/>
            <w:bottom w:val="none" w:sz="0" w:space="0" w:color="auto"/>
            <w:right w:val="none" w:sz="0" w:space="0" w:color="auto"/>
          </w:divBdr>
        </w:div>
      </w:divsChild>
    </w:div>
    <w:div w:id="2079092197">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ncbi.nlm.nih.gov/pubmed/26354944" TargetMode="External"/><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hyperlink" Target="https://professional.heart.org/idc/groups/ahamah-public/@wcm/@sop/@scon/documents/downloadable/ucm_492111.pdf" TargetMode="External"/><Relationship Id="rId7" Type="http://schemas.openxmlformats.org/officeDocument/2006/relationships/webSettings" Target="webSettings.xml"/><Relationship Id="rId12" Type="http://schemas.openxmlformats.org/officeDocument/2006/relationships/hyperlink" Target="http://www.msac.gov.au/" TargetMode="External"/><Relationship Id="rId17" Type="http://schemas.openxmlformats.org/officeDocument/2006/relationships/hyperlink" Target="https://www.ncbi.nlm.nih.gov/pubmed/26272972" TargetMode="External"/><Relationship Id="rId25"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hyperlink" Target="https://www.ncbi.nlm.nih.gov/pubmed/28402491" TargetMode="External"/><Relationship Id="rId20" Type="http://schemas.openxmlformats.org/officeDocument/2006/relationships/hyperlink" Target="https://www.ncbi.nlm.nih.gov/pubmed/28362885"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hta@health.gov.au" TargetMode="External"/><Relationship Id="rId24" Type="http://schemas.openxmlformats.org/officeDocument/2006/relationships/hyperlink" Target="http://www.ccinr.org.au/" TargetMode="External"/><Relationship Id="rId5" Type="http://schemas.microsoft.com/office/2007/relationships/stylesWithEffects" Target="stylesWithEffects.xml"/><Relationship Id="rId15" Type="http://schemas.openxmlformats.org/officeDocument/2006/relationships/hyperlink" Target="https://www.ncbi.nlm.nih.gov/pubmed/24253543" TargetMode="External"/><Relationship Id="rId23" Type="http://schemas.openxmlformats.org/officeDocument/2006/relationships/image" Target="media/image3.png"/><Relationship Id="rId28" Type="http://schemas.openxmlformats.org/officeDocument/2006/relationships/hyperlink" Target="https://www.ncbi.nlm.nih.gov/pmc/articles/PMC2323531/" TargetMode="External"/><Relationship Id="rId10" Type="http://schemas.openxmlformats.org/officeDocument/2006/relationships/image" Target="media/image1.jpeg"/><Relationship Id="rId19" Type="http://schemas.openxmlformats.org/officeDocument/2006/relationships/hyperlink" Target="https://www.ncbi.nlm.nih.gov/pmc/articles/PMC429179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troke.ahajournals.org/content/44/8/2150" TargetMode="External"/><Relationship Id="rId22" Type="http://schemas.openxmlformats.org/officeDocument/2006/relationships/image" Target="media/image2.png"/><Relationship Id="rId27" Type="http://schemas.openxmlformats.org/officeDocument/2006/relationships/image" Target="media/image6.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trokeassociation.org/STROKEORG/AboutStroke/TypesofStroke/HemorrhagicBleeds/What-You-Should-Know-About-Cerebral-Aneurysms_UCM_310103_Article.jsp" TargetMode="External"/><Relationship Id="rId1" Type="http://schemas.openxmlformats.org/officeDocument/2006/relationships/hyperlink" Target="http://weillcornellbrainandspine.org/condition/aneury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5BA47-5A84-45C8-ADE8-1FAB3035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39</Pages>
  <Words>12844</Words>
  <Characters>73212</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85885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keywords>Medtronic Controlled</cp:keywords>
  <cp:lastModifiedBy>MCLEOD, Gemma</cp:lastModifiedBy>
  <cp:revision>3</cp:revision>
  <cp:lastPrinted>2016-07-12T05:04:00Z</cp:lastPrinted>
  <dcterms:created xsi:type="dcterms:W3CDTF">2018-07-05T06:55:00Z</dcterms:created>
  <dcterms:modified xsi:type="dcterms:W3CDTF">2018-08-06T03:22:00Z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TitusGUID">
    <vt:lpwstr>5ba41d9a-00a6-4fc1-b43a-3938c1618adc</vt:lpwstr>
  </property>
  <property fmtid="{D5CDD505-2E9C-101B-9397-08002B2CF9AE}" pid="9" name="Classification">
    <vt:lpwstr>MedtronicControlled</vt:lpwstr>
  </property>
</Properties>
</file>