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A0" w:rsidRDefault="00E075A0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E075A0" w:rsidRDefault="007B0B57" w:rsidP="00434BAF">
      <w:pPr>
        <w:widowControl w:val="0"/>
        <w:autoSpaceDE w:val="0"/>
        <w:autoSpaceDN w:val="0"/>
        <w:adjustRightInd w:val="0"/>
        <w:spacing w:after="0" w:line="240" w:lineRule="auto"/>
        <w:ind w:left="340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10"/>
          <w:szCs w:val="10"/>
        </w:rPr>
        <w:drawing>
          <wp:inline distT="0" distB="0" distL="0" distR="0" wp14:anchorId="6E0F3602" wp14:editId="5897E336">
            <wp:extent cx="1734185" cy="819785"/>
            <wp:effectExtent l="0" t="0" r="0" b="0"/>
            <wp:docPr id="3" name="Picture 1" descr="&quot;Medical Services Advisory Committee&quot; - Strengthening evidence-based health care in Australia" title="M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BAF" w:rsidRDefault="00434BAF" w:rsidP="00434BAF">
      <w:pPr>
        <w:widowControl w:val="0"/>
        <w:autoSpaceDE w:val="0"/>
        <w:autoSpaceDN w:val="0"/>
        <w:adjustRightInd w:val="0"/>
        <w:spacing w:after="0" w:line="240" w:lineRule="auto"/>
        <w:ind w:left="3406" w:right="-20"/>
        <w:rPr>
          <w:rFonts w:ascii="Times New Roman" w:hAnsi="Times New Roman" w:cs="Times New Roman"/>
          <w:sz w:val="20"/>
          <w:szCs w:val="20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before="24" w:after="0" w:line="240" w:lineRule="auto"/>
        <w:ind w:left="2201" w:right="213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7E"/>
          <w:sz w:val="28"/>
          <w:szCs w:val="28"/>
        </w:rPr>
        <w:t>Medical</w:t>
      </w:r>
      <w:r>
        <w:rPr>
          <w:rFonts w:ascii="Arial" w:hAnsi="Arial" w:cs="Arial"/>
          <w:b/>
          <w:bCs/>
          <w:color w:val="00007E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7E"/>
          <w:sz w:val="28"/>
          <w:szCs w:val="28"/>
        </w:rPr>
        <w:t>Services</w:t>
      </w:r>
      <w:r>
        <w:rPr>
          <w:rFonts w:ascii="Arial" w:hAnsi="Arial" w:cs="Arial"/>
          <w:b/>
          <w:bCs/>
          <w:color w:val="00007E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7E"/>
          <w:sz w:val="28"/>
          <w:szCs w:val="28"/>
        </w:rPr>
        <w:t>Advisory</w:t>
      </w:r>
      <w:r>
        <w:rPr>
          <w:rFonts w:ascii="Arial" w:hAnsi="Arial" w:cs="Arial"/>
          <w:b/>
          <w:bCs/>
          <w:color w:val="00007E"/>
          <w:spacing w:val="-1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7E"/>
          <w:w w:val="99"/>
          <w:sz w:val="28"/>
          <w:szCs w:val="28"/>
        </w:rPr>
        <w:t>Committee</w:t>
      </w:r>
    </w:p>
    <w:p w:rsidR="00E075A0" w:rsidRDefault="00E075A0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2912" w:right="284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7E"/>
          <w:sz w:val="28"/>
          <w:szCs w:val="28"/>
        </w:rPr>
        <w:t>Public</w:t>
      </w:r>
      <w:r>
        <w:rPr>
          <w:rFonts w:ascii="Arial" w:hAnsi="Arial" w:cs="Arial"/>
          <w:b/>
          <w:bCs/>
          <w:color w:val="00007E"/>
          <w:spacing w:val="-7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7E"/>
          <w:sz w:val="28"/>
          <w:szCs w:val="28"/>
        </w:rPr>
        <w:t>Summa</w:t>
      </w:r>
      <w:r>
        <w:rPr>
          <w:rFonts w:ascii="Arial" w:hAnsi="Arial" w:cs="Arial"/>
          <w:b/>
          <w:bCs/>
          <w:color w:val="00007E"/>
          <w:spacing w:val="3"/>
          <w:sz w:val="28"/>
          <w:szCs w:val="28"/>
        </w:rPr>
        <w:t>r</w:t>
      </w:r>
      <w:r>
        <w:rPr>
          <w:rFonts w:ascii="Arial" w:hAnsi="Arial" w:cs="Arial"/>
          <w:b/>
          <w:bCs/>
          <w:color w:val="00007E"/>
          <w:sz w:val="28"/>
          <w:szCs w:val="28"/>
        </w:rPr>
        <w:t>y</w:t>
      </w:r>
      <w:r>
        <w:rPr>
          <w:rFonts w:ascii="Arial" w:hAnsi="Arial" w:cs="Arial"/>
          <w:b/>
          <w:bCs/>
          <w:color w:val="00007E"/>
          <w:spacing w:val="-1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7E"/>
          <w:w w:val="99"/>
          <w:sz w:val="28"/>
          <w:szCs w:val="28"/>
        </w:rPr>
        <w:t>Docum</w:t>
      </w:r>
      <w:r>
        <w:rPr>
          <w:rFonts w:ascii="Arial" w:hAnsi="Arial" w:cs="Arial"/>
          <w:b/>
          <w:bCs/>
          <w:color w:val="00007E"/>
          <w:spacing w:val="2"/>
          <w:w w:val="99"/>
          <w:sz w:val="28"/>
          <w:szCs w:val="28"/>
        </w:rPr>
        <w:t>e</w:t>
      </w:r>
      <w:r>
        <w:rPr>
          <w:rFonts w:ascii="Arial" w:hAnsi="Arial" w:cs="Arial"/>
          <w:b/>
          <w:bCs/>
          <w:color w:val="00007E"/>
          <w:w w:val="99"/>
          <w:sz w:val="28"/>
          <w:szCs w:val="28"/>
        </w:rPr>
        <w:t>nt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83" w:right="119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Application</w:t>
      </w:r>
      <w:r>
        <w:rPr>
          <w:rFonts w:ascii="Arial" w:hAnsi="Arial" w:cs="Arial"/>
          <w:b/>
          <w:bCs/>
          <w:i/>
          <w:iCs/>
          <w:color w:val="00007E"/>
          <w:spacing w:val="-15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No.</w:t>
      </w:r>
      <w:r>
        <w:rPr>
          <w:rFonts w:ascii="Arial" w:hAnsi="Arial" w:cs="Arial"/>
          <w:b/>
          <w:bCs/>
          <w:i/>
          <w:iCs/>
          <w:color w:val="00007E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1014</w:t>
      </w:r>
      <w:r>
        <w:rPr>
          <w:rFonts w:ascii="Arial" w:hAnsi="Arial" w:cs="Arial"/>
          <w:b/>
          <w:bCs/>
          <w:i/>
          <w:iCs/>
          <w:color w:val="00007E"/>
          <w:spacing w:val="-6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–</w:t>
      </w:r>
      <w:r>
        <w:rPr>
          <w:rFonts w:ascii="Arial" w:hAnsi="Arial" w:cs="Arial"/>
          <w:b/>
          <w:bCs/>
          <w:i/>
          <w:iCs/>
          <w:color w:val="00007E"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Transurethral</w:t>
      </w:r>
      <w:r>
        <w:rPr>
          <w:rFonts w:ascii="Arial" w:hAnsi="Arial" w:cs="Arial"/>
          <w:b/>
          <w:bCs/>
          <w:i/>
          <w:iCs/>
          <w:color w:val="00007E"/>
          <w:spacing w:val="-1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Needle</w:t>
      </w:r>
      <w:r>
        <w:rPr>
          <w:rFonts w:ascii="Arial" w:hAnsi="Arial" w:cs="Arial"/>
          <w:b/>
          <w:bCs/>
          <w:i/>
          <w:iCs/>
          <w:color w:val="00007E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Ablation</w:t>
      </w:r>
      <w:r>
        <w:rPr>
          <w:rFonts w:ascii="Arial" w:hAnsi="Arial" w:cs="Arial"/>
          <w:b/>
          <w:bCs/>
          <w:i/>
          <w:iCs/>
          <w:color w:val="00007E"/>
          <w:spacing w:val="-1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7E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the</w:t>
      </w:r>
      <w:r>
        <w:rPr>
          <w:rFonts w:ascii="Arial" w:hAnsi="Arial" w:cs="Arial"/>
          <w:b/>
          <w:bCs/>
          <w:i/>
          <w:iCs/>
          <w:color w:val="00007E"/>
          <w:spacing w:val="-4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w w:val="99"/>
          <w:sz w:val="28"/>
          <w:szCs w:val="28"/>
        </w:rPr>
        <w:t>Prostate</w:t>
      </w:r>
    </w:p>
    <w:p w:rsidR="00E075A0" w:rsidRDefault="00434BAF">
      <w:pPr>
        <w:widowControl w:val="0"/>
        <w:autoSpaceDE w:val="0"/>
        <w:autoSpaceDN w:val="0"/>
        <w:adjustRightInd w:val="0"/>
        <w:spacing w:before="1" w:after="0" w:line="240" w:lineRule="auto"/>
        <w:ind w:left="2540" w:right="247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-</w:t>
      </w:r>
      <w:r>
        <w:rPr>
          <w:rFonts w:ascii="Arial" w:hAnsi="Arial" w:cs="Arial"/>
          <w:b/>
          <w:bCs/>
          <w:i/>
          <w:iCs/>
          <w:color w:val="00007E"/>
          <w:spacing w:val="-1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Review</w:t>
      </w:r>
      <w:r>
        <w:rPr>
          <w:rFonts w:ascii="Arial" w:hAnsi="Arial" w:cs="Arial"/>
          <w:b/>
          <w:bCs/>
          <w:i/>
          <w:iCs/>
          <w:color w:val="00007E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of</w:t>
      </w:r>
      <w:r>
        <w:rPr>
          <w:rFonts w:ascii="Arial" w:hAnsi="Arial" w:cs="Arial"/>
          <w:b/>
          <w:bCs/>
          <w:i/>
          <w:iCs/>
          <w:color w:val="00007E"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Interim</w:t>
      </w:r>
      <w:r>
        <w:rPr>
          <w:rFonts w:ascii="Arial" w:hAnsi="Arial" w:cs="Arial"/>
          <w:b/>
          <w:bCs/>
          <w:i/>
          <w:iCs/>
          <w:color w:val="00007E"/>
          <w:spacing w:val="-9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sz w:val="28"/>
          <w:szCs w:val="28"/>
        </w:rPr>
        <w:t>Funded</w:t>
      </w:r>
      <w:r>
        <w:rPr>
          <w:rFonts w:ascii="Arial" w:hAnsi="Arial" w:cs="Arial"/>
          <w:b/>
          <w:bCs/>
          <w:i/>
          <w:iCs/>
          <w:color w:val="00007E"/>
          <w:spacing w:val="-1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7E"/>
          <w:w w:val="99"/>
          <w:sz w:val="28"/>
          <w:szCs w:val="28"/>
        </w:rPr>
        <w:t>Items</w:t>
      </w:r>
    </w:p>
    <w:p w:rsidR="00E075A0" w:rsidRDefault="00E075A0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E075A0" w:rsidRDefault="00434BA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Sponsor: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Department of Health and Ageing</w:t>
      </w:r>
    </w:p>
    <w:p w:rsidR="00E075A0" w:rsidRDefault="00434BA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Date of MSAC co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z w:val="24"/>
          <w:szCs w:val="24"/>
        </w:rPr>
        <w:t>sideration: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48th MSAC meeting, 29-30 March 2010</w:t>
      </w:r>
    </w:p>
    <w:p w:rsidR="00E075A0" w:rsidRDefault="00E075A0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E075A0" w:rsidRDefault="00E075A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075A0" w:rsidRDefault="00434BAF" w:rsidP="00F05E80">
      <w:pPr>
        <w:pStyle w:val="Heading1"/>
      </w:pPr>
      <w:r>
        <w:t>1.</w:t>
      </w:r>
      <w:r>
        <w:tab/>
        <w:t>Purpose of revi</w:t>
      </w:r>
      <w:r>
        <w:rPr>
          <w:spacing w:val="-1"/>
        </w:rPr>
        <w:t>e</w:t>
      </w:r>
      <w:r>
        <w:t>w</w:t>
      </w:r>
      <w:r>
        <w:rPr>
          <w:spacing w:val="2"/>
        </w:rPr>
        <w:t xml:space="preserve"> </w:t>
      </w:r>
      <w:r>
        <w:t>of interim funded items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5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2003, MSAC advice to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 was that Transurethral Needle Ablation (TUNA) be funded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basis for patients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cally unsuitable for transurethral radical prostatectomy (TURP), subject to data c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llection on patient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bers and safety.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2.</w:t>
      </w:r>
      <w:r>
        <w:tab/>
        <w:t>Current arrangements for public reimbursement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4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Nove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2003, the Govern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acted on MSA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’s advice and listed TUNA on 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Medicare Benefits Schedule (MB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) – 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numbers 37201 and 37202. As the three years’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 period has now elapsed, it was appropriate 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to be reviewed, which included consultation with stakeholders.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3.</w:t>
      </w:r>
      <w:r>
        <w:tab/>
        <w:t>Backgro</w:t>
      </w:r>
      <w:r>
        <w:rPr>
          <w:spacing w:val="1"/>
        </w:rPr>
        <w:t>u</w:t>
      </w:r>
      <w:r>
        <w:t>nd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2003, MSAC’s advice to Government was:</w:t>
      </w:r>
    </w:p>
    <w:p w:rsidR="00E075A0" w:rsidRDefault="00E075A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2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“Based on the evidence available,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hile safe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efficacious in the sh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rt 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 the long term 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and cost-effectivene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of TUNA 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not been proven. The MSAC therefore concludes that unrestricted Medicare Benefits Sche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of TUNA for the surgical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anag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matic benign prostatic hyp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rplasia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warranted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this time. TUNA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ay, however, have a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 role as an altern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ive 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sy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 benign 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tic hyperplasia with the following restrictions:</w:t>
      </w:r>
    </w:p>
    <w:p w:rsidR="00E075A0" w:rsidRDefault="00E075A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6" w:right="491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it is 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with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oderate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sev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 w:cs="Times New Roman"/>
          <w:color w:val="000000"/>
          <w:sz w:val="24"/>
          <w:szCs w:val="24"/>
        </w:rPr>
        <w:t>e lower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ary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act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mpto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that require specific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(i.e. those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 would 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 be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ended for a trans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ral rese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tion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URP);</w:t>
      </w:r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patients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 not be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edically suitable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a TURP; and</w:t>
      </w:r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39" w:lineRule="auto"/>
        <w:ind w:left="836" w:right="102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funding for a period of three yea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is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ended, and that this funding be linked to the acquisition of data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the type of patients treated and safety data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onitor the use of TUNA under these interim arrangements.”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4.</w:t>
      </w:r>
      <w:r>
        <w:tab/>
        <w:t>Clinical need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7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TUNA is 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of several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ally invasive the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technologies for tra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surethral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of the 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in sy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ptomatic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enign prost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perpla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a (t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is, enl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ent). TUNA is designed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selective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 abl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titial 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tatic tissue. This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ategory of therapy is part of a group of procedures that aim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reduce pro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tate volu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without the need for resection of tissue. The advantage of this approach is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se bleeding, allowing the ablated tissue to be slowly resorbed over a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months after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E075A0" w:rsidRDefault="00E075A0">
      <w:pPr>
        <w:widowControl w:val="0"/>
        <w:autoSpaceDE w:val="0"/>
        <w:autoSpaceDN w:val="0"/>
        <w:adjustRightInd w:val="0"/>
        <w:spacing w:after="0" w:line="240" w:lineRule="auto"/>
        <w:ind w:left="116" w:right="75"/>
        <w:rPr>
          <w:rFonts w:ascii="Times New Roman" w:hAnsi="Times New Roman" w:cs="Times New Roman"/>
          <w:color w:val="000000"/>
          <w:sz w:val="24"/>
          <w:szCs w:val="24"/>
        </w:rPr>
        <w:sectPr w:rsidR="00E075A0">
          <w:footerReference w:type="default" r:id="rId8"/>
          <w:pgSz w:w="11920" w:h="16840"/>
          <w:pgMar w:top="760" w:right="1220" w:bottom="880" w:left="1180" w:header="0" w:footer="694" w:gutter="0"/>
          <w:pgNumType w:start="1"/>
          <w:cols w:space="720"/>
          <w:noEndnote/>
        </w:sectPr>
      </w:pPr>
    </w:p>
    <w:p w:rsidR="00E075A0" w:rsidRDefault="00434BAF" w:rsidP="00F05E80">
      <w:pPr>
        <w:pStyle w:val="Heading1"/>
      </w:pPr>
      <w:r>
        <w:lastRenderedPageBreak/>
        <w:t>5.</w:t>
      </w:r>
      <w:r>
        <w:tab/>
        <w:t>Safe</w:t>
      </w:r>
      <w:r>
        <w:rPr>
          <w:spacing w:val="2"/>
        </w:rPr>
        <w:t>t</w:t>
      </w:r>
      <w:r>
        <w:rPr>
          <w:spacing w:val="-3"/>
        </w:rPr>
        <w:t>y</w:t>
      </w:r>
      <w:r>
        <w:t>, clinical effectiveness and cost-effectiveness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1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2003, MSAC noted that Australia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a very small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arket and it would be difficult to establish long-term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efficacy, and 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that the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dications for use should be tig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t and for the usage to be monitored over the interim funding period.</w:t>
      </w:r>
    </w:p>
    <w:p w:rsidR="00E075A0" w:rsidRDefault="00E075A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12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2009, the 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consulted with the 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ofession on the clinical role of TUNA. The Urological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ociety of Australia and New Zea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and (USANZ) 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 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 technology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ains available and is offered to patients in centres that have access to such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achine. Its indications for use are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ited,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a patient fits the category, TUNA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ains an ideal option for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 The profession also confir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the therapy is safe and efficacious, and urologists have not seen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 term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plications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UNA usage.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USANZ also</w:t>
      </w: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8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suggested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a review of 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S item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descriptors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cover benign prostatic hyperplasia therapy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 rationalise and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plify usage of item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bers.</w:t>
      </w:r>
    </w:p>
    <w:p w:rsidR="00E075A0" w:rsidRDefault="00E075A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4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2009, the original applicant,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Medtronic, provided evidence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international study showing TUNA safety, effectiveness and cost-effectiveness 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pared to 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standard alternative treat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of TURP, and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whilst usage in Australia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2001-09 was 255 services, more</w:t>
      </w: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81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110,000 patients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orld wide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have been treated with TUNA for 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mpto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 benign prostatic hyperplasia.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6.</w:t>
      </w:r>
      <w:r>
        <w:tab/>
        <w:t>Summa</w:t>
      </w:r>
      <w:r>
        <w:rPr>
          <w:spacing w:val="1"/>
        </w:rPr>
        <w:t>r</w:t>
      </w:r>
      <w:r>
        <w:t>y</w:t>
      </w:r>
      <w:r>
        <w:rPr>
          <w:spacing w:val="-1"/>
        </w:rPr>
        <w:t xml:space="preserve"> </w:t>
      </w:r>
      <w:r>
        <w:t>of consideration and rationale for MSAC’s advice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4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agrees that a full 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review the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funded status of TUNA for patients who are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edically unsuit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 for TURP is not required.</w:t>
      </w:r>
    </w:p>
    <w:p w:rsidR="00E075A0" w:rsidRDefault="00E075A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2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 ratified the Executive’s decision 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upport public funding through the MBS. This decision was based on support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profession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this procedure, international evidence, and the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 likelihood that suff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cient Australian evide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 could be collected for a full MSAC assess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7.</w:t>
      </w:r>
      <w:r>
        <w:tab/>
        <w:t>MSAC’s advice to the Minister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MSAC supports the continuation of public fund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through the MBS for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Transurethral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Needle</w:t>
      </w:r>
    </w:p>
    <w:p w:rsidR="00E075A0" w:rsidRDefault="00434BAF">
      <w:pPr>
        <w:widowControl w:val="0"/>
        <w:autoSpaceDE w:val="0"/>
        <w:autoSpaceDN w:val="0"/>
        <w:adjustRightInd w:val="0"/>
        <w:spacing w:after="0" w:line="275" w:lineRule="exact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Ablation of the Prostate (Item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 37201 and 37202).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8.</w:t>
      </w:r>
      <w:r>
        <w:tab/>
        <w:t>Context for Decision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advice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under the 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AC 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of Reference: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color w:val="000000"/>
          <w:sz w:val="14"/>
          <w:szCs w:val="14"/>
        </w:rPr>
      </w:pPr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6" w:lineRule="exact"/>
        <w:ind w:left="836" w:right="42" w:hanging="71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Ageing on the strength of evidence pertaining to new and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erging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edical technologies and pr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cedures in relation to their 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ety, effectiveness and cost-effe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tiveness and under what circu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stances public funding should be supported.</w:t>
      </w:r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before="19" w:after="0" w:line="274" w:lineRule="exact"/>
        <w:ind w:left="836" w:right="581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Advise the Minister for Health and Ageing on which new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cal tec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nologies and procedures should be funded on an interim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basis to allow data to be asse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bled to</w:t>
      </w:r>
    </w:p>
    <w:p w:rsidR="00E075A0" w:rsidRDefault="00434BAF">
      <w:pPr>
        <w:widowControl w:val="0"/>
        <w:autoSpaceDE w:val="0"/>
        <w:autoSpaceDN w:val="0"/>
        <w:adjustRightInd w:val="0"/>
        <w:spacing w:after="0" w:line="273" w:lineRule="exact"/>
        <w:ind w:left="836" w:right="-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eir 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fe</w:t>
      </w:r>
      <w:r>
        <w:rPr>
          <w:rFonts w:ascii="Times New Roman" w:hAnsi="Times New Roman" w:cs="Times New Roman"/>
          <w:color w:val="000000"/>
          <w:sz w:val="24"/>
          <w:szCs w:val="24"/>
        </w:rPr>
        <w:t>ty, 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and cost-effecti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eness.</w:t>
      </w:r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before="23" w:after="0" w:line="274" w:lineRule="exact"/>
        <w:ind w:left="836" w:right="442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Advise the Minister for Health and Ageing on references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lated either to new and/or existing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dical techno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ogies and procedures.</w:t>
      </w:r>
      <w:bookmarkStart w:id="0" w:name="_GoBack"/>
      <w:bookmarkEnd w:id="0"/>
    </w:p>
    <w:p w:rsidR="00E075A0" w:rsidRDefault="00434BA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92" w:lineRule="exact"/>
        <w:ind w:left="11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position w:val="-1"/>
          <w:sz w:val="24"/>
          <w:szCs w:val="24"/>
        </w:rPr>
        <w:t>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ab/>
        <w:t>Undertake health technology assess</w:t>
      </w:r>
      <w:r>
        <w:rPr>
          <w:rFonts w:ascii="Times New Roman" w:hAnsi="Times New Roman" w:cs="Times New Roman"/>
          <w:color w:val="000000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ent w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rk </w:t>
      </w:r>
      <w:r>
        <w:rPr>
          <w:rFonts w:ascii="Times New Roman" w:hAnsi="Times New Roman" w:cs="Times New Roman"/>
          <w:color w:val="000000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eferred by the Australian Health</w:t>
      </w:r>
    </w:p>
    <w:p w:rsidR="00E075A0" w:rsidRDefault="00434BAF">
      <w:pPr>
        <w:widowControl w:val="0"/>
        <w:autoSpaceDE w:val="0"/>
        <w:autoSpaceDN w:val="0"/>
        <w:adjustRightInd w:val="0"/>
        <w:spacing w:after="0" w:line="275" w:lineRule="exact"/>
        <w:ind w:left="83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Ministers’ Advisory Council (AHMAC)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report its findings to the AHMAC.</w:t>
      </w:r>
    </w:p>
    <w:p w:rsidR="00E075A0" w:rsidRDefault="00E075A0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E075A0" w:rsidRDefault="00434BAF" w:rsidP="00F05E80">
      <w:pPr>
        <w:pStyle w:val="Heading1"/>
      </w:pPr>
      <w:r>
        <w:t>9.</w:t>
      </w:r>
      <w:r>
        <w:tab/>
        <w:t xml:space="preserve">Linkages to Other </w:t>
      </w:r>
      <w:r>
        <w:rPr>
          <w:spacing w:val="-2"/>
        </w:rPr>
        <w:t>D</w:t>
      </w:r>
      <w:r>
        <w:t>ocuments</w:t>
      </w:r>
    </w:p>
    <w:p w:rsidR="00E075A0" w:rsidRDefault="00E075A0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E075A0" w:rsidRDefault="00434BAF">
      <w:pPr>
        <w:widowControl w:val="0"/>
        <w:autoSpaceDE w:val="0"/>
        <w:autoSpaceDN w:val="0"/>
        <w:adjustRightInd w:val="0"/>
        <w:spacing w:after="0" w:line="344" w:lineRule="auto"/>
        <w:ind w:left="116" w:right="10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MSAC’s processes are detailed on the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MSAC Website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hyperlink r:id="rId10" w:history="1"/>
    </w:p>
    <w:sectPr w:rsidR="00E075A0">
      <w:pgSz w:w="11920" w:h="16840"/>
      <w:pgMar w:top="920" w:right="1220" w:bottom="880" w:left="1180" w:header="0" w:footer="6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5A0" w:rsidRDefault="00434BAF">
      <w:pPr>
        <w:spacing w:after="0" w:line="240" w:lineRule="auto"/>
      </w:pPr>
      <w:r>
        <w:separator/>
      </w:r>
    </w:p>
  </w:endnote>
  <w:endnote w:type="continuationSeparator" w:id="0">
    <w:p w:rsidR="00E075A0" w:rsidRDefault="0043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A0" w:rsidRDefault="007B0B5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916CC91" wp14:editId="0AB2C007">
              <wp:extent cx="1771650" cy="127000"/>
              <wp:effectExtent l="0" t="0" r="0" b="6350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5A0" w:rsidRDefault="00434BA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MSAC</w:t>
                          </w:r>
                          <w:r>
                            <w:rPr>
                              <w:rFonts w:ascii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PSD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1014</w:t>
                          </w:r>
                          <w:r>
                            <w:rPr>
                              <w:rFonts w:ascii="Arial Narrow" w:hAnsi="Arial Narrow" w:cs="Arial Narrow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 Narrow" w:hAnsi="Arial Narrow" w:cs="Arial Narrow"/>
                              <w:spacing w:val="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UNA</w:t>
                          </w:r>
                          <w:r>
                            <w:rPr>
                              <w:rFonts w:ascii="Arial Narrow" w:hAnsi="Arial Narrow" w:cs="Arial Narrow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- ENDORSED</w:t>
                          </w:r>
                          <w:r>
                            <w:rPr>
                              <w:rFonts w:ascii="Arial Narrow" w:hAnsi="Arial Narrow" w:cs="Arial Narrow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t>7.5.10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139.5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MtrgIAAKk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" filled="f" stroked="f">
              <v:textbox inset="0,0,0,0">
                <w:txbxContent>
                  <w:p w:rsidR="00E075A0" w:rsidRDefault="00434BA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MSAC</w:t>
                    </w:r>
                    <w:r>
                      <w:rPr>
                        <w:rFonts w:ascii="Arial Narrow" w:hAnsi="Arial Narrow" w:cs="Arial Narrow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PSD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1014</w:t>
                    </w:r>
                    <w:r>
                      <w:rPr>
                        <w:rFonts w:ascii="Arial Narrow" w:hAnsi="Arial Narrow" w:cs="Arial Narrow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 Narrow" w:hAnsi="Arial Narrow" w:cs="Arial Narrow"/>
                        <w:spacing w:val="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UNA</w:t>
                    </w:r>
                    <w:r>
                      <w:rPr>
                        <w:rFonts w:ascii="Arial Narrow" w:hAnsi="Arial Narrow" w:cs="Arial Narrow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- ENDORSED</w:t>
                    </w:r>
                    <w:r>
                      <w:rPr>
                        <w:rFonts w:ascii="Arial Narrow" w:hAnsi="Arial Narrow" w:cs="Arial Narrow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t>7.5.10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153670" cy="127000"/>
              <wp:effectExtent l="0" t="0" r="17780" b="6350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75A0" w:rsidRDefault="00434BA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40" w:right="-44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95CBA">
                            <w:rPr>
                              <w:rFonts w:ascii="Arial Narrow" w:hAnsi="Arial Narrow" w:cs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2" o:spid="_x0000_s1027" type="#_x0000_t202" style="width:12.1pt;height: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kEsA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" filled="f" stroked="f">
              <v:textbox inset="0,0,0,0">
                <w:txbxContent>
                  <w:p w:rsidR="00E075A0" w:rsidRDefault="00434BA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40" w:right="-44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fldChar w:fldCharType="separate"/>
                    </w:r>
                    <w:r w:rsidR="00795CBA">
                      <w:rPr>
                        <w:rFonts w:ascii="Arial Narrow" w:hAnsi="Arial Narrow" w:cs="Arial Narrow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 Narrow" w:hAnsi="Arial Narrow" w:cs="Arial Narrow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5A0" w:rsidRDefault="00434BAF">
      <w:pPr>
        <w:spacing w:after="0" w:line="240" w:lineRule="auto"/>
      </w:pPr>
      <w:r>
        <w:separator/>
      </w:r>
    </w:p>
  </w:footnote>
  <w:footnote w:type="continuationSeparator" w:id="0">
    <w:p w:rsidR="00E075A0" w:rsidRDefault="00434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57"/>
    <w:rsid w:val="00434BAF"/>
    <w:rsid w:val="00795CBA"/>
    <w:rsid w:val="007B0B57"/>
    <w:rsid w:val="00E075A0"/>
    <w:rsid w:val="00F0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E80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5E80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E80"/>
    <w:pPr>
      <w:keepNext/>
      <w:keepLines/>
      <w:spacing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B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05E80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sac.gov.au/internet/msac/publishing.nsf/Content/completed-assess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ac.gov.au/internet/msac/publishing.nsf/Content/completed-assess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Dept Health And Ageing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Ward</dc:creator>
  <cp:lastModifiedBy>Jessica Dorman</cp:lastModifiedBy>
  <cp:revision>5</cp:revision>
  <dcterms:created xsi:type="dcterms:W3CDTF">2013-02-27T23:45:00Z</dcterms:created>
  <dcterms:modified xsi:type="dcterms:W3CDTF">2013-06-17T01:41:00Z</dcterms:modified>
</cp:coreProperties>
</file>