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A92FE" w14:textId="77777777" w:rsidR="00BC1364" w:rsidRPr="00707064" w:rsidRDefault="00C67DD2" w:rsidP="00065623">
      <w:pPr>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1B4D58AA" wp14:editId="014F380B">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3EE5CC1A" w14:textId="77777777" w:rsidR="00BC1364" w:rsidRPr="008D5885" w:rsidRDefault="00BC1364" w:rsidP="008D5885"/>
    <w:p w14:paraId="10D3D345" w14:textId="77777777" w:rsidR="00C67DD2" w:rsidRPr="008D5885" w:rsidRDefault="00C67DD2" w:rsidP="008D5885"/>
    <w:p w14:paraId="295CBF08" w14:textId="77777777"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14:paraId="66195BE3" w14:textId="77777777" w:rsidR="00BC1364" w:rsidRPr="007B32D1" w:rsidRDefault="00BC1364" w:rsidP="007B32D1"/>
    <w:p w14:paraId="75E70654" w14:textId="77777777" w:rsidR="00BC1364" w:rsidRPr="007B32D1" w:rsidRDefault="00BC1364" w:rsidP="007B32D1">
      <w:pPr>
        <w:jc w:val="center"/>
        <w:rPr>
          <w:rFonts w:ascii="Arial" w:hAnsi="Arial" w:cs="Arial"/>
          <w:b/>
          <w:bCs/>
          <w:i/>
          <w:color w:val="000080"/>
          <w:sz w:val="28"/>
          <w:szCs w:val="28"/>
        </w:rPr>
      </w:pPr>
      <w:r w:rsidRPr="007B32D1">
        <w:rPr>
          <w:rFonts w:ascii="Arial" w:hAnsi="Arial" w:cs="Arial"/>
          <w:b/>
          <w:bCs/>
          <w:i/>
          <w:color w:val="000080"/>
          <w:sz w:val="28"/>
          <w:szCs w:val="28"/>
        </w:rPr>
        <w:t xml:space="preserve">Application No. </w:t>
      </w:r>
      <w:r w:rsidR="001032C1">
        <w:rPr>
          <w:rFonts w:ascii="Arial" w:hAnsi="Arial" w:cs="Arial"/>
          <w:b/>
          <w:bCs/>
          <w:i/>
          <w:color w:val="000080"/>
          <w:sz w:val="28"/>
          <w:szCs w:val="28"/>
        </w:rPr>
        <w:t xml:space="preserve">1342.2 – Oncotype </w:t>
      </w:r>
      <w:r w:rsidR="001032C1" w:rsidRPr="001032C1">
        <w:rPr>
          <w:rFonts w:ascii="Arial" w:hAnsi="Arial" w:cs="Arial"/>
          <w:b/>
          <w:bCs/>
          <w:i/>
          <w:color w:val="000080"/>
          <w:sz w:val="28"/>
          <w:szCs w:val="28"/>
        </w:rPr>
        <w:t>DX</w:t>
      </w:r>
      <w:r w:rsidR="001032C1" w:rsidRPr="001032C1">
        <w:rPr>
          <w:rFonts w:ascii="Arial" w:hAnsi="Arial" w:cs="Arial"/>
          <w:b/>
          <w:bCs/>
          <w:i/>
          <w:color w:val="000080"/>
          <w:sz w:val="22"/>
          <w:szCs w:val="28"/>
        </w:rPr>
        <w:t>®</w:t>
      </w:r>
      <w:r w:rsidR="001032C1" w:rsidRPr="006139B9">
        <w:rPr>
          <w:b/>
          <w:sz w:val="22"/>
          <w:szCs w:val="22"/>
        </w:rPr>
        <w:t xml:space="preserve"> </w:t>
      </w:r>
      <w:r w:rsidR="001032C1">
        <w:rPr>
          <w:rFonts w:ascii="Arial" w:hAnsi="Arial" w:cs="Arial"/>
          <w:b/>
          <w:bCs/>
          <w:i/>
          <w:color w:val="000080"/>
          <w:sz w:val="28"/>
          <w:szCs w:val="28"/>
        </w:rPr>
        <w:t>breast cancer assay to quantify the risk of disease recurrence and predict adjuvant chemotherapy benefit</w:t>
      </w:r>
    </w:p>
    <w:p w14:paraId="3AEAAFD0" w14:textId="77777777" w:rsidR="00BC1364" w:rsidRDefault="00BC1364" w:rsidP="00065623">
      <w:pPr>
        <w:tabs>
          <w:tab w:val="left" w:pos="3600"/>
        </w:tabs>
        <w:ind w:left="3600" w:hanging="3600"/>
        <w:rPr>
          <w:szCs w:val="24"/>
        </w:rPr>
      </w:pPr>
    </w:p>
    <w:p w14:paraId="58679C99" w14:textId="77777777" w:rsidR="00BC1364" w:rsidRPr="00707064" w:rsidRDefault="00BC1364" w:rsidP="00065623">
      <w:pPr>
        <w:tabs>
          <w:tab w:val="left" w:pos="3600"/>
        </w:tabs>
        <w:ind w:left="3600" w:hanging="3600"/>
        <w:rPr>
          <w:szCs w:val="24"/>
        </w:rPr>
      </w:pPr>
    </w:p>
    <w:p w14:paraId="19EF71DA" w14:textId="4A3D7A9F" w:rsidR="00BC1364" w:rsidRPr="00D90A38" w:rsidRDefault="00B35595" w:rsidP="000B17FC">
      <w:pPr>
        <w:ind w:left="3600" w:hanging="3600"/>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BC1364" w:rsidRPr="00D90A38">
        <w:rPr>
          <w:rFonts w:ascii="Arial" w:hAnsi="Arial" w:cs="Arial"/>
          <w:b/>
          <w:szCs w:val="24"/>
        </w:rPr>
        <w:tab/>
      </w:r>
      <w:r w:rsidR="005A756D">
        <w:rPr>
          <w:rFonts w:ascii="Arial" w:hAnsi="Arial" w:cs="Arial"/>
          <w:b/>
          <w:szCs w:val="24"/>
        </w:rPr>
        <w:t>Specialised Therapeutics Australia</w:t>
      </w:r>
    </w:p>
    <w:p w14:paraId="11EF6AA0" w14:textId="77777777" w:rsidR="00BC1364" w:rsidRPr="00D90A38" w:rsidRDefault="00BC1364" w:rsidP="00065623">
      <w:pPr>
        <w:tabs>
          <w:tab w:val="left" w:pos="2265"/>
          <w:tab w:val="left" w:pos="3420"/>
          <w:tab w:val="left" w:pos="4320"/>
        </w:tabs>
        <w:rPr>
          <w:rFonts w:ascii="Arial" w:hAnsi="Arial" w:cs="Arial"/>
          <w:b/>
        </w:rPr>
      </w:pPr>
    </w:p>
    <w:p w14:paraId="28DA38F8" w14:textId="77777777" w:rsidR="00BC1364" w:rsidRPr="00D90A38"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B35595">
        <w:rPr>
          <w:rFonts w:ascii="Arial" w:hAnsi="Arial" w:cs="Arial"/>
          <w:b/>
          <w:szCs w:val="24"/>
        </w:rPr>
        <w:t>6</w:t>
      </w:r>
      <w:r w:rsidR="000B17FC">
        <w:rPr>
          <w:rFonts w:ascii="Arial" w:hAnsi="Arial" w:cs="Arial"/>
          <w:b/>
          <w:szCs w:val="24"/>
        </w:rPr>
        <w:t>5th</w:t>
      </w:r>
      <w:r w:rsidRPr="00D90A38">
        <w:rPr>
          <w:rFonts w:ascii="Arial" w:hAnsi="Arial" w:cs="Arial"/>
          <w:b/>
          <w:szCs w:val="24"/>
        </w:rPr>
        <w:t xml:space="preserve"> Meeting, </w:t>
      </w:r>
      <w:r w:rsidR="00B35595">
        <w:rPr>
          <w:rFonts w:ascii="Arial" w:hAnsi="Arial" w:cs="Arial"/>
          <w:b/>
          <w:szCs w:val="24"/>
        </w:rPr>
        <w:t>26 November 201</w:t>
      </w:r>
      <w:r w:rsidR="000B17FC">
        <w:rPr>
          <w:rFonts w:ascii="Arial" w:hAnsi="Arial" w:cs="Arial"/>
          <w:b/>
          <w:szCs w:val="24"/>
        </w:rPr>
        <w:t>5</w:t>
      </w:r>
    </w:p>
    <w:p w14:paraId="56C84873" w14:textId="77777777" w:rsidR="00BC1364" w:rsidRDefault="00BC1364" w:rsidP="00065623">
      <w:pPr>
        <w:rPr>
          <w:szCs w:val="24"/>
        </w:rPr>
      </w:pPr>
    </w:p>
    <w:p w14:paraId="5C90531F" w14:textId="5F695A67" w:rsidR="0041758C" w:rsidRDefault="006A0D97" w:rsidP="00065623">
      <w:pPr>
        <w:rPr>
          <w:szCs w:val="24"/>
        </w:rPr>
      </w:pPr>
      <w:r>
        <w:rPr>
          <w:szCs w:val="24"/>
        </w:rPr>
        <w:t xml:space="preserve">Context for decision: MSAC makes its advice in accordance with its Terms of Reference, see at </w:t>
      </w:r>
      <w:hyperlink r:id="rId9" w:tooltip="Link to Medical Services Advisory Committee website" w:history="1">
        <w:r w:rsidRPr="000A74FE">
          <w:rPr>
            <w:rStyle w:val="Hyperlink"/>
            <w:szCs w:val="24"/>
          </w:rPr>
          <w:t>www.msac.gov.au</w:t>
        </w:r>
      </w:hyperlink>
    </w:p>
    <w:p w14:paraId="27D1A2F5" w14:textId="77777777" w:rsidR="0041758C" w:rsidRDefault="0041758C" w:rsidP="00065623">
      <w:pPr>
        <w:rPr>
          <w:szCs w:val="24"/>
        </w:rPr>
      </w:pPr>
    </w:p>
    <w:p w14:paraId="30654A8D" w14:textId="77777777" w:rsidR="00F41812" w:rsidRDefault="00F41812" w:rsidP="00065623">
      <w:pPr>
        <w:rPr>
          <w:szCs w:val="24"/>
        </w:rPr>
      </w:pPr>
    </w:p>
    <w:p w14:paraId="38E9C9E1" w14:textId="77777777"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14:paraId="7BF2A197" w14:textId="77777777" w:rsidR="00466BE3" w:rsidRPr="004F38D2" w:rsidRDefault="00466BE3" w:rsidP="00466BE3">
      <w:pPr>
        <w:tabs>
          <w:tab w:val="left" w:pos="720"/>
          <w:tab w:val="left" w:pos="1140"/>
        </w:tabs>
        <w:rPr>
          <w:bCs/>
          <w:szCs w:val="24"/>
        </w:rPr>
      </w:pPr>
    </w:p>
    <w:p w14:paraId="262E0A6E" w14:textId="77777777" w:rsidR="00466BE3" w:rsidRPr="00466BE3" w:rsidRDefault="0003477D" w:rsidP="00466BE3">
      <w:pPr>
        <w:tabs>
          <w:tab w:val="left" w:pos="720"/>
          <w:tab w:val="left" w:pos="1140"/>
        </w:tabs>
        <w:rPr>
          <w:szCs w:val="24"/>
        </w:rPr>
      </w:pPr>
      <w:r>
        <w:t xml:space="preserve">MSAC Application 1342.2 </w:t>
      </w:r>
      <w:r w:rsidR="004F38D2">
        <w:t>wa</w:t>
      </w:r>
      <w:r>
        <w:t xml:space="preserve">s a second resubmission to request Medicare Benefits Schedule (MBS) listing of a </w:t>
      </w:r>
      <w:r w:rsidRPr="00C659FE">
        <w:t xml:space="preserve">21-gene </w:t>
      </w:r>
      <w:r w:rsidR="004F38D2" w:rsidRPr="00C659FE">
        <w:t>gene expression p</w:t>
      </w:r>
      <w:r w:rsidRPr="00C659FE">
        <w:t xml:space="preserve">rofiling </w:t>
      </w:r>
      <w:r>
        <w:t xml:space="preserve">(GEP) </w:t>
      </w:r>
      <w:r w:rsidRPr="00C659FE">
        <w:t xml:space="preserve">test </w:t>
      </w:r>
      <w:r w:rsidR="00F35D58">
        <w:t>(marketed as Oncotype DX)</w:t>
      </w:r>
      <w:r w:rsidR="00F35D58" w:rsidRPr="00C659FE">
        <w:t xml:space="preserve"> </w:t>
      </w:r>
      <w:r w:rsidRPr="00C659FE">
        <w:t xml:space="preserve">for use in </w:t>
      </w:r>
      <w:r>
        <w:t xml:space="preserve">patients </w:t>
      </w:r>
      <w:r w:rsidRPr="00C659FE">
        <w:t>with newly diagnosed stage I or II invasive breast cancer who are oestrogen receptor positive (ER+) or progesterone receptor positive (PR+), human epidermal growth factor receptor 2 negative (HER2-) and either lymph node negative (LN-) or lymph node positive (LN+) in post-menopausal women with up to three positive nodes.</w:t>
      </w:r>
      <w:r>
        <w:t xml:space="preserve"> The original submission and first resubmission w</w:t>
      </w:r>
      <w:r w:rsidR="004F38D2">
        <w:t>ere</w:t>
      </w:r>
      <w:r>
        <w:t xml:space="preserve"> received from Genomic Health Inc. (GHI) and assessed by MSAC in November 2013 and April 2014 respectively. </w:t>
      </w:r>
      <w:r w:rsidR="00466BE3" w:rsidRPr="00466BE3">
        <w:rPr>
          <w:szCs w:val="24"/>
        </w:rPr>
        <w:t xml:space="preserve">The evidence for assessment of this </w:t>
      </w:r>
      <w:r>
        <w:rPr>
          <w:szCs w:val="24"/>
        </w:rPr>
        <w:t>second resubmission</w:t>
      </w:r>
      <w:r w:rsidR="00BD22A2">
        <w:rPr>
          <w:szCs w:val="24"/>
        </w:rPr>
        <w:t xml:space="preserve"> was submitted on 22 June 2015</w:t>
      </w:r>
      <w:r w:rsidR="004F38D2">
        <w:t xml:space="preserve"> from Specialised Therapeutics Australia (STA)</w:t>
      </w:r>
      <w:r w:rsidR="00466BE3" w:rsidRPr="00466BE3">
        <w:rPr>
          <w:szCs w:val="24"/>
        </w:rPr>
        <w:t>.</w:t>
      </w:r>
    </w:p>
    <w:p w14:paraId="4F52D914" w14:textId="77777777" w:rsidR="003D7F29" w:rsidRPr="004F38D2" w:rsidRDefault="003D7F29" w:rsidP="004F38D2">
      <w:pPr>
        <w:tabs>
          <w:tab w:val="left" w:pos="720"/>
          <w:tab w:val="left" w:pos="1140"/>
        </w:tabs>
        <w:rPr>
          <w:bCs/>
          <w:szCs w:val="24"/>
        </w:rPr>
      </w:pPr>
    </w:p>
    <w:p w14:paraId="385EBA2B" w14:textId="77777777" w:rsidR="00E977EE" w:rsidRDefault="00E977EE" w:rsidP="00E977EE">
      <w:pPr>
        <w:pStyle w:val="Heading1"/>
        <w:numPr>
          <w:ilvl w:val="0"/>
          <w:numId w:val="23"/>
        </w:numPr>
        <w:ind w:hanging="720"/>
      </w:pPr>
      <w:r w:rsidRPr="008D5885">
        <w:t>MSAC’s advice to the Minister</w:t>
      </w:r>
    </w:p>
    <w:p w14:paraId="2518DEA9" w14:textId="77777777" w:rsidR="00E977EE" w:rsidRPr="004F38D2" w:rsidRDefault="00E977EE" w:rsidP="00E977EE">
      <w:pPr>
        <w:tabs>
          <w:tab w:val="left" w:pos="720"/>
        </w:tabs>
        <w:ind w:left="709" w:hanging="709"/>
        <w:rPr>
          <w:szCs w:val="24"/>
        </w:rPr>
      </w:pPr>
    </w:p>
    <w:p w14:paraId="4622C778" w14:textId="77777777" w:rsidR="00EF69CB" w:rsidRDefault="00EF69CB" w:rsidP="00EF69CB">
      <w:r>
        <w:t xml:space="preserve">After considering the available evidence presented in relation to safety, clinical effectiveness and cost-effectiveness of gene expression profiling of 21 genes in breast cancer to quantify the risk of disease recurrence and predict adjuvant chemotherapy benefit, </w:t>
      </w:r>
      <w:r w:rsidRPr="006E369E">
        <w:t xml:space="preserve">MSAC </w:t>
      </w:r>
      <w:r>
        <w:t>deferred public funding because of concerns that the optimal population and purpose had not yet been identified.</w:t>
      </w:r>
    </w:p>
    <w:p w14:paraId="3F4B2AC6" w14:textId="77777777" w:rsidR="00EF69CB" w:rsidRDefault="00EF69CB" w:rsidP="00EF69CB"/>
    <w:p w14:paraId="41B4C226" w14:textId="77777777" w:rsidR="00EF69CB" w:rsidRDefault="00EF69CB" w:rsidP="00EF69CB">
      <w:r>
        <w:t>MSAC advised that the applicant should address issues raised regarding the population of patients who would most benefit from the Oncotype DX (ODX) technology, specify how the ODX results should guide the prescribing decision relating to adjuvant chemotherapy, compare ODX with current predictive algorithms such as Adjuvant! Online, and amend the economic analysis based on the optimised approach. MSAC recommended reconsideration of the application via ESC.</w:t>
      </w:r>
    </w:p>
    <w:p w14:paraId="4E890BF0" w14:textId="77777777" w:rsidR="00EF69CB" w:rsidRDefault="00EF69CB" w:rsidP="00EF69CB"/>
    <w:p w14:paraId="7A9BD1BF" w14:textId="77777777" w:rsidR="00EF69CB" w:rsidRDefault="00EF69CB" w:rsidP="00EF69CB">
      <w:r>
        <w:lastRenderedPageBreak/>
        <w:t>MSAC also requested that the applicant explain how the proposed registry would assist in monitoring the implementation of ODX testing.</w:t>
      </w:r>
    </w:p>
    <w:p w14:paraId="46CA8B3D" w14:textId="77777777" w:rsidR="00E977EE" w:rsidRPr="004F38D2" w:rsidRDefault="00E977EE" w:rsidP="004F38D2">
      <w:pPr>
        <w:pStyle w:val="Default"/>
        <w:rPr>
          <w:color w:val="auto"/>
        </w:rPr>
      </w:pPr>
    </w:p>
    <w:p w14:paraId="634C90EE" w14:textId="77777777" w:rsidR="00550354" w:rsidRDefault="00550354" w:rsidP="00550354">
      <w:pPr>
        <w:pStyle w:val="Heading1"/>
        <w:numPr>
          <w:ilvl w:val="0"/>
          <w:numId w:val="23"/>
        </w:numPr>
        <w:ind w:hanging="720"/>
      </w:pPr>
      <w:r w:rsidRPr="008D5885">
        <w:t>Summary of consideration and rationale for MSAC’s advice</w:t>
      </w:r>
      <w:r w:rsidRPr="00707064">
        <w:t xml:space="preserve"> </w:t>
      </w:r>
    </w:p>
    <w:p w14:paraId="0B60D846" w14:textId="77777777" w:rsidR="00550354" w:rsidRDefault="00550354" w:rsidP="00550354">
      <w:pPr>
        <w:rPr>
          <w:szCs w:val="24"/>
        </w:rPr>
      </w:pPr>
    </w:p>
    <w:p w14:paraId="1D55B8CB" w14:textId="77777777" w:rsidR="00EF69CB" w:rsidRDefault="00EF69CB" w:rsidP="00EF69CB">
      <w:r>
        <w:t>This application requested a third MSAC consideration of public funding of a 21-gene gene expression profiling test for post-menopausal women with newly diagnosed</w:t>
      </w:r>
      <w:r w:rsidRPr="008D1921">
        <w:t xml:space="preserve"> </w:t>
      </w:r>
      <w:r>
        <w:t>stage I or II invasive breast cancer who are oestrogen receptor positive (ER+), progesterone receptor positive (PR+), human epidermal growth factor receptor 2 negative (HER2-), either lymph node negative (LN-) or lymph node positive (LN+) with up to three positive nodes. MSAC had previously assessed this application at its November 2013 and April 2014 meetings.</w:t>
      </w:r>
    </w:p>
    <w:p w14:paraId="7C9F0288" w14:textId="77777777" w:rsidR="00EF69CB" w:rsidRDefault="00EF69CB" w:rsidP="00EF69CB"/>
    <w:p w14:paraId="7B3123D9" w14:textId="77777777" w:rsidR="00EF69CB" w:rsidRDefault="00EF69CB" w:rsidP="00EF69CB">
      <w:r>
        <w:t>The test predicts ten year cancer recurrence in women and likelihood of response to adjuvant chemotherapy who meet the criteria above. The objectives of testing are to confirm both women at low risk of recurrence who should be spared adjuvant chemotherapy, and also women at high risk of recurrence who should receive adjuvant chemotherapy.</w:t>
      </w:r>
    </w:p>
    <w:p w14:paraId="27393332" w14:textId="77777777" w:rsidR="00EF69CB" w:rsidRDefault="00EF69CB" w:rsidP="00EF69CB"/>
    <w:p w14:paraId="586DC647" w14:textId="58E74944" w:rsidR="00EF69CB" w:rsidRDefault="00EF69CB" w:rsidP="00EF69CB">
      <w:r>
        <w:t xml:space="preserve">The current resubmission further restricted the </w:t>
      </w:r>
      <w:r w:rsidR="00206582">
        <w:t xml:space="preserve">patient </w:t>
      </w:r>
      <w:r>
        <w:t xml:space="preserve">eligibility criteria </w:t>
      </w:r>
      <w:r w:rsidR="00206582">
        <w:t>for use of ODX</w:t>
      </w:r>
      <w:r w:rsidR="000414C5">
        <w:t xml:space="preserve"> </w:t>
      </w:r>
      <w:r>
        <w:t xml:space="preserve">to address concerns raised by MSAC at its April 2014 meeting. </w:t>
      </w:r>
      <w:r w:rsidR="00206582">
        <w:t xml:space="preserve">Specifically, three “negative factors” associated with a poorer clinical prognosis were added to the eligibility criteria for testing. </w:t>
      </w:r>
      <w:r>
        <w:t xml:space="preserve">These factors were: tumour size &gt;20 mm, grade 3 </w:t>
      </w:r>
      <w:proofErr w:type="gramStart"/>
      <w:r>
        <w:t>tumour</w:t>
      </w:r>
      <w:proofErr w:type="gramEnd"/>
      <w:r>
        <w:t xml:space="preserve">, PR or ER &lt;10%, and nodal </w:t>
      </w:r>
      <w:proofErr w:type="spellStart"/>
      <w:r>
        <w:t>macrometastases</w:t>
      </w:r>
      <w:proofErr w:type="spellEnd"/>
      <w:r>
        <w:t xml:space="preserve"> (&gt;2 mm). However, MSAC noted that the justification for </w:t>
      </w:r>
      <w:r w:rsidR="00206582">
        <w:t xml:space="preserve">choosing </w:t>
      </w:r>
      <w:r>
        <w:t>these risk parameters was not explicit</w:t>
      </w:r>
      <w:r w:rsidR="0094335F">
        <w:t>ly</w:t>
      </w:r>
      <w:r w:rsidR="00206582">
        <w:t xml:space="preserve"> justified</w:t>
      </w:r>
      <w:r>
        <w:t>, and that there were currently four prospective studies underway due to report in 2017 which may provide further clarity</w:t>
      </w:r>
      <w:r w:rsidR="00206582">
        <w:t xml:space="preserve"> on this issue</w:t>
      </w:r>
      <w:r>
        <w:t xml:space="preserve">. MSAC considered that the patient population that would </w:t>
      </w:r>
      <w:r w:rsidR="0094335F">
        <w:t xml:space="preserve">derive greatest </w:t>
      </w:r>
      <w:r>
        <w:t xml:space="preserve">benefit </w:t>
      </w:r>
      <w:r w:rsidR="004361C8">
        <w:t xml:space="preserve">from ODX testing was </w:t>
      </w:r>
      <w:r>
        <w:t xml:space="preserve">poorly defined. MSAC noted that ODX gene expression profiling technology may only provide </w:t>
      </w:r>
      <w:r w:rsidR="004361C8">
        <w:t xml:space="preserve">a </w:t>
      </w:r>
      <w:r>
        <w:t xml:space="preserve">significant benefit </w:t>
      </w:r>
      <w:r w:rsidR="004361C8">
        <w:t xml:space="preserve">to the </w:t>
      </w:r>
      <w:r>
        <w:t>patient</w:t>
      </w:r>
      <w:r w:rsidR="004361C8">
        <w:t xml:space="preserve"> group who can’t be classified as </w:t>
      </w:r>
      <w:r>
        <w:t>either low or high risk</w:t>
      </w:r>
      <w:r w:rsidR="004361C8">
        <w:t xml:space="preserve"> on the basis of their </w:t>
      </w:r>
      <w:proofErr w:type="spellStart"/>
      <w:r w:rsidR="004361C8">
        <w:t>clinicopathological</w:t>
      </w:r>
      <w:proofErr w:type="spellEnd"/>
      <w:r w:rsidR="004361C8">
        <w:t xml:space="preserve"> features</w:t>
      </w:r>
      <w:r>
        <w:t xml:space="preserve">. MSAC suggested that the applicant perform </w:t>
      </w:r>
      <w:r w:rsidR="004361C8">
        <w:t>additional</w:t>
      </w:r>
      <w:r>
        <w:t xml:space="preserve"> analysis to </w:t>
      </w:r>
      <w:r w:rsidR="004361C8">
        <w:t xml:space="preserve">define </w:t>
      </w:r>
      <w:r>
        <w:t xml:space="preserve">the characteristics of </w:t>
      </w:r>
      <w:r w:rsidR="004361C8">
        <w:t xml:space="preserve">the </w:t>
      </w:r>
      <w:r>
        <w:t xml:space="preserve">patient </w:t>
      </w:r>
      <w:r w:rsidR="004361C8">
        <w:t xml:space="preserve">group who can’t currently be classified. This </w:t>
      </w:r>
      <w:r>
        <w:t xml:space="preserve">population </w:t>
      </w:r>
      <w:r w:rsidR="004361C8">
        <w:t xml:space="preserve">should be used in the </w:t>
      </w:r>
      <w:r>
        <w:t>cost effectiveness modelling.</w:t>
      </w:r>
    </w:p>
    <w:p w14:paraId="065C65B7" w14:textId="77777777" w:rsidR="00EF69CB" w:rsidRDefault="00EF69CB" w:rsidP="00EF69CB"/>
    <w:p w14:paraId="21B6E1BE" w14:textId="4F0B7772" w:rsidR="00EF69CB" w:rsidRDefault="00EF69CB" w:rsidP="00EF69CB">
      <w:r>
        <w:t>MSAC noted that the laboratory perform</w:t>
      </w:r>
      <w:r w:rsidR="004361C8">
        <w:t>ing</w:t>
      </w:r>
      <w:r>
        <w:t xml:space="preserve"> genetic testing is outside Australia and therefore does not meet the requirements of </w:t>
      </w:r>
      <w:r w:rsidRPr="00D339AE">
        <w:t xml:space="preserve">Section 10(1) </w:t>
      </w:r>
      <w:r>
        <w:t xml:space="preserve">or clause </w:t>
      </w:r>
      <w:proofErr w:type="gramStart"/>
      <w:r>
        <w:t>16A(</w:t>
      </w:r>
      <w:proofErr w:type="gramEnd"/>
      <w:r>
        <w:t xml:space="preserve">2b) of the </w:t>
      </w:r>
      <w:r w:rsidRPr="007C34D3">
        <w:rPr>
          <w:i/>
        </w:rPr>
        <w:t>Health Insurance Act 1973</w:t>
      </w:r>
      <w:r>
        <w:t>. MSAC discussed the implications of this and advised that this represented an implementation and logistics issue and would require a change in legislation. MSAC considered that this was a matter for government.</w:t>
      </w:r>
    </w:p>
    <w:p w14:paraId="7FFEFBB4" w14:textId="77777777" w:rsidR="00EF69CB" w:rsidRDefault="00EF69CB" w:rsidP="00EF69CB"/>
    <w:p w14:paraId="740B25BE" w14:textId="05F23A97" w:rsidR="00EF69CB" w:rsidRDefault="00EF69CB" w:rsidP="00EF69CB">
      <w:pPr>
        <w:rPr>
          <w:szCs w:val="24"/>
        </w:rPr>
      </w:pPr>
      <w:r>
        <w:rPr>
          <w:szCs w:val="24"/>
        </w:rPr>
        <w:t xml:space="preserve">MSAC noted that the applicant proposed that clinicians refer both to the recurrence score (a continuous variable) and various risk score thresholds from </w:t>
      </w:r>
      <w:r>
        <w:t xml:space="preserve">the ODX technology </w:t>
      </w:r>
      <w:r>
        <w:rPr>
          <w:szCs w:val="24"/>
        </w:rPr>
        <w:t xml:space="preserve">for decision-making </w:t>
      </w:r>
      <w:r w:rsidR="007B180E">
        <w:rPr>
          <w:szCs w:val="24"/>
        </w:rPr>
        <w:t xml:space="preserve">in relation </w:t>
      </w:r>
      <w:r>
        <w:rPr>
          <w:szCs w:val="24"/>
        </w:rPr>
        <w:t>to treatment. However, the evidentiary basis for selecting these thresholds has not been provided and they have varied over time, for example as reflected in the 19 November 2015 New England Journal of Medicine article by Sparano et al defining “low risk” as a recurrence score less than 10 instead of less than 12. MSAC noted that this fluidity in definition obscured whether the evidence presented should be interpreted as discovery studies to develop the test characteristics, or as validation studies to confirm the performance of the test according to a set of pre-defined characteristics.</w:t>
      </w:r>
    </w:p>
    <w:p w14:paraId="6AB3E5E1" w14:textId="77777777" w:rsidR="00EF69CB" w:rsidRDefault="00EF69CB" w:rsidP="00EF69CB">
      <w:pPr>
        <w:rPr>
          <w:szCs w:val="24"/>
        </w:rPr>
      </w:pPr>
    </w:p>
    <w:p w14:paraId="1286CC52" w14:textId="77777777" w:rsidR="00EF69CB" w:rsidRDefault="00EF69CB" w:rsidP="00EF69CB">
      <w:pPr>
        <w:rPr>
          <w:szCs w:val="24"/>
        </w:rPr>
      </w:pPr>
      <w:r>
        <w:rPr>
          <w:szCs w:val="24"/>
        </w:rPr>
        <w:t>MSAC considered that the population and the purpose of the test should be more narrowly defined to:</w:t>
      </w:r>
    </w:p>
    <w:p w14:paraId="585928A0" w14:textId="77777777" w:rsidR="00EF69CB" w:rsidRDefault="00EF69CB" w:rsidP="00EF69CB">
      <w:pPr>
        <w:numPr>
          <w:ilvl w:val="0"/>
          <w:numId w:val="32"/>
        </w:numPr>
        <w:tabs>
          <w:tab w:val="clear" w:pos="1080"/>
          <w:tab w:val="num" w:pos="725"/>
        </w:tabs>
        <w:ind w:left="725"/>
        <w:rPr>
          <w:szCs w:val="24"/>
        </w:rPr>
      </w:pPr>
      <w:r>
        <w:rPr>
          <w:szCs w:val="24"/>
        </w:rPr>
        <w:t>more clearly exclude patients for whom there is currently no uncertainty over the decision to prescribe adjuvant chemotherapy or not, and</w:t>
      </w:r>
    </w:p>
    <w:p w14:paraId="6F785CDC" w14:textId="77777777" w:rsidR="00EF69CB" w:rsidRDefault="00EF69CB" w:rsidP="00EF69CB">
      <w:pPr>
        <w:numPr>
          <w:ilvl w:val="0"/>
          <w:numId w:val="32"/>
        </w:numPr>
        <w:tabs>
          <w:tab w:val="clear" w:pos="1080"/>
          <w:tab w:val="num" w:pos="725"/>
        </w:tabs>
        <w:ind w:left="725"/>
        <w:rPr>
          <w:szCs w:val="24"/>
        </w:rPr>
      </w:pPr>
      <w:proofErr w:type="gramStart"/>
      <w:r>
        <w:rPr>
          <w:szCs w:val="24"/>
        </w:rPr>
        <w:lastRenderedPageBreak/>
        <w:t>for</w:t>
      </w:r>
      <w:proofErr w:type="gramEnd"/>
      <w:r>
        <w:rPr>
          <w:szCs w:val="24"/>
        </w:rPr>
        <w:t xml:space="preserve"> those patients for whom this prescribing decision is currently uncertain, more clearly specify the optimal, evidence-based approach to this prescribing decision with reference to how the prescribing decision should pivot around the reported recurrence score and/or pre-defined thresholds of the recurrence score.</w:t>
      </w:r>
    </w:p>
    <w:p w14:paraId="778F62D9" w14:textId="77777777" w:rsidR="00EF69CB" w:rsidRDefault="00EF69CB" w:rsidP="00EF69CB"/>
    <w:p w14:paraId="52D013A5" w14:textId="77777777" w:rsidR="00EF69CB" w:rsidRDefault="00EF69CB" w:rsidP="00EF69CB">
      <w:r>
        <w:t>MSAC considered the comparative predictive performance of the ODX gene expression profiling technology and noted that the definition of ‘standard care’ used as the control has been subject to considerable change and was difficult to define. MSAC noted that current predictive algorithms such as Adjuvant! Online may be sufficient to predict risk and inform treatment decisions in patients who are low and high risk. The ODX technology may not provide any additional benefit beyond these predictive algorithms in the broader proposed populations.</w:t>
      </w:r>
      <w:r w:rsidR="009A7990">
        <w:t xml:space="preserve"> </w:t>
      </w:r>
      <w:r w:rsidR="00800815">
        <w:t xml:space="preserve">In respect of comparators for cost-effectiveness with current decision-making tools, </w:t>
      </w:r>
      <w:r w:rsidR="009A7990">
        <w:t xml:space="preserve">MSAC noted that </w:t>
      </w:r>
      <w:proofErr w:type="gramStart"/>
      <w:r w:rsidR="00E95234">
        <w:t>neither the ADIS or</w:t>
      </w:r>
      <w:proofErr w:type="gramEnd"/>
      <w:r w:rsidR="009A7990">
        <w:t xml:space="preserve"> ADIS2 </w:t>
      </w:r>
      <w:r w:rsidR="00E95234">
        <w:t>appeared to</w:t>
      </w:r>
      <w:r w:rsidR="00800815">
        <w:t xml:space="preserve"> compare ODX to Adjuvant! </w:t>
      </w:r>
      <w:proofErr w:type="gramStart"/>
      <w:r w:rsidR="00800815">
        <w:t>Online</w:t>
      </w:r>
      <w:r w:rsidR="009A7990">
        <w:t>.</w:t>
      </w:r>
      <w:proofErr w:type="gramEnd"/>
      <w:r w:rsidR="00E95234">
        <w:t xml:space="preserve"> MSAC considered that some of the benefit reported in ADIS and ADIS2 data from incorporation of ODX into decision-making could derive from systematic application of available alternative decision aids, such as Adjuvant! </w:t>
      </w:r>
      <w:proofErr w:type="gramStart"/>
      <w:r w:rsidR="00E95234">
        <w:t>Online.</w:t>
      </w:r>
      <w:proofErr w:type="gramEnd"/>
    </w:p>
    <w:p w14:paraId="138E81AD" w14:textId="77777777" w:rsidR="00EF69CB" w:rsidRDefault="00EF69CB" w:rsidP="00EF69CB"/>
    <w:p w14:paraId="5D11906E" w14:textId="0FA05B5C" w:rsidR="00EF69CB" w:rsidRDefault="00EF69CB" w:rsidP="00EF69CB">
      <w:r>
        <w:t xml:space="preserve">MSAC </w:t>
      </w:r>
      <w:r w:rsidR="007B180E">
        <w:t>noted a number of studies consistently reported a projected change in treatment in 18-40% of women with 1 – 3 “negative factors” compared with the use of informal assessments of risk of recurrence. This evidence was considered of</w:t>
      </w:r>
      <w:r>
        <w:t xml:space="preserve"> reasonable quality</w:t>
      </w:r>
      <w:r w:rsidR="007B180E">
        <w:t>.</w:t>
      </w:r>
      <w:r>
        <w:t xml:space="preserve"> MSAC also considered </w:t>
      </w:r>
      <w:r w:rsidR="007B180E">
        <w:t xml:space="preserve">the </w:t>
      </w:r>
      <w:r>
        <w:t xml:space="preserve">new evidence presented in the Pre-MSAC response. The large prospective </w:t>
      </w:r>
      <w:proofErr w:type="gramStart"/>
      <w:r>
        <w:t>study,</w:t>
      </w:r>
      <w:proofErr w:type="gramEnd"/>
      <w:r>
        <w:t xml:space="preserve"> published in </w:t>
      </w:r>
      <w:r>
        <w:rPr>
          <w:szCs w:val="24"/>
        </w:rPr>
        <w:t>19 November 2015 New England Journal of Medicine article by</w:t>
      </w:r>
      <w:r>
        <w:t xml:space="preserve"> Sparano et. al., demonstrated that ODX scoring of low risk women was predictive of freedom from recurrence and overall survival with five years follow-up. MSAC accepted that this data supported the clinical validity of ODX in predicting clinical outcomes in low risk women. However, these data were not directly relevant to ascertaining clinical utility in changing clinical management in women who are not clearly at low risk. The four ongoing studies scheduled to report in 2017 were expected to be more relevant to the question of clinical utility</w:t>
      </w:r>
      <w:r w:rsidR="007B180E">
        <w:t xml:space="preserve"> in the MSAC proposed patient population</w:t>
      </w:r>
      <w:r>
        <w:t>.</w:t>
      </w:r>
    </w:p>
    <w:p w14:paraId="05DEA9DA" w14:textId="77777777" w:rsidR="00EF69CB" w:rsidRDefault="00EF69CB" w:rsidP="00EF69CB"/>
    <w:p w14:paraId="4A26B429" w14:textId="77777777" w:rsidR="00EF69CB" w:rsidRDefault="00EF69CB" w:rsidP="00EF69CB">
      <w:r>
        <w:t xml:space="preserve">MSAC accepted that, for some patients, the ODX technology may be predictive of clinical outcomes and the response to chemotherapy. However, MSAC suggested that the applicant present the data in the form of a receiver/operator characteristic (ROC) curve of adding ODX to current staging and predictive methods to inform the incremental sensitivity and specificity of the ODX test. This would help assess </w:t>
      </w:r>
      <w:r>
        <w:rPr>
          <w:szCs w:val="24"/>
        </w:rPr>
        <w:t>both types of discordant results (</w:t>
      </w:r>
      <w:proofErr w:type="spellStart"/>
      <w:r>
        <w:rPr>
          <w:szCs w:val="24"/>
        </w:rPr>
        <w:t>eg</w:t>
      </w:r>
      <w:proofErr w:type="spellEnd"/>
      <w:r>
        <w:rPr>
          <w:szCs w:val="24"/>
        </w:rPr>
        <w:t xml:space="preserve"> where ODX is “positive” and </w:t>
      </w:r>
      <w:r>
        <w:t>Adjuvant! Online</w:t>
      </w:r>
      <w:r>
        <w:rPr>
          <w:szCs w:val="24"/>
        </w:rPr>
        <w:t xml:space="preserve"> is “negative” as well as where ODX is “negative” and </w:t>
      </w:r>
      <w:r>
        <w:t>Adjuvant! Online</w:t>
      </w:r>
      <w:r>
        <w:rPr>
          <w:szCs w:val="24"/>
        </w:rPr>
        <w:t xml:space="preserve"> is “positive”), and thus assess errors in terms of both under- and over-treatment. </w:t>
      </w:r>
      <w:r>
        <w:t xml:space="preserve">Specific consideration should be given to those women who should receive adjuvant therapy, but do not based on ODX results. This is the greater safety concern with use of the test than the procedure to obtain the </w:t>
      </w:r>
      <w:proofErr w:type="spellStart"/>
      <w:r>
        <w:t>biospecimen</w:t>
      </w:r>
      <w:proofErr w:type="spellEnd"/>
      <w:r>
        <w:t xml:space="preserve"> for the test.</w:t>
      </w:r>
    </w:p>
    <w:p w14:paraId="49DA69ED" w14:textId="77777777" w:rsidR="00EF69CB" w:rsidRDefault="00EF69CB" w:rsidP="00EF69CB"/>
    <w:p w14:paraId="5B1E8B8D" w14:textId="791A61C0" w:rsidR="00EF69CB" w:rsidRDefault="00EF69CB" w:rsidP="00EF69CB">
      <w:r>
        <w:t>MSAC considered the cost effectiveness of the ODX technology. MSAC noted that the applicant increased its proposed MBS fee to $</w:t>
      </w:r>
      <w:r w:rsidR="00BA44CC">
        <w:t xml:space="preserve"> </w:t>
      </w:r>
      <w:r w:rsidR="00766E56" w:rsidRPr="00766E56">
        <w:rPr>
          <w:b/>
        </w:rPr>
        <w:t>redacted</w:t>
      </w:r>
      <w:r>
        <w:t>, but provided no justification of the increased cost. However, the applicant also decreased its proposed cost to the MBS to a confidential $</w:t>
      </w:r>
      <w:r w:rsidR="00766E56" w:rsidRPr="00766E56">
        <w:rPr>
          <w:b/>
        </w:rPr>
        <w:t xml:space="preserve"> redacted</w:t>
      </w:r>
      <w:r>
        <w:t>, achieved by paying a $</w:t>
      </w:r>
      <w:r w:rsidR="00766E56" w:rsidRPr="00766E56">
        <w:rPr>
          <w:b/>
        </w:rPr>
        <w:t xml:space="preserve"> redacted</w:t>
      </w:r>
      <w:r w:rsidR="00766E56" w:rsidDel="00766E56">
        <w:t xml:space="preserve"> </w:t>
      </w:r>
      <w:r>
        <w:t>rebate to the government after each service rendered and the government has paid its rebate to the patient. MSAC noted that patients may be exposed to severe out of pocket expenses with this test, particularly the requirement for patients to pay the full cost themselves before receiving any MBS rebate because it would not be bulk-billed. The difference between the amount paid upfront by the patient and the amount subsequently received from the government rebate is subject to uncertainty affected by the setting in which the bodily specimen tested is obtained. MSAC considered that these expenses may be a significant barrier for some patients.</w:t>
      </w:r>
    </w:p>
    <w:p w14:paraId="52261CBD" w14:textId="68D24F7C" w:rsidR="00EF69CB" w:rsidRDefault="00EF69CB" w:rsidP="00EF69CB">
      <w:r>
        <w:lastRenderedPageBreak/>
        <w:t xml:space="preserve">MSAC considered that there was considerable uncertainty in the economic modelling. MSAC </w:t>
      </w:r>
      <w:r w:rsidR="007E4824">
        <w:t>accepted that, contrary to the advice from its E</w:t>
      </w:r>
      <w:r w:rsidR="00AA0188">
        <w:t xml:space="preserve">valuation </w:t>
      </w:r>
      <w:r w:rsidR="007E4824">
        <w:t>S</w:t>
      </w:r>
      <w:r w:rsidR="00AA0188">
        <w:t>ub-</w:t>
      </w:r>
      <w:r w:rsidR="007E4824">
        <w:t>C</w:t>
      </w:r>
      <w:r w:rsidR="00AA0188">
        <w:t>ommittee</w:t>
      </w:r>
      <w:r w:rsidR="007E4824">
        <w:t xml:space="preserve">, </w:t>
      </w:r>
      <w:r>
        <w:t xml:space="preserve">the model had been modified to use anastrozole as the baseline hormonal therapy rather than tamoxifen, which appropriately reflects contemporary management. Outputs from the model changed depending on what data was used as inputs. In </w:t>
      </w:r>
      <w:r w:rsidR="00535936">
        <w:t xml:space="preserve">one </w:t>
      </w:r>
      <w:r>
        <w:t xml:space="preserve">particular example, although the results of the two small Australian studies predicting change in management fell within the range of similar studies conducted internationally, using ADIS compared to the more favourable ADIS2 resulted in important differences in ICER outputs across the subgroups presented. In addition, although ICERs looked favourable for some populations, ODX was dominated by standard care in more obviously low and high risk groups implying that more careful selection of the eligible patient population is needed to optimise the cost effectiveness of the ODX technology in Australian patients. MSAC suggested that this variation across subgroups should help distinguish between those patients for whom the case for MBS funding is weak or strong. For example, removing </w:t>
      </w:r>
      <w:r>
        <w:rPr>
          <w:szCs w:val="24"/>
        </w:rPr>
        <w:t>those patient subgroups for which the economic evaluation suggests that adding the ODX test is dominated or has unfavourable cost-effectiveness (</w:t>
      </w:r>
      <w:proofErr w:type="spellStart"/>
      <w:r>
        <w:rPr>
          <w:szCs w:val="24"/>
        </w:rPr>
        <w:t>ie</w:t>
      </w:r>
      <w:proofErr w:type="spellEnd"/>
      <w:r>
        <w:rPr>
          <w:szCs w:val="24"/>
        </w:rPr>
        <w:t xml:space="preserve"> patients who are in scope according to the proposed population, but are clearly high risk or clearly low risk without reference to an ODX test result) would tend to improve the clinical and economic arguments in favour of funding the test for the remaining patient subgroups. For example, the more favourable economic results suggest the following patient subgroups might be worth exploring further: for node negative women, one or two negative factors; for node positive women, one additional negative factor.</w:t>
      </w:r>
    </w:p>
    <w:p w14:paraId="1B29519C" w14:textId="77777777" w:rsidR="00EF69CB" w:rsidRDefault="00EF69CB" w:rsidP="00EF69CB"/>
    <w:p w14:paraId="1B2C8413" w14:textId="77777777" w:rsidR="00EF69CB" w:rsidRDefault="00EF69CB" w:rsidP="00EF69CB">
      <w:r>
        <w:t xml:space="preserve">MSAC noted advice from its ESC that the estimated QALYs associated with testing were very small, 0.04 – </w:t>
      </w:r>
      <w:proofErr w:type="gramStart"/>
      <w:r>
        <w:t>0.12,</w:t>
      </w:r>
      <w:proofErr w:type="gramEnd"/>
      <w:r>
        <w:t xml:space="preserve"> and this is perhaps below a threshold for clinical effectiveness. MSAC disagreed with this assessment and noted that the social effect of avoiding chemotherapy was not quantified in the analysis.</w:t>
      </w:r>
    </w:p>
    <w:p w14:paraId="15D37B70" w14:textId="77777777" w:rsidR="00EF69CB" w:rsidRDefault="00EF69CB" w:rsidP="00EF69CB"/>
    <w:p w14:paraId="6D332371" w14:textId="77777777" w:rsidR="00EF69CB" w:rsidRDefault="00EF69CB" w:rsidP="00EF69CB">
      <w:r>
        <w:t>MSAC noted that there was uncertainty in the financial impacts of the ODX technology and that the estimated budgetary impacts were influenced by assumed reductions in PBS costs of adjuvant chemotherapy. MSAC agreed with advice from its ESC that there may be a high risk of leakage outside the requested item descriptor for patients who want to ascertain their prognosis for reasons other than decision making regarding adjuvant chemotherapy. The risk of leakage would be expected to be greater beyond a population meeting more tightly defined eligibility criteria. MSAC noted that careful monitoring of any MBS-funded use might therefore be required, and also noted that the applicant had stated its willingness to fund a registry for patients. MSAC suggested that future submissions should address this issue of leakage fully with a defined plan to monitor compliance to the intended population and purpose.</w:t>
      </w:r>
    </w:p>
    <w:p w14:paraId="5DE3A940" w14:textId="77777777" w:rsidR="00EF69CB" w:rsidRDefault="00EF69CB" w:rsidP="00EF69CB"/>
    <w:p w14:paraId="01E0D831" w14:textId="77777777" w:rsidR="00EF69CB" w:rsidRDefault="00EF69CB" w:rsidP="00EF69CB">
      <w:r w:rsidRPr="00131742">
        <w:t>In deferring the application, MSAC requested that the following issues be addressed in particular:</w:t>
      </w:r>
    </w:p>
    <w:p w14:paraId="29D27E68" w14:textId="77777777" w:rsidR="00EF69CB" w:rsidRPr="008E03E7" w:rsidRDefault="00EF69CB" w:rsidP="00EF69CB">
      <w:pPr>
        <w:numPr>
          <w:ilvl w:val="0"/>
          <w:numId w:val="32"/>
        </w:numPr>
        <w:tabs>
          <w:tab w:val="clear" w:pos="1080"/>
          <w:tab w:val="num" w:pos="725"/>
        </w:tabs>
        <w:ind w:left="725"/>
        <w:rPr>
          <w:szCs w:val="24"/>
        </w:rPr>
      </w:pPr>
      <w:r>
        <w:rPr>
          <w:szCs w:val="24"/>
        </w:rPr>
        <w:t xml:space="preserve">better description of the patient population </w:t>
      </w:r>
      <w:r w:rsidR="00535936">
        <w:rPr>
          <w:szCs w:val="24"/>
        </w:rPr>
        <w:t>that</w:t>
      </w:r>
      <w:r>
        <w:rPr>
          <w:szCs w:val="24"/>
        </w:rPr>
        <w:t xml:space="preserve"> would most benefit from being tested with Oncotype DX by removing those patients groups for which the economic evaluation shows that the test is dominated or has unfavourable cost-effectiveness, together with a clear</w:t>
      </w:r>
      <w:r w:rsidRPr="008E03E7">
        <w:rPr>
          <w:szCs w:val="24"/>
        </w:rPr>
        <w:t xml:space="preserve"> </w:t>
      </w:r>
      <w:r>
        <w:rPr>
          <w:szCs w:val="24"/>
        </w:rPr>
        <w:t>MBS item descriptor to minimise leakage from this optimal patient group;</w:t>
      </w:r>
    </w:p>
    <w:p w14:paraId="0B4834E0" w14:textId="77777777" w:rsidR="00EF69CB" w:rsidRDefault="00EF69CB" w:rsidP="00EF69CB">
      <w:pPr>
        <w:numPr>
          <w:ilvl w:val="0"/>
          <w:numId w:val="32"/>
        </w:numPr>
        <w:tabs>
          <w:tab w:val="clear" w:pos="1080"/>
          <w:tab w:val="num" w:pos="725"/>
        </w:tabs>
        <w:ind w:left="725"/>
        <w:rPr>
          <w:szCs w:val="24"/>
        </w:rPr>
      </w:pPr>
      <w:proofErr w:type="gramStart"/>
      <w:r>
        <w:rPr>
          <w:szCs w:val="24"/>
        </w:rPr>
        <w:t>demonstration</w:t>
      </w:r>
      <w:proofErr w:type="gramEnd"/>
      <w:r>
        <w:rPr>
          <w:szCs w:val="24"/>
        </w:rPr>
        <w:t xml:space="preserve"> of the incremental gain in risk prediction, health outcomes, healthcare cost offsets, and cost effectiveness in this narrowed population </w:t>
      </w:r>
      <w:r>
        <w:t>over current</w:t>
      </w:r>
      <w:r w:rsidR="00800815">
        <w:t xml:space="preserve">ly available </w:t>
      </w:r>
      <w:r>
        <w:t xml:space="preserve"> predicti</w:t>
      </w:r>
      <w:r w:rsidR="009A7990">
        <w:t xml:space="preserve">ve algorithms such as Adjuvant! </w:t>
      </w:r>
      <w:r>
        <w:t>Online</w:t>
      </w:r>
      <w:r>
        <w:rPr>
          <w:szCs w:val="24"/>
        </w:rPr>
        <w:t>;</w:t>
      </w:r>
    </w:p>
    <w:p w14:paraId="6C213EBA" w14:textId="77777777" w:rsidR="00EF69CB" w:rsidRPr="008E03E7" w:rsidRDefault="00EF69CB" w:rsidP="00EF69CB">
      <w:pPr>
        <w:numPr>
          <w:ilvl w:val="0"/>
          <w:numId w:val="32"/>
        </w:numPr>
        <w:tabs>
          <w:tab w:val="clear" w:pos="1080"/>
          <w:tab w:val="num" w:pos="725"/>
        </w:tabs>
        <w:ind w:left="725"/>
        <w:rPr>
          <w:szCs w:val="24"/>
        </w:rPr>
      </w:pPr>
      <w:proofErr w:type="gramStart"/>
      <w:r>
        <w:rPr>
          <w:szCs w:val="24"/>
        </w:rPr>
        <w:t>demonstration</w:t>
      </w:r>
      <w:proofErr w:type="gramEnd"/>
      <w:r>
        <w:rPr>
          <w:szCs w:val="24"/>
        </w:rPr>
        <w:t xml:space="preserve"> that the clinical and economic evaluations fully encompass the consequences for those eligible patients for whom Oncotype DX and Adjuvant! Online yield both types of discordant results;</w:t>
      </w:r>
    </w:p>
    <w:p w14:paraId="52705F1A" w14:textId="77777777" w:rsidR="00EF69CB" w:rsidRDefault="00EF69CB" w:rsidP="00EF69CB">
      <w:pPr>
        <w:numPr>
          <w:ilvl w:val="0"/>
          <w:numId w:val="32"/>
        </w:numPr>
        <w:tabs>
          <w:tab w:val="clear" w:pos="1080"/>
          <w:tab w:val="num" w:pos="725"/>
        </w:tabs>
        <w:ind w:left="725"/>
        <w:rPr>
          <w:szCs w:val="24"/>
        </w:rPr>
      </w:pPr>
      <w:r>
        <w:rPr>
          <w:szCs w:val="24"/>
        </w:rPr>
        <w:lastRenderedPageBreak/>
        <w:t>clarification of the Oncotype DX risk score thresholds for decision-making relating to treatment, and provision of the evidentiary basis for selecting these thresholds;</w:t>
      </w:r>
    </w:p>
    <w:p w14:paraId="3BFD5A43" w14:textId="77777777" w:rsidR="00EF69CB" w:rsidRPr="000219A2" w:rsidRDefault="00EF69CB" w:rsidP="004F38D2">
      <w:pPr>
        <w:numPr>
          <w:ilvl w:val="0"/>
          <w:numId w:val="32"/>
        </w:numPr>
        <w:tabs>
          <w:tab w:val="clear" w:pos="1080"/>
          <w:tab w:val="num" w:pos="725"/>
        </w:tabs>
        <w:ind w:left="720" w:hanging="357"/>
        <w:rPr>
          <w:szCs w:val="24"/>
        </w:rPr>
      </w:pPr>
      <w:proofErr w:type="gramStart"/>
      <w:r>
        <w:rPr>
          <w:szCs w:val="24"/>
        </w:rPr>
        <w:t>provision</w:t>
      </w:r>
      <w:proofErr w:type="gramEnd"/>
      <w:r>
        <w:rPr>
          <w:szCs w:val="24"/>
        </w:rPr>
        <w:t xml:space="preserve"> of further detail on the proposed patient registry and the expected value of the information to be collected.</w:t>
      </w:r>
    </w:p>
    <w:p w14:paraId="017C92D0" w14:textId="77777777" w:rsidR="00550354" w:rsidRPr="00707064" w:rsidRDefault="00550354" w:rsidP="00550354">
      <w:pPr>
        <w:rPr>
          <w:szCs w:val="24"/>
        </w:rPr>
      </w:pPr>
    </w:p>
    <w:p w14:paraId="2318DA34" w14:textId="77777777" w:rsidR="00BC1364" w:rsidRPr="00D90A38" w:rsidRDefault="00BC1364" w:rsidP="007B32D1">
      <w:pPr>
        <w:pStyle w:val="Heading1"/>
        <w:numPr>
          <w:ilvl w:val="0"/>
          <w:numId w:val="23"/>
        </w:numPr>
        <w:ind w:hanging="720"/>
      </w:pPr>
      <w:r w:rsidRPr="00D90A38">
        <w:t>Background</w:t>
      </w:r>
    </w:p>
    <w:p w14:paraId="0B77CFEA" w14:textId="77777777" w:rsidR="00BC1364" w:rsidRPr="004F38D2" w:rsidRDefault="00BC1364" w:rsidP="00DD2858">
      <w:pPr>
        <w:rPr>
          <w:szCs w:val="24"/>
        </w:rPr>
      </w:pPr>
    </w:p>
    <w:p w14:paraId="0E700CE1" w14:textId="77777777" w:rsidR="00BC1364" w:rsidRDefault="0003477D" w:rsidP="004539DE">
      <w:pPr>
        <w:rPr>
          <w:szCs w:val="24"/>
        </w:rPr>
      </w:pPr>
      <w:r>
        <w:rPr>
          <w:szCs w:val="24"/>
        </w:rPr>
        <w:t>The original application</w:t>
      </w:r>
      <w:r w:rsidR="003F480D">
        <w:rPr>
          <w:szCs w:val="24"/>
        </w:rPr>
        <w:t xml:space="preserve"> </w:t>
      </w:r>
      <w:r>
        <w:rPr>
          <w:szCs w:val="24"/>
        </w:rPr>
        <w:t xml:space="preserve">was previously </w:t>
      </w:r>
      <w:r w:rsidR="003F480D">
        <w:rPr>
          <w:szCs w:val="24"/>
        </w:rPr>
        <w:t>considered by MSAC in November 2013, and the first resubmission was considered in April 2014</w:t>
      </w:r>
      <w:r w:rsidR="004F38D2">
        <w:rPr>
          <w:szCs w:val="24"/>
        </w:rPr>
        <w:t>. On both previous occasions</w:t>
      </w:r>
      <w:r w:rsidR="003F480D">
        <w:rPr>
          <w:szCs w:val="24"/>
        </w:rPr>
        <w:t xml:space="preserve">, </w:t>
      </w:r>
      <w:r w:rsidR="004F38D2">
        <w:rPr>
          <w:szCs w:val="24"/>
        </w:rPr>
        <w:t xml:space="preserve">MSAC </w:t>
      </w:r>
      <w:r w:rsidR="003F480D">
        <w:rPr>
          <w:szCs w:val="24"/>
        </w:rPr>
        <w:t xml:space="preserve">advised the Minister that </w:t>
      </w:r>
      <w:r w:rsidR="004F38D2">
        <w:rPr>
          <w:szCs w:val="24"/>
        </w:rPr>
        <w:t xml:space="preserve">it </w:t>
      </w:r>
      <w:r w:rsidR="003F480D">
        <w:rPr>
          <w:szCs w:val="24"/>
        </w:rPr>
        <w:t>did not support public fundi</w:t>
      </w:r>
      <w:r w:rsidR="004F38D2">
        <w:rPr>
          <w:szCs w:val="24"/>
        </w:rPr>
        <w:t>ng.</w:t>
      </w:r>
    </w:p>
    <w:p w14:paraId="7BAACCCB" w14:textId="77777777" w:rsidR="00F9778A" w:rsidRDefault="00F9778A" w:rsidP="004539DE">
      <w:pPr>
        <w:rPr>
          <w:szCs w:val="24"/>
        </w:rPr>
      </w:pPr>
    </w:p>
    <w:p w14:paraId="627F8104" w14:textId="77777777" w:rsidR="00F9778A" w:rsidRPr="009F2D37" w:rsidRDefault="00F9778A" w:rsidP="00F9778A">
      <w:pPr>
        <w:tabs>
          <w:tab w:val="left" w:pos="720"/>
          <w:tab w:val="left" w:pos="1140"/>
        </w:tabs>
      </w:pPr>
      <w:r>
        <w:t>The applicant’s resubmission note</w:t>
      </w:r>
      <w:r w:rsidR="004F38D2">
        <w:t>d</w:t>
      </w:r>
      <w:r>
        <w:t xml:space="preserve"> that the service ha</w:t>
      </w:r>
      <w:r w:rsidR="004F38D2">
        <w:t>d</w:t>
      </w:r>
      <w:r>
        <w:t xml:space="preserve"> been considered on previous occasions, and that “</w:t>
      </w:r>
      <w:r w:rsidRPr="00222148">
        <w:t xml:space="preserve">there </w:t>
      </w:r>
      <w:proofErr w:type="gramStart"/>
      <w:r w:rsidRPr="00222148">
        <w:t>remains</w:t>
      </w:r>
      <w:proofErr w:type="gramEnd"/>
      <w:r w:rsidRPr="00222148">
        <w:t xml:space="preserve"> a number of specific issues around which MSAC seeks further information and clarity”.</w:t>
      </w:r>
      <w:r>
        <w:t xml:space="preserve"> The applicant’s resubmission state</w:t>
      </w:r>
      <w:r w:rsidR="004F38D2">
        <w:t>d</w:t>
      </w:r>
      <w:r>
        <w:t xml:space="preserve"> that “t</w:t>
      </w:r>
      <w:r w:rsidRPr="00222148">
        <w:t>hese relate primarily to the applicability of the evidence base for Oncotype DX to current Australian standards of care (SOC) and the impact of the test on decision-making in clinical practice</w:t>
      </w:r>
      <w:r>
        <w:t>”, and that “t</w:t>
      </w:r>
      <w:r w:rsidRPr="00222148">
        <w:t>he purpose of this resubmission is to address these outstanding issues with the inclusion of new real world evidence about the use of Oncotype DX in an Australian setting</w:t>
      </w:r>
      <w:r>
        <w:t>”</w:t>
      </w:r>
      <w:r w:rsidRPr="00222148">
        <w:t>.</w:t>
      </w:r>
    </w:p>
    <w:p w14:paraId="50856306" w14:textId="77777777" w:rsidR="00F9778A" w:rsidRPr="0003477D" w:rsidRDefault="00F9778A" w:rsidP="004539DE">
      <w:pPr>
        <w:rPr>
          <w:szCs w:val="24"/>
        </w:rPr>
      </w:pPr>
    </w:p>
    <w:p w14:paraId="2834BE97" w14:textId="77777777" w:rsidR="00BC1364" w:rsidRPr="00D90A38" w:rsidRDefault="00BC1364" w:rsidP="007B32D1">
      <w:pPr>
        <w:pStyle w:val="Heading1"/>
        <w:numPr>
          <w:ilvl w:val="0"/>
          <w:numId w:val="23"/>
        </w:numPr>
        <w:ind w:hanging="720"/>
      </w:pPr>
      <w:r w:rsidRPr="00D90A38">
        <w:t>Prerequisites to implementation of any funding advice</w:t>
      </w:r>
    </w:p>
    <w:p w14:paraId="0A805F6E" w14:textId="77777777" w:rsidR="00BC1364" w:rsidRPr="004F38D2" w:rsidRDefault="00BC1364" w:rsidP="004F38D2">
      <w:pPr>
        <w:tabs>
          <w:tab w:val="left" w:pos="720"/>
          <w:tab w:val="left" w:pos="1140"/>
        </w:tabs>
        <w:rPr>
          <w:szCs w:val="24"/>
        </w:rPr>
      </w:pPr>
    </w:p>
    <w:p w14:paraId="79D9B7C1" w14:textId="77777777" w:rsidR="00F9778A" w:rsidRDefault="00F9778A" w:rsidP="00F9778A">
      <w:pPr>
        <w:tabs>
          <w:tab w:val="left" w:pos="720"/>
          <w:tab w:val="left" w:pos="1140"/>
        </w:tabs>
      </w:pPr>
      <w:r w:rsidRPr="00BD1D04">
        <w:t>This application relate</w:t>
      </w:r>
      <w:r w:rsidR="004F38D2">
        <w:t>d</w:t>
      </w:r>
      <w:r w:rsidRPr="00BD1D04">
        <w:t xml:space="preserve"> to a test that is conducted in a single laboratory located outside Australia. This means the test would not be subject to regulation by the Australian Therapeutic Goods Administration (TGA).</w:t>
      </w:r>
    </w:p>
    <w:p w14:paraId="306B5B2E" w14:textId="77777777" w:rsidR="004F38D2" w:rsidRPr="00BD1D04" w:rsidRDefault="004F38D2" w:rsidP="00F9778A">
      <w:pPr>
        <w:tabs>
          <w:tab w:val="left" w:pos="720"/>
          <w:tab w:val="left" w:pos="1140"/>
        </w:tabs>
      </w:pPr>
    </w:p>
    <w:p w14:paraId="2195B520" w14:textId="29E11030" w:rsidR="00F9778A" w:rsidRPr="00BD1D04" w:rsidRDefault="00F9778A" w:rsidP="00F9778A">
      <w:pPr>
        <w:tabs>
          <w:tab w:val="left" w:pos="720"/>
          <w:tab w:val="left" w:pos="1140"/>
        </w:tabs>
      </w:pPr>
      <w:r w:rsidRPr="00BD1D04">
        <w:t xml:space="preserve">The Specimen Collection Kit for Oncotype DX has been registered by the TGA and listed on the ARTG since August 2014 by its Sponsor, </w:t>
      </w:r>
      <w:proofErr w:type="spellStart"/>
      <w:r w:rsidRPr="00BD1D04">
        <w:t>Emergo</w:t>
      </w:r>
      <w:proofErr w:type="spellEnd"/>
      <w:r>
        <w:t>,</w:t>
      </w:r>
      <w:r w:rsidRPr="00BD1D04">
        <w:t xml:space="preserve"> and was registered with the TGA and listed on the ARTG by the current Sponsor, Specialised Therapeutics Australia on 28</w:t>
      </w:r>
      <w:r w:rsidR="000C632A">
        <w:t> </w:t>
      </w:r>
      <w:r w:rsidRPr="00BD1D04">
        <w:t>April</w:t>
      </w:r>
      <w:r w:rsidR="000C632A">
        <w:t> </w:t>
      </w:r>
      <w:r w:rsidRPr="00BD1D04">
        <w:t>2015.</w:t>
      </w:r>
    </w:p>
    <w:p w14:paraId="0752560F" w14:textId="77777777" w:rsidR="00BC1364" w:rsidRPr="004F38D2" w:rsidRDefault="00BC1364" w:rsidP="009E0D98">
      <w:pPr>
        <w:tabs>
          <w:tab w:val="left" w:pos="720"/>
          <w:tab w:val="left" w:pos="1140"/>
        </w:tabs>
        <w:rPr>
          <w:szCs w:val="24"/>
        </w:rPr>
      </w:pPr>
    </w:p>
    <w:p w14:paraId="7CBC3139" w14:textId="77777777" w:rsidR="00BC1364" w:rsidRPr="007B32D1" w:rsidRDefault="00BC1364" w:rsidP="007B32D1">
      <w:pPr>
        <w:pStyle w:val="Heading1"/>
        <w:numPr>
          <w:ilvl w:val="0"/>
          <w:numId w:val="23"/>
        </w:numPr>
        <w:ind w:hanging="720"/>
      </w:pPr>
      <w:r w:rsidRPr="007B32D1">
        <w:t>Proposal for public funding</w:t>
      </w:r>
    </w:p>
    <w:p w14:paraId="5AB94540" w14:textId="77777777" w:rsidR="00BC1364" w:rsidRPr="004F38D2" w:rsidRDefault="00BC1364" w:rsidP="00AB3BFC">
      <w:pPr>
        <w:tabs>
          <w:tab w:val="left" w:pos="720"/>
          <w:tab w:val="left" w:pos="1140"/>
        </w:tabs>
        <w:rPr>
          <w:szCs w:val="24"/>
        </w:rPr>
      </w:pPr>
    </w:p>
    <w:p w14:paraId="10A297AC" w14:textId="77777777" w:rsidR="00F9778A" w:rsidRDefault="00F9778A" w:rsidP="00F9778A">
      <w:pPr>
        <w:tabs>
          <w:tab w:val="left" w:pos="720"/>
          <w:tab w:val="left" w:pos="1140"/>
        </w:tabs>
        <w:rPr>
          <w:szCs w:val="24"/>
        </w:rPr>
      </w:pPr>
      <w:r w:rsidRPr="00BD1D04">
        <w:rPr>
          <w:szCs w:val="24"/>
        </w:rPr>
        <w:t>The applicant proposed the following MBS item descriptor:</w:t>
      </w:r>
    </w:p>
    <w:p w14:paraId="403A6410" w14:textId="77777777" w:rsidR="002A50CB" w:rsidRDefault="002A50CB" w:rsidP="00F9778A">
      <w:pPr>
        <w:pStyle w:val="Caption"/>
        <w:spacing w:before="0" w:after="0"/>
        <w:ind w:hanging="1741"/>
      </w:pPr>
      <w:bookmarkStart w:id="1" w:name="_Ref428864664"/>
    </w:p>
    <w:p w14:paraId="70D7CC71" w14:textId="77777777" w:rsidR="00F9778A" w:rsidRDefault="00F9778A" w:rsidP="00F9778A">
      <w:pPr>
        <w:pStyle w:val="Caption"/>
        <w:spacing w:before="0" w:after="0"/>
        <w:ind w:hanging="1741"/>
      </w:pPr>
      <w:r>
        <w:t xml:space="preserve">Table </w:t>
      </w:r>
      <w:fldSimple w:instr=" SEQ Table \* ARABIC ">
        <w:r w:rsidR="000414C5">
          <w:rPr>
            <w:noProof/>
          </w:rPr>
          <w:t>1</w:t>
        </w:r>
      </w:fldSimple>
      <w:bookmarkEnd w:id="1"/>
      <w:r>
        <w:t>: Proposed Item Descriptor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9778A" w:rsidRPr="00C0461A" w14:paraId="02AA0EC0" w14:textId="77777777" w:rsidTr="00F86DC0">
        <w:tc>
          <w:tcPr>
            <w:tcW w:w="5000" w:type="pct"/>
            <w:tcBorders>
              <w:top w:val="single" w:sz="4" w:space="0" w:color="auto"/>
              <w:left w:val="single" w:sz="4" w:space="0" w:color="auto"/>
              <w:bottom w:val="single" w:sz="4" w:space="0" w:color="auto"/>
              <w:right w:val="single" w:sz="4" w:space="0" w:color="auto"/>
            </w:tcBorders>
            <w:hideMark/>
          </w:tcPr>
          <w:p w14:paraId="21CAF873" w14:textId="77777777" w:rsidR="00F9778A" w:rsidRPr="00C0461A" w:rsidRDefault="00F9778A" w:rsidP="00F86DC0">
            <w:pPr>
              <w:pStyle w:val="Tableheadingleft"/>
              <w:keepNext w:val="0"/>
              <w:keepLines w:val="0"/>
              <w:spacing w:before="0" w:after="0"/>
              <w:rPr>
                <w:szCs w:val="20"/>
              </w:rPr>
            </w:pPr>
            <w:r w:rsidRPr="00C0461A">
              <w:rPr>
                <w:szCs w:val="20"/>
              </w:rPr>
              <w:t>MBS [item number] (proposed MBS item) Pathology Group P7 Genetics</w:t>
            </w:r>
          </w:p>
        </w:tc>
      </w:tr>
      <w:tr w:rsidR="00F9778A" w:rsidRPr="00C0461A" w14:paraId="046B5D73" w14:textId="77777777" w:rsidTr="004F38D2">
        <w:trPr>
          <w:trHeight w:val="558"/>
        </w:trPr>
        <w:tc>
          <w:tcPr>
            <w:tcW w:w="5000" w:type="pct"/>
            <w:tcBorders>
              <w:top w:val="single" w:sz="4" w:space="0" w:color="auto"/>
              <w:left w:val="single" w:sz="4" w:space="0" w:color="auto"/>
              <w:bottom w:val="single" w:sz="4" w:space="0" w:color="auto"/>
              <w:right w:val="single" w:sz="4" w:space="0" w:color="auto"/>
            </w:tcBorders>
            <w:hideMark/>
          </w:tcPr>
          <w:p w14:paraId="51048D5A" w14:textId="77777777" w:rsidR="00F9778A" w:rsidRPr="00C0461A" w:rsidRDefault="00F9778A" w:rsidP="00F86DC0">
            <w:pPr>
              <w:pStyle w:val="Tabletext"/>
              <w:spacing w:before="0" w:after="0"/>
            </w:pPr>
            <w:r w:rsidRPr="00C0461A">
              <w:t>Gene expression profiling of tumour samples (surgical resection preferably or core biopsy) by reverse-transcriptase polymerase chain reaction (RT-PCR) technique for 21 genes in breast cancer tissue.</w:t>
            </w:r>
          </w:p>
          <w:p w14:paraId="36AF98FB" w14:textId="77777777" w:rsidR="00F9778A" w:rsidRPr="00C0461A" w:rsidRDefault="00F9778A" w:rsidP="00F86DC0">
            <w:pPr>
              <w:pStyle w:val="Tabletext"/>
              <w:spacing w:before="0" w:after="0"/>
            </w:pPr>
            <w:r w:rsidRPr="00C0461A">
              <w:t>May only be used to test samples from patients with the following characteristics as determined by the referring clinician:</w:t>
            </w:r>
          </w:p>
          <w:p w14:paraId="098C9327" w14:textId="77777777" w:rsidR="00F9778A" w:rsidRPr="00C0461A" w:rsidRDefault="00F9778A" w:rsidP="00F9778A">
            <w:pPr>
              <w:pStyle w:val="Tabletext"/>
              <w:keepNext/>
              <w:numPr>
                <w:ilvl w:val="0"/>
                <w:numId w:val="27"/>
              </w:numPr>
              <w:spacing w:before="0" w:after="0"/>
            </w:pPr>
            <w:r w:rsidRPr="00C0461A">
              <w:t>early invasive breast cancer (stages I-II)</w:t>
            </w:r>
          </w:p>
          <w:p w14:paraId="70F5FAF5" w14:textId="77777777" w:rsidR="00F9778A" w:rsidRPr="00C0461A" w:rsidRDefault="00F9778A" w:rsidP="00F9778A">
            <w:pPr>
              <w:pStyle w:val="Tabletext"/>
              <w:keepNext/>
              <w:numPr>
                <w:ilvl w:val="0"/>
                <w:numId w:val="27"/>
              </w:numPr>
              <w:spacing w:before="0" w:after="0"/>
            </w:pPr>
            <w:r w:rsidRPr="00C0461A">
              <w:t>suitable for hormone therapy</w:t>
            </w:r>
          </w:p>
          <w:p w14:paraId="27A98743" w14:textId="77777777" w:rsidR="00F9778A" w:rsidRPr="00C0461A" w:rsidRDefault="00F9778A" w:rsidP="00F9778A">
            <w:pPr>
              <w:pStyle w:val="Tabletext"/>
              <w:keepNext/>
              <w:numPr>
                <w:ilvl w:val="0"/>
                <w:numId w:val="27"/>
              </w:numPr>
              <w:spacing w:before="0" w:after="0"/>
            </w:pPr>
            <w:r w:rsidRPr="00C0461A">
              <w:t>suitable for adjuvant chemotherapy</w:t>
            </w:r>
          </w:p>
          <w:p w14:paraId="2DB6CB5D" w14:textId="77777777" w:rsidR="00F9778A" w:rsidRPr="00C0461A" w:rsidRDefault="00F9778A" w:rsidP="00F9778A">
            <w:pPr>
              <w:pStyle w:val="Tabletext"/>
              <w:keepNext/>
              <w:numPr>
                <w:ilvl w:val="0"/>
                <w:numId w:val="27"/>
              </w:numPr>
              <w:spacing w:before="0" w:after="0"/>
            </w:pPr>
            <w:r w:rsidRPr="00C0461A">
              <w:t>ECOG performance status 0-2</w:t>
            </w:r>
          </w:p>
          <w:p w14:paraId="58A48733" w14:textId="77777777" w:rsidR="00F9778A" w:rsidRPr="00C0461A" w:rsidRDefault="00F9778A" w:rsidP="00F9778A">
            <w:pPr>
              <w:pStyle w:val="Tabletext"/>
              <w:keepNext/>
              <w:numPr>
                <w:ilvl w:val="0"/>
                <w:numId w:val="27"/>
              </w:numPr>
              <w:spacing w:before="0" w:after="0"/>
            </w:pPr>
            <w:r w:rsidRPr="00C0461A">
              <w:t>with &lt;3 "negative factors" ("negative factors" are defined in notes)</w:t>
            </w:r>
          </w:p>
          <w:p w14:paraId="3AE39641" w14:textId="77777777" w:rsidR="00F9778A" w:rsidRPr="00C0461A" w:rsidRDefault="00F9778A" w:rsidP="00F86DC0">
            <w:pPr>
              <w:pStyle w:val="Tabletext"/>
              <w:spacing w:before="0" w:after="0"/>
            </w:pPr>
            <w:r w:rsidRPr="00C0461A">
              <w:t>and</w:t>
            </w:r>
          </w:p>
          <w:p w14:paraId="48081693" w14:textId="77777777" w:rsidR="00F9778A" w:rsidRPr="00C0461A" w:rsidRDefault="00F9778A" w:rsidP="00F9778A">
            <w:pPr>
              <w:pStyle w:val="Tabletext"/>
              <w:keepNext/>
              <w:numPr>
                <w:ilvl w:val="0"/>
                <w:numId w:val="28"/>
              </w:numPr>
              <w:spacing w:before="0" w:after="0"/>
            </w:pPr>
            <w:r w:rsidRPr="00C0461A">
              <w:t>as determined by an Australian pathology laboratory:</w:t>
            </w:r>
          </w:p>
          <w:p w14:paraId="7956F2DF" w14:textId="77777777" w:rsidR="00F9778A" w:rsidRPr="00C0461A" w:rsidRDefault="00F9778A" w:rsidP="00F9778A">
            <w:pPr>
              <w:pStyle w:val="Tabletext"/>
              <w:keepNext/>
              <w:numPr>
                <w:ilvl w:val="0"/>
                <w:numId w:val="28"/>
              </w:numPr>
              <w:spacing w:before="0" w:after="0"/>
            </w:pPr>
            <w:r w:rsidRPr="00C0461A">
              <w:t>invasive tumour &gt;2mm</w:t>
            </w:r>
          </w:p>
          <w:p w14:paraId="17B03D51" w14:textId="77777777" w:rsidR="00F9778A" w:rsidRPr="00C0461A" w:rsidRDefault="00F9778A" w:rsidP="00F9778A">
            <w:pPr>
              <w:pStyle w:val="Tabletext"/>
              <w:keepNext/>
              <w:numPr>
                <w:ilvl w:val="0"/>
                <w:numId w:val="28"/>
              </w:numPr>
              <w:spacing w:before="0" w:after="0"/>
            </w:pPr>
            <w:r w:rsidRPr="00C0461A">
              <w:t>node negative or 1-3 positive nodes</w:t>
            </w:r>
          </w:p>
          <w:p w14:paraId="5F2CF9E8" w14:textId="77777777" w:rsidR="00F9778A" w:rsidRPr="00C0461A" w:rsidRDefault="00F9778A" w:rsidP="00F9778A">
            <w:pPr>
              <w:pStyle w:val="Tabletext"/>
              <w:keepNext/>
              <w:numPr>
                <w:ilvl w:val="0"/>
                <w:numId w:val="28"/>
              </w:numPr>
              <w:spacing w:before="0" w:after="0"/>
            </w:pPr>
            <w:r w:rsidRPr="00C0461A">
              <w:t>oestrogen receptor positive or progesterone receptor positive as determined by immunohistochemistry</w:t>
            </w:r>
          </w:p>
          <w:p w14:paraId="5B7C1CEF" w14:textId="77777777" w:rsidR="00F9778A" w:rsidRPr="00C0461A" w:rsidRDefault="00F9778A" w:rsidP="00F9778A">
            <w:pPr>
              <w:pStyle w:val="Tabletext"/>
              <w:keepNext/>
              <w:numPr>
                <w:ilvl w:val="0"/>
                <w:numId w:val="28"/>
              </w:numPr>
              <w:spacing w:before="0" w:after="0"/>
            </w:pPr>
            <w:r w:rsidRPr="00C0461A">
              <w:t>HER2 negative as determined by immunohistochemistry and/or in situ hybridisation</w:t>
            </w:r>
          </w:p>
          <w:p w14:paraId="436EECFE" w14:textId="77777777" w:rsidR="00F9778A" w:rsidRPr="00C0461A" w:rsidRDefault="00F9778A" w:rsidP="00F86DC0">
            <w:pPr>
              <w:pStyle w:val="Tabletext"/>
              <w:spacing w:before="0" w:after="0"/>
            </w:pPr>
          </w:p>
          <w:p w14:paraId="1186A2E5" w14:textId="77777777" w:rsidR="00F9778A" w:rsidRPr="00C0461A" w:rsidRDefault="00F9778A" w:rsidP="00F86DC0">
            <w:pPr>
              <w:pStyle w:val="Tabletext"/>
              <w:spacing w:before="0" w:after="0"/>
            </w:pPr>
            <w:r w:rsidRPr="00C0461A">
              <w:t>May only be used once per new primary breast cancer</w:t>
            </w:r>
          </w:p>
          <w:p w14:paraId="7523DDC4" w14:textId="77777777" w:rsidR="00F9778A" w:rsidRPr="00C0461A" w:rsidRDefault="00F9778A" w:rsidP="00F86DC0">
            <w:pPr>
              <w:pStyle w:val="Tabletext"/>
              <w:spacing w:before="0" w:after="0"/>
            </w:pPr>
          </w:p>
          <w:p w14:paraId="7BFF9957" w14:textId="361C7B60" w:rsidR="00F9778A" w:rsidRPr="00C0461A" w:rsidRDefault="00F9778A" w:rsidP="00F86DC0">
            <w:pPr>
              <w:pStyle w:val="Tabletext"/>
              <w:spacing w:before="0" w:after="0"/>
            </w:pPr>
            <w:r w:rsidRPr="00C0461A">
              <w:t>Fee: $</w:t>
            </w:r>
            <w:r w:rsidR="00766E56" w:rsidRPr="00766E56">
              <w:rPr>
                <w:b/>
              </w:rPr>
              <w:t xml:space="preserve"> redacted</w:t>
            </w:r>
            <w:r w:rsidRPr="00C0461A">
              <w:tab/>
            </w:r>
            <w:r w:rsidRPr="00C0461A">
              <w:tab/>
            </w:r>
            <w:r w:rsidRPr="00C0461A">
              <w:tab/>
              <w:t>Benefit (85%): $</w:t>
            </w:r>
            <w:r w:rsidR="00766E56" w:rsidRPr="00766E56">
              <w:rPr>
                <w:b/>
              </w:rPr>
              <w:t xml:space="preserve"> redacted</w:t>
            </w:r>
          </w:p>
          <w:p w14:paraId="17AAA99A" w14:textId="77777777" w:rsidR="00F9778A" w:rsidRPr="00C0461A" w:rsidRDefault="00F9778A" w:rsidP="00F86DC0">
            <w:pPr>
              <w:pStyle w:val="Tabletext"/>
              <w:spacing w:before="0" w:after="0"/>
            </w:pPr>
          </w:p>
          <w:p w14:paraId="09392A54" w14:textId="77777777" w:rsidR="00F9778A" w:rsidRPr="00C0461A" w:rsidRDefault="00F9778A" w:rsidP="00F86DC0">
            <w:pPr>
              <w:pStyle w:val="Tabletext"/>
              <w:spacing w:before="0" w:after="0"/>
            </w:pPr>
            <w:r w:rsidRPr="00C0461A">
              <w:lastRenderedPageBreak/>
              <w:t>Notes: Negative factors include any of the following tumour characteristics:</w:t>
            </w:r>
          </w:p>
          <w:p w14:paraId="71198086" w14:textId="77777777" w:rsidR="00F9778A" w:rsidRPr="00C0461A" w:rsidRDefault="00F9778A" w:rsidP="00F9778A">
            <w:pPr>
              <w:pStyle w:val="Tabletext"/>
              <w:keepNext/>
              <w:numPr>
                <w:ilvl w:val="0"/>
                <w:numId w:val="29"/>
              </w:numPr>
              <w:spacing w:before="0" w:after="0"/>
            </w:pPr>
            <w:r w:rsidRPr="00C0461A">
              <w:t>tumour size &gt;20 mm</w:t>
            </w:r>
          </w:p>
          <w:p w14:paraId="7A6494BB" w14:textId="77777777" w:rsidR="00F9778A" w:rsidRPr="00C0461A" w:rsidRDefault="00F9778A" w:rsidP="00F9778A">
            <w:pPr>
              <w:pStyle w:val="Tabletext"/>
              <w:keepNext/>
              <w:numPr>
                <w:ilvl w:val="0"/>
                <w:numId w:val="29"/>
              </w:numPr>
              <w:spacing w:before="0" w:after="0"/>
            </w:pPr>
            <w:r w:rsidRPr="00C0461A">
              <w:t>Grade 3 tumour</w:t>
            </w:r>
          </w:p>
          <w:p w14:paraId="7FAAB41A" w14:textId="77777777" w:rsidR="00F9778A" w:rsidRPr="00C0461A" w:rsidRDefault="00F9778A" w:rsidP="00F9778A">
            <w:pPr>
              <w:pStyle w:val="Tabletext"/>
              <w:keepNext/>
              <w:numPr>
                <w:ilvl w:val="0"/>
                <w:numId w:val="29"/>
              </w:numPr>
              <w:spacing w:before="0" w:after="0"/>
            </w:pPr>
            <w:r w:rsidRPr="00C0461A">
              <w:t>PR or ER &lt;10%</w:t>
            </w:r>
          </w:p>
          <w:p w14:paraId="52CC587C" w14:textId="77777777" w:rsidR="00F9778A" w:rsidRPr="00C0461A" w:rsidRDefault="00F9778A" w:rsidP="00F9778A">
            <w:pPr>
              <w:pStyle w:val="Tabletext"/>
              <w:keepNext/>
              <w:numPr>
                <w:ilvl w:val="0"/>
                <w:numId w:val="29"/>
              </w:numPr>
              <w:spacing w:before="0" w:after="0"/>
            </w:pPr>
            <w:r w:rsidRPr="00C0461A">
              <w:t xml:space="preserve">nodal </w:t>
            </w:r>
            <w:proofErr w:type="spellStart"/>
            <w:r w:rsidRPr="00C0461A">
              <w:t>macrometastases</w:t>
            </w:r>
            <w:proofErr w:type="spellEnd"/>
            <w:r w:rsidRPr="00C0461A">
              <w:t xml:space="preserve"> (&gt;2mm)</w:t>
            </w:r>
          </w:p>
        </w:tc>
      </w:tr>
    </w:tbl>
    <w:p w14:paraId="25ECB46F" w14:textId="77777777" w:rsidR="00F9778A" w:rsidRDefault="00F9778A" w:rsidP="00F9778A">
      <w:pPr>
        <w:tabs>
          <w:tab w:val="left" w:pos="720"/>
          <w:tab w:val="left" w:pos="1140"/>
        </w:tabs>
        <w:rPr>
          <w:szCs w:val="24"/>
        </w:rPr>
      </w:pPr>
    </w:p>
    <w:p w14:paraId="04D2CDE2" w14:textId="04D5D7CC" w:rsidR="00F9778A" w:rsidRPr="00BD1D04" w:rsidRDefault="00F9778A" w:rsidP="00F9778A">
      <w:pPr>
        <w:tabs>
          <w:tab w:val="left" w:pos="720"/>
          <w:tab w:val="left" w:pos="1140"/>
        </w:tabs>
        <w:rPr>
          <w:szCs w:val="24"/>
        </w:rPr>
      </w:pPr>
      <w:r w:rsidRPr="00BD1D04">
        <w:rPr>
          <w:szCs w:val="24"/>
        </w:rPr>
        <w:t>The application proposed an MBS fee of $</w:t>
      </w:r>
      <w:r w:rsidR="00766E56" w:rsidRPr="00766E56">
        <w:rPr>
          <w:b/>
        </w:rPr>
        <w:t xml:space="preserve"> redacted</w:t>
      </w:r>
      <w:r w:rsidR="00766E56" w:rsidRPr="00BD1D04" w:rsidDel="00766E56">
        <w:rPr>
          <w:szCs w:val="24"/>
        </w:rPr>
        <w:t xml:space="preserve"> </w:t>
      </w:r>
      <w:r w:rsidRPr="00BD1D04">
        <w:rPr>
          <w:szCs w:val="24"/>
        </w:rPr>
        <w:t>to cover the costs of collecting and preparing the sample (performed in Australia</w:t>
      </w:r>
      <w:r>
        <w:rPr>
          <w:szCs w:val="24"/>
        </w:rPr>
        <w:t xml:space="preserve">. The proposed fee </w:t>
      </w:r>
      <w:r w:rsidR="004F38D2">
        <w:rPr>
          <w:szCs w:val="24"/>
        </w:rPr>
        <w:t>wa</w:t>
      </w:r>
      <w:r>
        <w:rPr>
          <w:szCs w:val="24"/>
        </w:rPr>
        <w:t xml:space="preserve">s higher than the previous resubmission, however no justification for the increase </w:t>
      </w:r>
      <w:r w:rsidR="004F38D2">
        <w:rPr>
          <w:szCs w:val="24"/>
        </w:rPr>
        <w:t>w</w:t>
      </w:r>
      <w:r>
        <w:rPr>
          <w:szCs w:val="24"/>
        </w:rPr>
        <w:t>as provided.</w:t>
      </w:r>
    </w:p>
    <w:p w14:paraId="26311C7D" w14:textId="77777777" w:rsidR="00F9778A" w:rsidRDefault="00F9778A" w:rsidP="00F9778A">
      <w:pPr>
        <w:tabs>
          <w:tab w:val="left" w:pos="720"/>
          <w:tab w:val="left" w:pos="1140"/>
        </w:tabs>
        <w:rPr>
          <w:szCs w:val="24"/>
        </w:rPr>
      </w:pPr>
    </w:p>
    <w:p w14:paraId="451EA287" w14:textId="77777777" w:rsidR="00F9778A" w:rsidRPr="00BD1D04" w:rsidRDefault="00F9778A" w:rsidP="00F9778A">
      <w:pPr>
        <w:tabs>
          <w:tab w:val="left" w:pos="720"/>
          <w:tab w:val="left" w:pos="1140"/>
        </w:tabs>
        <w:rPr>
          <w:szCs w:val="24"/>
        </w:rPr>
      </w:pPr>
      <w:r w:rsidRPr="00BD1D04">
        <w:rPr>
          <w:szCs w:val="24"/>
        </w:rPr>
        <w:t>The application state</w:t>
      </w:r>
      <w:r>
        <w:rPr>
          <w:szCs w:val="24"/>
        </w:rPr>
        <w:t>d</w:t>
      </w:r>
      <w:r w:rsidRPr="00BD1D04">
        <w:rPr>
          <w:szCs w:val="24"/>
        </w:rPr>
        <w:t xml:space="preserve"> that the majority of the MBS fee is the GHI charge for performing the assay and delivering the results whereas the cost of obtaining the Oncotype DX Specimen Kit amounts to a small fraction of the proposed MBS fee. The applicant </w:t>
      </w:r>
      <w:r>
        <w:rPr>
          <w:szCs w:val="24"/>
        </w:rPr>
        <w:t>indicated th</w:t>
      </w:r>
      <w:r w:rsidR="00F35D58">
        <w:rPr>
          <w:szCs w:val="24"/>
        </w:rPr>
        <w:t>at it was</w:t>
      </w:r>
      <w:r>
        <w:rPr>
          <w:szCs w:val="24"/>
        </w:rPr>
        <w:t xml:space="preserve"> </w:t>
      </w:r>
      <w:r w:rsidRPr="00BD1D04">
        <w:rPr>
          <w:szCs w:val="24"/>
        </w:rPr>
        <w:t>willing to negotiate the MBS fee to ensure equitable and cost-effective access in Australia.</w:t>
      </w:r>
    </w:p>
    <w:p w14:paraId="434DFAF2" w14:textId="77777777" w:rsidR="00F35D58" w:rsidRDefault="00F35D58" w:rsidP="00F9778A">
      <w:pPr>
        <w:tabs>
          <w:tab w:val="left" w:pos="720"/>
          <w:tab w:val="left" w:pos="1140"/>
        </w:tabs>
        <w:rPr>
          <w:szCs w:val="24"/>
        </w:rPr>
      </w:pPr>
    </w:p>
    <w:p w14:paraId="21A0F0F4" w14:textId="7B4705D3" w:rsidR="00F9778A" w:rsidRDefault="00F9778A" w:rsidP="00F9778A">
      <w:pPr>
        <w:tabs>
          <w:tab w:val="left" w:pos="720"/>
          <w:tab w:val="left" w:pos="1140"/>
        </w:tabs>
        <w:rPr>
          <w:szCs w:val="24"/>
        </w:rPr>
      </w:pPr>
      <w:r>
        <w:rPr>
          <w:szCs w:val="24"/>
        </w:rPr>
        <w:t xml:space="preserve">This </w:t>
      </w:r>
      <w:r w:rsidRPr="00BD1D04">
        <w:rPr>
          <w:szCs w:val="24"/>
        </w:rPr>
        <w:t>re-submission</w:t>
      </w:r>
      <w:r>
        <w:rPr>
          <w:szCs w:val="24"/>
        </w:rPr>
        <w:t xml:space="preserve"> included a proposal to reduce the </w:t>
      </w:r>
      <w:r w:rsidRPr="00BD1D04">
        <w:rPr>
          <w:szCs w:val="24"/>
        </w:rPr>
        <w:t xml:space="preserve">MBS fee to </w:t>
      </w:r>
      <w:r w:rsidRPr="00E1221C">
        <w:rPr>
          <w:szCs w:val="24"/>
        </w:rPr>
        <w:t>$</w:t>
      </w:r>
      <w:r w:rsidR="00766E56" w:rsidRPr="00766E56">
        <w:rPr>
          <w:b/>
        </w:rPr>
        <w:t xml:space="preserve"> redacted</w:t>
      </w:r>
      <w:r w:rsidR="00766E56" w:rsidRPr="00E1221C" w:rsidDel="00766E56">
        <w:rPr>
          <w:szCs w:val="24"/>
        </w:rPr>
        <w:t xml:space="preserve"> </w:t>
      </w:r>
      <w:r>
        <w:rPr>
          <w:szCs w:val="24"/>
        </w:rPr>
        <w:t>under a confidential pricing arrangement involving:</w:t>
      </w:r>
    </w:p>
    <w:p w14:paraId="36488EB8" w14:textId="6EB7654A" w:rsidR="00F9778A" w:rsidRDefault="00F9778A" w:rsidP="00F9778A">
      <w:pPr>
        <w:pStyle w:val="ListParagraph"/>
        <w:numPr>
          <w:ilvl w:val="0"/>
          <w:numId w:val="26"/>
        </w:numPr>
        <w:tabs>
          <w:tab w:val="clear" w:pos="1080"/>
          <w:tab w:val="left" w:pos="284"/>
          <w:tab w:val="num" w:pos="851"/>
          <w:tab w:val="left" w:pos="1134"/>
        </w:tabs>
        <w:ind w:left="284" w:hanging="284"/>
      </w:pPr>
      <w:r>
        <w:t xml:space="preserve">listing </w:t>
      </w:r>
      <w:r w:rsidRPr="00C0461A">
        <w:t xml:space="preserve">the </w:t>
      </w:r>
      <w:r>
        <w:t xml:space="preserve">service </w:t>
      </w:r>
      <w:r w:rsidRPr="00C0461A">
        <w:t>on the MBS at a fee of $</w:t>
      </w:r>
      <w:r w:rsidR="00766E56" w:rsidRPr="00766E56">
        <w:rPr>
          <w:b/>
        </w:rPr>
        <w:t xml:space="preserve"> redacted</w:t>
      </w:r>
      <w:r>
        <w:t>;</w:t>
      </w:r>
    </w:p>
    <w:p w14:paraId="1897E6AA" w14:textId="0CB5A878" w:rsidR="00F9778A" w:rsidRDefault="00F9778A" w:rsidP="00F9778A">
      <w:pPr>
        <w:pStyle w:val="ListParagraph"/>
        <w:numPr>
          <w:ilvl w:val="0"/>
          <w:numId w:val="26"/>
        </w:numPr>
        <w:tabs>
          <w:tab w:val="clear" w:pos="1080"/>
          <w:tab w:val="left" w:pos="284"/>
          <w:tab w:val="left" w:pos="720"/>
          <w:tab w:val="num" w:pos="851"/>
          <w:tab w:val="left" w:pos="1134"/>
        </w:tabs>
        <w:ind w:left="284" w:hanging="284"/>
      </w:pPr>
      <w:r>
        <w:t>STA w</w:t>
      </w:r>
      <w:r w:rsidR="00F35D58">
        <w:t>ould</w:t>
      </w:r>
      <w:r>
        <w:t xml:space="preserve"> charge patients $</w:t>
      </w:r>
      <w:r w:rsidR="00766E56" w:rsidRPr="00766E56">
        <w:rPr>
          <w:b/>
        </w:rPr>
        <w:t xml:space="preserve"> redacted</w:t>
      </w:r>
      <w:r w:rsidR="00766E56" w:rsidDel="00766E56">
        <w:t xml:space="preserve"> </w:t>
      </w:r>
      <w:r>
        <w:t>per service;</w:t>
      </w:r>
    </w:p>
    <w:p w14:paraId="1678B59E" w14:textId="0AA7885B" w:rsidR="00F9778A" w:rsidRDefault="00F9778A" w:rsidP="00F9778A">
      <w:pPr>
        <w:pStyle w:val="ListParagraph"/>
        <w:numPr>
          <w:ilvl w:val="0"/>
          <w:numId w:val="26"/>
        </w:numPr>
        <w:tabs>
          <w:tab w:val="clear" w:pos="1080"/>
          <w:tab w:val="left" w:pos="284"/>
          <w:tab w:val="left" w:pos="720"/>
          <w:tab w:val="num" w:pos="851"/>
          <w:tab w:val="left" w:pos="1134"/>
        </w:tabs>
        <w:ind w:left="284" w:hanging="284"/>
      </w:pPr>
      <w:r>
        <w:t>patients would be reimbursed through Medicare for the $</w:t>
      </w:r>
      <w:r w:rsidR="00766E56" w:rsidRPr="00766E56">
        <w:rPr>
          <w:b/>
        </w:rPr>
        <w:t xml:space="preserve"> redacted</w:t>
      </w:r>
      <w:r w:rsidR="00766E56" w:rsidDel="00766E56">
        <w:t xml:space="preserve"> </w:t>
      </w:r>
      <w:r>
        <w:t>fee, at the 85% rebate level, with a maximum permissible gap of $</w:t>
      </w:r>
      <w:r w:rsidR="00766E56" w:rsidRPr="00766E56">
        <w:rPr>
          <w:b/>
        </w:rPr>
        <w:t xml:space="preserve"> redacted</w:t>
      </w:r>
      <w:r w:rsidR="00766E56" w:rsidDel="00766E56">
        <w:t xml:space="preserve"> </w:t>
      </w:r>
      <w:r>
        <w:t>gap between the MBS fee and rebate (see Section G.10.1(c) of the Medicare</w:t>
      </w:r>
      <w:r w:rsidR="00535936">
        <w:t xml:space="preserve"> Benefits Schedule, November 2015</w:t>
      </w:r>
      <w:r>
        <w:t xml:space="preserve">) or the 75% rebate level if the sample is taken during hospitalisation (See section G.10.1 if the Medicare Benefits Schedule, </w:t>
      </w:r>
      <w:r w:rsidR="00535936">
        <w:t>November 2015</w:t>
      </w:r>
      <w:r>
        <w:t>);</w:t>
      </w:r>
    </w:p>
    <w:p w14:paraId="2FDC282B" w14:textId="77777777" w:rsidR="00F9778A" w:rsidRDefault="00F9778A" w:rsidP="00F9778A">
      <w:pPr>
        <w:pStyle w:val="ListParagraph"/>
        <w:numPr>
          <w:ilvl w:val="0"/>
          <w:numId w:val="26"/>
        </w:numPr>
        <w:tabs>
          <w:tab w:val="clear" w:pos="1080"/>
          <w:tab w:val="left" w:pos="284"/>
          <w:tab w:val="left" w:pos="720"/>
          <w:tab w:val="num" w:pos="851"/>
          <w:tab w:val="left" w:pos="1134"/>
        </w:tabs>
        <w:ind w:left="284" w:hanging="284"/>
      </w:pPr>
      <w:r>
        <w:t>the Department of Health or Department of Human Services would record total number of MBS services, as is current standard practice, in a given period (e.g. 12 months); and</w:t>
      </w:r>
    </w:p>
    <w:p w14:paraId="2BFDD52F" w14:textId="6A0B5E02" w:rsidR="00F9778A" w:rsidRPr="00CF1496" w:rsidRDefault="00F9778A" w:rsidP="00F9778A">
      <w:pPr>
        <w:pStyle w:val="ListParagraph"/>
        <w:numPr>
          <w:ilvl w:val="0"/>
          <w:numId w:val="26"/>
        </w:numPr>
        <w:tabs>
          <w:tab w:val="clear" w:pos="1080"/>
          <w:tab w:val="left" w:pos="284"/>
          <w:tab w:val="left" w:pos="720"/>
          <w:tab w:val="num" w:pos="851"/>
          <w:tab w:val="left" w:pos="1134"/>
        </w:tabs>
        <w:ind w:left="284" w:hanging="284"/>
        <w:rPr>
          <w:szCs w:val="24"/>
        </w:rPr>
      </w:pPr>
      <w:proofErr w:type="gramStart"/>
      <w:r>
        <w:t>the</w:t>
      </w:r>
      <w:proofErr w:type="gramEnd"/>
      <w:r>
        <w:t xml:space="preserve"> Department of Health would seek a rebate from STA of an amount equivalent to $</w:t>
      </w:r>
      <w:r w:rsidR="007B54F2">
        <w:t> </w:t>
      </w:r>
      <w:r w:rsidR="00766E56" w:rsidRPr="00766E56">
        <w:rPr>
          <w:b/>
        </w:rPr>
        <w:t>redacted</w:t>
      </w:r>
      <w:r w:rsidR="000C632A">
        <w:t> </w:t>
      </w:r>
      <w:r>
        <w:t>($</w:t>
      </w:r>
      <w:r w:rsidR="007B54F2">
        <w:t xml:space="preserve"> </w:t>
      </w:r>
      <w:r w:rsidR="00766E56" w:rsidRPr="00766E56">
        <w:rPr>
          <w:b/>
        </w:rPr>
        <w:t>redacted</w:t>
      </w:r>
      <w:r w:rsidR="00766E56" w:rsidDel="00766E56">
        <w:t xml:space="preserve"> </w:t>
      </w:r>
      <w:r>
        <w:t>less $</w:t>
      </w:r>
      <w:r w:rsidR="00766E56" w:rsidRPr="00766E56">
        <w:rPr>
          <w:b/>
        </w:rPr>
        <w:t xml:space="preserve"> redacted</w:t>
      </w:r>
      <w:r>
        <w:t>) for each service processed.</w:t>
      </w:r>
    </w:p>
    <w:p w14:paraId="43E84491" w14:textId="77777777" w:rsidR="00BC1364" w:rsidRPr="00F35D58" w:rsidRDefault="00BC1364" w:rsidP="00AB3BFC">
      <w:pPr>
        <w:tabs>
          <w:tab w:val="left" w:pos="720"/>
          <w:tab w:val="left" w:pos="1140"/>
        </w:tabs>
        <w:rPr>
          <w:szCs w:val="24"/>
        </w:rPr>
      </w:pPr>
    </w:p>
    <w:p w14:paraId="409B3602" w14:textId="77777777" w:rsidR="00BC1364" w:rsidRPr="007B32D1" w:rsidRDefault="00BC1364" w:rsidP="007B32D1">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14:paraId="1D73C192" w14:textId="77777777" w:rsidR="00BC1364" w:rsidRPr="00F35D58" w:rsidRDefault="00BC1364" w:rsidP="00DD2858">
      <w:pPr>
        <w:rPr>
          <w:szCs w:val="24"/>
        </w:rPr>
      </w:pPr>
    </w:p>
    <w:p w14:paraId="7CD5C584" w14:textId="77777777" w:rsidR="00F9778A" w:rsidRDefault="00F9778A" w:rsidP="00F9778A">
      <w:pPr>
        <w:tabs>
          <w:tab w:val="left" w:pos="720"/>
          <w:tab w:val="left" w:pos="1140"/>
        </w:tabs>
      </w:pPr>
      <w:r w:rsidRPr="009D25CB">
        <w:t xml:space="preserve">Feedback on the original </w:t>
      </w:r>
      <w:r>
        <w:t>draft protocol</w:t>
      </w:r>
      <w:r w:rsidRPr="009D25CB">
        <w:t xml:space="preserve"> broadly supported GEP testing on the basis that knowledge of the susceptibilities of a patient’s br</w:t>
      </w:r>
      <w:r w:rsidR="00F35D58">
        <w:t>east cancer to chemotherapy and</w:t>
      </w:r>
      <w:r w:rsidRPr="009D25CB">
        <w:t>/or endocrine therapy would allow more informed treatment decisions with appro</w:t>
      </w:r>
      <w:r w:rsidR="00F35D58">
        <w:t>priate combinations of therapy.</w:t>
      </w:r>
    </w:p>
    <w:p w14:paraId="30076419" w14:textId="77777777" w:rsidR="00F9778A" w:rsidRDefault="00F9778A" w:rsidP="00F9778A">
      <w:pPr>
        <w:tabs>
          <w:tab w:val="left" w:pos="720"/>
          <w:tab w:val="left" w:pos="1140"/>
        </w:tabs>
      </w:pPr>
    </w:p>
    <w:p w14:paraId="2697D266" w14:textId="493C7B1F" w:rsidR="00F9778A" w:rsidRDefault="00F9778A" w:rsidP="00F9778A">
      <w:pPr>
        <w:tabs>
          <w:tab w:val="left" w:pos="720"/>
          <w:tab w:val="left" w:pos="1140"/>
        </w:tabs>
      </w:pPr>
      <w:r>
        <w:t xml:space="preserve">Feedback from consumers suggested </w:t>
      </w:r>
      <w:r w:rsidRPr="009D25CB">
        <w:t>that public access to the intervention would mean better diagnosis</w:t>
      </w:r>
      <w:r>
        <w:t>,</w:t>
      </w:r>
      <w:r w:rsidRPr="009D25CB">
        <w:t xml:space="preserve"> and therefore better patient outcomes</w:t>
      </w:r>
      <w:r>
        <w:t>,</w:t>
      </w:r>
      <w:r w:rsidRPr="009D25CB">
        <w:t xml:space="preserve"> and </w:t>
      </w:r>
      <w:r>
        <w:t>noted</w:t>
      </w:r>
      <w:r w:rsidRPr="009D25CB">
        <w:t xml:space="preserve"> that </w:t>
      </w:r>
      <w:r>
        <w:t>breast cancer affected</w:t>
      </w:r>
      <w:r w:rsidRPr="009D25CB">
        <w:t xml:space="preserve"> 12,670</w:t>
      </w:r>
      <w:r w:rsidR="000C632A">
        <w:t> </w:t>
      </w:r>
      <w:r w:rsidRPr="009D25CB">
        <w:t>women per year.</w:t>
      </w:r>
      <w:r>
        <w:t xml:space="preserve"> However, it was unclear whether consumers understood the test would be </w:t>
      </w:r>
      <w:r w:rsidRPr="001A6172">
        <w:t>prognostic</w:t>
      </w:r>
      <w:r>
        <w:t xml:space="preserve">, </w:t>
      </w:r>
      <w:r w:rsidRPr="001A6172">
        <w:t>providing a risk figure to help inform the broader clinical outlook</w:t>
      </w:r>
      <w:r>
        <w:t xml:space="preserve">, rather than </w:t>
      </w:r>
      <w:r w:rsidRPr="001A6172">
        <w:t>diagnostic</w:t>
      </w:r>
      <w:r>
        <w:t>.</w:t>
      </w:r>
    </w:p>
    <w:p w14:paraId="296F5930" w14:textId="77777777" w:rsidR="00F9778A" w:rsidRDefault="00F9778A" w:rsidP="00F9778A">
      <w:pPr>
        <w:tabs>
          <w:tab w:val="left" w:pos="720"/>
          <w:tab w:val="left" w:pos="1140"/>
        </w:tabs>
      </w:pPr>
    </w:p>
    <w:p w14:paraId="2FBD60E1" w14:textId="77777777" w:rsidR="00F9778A" w:rsidRPr="009D25CB" w:rsidRDefault="00F9778A" w:rsidP="00F9778A">
      <w:pPr>
        <w:tabs>
          <w:tab w:val="left" w:pos="720"/>
          <w:tab w:val="left" w:pos="1140"/>
        </w:tabs>
      </w:pPr>
      <w:r w:rsidRPr="009D25CB">
        <w:t>Feedback also suggested that, for women with a recurrence score which indicates chemotherapy is not required, there would be advantages in avoiding a toxic treatment and its associated side effects that may ultim</w:t>
      </w:r>
      <w:r w:rsidR="00F35D58">
        <w:t>ately be of no benefit to them.</w:t>
      </w:r>
    </w:p>
    <w:p w14:paraId="0F3A546F" w14:textId="77777777" w:rsidR="00F9778A" w:rsidRDefault="00F9778A" w:rsidP="00F9778A">
      <w:pPr>
        <w:tabs>
          <w:tab w:val="left" w:pos="720"/>
          <w:tab w:val="left" w:pos="1140"/>
        </w:tabs>
      </w:pPr>
    </w:p>
    <w:p w14:paraId="4BC5DEBF" w14:textId="77777777" w:rsidR="00F9778A" w:rsidRDefault="00F9778A" w:rsidP="00F9778A">
      <w:pPr>
        <w:tabs>
          <w:tab w:val="left" w:pos="720"/>
          <w:tab w:val="left" w:pos="1140"/>
        </w:tabs>
      </w:pPr>
      <w:r w:rsidRPr="009D25CB">
        <w:t>Many consultation responses considered the cost of the test as out of reach for most women; and it was suggested that listing the test may improve access. Responses indicated that whilst the test was not perfect, it could be an important tool to assist women in making decis</w:t>
      </w:r>
      <w:r>
        <w:t>ions regarding their treatment.</w:t>
      </w:r>
    </w:p>
    <w:p w14:paraId="00FF169D" w14:textId="77777777" w:rsidR="00F9778A" w:rsidRPr="00F35D58" w:rsidRDefault="00F9778A" w:rsidP="00F9778A">
      <w:pPr>
        <w:tabs>
          <w:tab w:val="left" w:pos="720"/>
          <w:tab w:val="left" w:pos="1140"/>
        </w:tabs>
      </w:pPr>
    </w:p>
    <w:p w14:paraId="5513349D" w14:textId="77777777" w:rsidR="00BC1364" w:rsidRDefault="00BC1364" w:rsidP="007B32D1">
      <w:pPr>
        <w:pStyle w:val="Heading1"/>
        <w:numPr>
          <w:ilvl w:val="0"/>
          <w:numId w:val="23"/>
        </w:numPr>
        <w:ind w:hanging="720"/>
      </w:pPr>
      <w:r w:rsidRPr="00D90A38">
        <w:lastRenderedPageBreak/>
        <w:t>Proposed intervention’s place in clinical management</w:t>
      </w:r>
    </w:p>
    <w:p w14:paraId="5CD651FD" w14:textId="77777777" w:rsidR="00BC1364" w:rsidRPr="00F35D58" w:rsidRDefault="00BC1364" w:rsidP="00DD2858">
      <w:pPr>
        <w:rPr>
          <w:szCs w:val="24"/>
        </w:rPr>
      </w:pPr>
    </w:p>
    <w:p w14:paraId="25142BE1" w14:textId="77777777" w:rsidR="00034FE5" w:rsidRDefault="00034FE5" w:rsidP="00034FE5">
      <w:pPr>
        <w:tabs>
          <w:tab w:val="left" w:pos="720"/>
          <w:tab w:val="left" w:pos="1140"/>
        </w:tabs>
      </w:pPr>
      <w:r w:rsidRPr="0088621F">
        <w:t xml:space="preserve">This </w:t>
      </w:r>
      <w:r w:rsidR="00F35D58">
        <w:t>wa</w:t>
      </w:r>
      <w:r w:rsidRPr="0088621F">
        <w:t xml:space="preserve">s a new intervention as there </w:t>
      </w:r>
      <w:r w:rsidR="00F35D58">
        <w:t>wa</w:t>
      </w:r>
      <w:r w:rsidRPr="0088621F">
        <w:t xml:space="preserve">s </w:t>
      </w:r>
      <w:r w:rsidR="00F35D58">
        <w:t xml:space="preserve">currently </w:t>
      </w:r>
      <w:r w:rsidRPr="0088621F">
        <w:t xml:space="preserve">no tumour specific chemotherapy subtyping tool available </w:t>
      </w:r>
      <w:r w:rsidR="00F35D58">
        <w:t xml:space="preserve">involving genetic testing </w:t>
      </w:r>
      <w:r w:rsidRPr="0088621F">
        <w:t>to determine the likelihood of benefit</w:t>
      </w:r>
      <w:r w:rsidR="00F35D58">
        <w:t>ing from adjuvant chemotherapy.</w:t>
      </w:r>
    </w:p>
    <w:p w14:paraId="11E42FD5" w14:textId="77777777" w:rsidR="00F35D58" w:rsidRPr="0088621F" w:rsidRDefault="00F35D58" w:rsidP="00034FE5">
      <w:pPr>
        <w:tabs>
          <w:tab w:val="left" w:pos="720"/>
          <w:tab w:val="left" w:pos="1140"/>
        </w:tabs>
      </w:pPr>
    </w:p>
    <w:p w14:paraId="7A0BB0BA" w14:textId="77777777" w:rsidR="00034FE5" w:rsidRDefault="00034FE5" w:rsidP="00034FE5">
      <w:pPr>
        <w:tabs>
          <w:tab w:val="left" w:pos="720"/>
          <w:tab w:val="left" w:pos="1140"/>
        </w:tabs>
      </w:pPr>
      <w:r w:rsidRPr="0088621F">
        <w:t>Currently</w:t>
      </w:r>
      <w:r w:rsidR="00F35D58">
        <w:t>,</w:t>
      </w:r>
      <w:r w:rsidRPr="0088621F">
        <w:t xml:space="preserve"> Oncotype DX testing </w:t>
      </w:r>
      <w:r w:rsidR="00F35D58">
        <w:t xml:space="preserve">would </w:t>
      </w:r>
      <w:r w:rsidRPr="0088621F">
        <w:t xml:space="preserve">not </w:t>
      </w:r>
      <w:r w:rsidR="00F35D58">
        <w:t xml:space="preserve">be </w:t>
      </w:r>
      <w:r w:rsidRPr="0088621F">
        <w:t>eligible for reimbursement under Medicare as the test is provided</w:t>
      </w:r>
      <w:r>
        <w:t xml:space="preserve"> by a single laboratory</w:t>
      </w:r>
      <w:r w:rsidRPr="0088621F">
        <w:t xml:space="preserve"> outside Australia</w:t>
      </w:r>
      <w:r>
        <w:t xml:space="preserve">, and </w:t>
      </w:r>
      <w:r w:rsidRPr="00D339AE">
        <w:t>only laboratories</w:t>
      </w:r>
      <w:r>
        <w:t xml:space="preserve"> accredited by the </w:t>
      </w:r>
      <w:r w:rsidRPr="00D339AE">
        <w:t>National Association of Test</w:t>
      </w:r>
      <w:r>
        <w:t>ing Authorities (NATA)</w:t>
      </w:r>
      <w:r w:rsidRPr="00D339AE">
        <w:t xml:space="preserve"> can conduct pathology tests listed </w:t>
      </w:r>
      <w:r w:rsidR="00F35D58">
        <w:t>i</w:t>
      </w:r>
      <w:r w:rsidRPr="00D339AE">
        <w:t xml:space="preserve">n the </w:t>
      </w:r>
      <w:r>
        <w:t>Medica</w:t>
      </w:r>
      <w:r w:rsidR="00F35D58">
        <w:t>re</w:t>
      </w:r>
      <w:r>
        <w:t xml:space="preserve"> Benefits Sch</w:t>
      </w:r>
      <w:r w:rsidR="00F35D58">
        <w:t>edul</w:t>
      </w:r>
      <w:r>
        <w:t>e (</w:t>
      </w:r>
      <w:r w:rsidRPr="00D339AE">
        <w:t>MBS</w:t>
      </w:r>
      <w:r>
        <w:t>)</w:t>
      </w:r>
      <w:r w:rsidR="00F35D58">
        <w:t>.</w:t>
      </w:r>
    </w:p>
    <w:p w14:paraId="2D87D22C" w14:textId="77777777" w:rsidR="00F35D58" w:rsidRDefault="00F35D58" w:rsidP="00034FE5">
      <w:pPr>
        <w:tabs>
          <w:tab w:val="left" w:pos="720"/>
          <w:tab w:val="left" w:pos="1140"/>
        </w:tabs>
      </w:pPr>
    </w:p>
    <w:p w14:paraId="4E96AC8A" w14:textId="77777777" w:rsidR="00034FE5" w:rsidRDefault="00034FE5" w:rsidP="00034FE5">
      <w:pPr>
        <w:tabs>
          <w:tab w:val="left" w:pos="720"/>
          <w:tab w:val="left" w:pos="1140"/>
        </w:tabs>
      </w:pPr>
      <w:r>
        <w:t xml:space="preserve">Without amendment, current legislation governing the MBS would prevent reimbursement through the MBS. If listing of this service </w:t>
      </w:r>
      <w:r w:rsidR="00F35D58">
        <w:t>were to be</w:t>
      </w:r>
      <w:r>
        <w:t xml:space="preserve"> supported, this would be a matter for </w:t>
      </w:r>
      <w:r w:rsidR="00535936">
        <w:t>government.</w:t>
      </w:r>
    </w:p>
    <w:p w14:paraId="0565F9B6" w14:textId="77777777" w:rsidR="00034FE5" w:rsidRDefault="00034FE5" w:rsidP="00034FE5">
      <w:pPr>
        <w:tabs>
          <w:tab w:val="left" w:pos="720"/>
          <w:tab w:val="left" w:pos="1140"/>
        </w:tabs>
      </w:pPr>
    </w:p>
    <w:p w14:paraId="34296AD9" w14:textId="77777777" w:rsidR="00034FE5" w:rsidRPr="009D25CB" w:rsidRDefault="00034FE5" w:rsidP="00034FE5">
      <w:pPr>
        <w:tabs>
          <w:tab w:val="left" w:pos="720"/>
          <w:tab w:val="left" w:pos="1140"/>
        </w:tabs>
        <w:rPr>
          <w:szCs w:val="24"/>
        </w:rPr>
      </w:pPr>
      <w:r w:rsidRPr="009D25CB">
        <w:rPr>
          <w:szCs w:val="24"/>
        </w:rPr>
        <w:t>The resubmission maintain</w:t>
      </w:r>
      <w:r w:rsidR="00F35D58">
        <w:rPr>
          <w:szCs w:val="24"/>
        </w:rPr>
        <w:t>ed that</w:t>
      </w:r>
      <w:r w:rsidRPr="009D25CB">
        <w:rPr>
          <w:szCs w:val="24"/>
        </w:rPr>
        <w:t xml:space="preserve"> molecular classification </w:t>
      </w:r>
      <w:r w:rsidR="00F35D58">
        <w:rPr>
          <w:szCs w:val="24"/>
        </w:rPr>
        <w:t>would be</w:t>
      </w:r>
      <w:r w:rsidRPr="009D25CB">
        <w:rPr>
          <w:szCs w:val="24"/>
        </w:rPr>
        <w:t xml:space="preserve"> an adjunct to current clinical practice rather than replacing any part of it.</w:t>
      </w:r>
    </w:p>
    <w:p w14:paraId="33F4D55C" w14:textId="77777777" w:rsidR="00034FE5" w:rsidRPr="00BD1D04" w:rsidRDefault="00034FE5" w:rsidP="00034FE5">
      <w:pPr>
        <w:tabs>
          <w:tab w:val="left" w:pos="720"/>
          <w:tab w:val="left" w:pos="1140"/>
        </w:tabs>
      </w:pPr>
    </w:p>
    <w:p w14:paraId="52A9EBAF" w14:textId="77777777" w:rsidR="00034FE5" w:rsidRDefault="00034FE5" w:rsidP="00034FE5">
      <w:pPr>
        <w:tabs>
          <w:tab w:val="left" w:pos="720"/>
          <w:tab w:val="left" w:pos="1140"/>
        </w:tabs>
        <w:rPr>
          <w:szCs w:val="24"/>
        </w:rPr>
      </w:pPr>
      <w:r>
        <w:rPr>
          <w:szCs w:val="24"/>
        </w:rPr>
        <w:t>T</w:t>
      </w:r>
      <w:r w:rsidRPr="009D25CB">
        <w:rPr>
          <w:szCs w:val="24"/>
        </w:rPr>
        <w:t xml:space="preserve">he algorithm </w:t>
      </w:r>
      <w:r>
        <w:rPr>
          <w:szCs w:val="24"/>
        </w:rPr>
        <w:t xml:space="preserve">provided in the resubmission </w:t>
      </w:r>
      <w:r w:rsidR="00F35D58">
        <w:rPr>
          <w:szCs w:val="24"/>
        </w:rPr>
        <w:t>w</w:t>
      </w:r>
      <w:r>
        <w:rPr>
          <w:szCs w:val="24"/>
        </w:rPr>
        <w:t xml:space="preserve">as updated from </w:t>
      </w:r>
      <w:r w:rsidRPr="009D25CB">
        <w:rPr>
          <w:szCs w:val="24"/>
        </w:rPr>
        <w:t xml:space="preserve">the original </w:t>
      </w:r>
      <w:r>
        <w:rPr>
          <w:szCs w:val="24"/>
        </w:rPr>
        <w:t xml:space="preserve">Protocol and submission. In the algorithm for 1342.2, </w:t>
      </w:r>
      <w:r w:rsidRPr="009D25CB">
        <w:rPr>
          <w:szCs w:val="24"/>
        </w:rPr>
        <w:t xml:space="preserve">immunohistochemistry for hormone receptor status, HER2 status and potentially Ki-67 </w:t>
      </w:r>
      <w:r>
        <w:rPr>
          <w:szCs w:val="24"/>
        </w:rPr>
        <w:t>would only be</w:t>
      </w:r>
      <w:r w:rsidRPr="009D25CB">
        <w:rPr>
          <w:szCs w:val="24"/>
        </w:rPr>
        <w:t xml:space="preserve"> conducted </w:t>
      </w:r>
      <w:r>
        <w:rPr>
          <w:szCs w:val="24"/>
        </w:rPr>
        <w:t xml:space="preserve">after </w:t>
      </w:r>
      <w:r w:rsidRPr="009D25CB">
        <w:rPr>
          <w:szCs w:val="24"/>
        </w:rPr>
        <w:t xml:space="preserve">surgical resection; the assessment of eligibility for the proposed test </w:t>
      </w:r>
      <w:r w:rsidR="00F35D58">
        <w:rPr>
          <w:szCs w:val="24"/>
        </w:rPr>
        <w:t xml:space="preserve">would also be </w:t>
      </w:r>
      <w:r w:rsidRPr="009D25CB">
        <w:rPr>
          <w:szCs w:val="24"/>
        </w:rPr>
        <w:t xml:space="preserve">based on </w:t>
      </w:r>
      <w:r>
        <w:rPr>
          <w:szCs w:val="24"/>
        </w:rPr>
        <w:t xml:space="preserve">the number of </w:t>
      </w:r>
      <w:r w:rsidRPr="009D25CB">
        <w:rPr>
          <w:szCs w:val="24"/>
        </w:rPr>
        <w:t>negative factors; and re-testing</w:t>
      </w:r>
      <w:r w:rsidR="00F35D58">
        <w:rPr>
          <w:szCs w:val="24"/>
        </w:rPr>
        <w:t xml:space="preserve"> would not be permitted</w:t>
      </w:r>
      <w:r w:rsidRPr="009D25CB">
        <w:rPr>
          <w:szCs w:val="24"/>
        </w:rPr>
        <w:t xml:space="preserve">. </w:t>
      </w:r>
      <w:r>
        <w:rPr>
          <w:szCs w:val="24"/>
        </w:rPr>
        <w:t xml:space="preserve">Although included in the proposed descriptor, </w:t>
      </w:r>
      <w:r w:rsidR="00535936">
        <w:rPr>
          <w:szCs w:val="24"/>
        </w:rPr>
        <w:t>P</w:t>
      </w:r>
      <w:r w:rsidRPr="009D25CB">
        <w:rPr>
          <w:szCs w:val="24"/>
        </w:rPr>
        <w:t xml:space="preserve">rogesterone receptor status </w:t>
      </w:r>
      <w:r w:rsidR="00736F90">
        <w:rPr>
          <w:szCs w:val="24"/>
        </w:rPr>
        <w:t>wa</w:t>
      </w:r>
      <w:r w:rsidRPr="009D25CB">
        <w:rPr>
          <w:szCs w:val="24"/>
        </w:rPr>
        <w:t xml:space="preserve">s not explicitly </w:t>
      </w:r>
      <w:r>
        <w:rPr>
          <w:szCs w:val="24"/>
        </w:rPr>
        <w:t>identified</w:t>
      </w:r>
      <w:r w:rsidRPr="009D25CB">
        <w:rPr>
          <w:szCs w:val="24"/>
        </w:rPr>
        <w:t xml:space="preserve"> in the algorithm</w:t>
      </w:r>
      <w:r w:rsidR="00736F90">
        <w:rPr>
          <w:szCs w:val="24"/>
        </w:rPr>
        <w:t>.</w:t>
      </w:r>
    </w:p>
    <w:p w14:paraId="5BC37A6E" w14:textId="77777777" w:rsidR="00736F90" w:rsidRPr="009D25CB" w:rsidRDefault="00736F90" w:rsidP="00034FE5">
      <w:pPr>
        <w:tabs>
          <w:tab w:val="left" w:pos="720"/>
          <w:tab w:val="left" w:pos="1140"/>
        </w:tabs>
        <w:rPr>
          <w:szCs w:val="24"/>
        </w:rPr>
      </w:pPr>
    </w:p>
    <w:p w14:paraId="753CB057" w14:textId="77777777" w:rsidR="00034FE5" w:rsidRDefault="00034FE5" w:rsidP="00034FE5">
      <w:pPr>
        <w:tabs>
          <w:tab w:val="left" w:pos="720"/>
          <w:tab w:val="left" w:pos="1140"/>
        </w:tabs>
        <w:rPr>
          <w:szCs w:val="24"/>
        </w:rPr>
      </w:pPr>
      <w:r w:rsidRPr="009D25CB">
        <w:rPr>
          <w:szCs w:val="24"/>
        </w:rPr>
        <w:t xml:space="preserve">In current clinical practice (usual care), </w:t>
      </w:r>
      <w:r>
        <w:rPr>
          <w:szCs w:val="24"/>
        </w:rPr>
        <w:t>prognostic</w:t>
      </w:r>
      <w:r w:rsidRPr="009D25CB">
        <w:rPr>
          <w:szCs w:val="24"/>
        </w:rPr>
        <w:t xml:space="preserve"> factors are considered in combination with clinical judgement to determine a patient's likely risk of recurrence and likely benefit f</w:t>
      </w:r>
      <w:r w:rsidR="00736F90">
        <w:rPr>
          <w:szCs w:val="24"/>
        </w:rPr>
        <w:t>rom adjuvant</w:t>
      </w:r>
      <w:r w:rsidRPr="009D25CB">
        <w:rPr>
          <w:szCs w:val="24"/>
        </w:rPr>
        <w:t xml:space="preserve"> chemotherapy. </w:t>
      </w:r>
      <w:r>
        <w:rPr>
          <w:szCs w:val="24"/>
        </w:rPr>
        <w:t>F</w:t>
      </w:r>
      <w:r w:rsidRPr="009D25CB">
        <w:rPr>
          <w:szCs w:val="24"/>
        </w:rPr>
        <w:t xml:space="preserve">actors </w:t>
      </w:r>
      <w:r>
        <w:rPr>
          <w:szCs w:val="24"/>
        </w:rPr>
        <w:t xml:space="preserve">highlighted in the resubmission </w:t>
      </w:r>
      <w:r w:rsidRPr="009D25CB">
        <w:rPr>
          <w:szCs w:val="24"/>
        </w:rPr>
        <w:t>includ</w:t>
      </w:r>
      <w:r>
        <w:rPr>
          <w:szCs w:val="24"/>
        </w:rPr>
        <w:t xml:space="preserve">ed </w:t>
      </w:r>
      <w:r w:rsidRPr="009D25CB">
        <w:rPr>
          <w:szCs w:val="24"/>
        </w:rPr>
        <w:t>patient characteristics (</w:t>
      </w:r>
      <w:proofErr w:type="spellStart"/>
      <w:r w:rsidRPr="009D25CB">
        <w:rPr>
          <w:szCs w:val="24"/>
        </w:rPr>
        <w:t>eg</w:t>
      </w:r>
      <w:proofErr w:type="spellEnd"/>
      <w:r w:rsidRPr="009D25CB">
        <w:rPr>
          <w:szCs w:val="24"/>
        </w:rPr>
        <w:t>. age, menopausal status), tumour characteristics and the expression of genetic markers.</w:t>
      </w:r>
    </w:p>
    <w:p w14:paraId="3445E667" w14:textId="77777777" w:rsidR="00736F90" w:rsidRDefault="00736F90" w:rsidP="00034FE5">
      <w:pPr>
        <w:tabs>
          <w:tab w:val="left" w:pos="720"/>
          <w:tab w:val="left" w:pos="1140"/>
        </w:tabs>
        <w:rPr>
          <w:szCs w:val="24"/>
        </w:rPr>
      </w:pPr>
    </w:p>
    <w:p w14:paraId="78A4CD5D" w14:textId="77777777" w:rsidR="00034FE5" w:rsidRDefault="00034FE5" w:rsidP="00034FE5">
      <w:pPr>
        <w:tabs>
          <w:tab w:val="left" w:pos="720"/>
          <w:tab w:val="left" w:pos="1140"/>
        </w:tabs>
        <w:rPr>
          <w:szCs w:val="24"/>
        </w:rPr>
      </w:pPr>
      <w:r w:rsidRPr="009D25CB">
        <w:rPr>
          <w:szCs w:val="24"/>
        </w:rPr>
        <w:t xml:space="preserve">The </w:t>
      </w:r>
      <w:r w:rsidR="00736F90">
        <w:rPr>
          <w:szCs w:val="24"/>
        </w:rPr>
        <w:t>resubmission</w:t>
      </w:r>
      <w:r w:rsidRPr="009D25CB">
        <w:rPr>
          <w:szCs w:val="24"/>
        </w:rPr>
        <w:t xml:space="preserve"> state</w:t>
      </w:r>
      <w:r w:rsidR="00736F90">
        <w:rPr>
          <w:szCs w:val="24"/>
        </w:rPr>
        <w:t>d</w:t>
      </w:r>
      <w:r w:rsidRPr="009D25CB">
        <w:rPr>
          <w:szCs w:val="24"/>
        </w:rPr>
        <w:t xml:space="preserve"> that there is a greater level of uncertainty in the decision to recommend </w:t>
      </w:r>
      <w:r w:rsidR="00736F90">
        <w:rPr>
          <w:szCs w:val="24"/>
        </w:rPr>
        <w:t xml:space="preserve">adjuvant </w:t>
      </w:r>
      <w:r w:rsidRPr="009D25CB">
        <w:rPr>
          <w:szCs w:val="24"/>
        </w:rPr>
        <w:t xml:space="preserve">chemotherapy among patients with less than three </w:t>
      </w:r>
      <w:r w:rsidR="00736F90">
        <w:rPr>
          <w:szCs w:val="24"/>
        </w:rPr>
        <w:t xml:space="preserve">of the following four </w:t>
      </w:r>
      <w:r w:rsidRPr="009D25CB">
        <w:rPr>
          <w:szCs w:val="24"/>
        </w:rPr>
        <w:t>“n</w:t>
      </w:r>
      <w:r w:rsidR="00736F90">
        <w:rPr>
          <w:szCs w:val="24"/>
        </w:rPr>
        <w:t>egative factors”: tumour size &gt;20 </w:t>
      </w:r>
      <w:r w:rsidRPr="009D25CB">
        <w:rPr>
          <w:szCs w:val="24"/>
        </w:rPr>
        <w:t xml:space="preserve">mm, grade 3 </w:t>
      </w:r>
      <w:proofErr w:type="gramStart"/>
      <w:r w:rsidRPr="009D25CB">
        <w:rPr>
          <w:szCs w:val="24"/>
        </w:rPr>
        <w:t>tumour</w:t>
      </w:r>
      <w:proofErr w:type="gramEnd"/>
      <w:r w:rsidRPr="009D25CB">
        <w:rPr>
          <w:szCs w:val="24"/>
        </w:rPr>
        <w:t xml:space="preserve">, PR or ER &lt;10%, and nodal </w:t>
      </w:r>
      <w:proofErr w:type="spellStart"/>
      <w:r w:rsidRPr="009D25CB">
        <w:rPr>
          <w:szCs w:val="24"/>
        </w:rPr>
        <w:t>macrometastases</w:t>
      </w:r>
      <w:proofErr w:type="spellEnd"/>
      <w:r w:rsidRPr="009D25CB">
        <w:rPr>
          <w:szCs w:val="24"/>
        </w:rPr>
        <w:t xml:space="preserve">. These patients </w:t>
      </w:r>
      <w:r>
        <w:rPr>
          <w:szCs w:val="24"/>
        </w:rPr>
        <w:t>would</w:t>
      </w:r>
      <w:r w:rsidRPr="009D25CB">
        <w:rPr>
          <w:szCs w:val="24"/>
        </w:rPr>
        <w:t xml:space="preserve"> be eligible for the Oncotype DX test. The decisions about adjuvant chemotherapy </w:t>
      </w:r>
      <w:r>
        <w:rPr>
          <w:szCs w:val="24"/>
        </w:rPr>
        <w:t>would be</w:t>
      </w:r>
      <w:r w:rsidRPr="009D25CB">
        <w:rPr>
          <w:szCs w:val="24"/>
        </w:rPr>
        <w:t xml:space="preserve"> guided by clinical judgement as well as the Recurrence Score, and </w:t>
      </w:r>
      <w:r>
        <w:rPr>
          <w:szCs w:val="24"/>
        </w:rPr>
        <w:t>could</w:t>
      </w:r>
      <w:r w:rsidRPr="009D25CB">
        <w:rPr>
          <w:szCs w:val="24"/>
        </w:rPr>
        <w:t xml:space="preserve"> result in a lower proportion of patients r</w:t>
      </w:r>
      <w:r w:rsidR="00736F90">
        <w:rPr>
          <w:szCs w:val="24"/>
        </w:rPr>
        <w:t>eceiving adjuvant chemotherapy.</w:t>
      </w:r>
    </w:p>
    <w:p w14:paraId="656761B8" w14:textId="77777777" w:rsidR="00736F90" w:rsidRDefault="00736F90" w:rsidP="00034FE5">
      <w:pPr>
        <w:tabs>
          <w:tab w:val="left" w:pos="720"/>
          <w:tab w:val="left" w:pos="1140"/>
        </w:tabs>
        <w:rPr>
          <w:szCs w:val="24"/>
        </w:rPr>
      </w:pPr>
    </w:p>
    <w:p w14:paraId="4A1CB047" w14:textId="77777777" w:rsidR="00034FE5" w:rsidRDefault="00034FE5" w:rsidP="00034FE5">
      <w:pPr>
        <w:tabs>
          <w:tab w:val="left" w:pos="720"/>
          <w:tab w:val="left" w:pos="1140"/>
        </w:tabs>
        <w:rPr>
          <w:szCs w:val="24"/>
        </w:rPr>
      </w:pPr>
      <w:r>
        <w:rPr>
          <w:szCs w:val="24"/>
        </w:rPr>
        <w:t>The independent critique of the resubmission considered that, o</w:t>
      </w:r>
      <w:r w:rsidRPr="009D25CB">
        <w:rPr>
          <w:szCs w:val="24"/>
        </w:rPr>
        <w:t xml:space="preserve">verall, the clinical management algorithm </w:t>
      </w:r>
      <w:r>
        <w:rPr>
          <w:szCs w:val="24"/>
        </w:rPr>
        <w:t>appeared</w:t>
      </w:r>
      <w:r w:rsidRPr="009D25CB">
        <w:rPr>
          <w:szCs w:val="24"/>
        </w:rPr>
        <w:t xml:space="preserve"> reasonable given the proposed MBS</w:t>
      </w:r>
      <w:r>
        <w:rPr>
          <w:szCs w:val="24"/>
        </w:rPr>
        <w:t xml:space="preserve"> item descriptor</w:t>
      </w:r>
      <w:r w:rsidR="00736F90">
        <w:rPr>
          <w:szCs w:val="24"/>
        </w:rPr>
        <w:t>.</w:t>
      </w:r>
    </w:p>
    <w:p w14:paraId="49A364DD" w14:textId="77777777" w:rsidR="00034FE5" w:rsidRPr="00736F90" w:rsidRDefault="00034FE5" w:rsidP="00034FE5">
      <w:pPr>
        <w:rPr>
          <w:szCs w:val="24"/>
        </w:rPr>
      </w:pPr>
    </w:p>
    <w:p w14:paraId="1C6160A8" w14:textId="77777777" w:rsidR="00034FE5" w:rsidRPr="00C0461A" w:rsidRDefault="00034FE5" w:rsidP="00034FE5">
      <w:pPr>
        <w:pStyle w:val="Caption"/>
        <w:spacing w:before="0" w:after="0"/>
        <w:ind w:left="0" w:firstLine="0"/>
        <w:jc w:val="left"/>
      </w:pPr>
      <w:bookmarkStart w:id="2" w:name="_Toc405463438"/>
      <w:bookmarkStart w:id="3" w:name="_Toc421771588"/>
      <w:r w:rsidRPr="00C0461A">
        <w:lastRenderedPageBreak/>
        <w:t>Current and proposed algorithm for the use of Oncotype DX in guiding adjuvant chemotherapy</w:t>
      </w:r>
      <w:bookmarkEnd w:id="2"/>
      <w:bookmarkEnd w:id="3"/>
    </w:p>
    <w:p w14:paraId="5EC5D5DC" w14:textId="77777777" w:rsidR="00034FE5" w:rsidRDefault="00034FE5" w:rsidP="00034FE5">
      <w:r w:rsidRPr="00C0461A">
        <w:rPr>
          <w:noProof/>
        </w:rPr>
        <w:drawing>
          <wp:inline distT="0" distB="0" distL="0" distR="0" wp14:anchorId="5725C002" wp14:editId="4A43B203">
            <wp:extent cx="4484724" cy="7724851"/>
            <wp:effectExtent l="0" t="0" r="0" b="0"/>
            <wp:docPr id="20" name="Picture 5" title="Current and proposed algorithm for th use of Oncotype DX in guiding adjuvant chemo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4484663" cy="7724747"/>
                    </a:xfrm>
                    <a:prstGeom prst="rect">
                      <a:avLst/>
                    </a:prstGeom>
                    <a:noFill/>
                    <a:ln w="9525">
                      <a:noFill/>
                      <a:miter lim="800000"/>
                      <a:headEnd/>
                      <a:tailEnd/>
                    </a:ln>
                  </pic:spPr>
                </pic:pic>
              </a:graphicData>
            </a:graphic>
          </wp:inline>
        </w:drawing>
      </w:r>
    </w:p>
    <w:p w14:paraId="2D9A8FC9" w14:textId="77777777" w:rsidR="00BC1364" w:rsidRPr="008D5885" w:rsidRDefault="00736F90" w:rsidP="007B32D1">
      <w:pPr>
        <w:pStyle w:val="Heading1"/>
        <w:numPr>
          <w:ilvl w:val="0"/>
          <w:numId w:val="23"/>
        </w:numPr>
        <w:ind w:hanging="720"/>
      </w:pPr>
      <w:r>
        <w:t>Comparator</w:t>
      </w:r>
    </w:p>
    <w:p w14:paraId="1D8AD7EE" w14:textId="77777777" w:rsidR="00BC1364" w:rsidRPr="00736F90" w:rsidRDefault="00BC1364" w:rsidP="00DD2858">
      <w:pPr>
        <w:rPr>
          <w:szCs w:val="24"/>
        </w:rPr>
      </w:pPr>
    </w:p>
    <w:p w14:paraId="728A8AFE" w14:textId="77777777" w:rsidR="00034FE5" w:rsidRPr="009D25CB" w:rsidRDefault="00034FE5" w:rsidP="00034FE5">
      <w:pPr>
        <w:tabs>
          <w:tab w:val="left" w:pos="720"/>
          <w:tab w:val="left" w:pos="1140"/>
        </w:tabs>
      </w:pPr>
      <w:r w:rsidRPr="009D25CB">
        <w:rPr>
          <w:szCs w:val="24"/>
        </w:rPr>
        <w:t>The</w:t>
      </w:r>
      <w:r w:rsidRPr="006B6F55">
        <w:t xml:space="preserve"> </w:t>
      </w:r>
      <w:r>
        <w:t>resubmission retained the main comparator (usual care) that was previously accepted by MSAC, but changed its definition</w:t>
      </w:r>
      <w:r w:rsidRPr="006B6F55">
        <w:t xml:space="preserve">. </w:t>
      </w:r>
      <w:r>
        <w:t xml:space="preserve">Usual care was defined in the resubmission as </w:t>
      </w:r>
      <w:r w:rsidRPr="00BC71A0">
        <w:t xml:space="preserve">a subjective assessment of various clinical and pathological factors to </w:t>
      </w:r>
      <w:r>
        <w:t xml:space="preserve">estimate the risk of recurrence; which </w:t>
      </w:r>
      <w:r w:rsidRPr="00BC71A0">
        <w:t>may be combined using formal algorithms or using clinical judgement alone.</w:t>
      </w:r>
      <w:r>
        <w:t xml:space="preserve"> </w:t>
      </w:r>
      <w:r w:rsidRPr="009D25CB">
        <w:t xml:space="preserve">The independent critique of the resubmission noted that </w:t>
      </w:r>
      <w:r>
        <w:t>the original</w:t>
      </w:r>
      <w:r w:rsidRPr="009D25CB">
        <w:t xml:space="preserve"> </w:t>
      </w:r>
      <w:r>
        <w:t xml:space="preserve">consideration defined usual </w:t>
      </w:r>
      <w:r>
        <w:lastRenderedPageBreak/>
        <w:t>care as “</w:t>
      </w:r>
      <w:r w:rsidRPr="009D25CB">
        <w:t>traditional clinical judgement based on clinical, pathological and molecular parameters to estimate the risk of recurrence by combining them in informal or formal algorithms (PSD for MSAC Ap</w:t>
      </w:r>
      <w:r w:rsidR="00736F90">
        <w:t>plication 1342, November 2013).</w:t>
      </w:r>
    </w:p>
    <w:p w14:paraId="480321B1" w14:textId="77777777" w:rsidR="00BC1364" w:rsidRPr="00736F90" w:rsidRDefault="00BC1364" w:rsidP="00DD2858">
      <w:pPr>
        <w:rPr>
          <w:szCs w:val="24"/>
        </w:rPr>
      </w:pPr>
    </w:p>
    <w:p w14:paraId="3B306109" w14:textId="77777777" w:rsidR="00BC1364" w:rsidRPr="008D5885" w:rsidRDefault="00BC1364" w:rsidP="007B32D1">
      <w:pPr>
        <w:pStyle w:val="Heading1"/>
        <w:numPr>
          <w:ilvl w:val="0"/>
          <w:numId w:val="23"/>
        </w:numPr>
        <w:ind w:hanging="720"/>
      </w:pPr>
      <w:r w:rsidRPr="008D5885">
        <w:t>Comparative safety</w:t>
      </w:r>
    </w:p>
    <w:p w14:paraId="4A077906" w14:textId="77777777" w:rsidR="00BC1364" w:rsidRPr="00736F90" w:rsidRDefault="00BC1364" w:rsidP="00DD2858">
      <w:pPr>
        <w:pStyle w:val="ListParagraph"/>
        <w:ind w:left="0"/>
        <w:rPr>
          <w:szCs w:val="24"/>
        </w:rPr>
      </w:pPr>
    </w:p>
    <w:p w14:paraId="1BBAC475" w14:textId="77777777" w:rsidR="00034FE5" w:rsidRPr="009D25CB" w:rsidRDefault="00034FE5" w:rsidP="00034FE5">
      <w:pPr>
        <w:tabs>
          <w:tab w:val="left" w:pos="720"/>
        </w:tabs>
        <w:rPr>
          <w:szCs w:val="24"/>
        </w:rPr>
      </w:pPr>
      <w:r w:rsidRPr="009D25CB">
        <w:rPr>
          <w:szCs w:val="24"/>
        </w:rPr>
        <w:t xml:space="preserve">There was </w:t>
      </w:r>
      <w:r>
        <w:rPr>
          <w:szCs w:val="24"/>
        </w:rPr>
        <w:t>no</w:t>
      </w:r>
      <w:r w:rsidRPr="009D25CB">
        <w:rPr>
          <w:szCs w:val="24"/>
        </w:rPr>
        <w:t xml:space="preserve"> change to the comparative safety in the re-</w:t>
      </w:r>
      <w:r>
        <w:rPr>
          <w:szCs w:val="24"/>
        </w:rPr>
        <w:t>submission. However, the independent critique noted that,</w:t>
      </w:r>
      <w:r w:rsidRPr="009D25CB">
        <w:rPr>
          <w:szCs w:val="24"/>
        </w:rPr>
        <w:t xml:space="preserve"> </w:t>
      </w:r>
      <w:r>
        <w:rPr>
          <w:szCs w:val="24"/>
        </w:rPr>
        <w:t xml:space="preserve">in considering the original submission, </w:t>
      </w:r>
      <w:r w:rsidRPr="009D25CB">
        <w:rPr>
          <w:szCs w:val="24"/>
        </w:rPr>
        <w:t xml:space="preserve">MSAC </w:t>
      </w:r>
      <w:r w:rsidR="00F86DC0">
        <w:rPr>
          <w:szCs w:val="24"/>
        </w:rPr>
        <w:t xml:space="preserve">previously </w:t>
      </w:r>
      <w:r>
        <w:rPr>
          <w:szCs w:val="24"/>
        </w:rPr>
        <w:t>considered that</w:t>
      </w:r>
      <w:r w:rsidR="00736F90">
        <w:rPr>
          <w:szCs w:val="24"/>
        </w:rPr>
        <w:t>,</w:t>
      </w:r>
      <w:r>
        <w:rPr>
          <w:szCs w:val="24"/>
        </w:rPr>
        <w:t xml:space="preserve"> </w:t>
      </w:r>
      <w:r w:rsidRPr="009D25CB">
        <w:rPr>
          <w:szCs w:val="24"/>
        </w:rPr>
        <w:t xml:space="preserve">although the test </w:t>
      </w:r>
      <w:r>
        <w:rPr>
          <w:szCs w:val="24"/>
        </w:rPr>
        <w:t>was</w:t>
      </w:r>
      <w:r w:rsidRPr="009D25CB">
        <w:rPr>
          <w:szCs w:val="24"/>
        </w:rPr>
        <w:t xml:space="preserve"> procedurally safe</w:t>
      </w:r>
      <w:r>
        <w:rPr>
          <w:szCs w:val="24"/>
        </w:rPr>
        <w:t>, because it relied</w:t>
      </w:r>
      <w:r w:rsidRPr="009D25CB">
        <w:rPr>
          <w:szCs w:val="24"/>
        </w:rPr>
        <w:t xml:space="preserve"> on samples already taken for other pu</w:t>
      </w:r>
      <w:r>
        <w:rPr>
          <w:szCs w:val="24"/>
        </w:rPr>
        <w:t>rposes, there wa</w:t>
      </w:r>
      <w:r w:rsidRPr="009D25CB">
        <w:rPr>
          <w:szCs w:val="24"/>
        </w:rPr>
        <w:t>s a degree of risk in the misallocation of patients to risk categories, which would affect the outcomes of the therapy subsequently selected.</w:t>
      </w:r>
    </w:p>
    <w:p w14:paraId="670F77D8" w14:textId="77777777" w:rsidR="00BC1364" w:rsidRPr="00736F90" w:rsidRDefault="00BC1364" w:rsidP="00DD2858">
      <w:pPr>
        <w:pStyle w:val="ListParagraph"/>
        <w:ind w:left="0"/>
        <w:rPr>
          <w:szCs w:val="24"/>
        </w:rPr>
      </w:pPr>
    </w:p>
    <w:p w14:paraId="57759446" w14:textId="77777777" w:rsidR="00BC1364" w:rsidRPr="008D5885" w:rsidRDefault="00BC1364" w:rsidP="007B32D1">
      <w:pPr>
        <w:pStyle w:val="Heading1"/>
        <w:numPr>
          <w:ilvl w:val="0"/>
          <w:numId w:val="23"/>
        </w:numPr>
        <w:ind w:hanging="720"/>
      </w:pPr>
      <w:r w:rsidRPr="008D5885">
        <w:t>Comparative effectiveness</w:t>
      </w:r>
    </w:p>
    <w:p w14:paraId="54C63677" w14:textId="77777777" w:rsidR="00BC1364" w:rsidRPr="00736F90" w:rsidRDefault="00BC1364" w:rsidP="00DD2858"/>
    <w:p w14:paraId="532468CB" w14:textId="77777777" w:rsidR="00736F90" w:rsidRDefault="00034FE5" w:rsidP="00034FE5">
      <w:pPr>
        <w:pStyle w:val="NoSpacing"/>
        <w:spacing w:before="0"/>
      </w:pPr>
      <w:r w:rsidRPr="009D25CB">
        <w:t xml:space="preserve">There was no change to the </w:t>
      </w:r>
      <w:r>
        <w:t>analytic validity or clinical validity analyses</w:t>
      </w:r>
      <w:r w:rsidRPr="009D25CB">
        <w:t xml:space="preserve"> presented for resubmission 1342.2 compared </w:t>
      </w:r>
      <w:r>
        <w:t>the previous considerations</w:t>
      </w:r>
      <w:r w:rsidRPr="009D25CB">
        <w:t>.</w:t>
      </w:r>
      <w:r>
        <w:t xml:space="preserve"> T</w:t>
      </w:r>
      <w:r w:rsidRPr="009D25CB">
        <w:t xml:space="preserve">he basis of the clinical utility of the test in the application was retrospective analyses of tumour samples from patients randomised in two randomised comparative trials comparing tamoxifen alone and tamoxifen in combination with chemotherapy (Paik et al (2006; node negative) and </w:t>
      </w:r>
      <w:proofErr w:type="spellStart"/>
      <w:r w:rsidRPr="009D25CB">
        <w:t>Al</w:t>
      </w:r>
      <w:r>
        <w:t>bain</w:t>
      </w:r>
      <w:proofErr w:type="spellEnd"/>
      <w:r>
        <w:t xml:space="preserve"> et al (2010; node positive</w:t>
      </w:r>
      <w:r w:rsidRPr="009D25CB">
        <w:t>).</w:t>
      </w:r>
    </w:p>
    <w:p w14:paraId="36D50D5C" w14:textId="77777777" w:rsidR="00034FE5" w:rsidRDefault="00034FE5" w:rsidP="00034FE5">
      <w:pPr>
        <w:pStyle w:val="NoSpacing"/>
        <w:spacing w:before="0"/>
      </w:pPr>
    </w:p>
    <w:p w14:paraId="266E658E" w14:textId="77777777" w:rsidR="00034FE5" w:rsidRDefault="00034FE5" w:rsidP="00034FE5">
      <w:pPr>
        <w:pStyle w:val="Caption"/>
        <w:spacing w:before="0" w:after="0"/>
        <w:ind w:left="709" w:hanging="709"/>
        <w:jc w:val="left"/>
      </w:pPr>
      <w:r>
        <w:t xml:space="preserve">Table </w:t>
      </w:r>
      <w:fldSimple w:instr=" SEQ Table \* ARABIC ">
        <w:r w:rsidR="000414C5">
          <w:rPr>
            <w:noProof/>
          </w:rPr>
          <w:t>2</w:t>
        </w:r>
      </w:fldSimple>
      <w:r>
        <w:t xml:space="preserve">: </w:t>
      </w:r>
      <w:r w:rsidRPr="00F10283">
        <w:t xml:space="preserve">HR for disease free survival of </w:t>
      </w:r>
      <w:proofErr w:type="spellStart"/>
      <w:r>
        <w:t>chemotherapy</w:t>
      </w:r>
      <w:r w:rsidRPr="00F10283">
        <w:t>+</w:t>
      </w:r>
      <w:r>
        <w:t>hormone</w:t>
      </w:r>
      <w:proofErr w:type="spellEnd"/>
      <w:r>
        <w:t xml:space="preserve"> therapy</w:t>
      </w:r>
      <w:r w:rsidRPr="00F10283">
        <w:t xml:space="preserve"> versus </w:t>
      </w:r>
      <w:r>
        <w:t>hormone therapy alone</w:t>
      </w:r>
      <w:r w:rsidRPr="00F10283">
        <w:t xml:space="preserve"> by risk subgroup</w:t>
      </w:r>
      <w:r>
        <w:t>,</w:t>
      </w:r>
      <w:r w:rsidRPr="00F10283">
        <w:t xml:space="preserve"> defined by recurrence score from the proposed 21-gene expression profiling test</w:t>
      </w:r>
    </w:p>
    <w:tbl>
      <w:tblPr>
        <w:tblStyle w:val="TableGrid"/>
        <w:tblW w:w="0" w:type="auto"/>
        <w:tblLook w:val="04A0" w:firstRow="1" w:lastRow="0" w:firstColumn="1" w:lastColumn="0" w:noHBand="0" w:noVBand="1"/>
        <w:tblCaption w:val="Table 2: Hazard Ratio for disease free survival fo chemotherapy+hormone therapy vs hormone therapy alone by risk subgroup, defined by recurrence score from the proposed 21-gene expression profiling test"/>
        <w:tblDescription w:val="Table shows the recurrence score subgroups, low, intermediate and high, and the values for node negative hormone therapy from Paik et al 2006 and for node positive hormone therapy from Albain et al 2010."/>
      </w:tblPr>
      <w:tblGrid>
        <w:gridCol w:w="3107"/>
        <w:gridCol w:w="3072"/>
        <w:gridCol w:w="3063"/>
      </w:tblGrid>
      <w:tr w:rsidR="00034FE5" w:rsidRPr="003F43A6" w14:paraId="0BB8DE26" w14:textId="77777777" w:rsidTr="00A85ECB">
        <w:trPr>
          <w:tblHeader/>
        </w:trPr>
        <w:tc>
          <w:tcPr>
            <w:tcW w:w="3107" w:type="dxa"/>
          </w:tcPr>
          <w:p w14:paraId="743AB7F9" w14:textId="77777777" w:rsidR="00034FE5" w:rsidRPr="003F43A6" w:rsidRDefault="00034FE5" w:rsidP="00F86DC0">
            <w:pPr>
              <w:pStyle w:val="Tableheadingleft"/>
              <w:spacing w:before="0" w:after="0"/>
              <w:rPr>
                <w:rFonts w:cs="Arial"/>
                <w:szCs w:val="20"/>
              </w:rPr>
            </w:pPr>
            <w:r w:rsidRPr="003F43A6">
              <w:rPr>
                <w:rFonts w:cs="Arial"/>
                <w:szCs w:val="20"/>
              </w:rPr>
              <w:t>Recurrence score subgroup</w:t>
            </w:r>
          </w:p>
        </w:tc>
        <w:tc>
          <w:tcPr>
            <w:tcW w:w="3072" w:type="dxa"/>
          </w:tcPr>
          <w:p w14:paraId="0BB0BEED" w14:textId="77777777" w:rsidR="00034FE5" w:rsidRPr="00C0461A" w:rsidRDefault="00034FE5" w:rsidP="00736F90">
            <w:pPr>
              <w:pStyle w:val="Tableheadingleft"/>
              <w:spacing w:before="0" w:after="0"/>
              <w:jc w:val="center"/>
              <w:rPr>
                <w:szCs w:val="20"/>
              </w:rPr>
            </w:pPr>
            <w:r w:rsidRPr="00C0461A">
              <w:rPr>
                <w:szCs w:val="20"/>
              </w:rPr>
              <w:t>Node negative (Paik et al., 2006)</w:t>
            </w:r>
          </w:p>
          <w:p w14:paraId="16993A21" w14:textId="77777777" w:rsidR="00034FE5" w:rsidRPr="00C0461A" w:rsidRDefault="00034FE5" w:rsidP="00736F90">
            <w:pPr>
              <w:pStyle w:val="Tableheadingleft"/>
              <w:spacing w:before="0" w:after="0"/>
              <w:jc w:val="center"/>
              <w:rPr>
                <w:szCs w:val="20"/>
                <w:lang w:eastAsia="en-US"/>
              </w:rPr>
            </w:pPr>
            <w:r>
              <w:rPr>
                <w:szCs w:val="20"/>
              </w:rPr>
              <w:t>hormone therapy</w:t>
            </w:r>
            <w:r w:rsidRPr="00C0461A">
              <w:rPr>
                <w:szCs w:val="20"/>
              </w:rPr>
              <w:t xml:space="preserve"> (95% CI)</w:t>
            </w:r>
          </w:p>
        </w:tc>
        <w:tc>
          <w:tcPr>
            <w:tcW w:w="3063" w:type="dxa"/>
          </w:tcPr>
          <w:p w14:paraId="0F57C807" w14:textId="77777777" w:rsidR="00034FE5" w:rsidRPr="00C0461A" w:rsidRDefault="00034FE5" w:rsidP="00736F90">
            <w:pPr>
              <w:pStyle w:val="Tableheadingleft"/>
              <w:spacing w:before="0" w:after="0"/>
              <w:jc w:val="center"/>
              <w:rPr>
                <w:szCs w:val="20"/>
              </w:rPr>
            </w:pPr>
            <w:r w:rsidRPr="00C0461A">
              <w:rPr>
                <w:szCs w:val="20"/>
              </w:rPr>
              <w:t>Node positive (</w:t>
            </w:r>
            <w:proofErr w:type="spellStart"/>
            <w:r w:rsidRPr="00C0461A">
              <w:rPr>
                <w:szCs w:val="20"/>
              </w:rPr>
              <w:t>Albain</w:t>
            </w:r>
            <w:proofErr w:type="spellEnd"/>
            <w:r w:rsidRPr="00C0461A">
              <w:rPr>
                <w:szCs w:val="20"/>
              </w:rPr>
              <w:t xml:space="preserve"> et al., 2010)</w:t>
            </w:r>
          </w:p>
          <w:p w14:paraId="35A16552" w14:textId="77777777" w:rsidR="00034FE5" w:rsidRPr="00C0461A" w:rsidRDefault="00034FE5" w:rsidP="00736F90">
            <w:pPr>
              <w:pStyle w:val="Tableheadingleft"/>
              <w:spacing w:before="0" w:after="0"/>
              <w:jc w:val="center"/>
              <w:rPr>
                <w:szCs w:val="20"/>
                <w:lang w:eastAsia="en-US"/>
              </w:rPr>
            </w:pPr>
            <w:r>
              <w:rPr>
                <w:szCs w:val="20"/>
              </w:rPr>
              <w:t>hormone therapy</w:t>
            </w:r>
            <w:r w:rsidRPr="00C0461A">
              <w:rPr>
                <w:szCs w:val="20"/>
              </w:rPr>
              <w:t xml:space="preserve"> (95% CI)</w:t>
            </w:r>
          </w:p>
        </w:tc>
      </w:tr>
      <w:tr w:rsidR="00034FE5" w:rsidRPr="003F43A6" w14:paraId="56318513" w14:textId="77777777" w:rsidTr="00F86DC0">
        <w:tc>
          <w:tcPr>
            <w:tcW w:w="3107" w:type="dxa"/>
          </w:tcPr>
          <w:p w14:paraId="4E2F05BC" w14:textId="77777777" w:rsidR="00034FE5" w:rsidRPr="003F43A6" w:rsidRDefault="00034FE5" w:rsidP="00F86DC0">
            <w:pPr>
              <w:pStyle w:val="TableText0"/>
              <w:spacing w:after="0"/>
              <w:rPr>
                <w:rFonts w:cs="Arial"/>
                <w:sz w:val="20"/>
                <w:szCs w:val="20"/>
              </w:rPr>
            </w:pPr>
            <w:r w:rsidRPr="003F43A6">
              <w:rPr>
                <w:rFonts w:cs="Arial"/>
                <w:sz w:val="20"/>
                <w:szCs w:val="20"/>
              </w:rPr>
              <w:t>Low recurrence score</w:t>
            </w:r>
          </w:p>
        </w:tc>
        <w:tc>
          <w:tcPr>
            <w:tcW w:w="3072" w:type="dxa"/>
          </w:tcPr>
          <w:p w14:paraId="7CFBE465" w14:textId="77777777" w:rsidR="00034FE5" w:rsidRPr="00C0461A" w:rsidRDefault="00034FE5" w:rsidP="00736F90">
            <w:pPr>
              <w:pStyle w:val="Tabletext"/>
              <w:spacing w:before="0" w:after="0"/>
              <w:jc w:val="center"/>
            </w:pPr>
            <w:r w:rsidRPr="00C0461A">
              <w:t>1.31 (0.46 - 3.78)</w:t>
            </w:r>
          </w:p>
        </w:tc>
        <w:tc>
          <w:tcPr>
            <w:tcW w:w="3063" w:type="dxa"/>
          </w:tcPr>
          <w:p w14:paraId="6675F47E" w14:textId="77777777" w:rsidR="00034FE5" w:rsidRPr="00C0461A" w:rsidRDefault="00034FE5" w:rsidP="00736F90">
            <w:pPr>
              <w:pStyle w:val="Tabletext"/>
              <w:spacing w:before="0" w:after="0"/>
              <w:jc w:val="center"/>
            </w:pPr>
            <w:r w:rsidRPr="00C0461A">
              <w:t>1.02 (0.54 - 1.93)</w:t>
            </w:r>
          </w:p>
        </w:tc>
      </w:tr>
      <w:tr w:rsidR="00034FE5" w:rsidRPr="003F43A6" w14:paraId="48602D5F" w14:textId="77777777" w:rsidTr="00F86DC0">
        <w:tc>
          <w:tcPr>
            <w:tcW w:w="3107" w:type="dxa"/>
          </w:tcPr>
          <w:p w14:paraId="44CB1B0B" w14:textId="77777777" w:rsidR="00034FE5" w:rsidRPr="003F43A6" w:rsidRDefault="00034FE5" w:rsidP="00F86DC0">
            <w:pPr>
              <w:pStyle w:val="TableText0"/>
              <w:spacing w:after="0"/>
              <w:rPr>
                <w:rFonts w:cs="Arial"/>
                <w:sz w:val="20"/>
                <w:szCs w:val="20"/>
              </w:rPr>
            </w:pPr>
            <w:r w:rsidRPr="003F43A6">
              <w:rPr>
                <w:rFonts w:cs="Arial"/>
                <w:sz w:val="20"/>
                <w:szCs w:val="20"/>
              </w:rPr>
              <w:t>Intermediate recurrence score</w:t>
            </w:r>
          </w:p>
        </w:tc>
        <w:tc>
          <w:tcPr>
            <w:tcW w:w="3072" w:type="dxa"/>
          </w:tcPr>
          <w:p w14:paraId="3ED9597A" w14:textId="77777777" w:rsidR="00034FE5" w:rsidRPr="00C0461A" w:rsidRDefault="00034FE5" w:rsidP="00736F90">
            <w:pPr>
              <w:pStyle w:val="Tabletext"/>
              <w:spacing w:before="0" w:after="0"/>
              <w:jc w:val="center"/>
            </w:pPr>
            <w:r w:rsidRPr="00C0461A">
              <w:t>0.61 (0.24 - 1.59)</w:t>
            </w:r>
          </w:p>
        </w:tc>
        <w:tc>
          <w:tcPr>
            <w:tcW w:w="3063" w:type="dxa"/>
          </w:tcPr>
          <w:p w14:paraId="334A670D" w14:textId="77777777" w:rsidR="00034FE5" w:rsidRPr="00C0461A" w:rsidRDefault="00034FE5" w:rsidP="00736F90">
            <w:pPr>
              <w:pStyle w:val="Tabletext"/>
              <w:spacing w:before="0" w:after="0"/>
              <w:jc w:val="center"/>
            </w:pPr>
            <w:r w:rsidRPr="00C0461A">
              <w:t>0.72 (0.39 - 1.31)</w:t>
            </w:r>
          </w:p>
        </w:tc>
      </w:tr>
      <w:tr w:rsidR="00034FE5" w:rsidRPr="003F43A6" w14:paraId="21CA3114" w14:textId="77777777" w:rsidTr="00F86DC0">
        <w:tc>
          <w:tcPr>
            <w:tcW w:w="3107" w:type="dxa"/>
          </w:tcPr>
          <w:p w14:paraId="2CB97293" w14:textId="77777777" w:rsidR="00034FE5" w:rsidRPr="003F43A6" w:rsidRDefault="00034FE5" w:rsidP="00F86DC0">
            <w:pPr>
              <w:pStyle w:val="TableText0"/>
              <w:spacing w:after="0"/>
              <w:rPr>
                <w:rFonts w:cs="Arial"/>
                <w:sz w:val="20"/>
                <w:szCs w:val="20"/>
              </w:rPr>
            </w:pPr>
            <w:r w:rsidRPr="003F43A6">
              <w:rPr>
                <w:rFonts w:cs="Arial"/>
                <w:sz w:val="20"/>
                <w:szCs w:val="20"/>
              </w:rPr>
              <w:t>High recurrence score</w:t>
            </w:r>
          </w:p>
        </w:tc>
        <w:tc>
          <w:tcPr>
            <w:tcW w:w="3072" w:type="dxa"/>
          </w:tcPr>
          <w:p w14:paraId="616D3BCE" w14:textId="77777777" w:rsidR="00034FE5" w:rsidRPr="00C0461A" w:rsidRDefault="00034FE5" w:rsidP="00736F90">
            <w:pPr>
              <w:pStyle w:val="Tabletext"/>
              <w:spacing w:before="0" w:after="0"/>
              <w:jc w:val="center"/>
            </w:pPr>
            <w:r w:rsidRPr="00C0461A">
              <w:t>0.26 (0.13 - 0.53)</w:t>
            </w:r>
          </w:p>
        </w:tc>
        <w:tc>
          <w:tcPr>
            <w:tcW w:w="3063" w:type="dxa"/>
          </w:tcPr>
          <w:p w14:paraId="369C35D6" w14:textId="77777777" w:rsidR="00034FE5" w:rsidRPr="00C0461A" w:rsidRDefault="00034FE5" w:rsidP="00736F90">
            <w:pPr>
              <w:pStyle w:val="Tabletext"/>
              <w:spacing w:before="0" w:after="0"/>
              <w:jc w:val="center"/>
            </w:pPr>
            <w:r w:rsidRPr="00C0461A">
              <w:t>0.59 (0.35 - 1.01)</w:t>
            </w:r>
          </w:p>
        </w:tc>
      </w:tr>
    </w:tbl>
    <w:p w14:paraId="64C99A0A" w14:textId="77777777" w:rsidR="00034FE5" w:rsidRPr="003F43A6" w:rsidRDefault="00034FE5" w:rsidP="00034FE5">
      <w:pPr>
        <w:pStyle w:val="TableNotes"/>
        <w:spacing w:after="0"/>
        <w:rPr>
          <w:rFonts w:cs="Arial"/>
          <w:sz w:val="20"/>
        </w:rPr>
      </w:pPr>
      <w:r w:rsidRPr="003F43A6">
        <w:rPr>
          <w:rFonts w:cs="Arial"/>
          <w:sz w:val="20"/>
          <w:lang w:val="fr-CH"/>
        </w:rPr>
        <w:t>Source: Albain 2010</w:t>
      </w:r>
      <w:r w:rsidR="00736F90">
        <w:rPr>
          <w:rFonts w:cs="Arial"/>
          <w:sz w:val="20"/>
          <w:lang w:val="fr-CH"/>
        </w:rPr>
        <w:t>, Figure 5; Paik 2006, Figure 3</w:t>
      </w:r>
    </w:p>
    <w:p w14:paraId="2527604E" w14:textId="77777777" w:rsidR="00736F90" w:rsidRDefault="00736F90" w:rsidP="00034FE5">
      <w:pPr>
        <w:tabs>
          <w:tab w:val="left" w:pos="720"/>
        </w:tabs>
      </w:pPr>
    </w:p>
    <w:p w14:paraId="72A64EAC" w14:textId="77777777" w:rsidR="00034FE5" w:rsidRDefault="00034FE5" w:rsidP="00034FE5">
      <w:pPr>
        <w:tabs>
          <w:tab w:val="left" w:pos="720"/>
        </w:tabs>
      </w:pPr>
      <w:r w:rsidRPr="009D25CB">
        <w:t xml:space="preserve">The resubmission </w:t>
      </w:r>
      <w:r>
        <w:t xml:space="preserve">also </w:t>
      </w:r>
      <w:r w:rsidRPr="009D25CB">
        <w:t>present</w:t>
      </w:r>
      <w:r>
        <w:t>ed</w:t>
      </w:r>
      <w:r w:rsidRPr="009D25CB">
        <w:t xml:space="preserve"> the study design and preliminary results (where available) for four prospective randomised studies including </w:t>
      </w:r>
      <w:proofErr w:type="spellStart"/>
      <w:r w:rsidRPr="009D25CB">
        <w:t>Oncotype</w:t>
      </w:r>
      <w:proofErr w:type="spellEnd"/>
      <w:r w:rsidRPr="009D25CB">
        <w:t xml:space="preserve"> DX (OPTIMA, </w:t>
      </w:r>
      <w:proofErr w:type="spellStart"/>
      <w:r w:rsidRPr="009D25CB">
        <w:t>TAILORx</w:t>
      </w:r>
      <w:proofErr w:type="spellEnd"/>
      <w:r w:rsidRPr="009D25CB">
        <w:t xml:space="preserve">, </w:t>
      </w:r>
      <w:proofErr w:type="spellStart"/>
      <w:r w:rsidRPr="009D25CB">
        <w:t>RxPONDER</w:t>
      </w:r>
      <w:proofErr w:type="spellEnd"/>
      <w:r w:rsidRPr="009D25CB">
        <w:t xml:space="preserve"> and WSG-</w:t>
      </w:r>
      <w:proofErr w:type="spellStart"/>
      <w:r w:rsidRPr="009D25CB">
        <w:t>PlanB</w:t>
      </w:r>
      <w:proofErr w:type="spellEnd"/>
      <w:r w:rsidRPr="009D25CB">
        <w:t xml:space="preserve">). All </w:t>
      </w:r>
      <w:r>
        <w:t>were</w:t>
      </w:r>
      <w:r w:rsidRPr="009D25CB">
        <w:t xml:space="preserve"> long-term studies with expected completion dates </w:t>
      </w:r>
      <w:r>
        <w:t>later than</w:t>
      </w:r>
      <w:r w:rsidRPr="009D25CB">
        <w:t xml:space="preserve"> December 2017. </w:t>
      </w:r>
      <w:r>
        <w:t>T</w:t>
      </w:r>
      <w:r w:rsidRPr="009D25CB">
        <w:t xml:space="preserve">hese studies </w:t>
      </w:r>
      <w:r>
        <w:t xml:space="preserve">were expected to </w:t>
      </w:r>
      <w:r w:rsidRPr="009D25CB">
        <w:t xml:space="preserve">provide </w:t>
      </w:r>
      <w:r>
        <w:t>i</w:t>
      </w:r>
      <w:r w:rsidRPr="009D25CB">
        <w:t xml:space="preserve">nformation </w:t>
      </w:r>
      <w:r>
        <w:t xml:space="preserve">on </w:t>
      </w:r>
      <w:r w:rsidRPr="009D25CB">
        <w:t xml:space="preserve">the safety of removing chemotherapy in node positive patients with low RS values (OPTIMA) and the risk of recurrence in specific RS-defined subgroups where the benefit of </w:t>
      </w:r>
      <w:r w:rsidR="00F86DC0">
        <w:t>chemotherapy remains uncertain.</w:t>
      </w:r>
    </w:p>
    <w:p w14:paraId="7125217B" w14:textId="77777777" w:rsidR="00034FE5" w:rsidRDefault="00034FE5" w:rsidP="00034FE5">
      <w:pPr>
        <w:tabs>
          <w:tab w:val="left" w:pos="720"/>
        </w:tabs>
      </w:pPr>
    </w:p>
    <w:p w14:paraId="38825568" w14:textId="742A1D48" w:rsidR="00034FE5" w:rsidRDefault="00034FE5" w:rsidP="00034FE5">
      <w:pPr>
        <w:pStyle w:val="NoSpacing"/>
        <w:spacing w:before="0"/>
      </w:pPr>
      <w:r w:rsidRPr="009D25CB">
        <w:t xml:space="preserve">Preliminary prospective data </w:t>
      </w:r>
      <w:r>
        <w:t>(</w:t>
      </w:r>
      <w:r w:rsidRPr="009D25CB">
        <w:t>WSG</w:t>
      </w:r>
      <w:r>
        <w:noBreakHyphen/>
      </w:r>
      <w:proofErr w:type="spellStart"/>
      <w:r w:rsidRPr="009D25CB">
        <w:t>PlanB</w:t>
      </w:r>
      <w:proofErr w:type="spellEnd"/>
      <w:r w:rsidRPr="009D25CB">
        <w:t xml:space="preserve"> study</w:t>
      </w:r>
      <w:r>
        <w:t xml:space="preserve">) “showed </w:t>
      </w:r>
      <w:r w:rsidRPr="009D25CB">
        <w:t>that chemotherapy can be safely withdrawn in patients with low RS (&lt;12) by demonstrating a 3-year EFS rate of 98.3% in 348</w:t>
      </w:r>
      <w:r w:rsidR="000C632A">
        <w:t> </w:t>
      </w:r>
      <w:r w:rsidRPr="009D25CB">
        <w:t>patients treated with hormone therapy alone.</w:t>
      </w:r>
      <w:r>
        <w:t>”</w:t>
      </w:r>
    </w:p>
    <w:p w14:paraId="7B135C02" w14:textId="77777777" w:rsidR="00034FE5" w:rsidRDefault="00034FE5" w:rsidP="00034FE5">
      <w:pPr>
        <w:tabs>
          <w:tab w:val="left" w:pos="720"/>
        </w:tabs>
      </w:pPr>
    </w:p>
    <w:p w14:paraId="75F41C3E" w14:textId="77777777" w:rsidR="00BC1364" w:rsidRDefault="00BC1364" w:rsidP="007B32D1">
      <w:pPr>
        <w:pStyle w:val="Heading1"/>
        <w:numPr>
          <w:ilvl w:val="0"/>
          <w:numId w:val="23"/>
        </w:numPr>
        <w:ind w:hanging="720"/>
      </w:pPr>
      <w:r w:rsidRPr="008D5885">
        <w:t>Economic evaluation</w:t>
      </w:r>
    </w:p>
    <w:p w14:paraId="30EC6545" w14:textId="77777777" w:rsidR="00BC1364" w:rsidRDefault="00BC1364" w:rsidP="00DD2858">
      <w:pPr>
        <w:rPr>
          <w:b/>
          <w:szCs w:val="24"/>
        </w:rPr>
      </w:pPr>
    </w:p>
    <w:p w14:paraId="77F5CD86" w14:textId="77777777" w:rsidR="00034FE5" w:rsidRDefault="00034FE5" w:rsidP="00034FE5">
      <w:pPr>
        <w:pStyle w:val="NoSpacing"/>
        <w:spacing w:before="0"/>
      </w:pPr>
      <w:r>
        <w:t>The resubmission provided an</w:t>
      </w:r>
      <w:r w:rsidRPr="009D25CB">
        <w:t xml:space="preserve"> updated modelled cost</w:t>
      </w:r>
      <w:r>
        <w:noBreakHyphen/>
      </w:r>
      <w:r w:rsidRPr="009D25CB">
        <w:t>utility analysis.</w:t>
      </w:r>
      <w:r>
        <w:t xml:space="preserve"> T</w:t>
      </w:r>
      <w:r w:rsidRPr="009D25CB">
        <w:t xml:space="preserve">he structure of the </w:t>
      </w:r>
      <w:r>
        <w:t xml:space="preserve">model </w:t>
      </w:r>
      <w:r w:rsidRPr="009D25CB">
        <w:t>remain</w:t>
      </w:r>
      <w:r w:rsidR="00F86DC0">
        <w:t>ed</w:t>
      </w:r>
      <w:r w:rsidRPr="009D25CB">
        <w:t xml:space="preserve"> unchanged, but some model inputs </w:t>
      </w:r>
      <w:r w:rsidR="00F86DC0">
        <w:t>were</w:t>
      </w:r>
      <w:r w:rsidRPr="009D25CB">
        <w:t xml:space="preserve"> changed</w:t>
      </w:r>
      <w:r>
        <w:t xml:space="preserve"> from the previous resubmission:</w:t>
      </w:r>
    </w:p>
    <w:p w14:paraId="2BDA7622" w14:textId="5B18D57A" w:rsidR="00034FE5" w:rsidRDefault="00F86DC0" w:rsidP="00034FE5">
      <w:pPr>
        <w:pStyle w:val="NoSpacing"/>
        <w:numPr>
          <w:ilvl w:val="0"/>
          <w:numId w:val="30"/>
        </w:numPr>
        <w:spacing w:before="0"/>
      </w:pPr>
      <w:r>
        <w:t>t</w:t>
      </w:r>
      <w:r w:rsidR="00034FE5">
        <w:t xml:space="preserve">reatment decisions </w:t>
      </w:r>
      <w:r>
        <w:t>we</w:t>
      </w:r>
      <w:r w:rsidR="00034FE5">
        <w:t>re based on data from subgroups of the ADIS2 dataset with &lt;</w:t>
      </w:r>
      <w:r w:rsidR="000C632A">
        <w:t> </w:t>
      </w:r>
      <w:r w:rsidR="00034FE5">
        <w:t>3</w:t>
      </w:r>
      <w:r w:rsidR="000C632A">
        <w:t> </w:t>
      </w:r>
      <w:r w:rsidR="00034FE5">
        <w:t>negative factors consistent with the proposed MBS population for Oncotype DX (sensitivity analysis conducted on patients with the number of negative factors);</w:t>
      </w:r>
    </w:p>
    <w:p w14:paraId="76F2B1EB" w14:textId="77777777" w:rsidR="00034FE5" w:rsidRDefault="00F86DC0" w:rsidP="00034FE5">
      <w:pPr>
        <w:pStyle w:val="NoSpacing"/>
        <w:numPr>
          <w:ilvl w:val="0"/>
          <w:numId w:val="30"/>
        </w:numPr>
        <w:spacing w:before="0"/>
      </w:pPr>
      <w:r>
        <w:t>t</w:t>
      </w:r>
      <w:r w:rsidR="00034FE5">
        <w:t xml:space="preserve">he risk of disease recurrence beyond 10 years </w:t>
      </w:r>
      <w:r>
        <w:t>wa</w:t>
      </w:r>
      <w:r w:rsidR="00034FE5">
        <w:t>s assumed to be zero for all patients (tested in sensitivity analysis);</w:t>
      </w:r>
    </w:p>
    <w:p w14:paraId="57A06DB8" w14:textId="77777777" w:rsidR="00034FE5" w:rsidRDefault="00F86DC0" w:rsidP="00034FE5">
      <w:pPr>
        <w:pStyle w:val="NoSpacing"/>
        <w:numPr>
          <w:ilvl w:val="0"/>
          <w:numId w:val="30"/>
        </w:numPr>
        <w:spacing w:before="0"/>
      </w:pPr>
      <w:r>
        <w:lastRenderedPageBreak/>
        <w:t>t</w:t>
      </w:r>
      <w:r w:rsidR="00034FE5">
        <w:t xml:space="preserve">he cost and efficacy of anastrozole hormone therapy </w:t>
      </w:r>
      <w:r>
        <w:t>were</w:t>
      </w:r>
      <w:r w:rsidR="00034FE5">
        <w:t xml:space="preserve"> incorporated into the model; and</w:t>
      </w:r>
    </w:p>
    <w:p w14:paraId="409E14AB" w14:textId="77777777" w:rsidR="00034FE5" w:rsidRDefault="00F86DC0" w:rsidP="00034FE5">
      <w:pPr>
        <w:pStyle w:val="NoSpacing"/>
        <w:numPr>
          <w:ilvl w:val="0"/>
          <w:numId w:val="30"/>
        </w:numPr>
        <w:spacing w:before="0"/>
      </w:pPr>
      <w:proofErr w:type="gramStart"/>
      <w:r>
        <w:t>a</w:t>
      </w:r>
      <w:r w:rsidR="00034FE5">
        <w:t>ll</w:t>
      </w:r>
      <w:proofErr w:type="gramEnd"/>
      <w:r w:rsidR="00034FE5">
        <w:t xml:space="preserve"> unit costs </w:t>
      </w:r>
      <w:r>
        <w:t>were</w:t>
      </w:r>
      <w:r w:rsidR="00034FE5">
        <w:t xml:space="preserve"> updated.</w:t>
      </w:r>
    </w:p>
    <w:p w14:paraId="0B8BC262" w14:textId="77777777" w:rsidR="00F86DC0" w:rsidRDefault="00F86DC0" w:rsidP="00034FE5">
      <w:pPr>
        <w:pStyle w:val="NoSpacing"/>
        <w:spacing w:before="0"/>
      </w:pPr>
    </w:p>
    <w:p w14:paraId="0BACF06A" w14:textId="77777777" w:rsidR="00034FE5" w:rsidRPr="009D25CB" w:rsidRDefault="00034FE5" w:rsidP="00034FE5">
      <w:pPr>
        <w:pStyle w:val="NoSpacing"/>
        <w:spacing w:before="0"/>
      </w:pPr>
      <w:r>
        <w:t>The model generate</w:t>
      </w:r>
      <w:r w:rsidR="00F86DC0">
        <w:t>d</w:t>
      </w:r>
      <w:r>
        <w:t xml:space="preserve"> an ICER</w:t>
      </w:r>
      <w:r w:rsidR="00F86DC0">
        <w:t>/QALY</w:t>
      </w:r>
      <w:r>
        <w:t xml:space="preserve"> of </w:t>
      </w:r>
      <w:r w:rsidRPr="00812B36">
        <w:t>$9,277</w:t>
      </w:r>
      <w:r>
        <w:t xml:space="preserve"> in the node negative population.</w:t>
      </w:r>
      <w:r w:rsidRPr="00812B36">
        <w:t xml:space="preserve"> </w:t>
      </w:r>
      <w:r>
        <w:t xml:space="preserve">This </w:t>
      </w:r>
      <w:r w:rsidRPr="00812B36">
        <w:t>compare</w:t>
      </w:r>
      <w:r w:rsidR="00F86DC0">
        <w:t>d</w:t>
      </w:r>
      <w:r w:rsidRPr="00812B36">
        <w:t xml:space="preserve"> with an ICER</w:t>
      </w:r>
      <w:r w:rsidR="00F86DC0">
        <w:t>/QALY</w:t>
      </w:r>
      <w:r w:rsidRPr="00812B36">
        <w:t xml:space="preserve"> of $18,899 in the </w:t>
      </w:r>
      <w:r>
        <w:t>models</w:t>
      </w:r>
      <w:r w:rsidRPr="00812B36">
        <w:t xml:space="preserve"> for Application 1342, </w:t>
      </w:r>
      <w:r>
        <w:t>and resubmission 1342.</w:t>
      </w:r>
      <w:r w:rsidR="00F86DC0">
        <w:t>1.</w:t>
      </w:r>
      <w:r>
        <w:t xml:space="preserve"> The</w:t>
      </w:r>
      <w:r w:rsidRPr="00812B36">
        <w:t xml:space="preserve"> difference </w:t>
      </w:r>
      <w:r w:rsidR="00F86DC0">
        <w:t>wa</w:t>
      </w:r>
      <w:r w:rsidRPr="00812B36">
        <w:t>s driven by slight differences in the proportion of patients in the RS categories (from 46.5% to 50.6% in low RS and from 13.9% to 10.9% in high RS), a decrease in the recurrence rates assumed for node negative women in the low and intermediate RS categories (almost halved), the increased assumed relative risk of the effect of the addition of chemotherapy in high RS patients (from 0.26 to 0.22)</w:t>
      </w:r>
      <w:r w:rsidR="00F86DC0">
        <w:t>,</w:t>
      </w:r>
      <w:r w:rsidRPr="00812B36">
        <w:t xml:space="preserve"> and the much higher proportion of patients in the low RS category removing </w:t>
      </w:r>
      <w:r>
        <w:t>chemotherapy</w:t>
      </w:r>
      <w:r w:rsidRPr="00812B36">
        <w:t xml:space="preserve"> from the treatment regimen (-7% in the previous application to -18% according to ADIS2).</w:t>
      </w:r>
    </w:p>
    <w:p w14:paraId="048FB893" w14:textId="77777777" w:rsidR="00DB5833" w:rsidRPr="00F86DC0" w:rsidRDefault="00DB5833" w:rsidP="00096B67">
      <w:pPr>
        <w:pStyle w:val="Default"/>
        <w:rPr>
          <w:color w:val="auto"/>
        </w:rPr>
      </w:pPr>
    </w:p>
    <w:p w14:paraId="18A89D5F" w14:textId="77777777" w:rsidR="00034FE5" w:rsidRPr="00034FE5" w:rsidRDefault="00535936" w:rsidP="00034FE5">
      <w:r>
        <w:t>As t</w:t>
      </w:r>
      <w:r w:rsidR="00034FE5" w:rsidRPr="00034FE5">
        <w:t>he economic evaluation was based on two trials with relatively small numbers of participants, and a very small QALY gain (0.04 to 0.12, i.e. 16-49 days), ESC questioned whether there should there be a minimum threshold before funding is considered. Whilst ESC noted that there could be economic benefits borne through the avoidance of unnecessary chemotherapy, the QALY gain was considered to be very low.</w:t>
      </w:r>
    </w:p>
    <w:p w14:paraId="17AA014F" w14:textId="77777777" w:rsidR="00034FE5" w:rsidRPr="00034FE5" w:rsidRDefault="00034FE5" w:rsidP="00034FE5"/>
    <w:p w14:paraId="7000E539" w14:textId="77777777" w:rsidR="00034FE5" w:rsidRPr="00034FE5" w:rsidRDefault="00F86DC0" w:rsidP="00034FE5">
      <w:pPr>
        <w:rPr>
          <w:iCs/>
        </w:rPr>
      </w:pPr>
      <w:r>
        <w:rPr>
          <w:iCs/>
        </w:rPr>
        <w:t>T</w:t>
      </w:r>
      <w:r w:rsidR="00034FE5" w:rsidRPr="00034FE5">
        <w:rPr>
          <w:iCs/>
        </w:rPr>
        <w:t>he following table provided by the applicant in its pre-ESC response document showed ICERs by the number of negativ</w:t>
      </w:r>
      <w:r w:rsidR="007E4824">
        <w:rPr>
          <w:iCs/>
        </w:rPr>
        <w:t>e factors for the ADIS and ADIS</w:t>
      </w:r>
      <w:r w:rsidR="00034FE5" w:rsidRPr="00034FE5">
        <w:rPr>
          <w:iCs/>
        </w:rPr>
        <w:t>2 studies</w:t>
      </w:r>
      <w:r>
        <w:rPr>
          <w:iCs/>
        </w:rPr>
        <w:t>.</w:t>
      </w:r>
    </w:p>
    <w:p w14:paraId="6D66BE61" w14:textId="77777777" w:rsidR="00034FE5" w:rsidRPr="004B7FEC" w:rsidRDefault="00034FE5" w:rsidP="00034FE5">
      <w:pPr>
        <w:rPr>
          <w:i/>
        </w:rPr>
      </w:pPr>
    </w:p>
    <w:tbl>
      <w:tblPr>
        <w:tblW w:w="9214" w:type="dxa"/>
        <w:tblInd w:w="57" w:type="dxa"/>
        <w:tblLayout w:type="fixed"/>
        <w:tblCellMar>
          <w:left w:w="0" w:type="dxa"/>
          <w:right w:w="0" w:type="dxa"/>
        </w:tblCellMar>
        <w:tblLook w:val="04A0" w:firstRow="1" w:lastRow="0" w:firstColumn="1" w:lastColumn="0" w:noHBand="0" w:noVBand="1"/>
      </w:tblPr>
      <w:tblGrid>
        <w:gridCol w:w="851"/>
        <w:gridCol w:w="992"/>
        <w:gridCol w:w="1134"/>
        <w:gridCol w:w="993"/>
        <w:gridCol w:w="992"/>
        <w:gridCol w:w="992"/>
        <w:gridCol w:w="1134"/>
        <w:gridCol w:w="992"/>
        <w:gridCol w:w="1134"/>
      </w:tblGrid>
      <w:tr w:rsidR="00034FE5" w:rsidRPr="00ED68A7" w14:paraId="5970A3FD" w14:textId="77777777" w:rsidTr="00F86DC0">
        <w:trPr>
          <w:trHeight w:val="184"/>
        </w:trPr>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9A2870D" w14:textId="77777777" w:rsidR="00034FE5" w:rsidRPr="00ED68A7" w:rsidRDefault="00034FE5" w:rsidP="00F86DC0">
            <w:pPr>
              <w:rPr>
                <w:rFonts w:ascii="Arial" w:hAnsi="Arial" w:cs="Arial"/>
                <w:sz w:val="20"/>
              </w:rPr>
            </w:pPr>
            <w:r w:rsidRPr="00ED68A7">
              <w:rPr>
                <w:rFonts w:ascii="Arial Narrow" w:hAnsi="Arial Narrow"/>
                <w:b/>
                <w:bCs/>
                <w:color w:val="000000" w:themeColor="text1"/>
                <w:kern w:val="24"/>
                <w:sz w:val="20"/>
              </w:rPr>
              <w:t>Number of negative factors</w:t>
            </w:r>
          </w:p>
        </w:tc>
        <w:tc>
          <w:tcPr>
            <w:tcW w:w="4111"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B23C249" w14:textId="77777777" w:rsidR="00034FE5" w:rsidRPr="00ED68A7" w:rsidRDefault="00034FE5" w:rsidP="00F86DC0">
            <w:pPr>
              <w:jc w:val="center"/>
              <w:rPr>
                <w:rFonts w:ascii="Arial" w:hAnsi="Arial" w:cs="Arial"/>
                <w:sz w:val="20"/>
              </w:rPr>
            </w:pPr>
            <w:r w:rsidRPr="00ED68A7">
              <w:rPr>
                <w:rFonts w:ascii="Arial Narrow" w:hAnsi="Arial Narrow"/>
                <w:b/>
                <w:bCs/>
                <w:color w:val="000000" w:themeColor="text1"/>
                <w:kern w:val="24"/>
                <w:sz w:val="20"/>
              </w:rPr>
              <w:t>ADIS</w:t>
            </w:r>
          </w:p>
        </w:tc>
        <w:tc>
          <w:tcPr>
            <w:tcW w:w="425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5E125B6" w14:textId="77777777" w:rsidR="00034FE5" w:rsidRPr="00ED68A7" w:rsidRDefault="007E4824" w:rsidP="00F86DC0">
            <w:pPr>
              <w:jc w:val="center"/>
              <w:rPr>
                <w:rFonts w:ascii="Arial" w:hAnsi="Arial" w:cs="Arial"/>
                <w:sz w:val="20"/>
              </w:rPr>
            </w:pPr>
            <w:r>
              <w:rPr>
                <w:rFonts w:ascii="Arial Narrow" w:hAnsi="Arial Narrow"/>
                <w:b/>
                <w:bCs/>
                <w:color w:val="000000" w:themeColor="text1"/>
                <w:kern w:val="24"/>
                <w:sz w:val="20"/>
              </w:rPr>
              <w:t>ADIS</w:t>
            </w:r>
            <w:r w:rsidR="00034FE5" w:rsidRPr="00ED68A7">
              <w:rPr>
                <w:rFonts w:ascii="Arial Narrow" w:hAnsi="Arial Narrow"/>
                <w:b/>
                <w:bCs/>
                <w:color w:val="000000" w:themeColor="text1"/>
                <w:kern w:val="24"/>
                <w:sz w:val="20"/>
              </w:rPr>
              <w:t>2</w:t>
            </w:r>
          </w:p>
        </w:tc>
      </w:tr>
      <w:tr w:rsidR="00034FE5" w:rsidRPr="00ED68A7" w14:paraId="4FDE2A4F" w14:textId="77777777" w:rsidTr="00F86DC0">
        <w:trPr>
          <w:trHeight w:val="147"/>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514FF7E7" w14:textId="77777777" w:rsidR="00034FE5" w:rsidRPr="00ED68A7" w:rsidRDefault="00034FE5" w:rsidP="00F86DC0">
            <w:pPr>
              <w:rPr>
                <w:rFonts w:ascii="Arial" w:hAnsi="Arial" w:cs="Arial"/>
                <w:sz w:val="20"/>
              </w:rPr>
            </w:pP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3E62E57" w14:textId="77777777" w:rsidR="00034FE5" w:rsidRPr="00ED68A7" w:rsidRDefault="00034FE5" w:rsidP="00F86DC0">
            <w:pPr>
              <w:jc w:val="center"/>
              <w:rPr>
                <w:rFonts w:ascii="Arial" w:hAnsi="Arial" w:cs="Arial"/>
                <w:sz w:val="20"/>
              </w:rPr>
            </w:pPr>
            <w:r w:rsidRPr="00ED68A7">
              <w:rPr>
                <w:rFonts w:ascii="Arial Narrow" w:hAnsi="Arial Narrow"/>
                <w:b/>
                <w:bCs/>
                <w:color w:val="000000" w:themeColor="text1"/>
                <w:kern w:val="24"/>
                <w:sz w:val="20"/>
              </w:rPr>
              <w:t>Node negative</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08C75C8" w14:textId="77777777" w:rsidR="00034FE5" w:rsidRPr="00ED68A7" w:rsidRDefault="00034FE5" w:rsidP="00F86DC0">
            <w:pPr>
              <w:jc w:val="center"/>
              <w:rPr>
                <w:rFonts w:ascii="Arial" w:hAnsi="Arial" w:cs="Arial"/>
                <w:sz w:val="20"/>
              </w:rPr>
            </w:pPr>
            <w:r w:rsidRPr="00ED68A7">
              <w:rPr>
                <w:rFonts w:ascii="Arial Narrow" w:hAnsi="Arial Narrow"/>
                <w:b/>
                <w:bCs/>
                <w:color w:val="000000" w:themeColor="text1"/>
                <w:kern w:val="24"/>
                <w:sz w:val="20"/>
              </w:rPr>
              <w:t>Node positive</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78F39A6" w14:textId="77777777" w:rsidR="00034FE5" w:rsidRPr="00ED68A7" w:rsidRDefault="00034FE5" w:rsidP="00F86DC0">
            <w:pPr>
              <w:jc w:val="center"/>
              <w:rPr>
                <w:rFonts w:ascii="Arial" w:hAnsi="Arial" w:cs="Arial"/>
                <w:sz w:val="20"/>
              </w:rPr>
            </w:pPr>
            <w:r w:rsidRPr="00ED68A7">
              <w:rPr>
                <w:rFonts w:ascii="Arial Narrow" w:hAnsi="Arial Narrow"/>
                <w:b/>
                <w:bCs/>
                <w:color w:val="000000" w:themeColor="text1"/>
                <w:kern w:val="24"/>
                <w:sz w:val="20"/>
              </w:rPr>
              <w:t>Node negative</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CA34D6C" w14:textId="77777777" w:rsidR="00034FE5" w:rsidRPr="00ED68A7" w:rsidRDefault="00034FE5" w:rsidP="00F86DC0">
            <w:pPr>
              <w:jc w:val="center"/>
              <w:rPr>
                <w:rFonts w:ascii="Arial" w:hAnsi="Arial" w:cs="Arial"/>
                <w:sz w:val="20"/>
              </w:rPr>
            </w:pPr>
            <w:r w:rsidRPr="00ED68A7">
              <w:rPr>
                <w:rFonts w:ascii="Arial Narrow" w:hAnsi="Arial Narrow"/>
                <w:b/>
                <w:bCs/>
                <w:color w:val="000000" w:themeColor="text1"/>
                <w:kern w:val="24"/>
                <w:sz w:val="20"/>
              </w:rPr>
              <w:t>Node positive</w:t>
            </w:r>
          </w:p>
        </w:tc>
      </w:tr>
      <w:tr w:rsidR="00034FE5" w:rsidRPr="00ED68A7" w14:paraId="6C464212" w14:textId="77777777" w:rsidTr="00F86DC0">
        <w:trPr>
          <w:trHeight w:val="392"/>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1909FF21" w14:textId="77777777" w:rsidR="00034FE5" w:rsidRPr="00ED68A7" w:rsidRDefault="00034FE5" w:rsidP="00F86DC0">
            <w:pPr>
              <w:rPr>
                <w:rFonts w:ascii="Arial" w:hAnsi="Arial" w:cs="Arial"/>
                <w:sz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F8D5414" w14:textId="77777777" w:rsidR="00034FE5" w:rsidRPr="00ED68A7" w:rsidRDefault="00034FE5" w:rsidP="00F86DC0">
            <w:pPr>
              <w:jc w:val="center"/>
              <w:rPr>
                <w:rFonts w:ascii="Arial" w:hAnsi="Arial" w:cs="Arial"/>
                <w:sz w:val="20"/>
              </w:rPr>
            </w:pPr>
            <w:r w:rsidRPr="00ED68A7">
              <w:rPr>
                <w:rFonts w:ascii="Arial Narrow" w:hAnsi="Arial Narrow"/>
                <w:b/>
                <w:bCs/>
                <w:color w:val="000000" w:themeColor="text1"/>
                <w:kern w:val="24"/>
                <w:sz w:val="20"/>
              </w:rPr>
              <w:t>Treatment changed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BDF5ADB" w14:textId="77777777" w:rsidR="00034FE5" w:rsidRPr="00ED68A7" w:rsidRDefault="00034FE5" w:rsidP="00F86DC0">
            <w:pPr>
              <w:jc w:val="center"/>
              <w:rPr>
                <w:rFonts w:ascii="Arial" w:hAnsi="Arial" w:cs="Arial"/>
                <w:sz w:val="20"/>
              </w:rPr>
            </w:pPr>
            <w:r w:rsidRPr="00ED68A7">
              <w:rPr>
                <w:rFonts w:ascii="Arial Narrow" w:hAnsi="Arial Narrow"/>
                <w:b/>
                <w:bCs/>
                <w:color w:val="000000" w:themeColor="text1"/>
                <w:kern w:val="24"/>
                <w:sz w:val="20"/>
              </w:rPr>
              <w:t>ICER</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2AD6A5D" w14:textId="77777777" w:rsidR="00034FE5" w:rsidRPr="00ED68A7" w:rsidRDefault="00034FE5" w:rsidP="00F86DC0">
            <w:pPr>
              <w:jc w:val="center"/>
              <w:rPr>
                <w:rFonts w:ascii="Arial" w:hAnsi="Arial" w:cs="Arial"/>
                <w:sz w:val="20"/>
              </w:rPr>
            </w:pPr>
            <w:r w:rsidRPr="00ED68A7">
              <w:rPr>
                <w:rFonts w:ascii="Arial Narrow" w:hAnsi="Arial Narrow"/>
                <w:b/>
                <w:bCs/>
                <w:color w:val="000000" w:themeColor="text1"/>
                <w:kern w:val="24"/>
                <w:sz w:val="20"/>
              </w:rPr>
              <w:t>Treatment changed</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1D62D5A" w14:textId="77777777" w:rsidR="00034FE5" w:rsidRPr="00ED68A7" w:rsidRDefault="00034FE5" w:rsidP="00F86DC0">
            <w:pPr>
              <w:jc w:val="center"/>
              <w:rPr>
                <w:rFonts w:ascii="Arial" w:hAnsi="Arial" w:cs="Arial"/>
                <w:sz w:val="20"/>
              </w:rPr>
            </w:pPr>
            <w:r w:rsidRPr="00ED68A7">
              <w:rPr>
                <w:rFonts w:ascii="Arial Narrow" w:hAnsi="Arial Narrow"/>
                <w:b/>
                <w:bCs/>
                <w:color w:val="000000" w:themeColor="text1"/>
                <w:kern w:val="24"/>
                <w:sz w:val="20"/>
              </w:rPr>
              <w:t>ICER</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096BF0B" w14:textId="77777777" w:rsidR="00034FE5" w:rsidRPr="00ED68A7" w:rsidRDefault="00034FE5" w:rsidP="00F86DC0">
            <w:pPr>
              <w:jc w:val="center"/>
              <w:rPr>
                <w:rFonts w:ascii="Arial" w:hAnsi="Arial" w:cs="Arial"/>
                <w:sz w:val="20"/>
              </w:rPr>
            </w:pPr>
            <w:r w:rsidRPr="00ED68A7">
              <w:rPr>
                <w:rFonts w:ascii="Arial Narrow" w:hAnsi="Arial Narrow"/>
                <w:b/>
                <w:bCs/>
                <w:color w:val="000000" w:themeColor="text1"/>
                <w:kern w:val="24"/>
                <w:sz w:val="20"/>
              </w:rPr>
              <w:t>Treatment changed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22BF1D1" w14:textId="77777777" w:rsidR="00034FE5" w:rsidRPr="00ED68A7" w:rsidRDefault="00034FE5" w:rsidP="00F86DC0">
            <w:pPr>
              <w:jc w:val="center"/>
              <w:rPr>
                <w:rFonts w:ascii="Arial" w:hAnsi="Arial" w:cs="Arial"/>
                <w:sz w:val="20"/>
              </w:rPr>
            </w:pPr>
            <w:r w:rsidRPr="00ED68A7">
              <w:rPr>
                <w:rFonts w:ascii="Arial Narrow" w:hAnsi="Arial Narrow"/>
                <w:b/>
                <w:bCs/>
                <w:color w:val="000000" w:themeColor="text1"/>
                <w:kern w:val="24"/>
                <w:sz w:val="20"/>
              </w:rPr>
              <w:t>ICER</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AE8E38D" w14:textId="77777777" w:rsidR="00034FE5" w:rsidRPr="00ED68A7" w:rsidRDefault="00034FE5" w:rsidP="00F86DC0">
            <w:pPr>
              <w:jc w:val="center"/>
              <w:rPr>
                <w:rFonts w:ascii="Arial" w:hAnsi="Arial" w:cs="Arial"/>
                <w:sz w:val="20"/>
              </w:rPr>
            </w:pPr>
            <w:r w:rsidRPr="00ED68A7">
              <w:rPr>
                <w:rFonts w:ascii="Arial Narrow" w:hAnsi="Arial Narrow"/>
                <w:b/>
                <w:bCs/>
                <w:color w:val="000000" w:themeColor="text1"/>
                <w:kern w:val="24"/>
                <w:sz w:val="20"/>
              </w:rPr>
              <w:t>Treatment changed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36E5F2D" w14:textId="77777777" w:rsidR="00034FE5" w:rsidRPr="00ED68A7" w:rsidRDefault="00034FE5" w:rsidP="00F86DC0">
            <w:pPr>
              <w:jc w:val="center"/>
              <w:rPr>
                <w:rFonts w:ascii="Arial" w:hAnsi="Arial" w:cs="Arial"/>
                <w:sz w:val="20"/>
              </w:rPr>
            </w:pPr>
            <w:r w:rsidRPr="00ED68A7">
              <w:rPr>
                <w:rFonts w:ascii="Arial Narrow" w:hAnsi="Arial Narrow"/>
                <w:b/>
                <w:bCs/>
                <w:color w:val="000000" w:themeColor="text1"/>
                <w:kern w:val="24"/>
                <w:sz w:val="20"/>
              </w:rPr>
              <w:t>ICER</w:t>
            </w:r>
          </w:p>
        </w:tc>
      </w:tr>
      <w:tr w:rsidR="00034FE5" w:rsidRPr="00ED68A7" w14:paraId="4D83CFC1" w14:textId="77777777" w:rsidTr="00F86DC0">
        <w:trPr>
          <w:trHeight w:val="288"/>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E61AF23" w14:textId="77777777" w:rsidR="00034FE5" w:rsidRPr="00ED68A7" w:rsidRDefault="00034FE5" w:rsidP="00F86DC0">
            <w:pPr>
              <w:rPr>
                <w:rFonts w:ascii="Arial" w:hAnsi="Arial" w:cs="Arial"/>
                <w:sz w:val="20"/>
              </w:rPr>
            </w:pPr>
            <w:r w:rsidRPr="00ED68A7">
              <w:rPr>
                <w:rFonts w:ascii="Arial Narrow" w:hAnsi="Arial Narrow"/>
                <w:color w:val="000000" w:themeColor="text1"/>
                <w:kern w:val="24"/>
                <w:sz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D99594"/>
            <w:tcMar>
              <w:top w:w="15" w:type="dxa"/>
              <w:left w:w="57" w:type="dxa"/>
              <w:bottom w:w="0" w:type="dxa"/>
              <w:right w:w="57" w:type="dxa"/>
            </w:tcMar>
            <w:hideMark/>
          </w:tcPr>
          <w:p w14:paraId="6488C2A1" w14:textId="77777777" w:rsidR="00034FE5" w:rsidRPr="00A24544" w:rsidRDefault="00034FE5" w:rsidP="00F86DC0">
            <w:pPr>
              <w:jc w:val="center"/>
              <w:rPr>
                <w:rFonts w:ascii="Arial Narrow" w:hAnsi="Arial Narrow"/>
                <w:color w:val="000000" w:themeColor="text1"/>
                <w:kern w:val="24"/>
                <w:sz w:val="20"/>
              </w:rPr>
            </w:pPr>
            <w:r w:rsidRPr="00ED68A7">
              <w:rPr>
                <w:rFonts w:ascii="Arial Narrow" w:hAnsi="Arial Narrow"/>
                <w:color w:val="000000" w:themeColor="text1"/>
                <w:kern w:val="24"/>
                <w:sz w:val="20"/>
              </w:rPr>
              <w:t>10.5%</w:t>
            </w:r>
          </w:p>
          <w:p w14:paraId="6D9F906C" w14:textId="77777777" w:rsidR="00034FE5" w:rsidRPr="00ED68A7" w:rsidRDefault="00034FE5" w:rsidP="00F86DC0">
            <w:pPr>
              <w:jc w:val="center"/>
              <w:rPr>
                <w:rFonts w:ascii="Arial" w:hAnsi="Arial" w:cs="Arial"/>
                <w:sz w:val="20"/>
              </w:rPr>
            </w:pPr>
            <w:r w:rsidRPr="00ED68A7">
              <w:rPr>
                <w:rFonts w:ascii="Arial Narrow" w:hAnsi="Arial Narrow"/>
                <w:color w:val="000000" w:themeColor="text1"/>
                <w:kern w:val="24"/>
                <w:sz w:val="20"/>
              </w:rPr>
              <w:t>(4/38)</w:t>
            </w:r>
          </w:p>
        </w:tc>
        <w:tc>
          <w:tcPr>
            <w:tcW w:w="1134" w:type="dxa"/>
            <w:tcBorders>
              <w:top w:val="single" w:sz="8" w:space="0" w:color="000000"/>
              <w:left w:val="single" w:sz="8" w:space="0" w:color="000000"/>
              <w:bottom w:val="single" w:sz="8" w:space="0" w:color="000000"/>
              <w:right w:val="single" w:sz="8" w:space="0" w:color="000000"/>
            </w:tcBorders>
            <w:shd w:val="clear" w:color="auto" w:fill="D99594"/>
            <w:tcMar>
              <w:top w:w="15" w:type="dxa"/>
              <w:left w:w="57" w:type="dxa"/>
              <w:bottom w:w="0" w:type="dxa"/>
              <w:right w:w="57" w:type="dxa"/>
            </w:tcMar>
            <w:hideMark/>
          </w:tcPr>
          <w:p w14:paraId="1D747BB1" w14:textId="77777777" w:rsidR="00034FE5" w:rsidRPr="00ED68A7" w:rsidRDefault="00034FE5" w:rsidP="00F86DC0">
            <w:pPr>
              <w:jc w:val="center"/>
              <w:rPr>
                <w:rFonts w:ascii="Arial" w:hAnsi="Arial" w:cs="Arial"/>
                <w:sz w:val="20"/>
              </w:rPr>
            </w:pPr>
            <w:r w:rsidRPr="00ED68A7">
              <w:rPr>
                <w:rFonts w:ascii="Arial Narrow" w:hAnsi="Arial Narrow"/>
                <w:color w:val="000000" w:themeColor="text1"/>
                <w:kern w:val="24"/>
                <w:sz w:val="20"/>
              </w:rPr>
              <w:t>Dominated</w:t>
            </w:r>
          </w:p>
        </w:tc>
        <w:tc>
          <w:tcPr>
            <w:tcW w:w="993" w:type="dxa"/>
            <w:tcBorders>
              <w:top w:val="single" w:sz="8" w:space="0" w:color="000000"/>
              <w:left w:val="single" w:sz="8" w:space="0" w:color="000000"/>
              <w:bottom w:val="single" w:sz="8" w:space="0" w:color="000000"/>
              <w:right w:val="single" w:sz="8" w:space="0" w:color="000000"/>
            </w:tcBorders>
            <w:shd w:val="clear" w:color="auto" w:fill="9BBB59"/>
            <w:tcMar>
              <w:top w:w="15" w:type="dxa"/>
              <w:left w:w="57" w:type="dxa"/>
              <w:bottom w:w="0" w:type="dxa"/>
              <w:right w:w="57" w:type="dxa"/>
            </w:tcMar>
            <w:hideMark/>
          </w:tcPr>
          <w:p w14:paraId="18BA03E7" w14:textId="77777777" w:rsidR="00034FE5" w:rsidRPr="00A24544" w:rsidRDefault="00034FE5" w:rsidP="00F86DC0">
            <w:pPr>
              <w:jc w:val="center"/>
              <w:rPr>
                <w:rFonts w:ascii="Arial Narrow" w:hAnsi="Arial Narrow"/>
                <w:color w:val="000000" w:themeColor="text1"/>
                <w:kern w:val="24"/>
                <w:sz w:val="20"/>
              </w:rPr>
            </w:pPr>
            <w:r w:rsidRPr="00ED68A7">
              <w:rPr>
                <w:rFonts w:ascii="Arial Narrow" w:hAnsi="Arial Narrow"/>
                <w:color w:val="000000" w:themeColor="text1"/>
                <w:kern w:val="24"/>
                <w:sz w:val="20"/>
              </w:rPr>
              <w:t>23.1%</w:t>
            </w:r>
          </w:p>
          <w:p w14:paraId="33347D26" w14:textId="77777777" w:rsidR="00034FE5" w:rsidRPr="00ED68A7" w:rsidRDefault="00034FE5" w:rsidP="00F86DC0">
            <w:pPr>
              <w:jc w:val="center"/>
              <w:rPr>
                <w:rFonts w:ascii="Arial" w:hAnsi="Arial" w:cs="Arial"/>
                <w:sz w:val="20"/>
              </w:rPr>
            </w:pPr>
            <w:r w:rsidRPr="00ED68A7">
              <w:rPr>
                <w:rFonts w:ascii="Arial Narrow" w:hAnsi="Arial Narrow"/>
                <w:color w:val="000000" w:themeColor="text1"/>
                <w:kern w:val="24"/>
                <w:sz w:val="20"/>
              </w:rPr>
              <w:t>(3/13)</w:t>
            </w:r>
          </w:p>
        </w:tc>
        <w:tc>
          <w:tcPr>
            <w:tcW w:w="992" w:type="dxa"/>
            <w:tcBorders>
              <w:top w:val="single" w:sz="8" w:space="0" w:color="000000"/>
              <w:left w:val="single" w:sz="8" w:space="0" w:color="000000"/>
              <w:bottom w:val="single" w:sz="8" w:space="0" w:color="000000"/>
              <w:right w:val="single" w:sz="8" w:space="0" w:color="000000"/>
            </w:tcBorders>
            <w:shd w:val="clear" w:color="auto" w:fill="9BBB59"/>
            <w:tcMar>
              <w:top w:w="15" w:type="dxa"/>
              <w:left w:w="57" w:type="dxa"/>
              <w:bottom w:w="0" w:type="dxa"/>
              <w:right w:w="57" w:type="dxa"/>
            </w:tcMar>
            <w:hideMark/>
          </w:tcPr>
          <w:p w14:paraId="7FB1F889" w14:textId="77777777" w:rsidR="00034FE5" w:rsidRPr="00ED68A7" w:rsidRDefault="00034FE5" w:rsidP="00F86DC0">
            <w:pPr>
              <w:jc w:val="center"/>
              <w:rPr>
                <w:rFonts w:ascii="Arial" w:hAnsi="Arial" w:cs="Arial"/>
                <w:sz w:val="20"/>
              </w:rPr>
            </w:pPr>
            <w:r w:rsidRPr="00ED68A7">
              <w:rPr>
                <w:rFonts w:ascii="Arial Narrow" w:hAnsi="Arial Narrow"/>
                <w:color w:val="000000" w:themeColor="text1"/>
                <w:kern w:val="24"/>
                <w:sz w:val="20"/>
              </w:rPr>
              <w:t>DOMINANT</w:t>
            </w:r>
          </w:p>
        </w:tc>
        <w:tc>
          <w:tcPr>
            <w:tcW w:w="992"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57" w:type="dxa"/>
            </w:tcMar>
            <w:hideMark/>
          </w:tcPr>
          <w:p w14:paraId="6998A8E3" w14:textId="77777777" w:rsidR="00034FE5" w:rsidRDefault="00034FE5" w:rsidP="00F86DC0">
            <w:pPr>
              <w:jc w:val="center"/>
              <w:rPr>
                <w:rFonts w:ascii="Arial Narrow" w:hAnsi="Arial Narrow"/>
                <w:color w:val="000000" w:themeColor="text1"/>
                <w:kern w:val="24"/>
                <w:sz w:val="20"/>
              </w:rPr>
            </w:pPr>
            <w:r w:rsidRPr="00ED68A7">
              <w:rPr>
                <w:rFonts w:ascii="Arial Narrow" w:hAnsi="Arial Narrow"/>
                <w:color w:val="000000" w:themeColor="text1"/>
                <w:kern w:val="24"/>
                <w:sz w:val="20"/>
              </w:rPr>
              <w:t>30.9%</w:t>
            </w:r>
          </w:p>
          <w:p w14:paraId="2093F5E4" w14:textId="77777777" w:rsidR="00034FE5" w:rsidRPr="00ED68A7" w:rsidRDefault="00034FE5" w:rsidP="00F86DC0">
            <w:pPr>
              <w:jc w:val="center"/>
              <w:rPr>
                <w:rFonts w:ascii="Arial" w:hAnsi="Arial" w:cs="Arial"/>
                <w:sz w:val="20"/>
              </w:rPr>
            </w:pPr>
            <w:r w:rsidRPr="00ED68A7">
              <w:rPr>
                <w:rFonts w:ascii="Arial Narrow" w:hAnsi="Arial Narrow"/>
                <w:color w:val="000000" w:themeColor="text1"/>
                <w:kern w:val="24"/>
                <w:sz w:val="20"/>
              </w:rPr>
              <w:t>(17/55)</w:t>
            </w:r>
          </w:p>
        </w:tc>
        <w:tc>
          <w:tcPr>
            <w:tcW w:w="1134"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57" w:type="dxa"/>
            </w:tcMar>
            <w:hideMark/>
          </w:tcPr>
          <w:p w14:paraId="674CF51B" w14:textId="77777777" w:rsidR="00034FE5" w:rsidRPr="00ED68A7" w:rsidRDefault="00034FE5" w:rsidP="00F86DC0">
            <w:pPr>
              <w:jc w:val="center"/>
              <w:rPr>
                <w:rFonts w:ascii="Arial" w:hAnsi="Arial" w:cs="Arial"/>
                <w:sz w:val="20"/>
              </w:rPr>
            </w:pPr>
            <w:r w:rsidRPr="00ED68A7">
              <w:rPr>
                <w:rFonts w:ascii="Arial Narrow" w:hAnsi="Arial Narrow"/>
                <w:color w:val="000000" w:themeColor="text1"/>
                <w:kern w:val="24"/>
                <w:sz w:val="20"/>
              </w:rPr>
              <w:t>$33,522</w:t>
            </w:r>
          </w:p>
        </w:tc>
        <w:tc>
          <w:tcPr>
            <w:tcW w:w="992" w:type="dxa"/>
            <w:tcBorders>
              <w:top w:val="single" w:sz="8" w:space="0" w:color="000000"/>
              <w:left w:val="single" w:sz="8" w:space="0" w:color="000000"/>
              <w:bottom w:val="single" w:sz="8" w:space="0" w:color="000000"/>
              <w:right w:val="single" w:sz="8" w:space="0" w:color="000000"/>
            </w:tcBorders>
            <w:shd w:val="clear" w:color="auto" w:fill="9BBB59"/>
            <w:tcMar>
              <w:top w:w="15" w:type="dxa"/>
              <w:left w:w="57" w:type="dxa"/>
              <w:bottom w:w="0" w:type="dxa"/>
              <w:right w:w="57" w:type="dxa"/>
            </w:tcMar>
            <w:hideMark/>
          </w:tcPr>
          <w:p w14:paraId="0E63FF61" w14:textId="77777777" w:rsidR="00034FE5" w:rsidRDefault="00034FE5" w:rsidP="00F86DC0">
            <w:pPr>
              <w:jc w:val="center"/>
              <w:rPr>
                <w:rFonts w:ascii="Arial Narrow" w:hAnsi="Arial Narrow"/>
                <w:color w:val="000000" w:themeColor="text1"/>
                <w:kern w:val="24"/>
                <w:sz w:val="20"/>
              </w:rPr>
            </w:pPr>
            <w:r w:rsidRPr="00ED68A7">
              <w:rPr>
                <w:rFonts w:ascii="Arial Narrow" w:hAnsi="Arial Narrow"/>
                <w:color w:val="000000" w:themeColor="text1"/>
                <w:kern w:val="24"/>
                <w:sz w:val="20"/>
              </w:rPr>
              <w:t>55.6%</w:t>
            </w:r>
          </w:p>
          <w:p w14:paraId="2D48D54D" w14:textId="77777777" w:rsidR="00034FE5" w:rsidRPr="00ED68A7" w:rsidRDefault="00034FE5" w:rsidP="00F86DC0">
            <w:pPr>
              <w:jc w:val="center"/>
              <w:rPr>
                <w:rFonts w:ascii="Arial" w:hAnsi="Arial" w:cs="Arial"/>
                <w:sz w:val="20"/>
              </w:rPr>
            </w:pPr>
            <w:r w:rsidRPr="00ED68A7">
              <w:rPr>
                <w:rFonts w:ascii="Arial Narrow" w:hAnsi="Arial Narrow"/>
                <w:color w:val="000000" w:themeColor="text1"/>
                <w:kern w:val="24"/>
                <w:sz w:val="20"/>
              </w:rPr>
              <w:t>(10/18)</w:t>
            </w:r>
          </w:p>
        </w:tc>
        <w:tc>
          <w:tcPr>
            <w:tcW w:w="1134" w:type="dxa"/>
            <w:tcBorders>
              <w:top w:val="single" w:sz="8" w:space="0" w:color="000000"/>
              <w:left w:val="single" w:sz="8" w:space="0" w:color="000000"/>
              <w:bottom w:val="single" w:sz="8" w:space="0" w:color="000000"/>
              <w:right w:val="single" w:sz="8" w:space="0" w:color="000000"/>
            </w:tcBorders>
            <w:shd w:val="clear" w:color="auto" w:fill="9BBB59"/>
            <w:tcMar>
              <w:top w:w="15" w:type="dxa"/>
              <w:left w:w="57" w:type="dxa"/>
              <w:bottom w:w="0" w:type="dxa"/>
              <w:right w:w="57" w:type="dxa"/>
            </w:tcMar>
            <w:hideMark/>
          </w:tcPr>
          <w:p w14:paraId="5E2BB321" w14:textId="77777777" w:rsidR="00034FE5" w:rsidRPr="00ED68A7" w:rsidRDefault="00034FE5" w:rsidP="00F86DC0">
            <w:pPr>
              <w:jc w:val="center"/>
              <w:rPr>
                <w:rFonts w:ascii="Arial" w:hAnsi="Arial" w:cs="Arial"/>
                <w:sz w:val="20"/>
              </w:rPr>
            </w:pPr>
            <w:r w:rsidRPr="00ED68A7">
              <w:rPr>
                <w:rFonts w:ascii="Arial Narrow" w:hAnsi="Arial Narrow"/>
                <w:color w:val="000000" w:themeColor="text1"/>
                <w:kern w:val="24"/>
                <w:sz w:val="20"/>
              </w:rPr>
              <w:t>DOMINANT</w:t>
            </w:r>
          </w:p>
        </w:tc>
      </w:tr>
      <w:tr w:rsidR="00034FE5" w:rsidRPr="00ED68A7" w14:paraId="7A2C90AA" w14:textId="77777777" w:rsidTr="00F86DC0">
        <w:trPr>
          <w:trHeight w:val="288"/>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4C605FD" w14:textId="77777777" w:rsidR="00034FE5" w:rsidRPr="00ED68A7" w:rsidRDefault="00034FE5" w:rsidP="00F86DC0">
            <w:pPr>
              <w:rPr>
                <w:rFonts w:ascii="Arial" w:hAnsi="Arial" w:cs="Arial"/>
                <w:sz w:val="20"/>
              </w:rPr>
            </w:pPr>
            <w:r w:rsidRPr="00ED68A7">
              <w:rPr>
                <w:rFonts w:ascii="Arial Narrow" w:hAnsi="Arial Narrow"/>
                <w:color w:val="000000" w:themeColor="text1"/>
                <w:kern w:val="24"/>
                <w:sz w:val="20"/>
              </w:rPr>
              <w:t>1</w:t>
            </w:r>
          </w:p>
        </w:tc>
        <w:tc>
          <w:tcPr>
            <w:tcW w:w="992"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57" w:type="dxa"/>
            </w:tcMar>
            <w:hideMark/>
          </w:tcPr>
          <w:p w14:paraId="4BE0A3CF" w14:textId="77777777" w:rsidR="00034FE5" w:rsidRPr="00A24544" w:rsidRDefault="00034FE5" w:rsidP="00F86DC0">
            <w:pPr>
              <w:jc w:val="center"/>
              <w:rPr>
                <w:rFonts w:ascii="Arial Narrow" w:hAnsi="Arial Narrow"/>
                <w:color w:val="000000" w:themeColor="text1"/>
                <w:kern w:val="24"/>
                <w:sz w:val="20"/>
              </w:rPr>
            </w:pPr>
            <w:r w:rsidRPr="00ED68A7">
              <w:rPr>
                <w:rFonts w:ascii="Arial Narrow" w:hAnsi="Arial Narrow"/>
                <w:color w:val="000000" w:themeColor="text1"/>
                <w:kern w:val="24"/>
                <w:sz w:val="20"/>
              </w:rPr>
              <w:t>22.2%</w:t>
            </w:r>
          </w:p>
          <w:p w14:paraId="03F9216E" w14:textId="77777777" w:rsidR="00034FE5" w:rsidRPr="00ED68A7" w:rsidRDefault="00034FE5" w:rsidP="00F86DC0">
            <w:pPr>
              <w:jc w:val="center"/>
              <w:rPr>
                <w:rFonts w:ascii="Arial Narrow" w:hAnsi="Arial Narrow"/>
                <w:color w:val="000000" w:themeColor="text1"/>
                <w:kern w:val="24"/>
                <w:sz w:val="20"/>
              </w:rPr>
            </w:pPr>
            <w:r w:rsidRPr="00ED68A7">
              <w:rPr>
                <w:rFonts w:ascii="Arial Narrow" w:hAnsi="Arial Narrow"/>
                <w:color w:val="000000" w:themeColor="text1"/>
                <w:kern w:val="24"/>
                <w:sz w:val="20"/>
              </w:rPr>
              <w:t>(10/45)</w:t>
            </w:r>
          </w:p>
        </w:tc>
        <w:tc>
          <w:tcPr>
            <w:tcW w:w="1134"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57" w:type="dxa"/>
            </w:tcMar>
            <w:hideMark/>
          </w:tcPr>
          <w:p w14:paraId="07843BA7" w14:textId="77777777" w:rsidR="00034FE5" w:rsidRPr="00ED68A7" w:rsidRDefault="00034FE5" w:rsidP="00F86DC0">
            <w:pPr>
              <w:jc w:val="center"/>
              <w:rPr>
                <w:rFonts w:ascii="Arial" w:hAnsi="Arial" w:cs="Arial"/>
                <w:sz w:val="20"/>
              </w:rPr>
            </w:pPr>
            <w:r w:rsidRPr="00ED68A7">
              <w:rPr>
                <w:rFonts w:ascii="Arial Narrow" w:hAnsi="Arial Narrow"/>
                <w:color w:val="000000" w:themeColor="text1"/>
                <w:kern w:val="24"/>
                <w:sz w:val="20"/>
              </w:rPr>
              <w:t>$8,598</w:t>
            </w:r>
          </w:p>
        </w:tc>
        <w:tc>
          <w:tcPr>
            <w:tcW w:w="993" w:type="dxa"/>
            <w:tcBorders>
              <w:top w:val="single" w:sz="8" w:space="0" w:color="000000"/>
              <w:left w:val="single" w:sz="8" w:space="0" w:color="000000"/>
              <w:bottom w:val="single" w:sz="8" w:space="0" w:color="000000"/>
              <w:right w:val="single" w:sz="8" w:space="0" w:color="000000"/>
            </w:tcBorders>
            <w:shd w:val="clear" w:color="auto" w:fill="9BBB59"/>
            <w:tcMar>
              <w:top w:w="15" w:type="dxa"/>
              <w:left w:w="57" w:type="dxa"/>
              <w:bottom w:w="0" w:type="dxa"/>
              <w:right w:w="57" w:type="dxa"/>
            </w:tcMar>
            <w:hideMark/>
          </w:tcPr>
          <w:p w14:paraId="76F11C1A" w14:textId="77777777" w:rsidR="00034FE5" w:rsidRPr="00A24544" w:rsidRDefault="00034FE5" w:rsidP="00F86DC0">
            <w:pPr>
              <w:jc w:val="center"/>
              <w:rPr>
                <w:rFonts w:ascii="Arial Narrow" w:hAnsi="Arial Narrow"/>
                <w:color w:val="000000" w:themeColor="text1"/>
                <w:kern w:val="24"/>
                <w:sz w:val="20"/>
              </w:rPr>
            </w:pPr>
            <w:r w:rsidRPr="00ED68A7">
              <w:rPr>
                <w:rFonts w:ascii="Arial Narrow" w:hAnsi="Arial Narrow"/>
                <w:color w:val="000000" w:themeColor="text1"/>
                <w:kern w:val="24"/>
                <w:sz w:val="20"/>
              </w:rPr>
              <w:t>29.6%</w:t>
            </w:r>
          </w:p>
          <w:p w14:paraId="1AD0189E" w14:textId="77777777" w:rsidR="00034FE5" w:rsidRPr="00ED68A7" w:rsidRDefault="00034FE5" w:rsidP="00F86DC0">
            <w:pPr>
              <w:jc w:val="center"/>
              <w:rPr>
                <w:rFonts w:ascii="Arial" w:hAnsi="Arial" w:cs="Arial"/>
                <w:sz w:val="20"/>
              </w:rPr>
            </w:pPr>
            <w:r w:rsidRPr="00ED68A7">
              <w:rPr>
                <w:rFonts w:ascii="Arial Narrow" w:hAnsi="Arial Narrow"/>
                <w:color w:val="000000" w:themeColor="text1"/>
                <w:kern w:val="24"/>
                <w:sz w:val="20"/>
              </w:rPr>
              <w:t>(8/27)</w:t>
            </w:r>
          </w:p>
        </w:tc>
        <w:tc>
          <w:tcPr>
            <w:tcW w:w="992" w:type="dxa"/>
            <w:tcBorders>
              <w:top w:val="single" w:sz="8" w:space="0" w:color="000000"/>
              <w:left w:val="single" w:sz="8" w:space="0" w:color="000000"/>
              <w:bottom w:val="single" w:sz="8" w:space="0" w:color="000000"/>
              <w:right w:val="single" w:sz="8" w:space="0" w:color="000000"/>
            </w:tcBorders>
            <w:shd w:val="clear" w:color="auto" w:fill="9BBB59"/>
            <w:tcMar>
              <w:top w:w="15" w:type="dxa"/>
              <w:left w:w="57" w:type="dxa"/>
              <w:bottom w:w="0" w:type="dxa"/>
              <w:right w:w="57" w:type="dxa"/>
            </w:tcMar>
            <w:hideMark/>
          </w:tcPr>
          <w:p w14:paraId="3C4D32F3" w14:textId="77777777" w:rsidR="00034FE5" w:rsidRPr="00ED68A7" w:rsidRDefault="00034FE5" w:rsidP="00F86DC0">
            <w:pPr>
              <w:jc w:val="center"/>
              <w:rPr>
                <w:rFonts w:ascii="Arial" w:hAnsi="Arial" w:cs="Arial"/>
                <w:sz w:val="20"/>
              </w:rPr>
            </w:pPr>
            <w:r w:rsidRPr="00ED68A7">
              <w:rPr>
                <w:rFonts w:ascii="Arial Narrow" w:hAnsi="Arial Narrow"/>
                <w:color w:val="000000" w:themeColor="text1"/>
                <w:kern w:val="24"/>
                <w:sz w:val="20"/>
              </w:rPr>
              <w:t>DOMINANT</w:t>
            </w:r>
          </w:p>
        </w:tc>
        <w:tc>
          <w:tcPr>
            <w:tcW w:w="992"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57" w:type="dxa"/>
            </w:tcMar>
            <w:hideMark/>
          </w:tcPr>
          <w:p w14:paraId="78A86E0A" w14:textId="77777777" w:rsidR="00034FE5" w:rsidRDefault="00034FE5" w:rsidP="00F86DC0">
            <w:pPr>
              <w:jc w:val="center"/>
              <w:rPr>
                <w:rFonts w:ascii="Arial Narrow" w:hAnsi="Arial Narrow"/>
                <w:color w:val="000000" w:themeColor="text1"/>
                <w:kern w:val="24"/>
                <w:sz w:val="20"/>
              </w:rPr>
            </w:pPr>
            <w:r w:rsidRPr="00ED68A7">
              <w:rPr>
                <w:rFonts w:ascii="Arial Narrow" w:hAnsi="Arial Narrow"/>
                <w:color w:val="000000" w:themeColor="text1"/>
                <w:kern w:val="24"/>
                <w:sz w:val="20"/>
              </w:rPr>
              <w:t>39.5%</w:t>
            </w:r>
          </w:p>
          <w:p w14:paraId="709266B2" w14:textId="77777777" w:rsidR="00034FE5" w:rsidRPr="00ED68A7" w:rsidRDefault="00034FE5" w:rsidP="00F86DC0">
            <w:pPr>
              <w:jc w:val="center"/>
              <w:rPr>
                <w:rFonts w:ascii="Arial" w:hAnsi="Arial" w:cs="Arial"/>
                <w:sz w:val="20"/>
              </w:rPr>
            </w:pPr>
            <w:r w:rsidRPr="00ED68A7">
              <w:rPr>
                <w:rFonts w:ascii="Arial Narrow" w:hAnsi="Arial Narrow"/>
                <w:color w:val="000000" w:themeColor="text1"/>
                <w:kern w:val="24"/>
                <w:sz w:val="20"/>
              </w:rPr>
              <w:t>(32/81)</w:t>
            </w:r>
          </w:p>
        </w:tc>
        <w:tc>
          <w:tcPr>
            <w:tcW w:w="1134"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57" w:type="dxa"/>
            </w:tcMar>
            <w:hideMark/>
          </w:tcPr>
          <w:p w14:paraId="3B7ABE9D" w14:textId="77777777" w:rsidR="00034FE5" w:rsidRPr="00ED68A7" w:rsidRDefault="00034FE5" w:rsidP="00F86DC0">
            <w:pPr>
              <w:jc w:val="center"/>
              <w:rPr>
                <w:rFonts w:ascii="Arial" w:hAnsi="Arial" w:cs="Arial"/>
                <w:sz w:val="20"/>
              </w:rPr>
            </w:pPr>
            <w:r w:rsidRPr="00ED68A7">
              <w:rPr>
                <w:rFonts w:ascii="Arial Narrow" w:hAnsi="Arial Narrow"/>
                <w:color w:val="000000" w:themeColor="text1"/>
                <w:kern w:val="24"/>
                <w:sz w:val="20"/>
              </w:rPr>
              <w:t>$4,454</w:t>
            </w:r>
          </w:p>
        </w:tc>
        <w:tc>
          <w:tcPr>
            <w:tcW w:w="992" w:type="dxa"/>
            <w:tcBorders>
              <w:top w:val="single" w:sz="8" w:space="0" w:color="000000"/>
              <w:left w:val="single" w:sz="8" w:space="0" w:color="000000"/>
              <w:bottom w:val="single" w:sz="8" w:space="0" w:color="000000"/>
              <w:right w:val="single" w:sz="8" w:space="0" w:color="000000"/>
            </w:tcBorders>
            <w:shd w:val="clear" w:color="auto" w:fill="9BBB59"/>
            <w:tcMar>
              <w:top w:w="15" w:type="dxa"/>
              <w:left w:w="57" w:type="dxa"/>
              <w:bottom w:w="0" w:type="dxa"/>
              <w:right w:w="57" w:type="dxa"/>
            </w:tcMar>
            <w:hideMark/>
          </w:tcPr>
          <w:p w14:paraId="6EEF61ED" w14:textId="77777777" w:rsidR="00034FE5" w:rsidRDefault="00034FE5" w:rsidP="00F86DC0">
            <w:pPr>
              <w:jc w:val="center"/>
              <w:rPr>
                <w:rFonts w:ascii="Arial Narrow" w:hAnsi="Arial Narrow"/>
                <w:color w:val="000000" w:themeColor="text1"/>
                <w:kern w:val="24"/>
                <w:sz w:val="20"/>
              </w:rPr>
            </w:pPr>
            <w:r w:rsidRPr="00ED68A7">
              <w:rPr>
                <w:rFonts w:ascii="Arial Narrow" w:hAnsi="Arial Narrow"/>
                <w:color w:val="000000" w:themeColor="text1"/>
                <w:kern w:val="24"/>
                <w:sz w:val="20"/>
              </w:rPr>
              <w:t>50.0%</w:t>
            </w:r>
          </w:p>
          <w:p w14:paraId="708CB994" w14:textId="77777777" w:rsidR="00034FE5" w:rsidRPr="00ED68A7" w:rsidRDefault="00034FE5" w:rsidP="00F86DC0">
            <w:pPr>
              <w:jc w:val="center"/>
              <w:rPr>
                <w:rFonts w:ascii="Arial" w:hAnsi="Arial" w:cs="Arial"/>
                <w:sz w:val="20"/>
              </w:rPr>
            </w:pPr>
            <w:r w:rsidRPr="00ED68A7">
              <w:rPr>
                <w:rFonts w:ascii="Arial Narrow" w:hAnsi="Arial Narrow"/>
                <w:color w:val="000000" w:themeColor="text1"/>
                <w:kern w:val="24"/>
                <w:sz w:val="20"/>
              </w:rPr>
              <w:t>(18/36)</w:t>
            </w:r>
          </w:p>
        </w:tc>
        <w:tc>
          <w:tcPr>
            <w:tcW w:w="1134" w:type="dxa"/>
            <w:tcBorders>
              <w:top w:val="single" w:sz="8" w:space="0" w:color="000000"/>
              <w:left w:val="single" w:sz="8" w:space="0" w:color="000000"/>
              <w:bottom w:val="single" w:sz="8" w:space="0" w:color="000000"/>
              <w:right w:val="single" w:sz="8" w:space="0" w:color="000000"/>
            </w:tcBorders>
            <w:shd w:val="clear" w:color="auto" w:fill="9BBB59"/>
            <w:tcMar>
              <w:top w:w="15" w:type="dxa"/>
              <w:left w:w="57" w:type="dxa"/>
              <w:bottom w:w="0" w:type="dxa"/>
              <w:right w:w="57" w:type="dxa"/>
            </w:tcMar>
            <w:hideMark/>
          </w:tcPr>
          <w:p w14:paraId="61B865F7" w14:textId="77777777" w:rsidR="00034FE5" w:rsidRPr="00ED68A7" w:rsidRDefault="00034FE5" w:rsidP="00F86DC0">
            <w:pPr>
              <w:jc w:val="center"/>
              <w:rPr>
                <w:rFonts w:ascii="Arial" w:hAnsi="Arial" w:cs="Arial"/>
                <w:sz w:val="20"/>
              </w:rPr>
            </w:pPr>
            <w:r w:rsidRPr="00ED68A7">
              <w:rPr>
                <w:rFonts w:ascii="Arial Narrow" w:hAnsi="Arial Narrow"/>
                <w:color w:val="000000" w:themeColor="text1"/>
                <w:kern w:val="24"/>
                <w:sz w:val="20"/>
              </w:rPr>
              <w:t>DOMINANT</w:t>
            </w:r>
          </w:p>
        </w:tc>
      </w:tr>
      <w:tr w:rsidR="00034FE5" w:rsidRPr="00ED68A7" w14:paraId="6F418273" w14:textId="77777777" w:rsidTr="00F86DC0">
        <w:trPr>
          <w:trHeight w:val="288"/>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AB6C518" w14:textId="77777777" w:rsidR="00034FE5" w:rsidRPr="00ED68A7" w:rsidRDefault="00034FE5" w:rsidP="00F86DC0">
            <w:pPr>
              <w:rPr>
                <w:rFonts w:ascii="Arial" w:hAnsi="Arial" w:cs="Arial"/>
                <w:sz w:val="20"/>
              </w:rPr>
            </w:pPr>
            <w:r w:rsidRPr="00ED68A7">
              <w:rPr>
                <w:rFonts w:ascii="Arial Narrow" w:hAnsi="Arial Narrow"/>
                <w:color w:val="000000" w:themeColor="text1"/>
                <w:kern w:val="24"/>
                <w:sz w:val="20"/>
              </w:rPr>
              <w:t>2</w:t>
            </w:r>
          </w:p>
        </w:tc>
        <w:tc>
          <w:tcPr>
            <w:tcW w:w="992"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57" w:type="dxa"/>
            </w:tcMar>
            <w:hideMark/>
          </w:tcPr>
          <w:p w14:paraId="70B3DC98" w14:textId="77777777" w:rsidR="00034FE5" w:rsidRPr="00A24544" w:rsidRDefault="00034FE5" w:rsidP="00F86DC0">
            <w:pPr>
              <w:jc w:val="center"/>
              <w:rPr>
                <w:rFonts w:ascii="Arial Narrow" w:hAnsi="Arial Narrow"/>
                <w:color w:val="000000" w:themeColor="text1"/>
                <w:kern w:val="24"/>
                <w:sz w:val="20"/>
              </w:rPr>
            </w:pPr>
            <w:r w:rsidRPr="00ED68A7">
              <w:rPr>
                <w:rFonts w:ascii="Arial Narrow" w:hAnsi="Arial Narrow"/>
                <w:color w:val="000000" w:themeColor="text1"/>
                <w:kern w:val="24"/>
                <w:sz w:val="20"/>
              </w:rPr>
              <w:t>42.9%</w:t>
            </w:r>
          </w:p>
          <w:p w14:paraId="3F2299DF" w14:textId="77777777" w:rsidR="00034FE5" w:rsidRPr="00ED68A7" w:rsidRDefault="00034FE5" w:rsidP="00F86DC0">
            <w:pPr>
              <w:jc w:val="center"/>
              <w:rPr>
                <w:rFonts w:ascii="Arial" w:hAnsi="Arial" w:cs="Arial"/>
                <w:sz w:val="20"/>
              </w:rPr>
            </w:pPr>
            <w:r w:rsidRPr="00ED68A7">
              <w:rPr>
                <w:rFonts w:ascii="Arial Narrow" w:hAnsi="Arial Narrow"/>
                <w:color w:val="000000" w:themeColor="text1"/>
                <w:kern w:val="24"/>
                <w:sz w:val="20"/>
              </w:rPr>
              <w:t>(6/14)</w:t>
            </w:r>
          </w:p>
        </w:tc>
        <w:tc>
          <w:tcPr>
            <w:tcW w:w="1134"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57" w:type="dxa"/>
            </w:tcMar>
            <w:hideMark/>
          </w:tcPr>
          <w:p w14:paraId="2D75D428" w14:textId="77777777" w:rsidR="00034FE5" w:rsidRPr="00ED68A7" w:rsidRDefault="00034FE5" w:rsidP="00F86DC0">
            <w:pPr>
              <w:jc w:val="center"/>
              <w:rPr>
                <w:rFonts w:ascii="Arial" w:hAnsi="Arial" w:cs="Arial"/>
                <w:sz w:val="20"/>
              </w:rPr>
            </w:pPr>
            <w:r w:rsidRPr="00ED68A7">
              <w:rPr>
                <w:rFonts w:ascii="Arial Narrow" w:hAnsi="Arial Narrow"/>
                <w:color w:val="000000" w:themeColor="text1"/>
                <w:kern w:val="24"/>
                <w:sz w:val="20"/>
              </w:rPr>
              <w:t>$1,583</w:t>
            </w:r>
          </w:p>
        </w:tc>
        <w:tc>
          <w:tcPr>
            <w:tcW w:w="993" w:type="dxa"/>
            <w:tcBorders>
              <w:top w:val="single" w:sz="8" w:space="0" w:color="000000"/>
              <w:left w:val="single" w:sz="8" w:space="0" w:color="000000"/>
              <w:bottom w:val="single" w:sz="8" w:space="0" w:color="000000"/>
              <w:right w:val="single" w:sz="8" w:space="0" w:color="000000"/>
            </w:tcBorders>
            <w:shd w:val="clear" w:color="auto" w:fill="D99594"/>
            <w:tcMar>
              <w:top w:w="15" w:type="dxa"/>
              <w:left w:w="57" w:type="dxa"/>
              <w:bottom w:w="0" w:type="dxa"/>
              <w:right w:w="57" w:type="dxa"/>
            </w:tcMar>
            <w:hideMark/>
          </w:tcPr>
          <w:p w14:paraId="1C58DBB3" w14:textId="77777777" w:rsidR="00034FE5" w:rsidRPr="00A24544" w:rsidRDefault="00034FE5" w:rsidP="00F86DC0">
            <w:pPr>
              <w:jc w:val="center"/>
              <w:rPr>
                <w:rFonts w:ascii="Arial Narrow" w:hAnsi="Arial Narrow"/>
                <w:color w:val="000000" w:themeColor="text1"/>
                <w:kern w:val="24"/>
                <w:sz w:val="20"/>
              </w:rPr>
            </w:pPr>
            <w:r w:rsidRPr="00ED68A7">
              <w:rPr>
                <w:rFonts w:ascii="Arial Narrow" w:hAnsi="Arial Narrow"/>
                <w:color w:val="000000" w:themeColor="text1"/>
                <w:kern w:val="24"/>
                <w:sz w:val="20"/>
              </w:rPr>
              <w:t>0.0%</w:t>
            </w:r>
          </w:p>
          <w:p w14:paraId="17F11B5A" w14:textId="77777777" w:rsidR="00034FE5" w:rsidRPr="00ED68A7" w:rsidRDefault="00034FE5" w:rsidP="00F86DC0">
            <w:pPr>
              <w:jc w:val="center"/>
              <w:rPr>
                <w:rFonts w:ascii="Arial" w:hAnsi="Arial" w:cs="Arial"/>
                <w:sz w:val="20"/>
              </w:rPr>
            </w:pPr>
            <w:r w:rsidRPr="00ED68A7">
              <w:rPr>
                <w:rFonts w:ascii="Arial Narrow" w:hAnsi="Arial Narrow"/>
                <w:color w:val="000000" w:themeColor="text1"/>
                <w:kern w:val="24"/>
                <w:sz w:val="20"/>
              </w:rPr>
              <w:t>(0/8)</w:t>
            </w:r>
          </w:p>
        </w:tc>
        <w:tc>
          <w:tcPr>
            <w:tcW w:w="992" w:type="dxa"/>
            <w:tcBorders>
              <w:top w:val="single" w:sz="8" w:space="0" w:color="000000"/>
              <w:left w:val="single" w:sz="8" w:space="0" w:color="000000"/>
              <w:bottom w:val="single" w:sz="8" w:space="0" w:color="000000"/>
              <w:right w:val="single" w:sz="8" w:space="0" w:color="000000"/>
            </w:tcBorders>
            <w:shd w:val="clear" w:color="auto" w:fill="D99594"/>
            <w:tcMar>
              <w:top w:w="15" w:type="dxa"/>
              <w:left w:w="57" w:type="dxa"/>
              <w:bottom w:w="0" w:type="dxa"/>
              <w:right w:w="57" w:type="dxa"/>
            </w:tcMar>
            <w:hideMark/>
          </w:tcPr>
          <w:p w14:paraId="17B2FD73" w14:textId="77777777" w:rsidR="00034FE5" w:rsidRPr="00ED68A7" w:rsidRDefault="00034FE5" w:rsidP="00F86DC0">
            <w:pPr>
              <w:jc w:val="center"/>
              <w:rPr>
                <w:rFonts w:ascii="Arial" w:hAnsi="Arial" w:cs="Arial"/>
                <w:sz w:val="20"/>
              </w:rPr>
            </w:pPr>
            <w:r w:rsidRPr="00ED68A7">
              <w:rPr>
                <w:rFonts w:ascii="Arial Narrow" w:hAnsi="Arial Narrow"/>
                <w:color w:val="000000" w:themeColor="text1"/>
                <w:kern w:val="24"/>
                <w:sz w:val="20"/>
              </w:rPr>
              <w:t>Dominated</w:t>
            </w:r>
          </w:p>
        </w:tc>
        <w:tc>
          <w:tcPr>
            <w:tcW w:w="992" w:type="dxa"/>
            <w:tcBorders>
              <w:top w:val="single" w:sz="8" w:space="0" w:color="000000"/>
              <w:left w:val="single" w:sz="8" w:space="0" w:color="000000"/>
              <w:bottom w:val="single" w:sz="8" w:space="0" w:color="000000"/>
              <w:right w:val="single" w:sz="8" w:space="0" w:color="000000"/>
            </w:tcBorders>
            <w:shd w:val="clear" w:color="auto" w:fill="9BBB59"/>
            <w:tcMar>
              <w:top w:w="15" w:type="dxa"/>
              <w:left w:w="57" w:type="dxa"/>
              <w:bottom w:w="0" w:type="dxa"/>
              <w:right w:w="57" w:type="dxa"/>
            </w:tcMar>
            <w:hideMark/>
          </w:tcPr>
          <w:p w14:paraId="48B1EFA1" w14:textId="77777777" w:rsidR="00034FE5" w:rsidRDefault="00034FE5" w:rsidP="00F86DC0">
            <w:pPr>
              <w:jc w:val="center"/>
              <w:rPr>
                <w:rFonts w:ascii="Arial Narrow" w:hAnsi="Arial Narrow"/>
                <w:color w:val="000000" w:themeColor="text1"/>
                <w:kern w:val="24"/>
                <w:sz w:val="20"/>
              </w:rPr>
            </w:pPr>
            <w:r w:rsidRPr="00ED68A7">
              <w:rPr>
                <w:rFonts w:ascii="Arial Narrow" w:hAnsi="Arial Narrow"/>
                <w:color w:val="000000" w:themeColor="text1"/>
                <w:kern w:val="24"/>
                <w:sz w:val="20"/>
              </w:rPr>
              <w:t>38.9%</w:t>
            </w:r>
          </w:p>
          <w:p w14:paraId="6D42DEEF" w14:textId="77777777" w:rsidR="00034FE5" w:rsidRPr="00ED68A7" w:rsidRDefault="00034FE5" w:rsidP="00F86DC0">
            <w:pPr>
              <w:jc w:val="center"/>
              <w:rPr>
                <w:rFonts w:ascii="Arial" w:hAnsi="Arial" w:cs="Arial"/>
                <w:sz w:val="20"/>
              </w:rPr>
            </w:pPr>
            <w:r w:rsidRPr="00ED68A7">
              <w:rPr>
                <w:rFonts w:ascii="Arial Narrow" w:hAnsi="Arial Narrow"/>
                <w:color w:val="000000" w:themeColor="text1"/>
                <w:kern w:val="24"/>
                <w:sz w:val="20"/>
              </w:rPr>
              <w:t>(7/18)</w:t>
            </w:r>
          </w:p>
        </w:tc>
        <w:tc>
          <w:tcPr>
            <w:tcW w:w="1134" w:type="dxa"/>
            <w:tcBorders>
              <w:top w:val="single" w:sz="8" w:space="0" w:color="000000"/>
              <w:left w:val="single" w:sz="8" w:space="0" w:color="000000"/>
              <w:bottom w:val="single" w:sz="8" w:space="0" w:color="000000"/>
              <w:right w:val="single" w:sz="8" w:space="0" w:color="000000"/>
            </w:tcBorders>
            <w:shd w:val="clear" w:color="auto" w:fill="9BBB59"/>
            <w:tcMar>
              <w:top w:w="15" w:type="dxa"/>
              <w:left w:w="57" w:type="dxa"/>
              <w:bottom w:w="0" w:type="dxa"/>
              <w:right w:w="57" w:type="dxa"/>
            </w:tcMar>
            <w:hideMark/>
          </w:tcPr>
          <w:p w14:paraId="396F62CC" w14:textId="77777777" w:rsidR="00034FE5" w:rsidRPr="00ED68A7" w:rsidRDefault="00034FE5" w:rsidP="00F86DC0">
            <w:pPr>
              <w:jc w:val="center"/>
              <w:rPr>
                <w:rFonts w:ascii="Arial" w:hAnsi="Arial" w:cs="Arial"/>
                <w:sz w:val="20"/>
              </w:rPr>
            </w:pPr>
            <w:r w:rsidRPr="00ED68A7">
              <w:rPr>
                <w:rFonts w:ascii="Arial Narrow" w:hAnsi="Arial Narrow"/>
                <w:color w:val="000000" w:themeColor="text1"/>
                <w:kern w:val="24"/>
                <w:sz w:val="20"/>
              </w:rPr>
              <w:t>DOMINANT</w:t>
            </w:r>
          </w:p>
        </w:tc>
        <w:tc>
          <w:tcPr>
            <w:tcW w:w="992" w:type="dxa"/>
            <w:tcBorders>
              <w:top w:val="single" w:sz="8" w:space="0" w:color="000000"/>
              <w:left w:val="single" w:sz="8" w:space="0" w:color="000000"/>
              <w:bottom w:val="single" w:sz="8" w:space="0" w:color="000000"/>
              <w:right w:val="single" w:sz="8" w:space="0" w:color="000000"/>
            </w:tcBorders>
            <w:shd w:val="clear" w:color="auto" w:fill="9BBB59"/>
            <w:tcMar>
              <w:top w:w="15" w:type="dxa"/>
              <w:left w:w="57" w:type="dxa"/>
              <w:bottom w:w="0" w:type="dxa"/>
              <w:right w:w="57" w:type="dxa"/>
            </w:tcMar>
            <w:hideMark/>
          </w:tcPr>
          <w:p w14:paraId="012DFC36" w14:textId="77777777" w:rsidR="00034FE5" w:rsidRDefault="00034FE5" w:rsidP="00F86DC0">
            <w:pPr>
              <w:jc w:val="center"/>
              <w:rPr>
                <w:rFonts w:ascii="Arial Narrow" w:hAnsi="Arial Narrow"/>
                <w:color w:val="000000" w:themeColor="text1"/>
                <w:kern w:val="24"/>
                <w:sz w:val="20"/>
              </w:rPr>
            </w:pPr>
            <w:r w:rsidRPr="00ED68A7">
              <w:rPr>
                <w:rFonts w:ascii="Arial Narrow" w:hAnsi="Arial Narrow"/>
                <w:color w:val="000000" w:themeColor="text1"/>
                <w:kern w:val="24"/>
                <w:sz w:val="20"/>
              </w:rPr>
              <w:t>50.0%</w:t>
            </w:r>
          </w:p>
          <w:p w14:paraId="5C315DC3" w14:textId="77777777" w:rsidR="00034FE5" w:rsidRPr="00ED68A7" w:rsidRDefault="00034FE5" w:rsidP="00F86DC0">
            <w:pPr>
              <w:jc w:val="center"/>
              <w:rPr>
                <w:rFonts w:ascii="Arial" w:hAnsi="Arial" w:cs="Arial"/>
                <w:sz w:val="20"/>
              </w:rPr>
            </w:pPr>
            <w:r w:rsidRPr="00ED68A7">
              <w:rPr>
                <w:rFonts w:ascii="Arial Narrow" w:hAnsi="Arial Narrow"/>
                <w:color w:val="000000" w:themeColor="text1"/>
                <w:kern w:val="24"/>
                <w:sz w:val="20"/>
              </w:rPr>
              <w:t>(11/22)</w:t>
            </w:r>
          </w:p>
        </w:tc>
        <w:tc>
          <w:tcPr>
            <w:tcW w:w="1134" w:type="dxa"/>
            <w:tcBorders>
              <w:top w:val="single" w:sz="8" w:space="0" w:color="000000"/>
              <w:left w:val="single" w:sz="8" w:space="0" w:color="000000"/>
              <w:bottom w:val="single" w:sz="8" w:space="0" w:color="000000"/>
              <w:right w:val="single" w:sz="8" w:space="0" w:color="000000"/>
            </w:tcBorders>
            <w:shd w:val="clear" w:color="auto" w:fill="9BBB59"/>
            <w:tcMar>
              <w:top w:w="15" w:type="dxa"/>
              <w:left w:w="57" w:type="dxa"/>
              <w:bottom w:w="0" w:type="dxa"/>
              <w:right w:w="57" w:type="dxa"/>
            </w:tcMar>
            <w:hideMark/>
          </w:tcPr>
          <w:p w14:paraId="6CE6D9E1" w14:textId="77777777" w:rsidR="00034FE5" w:rsidRPr="00ED68A7" w:rsidRDefault="00034FE5" w:rsidP="00F86DC0">
            <w:pPr>
              <w:jc w:val="center"/>
              <w:rPr>
                <w:rFonts w:ascii="Arial" w:hAnsi="Arial" w:cs="Arial"/>
                <w:sz w:val="20"/>
              </w:rPr>
            </w:pPr>
            <w:r w:rsidRPr="00ED68A7">
              <w:rPr>
                <w:rFonts w:ascii="Arial Narrow" w:hAnsi="Arial Narrow"/>
                <w:color w:val="000000" w:themeColor="text1"/>
                <w:kern w:val="24"/>
                <w:sz w:val="20"/>
              </w:rPr>
              <w:t>DOMINANT</w:t>
            </w:r>
          </w:p>
        </w:tc>
      </w:tr>
      <w:tr w:rsidR="00034FE5" w:rsidRPr="00ED68A7" w14:paraId="7740E502" w14:textId="77777777" w:rsidTr="00F86DC0">
        <w:trPr>
          <w:trHeight w:val="288"/>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F365D67" w14:textId="77777777" w:rsidR="00034FE5" w:rsidRPr="00ED68A7" w:rsidRDefault="00034FE5" w:rsidP="00F86DC0">
            <w:pPr>
              <w:rPr>
                <w:rFonts w:ascii="Arial" w:hAnsi="Arial" w:cs="Arial"/>
                <w:sz w:val="20"/>
              </w:rPr>
            </w:pPr>
            <w:r w:rsidRPr="00ED68A7">
              <w:rPr>
                <w:rFonts w:ascii="Arial Narrow" w:hAnsi="Arial Narrow"/>
                <w:color w:val="000000" w:themeColor="text1"/>
                <w:kern w:val="24"/>
                <w:sz w:val="20"/>
              </w:rPr>
              <w:t>3</w:t>
            </w:r>
          </w:p>
        </w:tc>
        <w:tc>
          <w:tcPr>
            <w:tcW w:w="992" w:type="dxa"/>
            <w:tcBorders>
              <w:top w:val="single" w:sz="8" w:space="0" w:color="000000"/>
              <w:left w:val="single" w:sz="8" w:space="0" w:color="000000"/>
              <w:bottom w:val="single" w:sz="8" w:space="0" w:color="000000"/>
              <w:right w:val="single" w:sz="8" w:space="0" w:color="000000"/>
            </w:tcBorders>
            <w:shd w:val="clear" w:color="auto" w:fill="D99594"/>
            <w:tcMar>
              <w:top w:w="15" w:type="dxa"/>
              <w:left w:w="57" w:type="dxa"/>
              <w:bottom w:w="0" w:type="dxa"/>
              <w:right w:w="57" w:type="dxa"/>
            </w:tcMar>
            <w:hideMark/>
          </w:tcPr>
          <w:p w14:paraId="23AA1A5A" w14:textId="77777777" w:rsidR="00034FE5" w:rsidRPr="00A24544" w:rsidRDefault="00034FE5" w:rsidP="00F86DC0">
            <w:pPr>
              <w:jc w:val="center"/>
              <w:rPr>
                <w:rFonts w:ascii="Arial Narrow" w:hAnsi="Arial Narrow"/>
                <w:color w:val="000000" w:themeColor="text1"/>
                <w:kern w:val="24"/>
                <w:sz w:val="20"/>
              </w:rPr>
            </w:pPr>
            <w:r w:rsidRPr="00ED68A7">
              <w:rPr>
                <w:rFonts w:ascii="Arial Narrow" w:hAnsi="Arial Narrow"/>
                <w:color w:val="000000" w:themeColor="text1"/>
                <w:kern w:val="24"/>
                <w:sz w:val="20"/>
              </w:rPr>
              <w:t>0.0%</w:t>
            </w:r>
          </w:p>
          <w:p w14:paraId="4FC1B1AE" w14:textId="77777777" w:rsidR="00034FE5" w:rsidRPr="00ED68A7" w:rsidRDefault="00034FE5" w:rsidP="00F86DC0">
            <w:pPr>
              <w:jc w:val="center"/>
              <w:rPr>
                <w:rFonts w:ascii="Arial" w:hAnsi="Arial" w:cs="Arial"/>
                <w:sz w:val="20"/>
              </w:rPr>
            </w:pPr>
            <w:r w:rsidRPr="00ED68A7">
              <w:rPr>
                <w:rFonts w:ascii="Arial Narrow" w:hAnsi="Arial Narrow"/>
                <w:color w:val="000000" w:themeColor="text1"/>
                <w:kern w:val="24"/>
                <w:sz w:val="20"/>
              </w:rPr>
              <w:t>(0/4)</w:t>
            </w:r>
          </w:p>
        </w:tc>
        <w:tc>
          <w:tcPr>
            <w:tcW w:w="1134" w:type="dxa"/>
            <w:tcBorders>
              <w:top w:val="single" w:sz="8" w:space="0" w:color="000000"/>
              <w:left w:val="single" w:sz="8" w:space="0" w:color="000000"/>
              <w:bottom w:val="single" w:sz="8" w:space="0" w:color="000000"/>
              <w:right w:val="single" w:sz="8" w:space="0" w:color="000000"/>
            </w:tcBorders>
            <w:shd w:val="clear" w:color="auto" w:fill="D99594"/>
            <w:tcMar>
              <w:top w:w="15" w:type="dxa"/>
              <w:left w:w="57" w:type="dxa"/>
              <w:bottom w:w="0" w:type="dxa"/>
              <w:right w:w="57" w:type="dxa"/>
            </w:tcMar>
            <w:hideMark/>
          </w:tcPr>
          <w:p w14:paraId="54CA48E3" w14:textId="77777777" w:rsidR="00034FE5" w:rsidRPr="00ED68A7" w:rsidRDefault="00034FE5" w:rsidP="00F86DC0">
            <w:pPr>
              <w:jc w:val="center"/>
              <w:rPr>
                <w:rFonts w:ascii="Arial" w:hAnsi="Arial" w:cs="Arial"/>
                <w:sz w:val="20"/>
              </w:rPr>
            </w:pPr>
            <w:r w:rsidRPr="00ED68A7">
              <w:rPr>
                <w:rFonts w:ascii="Arial Narrow" w:hAnsi="Arial Narrow"/>
                <w:color w:val="000000" w:themeColor="text1"/>
                <w:kern w:val="24"/>
                <w:sz w:val="20"/>
              </w:rPr>
              <w:t>Dominated</w:t>
            </w:r>
          </w:p>
        </w:tc>
        <w:tc>
          <w:tcPr>
            <w:tcW w:w="993" w:type="dxa"/>
            <w:tcBorders>
              <w:top w:val="single" w:sz="8" w:space="0" w:color="000000"/>
              <w:left w:val="single" w:sz="8" w:space="0" w:color="000000"/>
              <w:bottom w:val="single" w:sz="8" w:space="0" w:color="000000"/>
              <w:right w:val="single" w:sz="8" w:space="0" w:color="000000"/>
            </w:tcBorders>
            <w:shd w:val="clear" w:color="auto" w:fill="D99594"/>
            <w:tcMar>
              <w:top w:w="15" w:type="dxa"/>
              <w:left w:w="57" w:type="dxa"/>
              <w:bottom w:w="0" w:type="dxa"/>
              <w:right w:w="57" w:type="dxa"/>
            </w:tcMar>
            <w:hideMark/>
          </w:tcPr>
          <w:p w14:paraId="6F5AFCC9" w14:textId="77777777" w:rsidR="00034FE5" w:rsidRPr="00A24544" w:rsidRDefault="00034FE5" w:rsidP="00F86DC0">
            <w:pPr>
              <w:jc w:val="center"/>
              <w:rPr>
                <w:rFonts w:ascii="Arial Narrow" w:hAnsi="Arial Narrow"/>
                <w:color w:val="000000" w:themeColor="text1"/>
                <w:kern w:val="24"/>
                <w:sz w:val="20"/>
              </w:rPr>
            </w:pPr>
            <w:r w:rsidRPr="00ED68A7">
              <w:rPr>
                <w:rFonts w:ascii="Arial Narrow" w:hAnsi="Arial Narrow"/>
                <w:color w:val="000000" w:themeColor="text1"/>
                <w:kern w:val="24"/>
                <w:sz w:val="20"/>
              </w:rPr>
              <w:t>0.0%</w:t>
            </w:r>
          </w:p>
          <w:p w14:paraId="10A0A06F" w14:textId="77777777" w:rsidR="00034FE5" w:rsidRPr="00ED68A7" w:rsidRDefault="00034FE5" w:rsidP="00F86DC0">
            <w:pPr>
              <w:jc w:val="center"/>
              <w:rPr>
                <w:rFonts w:ascii="Arial" w:hAnsi="Arial" w:cs="Arial"/>
                <w:sz w:val="20"/>
              </w:rPr>
            </w:pPr>
            <w:r w:rsidRPr="00ED68A7">
              <w:rPr>
                <w:rFonts w:ascii="Arial Narrow" w:hAnsi="Arial Narrow"/>
                <w:color w:val="000000" w:themeColor="text1"/>
                <w:kern w:val="24"/>
                <w:sz w:val="20"/>
              </w:rPr>
              <w:t>(0/2)</w:t>
            </w:r>
          </w:p>
        </w:tc>
        <w:tc>
          <w:tcPr>
            <w:tcW w:w="992" w:type="dxa"/>
            <w:tcBorders>
              <w:top w:val="single" w:sz="8" w:space="0" w:color="000000"/>
              <w:left w:val="single" w:sz="8" w:space="0" w:color="000000"/>
              <w:bottom w:val="single" w:sz="8" w:space="0" w:color="000000"/>
              <w:right w:val="single" w:sz="8" w:space="0" w:color="000000"/>
            </w:tcBorders>
            <w:shd w:val="clear" w:color="auto" w:fill="D99594"/>
            <w:tcMar>
              <w:top w:w="15" w:type="dxa"/>
              <w:left w:w="57" w:type="dxa"/>
              <w:bottom w:w="0" w:type="dxa"/>
              <w:right w:w="57" w:type="dxa"/>
            </w:tcMar>
            <w:hideMark/>
          </w:tcPr>
          <w:p w14:paraId="7D378E13" w14:textId="77777777" w:rsidR="00034FE5" w:rsidRPr="00ED68A7" w:rsidRDefault="00034FE5" w:rsidP="00F86DC0">
            <w:pPr>
              <w:jc w:val="center"/>
              <w:rPr>
                <w:rFonts w:ascii="Arial" w:hAnsi="Arial" w:cs="Arial"/>
                <w:sz w:val="20"/>
              </w:rPr>
            </w:pPr>
            <w:r w:rsidRPr="00ED68A7">
              <w:rPr>
                <w:rFonts w:ascii="Arial Narrow" w:hAnsi="Arial Narrow"/>
                <w:color w:val="000000" w:themeColor="text1"/>
                <w:kern w:val="24"/>
                <w:sz w:val="20"/>
              </w:rPr>
              <w:t>Dominated</w:t>
            </w:r>
          </w:p>
        </w:tc>
        <w:tc>
          <w:tcPr>
            <w:tcW w:w="992" w:type="dxa"/>
            <w:tcBorders>
              <w:top w:val="single" w:sz="8" w:space="0" w:color="000000"/>
              <w:left w:val="single" w:sz="8" w:space="0" w:color="000000"/>
              <w:bottom w:val="single" w:sz="8" w:space="0" w:color="000000"/>
              <w:right w:val="single" w:sz="8" w:space="0" w:color="000000"/>
            </w:tcBorders>
            <w:shd w:val="clear" w:color="auto" w:fill="9BBB59"/>
            <w:tcMar>
              <w:top w:w="15" w:type="dxa"/>
              <w:left w:w="57" w:type="dxa"/>
              <w:bottom w:w="0" w:type="dxa"/>
              <w:right w:w="57" w:type="dxa"/>
            </w:tcMar>
            <w:hideMark/>
          </w:tcPr>
          <w:p w14:paraId="5752613E" w14:textId="77777777" w:rsidR="00034FE5" w:rsidRDefault="00034FE5" w:rsidP="00F86DC0">
            <w:pPr>
              <w:jc w:val="center"/>
              <w:rPr>
                <w:rFonts w:ascii="Arial Narrow" w:hAnsi="Arial Narrow"/>
                <w:color w:val="000000" w:themeColor="text1"/>
                <w:kern w:val="24"/>
                <w:sz w:val="20"/>
              </w:rPr>
            </w:pPr>
            <w:r w:rsidRPr="00ED68A7">
              <w:rPr>
                <w:rFonts w:ascii="Arial Narrow" w:hAnsi="Arial Narrow"/>
                <w:color w:val="000000" w:themeColor="text1"/>
                <w:kern w:val="24"/>
                <w:sz w:val="20"/>
              </w:rPr>
              <w:t>50.0%</w:t>
            </w:r>
          </w:p>
          <w:p w14:paraId="0E69688F" w14:textId="77777777" w:rsidR="00034FE5" w:rsidRPr="00ED68A7" w:rsidRDefault="00034FE5" w:rsidP="00F86DC0">
            <w:pPr>
              <w:jc w:val="center"/>
              <w:rPr>
                <w:rFonts w:ascii="Arial" w:hAnsi="Arial" w:cs="Arial"/>
                <w:sz w:val="20"/>
              </w:rPr>
            </w:pPr>
            <w:r w:rsidRPr="00ED68A7">
              <w:rPr>
                <w:rFonts w:ascii="Arial Narrow" w:hAnsi="Arial Narrow"/>
                <w:color w:val="000000" w:themeColor="text1"/>
                <w:kern w:val="24"/>
                <w:sz w:val="20"/>
              </w:rPr>
              <w:t>(2/4)</w:t>
            </w:r>
          </w:p>
        </w:tc>
        <w:tc>
          <w:tcPr>
            <w:tcW w:w="1134" w:type="dxa"/>
            <w:tcBorders>
              <w:top w:val="single" w:sz="8" w:space="0" w:color="000000"/>
              <w:left w:val="single" w:sz="8" w:space="0" w:color="000000"/>
              <w:bottom w:val="single" w:sz="8" w:space="0" w:color="000000"/>
              <w:right w:val="single" w:sz="8" w:space="0" w:color="000000"/>
            </w:tcBorders>
            <w:shd w:val="clear" w:color="auto" w:fill="9BBB59"/>
            <w:tcMar>
              <w:top w:w="15" w:type="dxa"/>
              <w:left w:w="57" w:type="dxa"/>
              <w:bottom w:w="0" w:type="dxa"/>
              <w:right w:w="57" w:type="dxa"/>
            </w:tcMar>
            <w:hideMark/>
          </w:tcPr>
          <w:p w14:paraId="7CDCF20A" w14:textId="77777777" w:rsidR="00034FE5" w:rsidRPr="00ED68A7" w:rsidRDefault="00034FE5" w:rsidP="00F86DC0">
            <w:pPr>
              <w:jc w:val="center"/>
              <w:rPr>
                <w:rFonts w:ascii="Arial" w:hAnsi="Arial" w:cs="Arial"/>
                <w:sz w:val="20"/>
              </w:rPr>
            </w:pPr>
            <w:r w:rsidRPr="00ED68A7">
              <w:rPr>
                <w:rFonts w:ascii="Arial Narrow" w:hAnsi="Arial Narrow"/>
                <w:color w:val="000000" w:themeColor="text1"/>
                <w:kern w:val="24"/>
                <w:sz w:val="20"/>
              </w:rPr>
              <w:t>DOMINANT</w:t>
            </w:r>
          </w:p>
        </w:tc>
        <w:tc>
          <w:tcPr>
            <w:tcW w:w="992" w:type="dxa"/>
            <w:tcBorders>
              <w:top w:val="single" w:sz="8" w:space="0" w:color="000000"/>
              <w:left w:val="single" w:sz="8" w:space="0" w:color="000000"/>
              <w:bottom w:val="single" w:sz="8" w:space="0" w:color="000000"/>
              <w:right w:val="single" w:sz="8" w:space="0" w:color="000000"/>
            </w:tcBorders>
            <w:shd w:val="clear" w:color="auto" w:fill="D99594"/>
            <w:tcMar>
              <w:top w:w="15" w:type="dxa"/>
              <w:left w:w="57" w:type="dxa"/>
              <w:bottom w:w="0" w:type="dxa"/>
              <w:right w:w="57" w:type="dxa"/>
            </w:tcMar>
            <w:hideMark/>
          </w:tcPr>
          <w:p w14:paraId="433E5D66" w14:textId="77777777" w:rsidR="00034FE5" w:rsidRDefault="00034FE5" w:rsidP="00F86DC0">
            <w:pPr>
              <w:jc w:val="center"/>
              <w:rPr>
                <w:rFonts w:ascii="Arial Narrow" w:hAnsi="Arial Narrow"/>
                <w:color w:val="000000" w:themeColor="text1"/>
                <w:kern w:val="24"/>
                <w:sz w:val="20"/>
              </w:rPr>
            </w:pPr>
            <w:r w:rsidRPr="00ED68A7">
              <w:rPr>
                <w:rFonts w:ascii="Arial Narrow" w:hAnsi="Arial Narrow"/>
                <w:color w:val="000000" w:themeColor="text1"/>
                <w:kern w:val="24"/>
                <w:sz w:val="20"/>
              </w:rPr>
              <w:t>16.7%</w:t>
            </w:r>
          </w:p>
          <w:p w14:paraId="4A91DDF5" w14:textId="77777777" w:rsidR="00034FE5" w:rsidRPr="00ED68A7" w:rsidRDefault="00034FE5" w:rsidP="00F86DC0">
            <w:pPr>
              <w:jc w:val="center"/>
              <w:rPr>
                <w:rFonts w:ascii="Arial" w:hAnsi="Arial" w:cs="Arial"/>
                <w:sz w:val="20"/>
              </w:rPr>
            </w:pPr>
            <w:r w:rsidRPr="00ED68A7">
              <w:rPr>
                <w:rFonts w:ascii="Arial Narrow" w:hAnsi="Arial Narrow"/>
                <w:color w:val="000000" w:themeColor="text1"/>
                <w:kern w:val="24"/>
                <w:sz w:val="20"/>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D99594"/>
            <w:tcMar>
              <w:top w:w="15" w:type="dxa"/>
              <w:left w:w="57" w:type="dxa"/>
              <w:bottom w:w="0" w:type="dxa"/>
              <w:right w:w="57" w:type="dxa"/>
            </w:tcMar>
            <w:hideMark/>
          </w:tcPr>
          <w:p w14:paraId="58FCD9EB" w14:textId="77777777" w:rsidR="00034FE5" w:rsidRPr="00ED68A7" w:rsidRDefault="00034FE5" w:rsidP="00F86DC0">
            <w:pPr>
              <w:jc w:val="center"/>
              <w:rPr>
                <w:rFonts w:ascii="Arial" w:hAnsi="Arial" w:cs="Arial"/>
                <w:sz w:val="20"/>
              </w:rPr>
            </w:pPr>
            <w:r w:rsidRPr="00ED68A7">
              <w:rPr>
                <w:rFonts w:ascii="Arial Narrow" w:hAnsi="Arial Narrow"/>
                <w:color w:val="000000" w:themeColor="text1"/>
                <w:kern w:val="24"/>
                <w:sz w:val="20"/>
              </w:rPr>
              <w:t>$78,412</w:t>
            </w:r>
          </w:p>
        </w:tc>
      </w:tr>
    </w:tbl>
    <w:p w14:paraId="0F9E795D" w14:textId="77777777" w:rsidR="00034FE5" w:rsidRPr="00F86DC0" w:rsidRDefault="00034FE5" w:rsidP="00034FE5"/>
    <w:p w14:paraId="4DA28D2C" w14:textId="77777777" w:rsidR="00034FE5" w:rsidRPr="00034FE5" w:rsidRDefault="00034FE5" w:rsidP="00034FE5">
      <w:pPr>
        <w:tabs>
          <w:tab w:val="left" w:pos="720"/>
          <w:tab w:val="left" w:pos="1140"/>
        </w:tabs>
        <w:rPr>
          <w:bCs/>
        </w:rPr>
      </w:pPr>
      <w:r w:rsidRPr="00034FE5">
        <w:t xml:space="preserve">There were uncertainties with the economic model, which when tested by ESC, resulted in significant variances in the ICER. </w:t>
      </w:r>
      <w:r w:rsidRPr="00034FE5">
        <w:rPr>
          <w:bCs/>
        </w:rPr>
        <w:t>The applicant used input parameters that could lead to model predictions considerably in favour</w:t>
      </w:r>
      <w:r w:rsidR="007E4824">
        <w:rPr>
          <w:bCs/>
        </w:rPr>
        <w:t xml:space="preserve"> of the proposed intervention. This included the use of ADIS</w:t>
      </w:r>
      <w:r w:rsidRPr="00034FE5">
        <w:rPr>
          <w:bCs/>
        </w:rPr>
        <w:t>2 instead of ADIS, and a lower hazard ratio for high risk groups than the previous submission (i.e. 0.22 versus 0.26 in node negative patients based on the hazard ratio in intermediate subgroup).</w:t>
      </w:r>
    </w:p>
    <w:p w14:paraId="700EA726" w14:textId="77777777" w:rsidR="00034FE5" w:rsidRPr="00034FE5" w:rsidRDefault="00034FE5" w:rsidP="00034FE5">
      <w:pPr>
        <w:tabs>
          <w:tab w:val="left" w:pos="720"/>
          <w:tab w:val="left" w:pos="1140"/>
        </w:tabs>
        <w:rPr>
          <w:bCs/>
        </w:rPr>
      </w:pPr>
    </w:p>
    <w:p w14:paraId="7D2F58A8" w14:textId="5C877E0C" w:rsidR="00034FE5" w:rsidRPr="00034FE5" w:rsidRDefault="00034FE5" w:rsidP="00034FE5">
      <w:pPr>
        <w:tabs>
          <w:tab w:val="left" w:pos="720"/>
          <w:tab w:val="left" w:pos="1140"/>
        </w:tabs>
      </w:pPr>
      <w:r w:rsidRPr="00034FE5">
        <w:rPr>
          <w:bCs/>
        </w:rPr>
        <w:t>ESC noted that</w:t>
      </w:r>
      <w:r w:rsidR="007E4824">
        <w:rPr>
          <w:bCs/>
        </w:rPr>
        <w:t>,</w:t>
      </w:r>
      <w:r w:rsidRPr="00034FE5">
        <w:rPr>
          <w:bCs/>
        </w:rPr>
        <w:t xml:space="preserve"> if </w:t>
      </w:r>
      <w:r w:rsidR="007E4824">
        <w:rPr>
          <w:bCs/>
        </w:rPr>
        <w:t>the model used ADIS</w:t>
      </w:r>
      <w:r w:rsidRPr="00034FE5">
        <w:rPr>
          <w:bCs/>
        </w:rPr>
        <w:t xml:space="preserve">2 instead of ADIS, the proportion of patients who receive chemotherapy in the low and intermediate risk groups </w:t>
      </w:r>
      <w:r w:rsidR="007E4824">
        <w:rPr>
          <w:bCs/>
        </w:rPr>
        <w:t xml:space="preserve">would increase </w:t>
      </w:r>
      <w:r w:rsidRPr="00034FE5">
        <w:rPr>
          <w:bCs/>
        </w:rPr>
        <w:t>considerably in the usual care arm. This mean</w:t>
      </w:r>
      <w:r w:rsidR="007E4824">
        <w:rPr>
          <w:bCs/>
        </w:rPr>
        <w:t>t</w:t>
      </w:r>
      <w:r w:rsidRPr="00034FE5">
        <w:rPr>
          <w:bCs/>
        </w:rPr>
        <w:t xml:space="preserve"> lower incremental costs and a lower ICER in favour of the proposed intervention. If the model use</w:t>
      </w:r>
      <w:r w:rsidR="007E4824">
        <w:rPr>
          <w:bCs/>
        </w:rPr>
        <w:t>d ADIS instead of ADIS</w:t>
      </w:r>
      <w:r w:rsidRPr="00034FE5">
        <w:rPr>
          <w:bCs/>
        </w:rPr>
        <w:t>2, the ICER double</w:t>
      </w:r>
      <w:r w:rsidR="007E4824">
        <w:rPr>
          <w:bCs/>
        </w:rPr>
        <w:t>d</w:t>
      </w:r>
      <w:r w:rsidRPr="00034FE5">
        <w:rPr>
          <w:bCs/>
        </w:rPr>
        <w:t xml:space="preserve"> ($19,168</w:t>
      </w:r>
      <w:r w:rsidR="000C632A">
        <w:rPr>
          <w:bCs/>
        </w:rPr>
        <w:t> </w:t>
      </w:r>
      <w:r w:rsidRPr="00034FE5">
        <w:rPr>
          <w:bCs/>
        </w:rPr>
        <w:t>per QALY) for node negative and move</w:t>
      </w:r>
      <w:r w:rsidR="007E4824">
        <w:rPr>
          <w:bCs/>
        </w:rPr>
        <w:t>d</w:t>
      </w:r>
      <w:r w:rsidRPr="00034FE5">
        <w:rPr>
          <w:bCs/>
        </w:rPr>
        <w:t xml:space="preserve"> from dominant to $10,392 per QALY for node positive.</w:t>
      </w:r>
      <w:r w:rsidRPr="00034FE5">
        <w:t xml:space="preserve"> ESC suggested that the negative factor list from the eligible population could include “node positive” and an eligibility criteria of 1-3 negative factors, as this would then ex</w:t>
      </w:r>
      <w:r w:rsidR="007E4824">
        <w:t>clude all dominated scenarios.</w:t>
      </w:r>
    </w:p>
    <w:p w14:paraId="1C692EFA" w14:textId="77777777" w:rsidR="00034FE5" w:rsidRPr="00034FE5" w:rsidRDefault="00034FE5" w:rsidP="00034FE5"/>
    <w:p w14:paraId="0A3BEFBC" w14:textId="77777777" w:rsidR="00034FE5" w:rsidRPr="00034FE5" w:rsidRDefault="00535936" w:rsidP="00034FE5">
      <w:pPr>
        <w:tabs>
          <w:tab w:val="left" w:pos="720"/>
          <w:tab w:val="left" w:pos="1140"/>
        </w:tabs>
      </w:pPr>
      <w:r>
        <w:lastRenderedPageBreak/>
        <w:t>With regard</w:t>
      </w:r>
      <w:r w:rsidR="00034FE5" w:rsidRPr="00034FE5">
        <w:t xml:space="preserve"> to the two patient populations, ESC suggested that favouring th</w:t>
      </w:r>
      <w:r w:rsidR="007E4824">
        <w:t>e ADIS population over the ADIS</w:t>
      </w:r>
      <w:r w:rsidR="00034FE5" w:rsidRPr="00034FE5">
        <w:t>2 population may be more representative of the patient-pay scenario proposed in the submission. ESC noted that the requirement for the ADIS2 population to pay for the test may have significant behavioural impacts on treatment adherence, which would be more favourable for the  intervention compared with the low/no cost scenario of either the original ADIS study or public funding through the MBS.</w:t>
      </w:r>
    </w:p>
    <w:p w14:paraId="3868BAA4" w14:textId="77777777" w:rsidR="00034FE5" w:rsidRPr="00034FE5" w:rsidRDefault="00034FE5" w:rsidP="00034FE5"/>
    <w:p w14:paraId="24CCFA06" w14:textId="77777777" w:rsidR="00034FE5" w:rsidRPr="00034FE5" w:rsidRDefault="00034FE5" w:rsidP="00034FE5">
      <w:r w:rsidRPr="00034FE5">
        <w:t>ESC found that there were some other minor issues with model inputs (</w:t>
      </w:r>
      <w:proofErr w:type="spellStart"/>
      <w:r w:rsidRPr="00034FE5">
        <w:t>e.g</w:t>
      </w:r>
      <w:proofErr w:type="spellEnd"/>
      <w:r w:rsidRPr="00034FE5">
        <w:t xml:space="preserve"> hazard ratios for chemotherapy), which may have only minimal effects on model, but still generated uncertainty.</w:t>
      </w:r>
    </w:p>
    <w:p w14:paraId="66A086DA" w14:textId="77777777" w:rsidR="00034FE5" w:rsidRPr="00034FE5" w:rsidRDefault="00034FE5" w:rsidP="00034FE5">
      <w:pPr>
        <w:tabs>
          <w:tab w:val="left" w:pos="720"/>
          <w:tab w:val="left" w:pos="1140"/>
        </w:tabs>
      </w:pPr>
    </w:p>
    <w:p w14:paraId="37624EC2" w14:textId="77777777" w:rsidR="00034FE5" w:rsidRPr="00034FE5" w:rsidRDefault="00034FE5" w:rsidP="00034FE5">
      <w:pPr>
        <w:tabs>
          <w:tab w:val="left" w:pos="720"/>
          <w:tab w:val="left" w:pos="1140"/>
        </w:tabs>
      </w:pPr>
      <w:r w:rsidRPr="00034FE5">
        <w:t>ESC noted that the likelihood of recurrence is lower with a</w:t>
      </w:r>
      <w:r w:rsidR="007E4824">
        <w:t>nastrozole than with tamoxifen.</w:t>
      </w:r>
      <w:r w:rsidRPr="00034FE5">
        <w:t xml:space="preserve"> The revised economic model factored in the proportion of anastrozole use in Australia, but did not adjust for the lower recurrence risk with anastrozole. ESC agreed that,</w:t>
      </w:r>
      <w:r w:rsidR="007E4824">
        <w:t xml:space="preserve"> </w:t>
      </w:r>
      <w:r w:rsidRPr="00034FE5">
        <w:t>given the very small QALY gain indicated by the model, even small changes in favour of anastrozole might negate the gain.</w:t>
      </w:r>
    </w:p>
    <w:p w14:paraId="51744217" w14:textId="77777777" w:rsidR="00BC1364" w:rsidRPr="0075468E" w:rsidRDefault="00BC1364" w:rsidP="00DD2858">
      <w:pPr>
        <w:rPr>
          <w:szCs w:val="24"/>
        </w:rPr>
      </w:pPr>
    </w:p>
    <w:p w14:paraId="74184F7C" w14:textId="77777777" w:rsidR="00BC1364" w:rsidRDefault="00BC1364" w:rsidP="007B32D1">
      <w:pPr>
        <w:pStyle w:val="Heading1"/>
        <w:numPr>
          <w:ilvl w:val="0"/>
          <w:numId w:val="23"/>
        </w:numPr>
        <w:ind w:hanging="720"/>
      </w:pPr>
      <w:r w:rsidRPr="008D5885">
        <w:t>Financial/budgetary impacts</w:t>
      </w:r>
    </w:p>
    <w:p w14:paraId="63AE2DCC" w14:textId="77777777" w:rsidR="00BC1364" w:rsidRDefault="00BC1364" w:rsidP="00D340DE">
      <w:pPr>
        <w:pStyle w:val="Default"/>
      </w:pPr>
    </w:p>
    <w:p w14:paraId="2C1FDEBA" w14:textId="77777777" w:rsidR="00034FE5" w:rsidRDefault="00034FE5" w:rsidP="00034FE5">
      <w:pPr>
        <w:tabs>
          <w:tab w:val="left" w:pos="720"/>
        </w:tabs>
        <w:rPr>
          <w:szCs w:val="24"/>
        </w:rPr>
      </w:pPr>
      <w:r>
        <w:rPr>
          <w:szCs w:val="24"/>
        </w:rPr>
        <w:t>The applicant proposed a co</w:t>
      </w:r>
      <w:r w:rsidR="007E4824">
        <w:rPr>
          <w:szCs w:val="24"/>
        </w:rPr>
        <w:t>nfidential pricing arrangement.</w:t>
      </w:r>
    </w:p>
    <w:p w14:paraId="5DB04376" w14:textId="77777777" w:rsidR="00034FE5" w:rsidRPr="007E4824" w:rsidRDefault="00034FE5" w:rsidP="00034FE5"/>
    <w:p w14:paraId="4E18E10E" w14:textId="77777777" w:rsidR="00034FE5" w:rsidRPr="00F5427D" w:rsidRDefault="00034FE5" w:rsidP="00034FE5">
      <w:r w:rsidRPr="00F5427D">
        <w:t>The following table shows the estimated number of services per</w:t>
      </w:r>
      <w:r w:rsidR="007E4824">
        <w:t xml:space="preserve"> year in the assessment report.</w:t>
      </w:r>
    </w:p>
    <w:p w14:paraId="2B7EB219" w14:textId="77777777" w:rsidR="00034FE5" w:rsidRPr="007E4824" w:rsidRDefault="00034FE5" w:rsidP="00034FE5"/>
    <w:p w14:paraId="36834505" w14:textId="77777777" w:rsidR="00034FE5" w:rsidRDefault="00034FE5" w:rsidP="00034FE5">
      <w:pPr>
        <w:pStyle w:val="Caption"/>
        <w:spacing w:before="0" w:after="0"/>
        <w:ind w:left="0" w:firstLine="0"/>
      </w:pPr>
      <w:r>
        <w:t>Estima</w:t>
      </w:r>
      <w:r w:rsidR="007E4824">
        <w:t>ted number of services per year</w:t>
      </w:r>
    </w:p>
    <w:tbl>
      <w:tblPr>
        <w:tblW w:w="499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61"/>
        <w:gridCol w:w="1246"/>
        <w:gridCol w:w="1141"/>
        <w:gridCol w:w="1141"/>
        <w:gridCol w:w="1141"/>
        <w:gridCol w:w="1141"/>
      </w:tblGrid>
      <w:tr w:rsidR="007E4824" w14:paraId="4C12689D" w14:textId="77777777" w:rsidTr="00BA44CC">
        <w:trPr>
          <w:cantSplit/>
          <w:trHeight w:val="170"/>
          <w:tblHeader/>
        </w:trPr>
        <w:tc>
          <w:tcPr>
            <w:tcW w:w="1797" w:type="pct"/>
            <w:tcBorders>
              <w:top w:val="single" w:sz="4" w:space="0" w:color="auto"/>
              <w:left w:val="single" w:sz="4" w:space="0" w:color="auto"/>
              <w:bottom w:val="single" w:sz="4" w:space="0" w:color="auto"/>
              <w:right w:val="single" w:sz="4" w:space="0" w:color="auto"/>
            </w:tcBorders>
            <w:vAlign w:val="center"/>
            <w:hideMark/>
          </w:tcPr>
          <w:p w14:paraId="64FBA5C8" w14:textId="77777777" w:rsidR="00034FE5" w:rsidRDefault="00034FE5" w:rsidP="00F86DC0">
            <w:pPr>
              <w:rPr>
                <w:rFonts w:ascii="Arial Narrow" w:hAnsi="Arial Narrow"/>
                <w:b/>
                <w:sz w:val="20"/>
              </w:rPr>
            </w:pPr>
            <w:r>
              <w:rPr>
                <w:rFonts w:ascii="Arial Narrow" w:hAnsi="Arial Narrow"/>
                <w:b/>
                <w:sz w:val="20"/>
              </w:rPr>
              <w:t>Description</w:t>
            </w:r>
          </w:p>
        </w:tc>
        <w:tc>
          <w:tcPr>
            <w:tcW w:w="687" w:type="pct"/>
            <w:tcBorders>
              <w:top w:val="single" w:sz="4" w:space="0" w:color="auto"/>
              <w:left w:val="single" w:sz="4" w:space="0" w:color="auto"/>
              <w:bottom w:val="single" w:sz="4" w:space="0" w:color="auto"/>
              <w:right w:val="single" w:sz="4" w:space="0" w:color="auto"/>
            </w:tcBorders>
            <w:vAlign w:val="center"/>
            <w:hideMark/>
          </w:tcPr>
          <w:p w14:paraId="2513E91C" w14:textId="77777777" w:rsidR="00034FE5" w:rsidRDefault="00034FE5" w:rsidP="007E4824">
            <w:pPr>
              <w:jc w:val="center"/>
              <w:rPr>
                <w:rFonts w:ascii="Arial Narrow" w:hAnsi="Arial Narrow"/>
                <w:b/>
                <w:sz w:val="20"/>
              </w:rPr>
            </w:pPr>
            <w:r>
              <w:rPr>
                <w:rFonts w:ascii="Arial Narrow" w:hAnsi="Arial Narrow"/>
                <w:b/>
                <w:sz w:val="20"/>
              </w:rPr>
              <w:t>Year 1</w:t>
            </w:r>
            <w:r w:rsidR="007E4824">
              <w:rPr>
                <w:rFonts w:ascii="Arial Narrow" w:hAnsi="Arial Narrow"/>
                <w:b/>
                <w:sz w:val="20"/>
              </w:rPr>
              <w:t xml:space="preserve"> (</w:t>
            </w:r>
            <w:r>
              <w:rPr>
                <w:rFonts w:ascii="Arial Narrow" w:hAnsi="Arial Narrow"/>
                <w:b/>
                <w:sz w:val="20"/>
              </w:rPr>
              <w:t>2016/7</w:t>
            </w:r>
            <w:r w:rsidR="007E4824">
              <w:rPr>
                <w:rFonts w:ascii="Arial Narrow" w:hAnsi="Arial Narrow"/>
                <w:b/>
                <w:sz w:val="20"/>
              </w:rPr>
              <w:t>)</w:t>
            </w:r>
          </w:p>
        </w:tc>
        <w:tc>
          <w:tcPr>
            <w:tcW w:w="629" w:type="pct"/>
            <w:tcBorders>
              <w:top w:val="single" w:sz="4" w:space="0" w:color="auto"/>
              <w:left w:val="single" w:sz="4" w:space="0" w:color="auto"/>
              <w:bottom w:val="single" w:sz="4" w:space="0" w:color="auto"/>
              <w:right w:val="single" w:sz="4" w:space="0" w:color="auto"/>
            </w:tcBorders>
            <w:noWrap/>
            <w:vAlign w:val="center"/>
            <w:hideMark/>
          </w:tcPr>
          <w:p w14:paraId="07E2AFE4" w14:textId="77777777" w:rsidR="00034FE5" w:rsidRDefault="00034FE5" w:rsidP="00F86DC0">
            <w:pPr>
              <w:jc w:val="center"/>
              <w:rPr>
                <w:rFonts w:ascii="Arial Narrow" w:hAnsi="Arial Narrow"/>
                <w:b/>
                <w:sz w:val="20"/>
              </w:rPr>
            </w:pPr>
            <w:r>
              <w:rPr>
                <w:rFonts w:ascii="Arial Narrow" w:hAnsi="Arial Narrow"/>
                <w:b/>
                <w:sz w:val="20"/>
              </w:rPr>
              <w:t>Year 2</w:t>
            </w:r>
          </w:p>
        </w:tc>
        <w:tc>
          <w:tcPr>
            <w:tcW w:w="629" w:type="pct"/>
            <w:tcBorders>
              <w:top w:val="single" w:sz="4" w:space="0" w:color="auto"/>
              <w:left w:val="single" w:sz="4" w:space="0" w:color="auto"/>
              <w:bottom w:val="single" w:sz="4" w:space="0" w:color="auto"/>
              <w:right w:val="single" w:sz="4" w:space="0" w:color="auto"/>
            </w:tcBorders>
            <w:noWrap/>
            <w:vAlign w:val="center"/>
            <w:hideMark/>
          </w:tcPr>
          <w:p w14:paraId="1E8273B4" w14:textId="77777777" w:rsidR="00034FE5" w:rsidRDefault="00034FE5" w:rsidP="00F86DC0">
            <w:pPr>
              <w:jc w:val="center"/>
              <w:rPr>
                <w:rFonts w:ascii="Arial Narrow" w:hAnsi="Arial Narrow"/>
                <w:b/>
                <w:sz w:val="20"/>
              </w:rPr>
            </w:pPr>
            <w:r>
              <w:rPr>
                <w:rFonts w:ascii="Arial Narrow" w:hAnsi="Arial Narrow"/>
                <w:b/>
                <w:sz w:val="20"/>
              </w:rPr>
              <w:t>Year 3</w:t>
            </w:r>
          </w:p>
        </w:tc>
        <w:tc>
          <w:tcPr>
            <w:tcW w:w="629" w:type="pct"/>
            <w:tcBorders>
              <w:top w:val="single" w:sz="4" w:space="0" w:color="auto"/>
              <w:left w:val="single" w:sz="4" w:space="0" w:color="auto"/>
              <w:bottom w:val="single" w:sz="4" w:space="0" w:color="auto"/>
              <w:right w:val="single" w:sz="4" w:space="0" w:color="auto"/>
            </w:tcBorders>
            <w:noWrap/>
            <w:vAlign w:val="center"/>
            <w:hideMark/>
          </w:tcPr>
          <w:p w14:paraId="0D9D8ADF" w14:textId="77777777" w:rsidR="00034FE5" w:rsidRDefault="00034FE5" w:rsidP="00F86DC0">
            <w:pPr>
              <w:jc w:val="center"/>
              <w:rPr>
                <w:rFonts w:ascii="Arial Narrow" w:hAnsi="Arial Narrow"/>
                <w:b/>
                <w:sz w:val="20"/>
              </w:rPr>
            </w:pPr>
            <w:r>
              <w:rPr>
                <w:rFonts w:ascii="Arial Narrow" w:hAnsi="Arial Narrow"/>
                <w:b/>
                <w:sz w:val="20"/>
              </w:rPr>
              <w:t>Year 4</w:t>
            </w:r>
          </w:p>
        </w:tc>
        <w:tc>
          <w:tcPr>
            <w:tcW w:w="629" w:type="pct"/>
            <w:tcBorders>
              <w:top w:val="single" w:sz="4" w:space="0" w:color="auto"/>
              <w:left w:val="single" w:sz="4" w:space="0" w:color="auto"/>
              <w:bottom w:val="single" w:sz="4" w:space="0" w:color="auto"/>
              <w:right w:val="single" w:sz="4" w:space="0" w:color="auto"/>
            </w:tcBorders>
            <w:noWrap/>
            <w:vAlign w:val="center"/>
            <w:hideMark/>
          </w:tcPr>
          <w:p w14:paraId="6FE5559D" w14:textId="77777777" w:rsidR="00034FE5" w:rsidRDefault="00034FE5" w:rsidP="00F86DC0">
            <w:pPr>
              <w:jc w:val="center"/>
              <w:rPr>
                <w:rFonts w:ascii="Arial Narrow" w:hAnsi="Arial Narrow"/>
                <w:b/>
                <w:sz w:val="20"/>
              </w:rPr>
            </w:pPr>
            <w:r>
              <w:rPr>
                <w:rFonts w:ascii="Arial Narrow" w:hAnsi="Arial Narrow"/>
                <w:b/>
                <w:sz w:val="20"/>
              </w:rPr>
              <w:t>Year 5</w:t>
            </w:r>
          </w:p>
        </w:tc>
      </w:tr>
      <w:tr w:rsidR="007E4824" w14:paraId="2DAD9CC4" w14:textId="77777777" w:rsidTr="00BA44CC">
        <w:trPr>
          <w:cantSplit/>
          <w:trHeight w:val="170"/>
          <w:tblHeader/>
        </w:trPr>
        <w:tc>
          <w:tcPr>
            <w:tcW w:w="1797" w:type="pct"/>
            <w:tcBorders>
              <w:top w:val="single" w:sz="4" w:space="0" w:color="auto"/>
              <w:left w:val="single" w:sz="4" w:space="0" w:color="auto"/>
              <w:bottom w:val="single" w:sz="4" w:space="0" w:color="auto"/>
              <w:right w:val="single" w:sz="4" w:space="0" w:color="auto"/>
            </w:tcBorders>
            <w:vAlign w:val="center"/>
            <w:hideMark/>
          </w:tcPr>
          <w:p w14:paraId="79441D2F" w14:textId="77777777" w:rsidR="00034FE5" w:rsidRDefault="00034FE5" w:rsidP="00F86DC0">
            <w:pPr>
              <w:rPr>
                <w:rFonts w:ascii="Arial Narrow" w:hAnsi="Arial Narrow"/>
                <w:sz w:val="20"/>
              </w:rPr>
            </w:pPr>
            <w:r>
              <w:rPr>
                <w:rFonts w:ascii="Arial Narrow" w:hAnsi="Arial Narrow"/>
                <w:sz w:val="20"/>
              </w:rPr>
              <w:t>Patients eligible for testing</w:t>
            </w:r>
          </w:p>
        </w:tc>
        <w:tc>
          <w:tcPr>
            <w:tcW w:w="687" w:type="pct"/>
            <w:tcBorders>
              <w:top w:val="single" w:sz="4" w:space="0" w:color="auto"/>
              <w:left w:val="single" w:sz="4" w:space="0" w:color="auto"/>
              <w:bottom w:val="single" w:sz="4" w:space="0" w:color="auto"/>
              <w:right w:val="single" w:sz="4" w:space="0" w:color="auto"/>
            </w:tcBorders>
            <w:hideMark/>
          </w:tcPr>
          <w:p w14:paraId="45207F39" w14:textId="51226404" w:rsidR="00034FE5" w:rsidRPr="00BE326D" w:rsidRDefault="00766E56" w:rsidP="00F86DC0">
            <w:pPr>
              <w:jc w:val="center"/>
              <w:rPr>
                <w:rFonts w:ascii="Arial Narrow" w:hAnsi="Arial Narrow"/>
                <w:sz w:val="20"/>
              </w:rPr>
            </w:pPr>
            <w:r w:rsidRPr="00766E56">
              <w:rPr>
                <w:b/>
              </w:rPr>
              <w:t>redacted</w:t>
            </w:r>
          </w:p>
        </w:tc>
        <w:tc>
          <w:tcPr>
            <w:tcW w:w="629" w:type="pct"/>
            <w:tcBorders>
              <w:top w:val="single" w:sz="4" w:space="0" w:color="auto"/>
              <w:left w:val="single" w:sz="4" w:space="0" w:color="auto"/>
              <w:bottom w:val="single" w:sz="4" w:space="0" w:color="auto"/>
              <w:right w:val="single" w:sz="4" w:space="0" w:color="auto"/>
            </w:tcBorders>
            <w:noWrap/>
            <w:hideMark/>
          </w:tcPr>
          <w:p w14:paraId="0ABD7DF5" w14:textId="2F63DFDF" w:rsidR="00034FE5" w:rsidRPr="00BE326D" w:rsidRDefault="00766E56" w:rsidP="00F86DC0">
            <w:pPr>
              <w:jc w:val="center"/>
              <w:rPr>
                <w:rFonts w:ascii="Arial Narrow" w:hAnsi="Arial Narrow"/>
                <w:sz w:val="20"/>
              </w:rPr>
            </w:pPr>
            <w:r w:rsidRPr="00766E56">
              <w:rPr>
                <w:b/>
              </w:rPr>
              <w:t>redacted</w:t>
            </w:r>
          </w:p>
        </w:tc>
        <w:tc>
          <w:tcPr>
            <w:tcW w:w="629" w:type="pct"/>
            <w:tcBorders>
              <w:top w:val="single" w:sz="4" w:space="0" w:color="auto"/>
              <w:left w:val="single" w:sz="4" w:space="0" w:color="auto"/>
              <w:bottom w:val="single" w:sz="4" w:space="0" w:color="auto"/>
              <w:right w:val="single" w:sz="4" w:space="0" w:color="auto"/>
            </w:tcBorders>
            <w:noWrap/>
            <w:hideMark/>
          </w:tcPr>
          <w:p w14:paraId="2295E816" w14:textId="25902F80" w:rsidR="00034FE5" w:rsidRPr="00BE326D" w:rsidRDefault="00766E56" w:rsidP="00F86DC0">
            <w:pPr>
              <w:jc w:val="center"/>
              <w:rPr>
                <w:rFonts w:ascii="Arial Narrow" w:hAnsi="Arial Narrow"/>
                <w:sz w:val="20"/>
              </w:rPr>
            </w:pPr>
            <w:r w:rsidRPr="00766E56">
              <w:rPr>
                <w:b/>
              </w:rPr>
              <w:t>redacted</w:t>
            </w:r>
          </w:p>
        </w:tc>
        <w:tc>
          <w:tcPr>
            <w:tcW w:w="629" w:type="pct"/>
            <w:tcBorders>
              <w:top w:val="single" w:sz="4" w:space="0" w:color="auto"/>
              <w:left w:val="single" w:sz="4" w:space="0" w:color="auto"/>
              <w:bottom w:val="single" w:sz="4" w:space="0" w:color="auto"/>
              <w:right w:val="single" w:sz="4" w:space="0" w:color="auto"/>
            </w:tcBorders>
            <w:noWrap/>
            <w:hideMark/>
          </w:tcPr>
          <w:p w14:paraId="6BF563CA" w14:textId="277B11E6" w:rsidR="00034FE5" w:rsidRPr="00BE326D" w:rsidRDefault="00766E56" w:rsidP="00F86DC0">
            <w:pPr>
              <w:jc w:val="center"/>
              <w:rPr>
                <w:rFonts w:ascii="Arial Narrow" w:hAnsi="Arial Narrow"/>
                <w:sz w:val="20"/>
              </w:rPr>
            </w:pPr>
            <w:r w:rsidRPr="00766E56">
              <w:rPr>
                <w:b/>
              </w:rPr>
              <w:t>redacted</w:t>
            </w:r>
          </w:p>
        </w:tc>
        <w:tc>
          <w:tcPr>
            <w:tcW w:w="629" w:type="pct"/>
            <w:tcBorders>
              <w:top w:val="single" w:sz="4" w:space="0" w:color="auto"/>
              <w:left w:val="single" w:sz="4" w:space="0" w:color="auto"/>
              <w:bottom w:val="single" w:sz="4" w:space="0" w:color="auto"/>
              <w:right w:val="single" w:sz="4" w:space="0" w:color="auto"/>
            </w:tcBorders>
            <w:noWrap/>
            <w:hideMark/>
          </w:tcPr>
          <w:p w14:paraId="40022761" w14:textId="376A7A93" w:rsidR="00034FE5" w:rsidRPr="00BE326D" w:rsidRDefault="00766E56" w:rsidP="00F86DC0">
            <w:pPr>
              <w:jc w:val="center"/>
              <w:rPr>
                <w:rFonts w:ascii="Arial Narrow" w:hAnsi="Arial Narrow"/>
                <w:sz w:val="20"/>
              </w:rPr>
            </w:pPr>
            <w:r w:rsidRPr="00766E56">
              <w:rPr>
                <w:b/>
              </w:rPr>
              <w:t>redacted</w:t>
            </w:r>
          </w:p>
        </w:tc>
      </w:tr>
      <w:tr w:rsidR="007E4824" w14:paraId="64A91D36" w14:textId="77777777" w:rsidTr="00BA44CC">
        <w:trPr>
          <w:cantSplit/>
          <w:trHeight w:val="170"/>
          <w:tblHeader/>
        </w:trPr>
        <w:tc>
          <w:tcPr>
            <w:tcW w:w="1797" w:type="pct"/>
            <w:tcBorders>
              <w:top w:val="single" w:sz="4" w:space="0" w:color="auto"/>
              <w:left w:val="single" w:sz="4" w:space="0" w:color="auto"/>
              <w:bottom w:val="single" w:sz="4" w:space="0" w:color="auto"/>
              <w:right w:val="single" w:sz="4" w:space="0" w:color="auto"/>
            </w:tcBorders>
            <w:vAlign w:val="center"/>
            <w:hideMark/>
          </w:tcPr>
          <w:p w14:paraId="7863CD96" w14:textId="77777777" w:rsidR="00034FE5" w:rsidRDefault="00034FE5" w:rsidP="00F86DC0">
            <w:pPr>
              <w:tabs>
                <w:tab w:val="left" w:pos="286"/>
              </w:tabs>
              <w:rPr>
                <w:rFonts w:ascii="Arial Narrow" w:hAnsi="Arial Narrow"/>
                <w:sz w:val="20"/>
              </w:rPr>
            </w:pPr>
            <w:r>
              <w:rPr>
                <w:rFonts w:ascii="Arial Narrow" w:hAnsi="Arial Narrow"/>
                <w:sz w:val="20"/>
              </w:rPr>
              <w:tab/>
              <w:t>Node negative</w:t>
            </w:r>
          </w:p>
        </w:tc>
        <w:tc>
          <w:tcPr>
            <w:tcW w:w="687" w:type="pct"/>
            <w:tcBorders>
              <w:top w:val="single" w:sz="4" w:space="0" w:color="auto"/>
              <w:left w:val="single" w:sz="4" w:space="0" w:color="auto"/>
              <w:bottom w:val="single" w:sz="4" w:space="0" w:color="auto"/>
              <w:right w:val="single" w:sz="4" w:space="0" w:color="auto"/>
            </w:tcBorders>
            <w:hideMark/>
          </w:tcPr>
          <w:p w14:paraId="27D2F126" w14:textId="0AED20F6" w:rsidR="00034FE5" w:rsidRPr="00BE326D" w:rsidRDefault="00766E56" w:rsidP="00F86DC0">
            <w:pPr>
              <w:jc w:val="center"/>
              <w:rPr>
                <w:rFonts w:ascii="Arial Narrow" w:hAnsi="Arial Narrow"/>
                <w:sz w:val="20"/>
              </w:rPr>
            </w:pPr>
            <w:r w:rsidRPr="00766E56">
              <w:rPr>
                <w:b/>
              </w:rPr>
              <w:t>redacted</w:t>
            </w:r>
          </w:p>
        </w:tc>
        <w:tc>
          <w:tcPr>
            <w:tcW w:w="629" w:type="pct"/>
            <w:tcBorders>
              <w:top w:val="single" w:sz="4" w:space="0" w:color="auto"/>
              <w:left w:val="single" w:sz="4" w:space="0" w:color="auto"/>
              <w:bottom w:val="single" w:sz="4" w:space="0" w:color="auto"/>
              <w:right w:val="single" w:sz="4" w:space="0" w:color="auto"/>
            </w:tcBorders>
            <w:noWrap/>
            <w:hideMark/>
          </w:tcPr>
          <w:p w14:paraId="627A09CE" w14:textId="461642C0" w:rsidR="00034FE5" w:rsidRPr="00BE326D" w:rsidRDefault="00766E56" w:rsidP="00F86DC0">
            <w:pPr>
              <w:jc w:val="center"/>
              <w:rPr>
                <w:rFonts w:ascii="Arial Narrow" w:hAnsi="Arial Narrow"/>
                <w:sz w:val="20"/>
              </w:rPr>
            </w:pPr>
            <w:r w:rsidRPr="00766E56">
              <w:rPr>
                <w:b/>
              </w:rPr>
              <w:t>redacted</w:t>
            </w:r>
          </w:p>
        </w:tc>
        <w:tc>
          <w:tcPr>
            <w:tcW w:w="629" w:type="pct"/>
            <w:tcBorders>
              <w:top w:val="single" w:sz="4" w:space="0" w:color="auto"/>
              <w:left w:val="single" w:sz="4" w:space="0" w:color="auto"/>
              <w:bottom w:val="single" w:sz="4" w:space="0" w:color="auto"/>
              <w:right w:val="single" w:sz="4" w:space="0" w:color="auto"/>
            </w:tcBorders>
            <w:noWrap/>
            <w:hideMark/>
          </w:tcPr>
          <w:p w14:paraId="7ED71D37" w14:textId="5F0BA13B" w:rsidR="00034FE5" w:rsidRPr="00BE326D" w:rsidRDefault="00766E56" w:rsidP="00F86DC0">
            <w:pPr>
              <w:jc w:val="center"/>
              <w:rPr>
                <w:rFonts w:ascii="Arial Narrow" w:hAnsi="Arial Narrow"/>
                <w:sz w:val="20"/>
              </w:rPr>
            </w:pPr>
            <w:r w:rsidRPr="00766E56">
              <w:rPr>
                <w:b/>
              </w:rPr>
              <w:t>redacted</w:t>
            </w:r>
          </w:p>
        </w:tc>
        <w:tc>
          <w:tcPr>
            <w:tcW w:w="629" w:type="pct"/>
            <w:tcBorders>
              <w:top w:val="single" w:sz="4" w:space="0" w:color="auto"/>
              <w:left w:val="single" w:sz="4" w:space="0" w:color="auto"/>
              <w:bottom w:val="single" w:sz="4" w:space="0" w:color="auto"/>
              <w:right w:val="single" w:sz="4" w:space="0" w:color="auto"/>
            </w:tcBorders>
            <w:noWrap/>
            <w:hideMark/>
          </w:tcPr>
          <w:p w14:paraId="1D88D113" w14:textId="5C353A56" w:rsidR="00034FE5" w:rsidRPr="00BE326D" w:rsidRDefault="00766E56" w:rsidP="00F86DC0">
            <w:pPr>
              <w:jc w:val="center"/>
              <w:rPr>
                <w:rFonts w:ascii="Arial Narrow" w:hAnsi="Arial Narrow"/>
                <w:sz w:val="20"/>
              </w:rPr>
            </w:pPr>
            <w:r w:rsidRPr="00766E56">
              <w:rPr>
                <w:b/>
              </w:rPr>
              <w:t>redacted</w:t>
            </w:r>
          </w:p>
        </w:tc>
        <w:tc>
          <w:tcPr>
            <w:tcW w:w="629" w:type="pct"/>
            <w:tcBorders>
              <w:top w:val="single" w:sz="4" w:space="0" w:color="auto"/>
              <w:left w:val="single" w:sz="4" w:space="0" w:color="auto"/>
              <w:bottom w:val="single" w:sz="4" w:space="0" w:color="auto"/>
              <w:right w:val="single" w:sz="4" w:space="0" w:color="auto"/>
            </w:tcBorders>
            <w:noWrap/>
            <w:hideMark/>
          </w:tcPr>
          <w:p w14:paraId="24C996C1" w14:textId="010BD049" w:rsidR="00034FE5" w:rsidRPr="00BE326D" w:rsidRDefault="00766E56" w:rsidP="00F86DC0">
            <w:pPr>
              <w:jc w:val="center"/>
              <w:rPr>
                <w:rFonts w:ascii="Arial Narrow" w:hAnsi="Arial Narrow"/>
                <w:sz w:val="20"/>
              </w:rPr>
            </w:pPr>
            <w:r w:rsidRPr="00766E56">
              <w:rPr>
                <w:b/>
              </w:rPr>
              <w:t>redacted</w:t>
            </w:r>
          </w:p>
        </w:tc>
      </w:tr>
      <w:tr w:rsidR="007E4824" w14:paraId="4F22D32D" w14:textId="77777777" w:rsidTr="00BA44CC">
        <w:trPr>
          <w:cantSplit/>
          <w:trHeight w:val="170"/>
          <w:tblHeader/>
        </w:trPr>
        <w:tc>
          <w:tcPr>
            <w:tcW w:w="1797" w:type="pct"/>
            <w:tcBorders>
              <w:top w:val="single" w:sz="4" w:space="0" w:color="auto"/>
              <w:left w:val="single" w:sz="4" w:space="0" w:color="auto"/>
              <w:bottom w:val="single" w:sz="4" w:space="0" w:color="auto"/>
              <w:right w:val="single" w:sz="4" w:space="0" w:color="auto"/>
            </w:tcBorders>
            <w:vAlign w:val="center"/>
            <w:hideMark/>
          </w:tcPr>
          <w:p w14:paraId="46D29C2D" w14:textId="77777777" w:rsidR="00034FE5" w:rsidRDefault="00034FE5" w:rsidP="00F86DC0">
            <w:pPr>
              <w:tabs>
                <w:tab w:val="left" w:pos="286"/>
              </w:tabs>
              <w:rPr>
                <w:rFonts w:ascii="Arial Narrow" w:hAnsi="Arial Narrow"/>
                <w:sz w:val="20"/>
              </w:rPr>
            </w:pPr>
            <w:r>
              <w:rPr>
                <w:rFonts w:ascii="Arial Narrow" w:hAnsi="Arial Narrow"/>
                <w:sz w:val="20"/>
              </w:rPr>
              <w:tab/>
              <w:t>Node positive</w:t>
            </w:r>
          </w:p>
        </w:tc>
        <w:tc>
          <w:tcPr>
            <w:tcW w:w="687" w:type="pct"/>
            <w:tcBorders>
              <w:top w:val="single" w:sz="4" w:space="0" w:color="auto"/>
              <w:left w:val="single" w:sz="4" w:space="0" w:color="auto"/>
              <w:bottom w:val="single" w:sz="4" w:space="0" w:color="auto"/>
              <w:right w:val="single" w:sz="4" w:space="0" w:color="auto"/>
            </w:tcBorders>
            <w:hideMark/>
          </w:tcPr>
          <w:p w14:paraId="18BE31FB" w14:textId="3D42283B" w:rsidR="00034FE5" w:rsidRPr="00BE326D" w:rsidRDefault="00766E56" w:rsidP="00F86DC0">
            <w:pPr>
              <w:jc w:val="center"/>
              <w:rPr>
                <w:rFonts w:ascii="Arial Narrow" w:hAnsi="Arial Narrow"/>
                <w:sz w:val="20"/>
              </w:rPr>
            </w:pPr>
            <w:r w:rsidRPr="00766E56">
              <w:rPr>
                <w:b/>
              </w:rPr>
              <w:t>redacted</w:t>
            </w:r>
          </w:p>
        </w:tc>
        <w:tc>
          <w:tcPr>
            <w:tcW w:w="629" w:type="pct"/>
            <w:tcBorders>
              <w:top w:val="single" w:sz="4" w:space="0" w:color="auto"/>
              <w:left w:val="single" w:sz="4" w:space="0" w:color="auto"/>
              <w:bottom w:val="single" w:sz="4" w:space="0" w:color="auto"/>
              <w:right w:val="single" w:sz="4" w:space="0" w:color="auto"/>
            </w:tcBorders>
            <w:noWrap/>
            <w:hideMark/>
          </w:tcPr>
          <w:p w14:paraId="53903689" w14:textId="2E0E439E" w:rsidR="00034FE5" w:rsidRPr="00BE326D" w:rsidRDefault="00766E56" w:rsidP="00F86DC0">
            <w:pPr>
              <w:jc w:val="center"/>
              <w:rPr>
                <w:rFonts w:ascii="Arial Narrow" w:hAnsi="Arial Narrow"/>
                <w:sz w:val="20"/>
              </w:rPr>
            </w:pPr>
            <w:r w:rsidRPr="00766E56">
              <w:rPr>
                <w:b/>
              </w:rPr>
              <w:t>redacted</w:t>
            </w:r>
          </w:p>
        </w:tc>
        <w:tc>
          <w:tcPr>
            <w:tcW w:w="629" w:type="pct"/>
            <w:tcBorders>
              <w:top w:val="single" w:sz="4" w:space="0" w:color="auto"/>
              <w:left w:val="single" w:sz="4" w:space="0" w:color="auto"/>
              <w:bottom w:val="single" w:sz="4" w:space="0" w:color="auto"/>
              <w:right w:val="single" w:sz="4" w:space="0" w:color="auto"/>
            </w:tcBorders>
            <w:noWrap/>
            <w:hideMark/>
          </w:tcPr>
          <w:p w14:paraId="5E890321" w14:textId="7444BDB7" w:rsidR="00034FE5" w:rsidRPr="00BE326D" w:rsidRDefault="00766E56" w:rsidP="00F86DC0">
            <w:pPr>
              <w:jc w:val="center"/>
              <w:rPr>
                <w:rFonts w:ascii="Arial Narrow" w:hAnsi="Arial Narrow"/>
                <w:sz w:val="20"/>
              </w:rPr>
            </w:pPr>
            <w:r w:rsidRPr="00766E56">
              <w:rPr>
                <w:b/>
              </w:rPr>
              <w:t>redacted</w:t>
            </w:r>
          </w:p>
        </w:tc>
        <w:tc>
          <w:tcPr>
            <w:tcW w:w="629" w:type="pct"/>
            <w:tcBorders>
              <w:top w:val="single" w:sz="4" w:space="0" w:color="auto"/>
              <w:left w:val="single" w:sz="4" w:space="0" w:color="auto"/>
              <w:bottom w:val="single" w:sz="4" w:space="0" w:color="auto"/>
              <w:right w:val="single" w:sz="4" w:space="0" w:color="auto"/>
            </w:tcBorders>
            <w:noWrap/>
            <w:hideMark/>
          </w:tcPr>
          <w:p w14:paraId="4949EF44" w14:textId="0C2F13F7" w:rsidR="00034FE5" w:rsidRPr="00BE326D" w:rsidRDefault="00766E56" w:rsidP="00F86DC0">
            <w:pPr>
              <w:jc w:val="center"/>
              <w:rPr>
                <w:rFonts w:ascii="Arial Narrow" w:hAnsi="Arial Narrow"/>
                <w:sz w:val="20"/>
              </w:rPr>
            </w:pPr>
            <w:r w:rsidRPr="00766E56">
              <w:rPr>
                <w:b/>
              </w:rPr>
              <w:t>redacted</w:t>
            </w:r>
          </w:p>
        </w:tc>
        <w:tc>
          <w:tcPr>
            <w:tcW w:w="629" w:type="pct"/>
            <w:tcBorders>
              <w:top w:val="single" w:sz="4" w:space="0" w:color="auto"/>
              <w:left w:val="single" w:sz="4" w:space="0" w:color="auto"/>
              <w:bottom w:val="single" w:sz="4" w:space="0" w:color="auto"/>
              <w:right w:val="single" w:sz="4" w:space="0" w:color="auto"/>
            </w:tcBorders>
            <w:noWrap/>
            <w:hideMark/>
          </w:tcPr>
          <w:p w14:paraId="346CDB38" w14:textId="051D8F39" w:rsidR="00034FE5" w:rsidRPr="00BE326D" w:rsidRDefault="00766E56" w:rsidP="00F86DC0">
            <w:pPr>
              <w:jc w:val="center"/>
              <w:rPr>
                <w:rFonts w:ascii="Arial Narrow" w:hAnsi="Arial Narrow"/>
                <w:sz w:val="20"/>
              </w:rPr>
            </w:pPr>
            <w:r w:rsidRPr="00766E56">
              <w:rPr>
                <w:b/>
              </w:rPr>
              <w:t>redacted</w:t>
            </w:r>
          </w:p>
        </w:tc>
      </w:tr>
      <w:tr w:rsidR="007E4824" w14:paraId="16CBD6E0" w14:textId="77777777" w:rsidTr="00BA44CC">
        <w:trPr>
          <w:cantSplit/>
          <w:trHeight w:val="170"/>
          <w:tblHeader/>
        </w:trPr>
        <w:tc>
          <w:tcPr>
            <w:tcW w:w="1797" w:type="pct"/>
            <w:tcBorders>
              <w:top w:val="single" w:sz="4" w:space="0" w:color="auto"/>
              <w:left w:val="single" w:sz="4" w:space="0" w:color="auto"/>
              <w:bottom w:val="single" w:sz="4" w:space="0" w:color="auto"/>
              <w:right w:val="single" w:sz="4" w:space="0" w:color="auto"/>
            </w:tcBorders>
            <w:vAlign w:val="center"/>
            <w:hideMark/>
          </w:tcPr>
          <w:p w14:paraId="060C4B67" w14:textId="77777777" w:rsidR="00034FE5" w:rsidRDefault="00034FE5" w:rsidP="00F86DC0">
            <w:pPr>
              <w:tabs>
                <w:tab w:val="left" w:pos="286"/>
              </w:tabs>
              <w:rPr>
                <w:rFonts w:ascii="Arial Narrow" w:hAnsi="Arial Narrow"/>
                <w:sz w:val="20"/>
              </w:rPr>
            </w:pPr>
            <w:r>
              <w:rPr>
                <w:rFonts w:ascii="Arial Narrow" w:hAnsi="Arial Narrow"/>
                <w:sz w:val="20"/>
              </w:rPr>
              <w:tab/>
              <w:t>Node negative</w:t>
            </w:r>
          </w:p>
        </w:tc>
        <w:tc>
          <w:tcPr>
            <w:tcW w:w="687" w:type="pct"/>
            <w:tcBorders>
              <w:top w:val="single" w:sz="4" w:space="0" w:color="auto"/>
              <w:left w:val="single" w:sz="4" w:space="0" w:color="auto"/>
              <w:bottom w:val="single" w:sz="4" w:space="0" w:color="auto"/>
              <w:right w:val="single" w:sz="4" w:space="0" w:color="auto"/>
            </w:tcBorders>
            <w:vAlign w:val="center"/>
            <w:hideMark/>
          </w:tcPr>
          <w:p w14:paraId="20B57108" w14:textId="5A0C42CA" w:rsidR="00034FE5" w:rsidRDefault="00766E56" w:rsidP="00F86DC0">
            <w:pPr>
              <w:jc w:val="center"/>
              <w:rPr>
                <w:rFonts w:ascii="Arial Narrow" w:hAnsi="Arial Narrow"/>
                <w:sz w:val="20"/>
              </w:rPr>
            </w:pPr>
            <w:r w:rsidRPr="00766E56">
              <w:rPr>
                <w:b/>
              </w:rPr>
              <w:t>redacted</w:t>
            </w:r>
            <w:r w:rsidDel="00766E56">
              <w:rPr>
                <w:rFonts w:ascii="Arial Narrow" w:hAnsi="Arial Narrow"/>
                <w:sz w:val="20"/>
              </w:rPr>
              <w:t xml:space="preserve"> </w:t>
            </w:r>
            <w:r w:rsidR="00034FE5">
              <w:rPr>
                <w:rFonts w:ascii="Arial Narrow" w:hAnsi="Arial Narrow"/>
                <w:sz w:val="20"/>
              </w:rPr>
              <w:t>%</w:t>
            </w:r>
          </w:p>
        </w:tc>
        <w:tc>
          <w:tcPr>
            <w:tcW w:w="629" w:type="pct"/>
            <w:tcBorders>
              <w:top w:val="single" w:sz="4" w:space="0" w:color="auto"/>
              <w:left w:val="single" w:sz="4" w:space="0" w:color="auto"/>
              <w:bottom w:val="single" w:sz="4" w:space="0" w:color="auto"/>
              <w:right w:val="single" w:sz="4" w:space="0" w:color="auto"/>
            </w:tcBorders>
            <w:noWrap/>
            <w:vAlign w:val="center"/>
            <w:hideMark/>
          </w:tcPr>
          <w:p w14:paraId="6BBE05BD" w14:textId="236B2B5B" w:rsidR="00034FE5" w:rsidRDefault="00766E56" w:rsidP="00F86DC0">
            <w:pPr>
              <w:jc w:val="center"/>
              <w:rPr>
                <w:rFonts w:ascii="Arial Narrow" w:hAnsi="Arial Narrow"/>
                <w:sz w:val="20"/>
              </w:rPr>
            </w:pPr>
            <w:r w:rsidRPr="00766E56">
              <w:rPr>
                <w:b/>
              </w:rPr>
              <w:t>redacted</w:t>
            </w:r>
            <w:r w:rsidDel="00766E56">
              <w:rPr>
                <w:rFonts w:ascii="Arial Narrow" w:hAnsi="Arial Narrow"/>
                <w:sz w:val="20"/>
              </w:rPr>
              <w:t xml:space="preserve"> </w:t>
            </w:r>
            <w:r w:rsidR="00034FE5">
              <w:rPr>
                <w:rFonts w:ascii="Arial Narrow" w:hAnsi="Arial Narrow"/>
                <w:sz w:val="20"/>
              </w:rPr>
              <w:t>%</w:t>
            </w:r>
          </w:p>
        </w:tc>
        <w:tc>
          <w:tcPr>
            <w:tcW w:w="629" w:type="pct"/>
            <w:tcBorders>
              <w:top w:val="single" w:sz="4" w:space="0" w:color="auto"/>
              <w:left w:val="single" w:sz="4" w:space="0" w:color="auto"/>
              <w:bottom w:val="single" w:sz="4" w:space="0" w:color="auto"/>
              <w:right w:val="single" w:sz="4" w:space="0" w:color="auto"/>
            </w:tcBorders>
            <w:noWrap/>
            <w:vAlign w:val="center"/>
            <w:hideMark/>
          </w:tcPr>
          <w:p w14:paraId="73EF0896" w14:textId="616B1215" w:rsidR="00034FE5" w:rsidRDefault="00766E56" w:rsidP="00F86DC0">
            <w:pPr>
              <w:jc w:val="center"/>
              <w:rPr>
                <w:rFonts w:ascii="Arial Narrow" w:hAnsi="Arial Narrow"/>
                <w:sz w:val="20"/>
              </w:rPr>
            </w:pPr>
            <w:r w:rsidRPr="00766E56">
              <w:rPr>
                <w:b/>
              </w:rPr>
              <w:t>redacted</w:t>
            </w:r>
            <w:r w:rsidDel="00766E56">
              <w:rPr>
                <w:rFonts w:ascii="Arial Narrow" w:hAnsi="Arial Narrow"/>
                <w:sz w:val="20"/>
              </w:rPr>
              <w:t xml:space="preserve"> </w:t>
            </w:r>
            <w:r w:rsidR="00034FE5">
              <w:rPr>
                <w:rFonts w:ascii="Arial Narrow" w:hAnsi="Arial Narrow"/>
                <w:sz w:val="20"/>
              </w:rPr>
              <w:t>%</w:t>
            </w:r>
          </w:p>
        </w:tc>
        <w:tc>
          <w:tcPr>
            <w:tcW w:w="629" w:type="pct"/>
            <w:tcBorders>
              <w:top w:val="single" w:sz="4" w:space="0" w:color="auto"/>
              <w:left w:val="single" w:sz="4" w:space="0" w:color="auto"/>
              <w:bottom w:val="single" w:sz="4" w:space="0" w:color="auto"/>
              <w:right w:val="single" w:sz="4" w:space="0" w:color="auto"/>
            </w:tcBorders>
            <w:noWrap/>
            <w:vAlign w:val="center"/>
            <w:hideMark/>
          </w:tcPr>
          <w:p w14:paraId="3429561C" w14:textId="63A1892B" w:rsidR="00034FE5" w:rsidRDefault="00766E56" w:rsidP="00F86DC0">
            <w:pPr>
              <w:jc w:val="center"/>
              <w:rPr>
                <w:rFonts w:ascii="Arial Narrow" w:hAnsi="Arial Narrow"/>
                <w:sz w:val="20"/>
              </w:rPr>
            </w:pPr>
            <w:r w:rsidRPr="00766E56">
              <w:rPr>
                <w:b/>
              </w:rPr>
              <w:t>redacted</w:t>
            </w:r>
            <w:r w:rsidDel="00766E56">
              <w:rPr>
                <w:rFonts w:ascii="Arial Narrow" w:hAnsi="Arial Narrow"/>
                <w:sz w:val="20"/>
              </w:rPr>
              <w:t xml:space="preserve"> </w:t>
            </w:r>
            <w:r w:rsidR="00034FE5">
              <w:rPr>
                <w:rFonts w:ascii="Arial Narrow" w:hAnsi="Arial Narrow"/>
                <w:sz w:val="20"/>
              </w:rPr>
              <w:t>%</w:t>
            </w:r>
          </w:p>
        </w:tc>
        <w:tc>
          <w:tcPr>
            <w:tcW w:w="629" w:type="pct"/>
            <w:tcBorders>
              <w:top w:val="single" w:sz="4" w:space="0" w:color="auto"/>
              <w:left w:val="single" w:sz="4" w:space="0" w:color="auto"/>
              <w:bottom w:val="single" w:sz="4" w:space="0" w:color="auto"/>
              <w:right w:val="single" w:sz="4" w:space="0" w:color="auto"/>
            </w:tcBorders>
            <w:noWrap/>
            <w:vAlign w:val="center"/>
            <w:hideMark/>
          </w:tcPr>
          <w:p w14:paraId="30D92E24" w14:textId="471812C8" w:rsidR="00034FE5" w:rsidRDefault="00766E56" w:rsidP="00F86DC0">
            <w:pPr>
              <w:jc w:val="center"/>
              <w:rPr>
                <w:rFonts w:ascii="Arial Narrow" w:hAnsi="Arial Narrow"/>
                <w:sz w:val="20"/>
              </w:rPr>
            </w:pPr>
            <w:r w:rsidRPr="00766E56">
              <w:rPr>
                <w:b/>
              </w:rPr>
              <w:t>redacted</w:t>
            </w:r>
            <w:r w:rsidDel="00766E56">
              <w:rPr>
                <w:rFonts w:ascii="Arial Narrow" w:hAnsi="Arial Narrow"/>
                <w:sz w:val="20"/>
              </w:rPr>
              <w:t xml:space="preserve"> </w:t>
            </w:r>
            <w:r w:rsidR="00034FE5">
              <w:rPr>
                <w:rFonts w:ascii="Arial Narrow" w:hAnsi="Arial Narrow"/>
                <w:sz w:val="20"/>
              </w:rPr>
              <w:t>%</w:t>
            </w:r>
          </w:p>
        </w:tc>
      </w:tr>
      <w:tr w:rsidR="007E4824" w14:paraId="2E31EB85" w14:textId="77777777" w:rsidTr="00BA44CC">
        <w:trPr>
          <w:cantSplit/>
          <w:trHeight w:val="170"/>
          <w:tblHeader/>
        </w:trPr>
        <w:tc>
          <w:tcPr>
            <w:tcW w:w="1797" w:type="pct"/>
            <w:tcBorders>
              <w:top w:val="single" w:sz="4" w:space="0" w:color="auto"/>
              <w:left w:val="single" w:sz="4" w:space="0" w:color="auto"/>
              <w:bottom w:val="single" w:sz="4" w:space="0" w:color="auto"/>
              <w:right w:val="single" w:sz="4" w:space="0" w:color="auto"/>
            </w:tcBorders>
            <w:vAlign w:val="center"/>
            <w:hideMark/>
          </w:tcPr>
          <w:p w14:paraId="24FF00E8" w14:textId="77777777" w:rsidR="00034FE5" w:rsidRDefault="00034FE5" w:rsidP="00F86DC0">
            <w:pPr>
              <w:tabs>
                <w:tab w:val="left" w:pos="286"/>
              </w:tabs>
              <w:rPr>
                <w:rFonts w:ascii="Arial Narrow" w:hAnsi="Arial Narrow"/>
                <w:sz w:val="20"/>
              </w:rPr>
            </w:pPr>
            <w:r>
              <w:rPr>
                <w:rFonts w:ascii="Arial Narrow" w:hAnsi="Arial Narrow"/>
                <w:sz w:val="20"/>
              </w:rPr>
              <w:tab/>
              <w:t>Node positive</w:t>
            </w:r>
          </w:p>
        </w:tc>
        <w:tc>
          <w:tcPr>
            <w:tcW w:w="687" w:type="pct"/>
            <w:tcBorders>
              <w:top w:val="single" w:sz="4" w:space="0" w:color="auto"/>
              <w:left w:val="single" w:sz="4" w:space="0" w:color="auto"/>
              <w:bottom w:val="single" w:sz="4" w:space="0" w:color="auto"/>
              <w:right w:val="single" w:sz="4" w:space="0" w:color="auto"/>
            </w:tcBorders>
            <w:vAlign w:val="center"/>
            <w:hideMark/>
          </w:tcPr>
          <w:p w14:paraId="65D27A3A" w14:textId="01956C89" w:rsidR="00034FE5" w:rsidRDefault="00766E56" w:rsidP="00F86DC0">
            <w:pPr>
              <w:jc w:val="center"/>
              <w:rPr>
                <w:rFonts w:ascii="Arial Narrow" w:hAnsi="Arial Narrow"/>
                <w:sz w:val="20"/>
              </w:rPr>
            </w:pPr>
            <w:r w:rsidRPr="00766E56">
              <w:rPr>
                <w:b/>
              </w:rPr>
              <w:t>redacted</w:t>
            </w:r>
            <w:r w:rsidDel="00766E56">
              <w:rPr>
                <w:rFonts w:ascii="Arial Narrow" w:hAnsi="Arial Narrow"/>
                <w:sz w:val="20"/>
              </w:rPr>
              <w:t xml:space="preserve"> </w:t>
            </w:r>
            <w:r w:rsidR="00034FE5">
              <w:rPr>
                <w:rFonts w:ascii="Arial Narrow" w:hAnsi="Arial Narrow"/>
                <w:sz w:val="20"/>
              </w:rPr>
              <w:t>%</w:t>
            </w:r>
          </w:p>
        </w:tc>
        <w:tc>
          <w:tcPr>
            <w:tcW w:w="629" w:type="pct"/>
            <w:tcBorders>
              <w:top w:val="single" w:sz="4" w:space="0" w:color="auto"/>
              <w:left w:val="single" w:sz="4" w:space="0" w:color="auto"/>
              <w:bottom w:val="single" w:sz="4" w:space="0" w:color="auto"/>
              <w:right w:val="single" w:sz="4" w:space="0" w:color="auto"/>
            </w:tcBorders>
            <w:noWrap/>
            <w:vAlign w:val="center"/>
            <w:hideMark/>
          </w:tcPr>
          <w:p w14:paraId="56A7FAE1" w14:textId="5C716A22" w:rsidR="00034FE5" w:rsidRDefault="00766E56" w:rsidP="00F86DC0">
            <w:pPr>
              <w:jc w:val="center"/>
              <w:rPr>
                <w:rFonts w:ascii="Arial Narrow" w:hAnsi="Arial Narrow"/>
                <w:sz w:val="20"/>
              </w:rPr>
            </w:pPr>
            <w:r w:rsidRPr="00766E56">
              <w:rPr>
                <w:b/>
              </w:rPr>
              <w:t>redacted</w:t>
            </w:r>
            <w:r w:rsidDel="00766E56">
              <w:rPr>
                <w:rFonts w:ascii="Arial Narrow" w:hAnsi="Arial Narrow"/>
                <w:sz w:val="20"/>
              </w:rPr>
              <w:t xml:space="preserve"> </w:t>
            </w:r>
            <w:r w:rsidR="00034FE5">
              <w:rPr>
                <w:rFonts w:ascii="Arial Narrow" w:hAnsi="Arial Narrow"/>
                <w:sz w:val="20"/>
              </w:rPr>
              <w:t>%</w:t>
            </w:r>
          </w:p>
        </w:tc>
        <w:tc>
          <w:tcPr>
            <w:tcW w:w="629" w:type="pct"/>
            <w:tcBorders>
              <w:top w:val="single" w:sz="4" w:space="0" w:color="auto"/>
              <w:left w:val="single" w:sz="4" w:space="0" w:color="auto"/>
              <w:bottom w:val="single" w:sz="4" w:space="0" w:color="auto"/>
              <w:right w:val="single" w:sz="4" w:space="0" w:color="auto"/>
            </w:tcBorders>
            <w:noWrap/>
            <w:vAlign w:val="center"/>
            <w:hideMark/>
          </w:tcPr>
          <w:p w14:paraId="05507497" w14:textId="06017432" w:rsidR="00034FE5" w:rsidRDefault="00766E56" w:rsidP="00F86DC0">
            <w:pPr>
              <w:jc w:val="center"/>
              <w:rPr>
                <w:rFonts w:ascii="Arial Narrow" w:hAnsi="Arial Narrow"/>
                <w:sz w:val="20"/>
              </w:rPr>
            </w:pPr>
            <w:r w:rsidRPr="00766E56">
              <w:rPr>
                <w:b/>
              </w:rPr>
              <w:t>redacted</w:t>
            </w:r>
            <w:r w:rsidDel="00766E56">
              <w:rPr>
                <w:rFonts w:ascii="Arial Narrow" w:hAnsi="Arial Narrow"/>
                <w:sz w:val="20"/>
              </w:rPr>
              <w:t xml:space="preserve"> </w:t>
            </w:r>
            <w:r w:rsidR="00034FE5">
              <w:rPr>
                <w:rFonts w:ascii="Arial Narrow" w:hAnsi="Arial Narrow"/>
                <w:sz w:val="20"/>
              </w:rPr>
              <w:t>%</w:t>
            </w:r>
          </w:p>
        </w:tc>
        <w:tc>
          <w:tcPr>
            <w:tcW w:w="629" w:type="pct"/>
            <w:tcBorders>
              <w:top w:val="single" w:sz="4" w:space="0" w:color="auto"/>
              <w:left w:val="single" w:sz="4" w:space="0" w:color="auto"/>
              <w:bottom w:val="single" w:sz="4" w:space="0" w:color="auto"/>
              <w:right w:val="single" w:sz="4" w:space="0" w:color="auto"/>
            </w:tcBorders>
            <w:noWrap/>
            <w:vAlign w:val="center"/>
            <w:hideMark/>
          </w:tcPr>
          <w:p w14:paraId="7A957914" w14:textId="00D358F1" w:rsidR="00034FE5" w:rsidRDefault="00766E56" w:rsidP="00F86DC0">
            <w:pPr>
              <w:jc w:val="center"/>
              <w:rPr>
                <w:rFonts w:ascii="Arial Narrow" w:hAnsi="Arial Narrow"/>
                <w:sz w:val="20"/>
              </w:rPr>
            </w:pPr>
            <w:r w:rsidRPr="00766E56">
              <w:rPr>
                <w:b/>
              </w:rPr>
              <w:t>redacted</w:t>
            </w:r>
            <w:r w:rsidDel="00766E56">
              <w:rPr>
                <w:rFonts w:ascii="Arial Narrow" w:hAnsi="Arial Narrow"/>
                <w:sz w:val="20"/>
              </w:rPr>
              <w:t xml:space="preserve"> </w:t>
            </w:r>
            <w:r w:rsidR="00034FE5">
              <w:rPr>
                <w:rFonts w:ascii="Arial Narrow" w:hAnsi="Arial Narrow"/>
                <w:sz w:val="20"/>
              </w:rPr>
              <w:t>%</w:t>
            </w:r>
          </w:p>
        </w:tc>
        <w:tc>
          <w:tcPr>
            <w:tcW w:w="629" w:type="pct"/>
            <w:tcBorders>
              <w:top w:val="single" w:sz="4" w:space="0" w:color="auto"/>
              <w:left w:val="single" w:sz="4" w:space="0" w:color="auto"/>
              <w:bottom w:val="single" w:sz="4" w:space="0" w:color="auto"/>
              <w:right w:val="single" w:sz="4" w:space="0" w:color="auto"/>
            </w:tcBorders>
            <w:noWrap/>
            <w:vAlign w:val="center"/>
            <w:hideMark/>
          </w:tcPr>
          <w:p w14:paraId="5352E542" w14:textId="4707C08F" w:rsidR="00034FE5" w:rsidRDefault="00766E56" w:rsidP="00F86DC0">
            <w:pPr>
              <w:jc w:val="center"/>
              <w:rPr>
                <w:rFonts w:ascii="Arial Narrow" w:hAnsi="Arial Narrow"/>
                <w:sz w:val="20"/>
              </w:rPr>
            </w:pPr>
            <w:r w:rsidRPr="00766E56">
              <w:rPr>
                <w:b/>
              </w:rPr>
              <w:t>redacted</w:t>
            </w:r>
            <w:r w:rsidDel="00766E56">
              <w:rPr>
                <w:rFonts w:ascii="Arial Narrow" w:hAnsi="Arial Narrow"/>
                <w:sz w:val="20"/>
              </w:rPr>
              <w:t xml:space="preserve"> </w:t>
            </w:r>
            <w:r w:rsidR="00034FE5">
              <w:rPr>
                <w:rFonts w:ascii="Arial Narrow" w:hAnsi="Arial Narrow"/>
                <w:sz w:val="20"/>
              </w:rPr>
              <w:t>%</w:t>
            </w:r>
          </w:p>
        </w:tc>
      </w:tr>
      <w:tr w:rsidR="007E4824" w14:paraId="07898AF0" w14:textId="77777777" w:rsidTr="00BA44CC">
        <w:trPr>
          <w:cantSplit/>
          <w:trHeight w:val="170"/>
          <w:tblHeader/>
        </w:trPr>
        <w:tc>
          <w:tcPr>
            <w:tcW w:w="1797" w:type="pct"/>
            <w:tcBorders>
              <w:top w:val="single" w:sz="4" w:space="0" w:color="auto"/>
              <w:left w:val="single" w:sz="4" w:space="0" w:color="auto"/>
              <w:bottom w:val="single" w:sz="4" w:space="0" w:color="auto"/>
              <w:right w:val="single" w:sz="4" w:space="0" w:color="auto"/>
            </w:tcBorders>
            <w:vAlign w:val="center"/>
            <w:hideMark/>
          </w:tcPr>
          <w:p w14:paraId="4C251F4A" w14:textId="77777777" w:rsidR="00034FE5" w:rsidRDefault="00034FE5" w:rsidP="00F86DC0">
            <w:pPr>
              <w:rPr>
                <w:rFonts w:ascii="Arial Narrow" w:hAnsi="Arial Narrow"/>
                <w:b/>
                <w:sz w:val="20"/>
              </w:rPr>
            </w:pPr>
            <w:r>
              <w:rPr>
                <w:rFonts w:ascii="Arial Narrow" w:hAnsi="Arial Narrow"/>
                <w:b/>
                <w:sz w:val="20"/>
              </w:rPr>
              <w:t>Patient population initiating Oncotype DX in each year of MBS listing</w:t>
            </w:r>
          </w:p>
        </w:tc>
        <w:tc>
          <w:tcPr>
            <w:tcW w:w="687" w:type="pct"/>
            <w:tcBorders>
              <w:top w:val="single" w:sz="4" w:space="0" w:color="auto"/>
              <w:left w:val="single" w:sz="4" w:space="0" w:color="auto"/>
              <w:bottom w:val="single" w:sz="4" w:space="0" w:color="auto"/>
              <w:right w:val="single" w:sz="4" w:space="0" w:color="auto"/>
            </w:tcBorders>
            <w:vAlign w:val="center"/>
            <w:hideMark/>
          </w:tcPr>
          <w:p w14:paraId="472E28C8" w14:textId="0F7311D5" w:rsidR="00034FE5" w:rsidRPr="003B5B7A" w:rsidRDefault="00766E56" w:rsidP="00F86DC0">
            <w:pPr>
              <w:jc w:val="center"/>
              <w:rPr>
                <w:rFonts w:ascii="Arial Narrow" w:hAnsi="Arial Narrow"/>
                <w:b/>
                <w:sz w:val="20"/>
              </w:rPr>
            </w:pPr>
            <w:r w:rsidRPr="00766E56">
              <w:rPr>
                <w:b/>
              </w:rPr>
              <w:t>redacted</w:t>
            </w:r>
          </w:p>
        </w:tc>
        <w:tc>
          <w:tcPr>
            <w:tcW w:w="629" w:type="pct"/>
            <w:tcBorders>
              <w:top w:val="single" w:sz="4" w:space="0" w:color="auto"/>
              <w:left w:val="single" w:sz="4" w:space="0" w:color="auto"/>
              <w:bottom w:val="single" w:sz="4" w:space="0" w:color="auto"/>
              <w:right w:val="single" w:sz="4" w:space="0" w:color="auto"/>
            </w:tcBorders>
            <w:noWrap/>
            <w:vAlign w:val="center"/>
            <w:hideMark/>
          </w:tcPr>
          <w:p w14:paraId="50DF64C2" w14:textId="4C7FDC30" w:rsidR="00034FE5" w:rsidRPr="003B5B7A" w:rsidRDefault="00766E56" w:rsidP="00F86DC0">
            <w:pPr>
              <w:jc w:val="center"/>
              <w:rPr>
                <w:rFonts w:ascii="Arial Narrow" w:hAnsi="Arial Narrow"/>
                <w:b/>
                <w:sz w:val="20"/>
              </w:rPr>
            </w:pPr>
            <w:r w:rsidRPr="00766E56">
              <w:rPr>
                <w:b/>
              </w:rPr>
              <w:t>redacted</w:t>
            </w:r>
          </w:p>
        </w:tc>
        <w:tc>
          <w:tcPr>
            <w:tcW w:w="629" w:type="pct"/>
            <w:tcBorders>
              <w:top w:val="single" w:sz="4" w:space="0" w:color="auto"/>
              <w:left w:val="single" w:sz="4" w:space="0" w:color="auto"/>
              <w:bottom w:val="single" w:sz="4" w:space="0" w:color="auto"/>
              <w:right w:val="single" w:sz="4" w:space="0" w:color="auto"/>
            </w:tcBorders>
            <w:noWrap/>
            <w:vAlign w:val="center"/>
            <w:hideMark/>
          </w:tcPr>
          <w:p w14:paraId="25295A18" w14:textId="602F0609" w:rsidR="00034FE5" w:rsidRPr="003B5B7A" w:rsidRDefault="00766E56" w:rsidP="00F86DC0">
            <w:pPr>
              <w:jc w:val="center"/>
              <w:rPr>
                <w:rFonts w:ascii="Arial Narrow" w:hAnsi="Arial Narrow"/>
                <w:b/>
                <w:sz w:val="20"/>
              </w:rPr>
            </w:pPr>
            <w:r w:rsidRPr="00766E56">
              <w:rPr>
                <w:b/>
              </w:rPr>
              <w:t>redacted</w:t>
            </w:r>
          </w:p>
        </w:tc>
        <w:tc>
          <w:tcPr>
            <w:tcW w:w="629" w:type="pct"/>
            <w:tcBorders>
              <w:top w:val="single" w:sz="4" w:space="0" w:color="auto"/>
              <w:left w:val="single" w:sz="4" w:space="0" w:color="auto"/>
              <w:bottom w:val="single" w:sz="4" w:space="0" w:color="auto"/>
              <w:right w:val="single" w:sz="4" w:space="0" w:color="auto"/>
            </w:tcBorders>
            <w:noWrap/>
            <w:vAlign w:val="center"/>
            <w:hideMark/>
          </w:tcPr>
          <w:p w14:paraId="3E72089C" w14:textId="070776FE" w:rsidR="00034FE5" w:rsidRPr="003B5B7A" w:rsidRDefault="00766E56" w:rsidP="00F86DC0">
            <w:pPr>
              <w:jc w:val="center"/>
              <w:rPr>
                <w:rFonts w:ascii="Arial Narrow" w:hAnsi="Arial Narrow"/>
                <w:b/>
                <w:sz w:val="20"/>
              </w:rPr>
            </w:pPr>
            <w:r w:rsidRPr="00766E56">
              <w:rPr>
                <w:b/>
              </w:rPr>
              <w:t>redacted</w:t>
            </w:r>
          </w:p>
        </w:tc>
        <w:tc>
          <w:tcPr>
            <w:tcW w:w="629" w:type="pct"/>
            <w:tcBorders>
              <w:top w:val="single" w:sz="4" w:space="0" w:color="auto"/>
              <w:left w:val="single" w:sz="4" w:space="0" w:color="auto"/>
              <w:bottom w:val="single" w:sz="4" w:space="0" w:color="auto"/>
              <w:right w:val="single" w:sz="4" w:space="0" w:color="auto"/>
            </w:tcBorders>
            <w:noWrap/>
            <w:vAlign w:val="center"/>
            <w:hideMark/>
          </w:tcPr>
          <w:p w14:paraId="37C123DC" w14:textId="446C9B15" w:rsidR="00034FE5" w:rsidRPr="003B5B7A" w:rsidRDefault="00766E56" w:rsidP="00F86DC0">
            <w:pPr>
              <w:jc w:val="center"/>
              <w:rPr>
                <w:rFonts w:ascii="Arial Narrow" w:hAnsi="Arial Narrow"/>
                <w:b/>
                <w:sz w:val="20"/>
              </w:rPr>
            </w:pPr>
            <w:r w:rsidRPr="00766E56">
              <w:rPr>
                <w:b/>
              </w:rPr>
              <w:t>redacted</w:t>
            </w:r>
          </w:p>
        </w:tc>
      </w:tr>
      <w:tr w:rsidR="007E4824" w14:paraId="06B3292E" w14:textId="77777777" w:rsidTr="00BA44CC">
        <w:trPr>
          <w:cantSplit/>
          <w:trHeight w:val="170"/>
          <w:tblHeader/>
        </w:trPr>
        <w:tc>
          <w:tcPr>
            <w:tcW w:w="1797" w:type="pct"/>
            <w:tcBorders>
              <w:top w:val="single" w:sz="4" w:space="0" w:color="auto"/>
              <w:left w:val="single" w:sz="4" w:space="0" w:color="auto"/>
              <w:bottom w:val="single" w:sz="4" w:space="0" w:color="auto"/>
              <w:right w:val="single" w:sz="4" w:space="0" w:color="auto"/>
            </w:tcBorders>
            <w:vAlign w:val="center"/>
            <w:hideMark/>
          </w:tcPr>
          <w:p w14:paraId="42A3CEC3" w14:textId="77777777" w:rsidR="00034FE5" w:rsidRDefault="00034FE5" w:rsidP="00F86DC0">
            <w:pPr>
              <w:tabs>
                <w:tab w:val="left" w:pos="286"/>
              </w:tabs>
              <w:rPr>
                <w:rFonts w:ascii="Arial Narrow" w:hAnsi="Arial Narrow"/>
                <w:sz w:val="20"/>
              </w:rPr>
            </w:pPr>
            <w:r>
              <w:rPr>
                <w:rFonts w:ascii="Arial Narrow" w:hAnsi="Arial Narrow"/>
                <w:sz w:val="20"/>
              </w:rPr>
              <w:tab/>
              <w:t>Node negative</w:t>
            </w:r>
          </w:p>
        </w:tc>
        <w:tc>
          <w:tcPr>
            <w:tcW w:w="687" w:type="pct"/>
            <w:tcBorders>
              <w:top w:val="single" w:sz="4" w:space="0" w:color="auto"/>
              <w:left w:val="single" w:sz="4" w:space="0" w:color="auto"/>
              <w:bottom w:val="single" w:sz="4" w:space="0" w:color="auto"/>
              <w:right w:val="single" w:sz="4" w:space="0" w:color="auto"/>
            </w:tcBorders>
            <w:vAlign w:val="center"/>
            <w:hideMark/>
          </w:tcPr>
          <w:p w14:paraId="213FE3D0" w14:textId="15863FEF" w:rsidR="00034FE5" w:rsidRPr="003B5B7A" w:rsidRDefault="00766E56" w:rsidP="00F86DC0">
            <w:pPr>
              <w:jc w:val="center"/>
              <w:rPr>
                <w:rFonts w:ascii="Arial Narrow" w:hAnsi="Arial Narrow"/>
                <w:sz w:val="20"/>
              </w:rPr>
            </w:pPr>
            <w:r w:rsidRPr="00766E56">
              <w:rPr>
                <w:b/>
              </w:rPr>
              <w:t>redacted</w:t>
            </w:r>
          </w:p>
        </w:tc>
        <w:tc>
          <w:tcPr>
            <w:tcW w:w="629" w:type="pct"/>
            <w:tcBorders>
              <w:top w:val="single" w:sz="4" w:space="0" w:color="auto"/>
              <w:left w:val="single" w:sz="4" w:space="0" w:color="auto"/>
              <w:bottom w:val="single" w:sz="4" w:space="0" w:color="auto"/>
              <w:right w:val="single" w:sz="4" w:space="0" w:color="auto"/>
            </w:tcBorders>
            <w:noWrap/>
            <w:vAlign w:val="center"/>
            <w:hideMark/>
          </w:tcPr>
          <w:p w14:paraId="2B13554A" w14:textId="5A4F7C5B" w:rsidR="00034FE5" w:rsidRPr="003B5B7A" w:rsidRDefault="00766E56" w:rsidP="00F86DC0">
            <w:pPr>
              <w:jc w:val="center"/>
              <w:rPr>
                <w:rFonts w:ascii="Arial Narrow" w:hAnsi="Arial Narrow"/>
                <w:sz w:val="20"/>
              </w:rPr>
            </w:pPr>
            <w:r w:rsidRPr="00766E56">
              <w:rPr>
                <w:b/>
              </w:rPr>
              <w:t>redacted</w:t>
            </w:r>
          </w:p>
        </w:tc>
        <w:tc>
          <w:tcPr>
            <w:tcW w:w="629" w:type="pct"/>
            <w:tcBorders>
              <w:top w:val="single" w:sz="4" w:space="0" w:color="auto"/>
              <w:left w:val="single" w:sz="4" w:space="0" w:color="auto"/>
              <w:bottom w:val="single" w:sz="4" w:space="0" w:color="auto"/>
              <w:right w:val="single" w:sz="4" w:space="0" w:color="auto"/>
            </w:tcBorders>
            <w:noWrap/>
            <w:vAlign w:val="center"/>
            <w:hideMark/>
          </w:tcPr>
          <w:p w14:paraId="1FBBD09A" w14:textId="3662824E" w:rsidR="00034FE5" w:rsidRPr="003B5B7A" w:rsidRDefault="00766E56" w:rsidP="00F86DC0">
            <w:pPr>
              <w:jc w:val="center"/>
              <w:rPr>
                <w:rFonts w:ascii="Arial Narrow" w:hAnsi="Arial Narrow"/>
                <w:sz w:val="20"/>
              </w:rPr>
            </w:pPr>
            <w:r w:rsidRPr="00766E56">
              <w:rPr>
                <w:b/>
              </w:rPr>
              <w:t>redacted</w:t>
            </w:r>
          </w:p>
        </w:tc>
        <w:tc>
          <w:tcPr>
            <w:tcW w:w="629" w:type="pct"/>
            <w:tcBorders>
              <w:top w:val="single" w:sz="4" w:space="0" w:color="auto"/>
              <w:left w:val="single" w:sz="4" w:space="0" w:color="auto"/>
              <w:bottom w:val="single" w:sz="4" w:space="0" w:color="auto"/>
              <w:right w:val="single" w:sz="4" w:space="0" w:color="auto"/>
            </w:tcBorders>
            <w:noWrap/>
            <w:vAlign w:val="center"/>
            <w:hideMark/>
          </w:tcPr>
          <w:p w14:paraId="033E59D3" w14:textId="7C2DBC9B" w:rsidR="00034FE5" w:rsidRPr="003B5B7A" w:rsidRDefault="00766E56" w:rsidP="00F86DC0">
            <w:pPr>
              <w:jc w:val="center"/>
              <w:rPr>
                <w:rFonts w:ascii="Arial Narrow" w:hAnsi="Arial Narrow"/>
                <w:sz w:val="20"/>
              </w:rPr>
            </w:pPr>
            <w:r w:rsidRPr="00766E56">
              <w:rPr>
                <w:b/>
              </w:rPr>
              <w:t>redacted</w:t>
            </w:r>
          </w:p>
        </w:tc>
        <w:tc>
          <w:tcPr>
            <w:tcW w:w="629" w:type="pct"/>
            <w:tcBorders>
              <w:top w:val="single" w:sz="4" w:space="0" w:color="auto"/>
              <w:left w:val="single" w:sz="4" w:space="0" w:color="auto"/>
              <w:bottom w:val="single" w:sz="4" w:space="0" w:color="auto"/>
              <w:right w:val="single" w:sz="4" w:space="0" w:color="auto"/>
            </w:tcBorders>
            <w:noWrap/>
            <w:vAlign w:val="center"/>
            <w:hideMark/>
          </w:tcPr>
          <w:p w14:paraId="0A0897C5" w14:textId="01A97116" w:rsidR="00034FE5" w:rsidRPr="003B5B7A" w:rsidRDefault="00766E56" w:rsidP="00F86DC0">
            <w:pPr>
              <w:jc w:val="center"/>
              <w:rPr>
                <w:rFonts w:ascii="Arial Narrow" w:hAnsi="Arial Narrow"/>
                <w:sz w:val="20"/>
              </w:rPr>
            </w:pPr>
            <w:r w:rsidRPr="00766E56">
              <w:rPr>
                <w:b/>
              </w:rPr>
              <w:t>redacted</w:t>
            </w:r>
          </w:p>
        </w:tc>
      </w:tr>
      <w:tr w:rsidR="007E4824" w14:paraId="4CE8A5F1" w14:textId="77777777" w:rsidTr="00BA44CC">
        <w:trPr>
          <w:cantSplit/>
          <w:trHeight w:val="170"/>
          <w:tblHeader/>
        </w:trPr>
        <w:tc>
          <w:tcPr>
            <w:tcW w:w="1797" w:type="pct"/>
            <w:tcBorders>
              <w:top w:val="single" w:sz="4" w:space="0" w:color="auto"/>
              <w:left w:val="single" w:sz="4" w:space="0" w:color="auto"/>
              <w:bottom w:val="single" w:sz="4" w:space="0" w:color="auto"/>
              <w:right w:val="single" w:sz="4" w:space="0" w:color="auto"/>
            </w:tcBorders>
            <w:vAlign w:val="center"/>
            <w:hideMark/>
          </w:tcPr>
          <w:p w14:paraId="223F6E32" w14:textId="77777777" w:rsidR="00034FE5" w:rsidRDefault="00034FE5" w:rsidP="00F86DC0">
            <w:pPr>
              <w:tabs>
                <w:tab w:val="left" w:pos="286"/>
              </w:tabs>
              <w:rPr>
                <w:rFonts w:ascii="Arial Narrow" w:hAnsi="Arial Narrow"/>
                <w:sz w:val="20"/>
              </w:rPr>
            </w:pPr>
            <w:r>
              <w:rPr>
                <w:rFonts w:ascii="Arial Narrow" w:hAnsi="Arial Narrow"/>
                <w:sz w:val="20"/>
              </w:rPr>
              <w:tab/>
              <w:t>Node positive</w:t>
            </w:r>
          </w:p>
        </w:tc>
        <w:tc>
          <w:tcPr>
            <w:tcW w:w="687" w:type="pct"/>
            <w:tcBorders>
              <w:top w:val="single" w:sz="4" w:space="0" w:color="auto"/>
              <w:left w:val="single" w:sz="4" w:space="0" w:color="auto"/>
              <w:bottom w:val="single" w:sz="4" w:space="0" w:color="auto"/>
              <w:right w:val="single" w:sz="4" w:space="0" w:color="auto"/>
            </w:tcBorders>
            <w:vAlign w:val="center"/>
            <w:hideMark/>
          </w:tcPr>
          <w:p w14:paraId="767329FD" w14:textId="5C640653" w:rsidR="00034FE5" w:rsidRPr="003B5B7A" w:rsidRDefault="00766E56" w:rsidP="00F86DC0">
            <w:pPr>
              <w:jc w:val="center"/>
              <w:rPr>
                <w:rFonts w:ascii="Arial Narrow" w:hAnsi="Arial Narrow"/>
                <w:sz w:val="20"/>
              </w:rPr>
            </w:pPr>
            <w:r w:rsidRPr="00766E56">
              <w:rPr>
                <w:b/>
              </w:rPr>
              <w:t>redacted</w:t>
            </w:r>
          </w:p>
        </w:tc>
        <w:tc>
          <w:tcPr>
            <w:tcW w:w="629" w:type="pct"/>
            <w:tcBorders>
              <w:top w:val="single" w:sz="4" w:space="0" w:color="auto"/>
              <w:left w:val="single" w:sz="4" w:space="0" w:color="auto"/>
              <w:bottom w:val="single" w:sz="4" w:space="0" w:color="auto"/>
              <w:right w:val="single" w:sz="4" w:space="0" w:color="auto"/>
            </w:tcBorders>
            <w:noWrap/>
            <w:vAlign w:val="center"/>
            <w:hideMark/>
          </w:tcPr>
          <w:p w14:paraId="3B1EC034" w14:textId="045373E0" w:rsidR="00034FE5" w:rsidRPr="003B5B7A" w:rsidRDefault="00766E56" w:rsidP="00F86DC0">
            <w:pPr>
              <w:jc w:val="center"/>
              <w:rPr>
                <w:rFonts w:ascii="Arial Narrow" w:hAnsi="Arial Narrow"/>
                <w:sz w:val="20"/>
              </w:rPr>
            </w:pPr>
            <w:r w:rsidRPr="00766E56">
              <w:rPr>
                <w:b/>
              </w:rPr>
              <w:t>redacted</w:t>
            </w:r>
          </w:p>
        </w:tc>
        <w:tc>
          <w:tcPr>
            <w:tcW w:w="629" w:type="pct"/>
            <w:tcBorders>
              <w:top w:val="single" w:sz="4" w:space="0" w:color="auto"/>
              <w:left w:val="single" w:sz="4" w:space="0" w:color="auto"/>
              <w:bottom w:val="single" w:sz="4" w:space="0" w:color="auto"/>
              <w:right w:val="single" w:sz="4" w:space="0" w:color="auto"/>
            </w:tcBorders>
            <w:noWrap/>
            <w:vAlign w:val="center"/>
            <w:hideMark/>
          </w:tcPr>
          <w:p w14:paraId="25C056F2" w14:textId="10910F87" w:rsidR="00034FE5" w:rsidRPr="003B5B7A" w:rsidRDefault="00766E56" w:rsidP="00F86DC0">
            <w:pPr>
              <w:jc w:val="center"/>
              <w:rPr>
                <w:rFonts w:ascii="Arial Narrow" w:hAnsi="Arial Narrow"/>
                <w:sz w:val="20"/>
              </w:rPr>
            </w:pPr>
            <w:r w:rsidRPr="00766E56">
              <w:rPr>
                <w:b/>
              </w:rPr>
              <w:t>redacted</w:t>
            </w:r>
          </w:p>
        </w:tc>
        <w:tc>
          <w:tcPr>
            <w:tcW w:w="629" w:type="pct"/>
            <w:tcBorders>
              <w:top w:val="single" w:sz="4" w:space="0" w:color="auto"/>
              <w:left w:val="single" w:sz="4" w:space="0" w:color="auto"/>
              <w:bottom w:val="single" w:sz="4" w:space="0" w:color="auto"/>
              <w:right w:val="single" w:sz="4" w:space="0" w:color="auto"/>
            </w:tcBorders>
            <w:noWrap/>
            <w:vAlign w:val="center"/>
            <w:hideMark/>
          </w:tcPr>
          <w:p w14:paraId="5ED44366" w14:textId="280D5588" w:rsidR="00034FE5" w:rsidRPr="003B5B7A" w:rsidRDefault="00766E56" w:rsidP="00F86DC0">
            <w:pPr>
              <w:jc w:val="center"/>
              <w:rPr>
                <w:rFonts w:ascii="Arial Narrow" w:hAnsi="Arial Narrow"/>
                <w:sz w:val="20"/>
              </w:rPr>
            </w:pPr>
            <w:r w:rsidRPr="00766E56">
              <w:rPr>
                <w:b/>
              </w:rPr>
              <w:t>redacted</w:t>
            </w:r>
          </w:p>
        </w:tc>
        <w:tc>
          <w:tcPr>
            <w:tcW w:w="629" w:type="pct"/>
            <w:tcBorders>
              <w:top w:val="single" w:sz="4" w:space="0" w:color="auto"/>
              <w:left w:val="single" w:sz="4" w:space="0" w:color="auto"/>
              <w:bottom w:val="single" w:sz="4" w:space="0" w:color="auto"/>
              <w:right w:val="single" w:sz="4" w:space="0" w:color="auto"/>
            </w:tcBorders>
            <w:noWrap/>
            <w:vAlign w:val="center"/>
            <w:hideMark/>
          </w:tcPr>
          <w:p w14:paraId="102A96D2" w14:textId="229711AF" w:rsidR="00034FE5" w:rsidRPr="003B5B7A" w:rsidRDefault="00766E56" w:rsidP="00F86DC0">
            <w:pPr>
              <w:jc w:val="center"/>
              <w:rPr>
                <w:rFonts w:ascii="Arial Narrow" w:hAnsi="Arial Narrow"/>
                <w:sz w:val="20"/>
              </w:rPr>
            </w:pPr>
            <w:r w:rsidRPr="00766E56">
              <w:rPr>
                <w:b/>
              </w:rPr>
              <w:t>redacted</w:t>
            </w:r>
          </w:p>
        </w:tc>
      </w:tr>
    </w:tbl>
    <w:p w14:paraId="1432FC79" w14:textId="77777777" w:rsidR="00034FE5" w:rsidRPr="00194443" w:rsidRDefault="00034FE5" w:rsidP="00034FE5">
      <w:pPr>
        <w:rPr>
          <w:sz w:val="18"/>
          <w:szCs w:val="18"/>
        </w:rPr>
      </w:pPr>
      <w:r w:rsidRPr="00194443">
        <w:rPr>
          <w:rFonts w:ascii="Arial Narrow" w:hAnsi="Arial Narrow"/>
          <w:sz w:val="18"/>
          <w:szCs w:val="18"/>
        </w:rPr>
        <w:t xml:space="preserve">Source: Table 101, p195 of </w:t>
      </w:r>
      <w:r>
        <w:rPr>
          <w:rFonts w:ascii="Arial Narrow" w:hAnsi="Arial Narrow"/>
          <w:sz w:val="18"/>
          <w:szCs w:val="18"/>
        </w:rPr>
        <w:t>Assessment Report</w:t>
      </w:r>
    </w:p>
    <w:p w14:paraId="030C7358" w14:textId="77777777" w:rsidR="00034FE5" w:rsidRDefault="00034FE5" w:rsidP="00034FE5">
      <w:pPr>
        <w:rPr>
          <w:i/>
        </w:rPr>
      </w:pPr>
    </w:p>
    <w:p w14:paraId="0FB1B217" w14:textId="77777777" w:rsidR="00034FE5" w:rsidRPr="00034FE5" w:rsidRDefault="00034FE5" w:rsidP="00034FE5">
      <w:r w:rsidRPr="00034FE5">
        <w:t xml:space="preserve">ESC considered that uptake of the service appeared to be underestimated in the model and financial impacts </w:t>
      </w:r>
      <w:r w:rsidR="007E4824">
        <w:t>we</w:t>
      </w:r>
      <w:r w:rsidRPr="00034FE5">
        <w:t>re therefore likely to be higher than those estimated. ESC agreed that the proposed patient reimbursement arrangement in the resubmission was unlikely to occur, as the service is expected to be used primarily for inpatients (75% rebate), and the gap would not be capped. This would result in either uncapped out-of-pocket costs to patients or cost shifting to private health insurers.</w:t>
      </w:r>
    </w:p>
    <w:p w14:paraId="2F09DBE6" w14:textId="77777777" w:rsidR="00034FE5" w:rsidRPr="00034FE5" w:rsidRDefault="00034FE5" w:rsidP="00034FE5"/>
    <w:p w14:paraId="2845D23C" w14:textId="77777777" w:rsidR="00034FE5" w:rsidRDefault="00034FE5" w:rsidP="00034FE5">
      <w:pPr>
        <w:rPr>
          <w:i/>
        </w:rPr>
      </w:pPr>
      <w:r w:rsidRPr="00034FE5">
        <w:t>ESC noted estimated financial impacts provided in the critique, which showed that the cost to the government would be heavily influenced by the assumed reduction in PBS costs. The</w:t>
      </w:r>
      <w:r w:rsidRPr="0086782F">
        <w:t xml:space="preserve"> impacts are shown in the table below</w:t>
      </w:r>
    </w:p>
    <w:p w14:paraId="199F0CCF" w14:textId="1B1D8831" w:rsidR="002A50CB" w:rsidRDefault="002A50CB">
      <w:r>
        <w:br w:type="page"/>
      </w:r>
    </w:p>
    <w:p w14:paraId="05BB1FD8" w14:textId="77777777" w:rsidR="00034FE5" w:rsidRPr="002A50CB" w:rsidRDefault="00034FE5" w:rsidP="00034FE5">
      <w:pPr>
        <w:pStyle w:val="Caption"/>
        <w:spacing w:before="0" w:after="0"/>
        <w:ind w:left="0" w:firstLine="0"/>
        <w:rPr>
          <w:szCs w:val="20"/>
        </w:rPr>
      </w:pPr>
      <w:r w:rsidRPr="002A50CB">
        <w:rPr>
          <w:szCs w:val="20"/>
        </w:rPr>
        <w:lastRenderedPageBreak/>
        <w:t>Sensitivity analysis of the estimated net cost to the Commonwealth</w:t>
      </w:r>
    </w:p>
    <w:tbl>
      <w:tblPr>
        <w:tblW w:w="949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18"/>
        <w:gridCol w:w="2268"/>
        <w:gridCol w:w="1134"/>
        <w:gridCol w:w="1134"/>
        <w:gridCol w:w="1134"/>
        <w:gridCol w:w="1134"/>
        <w:gridCol w:w="1276"/>
      </w:tblGrid>
      <w:tr w:rsidR="00034FE5" w:rsidRPr="00034FE5" w14:paraId="4AC8DA48" w14:textId="77777777" w:rsidTr="00BA44CC">
        <w:trPr>
          <w:cantSplit/>
        </w:trPr>
        <w:tc>
          <w:tcPr>
            <w:tcW w:w="1418" w:type="dxa"/>
            <w:tcBorders>
              <w:top w:val="single" w:sz="4" w:space="0" w:color="auto"/>
              <w:left w:val="single" w:sz="4" w:space="0" w:color="auto"/>
              <w:bottom w:val="single" w:sz="4" w:space="0" w:color="auto"/>
              <w:right w:val="single" w:sz="4" w:space="0" w:color="auto"/>
            </w:tcBorders>
            <w:noWrap/>
            <w:vAlign w:val="center"/>
            <w:hideMark/>
          </w:tcPr>
          <w:p w14:paraId="76C14F3F" w14:textId="77777777" w:rsidR="00034FE5" w:rsidRPr="00034FE5" w:rsidRDefault="00034FE5" w:rsidP="00F86DC0">
            <w:pPr>
              <w:pStyle w:val="Tabletextboldleft"/>
            </w:pPr>
            <w:r w:rsidRPr="00034FE5">
              <w:t>EXAMPLE</w:t>
            </w:r>
          </w:p>
        </w:tc>
        <w:tc>
          <w:tcPr>
            <w:tcW w:w="2268" w:type="dxa"/>
            <w:tcBorders>
              <w:top w:val="single" w:sz="4" w:space="0" w:color="auto"/>
              <w:left w:val="single" w:sz="4" w:space="0" w:color="auto"/>
              <w:bottom w:val="single" w:sz="4" w:space="0" w:color="auto"/>
              <w:right w:val="single" w:sz="4" w:space="0" w:color="auto"/>
            </w:tcBorders>
            <w:hideMark/>
          </w:tcPr>
          <w:p w14:paraId="710A2369" w14:textId="77777777" w:rsidR="00034FE5" w:rsidRPr="00034FE5" w:rsidRDefault="00034FE5" w:rsidP="00F86DC0">
            <w:pPr>
              <w:pStyle w:val="Tabletextbold"/>
            </w:pPr>
            <w:r w:rsidRPr="00034FE5">
              <w:t>Estimate</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CFD7958" w14:textId="77777777" w:rsidR="00034FE5" w:rsidRPr="00034FE5" w:rsidRDefault="00034FE5" w:rsidP="00F86DC0">
            <w:pPr>
              <w:jc w:val="center"/>
              <w:rPr>
                <w:rFonts w:ascii="Arial Narrow" w:hAnsi="Arial Narrow"/>
                <w:b/>
                <w:sz w:val="20"/>
              </w:rPr>
            </w:pPr>
            <w:r w:rsidRPr="00034FE5">
              <w:rPr>
                <w:rFonts w:ascii="Arial Narrow" w:hAnsi="Arial Narrow"/>
                <w:b/>
                <w:sz w:val="20"/>
              </w:rPr>
              <w:t>2014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324E4BC" w14:textId="77777777" w:rsidR="00034FE5" w:rsidRPr="00034FE5" w:rsidRDefault="00034FE5" w:rsidP="00F86DC0">
            <w:pPr>
              <w:jc w:val="center"/>
              <w:rPr>
                <w:rFonts w:ascii="Arial Narrow" w:hAnsi="Arial Narrow"/>
                <w:b/>
                <w:sz w:val="20"/>
              </w:rPr>
            </w:pPr>
            <w:r w:rsidRPr="00034FE5">
              <w:rPr>
                <w:rFonts w:ascii="Arial Narrow" w:hAnsi="Arial Narrow"/>
                <w:b/>
                <w:sz w:val="20"/>
              </w:rPr>
              <w:t>Year 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967C9E1" w14:textId="77777777" w:rsidR="00034FE5" w:rsidRPr="00034FE5" w:rsidRDefault="00034FE5" w:rsidP="00F86DC0">
            <w:pPr>
              <w:jc w:val="center"/>
              <w:rPr>
                <w:rFonts w:ascii="Arial Narrow" w:hAnsi="Arial Narrow"/>
                <w:b/>
                <w:sz w:val="20"/>
              </w:rPr>
            </w:pPr>
            <w:r w:rsidRPr="00034FE5">
              <w:rPr>
                <w:rFonts w:ascii="Arial Narrow" w:hAnsi="Arial Narrow"/>
                <w:b/>
                <w:sz w:val="20"/>
              </w:rPr>
              <w:t>Year 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DB87E73" w14:textId="77777777" w:rsidR="00034FE5" w:rsidRPr="00034FE5" w:rsidRDefault="00034FE5" w:rsidP="00F86DC0">
            <w:pPr>
              <w:jc w:val="center"/>
              <w:rPr>
                <w:rFonts w:ascii="Arial Narrow" w:hAnsi="Arial Narrow"/>
                <w:b/>
                <w:sz w:val="20"/>
              </w:rPr>
            </w:pPr>
            <w:r w:rsidRPr="00034FE5">
              <w:rPr>
                <w:rFonts w:ascii="Arial Narrow" w:hAnsi="Arial Narrow"/>
                <w:b/>
                <w:sz w:val="20"/>
              </w:rPr>
              <w:t>Year 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9D7E714" w14:textId="77777777" w:rsidR="00034FE5" w:rsidRPr="00034FE5" w:rsidRDefault="00034FE5" w:rsidP="00F86DC0">
            <w:pPr>
              <w:jc w:val="center"/>
              <w:rPr>
                <w:rFonts w:ascii="Arial Narrow" w:hAnsi="Arial Narrow"/>
                <w:b/>
                <w:sz w:val="20"/>
              </w:rPr>
            </w:pPr>
            <w:r w:rsidRPr="00034FE5">
              <w:rPr>
                <w:rFonts w:ascii="Arial Narrow" w:hAnsi="Arial Narrow"/>
                <w:b/>
                <w:sz w:val="20"/>
              </w:rPr>
              <w:t>Year 5</w:t>
            </w:r>
          </w:p>
        </w:tc>
      </w:tr>
      <w:tr w:rsidR="00034FE5" w:rsidRPr="00034FE5" w14:paraId="7991958F" w14:textId="77777777" w:rsidTr="00BA44CC">
        <w:trPr>
          <w:cantSplit/>
        </w:trPr>
        <w:tc>
          <w:tcPr>
            <w:tcW w:w="1418" w:type="dxa"/>
            <w:tcBorders>
              <w:top w:val="single" w:sz="4" w:space="0" w:color="auto"/>
              <w:left w:val="single" w:sz="4" w:space="0" w:color="auto"/>
              <w:bottom w:val="single" w:sz="4" w:space="0" w:color="auto"/>
              <w:right w:val="single" w:sz="4" w:space="0" w:color="auto"/>
            </w:tcBorders>
            <w:noWrap/>
            <w:vAlign w:val="bottom"/>
            <w:hideMark/>
          </w:tcPr>
          <w:p w14:paraId="166AEB34" w14:textId="77777777" w:rsidR="00034FE5" w:rsidRPr="00034FE5" w:rsidRDefault="00A06E3E" w:rsidP="00F86DC0">
            <w:pPr>
              <w:pStyle w:val="Tabletextboldleft"/>
              <w:rPr>
                <w:rFonts w:eastAsia="Arial Unicode MS"/>
              </w:rPr>
            </w:pPr>
            <w:r>
              <w:rPr>
                <w:rFonts w:eastAsia="Arial Unicode MS"/>
              </w:rPr>
              <w:t>Overall net cost</w:t>
            </w:r>
          </w:p>
        </w:tc>
        <w:tc>
          <w:tcPr>
            <w:tcW w:w="2268" w:type="dxa"/>
            <w:tcBorders>
              <w:top w:val="single" w:sz="4" w:space="0" w:color="auto"/>
              <w:left w:val="single" w:sz="4" w:space="0" w:color="auto"/>
              <w:bottom w:val="single" w:sz="4" w:space="0" w:color="auto"/>
              <w:right w:val="single" w:sz="4" w:space="0" w:color="auto"/>
            </w:tcBorders>
            <w:vAlign w:val="center"/>
          </w:tcPr>
          <w:p w14:paraId="1ECDE4B6" w14:textId="77777777" w:rsidR="00034FE5" w:rsidRPr="00034FE5" w:rsidRDefault="00034FE5" w:rsidP="00A06E3E">
            <w:pPr>
              <w:rPr>
                <w:rFonts w:ascii="Arial Narrow" w:hAnsi="Arial Narrow"/>
                <w:b/>
                <w:sz w:val="20"/>
              </w:rPr>
            </w:pPr>
            <w:r w:rsidRPr="00034FE5">
              <w:rPr>
                <w:rFonts w:ascii="Arial Narrow" w:eastAsia="Arial Unicode MS" w:hAnsi="Arial Narrow"/>
                <w:b/>
                <w:sz w:val="20"/>
              </w:rPr>
              <w:t>Base case</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BCBE425" w14:textId="188E20CC" w:rsidR="00034FE5" w:rsidRPr="00034FE5" w:rsidRDefault="00034FE5" w:rsidP="00F86DC0">
            <w:pPr>
              <w:jc w:val="center"/>
              <w:rPr>
                <w:rFonts w:ascii="Arial Narrow" w:hAnsi="Arial Narrow"/>
                <w:b/>
                <w:sz w:val="20"/>
              </w:rPr>
            </w:pPr>
            <w:r w:rsidRPr="00034FE5">
              <w:rPr>
                <w:rFonts w:ascii="Arial Narrow" w:hAnsi="Arial Narrow"/>
                <w:b/>
                <w:sz w:val="20"/>
              </w:rPr>
              <w:t>$</w:t>
            </w:r>
            <w:r w:rsidR="00556B43" w:rsidRPr="00766E56">
              <w:rPr>
                <w:b/>
              </w:rPr>
              <w:t xml:space="preserve"> redacted</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7FC4AF7" w14:textId="1F8CEAC2" w:rsidR="00034FE5" w:rsidRPr="00034FE5" w:rsidRDefault="00034FE5" w:rsidP="00F86DC0">
            <w:pPr>
              <w:jc w:val="center"/>
              <w:rPr>
                <w:rFonts w:ascii="Arial Narrow" w:hAnsi="Arial Narrow"/>
                <w:b/>
                <w:sz w:val="20"/>
              </w:rPr>
            </w:pPr>
            <w:r w:rsidRPr="00034FE5">
              <w:rPr>
                <w:rFonts w:ascii="Arial Narrow" w:hAnsi="Arial Narrow"/>
                <w:b/>
                <w:sz w:val="20"/>
              </w:rPr>
              <w:t>$</w:t>
            </w:r>
            <w:r w:rsidR="00556B43" w:rsidRPr="00766E56">
              <w:rPr>
                <w:b/>
              </w:rPr>
              <w:t xml:space="preserve"> redacted</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4D4B24E" w14:textId="7C16D43D" w:rsidR="00034FE5" w:rsidRPr="00034FE5" w:rsidRDefault="00034FE5" w:rsidP="00F86DC0">
            <w:pPr>
              <w:jc w:val="center"/>
              <w:rPr>
                <w:rFonts w:ascii="Arial Narrow" w:hAnsi="Arial Narrow"/>
                <w:b/>
                <w:sz w:val="20"/>
              </w:rPr>
            </w:pPr>
            <w:r w:rsidRPr="00034FE5">
              <w:rPr>
                <w:rFonts w:ascii="Arial Narrow" w:hAnsi="Arial Narrow"/>
                <w:b/>
                <w:sz w:val="20"/>
              </w:rPr>
              <w:t>$</w:t>
            </w:r>
            <w:r w:rsidR="00556B43" w:rsidRPr="00766E56">
              <w:rPr>
                <w:b/>
              </w:rPr>
              <w:t xml:space="preserve"> redacted</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EC94C9A" w14:textId="12D9181B" w:rsidR="00034FE5" w:rsidRPr="00034FE5" w:rsidRDefault="00034FE5" w:rsidP="00F86DC0">
            <w:pPr>
              <w:jc w:val="center"/>
              <w:rPr>
                <w:rFonts w:ascii="Arial Narrow" w:hAnsi="Arial Narrow"/>
                <w:b/>
                <w:sz w:val="20"/>
              </w:rPr>
            </w:pPr>
            <w:r w:rsidRPr="00034FE5">
              <w:rPr>
                <w:rFonts w:ascii="Arial Narrow" w:hAnsi="Arial Narrow"/>
                <w:b/>
                <w:sz w:val="20"/>
              </w:rPr>
              <w:t>$</w:t>
            </w:r>
            <w:r w:rsidR="00556B43" w:rsidRPr="00766E56">
              <w:rPr>
                <w:b/>
              </w:rPr>
              <w:t xml:space="preserve"> redacted</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B8C89DD" w14:textId="2D7E8586" w:rsidR="00034FE5" w:rsidRPr="00034FE5" w:rsidRDefault="00034FE5" w:rsidP="00F86DC0">
            <w:pPr>
              <w:jc w:val="center"/>
              <w:rPr>
                <w:rFonts w:ascii="Arial Narrow" w:hAnsi="Arial Narrow"/>
                <w:b/>
                <w:sz w:val="20"/>
              </w:rPr>
            </w:pPr>
            <w:r w:rsidRPr="00034FE5">
              <w:rPr>
                <w:rFonts w:ascii="Arial Narrow" w:hAnsi="Arial Narrow"/>
                <w:b/>
                <w:sz w:val="20"/>
              </w:rPr>
              <w:t>$</w:t>
            </w:r>
            <w:r w:rsidR="00556B43" w:rsidRPr="00766E56">
              <w:rPr>
                <w:b/>
              </w:rPr>
              <w:t xml:space="preserve"> redacted</w:t>
            </w:r>
          </w:p>
        </w:tc>
      </w:tr>
      <w:tr w:rsidR="00034FE5" w:rsidRPr="00034FE5" w14:paraId="30F5409B" w14:textId="77777777" w:rsidTr="00BA44CC">
        <w:trPr>
          <w:cantSplit/>
        </w:trPr>
        <w:tc>
          <w:tcPr>
            <w:tcW w:w="1418" w:type="dxa"/>
            <w:tcBorders>
              <w:top w:val="single" w:sz="4" w:space="0" w:color="auto"/>
              <w:left w:val="single" w:sz="4" w:space="0" w:color="auto"/>
              <w:bottom w:val="single" w:sz="4" w:space="0" w:color="auto"/>
              <w:right w:val="single" w:sz="4" w:space="0" w:color="auto"/>
            </w:tcBorders>
            <w:noWrap/>
            <w:vAlign w:val="center"/>
            <w:hideMark/>
          </w:tcPr>
          <w:p w14:paraId="61238A94" w14:textId="77777777" w:rsidR="00034FE5" w:rsidRPr="00034FE5" w:rsidRDefault="00A06E3E" w:rsidP="00F86DC0">
            <w:pPr>
              <w:pStyle w:val="Tabletext"/>
              <w:spacing w:before="0" w:after="0"/>
            </w:pPr>
            <w:r>
              <w:t>Increased patient uptake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B8844E1" w14:textId="77777777" w:rsidR="00034FE5" w:rsidRPr="00034FE5" w:rsidRDefault="00034FE5" w:rsidP="00F86DC0">
            <w:pPr>
              <w:rPr>
                <w:rFonts w:ascii="Arial Narrow" w:hAnsi="Arial Narrow"/>
                <w:sz w:val="20"/>
              </w:rPr>
            </w:pPr>
            <w:r w:rsidRPr="00034FE5">
              <w:rPr>
                <w:rFonts w:ascii="Arial Narrow" w:hAnsi="Arial Narrow"/>
                <w:sz w:val="20"/>
              </w:rPr>
              <w:t>Assuming 10% additional uptake each year in node- and node+ patients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5C741E8" w14:textId="69D5249E" w:rsidR="00034FE5" w:rsidRPr="00034FE5" w:rsidRDefault="00034FE5" w:rsidP="00F86DC0">
            <w:pPr>
              <w:jc w:val="center"/>
              <w:rPr>
                <w:rFonts w:ascii="Arial Narrow" w:hAnsi="Arial Narrow"/>
                <w:sz w:val="20"/>
              </w:rPr>
            </w:pPr>
            <w:r w:rsidRPr="00034FE5">
              <w:rPr>
                <w:rFonts w:ascii="Arial Narrow" w:hAnsi="Arial Narrow"/>
                <w:sz w:val="20"/>
              </w:rPr>
              <w:t>$</w:t>
            </w:r>
            <w:r w:rsidR="00556B43" w:rsidRPr="00766E56">
              <w:rPr>
                <w:b/>
              </w:rPr>
              <w:t xml:space="preserve"> redacted</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83836C6" w14:textId="30EAB16B" w:rsidR="00034FE5" w:rsidRPr="00034FE5" w:rsidRDefault="00034FE5" w:rsidP="00F86DC0">
            <w:pPr>
              <w:jc w:val="center"/>
              <w:rPr>
                <w:rFonts w:ascii="Arial Narrow" w:hAnsi="Arial Narrow"/>
                <w:sz w:val="20"/>
              </w:rPr>
            </w:pPr>
            <w:r w:rsidRPr="00034FE5">
              <w:rPr>
                <w:rFonts w:ascii="Arial Narrow" w:hAnsi="Arial Narrow"/>
                <w:sz w:val="20"/>
              </w:rPr>
              <w:t>$</w:t>
            </w:r>
            <w:r w:rsidR="00556B43" w:rsidRPr="00766E56">
              <w:rPr>
                <w:b/>
              </w:rPr>
              <w:t xml:space="preserve"> redacted</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F9A2D6F" w14:textId="36A51E8D" w:rsidR="00034FE5" w:rsidRPr="00034FE5" w:rsidRDefault="00034FE5" w:rsidP="00F86DC0">
            <w:pPr>
              <w:jc w:val="center"/>
              <w:rPr>
                <w:rFonts w:ascii="Arial Narrow" w:hAnsi="Arial Narrow"/>
                <w:sz w:val="20"/>
              </w:rPr>
            </w:pPr>
            <w:r w:rsidRPr="00034FE5">
              <w:rPr>
                <w:rFonts w:ascii="Arial Narrow" w:hAnsi="Arial Narrow"/>
                <w:sz w:val="20"/>
              </w:rPr>
              <w:t>$</w:t>
            </w:r>
            <w:r w:rsidR="00556B43" w:rsidRPr="00766E56">
              <w:rPr>
                <w:b/>
              </w:rPr>
              <w:t xml:space="preserve"> redacted</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8CDDD8E" w14:textId="7791E867" w:rsidR="00034FE5" w:rsidRPr="00034FE5" w:rsidRDefault="00034FE5" w:rsidP="00F86DC0">
            <w:pPr>
              <w:jc w:val="center"/>
              <w:rPr>
                <w:rFonts w:ascii="Arial Narrow" w:hAnsi="Arial Narrow"/>
                <w:sz w:val="20"/>
              </w:rPr>
            </w:pPr>
            <w:r w:rsidRPr="00034FE5">
              <w:rPr>
                <w:rFonts w:ascii="Arial Narrow" w:hAnsi="Arial Narrow"/>
                <w:sz w:val="20"/>
              </w:rPr>
              <w:t>$</w:t>
            </w:r>
            <w:r w:rsidR="00556B43" w:rsidRPr="00766E56">
              <w:rPr>
                <w:b/>
              </w:rPr>
              <w:t xml:space="preserve"> redacted</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CB96F72" w14:textId="338DA7D0" w:rsidR="00034FE5" w:rsidRPr="00034FE5" w:rsidRDefault="00034FE5" w:rsidP="00F86DC0">
            <w:pPr>
              <w:jc w:val="center"/>
              <w:rPr>
                <w:rFonts w:ascii="Arial Narrow" w:hAnsi="Arial Narrow"/>
                <w:sz w:val="20"/>
              </w:rPr>
            </w:pPr>
            <w:r w:rsidRPr="00034FE5">
              <w:rPr>
                <w:rFonts w:ascii="Arial Narrow" w:hAnsi="Arial Narrow"/>
                <w:sz w:val="20"/>
              </w:rPr>
              <w:t>$</w:t>
            </w:r>
            <w:r w:rsidR="00556B43" w:rsidRPr="00766E56">
              <w:rPr>
                <w:b/>
              </w:rPr>
              <w:t xml:space="preserve"> redacted</w:t>
            </w:r>
          </w:p>
        </w:tc>
      </w:tr>
      <w:tr w:rsidR="00034FE5" w:rsidRPr="00034FE5" w14:paraId="77CD87BF" w14:textId="77777777" w:rsidTr="00BA44CC">
        <w:trPr>
          <w:cantSplit/>
        </w:trPr>
        <w:tc>
          <w:tcPr>
            <w:tcW w:w="1418" w:type="dxa"/>
            <w:tcBorders>
              <w:top w:val="single" w:sz="4" w:space="0" w:color="auto"/>
              <w:left w:val="single" w:sz="4" w:space="0" w:color="auto"/>
              <w:bottom w:val="single" w:sz="4" w:space="0" w:color="auto"/>
              <w:right w:val="single" w:sz="4" w:space="0" w:color="auto"/>
            </w:tcBorders>
            <w:noWrap/>
            <w:vAlign w:val="center"/>
            <w:hideMark/>
          </w:tcPr>
          <w:p w14:paraId="4BBC4C21" w14:textId="77777777" w:rsidR="00034FE5" w:rsidRPr="00034FE5" w:rsidRDefault="00034FE5" w:rsidP="00F86DC0">
            <w:pPr>
              <w:pStyle w:val="Tabletext"/>
              <w:spacing w:before="0" w:after="0"/>
            </w:pPr>
            <w:r w:rsidRPr="00034FE5">
              <w:t>Assuming 100% patient uptake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1C17551" w14:textId="77777777" w:rsidR="00034FE5" w:rsidRPr="00034FE5" w:rsidRDefault="00034FE5" w:rsidP="00F86DC0">
            <w:pPr>
              <w:rPr>
                <w:rFonts w:ascii="Arial Narrow" w:hAnsi="Arial Narrow"/>
                <w:sz w:val="20"/>
              </w:rPr>
            </w:pPr>
            <w:r w:rsidRPr="00034FE5">
              <w:rPr>
                <w:rFonts w:ascii="Arial Narrow" w:hAnsi="Arial Narrow"/>
                <w:sz w:val="20"/>
              </w:rPr>
              <w:t>Assuming 100% patient uptake</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5BE6A69" w14:textId="5C6B9BB8" w:rsidR="00034FE5" w:rsidRPr="00034FE5" w:rsidRDefault="00034FE5" w:rsidP="00F86DC0">
            <w:pPr>
              <w:jc w:val="center"/>
              <w:rPr>
                <w:rFonts w:ascii="Arial Narrow" w:hAnsi="Arial Narrow"/>
                <w:sz w:val="20"/>
              </w:rPr>
            </w:pPr>
            <w:r w:rsidRPr="00034FE5">
              <w:rPr>
                <w:rFonts w:ascii="Arial Narrow" w:hAnsi="Arial Narrow"/>
                <w:sz w:val="20"/>
              </w:rPr>
              <w:t>$</w:t>
            </w:r>
            <w:r w:rsidR="00556B43" w:rsidRPr="00766E56">
              <w:rPr>
                <w:b/>
              </w:rPr>
              <w:t xml:space="preserve"> redacted</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5050AA6" w14:textId="2741D4C9" w:rsidR="00034FE5" w:rsidRPr="00034FE5" w:rsidRDefault="00034FE5" w:rsidP="00F86DC0">
            <w:pPr>
              <w:jc w:val="center"/>
              <w:rPr>
                <w:rFonts w:ascii="Arial Narrow" w:hAnsi="Arial Narrow"/>
                <w:sz w:val="20"/>
              </w:rPr>
            </w:pPr>
            <w:r w:rsidRPr="00034FE5">
              <w:rPr>
                <w:rFonts w:ascii="Arial Narrow" w:hAnsi="Arial Narrow"/>
                <w:sz w:val="20"/>
              </w:rPr>
              <w:t>$</w:t>
            </w:r>
            <w:r w:rsidR="00556B43" w:rsidRPr="00766E56">
              <w:rPr>
                <w:b/>
              </w:rPr>
              <w:t xml:space="preserve"> redacted</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D76473E" w14:textId="238CEEED" w:rsidR="00034FE5" w:rsidRPr="00034FE5" w:rsidRDefault="00034FE5" w:rsidP="00F86DC0">
            <w:pPr>
              <w:jc w:val="center"/>
              <w:rPr>
                <w:rFonts w:ascii="Arial Narrow" w:hAnsi="Arial Narrow"/>
                <w:sz w:val="20"/>
              </w:rPr>
            </w:pPr>
            <w:r w:rsidRPr="00034FE5">
              <w:rPr>
                <w:rFonts w:ascii="Arial Narrow" w:hAnsi="Arial Narrow"/>
                <w:sz w:val="20"/>
              </w:rPr>
              <w:t>$</w:t>
            </w:r>
            <w:r w:rsidR="00556B43" w:rsidRPr="00766E56">
              <w:rPr>
                <w:b/>
              </w:rPr>
              <w:t xml:space="preserve"> redacted</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D97CD32" w14:textId="70B6ADA5" w:rsidR="00034FE5" w:rsidRPr="00034FE5" w:rsidRDefault="00034FE5" w:rsidP="00F86DC0">
            <w:pPr>
              <w:jc w:val="center"/>
              <w:rPr>
                <w:rFonts w:ascii="Arial Narrow" w:hAnsi="Arial Narrow"/>
                <w:sz w:val="20"/>
              </w:rPr>
            </w:pPr>
            <w:r w:rsidRPr="00034FE5">
              <w:rPr>
                <w:rFonts w:ascii="Arial Narrow" w:hAnsi="Arial Narrow"/>
                <w:sz w:val="20"/>
              </w:rPr>
              <w:t>$</w:t>
            </w:r>
            <w:r w:rsidR="00556B43" w:rsidRPr="00766E56">
              <w:rPr>
                <w:b/>
              </w:rPr>
              <w:t xml:space="preserve"> redacted</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3A7CF6F" w14:textId="2B3091F2" w:rsidR="00034FE5" w:rsidRPr="00034FE5" w:rsidRDefault="00034FE5" w:rsidP="00F86DC0">
            <w:pPr>
              <w:jc w:val="center"/>
              <w:rPr>
                <w:rFonts w:ascii="Arial Narrow" w:hAnsi="Arial Narrow"/>
                <w:sz w:val="20"/>
              </w:rPr>
            </w:pPr>
            <w:r w:rsidRPr="00034FE5">
              <w:rPr>
                <w:rFonts w:ascii="Arial Narrow" w:hAnsi="Arial Narrow"/>
                <w:sz w:val="20"/>
              </w:rPr>
              <w:t>$</w:t>
            </w:r>
            <w:r w:rsidR="00556B43" w:rsidRPr="00766E56">
              <w:rPr>
                <w:b/>
              </w:rPr>
              <w:t xml:space="preserve"> redacted</w:t>
            </w:r>
          </w:p>
        </w:tc>
      </w:tr>
      <w:tr w:rsidR="00034FE5" w:rsidRPr="00034FE5" w14:paraId="307DEE46" w14:textId="77777777" w:rsidTr="00BA44CC">
        <w:trPr>
          <w:cantSplit/>
          <w:trHeight w:val="190"/>
        </w:trPr>
        <w:tc>
          <w:tcPr>
            <w:tcW w:w="1418" w:type="dxa"/>
            <w:vMerge w:val="restart"/>
            <w:tcBorders>
              <w:top w:val="single" w:sz="4" w:space="0" w:color="auto"/>
              <w:left w:val="single" w:sz="4" w:space="0" w:color="auto"/>
              <w:right w:val="single" w:sz="4" w:space="0" w:color="auto"/>
            </w:tcBorders>
            <w:noWrap/>
            <w:vAlign w:val="center"/>
          </w:tcPr>
          <w:p w14:paraId="22DDB3F5" w14:textId="77777777" w:rsidR="00034FE5" w:rsidRPr="00034FE5" w:rsidRDefault="00034FE5" w:rsidP="00F86DC0">
            <w:pPr>
              <w:pStyle w:val="Tabletext"/>
              <w:spacing w:before="0" w:after="0"/>
            </w:pPr>
            <w:r w:rsidRPr="00034FE5">
              <w:t>Reduce PBS savings</w:t>
            </w:r>
          </w:p>
        </w:tc>
        <w:tc>
          <w:tcPr>
            <w:tcW w:w="2268" w:type="dxa"/>
            <w:tcBorders>
              <w:top w:val="single" w:sz="4" w:space="0" w:color="auto"/>
              <w:left w:val="single" w:sz="4" w:space="0" w:color="auto"/>
              <w:bottom w:val="single" w:sz="4" w:space="0" w:color="auto"/>
              <w:right w:val="single" w:sz="4" w:space="0" w:color="auto"/>
            </w:tcBorders>
            <w:vAlign w:val="center"/>
          </w:tcPr>
          <w:p w14:paraId="2E4D845D" w14:textId="77777777" w:rsidR="00034FE5" w:rsidRPr="00034FE5" w:rsidRDefault="00034FE5" w:rsidP="00F86DC0">
            <w:pPr>
              <w:rPr>
                <w:rFonts w:ascii="Arial Narrow" w:hAnsi="Arial Narrow"/>
                <w:sz w:val="20"/>
              </w:rPr>
            </w:pPr>
            <w:r w:rsidRPr="00034FE5">
              <w:rPr>
                <w:rFonts w:ascii="Arial Narrow" w:hAnsi="Arial Narrow"/>
                <w:sz w:val="20"/>
              </w:rPr>
              <w:t>Reduce PBS savings by 25%</w:t>
            </w:r>
          </w:p>
        </w:tc>
        <w:tc>
          <w:tcPr>
            <w:tcW w:w="1134" w:type="dxa"/>
            <w:tcBorders>
              <w:top w:val="single" w:sz="4" w:space="0" w:color="auto"/>
              <w:left w:val="single" w:sz="4" w:space="0" w:color="auto"/>
              <w:bottom w:val="single" w:sz="4" w:space="0" w:color="auto"/>
              <w:right w:val="single" w:sz="4" w:space="0" w:color="auto"/>
            </w:tcBorders>
            <w:noWrap/>
            <w:vAlign w:val="center"/>
          </w:tcPr>
          <w:p w14:paraId="6EDBACC3" w14:textId="015BC643" w:rsidR="00034FE5" w:rsidRPr="00034FE5" w:rsidRDefault="00034FE5" w:rsidP="00F86DC0">
            <w:pPr>
              <w:jc w:val="center"/>
              <w:rPr>
                <w:rFonts w:ascii="Arial Narrow" w:hAnsi="Arial Narrow"/>
                <w:sz w:val="20"/>
              </w:rPr>
            </w:pPr>
            <w:r w:rsidRPr="00034FE5">
              <w:rPr>
                <w:rFonts w:ascii="Arial Narrow" w:hAnsi="Arial Narrow"/>
                <w:sz w:val="20"/>
              </w:rPr>
              <w:t>$</w:t>
            </w:r>
            <w:r w:rsidR="00556B43" w:rsidRPr="00766E56">
              <w:rPr>
                <w:b/>
              </w:rPr>
              <w:t xml:space="preserve"> redacted</w:t>
            </w:r>
          </w:p>
        </w:tc>
        <w:tc>
          <w:tcPr>
            <w:tcW w:w="1134" w:type="dxa"/>
            <w:tcBorders>
              <w:top w:val="single" w:sz="4" w:space="0" w:color="auto"/>
              <w:left w:val="single" w:sz="4" w:space="0" w:color="auto"/>
              <w:bottom w:val="single" w:sz="4" w:space="0" w:color="auto"/>
              <w:right w:val="single" w:sz="4" w:space="0" w:color="auto"/>
            </w:tcBorders>
            <w:noWrap/>
            <w:vAlign w:val="center"/>
          </w:tcPr>
          <w:p w14:paraId="7C7FB1E4" w14:textId="38D1A78C" w:rsidR="00034FE5" w:rsidRPr="00034FE5" w:rsidRDefault="00034FE5" w:rsidP="00F86DC0">
            <w:pPr>
              <w:jc w:val="center"/>
              <w:rPr>
                <w:rFonts w:ascii="Arial Narrow" w:hAnsi="Arial Narrow"/>
                <w:sz w:val="20"/>
              </w:rPr>
            </w:pPr>
            <w:r w:rsidRPr="00034FE5">
              <w:rPr>
                <w:rFonts w:ascii="Arial Narrow" w:hAnsi="Arial Narrow"/>
                <w:sz w:val="20"/>
              </w:rPr>
              <w:t>$</w:t>
            </w:r>
            <w:r w:rsidR="00556B43" w:rsidRPr="00766E56">
              <w:rPr>
                <w:b/>
              </w:rPr>
              <w:t xml:space="preserve"> redacted</w:t>
            </w:r>
          </w:p>
        </w:tc>
        <w:tc>
          <w:tcPr>
            <w:tcW w:w="1134" w:type="dxa"/>
            <w:tcBorders>
              <w:top w:val="single" w:sz="4" w:space="0" w:color="auto"/>
              <w:left w:val="single" w:sz="4" w:space="0" w:color="auto"/>
              <w:bottom w:val="single" w:sz="4" w:space="0" w:color="auto"/>
              <w:right w:val="single" w:sz="4" w:space="0" w:color="auto"/>
            </w:tcBorders>
            <w:noWrap/>
            <w:vAlign w:val="center"/>
          </w:tcPr>
          <w:p w14:paraId="49D87E2D" w14:textId="5E1569F8" w:rsidR="00034FE5" w:rsidRPr="00034FE5" w:rsidRDefault="00034FE5" w:rsidP="00F86DC0">
            <w:pPr>
              <w:jc w:val="center"/>
              <w:rPr>
                <w:rFonts w:ascii="Arial Narrow" w:hAnsi="Arial Narrow"/>
                <w:sz w:val="20"/>
              </w:rPr>
            </w:pPr>
            <w:r w:rsidRPr="00034FE5">
              <w:rPr>
                <w:rFonts w:ascii="Arial Narrow" w:hAnsi="Arial Narrow"/>
                <w:sz w:val="20"/>
              </w:rPr>
              <w:t>$</w:t>
            </w:r>
            <w:r w:rsidR="00556B43" w:rsidRPr="00766E56">
              <w:rPr>
                <w:b/>
              </w:rPr>
              <w:t xml:space="preserve"> redacted</w:t>
            </w:r>
          </w:p>
        </w:tc>
        <w:tc>
          <w:tcPr>
            <w:tcW w:w="1134" w:type="dxa"/>
            <w:tcBorders>
              <w:top w:val="single" w:sz="4" w:space="0" w:color="auto"/>
              <w:left w:val="single" w:sz="4" w:space="0" w:color="auto"/>
              <w:bottom w:val="single" w:sz="4" w:space="0" w:color="auto"/>
              <w:right w:val="single" w:sz="4" w:space="0" w:color="auto"/>
            </w:tcBorders>
            <w:noWrap/>
            <w:vAlign w:val="center"/>
          </w:tcPr>
          <w:p w14:paraId="116D520D" w14:textId="768F38AA" w:rsidR="00034FE5" w:rsidRPr="00034FE5" w:rsidRDefault="00034FE5" w:rsidP="00F86DC0">
            <w:pPr>
              <w:jc w:val="center"/>
              <w:rPr>
                <w:rFonts w:ascii="Arial Narrow" w:hAnsi="Arial Narrow"/>
                <w:sz w:val="20"/>
              </w:rPr>
            </w:pPr>
            <w:r w:rsidRPr="00034FE5">
              <w:rPr>
                <w:rFonts w:ascii="Arial Narrow" w:hAnsi="Arial Narrow"/>
                <w:sz w:val="20"/>
              </w:rPr>
              <w:t>$</w:t>
            </w:r>
            <w:r w:rsidR="00556B43" w:rsidRPr="00766E56">
              <w:rPr>
                <w:b/>
              </w:rPr>
              <w:t xml:space="preserve"> redacted</w:t>
            </w:r>
          </w:p>
        </w:tc>
        <w:tc>
          <w:tcPr>
            <w:tcW w:w="1276" w:type="dxa"/>
            <w:tcBorders>
              <w:top w:val="single" w:sz="4" w:space="0" w:color="auto"/>
              <w:left w:val="single" w:sz="4" w:space="0" w:color="auto"/>
              <w:bottom w:val="single" w:sz="4" w:space="0" w:color="auto"/>
              <w:right w:val="single" w:sz="4" w:space="0" w:color="auto"/>
            </w:tcBorders>
            <w:noWrap/>
            <w:vAlign w:val="center"/>
          </w:tcPr>
          <w:p w14:paraId="29F17E10" w14:textId="6F7DCF56" w:rsidR="00034FE5" w:rsidRPr="00034FE5" w:rsidRDefault="00034FE5" w:rsidP="00F86DC0">
            <w:pPr>
              <w:jc w:val="center"/>
              <w:rPr>
                <w:rFonts w:ascii="Arial Narrow" w:hAnsi="Arial Narrow"/>
                <w:sz w:val="20"/>
              </w:rPr>
            </w:pPr>
            <w:r w:rsidRPr="00034FE5">
              <w:rPr>
                <w:rFonts w:ascii="Arial Narrow" w:hAnsi="Arial Narrow"/>
                <w:sz w:val="20"/>
              </w:rPr>
              <w:t>$</w:t>
            </w:r>
            <w:r w:rsidR="00556B43" w:rsidRPr="00766E56">
              <w:rPr>
                <w:b/>
              </w:rPr>
              <w:t xml:space="preserve"> redacted</w:t>
            </w:r>
          </w:p>
        </w:tc>
      </w:tr>
      <w:tr w:rsidR="00034FE5" w:rsidRPr="00034FE5" w14:paraId="40E82988" w14:textId="77777777" w:rsidTr="00BA44CC">
        <w:trPr>
          <w:cantSplit/>
          <w:trHeight w:val="236"/>
        </w:trPr>
        <w:tc>
          <w:tcPr>
            <w:tcW w:w="1418" w:type="dxa"/>
            <w:vMerge/>
            <w:tcBorders>
              <w:left w:val="single" w:sz="4" w:space="0" w:color="auto"/>
              <w:right w:val="single" w:sz="4" w:space="0" w:color="auto"/>
            </w:tcBorders>
            <w:noWrap/>
            <w:vAlign w:val="center"/>
          </w:tcPr>
          <w:p w14:paraId="6A2AD1B0" w14:textId="77777777" w:rsidR="00034FE5" w:rsidRPr="00034FE5" w:rsidRDefault="00034FE5" w:rsidP="00F86DC0">
            <w:pPr>
              <w:pStyle w:val="Tabletext"/>
              <w:spacing w:before="0" w:after="0"/>
            </w:pPr>
          </w:p>
        </w:tc>
        <w:tc>
          <w:tcPr>
            <w:tcW w:w="2268" w:type="dxa"/>
            <w:tcBorders>
              <w:top w:val="single" w:sz="4" w:space="0" w:color="auto"/>
              <w:left w:val="single" w:sz="4" w:space="0" w:color="auto"/>
              <w:bottom w:val="single" w:sz="4" w:space="0" w:color="auto"/>
              <w:right w:val="single" w:sz="4" w:space="0" w:color="auto"/>
            </w:tcBorders>
            <w:vAlign w:val="center"/>
          </w:tcPr>
          <w:p w14:paraId="07BB3A1D" w14:textId="77777777" w:rsidR="00034FE5" w:rsidRPr="00034FE5" w:rsidRDefault="00034FE5" w:rsidP="00F86DC0">
            <w:pPr>
              <w:rPr>
                <w:rFonts w:ascii="Arial Narrow" w:hAnsi="Arial Narrow"/>
                <w:sz w:val="20"/>
              </w:rPr>
            </w:pPr>
            <w:r w:rsidRPr="00034FE5">
              <w:rPr>
                <w:rFonts w:ascii="Arial Narrow" w:hAnsi="Arial Narrow"/>
                <w:sz w:val="20"/>
              </w:rPr>
              <w:t>Reduce PBS savings by 50%</w:t>
            </w:r>
          </w:p>
        </w:tc>
        <w:tc>
          <w:tcPr>
            <w:tcW w:w="1134" w:type="dxa"/>
            <w:tcBorders>
              <w:top w:val="single" w:sz="4" w:space="0" w:color="auto"/>
              <w:left w:val="single" w:sz="4" w:space="0" w:color="auto"/>
              <w:bottom w:val="single" w:sz="4" w:space="0" w:color="auto"/>
              <w:right w:val="single" w:sz="4" w:space="0" w:color="auto"/>
            </w:tcBorders>
            <w:noWrap/>
            <w:vAlign w:val="center"/>
          </w:tcPr>
          <w:p w14:paraId="34B1109A" w14:textId="48880091" w:rsidR="00034FE5" w:rsidRPr="00034FE5" w:rsidRDefault="00034FE5" w:rsidP="00F86DC0">
            <w:pPr>
              <w:jc w:val="center"/>
              <w:rPr>
                <w:rFonts w:ascii="Arial Narrow" w:hAnsi="Arial Narrow"/>
                <w:sz w:val="20"/>
              </w:rPr>
            </w:pPr>
            <w:r w:rsidRPr="00034FE5">
              <w:rPr>
                <w:rFonts w:ascii="Arial Narrow" w:hAnsi="Arial Narrow"/>
                <w:sz w:val="20"/>
              </w:rPr>
              <w:t>$</w:t>
            </w:r>
            <w:r w:rsidR="00556B43" w:rsidRPr="00766E56">
              <w:rPr>
                <w:b/>
              </w:rPr>
              <w:t xml:space="preserve"> redacted</w:t>
            </w:r>
          </w:p>
        </w:tc>
        <w:tc>
          <w:tcPr>
            <w:tcW w:w="1134" w:type="dxa"/>
            <w:tcBorders>
              <w:top w:val="single" w:sz="4" w:space="0" w:color="auto"/>
              <w:left w:val="single" w:sz="4" w:space="0" w:color="auto"/>
              <w:bottom w:val="single" w:sz="4" w:space="0" w:color="auto"/>
              <w:right w:val="single" w:sz="4" w:space="0" w:color="auto"/>
            </w:tcBorders>
            <w:noWrap/>
            <w:vAlign w:val="center"/>
          </w:tcPr>
          <w:p w14:paraId="07D6A1EA" w14:textId="248A8AED" w:rsidR="00034FE5" w:rsidRPr="00034FE5" w:rsidRDefault="00034FE5" w:rsidP="00F86DC0">
            <w:pPr>
              <w:jc w:val="center"/>
              <w:rPr>
                <w:rFonts w:ascii="Arial Narrow" w:hAnsi="Arial Narrow"/>
                <w:sz w:val="20"/>
              </w:rPr>
            </w:pPr>
            <w:r w:rsidRPr="00034FE5">
              <w:rPr>
                <w:rFonts w:ascii="Arial Narrow" w:hAnsi="Arial Narrow"/>
                <w:sz w:val="20"/>
              </w:rPr>
              <w:t>$</w:t>
            </w:r>
            <w:r w:rsidR="00556B43" w:rsidRPr="00766E56">
              <w:rPr>
                <w:b/>
              </w:rPr>
              <w:t xml:space="preserve"> redacted</w:t>
            </w:r>
          </w:p>
        </w:tc>
        <w:tc>
          <w:tcPr>
            <w:tcW w:w="1134" w:type="dxa"/>
            <w:tcBorders>
              <w:top w:val="single" w:sz="4" w:space="0" w:color="auto"/>
              <w:left w:val="single" w:sz="4" w:space="0" w:color="auto"/>
              <w:bottom w:val="single" w:sz="4" w:space="0" w:color="auto"/>
              <w:right w:val="single" w:sz="4" w:space="0" w:color="auto"/>
            </w:tcBorders>
            <w:noWrap/>
            <w:vAlign w:val="center"/>
          </w:tcPr>
          <w:p w14:paraId="500E49CD" w14:textId="72006E2D" w:rsidR="00034FE5" w:rsidRPr="00034FE5" w:rsidRDefault="00034FE5" w:rsidP="00F86DC0">
            <w:pPr>
              <w:jc w:val="center"/>
              <w:rPr>
                <w:rFonts w:ascii="Arial Narrow" w:hAnsi="Arial Narrow"/>
                <w:sz w:val="20"/>
              </w:rPr>
            </w:pPr>
            <w:r w:rsidRPr="00034FE5">
              <w:rPr>
                <w:rFonts w:ascii="Arial Narrow" w:hAnsi="Arial Narrow"/>
                <w:sz w:val="20"/>
              </w:rPr>
              <w:t>$</w:t>
            </w:r>
            <w:r w:rsidR="00556B43" w:rsidRPr="00766E56">
              <w:rPr>
                <w:b/>
              </w:rPr>
              <w:t xml:space="preserve"> redacted</w:t>
            </w:r>
          </w:p>
        </w:tc>
        <w:tc>
          <w:tcPr>
            <w:tcW w:w="1134" w:type="dxa"/>
            <w:tcBorders>
              <w:top w:val="single" w:sz="4" w:space="0" w:color="auto"/>
              <w:left w:val="single" w:sz="4" w:space="0" w:color="auto"/>
              <w:bottom w:val="single" w:sz="4" w:space="0" w:color="auto"/>
              <w:right w:val="single" w:sz="4" w:space="0" w:color="auto"/>
            </w:tcBorders>
            <w:noWrap/>
            <w:vAlign w:val="center"/>
          </w:tcPr>
          <w:p w14:paraId="4F32155D" w14:textId="158FAA83" w:rsidR="00034FE5" w:rsidRPr="00034FE5" w:rsidRDefault="00034FE5" w:rsidP="00F86DC0">
            <w:pPr>
              <w:jc w:val="center"/>
              <w:rPr>
                <w:rFonts w:ascii="Arial Narrow" w:hAnsi="Arial Narrow"/>
                <w:sz w:val="20"/>
              </w:rPr>
            </w:pPr>
            <w:r w:rsidRPr="00034FE5">
              <w:rPr>
                <w:rFonts w:ascii="Arial Narrow" w:hAnsi="Arial Narrow"/>
                <w:sz w:val="20"/>
              </w:rPr>
              <w:t>$</w:t>
            </w:r>
            <w:r w:rsidR="00556B43" w:rsidRPr="00766E56">
              <w:rPr>
                <w:b/>
              </w:rPr>
              <w:t xml:space="preserve"> redacted</w:t>
            </w:r>
          </w:p>
        </w:tc>
        <w:tc>
          <w:tcPr>
            <w:tcW w:w="1276" w:type="dxa"/>
            <w:tcBorders>
              <w:top w:val="single" w:sz="4" w:space="0" w:color="auto"/>
              <w:left w:val="single" w:sz="4" w:space="0" w:color="auto"/>
              <w:bottom w:val="single" w:sz="4" w:space="0" w:color="auto"/>
              <w:right w:val="single" w:sz="4" w:space="0" w:color="auto"/>
            </w:tcBorders>
            <w:noWrap/>
            <w:vAlign w:val="center"/>
          </w:tcPr>
          <w:p w14:paraId="4F6A6D19" w14:textId="438D284D" w:rsidR="00034FE5" w:rsidRPr="00034FE5" w:rsidRDefault="00034FE5" w:rsidP="00F86DC0">
            <w:pPr>
              <w:jc w:val="center"/>
              <w:rPr>
                <w:rFonts w:ascii="Arial Narrow" w:hAnsi="Arial Narrow"/>
                <w:sz w:val="20"/>
              </w:rPr>
            </w:pPr>
            <w:r w:rsidRPr="00034FE5">
              <w:rPr>
                <w:rFonts w:ascii="Arial Narrow" w:hAnsi="Arial Narrow"/>
                <w:sz w:val="20"/>
              </w:rPr>
              <w:t>$</w:t>
            </w:r>
            <w:r w:rsidR="00556B43" w:rsidRPr="00766E56">
              <w:rPr>
                <w:b/>
              </w:rPr>
              <w:t xml:space="preserve"> redacted</w:t>
            </w:r>
          </w:p>
        </w:tc>
      </w:tr>
      <w:tr w:rsidR="00034FE5" w:rsidRPr="00034FE5" w14:paraId="4D259445" w14:textId="77777777" w:rsidTr="00BA44CC">
        <w:trPr>
          <w:cantSplit/>
          <w:trHeight w:val="268"/>
        </w:trPr>
        <w:tc>
          <w:tcPr>
            <w:tcW w:w="1418" w:type="dxa"/>
            <w:vMerge/>
            <w:tcBorders>
              <w:left w:val="single" w:sz="4" w:space="0" w:color="auto"/>
              <w:bottom w:val="single" w:sz="4" w:space="0" w:color="auto"/>
              <w:right w:val="single" w:sz="4" w:space="0" w:color="auto"/>
            </w:tcBorders>
            <w:noWrap/>
            <w:vAlign w:val="center"/>
          </w:tcPr>
          <w:p w14:paraId="258E0AE5" w14:textId="77777777" w:rsidR="00034FE5" w:rsidRPr="00034FE5" w:rsidRDefault="00034FE5" w:rsidP="00F86DC0">
            <w:pPr>
              <w:pStyle w:val="Tabletext"/>
              <w:spacing w:before="0" w:after="0"/>
            </w:pPr>
          </w:p>
        </w:tc>
        <w:tc>
          <w:tcPr>
            <w:tcW w:w="2268" w:type="dxa"/>
            <w:tcBorders>
              <w:top w:val="single" w:sz="4" w:space="0" w:color="auto"/>
              <w:left w:val="single" w:sz="4" w:space="0" w:color="auto"/>
              <w:bottom w:val="single" w:sz="4" w:space="0" w:color="auto"/>
              <w:right w:val="single" w:sz="4" w:space="0" w:color="auto"/>
            </w:tcBorders>
            <w:vAlign w:val="center"/>
          </w:tcPr>
          <w:p w14:paraId="5544A76A" w14:textId="77777777" w:rsidR="00034FE5" w:rsidRPr="00034FE5" w:rsidRDefault="00034FE5" w:rsidP="00F86DC0">
            <w:pPr>
              <w:rPr>
                <w:rFonts w:ascii="Arial Narrow" w:hAnsi="Arial Narrow"/>
                <w:sz w:val="20"/>
              </w:rPr>
            </w:pPr>
            <w:r w:rsidRPr="00034FE5">
              <w:rPr>
                <w:rFonts w:ascii="Arial Narrow" w:hAnsi="Arial Narrow"/>
                <w:sz w:val="20"/>
              </w:rPr>
              <w:t>Reduce PBS savings by 75%</w:t>
            </w:r>
          </w:p>
        </w:tc>
        <w:tc>
          <w:tcPr>
            <w:tcW w:w="1134" w:type="dxa"/>
            <w:tcBorders>
              <w:top w:val="single" w:sz="4" w:space="0" w:color="auto"/>
              <w:left w:val="single" w:sz="4" w:space="0" w:color="auto"/>
              <w:bottom w:val="single" w:sz="4" w:space="0" w:color="auto"/>
              <w:right w:val="single" w:sz="4" w:space="0" w:color="auto"/>
            </w:tcBorders>
            <w:noWrap/>
            <w:vAlign w:val="center"/>
          </w:tcPr>
          <w:p w14:paraId="45D77E80" w14:textId="194FDB1B" w:rsidR="00034FE5" w:rsidRPr="00034FE5" w:rsidRDefault="00034FE5" w:rsidP="00F86DC0">
            <w:pPr>
              <w:jc w:val="center"/>
              <w:rPr>
                <w:rFonts w:ascii="Arial Narrow" w:hAnsi="Arial Narrow"/>
                <w:sz w:val="20"/>
              </w:rPr>
            </w:pPr>
            <w:r w:rsidRPr="00034FE5">
              <w:rPr>
                <w:rFonts w:ascii="Arial Narrow" w:hAnsi="Arial Narrow"/>
                <w:sz w:val="20"/>
              </w:rPr>
              <w:t>$</w:t>
            </w:r>
            <w:r w:rsidR="00556B43" w:rsidRPr="00766E56">
              <w:rPr>
                <w:b/>
              </w:rPr>
              <w:t xml:space="preserve"> redacted</w:t>
            </w:r>
          </w:p>
        </w:tc>
        <w:tc>
          <w:tcPr>
            <w:tcW w:w="1134" w:type="dxa"/>
            <w:tcBorders>
              <w:top w:val="single" w:sz="4" w:space="0" w:color="auto"/>
              <w:left w:val="single" w:sz="4" w:space="0" w:color="auto"/>
              <w:bottom w:val="single" w:sz="4" w:space="0" w:color="auto"/>
              <w:right w:val="single" w:sz="4" w:space="0" w:color="auto"/>
            </w:tcBorders>
            <w:noWrap/>
            <w:vAlign w:val="center"/>
          </w:tcPr>
          <w:p w14:paraId="771CCB0A" w14:textId="27955913" w:rsidR="00034FE5" w:rsidRPr="00034FE5" w:rsidRDefault="00034FE5" w:rsidP="00F86DC0">
            <w:pPr>
              <w:jc w:val="center"/>
              <w:rPr>
                <w:rFonts w:ascii="Arial Narrow" w:hAnsi="Arial Narrow"/>
                <w:sz w:val="20"/>
              </w:rPr>
            </w:pPr>
            <w:r w:rsidRPr="00034FE5">
              <w:rPr>
                <w:rFonts w:ascii="Arial Narrow" w:hAnsi="Arial Narrow"/>
                <w:sz w:val="20"/>
              </w:rPr>
              <w:t>$</w:t>
            </w:r>
            <w:r w:rsidR="00556B43" w:rsidRPr="00766E56">
              <w:rPr>
                <w:b/>
              </w:rPr>
              <w:t xml:space="preserve"> redacted</w:t>
            </w:r>
          </w:p>
        </w:tc>
        <w:tc>
          <w:tcPr>
            <w:tcW w:w="1134" w:type="dxa"/>
            <w:tcBorders>
              <w:top w:val="single" w:sz="4" w:space="0" w:color="auto"/>
              <w:left w:val="single" w:sz="4" w:space="0" w:color="auto"/>
              <w:bottom w:val="single" w:sz="4" w:space="0" w:color="auto"/>
              <w:right w:val="single" w:sz="4" w:space="0" w:color="auto"/>
            </w:tcBorders>
            <w:noWrap/>
            <w:vAlign w:val="center"/>
          </w:tcPr>
          <w:p w14:paraId="26A636F8" w14:textId="27870592" w:rsidR="00034FE5" w:rsidRPr="00034FE5" w:rsidRDefault="00034FE5" w:rsidP="00F86DC0">
            <w:pPr>
              <w:jc w:val="center"/>
              <w:rPr>
                <w:rFonts w:ascii="Arial Narrow" w:hAnsi="Arial Narrow"/>
                <w:sz w:val="20"/>
              </w:rPr>
            </w:pPr>
            <w:r w:rsidRPr="00034FE5">
              <w:rPr>
                <w:rFonts w:ascii="Arial Narrow" w:hAnsi="Arial Narrow"/>
                <w:sz w:val="20"/>
              </w:rPr>
              <w:t>$</w:t>
            </w:r>
            <w:r w:rsidR="00556B43" w:rsidRPr="00766E56">
              <w:rPr>
                <w:b/>
              </w:rPr>
              <w:t xml:space="preserve"> redacted</w:t>
            </w:r>
          </w:p>
        </w:tc>
        <w:tc>
          <w:tcPr>
            <w:tcW w:w="1134" w:type="dxa"/>
            <w:tcBorders>
              <w:top w:val="single" w:sz="4" w:space="0" w:color="auto"/>
              <w:left w:val="single" w:sz="4" w:space="0" w:color="auto"/>
              <w:bottom w:val="single" w:sz="4" w:space="0" w:color="auto"/>
              <w:right w:val="single" w:sz="4" w:space="0" w:color="auto"/>
            </w:tcBorders>
            <w:noWrap/>
            <w:vAlign w:val="center"/>
          </w:tcPr>
          <w:p w14:paraId="51979724" w14:textId="01ED7973" w:rsidR="00034FE5" w:rsidRPr="00034FE5" w:rsidRDefault="00034FE5" w:rsidP="00F86DC0">
            <w:pPr>
              <w:jc w:val="center"/>
              <w:rPr>
                <w:rFonts w:ascii="Arial Narrow" w:hAnsi="Arial Narrow"/>
                <w:sz w:val="20"/>
              </w:rPr>
            </w:pPr>
            <w:r w:rsidRPr="00034FE5">
              <w:rPr>
                <w:rFonts w:ascii="Arial Narrow" w:hAnsi="Arial Narrow"/>
                <w:sz w:val="20"/>
              </w:rPr>
              <w:t>$</w:t>
            </w:r>
            <w:r w:rsidR="00556B43" w:rsidRPr="00766E56">
              <w:rPr>
                <w:b/>
              </w:rPr>
              <w:t xml:space="preserve"> redacted</w:t>
            </w:r>
          </w:p>
        </w:tc>
        <w:tc>
          <w:tcPr>
            <w:tcW w:w="1276" w:type="dxa"/>
            <w:tcBorders>
              <w:top w:val="single" w:sz="4" w:space="0" w:color="auto"/>
              <w:left w:val="single" w:sz="4" w:space="0" w:color="auto"/>
              <w:bottom w:val="single" w:sz="4" w:space="0" w:color="auto"/>
              <w:right w:val="single" w:sz="4" w:space="0" w:color="auto"/>
            </w:tcBorders>
            <w:noWrap/>
            <w:vAlign w:val="center"/>
          </w:tcPr>
          <w:p w14:paraId="3F8E321F" w14:textId="0E58E83A" w:rsidR="00034FE5" w:rsidRPr="00034FE5" w:rsidRDefault="00034FE5" w:rsidP="00F86DC0">
            <w:pPr>
              <w:jc w:val="center"/>
              <w:rPr>
                <w:rFonts w:ascii="Arial Narrow" w:hAnsi="Arial Narrow"/>
                <w:sz w:val="20"/>
              </w:rPr>
            </w:pPr>
            <w:r w:rsidRPr="00034FE5">
              <w:rPr>
                <w:rFonts w:ascii="Arial Narrow" w:hAnsi="Arial Narrow"/>
                <w:sz w:val="20"/>
              </w:rPr>
              <w:t>$</w:t>
            </w:r>
            <w:r w:rsidR="00556B43" w:rsidRPr="00766E56">
              <w:rPr>
                <w:b/>
              </w:rPr>
              <w:t xml:space="preserve"> redacted</w:t>
            </w:r>
          </w:p>
        </w:tc>
      </w:tr>
    </w:tbl>
    <w:p w14:paraId="35B60012" w14:textId="77777777" w:rsidR="00034FE5" w:rsidRPr="00A06E3E" w:rsidRDefault="00034FE5" w:rsidP="00034FE5"/>
    <w:p w14:paraId="222D86B0" w14:textId="77777777" w:rsidR="006A0D97" w:rsidRDefault="006A0D97" w:rsidP="006A0D97">
      <w:pPr>
        <w:pStyle w:val="Heading1"/>
        <w:numPr>
          <w:ilvl w:val="0"/>
          <w:numId w:val="23"/>
        </w:numPr>
        <w:ind w:hanging="720"/>
      </w:pPr>
      <w:r w:rsidRPr="006A0D97">
        <w:t>Key issues from ESC for MSAC</w:t>
      </w:r>
    </w:p>
    <w:p w14:paraId="4794C0BD" w14:textId="77777777" w:rsidR="00A06E3E" w:rsidRDefault="00A06E3E" w:rsidP="00034FE5"/>
    <w:p w14:paraId="30B2F258" w14:textId="03D1BC70" w:rsidR="00034FE5" w:rsidRPr="00E8723D" w:rsidRDefault="00A06E3E" w:rsidP="00034FE5">
      <w:r>
        <w:t>ESC</w:t>
      </w:r>
      <w:r w:rsidRPr="00E8723D" w:rsidDel="00A06E3E">
        <w:t xml:space="preserve"> </w:t>
      </w:r>
      <w:r w:rsidR="00034FE5" w:rsidRPr="00E8723D">
        <w:t>considered the full range of documents available for this application, and advised that the key issues below would be most relevant to MSAC decision making:</w:t>
      </w:r>
    </w:p>
    <w:p w14:paraId="5C07F215" w14:textId="77777777" w:rsidR="00034FE5" w:rsidRDefault="00034FE5" w:rsidP="00034FE5">
      <w:pPr>
        <w:rPr>
          <w:i/>
        </w:rPr>
      </w:pPr>
    </w:p>
    <w:p w14:paraId="37DF00D9" w14:textId="77777777" w:rsidR="00034FE5" w:rsidRDefault="00034FE5" w:rsidP="00034FE5">
      <w:pPr>
        <w:pStyle w:val="ListParagraph"/>
        <w:numPr>
          <w:ilvl w:val="0"/>
          <w:numId w:val="31"/>
        </w:numPr>
      </w:pPr>
      <w:r w:rsidRPr="00E8723D">
        <w:t>There is currently no mechanism to control patients’ out of pocket costs under the applicant’s proposal to establish a hidden pricing arrangement, and the approach would effectively lock in a monopoly price which is inconsistent with usual practice for the MBS</w:t>
      </w:r>
      <w:r>
        <w:t>.</w:t>
      </w:r>
    </w:p>
    <w:p w14:paraId="013049EC" w14:textId="77777777" w:rsidR="00034FE5" w:rsidRPr="00E8723D" w:rsidRDefault="00034FE5" w:rsidP="00A06E3E"/>
    <w:p w14:paraId="349081FB" w14:textId="77777777" w:rsidR="00034FE5" w:rsidRPr="00E8723D" w:rsidRDefault="00034FE5" w:rsidP="00034FE5">
      <w:pPr>
        <w:pStyle w:val="ListParagraph"/>
        <w:numPr>
          <w:ilvl w:val="0"/>
          <w:numId w:val="31"/>
        </w:numPr>
      </w:pPr>
      <w:r w:rsidRPr="00E8723D">
        <w:t>Although the ICER presented in the economic evaluation falls within the cost effective range, it may not represent good value, as it was based on a very small QALY gain (0.0</w:t>
      </w:r>
      <w:r>
        <w:t>4 to 0.12</w:t>
      </w:r>
      <w:r w:rsidRPr="00E8723D">
        <w:t xml:space="preserve"> of a QALY) derived from a small number of non-randomised studies with small populations; and a high potential for use outside of the population where testing is effective</w:t>
      </w:r>
      <w:r>
        <w:t>.</w:t>
      </w:r>
      <w:r w:rsidRPr="00E8723D">
        <w:t xml:space="preserve"> </w:t>
      </w:r>
    </w:p>
    <w:p w14:paraId="26D74A36" w14:textId="77777777" w:rsidR="00034FE5" w:rsidRPr="00E8723D" w:rsidRDefault="00034FE5" w:rsidP="00034FE5"/>
    <w:p w14:paraId="2C46B84C" w14:textId="77777777" w:rsidR="00034FE5" w:rsidRPr="00E8723D" w:rsidRDefault="00034FE5" w:rsidP="00034FE5">
      <w:pPr>
        <w:pStyle w:val="ListParagraph"/>
        <w:numPr>
          <w:ilvl w:val="0"/>
          <w:numId w:val="31"/>
        </w:numPr>
      </w:pPr>
      <w:r w:rsidRPr="00E8723D">
        <w:t>ESC also noted that the applicant used input parameters that could lead to model predictions considerably in favour of the proposed intervention (including a failure to adjust for the lower recurrence risk of anastrozole compared with tamoxif</w:t>
      </w:r>
      <w:r>
        <w:t>e</w:t>
      </w:r>
      <w:r w:rsidRPr="00E8723D">
        <w:t xml:space="preserve">n). </w:t>
      </w:r>
    </w:p>
    <w:p w14:paraId="3019000F" w14:textId="77777777" w:rsidR="00034FE5" w:rsidRPr="00E8723D" w:rsidRDefault="00034FE5" w:rsidP="00034FE5"/>
    <w:p w14:paraId="4A24035F" w14:textId="77777777" w:rsidR="00034FE5" w:rsidRDefault="00034FE5" w:rsidP="00034FE5">
      <w:pPr>
        <w:pStyle w:val="ListParagraph"/>
        <w:numPr>
          <w:ilvl w:val="0"/>
          <w:numId w:val="31"/>
        </w:numPr>
      </w:pPr>
      <w:r w:rsidRPr="00E8723D">
        <w:t>ESC advised that, given the very small QALY gain indicated by the model, even small changes</w:t>
      </w:r>
      <w:r>
        <w:t>, particularly</w:t>
      </w:r>
      <w:r w:rsidRPr="00E8723D">
        <w:t xml:space="preserve"> </w:t>
      </w:r>
      <w:r w:rsidRPr="00052079">
        <w:t>in favour of anastrozole vs tamoxifen</w:t>
      </w:r>
      <w:r>
        <w:t>,</w:t>
      </w:r>
      <w:r w:rsidRPr="00E8723D">
        <w:t xml:space="preserve"> could negate the gain.</w:t>
      </w:r>
    </w:p>
    <w:p w14:paraId="62A23361" w14:textId="77777777" w:rsidR="00034FE5" w:rsidRPr="00E8723D" w:rsidRDefault="00034FE5" w:rsidP="00034FE5"/>
    <w:p w14:paraId="039A0CEC" w14:textId="77777777" w:rsidR="00034FE5" w:rsidRPr="00E8723D" w:rsidRDefault="00034FE5" w:rsidP="00034FE5">
      <w:pPr>
        <w:pStyle w:val="ListParagraph"/>
        <w:numPr>
          <w:ilvl w:val="0"/>
          <w:numId w:val="31"/>
        </w:numPr>
      </w:pPr>
      <w:r w:rsidRPr="00E8723D">
        <w:t>The economic model did not appear to have been calibrated to ensure internal validity.</w:t>
      </w:r>
    </w:p>
    <w:p w14:paraId="47EE76CD" w14:textId="77777777" w:rsidR="00034FE5" w:rsidRDefault="00034FE5" w:rsidP="00034FE5"/>
    <w:p w14:paraId="225071BD" w14:textId="77777777" w:rsidR="00034FE5" w:rsidRPr="00E8723D" w:rsidRDefault="00034FE5" w:rsidP="00034FE5">
      <w:pPr>
        <w:pStyle w:val="ListParagraph"/>
        <w:numPr>
          <w:ilvl w:val="0"/>
          <w:numId w:val="31"/>
        </w:numPr>
      </w:pPr>
      <w:r w:rsidRPr="00E8723D">
        <w:t xml:space="preserve">ESC advised that MSAC’s concerns regarding the capacity of continuous scores to change therapy decisions remained unaddressed. ESC noted the </w:t>
      </w:r>
      <w:r>
        <w:t>a</w:t>
      </w:r>
      <w:r w:rsidRPr="00E8723D">
        <w:t>pplicant’s advice that, while the analysis was based on the use of cut-scores to determine clinical pathways, they recommended clini</w:t>
      </w:r>
      <w:r w:rsidR="00F67A66">
        <w:t>cians use the continuous score.</w:t>
      </w:r>
    </w:p>
    <w:p w14:paraId="03281C48" w14:textId="77777777" w:rsidR="00034FE5" w:rsidRPr="00E8723D" w:rsidRDefault="00034FE5" w:rsidP="00034FE5"/>
    <w:p w14:paraId="34D1A79C" w14:textId="77777777" w:rsidR="00034FE5" w:rsidRPr="00E8723D" w:rsidRDefault="007E4824" w:rsidP="00034FE5">
      <w:pPr>
        <w:pStyle w:val="ListParagraph"/>
        <w:numPr>
          <w:ilvl w:val="0"/>
          <w:numId w:val="31"/>
        </w:numPr>
        <w:rPr>
          <w:szCs w:val="24"/>
        </w:rPr>
      </w:pPr>
      <w:r>
        <w:t>ESC noted that the use of ADIS</w:t>
      </w:r>
      <w:r w:rsidR="00034FE5" w:rsidRPr="00E8723D">
        <w:t xml:space="preserve">2 data in the analysis strongly favoured the intervention as the proportion of patients who received </w:t>
      </w:r>
      <w:r w:rsidR="00034FE5">
        <w:t>chemotherapy</w:t>
      </w:r>
      <w:r w:rsidR="00A06E3E">
        <w:t xml:space="preserve"> </w:t>
      </w:r>
      <w:r w:rsidR="00034FE5" w:rsidRPr="00E8723D">
        <w:t>in low risk and intermediate risk groups were higher in the usual care arm, meaning lower incremental costs and hence a lower ICER. Using ADIS data, some proposed scenarios are dominated.</w:t>
      </w:r>
    </w:p>
    <w:p w14:paraId="6A17E104" w14:textId="77777777" w:rsidR="006A0D97" w:rsidRPr="006A0D97" w:rsidRDefault="006A0D97" w:rsidP="006A0D97"/>
    <w:p w14:paraId="1ECB5C74" w14:textId="77777777" w:rsidR="00CE1E8D" w:rsidRDefault="00CE1E8D">
      <w:pPr>
        <w:rPr>
          <w:rFonts w:ascii="Arial" w:hAnsi="Arial"/>
          <w:b/>
          <w:bCs/>
          <w:szCs w:val="28"/>
        </w:rPr>
      </w:pPr>
      <w:r>
        <w:br w:type="page"/>
      </w:r>
    </w:p>
    <w:p w14:paraId="31204307" w14:textId="44F24EF1" w:rsidR="00BC1364" w:rsidRDefault="00BC1364" w:rsidP="007B32D1">
      <w:pPr>
        <w:pStyle w:val="Heading1"/>
        <w:numPr>
          <w:ilvl w:val="0"/>
          <w:numId w:val="23"/>
        </w:numPr>
        <w:ind w:hanging="720"/>
      </w:pPr>
      <w:r w:rsidRPr="008D5885">
        <w:lastRenderedPageBreak/>
        <w:t>Other significant factors</w:t>
      </w:r>
    </w:p>
    <w:p w14:paraId="3DB81E96" w14:textId="77777777" w:rsidR="00D90A38" w:rsidRDefault="00D90A38" w:rsidP="00DD2858">
      <w:pPr>
        <w:rPr>
          <w:szCs w:val="24"/>
        </w:rPr>
      </w:pPr>
    </w:p>
    <w:p w14:paraId="5B7A3F6D" w14:textId="151CBF62" w:rsidR="00BC1364" w:rsidRDefault="00034FE5" w:rsidP="00DD2858">
      <w:pPr>
        <w:rPr>
          <w:szCs w:val="24"/>
        </w:rPr>
      </w:pPr>
      <w:proofErr w:type="gramStart"/>
      <w:r w:rsidRPr="00034FE5">
        <w:rPr>
          <w:szCs w:val="24"/>
        </w:rPr>
        <w:t>Nil</w:t>
      </w:r>
      <w:r w:rsidR="00BE6C8E">
        <w:rPr>
          <w:szCs w:val="24"/>
        </w:rPr>
        <w:t>.</w:t>
      </w:r>
      <w:proofErr w:type="gramEnd"/>
    </w:p>
    <w:p w14:paraId="7AA68D01" w14:textId="77777777" w:rsidR="00CE1E8D" w:rsidRPr="00034FE5" w:rsidRDefault="00CE1E8D" w:rsidP="00DD2858">
      <w:pPr>
        <w:rPr>
          <w:szCs w:val="24"/>
        </w:rPr>
      </w:pPr>
    </w:p>
    <w:p w14:paraId="5EFC3B2D" w14:textId="77777777" w:rsidR="00BC1364" w:rsidRDefault="00BC1364" w:rsidP="007B32D1">
      <w:pPr>
        <w:pStyle w:val="Heading1"/>
        <w:numPr>
          <w:ilvl w:val="0"/>
          <w:numId w:val="23"/>
        </w:numPr>
        <w:ind w:hanging="720"/>
      </w:pPr>
      <w:r w:rsidRPr="008D5885">
        <w:t xml:space="preserve">Applicant’s comments on MSAC’s </w:t>
      </w:r>
      <w:r w:rsidR="00DA56AA">
        <w:t>Public Summary Document</w:t>
      </w:r>
    </w:p>
    <w:p w14:paraId="0D771520" w14:textId="77777777" w:rsidR="00BC1364" w:rsidRPr="00A06E3E" w:rsidRDefault="00BC1364" w:rsidP="00230D6B">
      <w:pPr>
        <w:tabs>
          <w:tab w:val="left" w:pos="720"/>
        </w:tabs>
        <w:ind w:left="709" w:hanging="709"/>
        <w:rPr>
          <w:szCs w:val="24"/>
        </w:rPr>
      </w:pPr>
    </w:p>
    <w:p w14:paraId="2B122A69" w14:textId="77777777" w:rsidR="00556B43" w:rsidRPr="00BA44CC" w:rsidRDefault="00556B43" w:rsidP="00556B43">
      <w:pPr>
        <w:rPr>
          <w:szCs w:val="24"/>
        </w:rPr>
      </w:pPr>
      <w:r w:rsidRPr="00BA44CC">
        <w:rPr>
          <w:szCs w:val="24"/>
        </w:rPr>
        <w:t>STA would like to thank MSAC for its consideration of this submission, and appreciates its decision to defer public funding pending the provision of further information. The issues outlined in this Public Summary Document have been addressed in the form of a resubmission that was lodged in February 2016. The applicant is confident that any remaining data gaps have now been satisfactorily addressed and looks forward to receiving a positive recommendation for this innovative and cost-effective technology.</w:t>
      </w:r>
      <w:r w:rsidRPr="00BA44CC" w:rsidDel="00556B43">
        <w:rPr>
          <w:szCs w:val="24"/>
        </w:rPr>
        <w:t xml:space="preserve"> </w:t>
      </w:r>
    </w:p>
    <w:p w14:paraId="3490913A" w14:textId="77777777" w:rsidR="00BC1364" w:rsidRPr="00A06E3E" w:rsidRDefault="00BC1364" w:rsidP="00230D6B">
      <w:pPr>
        <w:rPr>
          <w:szCs w:val="24"/>
        </w:rPr>
      </w:pPr>
    </w:p>
    <w:p w14:paraId="29202541" w14:textId="77777777" w:rsidR="00BC1364" w:rsidRDefault="00271F18" w:rsidP="007B32D1">
      <w:pPr>
        <w:pStyle w:val="Heading1"/>
        <w:numPr>
          <w:ilvl w:val="0"/>
          <w:numId w:val="23"/>
        </w:numPr>
        <w:ind w:hanging="720"/>
      </w:pPr>
      <w:r>
        <w:t>Further information on MSAC</w:t>
      </w:r>
    </w:p>
    <w:p w14:paraId="5141F785" w14:textId="77777777" w:rsidR="00BC1364" w:rsidRPr="00A06E3E" w:rsidRDefault="00BC1364" w:rsidP="00DD2858">
      <w:pPr>
        <w:tabs>
          <w:tab w:val="left" w:pos="720"/>
        </w:tabs>
        <w:ind w:left="709" w:hanging="709"/>
        <w:rPr>
          <w:szCs w:val="24"/>
        </w:rPr>
      </w:pPr>
    </w:p>
    <w:p w14:paraId="6AC1790A" w14:textId="77777777"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1" w:tooltip="This is a link to the MSAC website" w:history="1">
        <w:r w:rsidR="00BC1364" w:rsidRPr="00DD2858">
          <w:rPr>
            <w:rStyle w:val="Hyperlink"/>
            <w:color w:val="auto"/>
            <w:szCs w:val="24"/>
          </w:rPr>
          <w:t>www.msac.gov.au</w:t>
        </w:r>
      </w:hyperlink>
      <w:r w:rsidR="00A06E3E">
        <w:rPr>
          <w:szCs w:val="24"/>
        </w:rPr>
        <w:t>.</w:t>
      </w:r>
    </w:p>
    <w:sectPr w:rsidR="00BC1364" w:rsidRPr="00DD2858" w:rsidSect="00271F18">
      <w:footerReference w:type="default" r:id="rId12"/>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1684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A2068" w14:textId="77777777" w:rsidR="0094782B" w:rsidRDefault="0094782B" w:rsidP="00065623">
      <w:r>
        <w:separator/>
      </w:r>
    </w:p>
  </w:endnote>
  <w:endnote w:type="continuationSeparator" w:id="0">
    <w:p w14:paraId="08A68443" w14:textId="77777777" w:rsidR="0094782B" w:rsidRDefault="0094782B"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787468FB" w14:textId="77777777" w:rsidR="00CE1E8D" w:rsidRDefault="00CE1E8D">
        <w:pPr>
          <w:pStyle w:val="Footer"/>
          <w:jc w:val="right"/>
        </w:pPr>
        <w:r>
          <w:fldChar w:fldCharType="begin"/>
        </w:r>
        <w:r>
          <w:instrText xml:space="preserve"> PAGE   \* MERGEFORMAT </w:instrText>
        </w:r>
        <w:r>
          <w:fldChar w:fldCharType="separate"/>
        </w:r>
        <w:r w:rsidR="00096226">
          <w:rPr>
            <w:noProof/>
          </w:rPr>
          <w:t>1</w:t>
        </w:r>
        <w:r>
          <w:rPr>
            <w:noProof/>
          </w:rPr>
          <w:fldChar w:fldCharType="end"/>
        </w:r>
      </w:p>
    </w:sdtContent>
  </w:sdt>
  <w:p w14:paraId="24EC5C79" w14:textId="77777777" w:rsidR="00CE1E8D" w:rsidRDefault="00CE1E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31E38" w14:textId="77777777" w:rsidR="0094782B" w:rsidRDefault="0094782B" w:rsidP="00065623">
      <w:r>
        <w:separator/>
      </w:r>
    </w:p>
  </w:footnote>
  <w:footnote w:type="continuationSeparator" w:id="0">
    <w:p w14:paraId="1674F5EC" w14:textId="77777777" w:rsidR="0094782B" w:rsidRDefault="0094782B"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8925678"/>
    <w:multiLevelType w:val="hybridMultilevel"/>
    <w:tmpl w:val="F210E51C"/>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nsid w:val="1A12530C"/>
    <w:multiLevelType w:val="hybridMultilevel"/>
    <w:tmpl w:val="5F06E774"/>
    <w:lvl w:ilvl="0" w:tplc="0C090001">
      <w:start w:val="1"/>
      <w:numFmt w:val="bullet"/>
      <w:lvlText w:val=""/>
      <w:lvlJc w:val="left"/>
      <w:pPr>
        <w:tabs>
          <w:tab w:val="num" w:pos="1080"/>
        </w:tabs>
        <w:ind w:left="1080" w:hanging="720"/>
      </w:pPr>
      <w:rPr>
        <w:rFonts w:ascii="Symbol" w:hAnsi="Symbol" w:hint="default"/>
      </w:rPr>
    </w:lvl>
    <w:lvl w:ilvl="1" w:tplc="10B2F04E">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D7E3241"/>
    <w:multiLevelType w:val="hybridMultilevel"/>
    <w:tmpl w:val="2932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4E80816"/>
    <w:multiLevelType w:val="hybridMultilevel"/>
    <w:tmpl w:val="CC460D96"/>
    <w:lvl w:ilvl="0" w:tplc="028E6DB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60D938DD"/>
    <w:multiLevelType w:val="hybridMultilevel"/>
    <w:tmpl w:val="50FC24AE"/>
    <w:lvl w:ilvl="0" w:tplc="028E6DB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5B10D79"/>
    <w:multiLevelType w:val="hybridMultilevel"/>
    <w:tmpl w:val="3118F1B8"/>
    <w:lvl w:ilvl="0" w:tplc="028E6DB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712F6E2B"/>
    <w:multiLevelType w:val="hybridMultilevel"/>
    <w:tmpl w:val="83700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6"/>
  </w:num>
  <w:num w:numId="3">
    <w:abstractNumId w:val="1"/>
  </w:num>
  <w:num w:numId="4">
    <w:abstractNumId w:val="19"/>
  </w:num>
  <w:num w:numId="5">
    <w:abstractNumId w:val="12"/>
  </w:num>
  <w:num w:numId="6">
    <w:abstractNumId w:val="18"/>
  </w:num>
  <w:num w:numId="7">
    <w:abstractNumId w:val="23"/>
  </w:num>
  <w:num w:numId="8">
    <w:abstractNumId w:val="13"/>
  </w:num>
  <w:num w:numId="9">
    <w:abstractNumId w:val="31"/>
  </w:num>
  <w:num w:numId="10">
    <w:abstractNumId w:val="0"/>
  </w:num>
  <w:num w:numId="11">
    <w:abstractNumId w:val="21"/>
  </w:num>
  <w:num w:numId="12">
    <w:abstractNumId w:val="24"/>
  </w:num>
  <w:num w:numId="13">
    <w:abstractNumId w:val="6"/>
  </w:num>
  <w:num w:numId="14">
    <w:abstractNumId w:val="29"/>
  </w:num>
  <w:num w:numId="15">
    <w:abstractNumId w:val="20"/>
  </w:num>
  <w:num w:numId="16">
    <w:abstractNumId w:val="26"/>
  </w:num>
  <w:num w:numId="17">
    <w:abstractNumId w:val="14"/>
  </w:num>
  <w:num w:numId="18">
    <w:abstractNumId w:val="15"/>
  </w:num>
  <w:num w:numId="19">
    <w:abstractNumId w:val="28"/>
  </w:num>
  <w:num w:numId="20">
    <w:abstractNumId w:val="27"/>
  </w:num>
  <w:num w:numId="21">
    <w:abstractNumId w:val="3"/>
  </w:num>
  <w:num w:numId="22">
    <w:abstractNumId w:val="11"/>
  </w:num>
  <w:num w:numId="23">
    <w:abstractNumId w:val="2"/>
  </w:num>
  <w:num w:numId="24">
    <w:abstractNumId w:val="10"/>
  </w:num>
  <w:num w:numId="25">
    <w:abstractNumId w:val="8"/>
  </w:num>
  <w:num w:numId="26">
    <w:abstractNumId w:val="5"/>
  </w:num>
  <w:num w:numId="27">
    <w:abstractNumId w:val="25"/>
  </w:num>
  <w:num w:numId="28">
    <w:abstractNumId w:val="17"/>
  </w:num>
  <w:num w:numId="29">
    <w:abstractNumId w:val="22"/>
  </w:num>
  <w:num w:numId="30">
    <w:abstractNumId w:val="30"/>
  </w:num>
  <w:num w:numId="31">
    <w:abstractNumId w:val="7"/>
  </w:num>
  <w:num w:numId="3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3477D"/>
    <w:rsid w:val="00034FE5"/>
    <w:rsid w:val="000414C5"/>
    <w:rsid w:val="00047606"/>
    <w:rsid w:val="00065623"/>
    <w:rsid w:val="000756B9"/>
    <w:rsid w:val="00096226"/>
    <w:rsid w:val="00096B67"/>
    <w:rsid w:val="00096DAF"/>
    <w:rsid w:val="000B17FC"/>
    <w:rsid w:val="000C2F47"/>
    <w:rsid w:val="000C632A"/>
    <w:rsid w:val="000D6C00"/>
    <w:rsid w:val="000E2094"/>
    <w:rsid w:val="000E4E04"/>
    <w:rsid w:val="000F14B4"/>
    <w:rsid w:val="000F75DF"/>
    <w:rsid w:val="001032C1"/>
    <w:rsid w:val="001328FA"/>
    <w:rsid w:val="001350E9"/>
    <w:rsid w:val="00147AAF"/>
    <w:rsid w:val="001552C0"/>
    <w:rsid w:val="001640B1"/>
    <w:rsid w:val="0016748E"/>
    <w:rsid w:val="0018435E"/>
    <w:rsid w:val="001D515A"/>
    <w:rsid w:val="002041A1"/>
    <w:rsid w:val="002054F0"/>
    <w:rsid w:val="00206582"/>
    <w:rsid w:val="00230D6B"/>
    <w:rsid w:val="00232068"/>
    <w:rsid w:val="002330F2"/>
    <w:rsid w:val="00243D9E"/>
    <w:rsid w:val="00253B66"/>
    <w:rsid w:val="00261DF1"/>
    <w:rsid w:val="00271F18"/>
    <w:rsid w:val="00282779"/>
    <w:rsid w:val="0028334D"/>
    <w:rsid w:val="002A50CB"/>
    <w:rsid w:val="002B7FFA"/>
    <w:rsid w:val="002C2BCF"/>
    <w:rsid w:val="002F279D"/>
    <w:rsid w:val="002F43B8"/>
    <w:rsid w:val="002F49AC"/>
    <w:rsid w:val="003078C3"/>
    <w:rsid w:val="0034554D"/>
    <w:rsid w:val="00352224"/>
    <w:rsid w:val="003671E6"/>
    <w:rsid w:val="00384272"/>
    <w:rsid w:val="00386D67"/>
    <w:rsid w:val="003945B8"/>
    <w:rsid w:val="003B045F"/>
    <w:rsid w:val="003B397C"/>
    <w:rsid w:val="003D7F29"/>
    <w:rsid w:val="003F480D"/>
    <w:rsid w:val="00405A6B"/>
    <w:rsid w:val="00407B1F"/>
    <w:rsid w:val="00414C57"/>
    <w:rsid w:val="0041758C"/>
    <w:rsid w:val="004361C8"/>
    <w:rsid w:val="004539DE"/>
    <w:rsid w:val="00466BE3"/>
    <w:rsid w:val="004A2CF1"/>
    <w:rsid w:val="004C3035"/>
    <w:rsid w:val="004C307F"/>
    <w:rsid w:val="004E4BA8"/>
    <w:rsid w:val="004F340F"/>
    <w:rsid w:val="004F38D2"/>
    <w:rsid w:val="004F7B7C"/>
    <w:rsid w:val="00506D5A"/>
    <w:rsid w:val="0052243D"/>
    <w:rsid w:val="00532435"/>
    <w:rsid w:val="00535936"/>
    <w:rsid w:val="00550354"/>
    <w:rsid w:val="00556B43"/>
    <w:rsid w:val="0056197E"/>
    <w:rsid w:val="00566BDB"/>
    <w:rsid w:val="00571236"/>
    <w:rsid w:val="0059051F"/>
    <w:rsid w:val="005953A1"/>
    <w:rsid w:val="005A756D"/>
    <w:rsid w:val="005D0332"/>
    <w:rsid w:val="005D0D8C"/>
    <w:rsid w:val="006776AE"/>
    <w:rsid w:val="00691EF1"/>
    <w:rsid w:val="00694F37"/>
    <w:rsid w:val="006A0D97"/>
    <w:rsid w:val="006B1F86"/>
    <w:rsid w:val="006C0A91"/>
    <w:rsid w:val="007054BB"/>
    <w:rsid w:val="00707064"/>
    <w:rsid w:val="00723749"/>
    <w:rsid w:val="00730683"/>
    <w:rsid w:val="00736F90"/>
    <w:rsid w:val="007409FC"/>
    <w:rsid w:val="0075261F"/>
    <w:rsid w:val="0075468E"/>
    <w:rsid w:val="007665D8"/>
    <w:rsid w:val="00766E36"/>
    <w:rsid w:val="00766E56"/>
    <w:rsid w:val="007765F4"/>
    <w:rsid w:val="00776633"/>
    <w:rsid w:val="00784D53"/>
    <w:rsid w:val="00797797"/>
    <w:rsid w:val="007A63C9"/>
    <w:rsid w:val="007B180E"/>
    <w:rsid w:val="007B2F83"/>
    <w:rsid w:val="007B32D1"/>
    <w:rsid w:val="007B54F2"/>
    <w:rsid w:val="007B7095"/>
    <w:rsid w:val="007D24E1"/>
    <w:rsid w:val="007E4824"/>
    <w:rsid w:val="007F4CE9"/>
    <w:rsid w:val="007F4E20"/>
    <w:rsid w:val="00800815"/>
    <w:rsid w:val="00822C7E"/>
    <w:rsid w:val="00847060"/>
    <w:rsid w:val="00856A33"/>
    <w:rsid w:val="00873C8B"/>
    <w:rsid w:val="00892620"/>
    <w:rsid w:val="00894C94"/>
    <w:rsid w:val="008C7D37"/>
    <w:rsid w:val="008D113A"/>
    <w:rsid w:val="008D5885"/>
    <w:rsid w:val="00923FA2"/>
    <w:rsid w:val="00934214"/>
    <w:rsid w:val="0094335F"/>
    <w:rsid w:val="0094782B"/>
    <w:rsid w:val="009521DB"/>
    <w:rsid w:val="0096060D"/>
    <w:rsid w:val="00974A50"/>
    <w:rsid w:val="0097585A"/>
    <w:rsid w:val="009924B0"/>
    <w:rsid w:val="009942C9"/>
    <w:rsid w:val="009A7990"/>
    <w:rsid w:val="009B35C4"/>
    <w:rsid w:val="009C630A"/>
    <w:rsid w:val="009E0D98"/>
    <w:rsid w:val="00A068A1"/>
    <w:rsid w:val="00A06E3E"/>
    <w:rsid w:val="00A1207D"/>
    <w:rsid w:val="00A12FD8"/>
    <w:rsid w:val="00A346FC"/>
    <w:rsid w:val="00A84F93"/>
    <w:rsid w:val="00A85ECB"/>
    <w:rsid w:val="00AA0188"/>
    <w:rsid w:val="00AB1AC5"/>
    <w:rsid w:val="00AB3BFC"/>
    <w:rsid w:val="00AC4F2E"/>
    <w:rsid w:val="00AD0C37"/>
    <w:rsid w:val="00AD385F"/>
    <w:rsid w:val="00AE6E2A"/>
    <w:rsid w:val="00B31E9C"/>
    <w:rsid w:val="00B35595"/>
    <w:rsid w:val="00B51C6D"/>
    <w:rsid w:val="00B86D64"/>
    <w:rsid w:val="00BA44CC"/>
    <w:rsid w:val="00BA4AC5"/>
    <w:rsid w:val="00BC1364"/>
    <w:rsid w:val="00BC7DE9"/>
    <w:rsid w:val="00BD22A2"/>
    <w:rsid w:val="00BE6C8E"/>
    <w:rsid w:val="00BF479B"/>
    <w:rsid w:val="00C02577"/>
    <w:rsid w:val="00C204FB"/>
    <w:rsid w:val="00C20BEE"/>
    <w:rsid w:val="00C2158D"/>
    <w:rsid w:val="00C37648"/>
    <w:rsid w:val="00C67DD2"/>
    <w:rsid w:val="00C725CB"/>
    <w:rsid w:val="00C76F5C"/>
    <w:rsid w:val="00C96BAD"/>
    <w:rsid w:val="00CA6944"/>
    <w:rsid w:val="00CB0F8E"/>
    <w:rsid w:val="00CB7E7D"/>
    <w:rsid w:val="00CC2911"/>
    <w:rsid w:val="00CE1E8D"/>
    <w:rsid w:val="00CE2650"/>
    <w:rsid w:val="00CF0C6D"/>
    <w:rsid w:val="00CF40FA"/>
    <w:rsid w:val="00CF7307"/>
    <w:rsid w:val="00CF7C68"/>
    <w:rsid w:val="00D124FA"/>
    <w:rsid w:val="00D340DE"/>
    <w:rsid w:val="00D55723"/>
    <w:rsid w:val="00D62FAD"/>
    <w:rsid w:val="00D70450"/>
    <w:rsid w:val="00D83BFD"/>
    <w:rsid w:val="00D90A38"/>
    <w:rsid w:val="00DA0515"/>
    <w:rsid w:val="00DA171E"/>
    <w:rsid w:val="00DA56AA"/>
    <w:rsid w:val="00DB5833"/>
    <w:rsid w:val="00DD2858"/>
    <w:rsid w:val="00DD6ECA"/>
    <w:rsid w:val="00E03E33"/>
    <w:rsid w:val="00E254E7"/>
    <w:rsid w:val="00E3642A"/>
    <w:rsid w:val="00E415C4"/>
    <w:rsid w:val="00E50016"/>
    <w:rsid w:val="00E50EAA"/>
    <w:rsid w:val="00E656D6"/>
    <w:rsid w:val="00E95234"/>
    <w:rsid w:val="00E977EE"/>
    <w:rsid w:val="00EA61F0"/>
    <w:rsid w:val="00EA67A2"/>
    <w:rsid w:val="00EC4F98"/>
    <w:rsid w:val="00EF69CB"/>
    <w:rsid w:val="00F11528"/>
    <w:rsid w:val="00F12F02"/>
    <w:rsid w:val="00F32E0D"/>
    <w:rsid w:val="00F35134"/>
    <w:rsid w:val="00F35D58"/>
    <w:rsid w:val="00F41812"/>
    <w:rsid w:val="00F542D6"/>
    <w:rsid w:val="00F67A66"/>
    <w:rsid w:val="00F73333"/>
    <w:rsid w:val="00F86DC0"/>
    <w:rsid w:val="00F95D8F"/>
    <w:rsid w:val="00F9778A"/>
    <w:rsid w:val="00FA5480"/>
    <w:rsid w:val="00FB350A"/>
    <w:rsid w:val="00FE73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339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Tabletext">
    <w:name w:val="Table text"/>
    <w:basedOn w:val="Normal"/>
    <w:link w:val="TabletextChar"/>
    <w:qFormat/>
    <w:rsid w:val="00F9778A"/>
    <w:pPr>
      <w:spacing w:before="40" w:after="40"/>
    </w:pPr>
    <w:rPr>
      <w:rFonts w:ascii="Arial Narrow" w:hAnsi="Arial Narrow" w:cs="Tahoma"/>
      <w:sz w:val="20"/>
    </w:rPr>
  </w:style>
  <w:style w:type="character" w:customStyle="1" w:styleId="TabletextChar">
    <w:name w:val="Table text Char"/>
    <w:link w:val="Tabletext"/>
    <w:rsid w:val="00F9778A"/>
    <w:rPr>
      <w:rFonts w:ascii="Arial Narrow" w:eastAsia="Times New Roman" w:hAnsi="Arial Narrow" w:cs="Tahoma"/>
      <w:sz w:val="20"/>
      <w:szCs w:val="20"/>
    </w:rPr>
  </w:style>
  <w:style w:type="character" w:customStyle="1" w:styleId="ListParagraphChar">
    <w:name w:val="List Paragraph Char"/>
    <w:basedOn w:val="DefaultParagraphFont"/>
    <w:link w:val="ListParagraph"/>
    <w:uiPriority w:val="34"/>
    <w:rsid w:val="00F9778A"/>
    <w:rPr>
      <w:rFonts w:eastAsia="Times New Roman"/>
      <w:sz w:val="24"/>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nhideWhenUsed/>
    <w:qFormat/>
    <w:locked/>
    <w:rsid w:val="00F9778A"/>
    <w:pPr>
      <w:keepNext/>
      <w:spacing w:before="40" w:after="40"/>
      <w:ind w:left="1741" w:hanging="1021"/>
      <w:jc w:val="both"/>
    </w:pPr>
    <w:rPr>
      <w:rFonts w:ascii="Arial Narrow" w:eastAsiaTheme="minorHAnsi" w:hAnsi="Arial Narrow" w:cstheme="minorBidi"/>
      <w:b/>
      <w:iCs/>
      <w:sz w:val="20"/>
      <w:szCs w:val="18"/>
      <w:lang w:eastAsia="en-US"/>
    </w:rPr>
  </w:style>
  <w:style w:type="paragraph" w:customStyle="1" w:styleId="Tableheadingleft">
    <w:name w:val="Table heading left"/>
    <w:basedOn w:val="Normal"/>
    <w:qFormat/>
    <w:rsid w:val="00F9778A"/>
    <w:pPr>
      <w:keepNext/>
      <w:keepLines/>
      <w:spacing w:before="40" w:after="40"/>
    </w:pPr>
    <w:rPr>
      <w:rFonts w:ascii="Arial Narrow" w:hAnsi="Arial Narrow"/>
      <w:b/>
      <w:sz w:val="20"/>
      <w:szCs w:val="22"/>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rsid w:val="00F9778A"/>
    <w:rPr>
      <w:rFonts w:ascii="Arial Narrow" w:eastAsiaTheme="minorHAnsi" w:hAnsi="Arial Narrow" w:cstheme="minorBidi"/>
      <w:b/>
      <w:iCs/>
      <w:sz w:val="20"/>
      <w:szCs w:val="18"/>
      <w:lang w:eastAsia="en-US"/>
    </w:rPr>
  </w:style>
  <w:style w:type="table" w:styleId="TableGrid">
    <w:name w:val="Table Grid"/>
    <w:aliases w:val="Summary box"/>
    <w:basedOn w:val="TableNormal"/>
    <w:uiPriority w:val="99"/>
    <w:locked/>
    <w:rsid w:val="00034FE5"/>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ExecSumm"/>
    <w:basedOn w:val="Normal"/>
    <w:qFormat/>
    <w:rsid w:val="00034FE5"/>
    <w:pPr>
      <w:tabs>
        <w:tab w:val="left" w:pos="720"/>
      </w:tabs>
      <w:spacing w:before="120"/>
    </w:pPr>
    <w:rPr>
      <w:szCs w:val="24"/>
    </w:rPr>
  </w:style>
  <w:style w:type="character" w:customStyle="1" w:styleId="TableTextChar0">
    <w:name w:val="Table Text Char"/>
    <w:link w:val="TableText0"/>
    <w:locked/>
    <w:rsid w:val="00034FE5"/>
    <w:rPr>
      <w:rFonts w:ascii="Arial" w:eastAsia="Times New Roman" w:hAnsi="Arial"/>
      <w:sz w:val="18"/>
    </w:rPr>
  </w:style>
  <w:style w:type="paragraph" w:customStyle="1" w:styleId="TableText0">
    <w:name w:val="Table Text"/>
    <w:basedOn w:val="Normal"/>
    <w:link w:val="TableTextChar0"/>
    <w:qFormat/>
    <w:rsid w:val="00034FE5"/>
    <w:pPr>
      <w:keepNext/>
      <w:keepLines/>
      <w:spacing w:after="120"/>
    </w:pPr>
    <w:rPr>
      <w:rFonts w:ascii="Arial" w:hAnsi="Arial"/>
      <w:sz w:val="18"/>
      <w:szCs w:val="22"/>
    </w:rPr>
  </w:style>
  <w:style w:type="paragraph" w:customStyle="1" w:styleId="TableNotes">
    <w:name w:val="TableNotes"/>
    <w:basedOn w:val="TableText0"/>
    <w:qFormat/>
    <w:rsid w:val="00034FE5"/>
    <w:pPr>
      <w:spacing w:after="360"/>
    </w:pPr>
    <w:rPr>
      <w:sz w:val="16"/>
      <w:szCs w:val="20"/>
    </w:rPr>
  </w:style>
  <w:style w:type="paragraph" w:customStyle="1" w:styleId="Tabletextboldleft">
    <w:name w:val="Table text bold left"/>
    <w:basedOn w:val="Normal"/>
    <w:link w:val="TabletextboldleftChar"/>
    <w:qFormat/>
    <w:rsid w:val="00034FE5"/>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rsid w:val="00034FE5"/>
    <w:rPr>
      <w:rFonts w:ascii="Arial Narrow" w:eastAsia="Times New Roman" w:hAnsi="Arial Narrow" w:cs="Arial"/>
      <w:b/>
      <w:sz w:val="20"/>
      <w:szCs w:val="20"/>
      <w:lang w:eastAsia="en-US"/>
    </w:rPr>
  </w:style>
  <w:style w:type="paragraph" w:customStyle="1" w:styleId="Tabletextbold">
    <w:name w:val="Table text bold"/>
    <w:basedOn w:val="Normal"/>
    <w:link w:val="TabletextboldChar"/>
    <w:qFormat/>
    <w:rsid w:val="00034FE5"/>
    <w:pPr>
      <w:keepNext/>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034FE5"/>
    <w:rPr>
      <w:rFonts w:ascii="Arial Narrow" w:eastAsia="Times New Roman" w:hAnsi="Arial Narrow" w:cs="Arial"/>
      <w:b/>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Tabletext">
    <w:name w:val="Table text"/>
    <w:basedOn w:val="Normal"/>
    <w:link w:val="TabletextChar"/>
    <w:qFormat/>
    <w:rsid w:val="00F9778A"/>
    <w:pPr>
      <w:spacing w:before="40" w:after="40"/>
    </w:pPr>
    <w:rPr>
      <w:rFonts w:ascii="Arial Narrow" w:hAnsi="Arial Narrow" w:cs="Tahoma"/>
      <w:sz w:val="20"/>
    </w:rPr>
  </w:style>
  <w:style w:type="character" w:customStyle="1" w:styleId="TabletextChar">
    <w:name w:val="Table text Char"/>
    <w:link w:val="Tabletext"/>
    <w:rsid w:val="00F9778A"/>
    <w:rPr>
      <w:rFonts w:ascii="Arial Narrow" w:eastAsia="Times New Roman" w:hAnsi="Arial Narrow" w:cs="Tahoma"/>
      <w:sz w:val="20"/>
      <w:szCs w:val="20"/>
    </w:rPr>
  </w:style>
  <w:style w:type="character" w:customStyle="1" w:styleId="ListParagraphChar">
    <w:name w:val="List Paragraph Char"/>
    <w:basedOn w:val="DefaultParagraphFont"/>
    <w:link w:val="ListParagraph"/>
    <w:uiPriority w:val="34"/>
    <w:rsid w:val="00F9778A"/>
    <w:rPr>
      <w:rFonts w:eastAsia="Times New Roman"/>
      <w:sz w:val="24"/>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nhideWhenUsed/>
    <w:qFormat/>
    <w:locked/>
    <w:rsid w:val="00F9778A"/>
    <w:pPr>
      <w:keepNext/>
      <w:spacing w:before="40" w:after="40"/>
      <w:ind w:left="1741" w:hanging="1021"/>
      <w:jc w:val="both"/>
    </w:pPr>
    <w:rPr>
      <w:rFonts w:ascii="Arial Narrow" w:eastAsiaTheme="minorHAnsi" w:hAnsi="Arial Narrow" w:cstheme="minorBidi"/>
      <w:b/>
      <w:iCs/>
      <w:sz w:val="20"/>
      <w:szCs w:val="18"/>
      <w:lang w:eastAsia="en-US"/>
    </w:rPr>
  </w:style>
  <w:style w:type="paragraph" w:customStyle="1" w:styleId="Tableheadingleft">
    <w:name w:val="Table heading left"/>
    <w:basedOn w:val="Normal"/>
    <w:qFormat/>
    <w:rsid w:val="00F9778A"/>
    <w:pPr>
      <w:keepNext/>
      <w:keepLines/>
      <w:spacing w:before="40" w:after="40"/>
    </w:pPr>
    <w:rPr>
      <w:rFonts w:ascii="Arial Narrow" w:hAnsi="Arial Narrow"/>
      <w:b/>
      <w:sz w:val="20"/>
      <w:szCs w:val="22"/>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rsid w:val="00F9778A"/>
    <w:rPr>
      <w:rFonts w:ascii="Arial Narrow" w:eastAsiaTheme="minorHAnsi" w:hAnsi="Arial Narrow" w:cstheme="minorBidi"/>
      <w:b/>
      <w:iCs/>
      <w:sz w:val="20"/>
      <w:szCs w:val="18"/>
      <w:lang w:eastAsia="en-US"/>
    </w:rPr>
  </w:style>
  <w:style w:type="table" w:styleId="TableGrid">
    <w:name w:val="Table Grid"/>
    <w:aliases w:val="Summary box"/>
    <w:basedOn w:val="TableNormal"/>
    <w:uiPriority w:val="99"/>
    <w:locked/>
    <w:rsid w:val="00034FE5"/>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ExecSumm"/>
    <w:basedOn w:val="Normal"/>
    <w:qFormat/>
    <w:rsid w:val="00034FE5"/>
    <w:pPr>
      <w:tabs>
        <w:tab w:val="left" w:pos="720"/>
      </w:tabs>
      <w:spacing w:before="120"/>
    </w:pPr>
    <w:rPr>
      <w:szCs w:val="24"/>
    </w:rPr>
  </w:style>
  <w:style w:type="character" w:customStyle="1" w:styleId="TableTextChar0">
    <w:name w:val="Table Text Char"/>
    <w:link w:val="TableText0"/>
    <w:locked/>
    <w:rsid w:val="00034FE5"/>
    <w:rPr>
      <w:rFonts w:ascii="Arial" w:eastAsia="Times New Roman" w:hAnsi="Arial"/>
      <w:sz w:val="18"/>
    </w:rPr>
  </w:style>
  <w:style w:type="paragraph" w:customStyle="1" w:styleId="TableText0">
    <w:name w:val="Table Text"/>
    <w:basedOn w:val="Normal"/>
    <w:link w:val="TableTextChar0"/>
    <w:qFormat/>
    <w:rsid w:val="00034FE5"/>
    <w:pPr>
      <w:keepNext/>
      <w:keepLines/>
      <w:spacing w:after="120"/>
    </w:pPr>
    <w:rPr>
      <w:rFonts w:ascii="Arial" w:hAnsi="Arial"/>
      <w:sz w:val="18"/>
      <w:szCs w:val="22"/>
    </w:rPr>
  </w:style>
  <w:style w:type="paragraph" w:customStyle="1" w:styleId="TableNotes">
    <w:name w:val="TableNotes"/>
    <w:basedOn w:val="TableText0"/>
    <w:qFormat/>
    <w:rsid w:val="00034FE5"/>
    <w:pPr>
      <w:spacing w:after="360"/>
    </w:pPr>
    <w:rPr>
      <w:sz w:val="16"/>
      <w:szCs w:val="20"/>
    </w:rPr>
  </w:style>
  <w:style w:type="paragraph" w:customStyle="1" w:styleId="Tabletextboldleft">
    <w:name w:val="Table text bold left"/>
    <w:basedOn w:val="Normal"/>
    <w:link w:val="TabletextboldleftChar"/>
    <w:qFormat/>
    <w:rsid w:val="00034FE5"/>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rsid w:val="00034FE5"/>
    <w:rPr>
      <w:rFonts w:ascii="Arial Narrow" w:eastAsia="Times New Roman" w:hAnsi="Arial Narrow" w:cs="Arial"/>
      <w:b/>
      <w:sz w:val="20"/>
      <w:szCs w:val="20"/>
      <w:lang w:eastAsia="en-US"/>
    </w:rPr>
  </w:style>
  <w:style w:type="paragraph" w:customStyle="1" w:styleId="Tabletextbold">
    <w:name w:val="Table text bold"/>
    <w:basedOn w:val="Normal"/>
    <w:link w:val="TabletextboldChar"/>
    <w:qFormat/>
    <w:rsid w:val="00034FE5"/>
    <w:pPr>
      <w:keepNext/>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034FE5"/>
    <w:rPr>
      <w:rFonts w:ascii="Arial Narrow" w:eastAsia="Times New Roman" w:hAnsi="Arial Narrow" w:cs="Arial"/>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09225">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sac.gov.a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5372</Words>
  <Characters>30016</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McCandless Sean</cp:lastModifiedBy>
  <cp:revision>2</cp:revision>
  <cp:lastPrinted>2016-02-01T00:09:00Z</cp:lastPrinted>
  <dcterms:created xsi:type="dcterms:W3CDTF">2016-03-11T03:54:00Z</dcterms:created>
  <dcterms:modified xsi:type="dcterms:W3CDTF">2016-03-11T03:54:00Z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