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AE2E" w14:textId="77777777" w:rsidR="00415A9B" w:rsidRDefault="00415A9B" w:rsidP="00415A9B">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5B4A7A93" w14:textId="2A34A6B9" w:rsidR="00B97B6E" w:rsidRDefault="00772829" w:rsidP="00415A9B">
      <w:pPr>
        <w:pStyle w:val="Subtitle"/>
      </w:pPr>
      <w:r w:rsidRPr="00CE28E3">
        <w:t>Application No</w:t>
      </w:r>
      <w:r w:rsidRPr="007838DA">
        <w:t xml:space="preserve">. </w:t>
      </w:r>
      <w:r w:rsidR="00C65FAA" w:rsidRPr="007838DA">
        <w:t>1</w:t>
      </w:r>
      <w:r w:rsidR="00BC3403">
        <w:t>627</w:t>
      </w:r>
      <w:r w:rsidR="00E57E53">
        <w:t>.1</w:t>
      </w:r>
      <w:r w:rsidRPr="007838DA">
        <w:t xml:space="preserve"> – </w:t>
      </w:r>
      <w:r w:rsidR="00DF717D" w:rsidRPr="00DF717D">
        <w:t xml:space="preserve">Point-of-care testing for sexually transmitted infections provided by Aboriginal Medical Services or Aboriginal Community Controlled Heath Services </w:t>
      </w:r>
      <w:r w:rsidR="00DF717D">
        <w:br/>
      </w:r>
      <w:r w:rsidR="00DF717D" w:rsidRPr="00DF717D">
        <w:t>in rural or remote areas</w:t>
      </w:r>
    </w:p>
    <w:p w14:paraId="35263561" w14:textId="5F5893BE"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AD1D8B">
        <w:rPr>
          <w:rFonts w:ascii="Arial" w:hAnsi="Arial" w:cs="Arial"/>
          <w:b/>
          <w:szCs w:val="24"/>
        </w:rPr>
        <w:t>The Kirby Institute</w:t>
      </w:r>
      <w:r w:rsidR="00DD1A1F">
        <w:rPr>
          <w:rFonts w:ascii="Arial" w:hAnsi="Arial" w:cs="Arial"/>
          <w:b/>
          <w:szCs w:val="24"/>
        </w:rPr>
        <w:t>, UNSW</w:t>
      </w:r>
    </w:p>
    <w:p w14:paraId="3E6CC5BC" w14:textId="77777777" w:rsidR="00415A9B"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267B14">
        <w:rPr>
          <w:rFonts w:ascii="Arial" w:hAnsi="Arial" w:cs="Arial"/>
          <w:b/>
          <w:szCs w:val="24"/>
        </w:rPr>
        <w:t>23-</w:t>
      </w:r>
      <w:r w:rsidR="00525A3C">
        <w:rPr>
          <w:rFonts w:ascii="Arial" w:hAnsi="Arial" w:cs="Arial"/>
          <w:b/>
          <w:szCs w:val="24"/>
        </w:rPr>
        <w:t xml:space="preserve">24 </w:t>
      </w:r>
      <w:r w:rsidR="00AD1D8B">
        <w:rPr>
          <w:rFonts w:ascii="Arial" w:hAnsi="Arial" w:cs="Arial"/>
          <w:b/>
          <w:szCs w:val="24"/>
        </w:rPr>
        <w:t>November</w:t>
      </w:r>
      <w:r w:rsidR="00E138A7" w:rsidRPr="00E138A7">
        <w:rPr>
          <w:rFonts w:ascii="Arial" w:hAnsi="Arial" w:cs="Arial"/>
          <w:b/>
          <w:szCs w:val="24"/>
        </w:rPr>
        <w:t xml:space="preserve"> 202</w:t>
      </w:r>
      <w:r w:rsidR="00267B14">
        <w:rPr>
          <w:rFonts w:ascii="Arial" w:hAnsi="Arial" w:cs="Arial"/>
          <w:b/>
          <w:szCs w:val="24"/>
        </w:rPr>
        <w:t>3</w:t>
      </w:r>
    </w:p>
    <w:p w14:paraId="15DA9C4A" w14:textId="11E15AF3" w:rsidR="009A3778" w:rsidRPr="00415A9B" w:rsidRDefault="00415A9B" w:rsidP="00415A9B">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66C3E57C"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31897E9F" w14:textId="106E7C5F" w:rsidR="00CB2ECD" w:rsidRDefault="00CB2ECD" w:rsidP="00CB2ECD">
      <w:pPr>
        <w:spacing w:after="240"/>
        <w:rPr>
          <w:iCs/>
        </w:rPr>
      </w:pPr>
      <w:bookmarkStart w:id="1" w:name="_Hlk69734469"/>
      <w:r w:rsidRPr="009A3778">
        <w:rPr>
          <w:iCs/>
        </w:rPr>
        <w:t>A</w:t>
      </w:r>
      <w:r w:rsidR="00BB3CF6">
        <w:rPr>
          <w:iCs/>
        </w:rPr>
        <w:t xml:space="preserve"> </w:t>
      </w:r>
      <w:r w:rsidR="004515C8">
        <w:rPr>
          <w:iCs/>
        </w:rPr>
        <w:t>resubmission</w:t>
      </w:r>
      <w:r w:rsidRPr="009A3778">
        <w:rPr>
          <w:iCs/>
        </w:rPr>
        <w:t xml:space="preserve"> requesting </w:t>
      </w:r>
      <w:r w:rsidRPr="00692CD4">
        <w:rPr>
          <w:iCs/>
        </w:rPr>
        <w:t xml:space="preserve">Medicare Benefits Schedule (MBS) listing </w:t>
      </w:r>
      <w:r w:rsidRPr="009A3778">
        <w:rPr>
          <w:iCs/>
        </w:rPr>
        <w:t xml:space="preserve">of </w:t>
      </w:r>
      <w:r>
        <w:rPr>
          <w:iCs/>
        </w:rPr>
        <w:t>point of care testing</w:t>
      </w:r>
      <w:r w:rsidRPr="009A3778">
        <w:rPr>
          <w:iCs/>
        </w:rPr>
        <w:t xml:space="preserve"> </w:t>
      </w:r>
      <w:r w:rsidR="003424DA">
        <w:rPr>
          <w:iCs/>
        </w:rPr>
        <w:t xml:space="preserve">(PoCT) </w:t>
      </w:r>
      <w:r w:rsidRPr="009A3778">
        <w:rPr>
          <w:iCs/>
        </w:rPr>
        <w:t xml:space="preserve">for </w:t>
      </w:r>
      <w:r>
        <w:rPr>
          <w:iCs/>
        </w:rPr>
        <w:t xml:space="preserve">detection of </w:t>
      </w:r>
      <w:r w:rsidRPr="000908C0">
        <w:rPr>
          <w:rFonts w:eastAsia="Arial Narrow" w:cs="Arial Narrow"/>
          <w:i/>
          <w:lang w:val="en-US" w:eastAsia="en-AU"/>
        </w:rPr>
        <w:t>Chlamydia trachomatis</w:t>
      </w:r>
      <w:r>
        <w:rPr>
          <w:rFonts w:eastAsia="Arial Narrow" w:cs="Arial Narrow"/>
          <w:lang w:val="en-US" w:eastAsia="en-AU"/>
        </w:rPr>
        <w:t xml:space="preserve"> (CT),</w:t>
      </w:r>
      <w:r w:rsidRPr="000908C0">
        <w:rPr>
          <w:rFonts w:eastAsia="Arial Narrow" w:cs="Arial Narrow"/>
          <w:lang w:val="en-US" w:eastAsia="en-AU"/>
        </w:rPr>
        <w:t xml:space="preserve"> </w:t>
      </w:r>
      <w:r w:rsidRPr="000908C0">
        <w:rPr>
          <w:rFonts w:eastAsia="Arial Narrow" w:cs="Arial Narrow"/>
          <w:i/>
          <w:lang w:val="en-US" w:eastAsia="en-AU"/>
        </w:rPr>
        <w:t xml:space="preserve">Neisseria </w:t>
      </w:r>
      <w:r>
        <w:rPr>
          <w:rFonts w:eastAsia="Arial Narrow" w:cs="Arial Narrow"/>
          <w:i/>
          <w:lang w:val="en-US" w:eastAsia="en-AU"/>
        </w:rPr>
        <w:t>gonorrhoeae</w:t>
      </w:r>
      <w:r>
        <w:rPr>
          <w:rFonts w:eastAsia="Arial Narrow" w:cs="Arial Narrow"/>
          <w:lang w:val="en-US" w:eastAsia="en-AU"/>
        </w:rPr>
        <w:t xml:space="preserve"> (NG)</w:t>
      </w:r>
      <w:r w:rsidRPr="000908C0">
        <w:rPr>
          <w:rFonts w:eastAsia="Arial Narrow" w:cs="Arial Narrow"/>
          <w:lang w:val="en-US" w:eastAsia="en-AU"/>
        </w:rPr>
        <w:t xml:space="preserve">, and </w:t>
      </w:r>
      <w:r w:rsidRPr="000908C0">
        <w:rPr>
          <w:rFonts w:eastAsia="Arial Narrow" w:cs="Arial Narrow"/>
          <w:i/>
          <w:lang w:val="en-US" w:eastAsia="en-AU"/>
        </w:rPr>
        <w:t>Trichomonas vaginalis</w:t>
      </w:r>
      <w:r>
        <w:rPr>
          <w:rFonts w:eastAsia="Arial Narrow" w:cs="Arial Narrow"/>
          <w:lang w:val="en-US" w:eastAsia="en-AU"/>
        </w:rPr>
        <w:t xml:space="preserve"> (TV)</w:t>
      </w:r>
      <w:r w:rsidRPr="000908C0">
        <w:rPr>
          <w:rFonts w:eastAsia="Arial Narrow" w:cs="Arial Narrow"/>
          <w:lang w:val="en-US" w:eastAsia="en-AU"/>
        </w:rPr>
        <w:t xml:space="preserve"> </w:t>
      </w:r>
      <w:r w:rsidRPr="009A3778">
        <w:rPr>
          <w:iCs/>
        </w:rPr>
        <w:t xml:space="preserve">was received from the </w:t>
      </w:r>
      <w:r w:rsidRPr="00101C4E">
        <w:rPr>
          <w:iCs/>
        </w:rPr>
        <w:t>Kirby Institute, UNSW</w:t>
      </w:r>
      <w:r>
        <w:rPr>
          <w:iCs/>
        </w:rPr>
        <w:t>,</w:t>
      </w:r>
      <w:r w:rsidRPr="00101C4E">
        <w:rPr>
          <w:iCs/>
        </w:rPr>
        <w:t xml:space="preserve"> </w:t>
      </w:r>
      <w:r w:rsidRPr="009A3778">
        <w:rPr>
          <w:iCs/>
        </w:rPr>
        <w:t>by the Department of Health</w:t>
      </w:r>
      <w:r>
        <w:rPr>
          <w:iCs/>
        </w:rPr>
        <w:t xml:space="preserve"> and Aged Care</w:t>
      </w:r>
      <w:r w:rsidRPr="009A3778">
        <w:rPr>
          <w:iCs/>
        </w:rPr>
        <w:t>.</w:t>
      </w:r>
    </w:p>
    <w:p w14:paraId="65DC06AA" w14:textId="09CDFE3C" w:rsidR="000A352D" w:rsidRDefault="00C36633" w:rsidP="000A352D">
      <w:pPr>
        <w:pStyle w:val="Heading2"/>
        <w:numPr>
          <w:ilvl w:val="1"/>
          <w:numId w:val="0"/>
        </w:numPr>
      </w:pPr>
      <w:bookmarkStart w:id="2" w:name="_Toc69491416"/>
      <w:bookmarkEnd w:id="1"/>
      <w:r>
        <w:t>2.</w:t>
      </w:r>
      <w:r w:rsidR="000A352D">
        <w:tab/>
        <w:t>MSAC’s advice to the Minister</w:t>
      </w:r>
    </w:p>
    <w:p w14:paraId="0426E54E" w14:textId="4276171F" w:rsidR="000A352D" w:rsidRPr="00EB7D3D" w:rsidRDefault="000A352D" w:rsidP="00EB7D3D">
      <w:r>
        <w:t xml:space="preserve">After considering the strength of the available evidence in relation to comparative safety, clinical effectiveness, cost-effectiveness and total cost, </w:t>
      </w:r>
      <w:r w:rsidR="00583B75">
        <w:t>MSAC supported the creation of a new MBS item for PoCT for detection of CT, NG, and TV</w:t>
      </w:r>
      <w:r w:rsidR="00AD4793">
        <w:t xml:space="preserve"> </w:t>
      </w:r>
      <w:r w:rsidR="00583B75">
        <w:t>provided by Aboriginal Medical Services or Aboriginal Community Controlled Heath Services located</w:t>
      </w:r>
      <w:r w:rsidR="001637FA">
        <w:t xml:space="preserve"> </w:t>
      </w:r>
      <w:r w:rsidR="00583B75">
        <w:t>within remote (Modified Monash [MM] category 6) and very remote (MM category 7) communities. MSAC again recognised that there is a clinical need for the proposed testing due to a high prevalence of sexually transmitted infections (STIs) and the serious consequences of untreated infections for the proposed population</w:t>
      </w:r>
      <w:r w:rsidR="00D649C5">
        <w:rPr>
          <w:iCs/>
        </w:rPr>
        <w:t>.</w:t>
      </w:r>
      <w:r w:rsidR="002B7601">
        <w:rPr>
          <w:iCs/>
        </w:rPr>
        <w:t xml:space="preserve"> </w:t>
      </w:r>
      <w:r w:rsidR="00D649C5">
        <w:rPr>
          <w:iCs/>
        </w:rPr>
        <w:t>In addition</w:t>
      </w:r>
      <w:r w:rsidR="002B7601">
        <w:rPr>
          <w:iCs/>
        </w:rPr>
        <w:t xml:space="preserve">, laboratory testing </w:t>
      </w:r>
      <w:r w:rsidR="00CA2074">
        <w:rPr>
          <w:iCs/>
        </w:rPr>
        <w:t>for STIs (current alternative to PoCT)</w:t>
      </w:r>
      <w:r w:rsidR="002B7601">
        <w:rPr>
          <w:iCs/>
        </w:rPr>
        <w:t xml:space="preserve"> necessitates follow-up care several days after the test creating barriers to timely treatment</w:t>
      </w:r>
      <w:r w:rsidR="00583B75">
        <w:t xml:space="preserve">. However, MSAC noted that no new clinical evidence was provided and therefore, while PoCT for STIs reduced the time from testing to treatment, the magnitude of the incremental benefit and impact on health outcomes remained highly uncertain. Further, the cost-effectiveness of PoCT for STIs compared to standard laboratory testing remained highly uncertain due to the </w:t>
      </w:r>
      <w:r w:rsidR="0054510C">
        <w:t xml:space="preserve">reservations in relation to </w:t>
      </w:r>
      <w:r w:rsidR="00583B75">
        <w:t xml:space="preserve">the </w:t>
      </w:r>
      <w:r w:rsidR="0054510C">
        <w:t xml:space="preserve">modelled </w:t>
      </w:r>
      <w:r w:rsidR="00583B75">
        <w:t xml:space="preserve">health benefits and the </w:t>
      </w:r>
      <w:r w:rsidR="00583B75" w:rsidRPr="00A8169C">
        <w:t>use of an overly complex and unreliable economic model</w:t>
      </w:r>
      <w:r w:rsidR="00583B75">
        <w:t>. MSAC noted the applicant had reduced the fee for PoCT (i.e.</w:t>
      </w:r>
      <w:r w:rsidR="00AD4793">
        <w:t>,</w:t>
      </w:r>
      <w:r w:rsidR="00583B75">
        <w:t xml:space="preserve"> total fee for combined CT/NG and TV PoCT of $212.90 [85% rebate $181]) and reduced the locations for the service to those in MM category 3 (large rural towns) to MM</w:t>
      </w:r>
      <w:r w:rsidR="00504D35">
        <w:t> </w:t>
      </w:r>
      <w:r w:rsidR="00583B75">
        <w:t>category 7 (very remote communities). MSAC considered that this population and fee was not supported due to the uncertainty that remained regarding the clinical and cost-effectiveness of PoCT for STIs. However, MSAC considered the high clinical need and value of PoCT for STIs in remote and very remote communities (i.e.</w:t>
      </w:r>
      <w:r w:rsidR="00AD4793">
        <w:t>,</w:t>
      </w:r>
      <w:r w:rsidR="00583B75">
        <w:t xml:space="preserve"> MM categories 6 to 7), where PoCT for STIs could have </w:t>
      </w:r>
      <w:r w:rsidR="00583B75" w:rsidRPr="00F753A8">
        <w:t>the greatest potential benefit by improving</w:t>
      </w:r>
      <w:r w:rsidR="00583B75">
        <w:t xml:space="preserve"> timely access and reducing delays in</w:t>
      </w:r>
      <w:r w:rsidR="00045E4C">
        <w:t xml:space="preserve"> </w:t>
      </w:r>
      <w:r w:rsidR="00583B75">
        <w:t>receiving test results. Therefore, MSAC supported MBS listing of PoCT for STIs in this high need population (i.e.</w:t>
      </w:r>
      <w:r w:rsidR="00045E4C">
        <w:t>,</w:t>
      </w:r>
      <w:r w:rsidR="00583B75">
        <w:t xml:space="preserve"> MM categor</w:t>
      </w:r>
      <w:r w:rsidR="006861A0">
        <w:t>ies</w:t>
      </w:r>
      <w:r w:rsidR="00583B75">
        <w:t xml:space="preserve"> 6-7), at a total fee for combined CT/NG and TV PoCT of </w:t>
      </w:r>
      <w:r w:rsidR="00583B75">
        <w:lastRenderedPageBreak/>
        <w:t xml:space="preserve">$117.65 (85% rebate $100; comprising the equivalent to the fee for standard laboratory testing plus additional costs that MSAC considered </w:t>
      </w:r>
      <w:r w:rsidR="00AB21A5">
        <w:t xml:space="preserve">were </w:t>
      </w:r>
      <w:r w:rsidR="00A857D5">
        <w:t xml:space="preserve">justified </w:t>
      </w:r>
      <w:r w:rsidR="00583B75">
        <w:t>for provision of the service).</w:t>
      </w:r>
    </w:p>
    <w:tbl>
      <w:tblPr>
        <w:tblStyle w:val="TableGrid"/>
        <w:tblW w:w="0" w:type="auto"/>
        <w:tblLook w:val="04A0" w:firstRow="1" w:lastRow="0" w:firstColumn="1" w:lastColumn="0" w:noHBand="0" w:noVBand="1"/>
        <w:tblDescription w:val="Consumer summary of MSAC consideration"/>
      </w:tblPr>
      <w:tblGrid>
        <w:gridCol w:w="9016"/>
      </w:tblGrid>
      <w:tr w:rsidR="000A352D" w:rsidRPr="00AF46D8" w14:paraId="5EB1FB1B" w14:textId="77777777" w:rsidTr="3FCFEE70">
        <w:trPr>
          <w:tblHeader/>
        </w:trPr>
        <w:tc>
          <w:tcPr>
            <w:tcW w:w="9016" w:type="dxa"/>
          </w:tcPr>
          <w:p w14:paraId="0696B532" w14:textId="77777777" w:rsidR="000A352D" w:rsidRPr="00AF46D8" w:rsidRDefault="000A352D" w:rsidP="00025E3D">
            <w:pPr>
              <w:pStyle w:val="Heading3"/>
              <w:spacing w:before="120"/>
              <w:ind w:left="720" w:hanging="720"/>
              <w:rPr>
                <w:iCs/>
              </w:rPr>
            </w:pPr>
            <w:r w:rsidRPr="00AF46D8">
              <w:t>Consumer summary</w:t>
            </w:r>
          </w:p>
        </w:tc>
      </w:tr>
      <w:tr w:rsidR="000A352D" w:rsidRPr="00AF46D8" w14:paraId="50E8C3DA" w14:textId="77777777" w:rsidTr="3FCFEE70">
        <w:tc>
          <w:tcPr>
            <w:tcW w:w="9016" w:type="dxa"/>
          </w:tcPr>
          <w:p w14:paraId="3972F73F" w14:textId="7D728484" w:rsidR="000C30A7" w:rsidRDefault="000C30A7" w:rsidP="000C30A7">
            <w:r w:rsidRPr="00AF46D8">
              <w:t>This is an application from</w:t>
            </w:r>
            <w:r>
              <w:t xml:space="preserve"> The Kirby Institute</w:t>
            </w:r>
            <w:r w:rsidRPr="00AF46D8">
              <w:t xml:space="preserve"> requesting Medicare Benefits Schedule (MBS) listing of</w:t>
            </w:r>
            <w:r>
              <w:t xml:space="preserve"> point of care testing</w:t>
            </w:r>
            <w:r w:rsidR="0058060F">
              <w:t xml:space="preserve"> (PoCT)</w:t>
            </w:r>
            <w:r>
              <w:t xml:space="preserve"> for sexually transmitted infections (STIs) for people presenting to Aboriginal Medical Services or Aboriginal Community Controlled Health Organisations in rural and remote Australia. </w:t>
            </w:r>
            <w:r w:rsidR="00AB2707">
              <w:t xml:space="preserve">MSAC </w:t>
            </w:r>
            <w:r w:rsidR="001E6237">
              <w:t>previously considered this application in November 2022.</w:t>
            </w:r>
          </w:p>
          <w:p w14:paraId="0A83F146" w14:textId="07CE4F91" w:rsidR="000C30A7" w:rsidRDefault="000C30A7" w:rsidP="000C30A7">
            <w:r>
              <w:t>STIs such as chlamydia, gonorrhoea and trichomonas are infections that are spread through sexual contact</w:t>
            </w:r>
            <w:r w:rsidR="006D4688">
              <w:t xml:space="preserve"> and are treated with antibiotics.</w:t>
            </w:r>
            <w:r w:rsidR="001E6237">
              <w:t xml:space="preserve"> I</w:t>
            </w:r>
            <w:r>
              <w:t xml:space="preserve">ndividuals with these </w:t>
            </w:r>
            <w:r w:rsidR="001C7FD1">
              <w:t xml:space="preserve">STIs </w:t>
            </w:r>
            <w:r>
              <w:t xml:space="preserve">may not </w:t>
            </w:r>
            <w:r w:rsidR="00F26E8D">
              <w:t xml:space="preserve">have any </w:t>
            </w:r>
            <w:r>
              <w:t>symptoms</w:t>
            </w:r>
            <w:r w:rsidR="00F26E8D">
              <w:t>.</w:t>
            </w:r>
            <w:r w:rsidR="00D13F67">
              <w:t xml:space="preserve"> </w:t>
            </w:r>
            <w:r>
              <w:t xml:space="preserve">The long-term effects of untreated STIs can be serious and can include premature birth and problems with fertility. People aged 16 to 29 years old are most at risk, and the rates of STIs in Aboriginal and Torres Strait Islander communities in rural and remote Australia are high. </w:t>
            </w:r>
            <w:r w:rsidR="00A90900">
              <w:t>The application to MSAC also outlined the challenges to accessing timely treatment with the testing approaches that are currently funded.</w:t>
            </w:r>
          </w:p>
          <w:p w14:paraId="02CBC58D" w14:textId="59473928" w:rsidR="000C30A7" w:rsidRDefault="000C30A7" w:rsidP="000C30A7">
            <w:r>
              <w:t>Currently, people are tested for STIs by collecting a sample</w:t>
            </w:r>
            <w:r w:rsidR="00EB7A36">
              <w:t xml:space="preserve"> </w:t>
            </w:r>
            <w:r w:rsidR="00533310">
              <w:t>that</w:t>
            </w:r>
            <w:r w:rsidR="00561886">
              <w:t xml:space="preserve"> </w:t>
            </w:r>
            <w:r>
              <w:t>is</w:t>
            </w:r>
            <w:r w:rsidR="00561886">
              <w:t xml:space="preserve"> </w:t>
            </w:r>
            <w:r>
              <w:t xml:space="preserve">sent to </w:t>
            </w:r>
            <w:r w:rsidR="00D90484">
              <w:t xml:space="preserve">a </w:t>
            </w:r>
            <w:r>
              <w:t>laborator</w:t>
            </w:r>
            <w:r w:rsidR="00D90484">
              <w:t xml:space="preserve">y for </w:t>
            </w:r>
            <w:r>
              <w:t>test</w:t>
            </w:r>
            <w:r w:rsidR="00D90484">
              <w:t>ing</w:t>
            </w:r>
            <w:r>
              <w:t xml:space="preserve">. The results can </w:t>
            </w:r>
            <w:r w:rsidR="007D1E56">
              <w:t xml:space="preserve">sometimes </w:t>
            </w:r>
            <w:r>
              <w:t xml:space="preserve">take up to 14 days </w:t>
            </w:r>
            <w:r w:rsidR="005572FB">
              <w:t xml:space="preserve">for the doctor </w:t>
            </w:r>
            <w:r w:rsidR="00E267D1">
              <w:t xml:space="preserve">and patient </w:t>
            </w:r>
            <w:r w:rsidR="005572FB">
              <w:t>to receive</w:t>
            </w:r>
            <w:r w:rsidR="007D1E56">
              <w:t xml:space="preserve"> in remote locations</w:t>
            </w:r>
            <w:r w:rsidR="00EB7A36">
              <w:t xml:space="preserve">. </w:t>
            </w:r>
            <w:r w:rsidR="009276BF">
              <w:t xml:space="preserve">The majority of patients with STIs don’t have any symptoms and need to wait for the laboratory results to return, </w:t>
            </w:r>
            <w:r w:rsidR="000D4A6A">
              <w:t xml:space="preserve">before they </w:t>
            </w:r>
            <w:r w:rsidR="00C54CF1">
              <w:t>can be contacted</w:t>
            </w:r>
            <w:r w:rsidR="000D4A6A">
              <w:t xml:space="preserve"> to </w:t>
            </w:r>
            <w:r w:rsidR="00080BC6">
              <w:t>return to the clinic</w:t>
            </w:r>
            <w:r w:rsidR="009276BF">
              <w:t xml:space="preserve"> for treatment</w:t>
            </w:r>
            <w:r w:rsidR="00B72A75">
              <w:t>, if it is required</w:t>
            </w:r>
            <w:r w:rsidR="009276BF">
              <w:t xml:space="preserve">. </w:t>
            </w:r>
            <w:r w:rsidR="00AE3867">
              <w:t>For those patients who have symptoms, they may be given antibiotics that may not be specifically targeting the correct bacteria and may need to be contacted to return for the right antibiotics. In both cases, the patient may pass on the infection while waiting for the laboratory results.</w:t>
            </w:r>
          </w:p>
          <w:p w14:paraId="5E6671C3" w14:textId="74CAC6BD" w:rsidR="000C30A7" w:rsidRDefault="000C30A7" w:rsidP="000C30A7">
            <w:r>
              <w:t>PoC</w:t>
            </w:r>
            <w:r w:rsidR="005D5E86">
              <w:t xml:space="preserve">T </w:t>
            </w:r>
            <w:r w:rsidR="00A32A39">
              <w:t xml:space="preserve">is a much quicker alternative to </w:t>
            </w:r>
            <w:r>
              <w:t>standard laboratory testing</w:t>
            </w:r>
            <w:r w:rsidR="00842C0F">
              <w:t xml:space="preserve">. </w:t>
            </w:r>
            <w:r w:rsidR="00F44B9E">
              <w:t>T</w:t>
            </w:r>
            <w:r>
              <w:t xml:space="preserve">he samples are </w:t>
            </w:r>
            <w:r w:rsidR="00AA63FF">
              <w:t xml:space="preserve">tested by </w:t>
            </w:r>
            <w:r>
              <w:t>a machine at the clinic</w:t>
            </w:r>
            <w:r w:rsidR="009607EF">
              <w:t xml:space="preserve"> and it takes</w:t>
            </w:r>
            <w:r>
              <w:t xml:space="preserve"> 60 to 90 minutes to deliver a result. This </w:t>
            </w:r>
            <w:r w:rsidR="009607EF">
              <w:t xml:space="preserve">could </w:t>
            </w:r>
            <w:r>
              <w:t>lead to quicker treatment for patients,</w:t>
            </w:r>
            <w:r w:rsidR="00AB0859">
              <w:t xml:space="preserve"> </w:t>
            </w:r>
            <w:r w:rsidR="009966A3">
              <w:t xml:space="preserve">particularly those who </w:t>
            </w:r>
            <w:r w:rsidR="009276BF">
              <w:t xml:space="preserve">are asymptomatic and </w:t>
            </w:r>
            <w:r w:rsidR="009966A3">
              <w:t xml:space="preserve">aren’t easily able to return to a medical centre on another day or be easily reached by phone, later. PoCT and the right treatment delivered on the same day </w:t>
            </w:r>
            <w:r>
              <w:t xml:space="preserve">can </w:t>
            </w:r>
            <w:r w:rsidR="00AB0859">
              <w:t xml:space="preserve">help </w:t>
            </w:r>
            <w:r w:rsidR="00784A63">
              <w:t xml:space="preserve">to </w:t>
            </w:r>
            <w:r>
              <w:t xml:space="preserve">reduce </w:t>
            </w:r>
            <w:r w:rsidR="00AB0859">
              <w:t xml:space="preserve">the </w:t>
            </w:r>
            <w:r>
              <w:t xml:space="preserve">spread of infection and avoid serious </w:t>
            </w:r>
            <w:r w:rsidR="009276BF">
              <w:t xml:space="preserve">short and </w:t>
            </w:r>
            <w:r>
              <w:t xml:space="preserve">long-term effects of untreated STIs. </w:t>
            </w:r>
            <w:r w:rsidR="003D6F65">
              <w:t>The evidence presented to MSAC also outlined ways that PoCT could contribute to a model of care that is more culturally safe and appropriate for Aboriginal and Torres St</w:t>
            </w:r>
            <w:r w:rsidR="00D6739C">
              <w:t>rait</w:t>
            </w:r>
            <w:r w:rsidR="003D6F65">
              <w:t xml:space="preserve"> Islander people being tested for STIs presenting to Aboriginal Medical Services or Aboriginal Community Controlled Health Organisations in rural and remote Australia.</w:t>
            </w:r>
          </w:p>
          <w:p w14:paraId="1C95F7DB" w14:textId="286DF90C" w:rsidR="000F0E59" w:rsidRDefault="751FF314" w:rsidP="000C30A7">
            <w:r>
              <w:t xml:space="preserve">MSAC </w:t>
            </w:r>
            <w:r w:rsidR="01BB7EFD">
              <w:t>had previously concluded</w:t>
            </w:r>
            <w:r>
              <w:t xml:space="preserve"> that PoC</w:t>
            </w:r>
            <w:r w:rsidR="6F8242DF">
              <w:t>T</w:t>
            </w:r>
            <w:r>
              <w:t xml:space="preserve"> was likely to be as accurate as standard laboratory testing and would </w:t>
            </w:r>
            <w:r w:rsidR="69694960">
              <w:t>enable most patients</w:t>
            </w:r>
            <w:r>
              <w:t xml:space="preserve"> to receive their results the same day. </w:t>
            </w:r>
            <w:r w:rsidR="34DF5BD7">
              <w:t xml:space="preserve">However, </w:t>
            </w:r>
            <w:r w:rsidR="4A57EDA1">
              <w:t>the</w:t>
            </w:r>
            <w:r>
              <w:t xml:space="preserve"> evidence </w:t>
            </w:r>
            <w:r w:rsidR="0CEFA14E">
              <w:t xml:space="preserve">previously </w:t>
            </w:r>
            <w:r>
              <w:t>presented did not show that P</w:t>
            </w:r>
            <w:r w:rsidR="6F8242DF">
              <w:t>o</w:t>
            </w:r>
            <w:r>
              <w:t>C</w:t>
            </w:r>
            <w:r w:rsidR="6F8242DF">
              <w:t>T</w:t>
            </w:r>
            <w:r>
              <w:t xml:space="preserve"> </w:t>
            </w:r>
            <w:r w:rsidR="3CA87D54">
              <w:t>lead</w:t>
            </w:r>
            <w:r w:rsidR="659F74AB">
              <w:t>s</w:t>
            </w:r>
            <w:r w:rsidR="3CA87D54">
              <w:t xml:space="preserve"> to better health outcomes</w:t>
            </w:r>
            <w:r w:rsidR="4A57EDA1">
              <w:t xml:space="preserve"> </w:t>
            </w:r>
            <w:r>
              <w:t xml:space="preserve">compared to standard laboratory testing. </w:t>
            </w:r>
            <w:r w:rsidR="3CA87D54">
              <w:t>MSAC noted that no new clinical evidence was provided</w:t>
            </w:r>
            <w:r w:rsidR="779D59FE">
              <w:t>. T</w:t>
            </w:r>
            <w:r w:rsidR="1B16F23C">
              <w:t>herefore</w:t>
            </w:r>
            <w:r w:rsidR="779D59FE">
              <w:t>,</w:t>
            </w:r>
            <w:r w:rsidR="1B16F23C">
              <w:t xml:space="preserve"> the</w:t>
            </w:r>
            <w:r w:rsidR="009A3BB3">
              <w:t xml:space="preserve"> magnitude of</w:t>
            </w:r>
            <w:r w:rsidR="1B16F23C">
              <w:t xml:space="preserve"> </w:t>
            </w:r>
            <w:r w:rsidR="6B677F9B">
              <w:t xml:space="preserve">benefit to patients remained uncertain. </w:t>
            </w:r>
            <w:r w:rsidR="4BC3A438">
              <w:t>MSAC noted tha</w:t>
            </w:r>
            <w:r w:rsidR="1DA8E700">
              <w:t>t</w:t>
            </w:r>
            <w:r w:rsidR="4BC3A438">
              <w:t xml:space="preserve"> the applicant had reduced the proposed MBS fee</w:t>
            </w:r>
            <w:r w:rsidR="14CB4E75">
              <w:t xml:space="preserve"> but it</w:t>
            </w:r>
            <w:r w:rsidR="0C1286C7">
              <w:t xml:space="preserve"> </w:t>
            </w:r>
            <w:r w:rsidR="1901A9CC">
              <w:t xml:space="preserve">was </w:t>
            </w:r>
            <w:r w:rsidR="7556B989">
              <w:t xml:space="preserve">still </w:t>
            </w:r>
            <w:r w:rsidR="0C1286C7">
              <w:t xml:space="preserve">much higher than standard laboratory testing. </w:t>
            </w:r>
            <w:r>
              <w:t xml:space="preserve">MSAC </w:t>
            </w:r>
            <w:r w:rsidR="7D3B02CB">
              <w:t xml:space="preserve">noted the applicant had proposed limiting the service to patients in </w:t>
            </w:r>
            <w:r w:rsidR="6BF5E503">
              <w:t xml:space="preserve">large rural towns (Modified Monash </w:t>
            </w:r>
            <w:r w:rsidR="3D38566D">
              <w:t xml:space="preserve">[MM] </w:t>
            </w:r>
            <w:r w:rsidR="6BF5E503">
              <w:t>category 3) to very remote communities (MM category 7)</w:t>
            </w:r>
            <w:r w:rsidR="7B449064">
              <w:t>. The Modified Monash</w:t>
            </w:r>
            <w:r w:rsidR="1705E2CF">
              <w:t xml:space="preserve"> Model is a system </w:t>
            </w:r>
            <w:r w:rsidR="161535DE">
              <w:t xml:space="preserve">that </w:t>
            </w:r>
            <w:r w:rsidR="084FF431">
              <w:t>gives</w:t>
            </w:r>
            <w:r w:rsidR="4CC2AB99">
              <w:t xml:space="preserve"> </w:t>
            </w:r>
            <w:r w:rsidR="34DE61F4">
              <w:t xml:space="preserve">different </w:t>
            </w:r>
            <w:r w:rsidR="161535DE">
              <w:t>are</w:t>
            </w:r>
            <w:r w:rsidR="6F0EE069">
              <w:t>as</w:t>
            </w:r>
            <w:r w:rsidR="34DE61F4">
              <w:t xml:space="preserve"> in Australia a category</w:t>
            </w:r>
            <w:r w:rsidR="084FF431">
              <w:t xml:space="preserve"> number</w:t>
            </w:r>
            <w:r w:rsidR="6F0EE069">
              <w:t xml:space="preserve"> based on </w:t>
            </w:r>
            <w:r w:rsidR="389798A7">
              <w:t>whether the</w:t>
            </w:r>
            <w:r w:rsidR="1A3D7CB4">
              <w:t>y are</w:t>
            </w:r>
            <w:r w:rsidR="389798A7">
              <w:t xml:space="preserve"> </w:t>
            </w:r>
            <w:r w:rsidR="318A9BB9">
              <w:t>metropolitan</w:t>
            </w:r>
            <w:r w:rsidR="64B023B2">
              <w:t xml:space="preserve"> (MM</w:t>
            </w:r>
            <w:r w:rsidR="4FF86575">
              <w:t xml:space="preserve"> category</w:t>
            </w:r>
            <w:r w:rsidR="64B023B2">
              <w:t xml:space="preserve"> 1)</w:t>
            </w:r>
            <w:r w:rsidR="318A9BB9">
              <w:t xml:space="preserve">, </w:t>
            </w:r>
            <w:r w:rsidR="64B023B2">
              <w:t xml:space="preserve">regional (MM </w:t>
            </w:r>
            <w:r w:rsidR="4FF86575">
              <w:t xml:space="preserve">category </w:t>
            </w:r>
            <w:r w:rsidR="64B023B2">
              <w:t xml:space="preserve">2), </w:t>
            </w:r>
            <w:r w:rsidR="318A9BB9">
              <w:t>rural</w:t>
            </w:r>
            <w:r w:rsidR="7BE79C55">
              <w:t xml:space="preserve"> (MM </w:t>
            </w:r>
            <w:r w:rsidR="4FF86575">
              <w:t xml:space="preserve">categories </w:t>
            </w:r>
            <w:r w:rsidR="7BE79C55">
              <w:t>3, 4 &amp; 5)</w:t>
            </w:r>
            <w:r w:rsidR="318A9BB9">
              <w:t>, remote</w:t>
            </w:r>
            <w:r w:rsidR="7BE79C55">
              <w:t xml:space="preserve"> (MM </w:t>
            </w:r>
            <w:r w:rsidR="4FF86575">
              <w:t xml:space="preserve">category </w:t>
            </w:r>
            <w:r w:rsidR="7BE79C55">
              <w:t xml:space="preserve">6) </w:t>
            </w:r>
            <w:r w:rsidR="318A9BB9">
              <w:t>or very remote</w:t>
            </w:r>
            <w:r w:rsidR="7BE79C55">
              <w:t xml:space="preserve"> (MM </w:t>
            </w:r>
            <w:r w:rsidR="4FF86575">
              <w:t xml:space="preserve">category </w:t>
            </w:r>
            <w:r w:rsidR="7BE79C55">
              <w:t>7)</w:t>
            </w:r>
            <w:r w:rsidR="6BF5E503">
              <w:t xml:space="preserve">. However, </w:t>
            </w:r>
            <w:r w:rsidR="08FFDDD4">
              <w:t>MSAC was not convinced th</w:t>
            </w:r>
            <w:r w:rsidR="32ACAA12">
              <w:t>at</w:t>
            </w:r>
            <w:r w:rsidR="08FFDDD4">
              <w:t xml:space="preserve"> PoC</w:t>
            </w:r>
            <w:r w:rsidR="6225F521">
              <w:t>T</w:t>
            </w:r>
            <w:r w:rsidR="0491F10E">
              <w:t xml:space="preserve"> </w:t>
            </w:r>
            <w:r w:rsidR="08FFDDD4">
              <w:t>(for the population and fee proposed by the applicant) improved patient outcomes enough to justify the very high cost</w:t>
            </w:r>
            <w:r w:rsidR="1F07BB9D">
              <w:t xml:space="preserve"> ($212.90)</w:t>
            </w:r>
            <w:r w:rsidR="08FFDDD4">
              <w:t xml:space="preserve"> compared to standard laboratory testing</w:t>
            </w:r>
            <w:r w:rsidR="1F07BB9D">
              <w:t xml:space="preserve"> ($42.95)</w:t>
            </w:r>
            <w:r w:rsidR="08FFDDD4">
              <w:t xml:space="preserve">. </w:t>
            </w:r>
            <w:r w:rsidR="2AE78F29">
              <w:t xml:space="preserve">Further, </w:t>
            </w:r>
            <w:r w:rsidR="6BF5E503">
              <w:t xml:space="preserve">MSAC </w:t>
            </w:r>
            <w:r>
              <w:t xml:space="preserve">considered that the </w:t>
            </w:r>
            <w:r w:rsidR="699EF7BD">
              <w:t xml:space="preserve">potential </w:t>
            </w:r>
            <w:r>
              <w:t xml:space="preserve">overall costs to the health system </w:t>
            </w:r>
            <w:r w:rsidR="6BF5E503">
              <w:t>remained</w:t>
            </w:r>
            <w:r>
              <w:t xml:space="preserve"> very high and</w:t>
            </w:r>
            <w:r w:rsidR="3D73B2D9">
              <w:t xml:space="preserve"> in reality</w:t>
            </w:r>
            <w:r w:rsidR="777980C5">
              <w:t>,</w:t>
            </w:r>
            <w:r>
              <w:t xml:space="preserve"> </w:t>
            </w:r>
            <w:r w:rsidR="3DABAA88">
              <w:t>could be higher than expected</w:t>
            </w:r>
            <w:r w:rsidR="317C2394">
              <w:t>.</w:t>
            </w:r>
          </w:p>
          <w:p w14:paraId="47253CD1" w14:textId="4A182957" w:rsidR="000C30A7" w:rsidRDefault="1ACB3B03" w:rsidP="000C30A7">
            <w:r>
              <w:lastRenderedPageBreak/>
              <w:t xml:space="preserve">MSAC acknowledged </w:t>
            </w:r>
            <w:r w:rsidR="4587ECC0">
              <w:t xml:space="preserve">that people living </w:t>
            </w:r>
            <w:r w:rsidR="71C57697" w:rsidRPr="009C1AF0">
              <w:t>in remote and very remote communities (i.e.</w:t>
            </w:r>
            <w:r w:rsidR="30577D6D">
              <w:t>,</w:t>
            </w:r>
            <w:r w:rsidR="71C57697" w:rsidRPr="009C1AF0">
              <w:t xml:space="preserve"> MM</w:t>
            </w:r>
            <w:r w:rsidR="30577D6D">
              <w:t> </w:t>
            </w:r>
            <w:r w:rsidR="71C57697" w:rsidRPr="009C1AF0">
              <w:t>categories 6</w:t>
            </w:r>
            <w:r w:rsidR="59A1CFEE" w:rsidRPr="009C1AF0">
              <w:t>-</w:t>
            </w:r>
            <w:r w:rsidR="71C57697" w:rsidRPr="009C1AF0">
              <w:t>7)</w:t>
            </w:r>
            <w:r w:rsidR="102AA548">
              <w:t xml:space="preserve"> ha</w:t>
            </w:r>
            <w:r w:rsidR="126F0119">
              <w:t>ve</w:t>
            </w:r>
            <w:r w:rsidR="102AA548">
              <w:t xml:space="preserve"> </w:t>
            </w:r>
            <w:r w:rsidR="126F0119">
              <w:t xml:space="preserve">a </w:t>
            </w:r>
            <w:r w:rsidR="102AA548">
              <w:t>high clinical need</w:t>
            </w:r>
            <w:r w:rsidR="6B994DD7">
              <w:t xml:space="preserve"> due to their remoteness</w:t>
            </w:r>
            <w:r w:rsidR="102AA548">
              <w:t xml:space="preserve"> </w:t>
            </w:r>
            <w:r w:rsidR="6B994DD7">
              <w:t xml:space="preserve">and </w:t>
            </w:r>
            <w:r w:rsidR="79DB62AF">
              <w:t xml:space="preserve">would most benefit from </w:t>
            </w:r>
            <w:r w:rsidR="71C57697" w:rsidRPr="009C1AF0">
              <w:t>PoC</w:t>
            </w:r>
            <w:r w:rsidR="6AB59C2D">
              <w:t>T</w:t>
            </w:r>
            <w:r w:rsidR="71C57697" w:rsidRPr="009C1AF0">
              <w:t xml:space="preserve"> for STIs</w:t>
            </w:r>
            <w:r w:rsidR="777980C5">
              <w:t xml:space="preserve">, which </w:t>
            </w:r>
            <w:r w:rsidR="596D0D01">
              <w:t>c</w:t>
            </w:r>
            <w:r w:rsidR="6119552F">
              <w:t xml:space="preserve">ould </w:t>
            </w:r>
            <w:r w:rsidR="71C57697" w:rsidRPr="009C1AF0">
              <w:t>improv</w:t>
            </w:r>
            <w:r w:rsidR="596D0D01">
              <w:t>e</w:t>
            </w:r>
            <w:r w:rsidR="71C57697" w:rsidRPr="009C1AF0">
              <w:t xml:space="preserve"> timely access and reduc</w:t>
            </w:r>
            <w:r w:rsidR="6119552F">
              <w:t>e</w:t>
            </w:r>
            <w:r w:rsidR="71C57697" w:rsidRPr="009C1AF0">
              <w:t xml:space="preserve"> delays in receiving test results. Therefore, MSAC supported MBS listing of PoC</w:t>
            </w:r>
            <w:r w:rsidR="681CB03D">
              <w:t>T</w:t>
            </w:r>
            <w:r w:rsidR="71C57697" w:rsidRPr="009C1AF0">
              <w:t xml:space="preserve"> for STIs in this high need population (i.e.</w:t>
            </w:r>
            <w:r w:rsidR="30577D6D">
              <w:t>,</w:t>
            </w:r>
            <w:r w:rsidR="71C57697" w:rsidRPr="009C1AF0">
              <w:t xml:space="preserve"> MM </w:t>
            </w:r>
            <w:r w:rsidR="009C1AF0" w:rsidRPr="009C1AF0">
              <w:t>categor</w:t>
            </w:r>
            <w:r w:rsidR="6FFBE33A" w:rsidRPr="009C1AF0">
              <w:t>ies</w:t>
            </w:r>
            <w:r w:rsidR="71C57697" w:rsidRPr="009C1AF0">
              <w:t xml:space="preserve"> 6</w:t>
            </w:r>
            <w:r w:rsidR="1C646DE2" w:rsidRPr="009C1AF0">
              <w:t>-</w:t>
            </w:r>
            <w:r w:rsidR="71C57697" w:rsidRPr="009C1AF0">
              <w:t>7), at a total fee of $117.65 (85% rebate $100</w:t>
            </w:r>
            <w:r w:rsidR="15798BAD">
              <w:t>)</w:t>
            </w:r>
            <w:r w:rsidR="1DE0C0E4">
              <w:t xml:space="preserve">. MSAC </w:t>
            </w:r>
            <w:r w:rsidR="0410E4AD">
              <w:t>based this fee on the</w:t>
            </w:r>
            <w:r w:rsidR="71C57697" w:rsidRPr="009C1AF0">
              <w:t xml:space="preserve"> equivalent fee for standard laboratory testing plus additional costs that MSAC considered </w:t>
            </w:r>
            <w:r w:rsidR="4B61F7F7">
              <w:t xml:space="preserve">necessary </w:t>
            </w:r>
            <w:r w:rsidR="71C57697" w:rsidRPr="009C1AF0">
              <w:t>for provision of the service.</w:t>
            </w:r>
          </w:p>
          <w:p w14:paraId="177542EA" w14:textId="0F674DDC" w:rsidR="000A352D" w:rsidRPr="00AF46D8" w:rsidRDefault="000A352D" w:rsidP="000C30A7">
            <w:pPr>
              <w:pStyle w:val="Heading3"/>
            </w:pPr>
            <w:r w:rsidRPr="00AF46D8">
              <w:t>MSAC’s advice to the Commonwealth Minister for Health</w:t>
            </w:r>
            <w:r>
              <w:t xml:space="preserve"> and Aged Care</w:t>
            </w:r>
          </w:p>
          <w:p w14:paraId="0894D62A" w14:textId="1FC6DBBF" w:rsidR="000A352D" w:rsidRPr="00AF46D8" w:rsidRDefault="00CB13FD" w:rsidP="00025E3D">
            <w:pPr>
              <w:spacing w:after="120"/>
            </w:pPr>
            <w:r w:rsidRPr="00AF46D8">
              <w:t>MSAC supported</w:t>
            </w:r>
            <w:r>
              <w:t xml:space="preserve"> </w:t>
            </w:r>
            <w:r w:rsidR="004F6F9F">
              <w:t>MBS listing</w:t>
            </w:r>
            <w:r>
              <w:t xml:space="preserve"> </w:t>
            </w:r>
            <w:r w:rsidR="00B17097">
              <w:t xml:space="preserve">of </w:t>
            </w:r>
            <w:r w:rsidR="004F6F9F">
              <w:t>PoC</w:t>
            </w:r>
            <w:r w:rsidR="00F3145B">
              <w:t>T</w:t>
            </w:r>
            <w:r>
              <w:t xml:space="preserve"> for STIs </w:t>
            </w:r>
            <w:r w:rsidR="001637FA">
              <w:t>within</w:t>
            </w:r>
            <w:r>
              <w:t xml:space="preserve"> remote</w:t>
            </w:r>
            <w:r w:rsidR="008B434B">
              <w:t xml:space="preserve"> and very remote communities</w:t>
            </w:r>
            <w:r>
              <w:t xml:space="preserve"> (MM </w:t>
            </w:r>
            <w:r w:rsidR="03A88F11">
              <w:t>categor</w:t>
            </w:r>
            <w:r w:rsidR="0027C4FC">
              <w:t>ies</w:t>
            </w:r>
            <w:r w:rsidR="00C10589">
              <w:t xml:space="preserve"> </w:t>
            </w:r>
            <w:r>
              <w:t xml:space="preserve">6–7). MSAC considered that the test was safe, effective and </w:t>
            </w:r>
            <w:r w:rsidR="007144CE">
              <w:t xml:space="preserve">would </w:t>
            </w:r>
            <w:r w:rsidR="003A7344">
              <w:t xml:space="preserve">demonstrate value </w:t>
            </w:r>
            <w:r w:rsidR="00612A1D">
              <w:t xml:space="preserve">for </w:t>
            </w:r>
            <w:r w:rsidR="003A7344">
              <w:t xml:space="preserve">those with the </w:t>
            </w:r>
            <w:r w:rsidR="003A7344" w:rsidRPr="003A7344">
              <w:t>greatest potential benefit</w:t>
            </w:r>
            <w:r w:rsidR="00FE5139">
              <w:t>, that is those with a high</w:t>
            </w:r>
            <w:r w:rsidR="00A47243">
              <w:t xml:space="preserve"> need</w:t>
            </w:r>
            <w:r w:rsidR="00FE5139">
              <w:t xml:space="preserve"> for access to a reliable and fast PoC</w:t>
            </w:r>
            <w:r w:rsidR="00731D11">
              <w:t>T</w:t>
            </w:r>
            <w:r w:rsidR="00A47243">
              <w:t xml:space="preserve"> with</w:t>
            </w:r>
            <w:r w:rsidR="00FE5139">
              <w:t xml:space="preserve">in </w:t>
            </w:r>
            <w:r w:rsidR="00573A46">
              <w:t>remote and very remote communities.</w:t>
            </w:r>
          </w:p>
        </w:tc>
      </w:tr>
    </w:tbl>
    <w:p w14:paraId="4CE32B5F" w14:textId="77777777" w:rsidR="000A352D" w:rsidRDefault="000A352D" w:rsidP="000A352D">
      <w:pPr>
        <w:pStyle w:val="Heading2"/>
        <w:numPr>
          <w:ilvl w:val="1"/>
          <w:numId w:val="0"/>
        </w:numPr>
      </w:pPr>
      <w:r>
        <w:lastRenderedPageBreak/>
        <w:t>3.</w:t>
      </w:r>
      <w:r>
        <w:tab/>
        <w:t>Summary of consideration and rationale for MSAC’s advice</w:t>
      </w:r>
    </w:p>
    <w:p w14:paraId="34CEEDA5" w14:textId="45E32CCE" w:rsidR="00C857C6" w:rsidRDefault="00C857C6" w:rsidP="00C857C6">
      <w:pPr>
        <w:rPr>
          <w:rStyle w:val="eop"/>
          <w:color w:val="000000"/>
          <w:shd w:val="clear" w:color="auto" w:fill="FFFFFF"/>
        </w:rPr>
      </w:pPr>
      <w:r>
        <w:t xml:space="preserve">MSAC noted that this </w:t>
      </w:r>
      <w:r w:rsidR="00446807">
        <w:rPr>
          <w:rStyle w:val="normaltextrun"/>
          <w:shd w:val="clear" w:color="auto" w:fill="FFFFFF"/>
        </w:rPr>
        <w:t>resubmission</w:t>
      </w:r>
      <w:r w:rsidR="00EB4BB9">
        <w:rPr>
          <w:rStyle w:val="normaltextrun"/>
          <w:shd w:val="clear" w:color="auto" w:fill="FFFFFF"/>
        </w:rPr>
        <w:t xml:space="preserve"> </w:t>
      </w:r>
      <w:r>
        <w:rPr>
          <w:rStyle w:val="normaltextrun"/>
          <w:shd w:val="clear" w:color="auto" w:fill="FFFFFF"/>
        </w:rPr>
        <w:t xml:space="preserve">requesting MBS listing of </w:t>
      </w:r>
      <w:r w:rsidR="00445A85">
        <w:rPr>
          <w:rStyle w:val="normaltextrun"/>
          <w:shd w:val="clear" w:color="auto" w:fill="FFFFFF"/>
        </w:rPr>
        <w:t>PoCT</w:t>
      </w:r>
      <w:r>
        <w:rPr>
          <w:rStyle w:val="normaltextrun"/>
          <w:shd w:val="clear" w:color="auto" w:fill="FFFFFF"/>
        </w:rPr>
        <w:t xml:space="preserve"> for </w:t>
      </w:r>
      <w:r w:rsidR="00D31E2E">
        <w:rPr>
          <w:rStyle w:val="normaltextrun"/>
          <w:shd w:val="clear" w:color="auto" w:fill="FFFFFF"/>
        </w:rPr>
        <w:t xml:space="preserve">the </w:t>
      </w:r>
      <w:r>
        <w:rPr>
          <w:rStyle w:val="normaltextrun"/>
          <w:shd w:val="clear" w:color="auto" w:fill="FFFFFF"/>
        </w:rPr>
        <w:t xml:space="preserve">detection of </w:t>
      </w:r>
      <w:r>
        <w:rPr>
          <w:rStyle w:val="normaltextrun"/>
          <w:shd w:val="clear" w:color="auto" w:fill="FFFFFF"/>
          <w:lang w:val="en-US"/>
        </w:rPr>
        <w:t>CT, NG and TV</w:t>
      </w:r>
      <w:r w:rsidR="008D07C8">
        <w:rPr>
          <w:rStyle w:val="normaltextrun"/>
          <w:shd w:val="clear" w:color="auto" w:fill="FFFFFF"/>
          <w:lang w:val="en-US"/>
        </w:rPr>
        <w:t xml:space="preserve"> </w:t>
      </w:r>
      <w:r w:rsidR="008D07C8">
        <w:t>provided by Aboriginal Medical Services or Aboriginal Community Controlled Health Services in rural or remote areas</w:t>
      </w:r>
      <w:r>
        <w:rPr>
          <w:rStyle w:val="normaltextrun"/>
          <w:shd w:val="clear" w:color="auto" w:fill="FFFFFF"/>
          <w:lang w:val="en-US"/>
        </w:rPr>
        <w:t xml:space="preserve"> </w:t>
      </w:r>
      <w:r>
        <w:rPr>
          <w:rStyle w:val="normaltextrun"/>
          <w:shd w:val="clear" w:color="auto" w:fill="FFFFFF"/>
        </w:rPr>
        <w:t>was received from the Kirby Institute, UNSW.</w:t>
      </w:r>
    </w:p>
    <w:p w14:paraId="1B089B57" w14:textId="0ACDF73A" w:rsidR="00C857C6" w:rsidRDefault="00741DDD" w:rsidP="00C857C6">
      <w:r>
        <w:t xml:space="preserve">MSAC recalled that the original application, </w:t>
      </w:r>
      <w:hyperlink r:id="rId9" w:history="1">
        <w:r w:rsidR="00C857C6" w:rsidRPr="000E23B9">
          <w:rPr>
            <w:rStyle w:val="Hyperlink"/>
          </w:rPr>
          <w:t>MSAC application 1627</w:t>
        </w:r>
      </w:hyperlink>
      <w:r>
        <w:rPr>
          <w:rStyle w:val="Hyperlink"/>
        </w:rPr>
        <w:t>,</w:t>
      </w:r>
      <w:r w:rsidR="00C857C6">
        <w:t xml:space="preserve"> was initially considered by the MSAC Executive in October 2020. </w:t>
      </w:r>
      <w:r w:rsidR="007F4FC5">
        <w:t>T</w:t>
      </w:r>
      <w:r w:rsidR="00C857C6">
        <w:t xml:space="preserve">he MSAC Executive </w:t>
      </w:r>
      <w:r w:rsidR="007F4FC5">
        <w:t>advi</w:t>
      </w:r>
      <w:r w:rsidR="00995CAF">
        <w:t>s</w:t>
      </w:r>
      <w:r w:rsidR="007F4FC5">
        <w:t>e</w:t>
      </w:r>
      <w:r w:rsidR="00995CAF">
        <w:t>d</w:t>
      </w:r>
      <w:r w:rsidR="007F4FC5">
        <w:t xml:space="preserve"> </w:t>
      </w:r>
      <w:r w:rsidR="00C857C6">
        <w:t xml:space="preserve">that if the applicant wished to pursue an MBS fee that is higher than the existing MBS </w:t>
      </w:r>
      <w:r w:rsidR="001045C0">
        <w:t xml:space="preserve">fees for </w:t>
      </w:r>
      <w:r w:rsidR="00C857C6">
        <w:t>standard laboratory testing, the applicant would need to provide evidence that PoC</w:t>
      </w:r>
      <w:r w:rsidR="001045C0">
        <w:t>T</w:t>
      </w:r>
      <w:r w:rsidR="00C857C6">
        <w:t xml:space="preserve"> results in better health outcomes than standard laboratory testing, and this evidence would need to be supported with an appropriate economic analysis. </w:t>
      </w:r>
    </w:p>
    <w:p w14:paraId="343C069D" w14:textId="2C7FEB64" w:rsidR="00C857C6" w:rsidRDefault="00577141" w:rsidP="00C857C6">
      <w:r>
        <w:t>MSAC</w:t>
      </w:r>
      <w:r w:rsidR="006744A9">
        <w:t xml:space="preserve"> also</w:t>
      </w:r>
      <w:r>
        <w:t xml:space="preserve"> recalled that it ha</w:t>
      </w:r>
      <w:r w:rsidR="00F63372">
        <w:t>d considered and not supported the original application,</w:t>
      </w:r>
      <w:r w:rsidR="00F63372" w:rsidRPr="00F63372">
        <w:t xml:space="preserve"> </w:t>
      </w:r>
      <w:hyperlink r:id="rId10" w:history="1">
        <w:r w:rsidR="00F63372" w:rsidRPr="000E23B9">
          <w:rPr>
            <w:rStyle w:val="Hyperlink"/>
          </w:rPr>
          <w:t>MSAC application 1627</w:t>
        </w:r>
      </w:hyperlink>
      <w:r w:rsidR="00F63372">
        <w:rPr>
          <w:rStyle w:val="Hyperlink"/>
        </w:rPr>
        <w:t>,</w:t>
      </w:r>
      <w:r w:rsidR="00F63372">
        <w:t xml:space="preserve"> </w:t>
      </w:r>
      <w:r w:rsidR="00C857C6">
        <w:t>at the November 2022 MSAC meeting.</w:t>
      </w:r>
      <w:r w:rsidR="00F63372">
        <w:t xml:space="preserve"> MSAC recalled</w:t>
      </w:r>
      <w:r w:rsidR="00C857C6">
        <w:t xml:space="preserve"> that </w:t>
      </w:r>
      <w:r w:rsidR="00B632D6">
        <w:t xml:space="preserve">the committee had acknowledged </w:t>
      </w:r>
      <w:r w:rsidR="00C857C6">
        <w:t>there is a clinical need for the proposed testing due to a high prevalence of STIs and the serious consequences of untreated infections</w:t>
      </w:r>
      <w:r w:rsidR="00A322D7">
        <w:t xml:space="preserve"> that</w:t>
      </w:r>
      <w:r w:rsidR="00C857C6">
        <w:t xml:space="preserve"> represent</w:t>
      </w:r>
      <w:r w:rsidR="00A322D7">
        <w:t>ed</w:t>
      </w:r>
      <w:r w:rsidR="00C857C6">
        <w:t xml:space="preserve"> a significant public health issue for the proposed population. </w:t>
      </w:r>
      <w:r w:rsidR="00B26341">
        <w:t>A</w:t>
      </w:r>
      <w:r w:rsidR="00DE70B3">
        <w:t xml:space="preserve">t that time, </w:t>
      </w:r>
      <w:r w:rsidR="00C857C6">
        <w:t>MSAC</w:t>
      </w:r>
      <w:r w:rsidR="005733D0">
        <w:t xml:space="preserve"> had</w:t>
      </w:r>
      <w:r w:rsidR="00C857C6">
        <w:t xml:space="preserve"> considered that</w:t>
      </w:r>
      <w:r w:rsidR="005733D0">
        <w:t xml:space="preserve"> </w:t>
      </w:r>
      <w:r w:rsidR="00C857C6">
        <w:t>the evidence demonstrated that PoC</w:t>
      </w:r>
      <w:r w:rsidR="005E7D5A">
        <w:t xml:space="preserve">T </w:t>
      </w:r>
      <w:r w:rsidR="00C857C6">
        <w:t>for STIs reduced the time from testing to treatment and that the clinical benefits associated with this were clinically plausible. However, based on the evidence provided, the</w:t>
      </w:r>
      <w:r w:rsidR="005E0524">
        <w:t xml:space="preserve"> actual</w:t>
      </w:r>
      <w:r w:rsidR="00C857C6">
        <w:t xml:space="preserve"> magnitude of the benefit and impact on health outcomes was highly uncertain. As a result of this, and also due to the economic model being overly complex and unreliable, MSAC</w:t>
      </w:r>
      <w:r w:rsidR="0095670C">
        <w:t xml:space="preserve"> had</w:t>
      </w:r>
      <w:r w:rsidR="00C857C6">
        <w:t xml:space="preserve"> considered the cost-effectiveness of PoC</w:t>
      </w:r>
      <w:r w:rsidR="00FE2EB3">
        <w:t>T</w:t>
      </w:r>
      <w:r w:rsidR="0028789F">
        <w:t xml:space="preserve"> </w:t>
      </w:r>
      <w:r w:rsidR="00C857C6">
        <w:t>for STIs compared to standard laboratory testing to be highly uncertain. MSAC considered the proposed MBS fee was high and not sufficiently justified given the lack of objective data demonstrating improved health outcomes for patients</w:t>
      </w:r>
      <w:r w:rsidR="00840135">
        <w:t xml:space="preserve"> compared to standard laboratory testing</w:t>
      </w:r>
      <w:r w:rsidR="00C857C6">
        <w:t xml:space="preserve">. MSAC also considered the financial estimates to be uncertain and likely underestimated. </w:t>
      </w:r>
    </w:p>
    <w:p w14:paraId="302BAA09" w14:textId="429A66E5" w:rsidR="00683A8E" w:rsidRDefault="00683A8E" w:rsidP="00CB033E">
      <w:r>
        <w:t>MSAC recalled it ha</w:t>
      </w:r>
      <w:r w:rsidR="00840135">
        <w:t>d</w:t>
      </w:r>
      <w:r>
        <w:t xml:space="preserve"> suggested </w:t>
      </w:r>
      <w:r w:rsidR="006E3775">
        <w:t>a resubmission could consider restrictin</w:t>
      </w:r>
      <w:r w:rsidR="00D438C5">
        <w:t xml:space="preserve">g the population </w:t>
      </w:r>
      <w:r w:rsidR="00C20374">
        <w:t xml:space="preserve">for </w:t>
      </w:r>
      <w:r w:rsidR="00D438C5">
        <w:t>P</w:t>
      </w:r>
      <w:r w:rsidR="00840135">
        <w:t>o</w:t>
      </w:r>
      <w:r w:rsidR="00D438C5">
        <w:t>C</w:t>
      </w:r>
      <w:r w:rsidR="00840135">
        <w:t>T</w:t>
      </w:r>
      <w:r w:rsidR="005F418C">
        <w:t xml:space="preserve"> </w:t>
      </w:r>
      <w:r w:rsidR="00E50CF6">
        <w:t xml:space="preserve">to </w:t>
      </w:r>
      <w:r w:rsidR="00D438C5">
        <w:t>those who have very restricted access to standard laboratory testing</w:t>
      </w:r>
      <w:r w:rsidR="00943D00">
        <w:t xml:space="preserve"> (i.e.</w:t>
      </w:r>
      <w:r w:rsidR="005F418C">
        <w:t>,</w:t>
      </w:r>
      <w:r w:rsidR="00943D00">
        <w:t xml:space="preserve"> people in MM categories 6 to 7)</w:t>
      </w:r>
      <w:r w:rsidR="005519A6">
        <w:t xml:space="preserve"> or consider an alternative funding mechanism (i.e., non-MBS funding)</w:t>
      </w:r>
      <w:r w:rsidR="003D05DF">
        <w:t xml:space="preserve">, along with </w:t>
      </w:r>
      <w:r w:rsidR="00527DB0">
        <w:t>revising and justifying the proposed fee. MSAC also noted</w:t>
      </w:r>
      <w:r w:rsidR="00883C01">
        <w:t xml:space="preserve">, alternatively, if the applicant wished to purse </w:t>
      </w:r>
      <w:r w:rsidR="00D76070">
        <w:t>the proposed population (i.e.</w:t>
      </w:r>
      <w:r w:rsidR="008A509D">
        <w:t xml:space="preserve">, MM </w:t>
      </w:r>
      <w:r w:rsidR="00171E16">
        <w:t>categories</w:t>
      </w:r>
      <w:r w:rsidR="008A509D">
        <w:t xml:space="preserve"> 2-7</w:t>
      </w:r>
      <w:r w:rsidR="00D76070">
        <w:t>) then additional work</w:t>
      </w:r>
      <w:r w:rsidR="00115EF3">
        <w:t>,</w:t>
      </w:r>
      <w:r w:rsidR="00D76070">
        <w:t xml:space="preserve"> such as </w:t>
      </w:r>
      <w:r w:rsidR="006E5B38">
        <w:t>revising and respecifying</w:t>
      </w:r>
      <w:r w:rsidR="00D76070">
        <w:t xml:space="preserve"> the economic evaluation</w:t>
      </w:r>
      <w:r w:rsidR="00115EF3">
        <w:t>,</w:t>
      </w:r>
      <w:r w:rsidR="00D76070">
        <w:t xml:space="preserve"> was required.</w:t>
      </w:r>
    </w:p>
    <w:p w14:paraId="5864C639" w14:textId="454454E7" w:rsidR="00E938EE" w:rsidRDefault="00C857C6" w:rsidP="00FA792F">
      <w:r>
        <w:lastRenderedPageBreak/>
        <w:t xml:space="preserve">MSAC noted that the applicant’s </w:t>
      </w:r>
      <w:r w:rsidR="00C918EE">
        <w:t xml:space="preserve">resubmission </w:t>
      </w:r>
      <w:r w:rsidR="00B65FBC">
        <w:t xml:space="preserve">proposed </w:t>
      </w:r>
      <w:r w:rsidR="00B72F39">
        <w:t>changing</w:t>
      </w:r>
      <w:r w:rsidR="00B65FBC">
        <w:t xml:space="preserve"> the eligible population to those living in </w:t>
      </w:r>
      <w:r w:rsidR="00B65FBC" w:rsidRPr="00583B75">
        <w:rPr>
          <w:iCs/>
        </w:rPr>
        <w:t>MM category 3 (large rural towns) to MM category 7 (very remote communities)</w:t>
      </w:r>
      <w:r w:rsidR="00D97BAD">
        <w:rPr>
          <w:iCs/>
        </w:rPr>
        <w:t xml:space="preserve"> and had proposed a </w:t>
      </w:r>
      <w:r w:rsidR="003B3770">
        <w:rPr>
          <w:iCs/>
        </w:rPr>
        <w:t xml:space="preserve">lower </w:t>
      </w:r>
      <w:r w:rsidR="00E938EE" w:rsidRPr="00E938EE">
        <w:t xml:space="preserve">total combined fee for CT/NG and TV PoCT $212.90 ($181 </w:t>
      </w:r>
      <w:r w:rsidR="00795610">
        <w:t xml:space="preserve">at </w:t>
      </w:r>
      <w:r w:rsidR="00E938EE" w:rsidRPr="00E938EE">
        <w:t xml:space="preserve">85% </w:t>
      </w:r>
      <w:r w:rsidR="00795610">
        <w:t>rebate</w:t>
      </w:r>
      <w:r w:rsidR="00E938EE" w:rsidRPr="00E938EE">
        <w:t>)</w:t>
      </w:r>
      <w:r w:rsidR="00E938EE">
        <w:t>. MSAC noted this proposed fee</w:t>
      </w:r>
      <w:r w:rsidR="00E938EE" w:rsidRPr="00E938EE">
        <w:t xml:space="preserve"> was lower than the combined $265 fee considered in November 2022. MSAC also noted the resubmission proposed three MBS items that were different to that previously presented to MSAC. The resubmission proposed two separate MBS items for CT/NG (item XXX) and TV (item YYY) PoCT, which cover</w:t>
      </w:r>
      <w:r w:rsidR="007A14D0">
        <w:t>ed</w:t>
      </w:r>
      <w:r w:rsidR="00E938EE" w:rsidRPr="00E938EE">
        <w:t xml:space="preserve"> the cost of the test cartridge and transport. In addition, a “miscellaneous” item (item ZZZ) was proposed for the purposes of a “service fee”</w:t>
      </w:r>
      <w:r w:rsidR="00514E08">
        <w:t>,</w:t>
      </w:r>
      <w:r w:rsidR="00E938EE" w:rsidRPr="00E938EE">
        <w:t xml:space="preserve"> which cover</w:t>
      </w:r>
      <w:r w:rsidR="000F3A47">
        <w:t>ed</w:t>
      </w:r>
      <w:r w:rsidR="00E938EE" w:rsidRPr="00E938EE">
        <w:t xml:space="preserve"> staff time/costs for performing the test</w:t>
      </w:r>
      <w:r w:rsidR="007169A5">
        <w:t>.</w:t>
      </w:r>
      <w:r w:rsidR="00E938EE" w:rsidRPr="00E938EE">
        <w:t xml:space="preserve"> </w:t>
      </w:r>
      <w:r w:rsidR="007169A5">
        <w:t xml:space="preserve">It was noted that the staff member </w:t>
      </w:r>
      <w:r w:rsidR="00E938EE" w:rsidRPr="00E938EE">
        <w:t>may not necessarily be a clinician.</w:t>
      </w:r>
      <w:r w:rsidR="00C91135">
        <w:t xml:space="preserve"> </w:t>
      </w:r>
      <w:r w:rsidR="000A64F9">
        <w:t>I</w:t>
      </w:r>
      <w:r w:rsidR="00824A4A">
        <w:t xml:space="preserve">t was noted </w:t>
      </w:r>
      <w:r w:rsidR="000A64F9">
        <w:t xml:space="preserve">other pathology testing does not have a separate administration fee, and that </w:t>
      </w:r>
      <w:r w:rsidR="009D4EEA">
        <w:t xml:space="preserve">to split the fee in this way </w:t>
      </w:r>
      <w:r w:rsidR="00550E3B">
        <w:t>was</w:t>
      </w:r>
      <w:r w:rsidR="009D4EEA">
        <w:t xml:space="preserve"> </w:t>
      </w:r>
      <w:r w:rsidR="00824A4A">
        <w:t>not the department’s preferred position and that there would be concerns about the precedent this would set.</w:t>
      </w:r>
      <w:r w:rsidR="00E938EE" w:rsidRPr="00E938EE">
        <w:t xml:space="preserve"> </w:t>
      </w:r>
      <w:r w:rsidR="00CE7AB3">
        <w:t>MSAC n</w:t>
      </w:r>
      <w:r w:rsidR="0023449A">
        <w:t>ot</w:t>
      </w:r>
      <w:r w:rsidR="00CE7AB3">
        <w:t>ed</w:t>
      </w:r>
      <w:r w:rsidR="00514E08">
        <w:t xml:space="preserve"> the department ha</w:t>
      </w:r>
      <w:r w:rsidR="00CE7AB3">
        <w:t>d also</w:t>
      </w:r>
      <w:r w:rsidR="00514E08">
        <w:t xml:space="preserve"> proposed alternative fees for MSAC’s consideration </w:t>
      </w:r>
      <w:r w:rsidR="003244E1">
        <w:t xml:space="preserve">(see </w:t>
      </w:r>
      <w:r w:rsidR="003244E1">
        <w:fldChar w:fldCharType="begin"/>
      </w:r>
      <w:r w:rsidR="003244E1">
        <w:instrText xml:space="preserve"> REF _Ref147777928 \h </w:instrText>
      </w:r>
      <w:r w:rsidR="003244E1">
        <w:fldChar w:fldCharType="separate"/>
      </w:r>
      <w:r w:rsidR="003244E1">
        <w:t xml:space="preserve">Table </w:t>
      </w:r>
      <w:r w:rsidR="003244E1">
        <w:rPr>
          <w:noProof/>
        </w:rPr>
        <w:t>4</w:t>
      </w:r>
      <w:r w:rsidR="003244E1">
        <w:fldChar w:fldCharType="end"/>
      </w:r>
      <w:r w:rsidR="003244E1">
        <w:t>, in section 6).</w:t>
      </w:r>
    </w:p>
    <w:p w14:paraId="6E13BC99" w14:textId="2A9F3A7E" w:rsidR="00B678A7" w:rsidRDefault="008D6E46" w:rsidP="00CB033E">
      <w:pPr>
        <w:rPr>
          <w:iCs/>
        </w:rPr>
      </w:pPr>
      <w:r>
        <w:t xml:space="preserve">MSAC noted the revised population was similar to the </w:t>
      </w:r>
      <w:r w:rsidR="00B72F39">
        <w:t>previ</w:t>
      </w:r>
      <w:r w:rsidR="003A65A2">
        <w:t xml:space="preserve">ously proposed </w:t>
      </w:r>
      <w:r w:rsidR="007A53CB">
        <w:t xml:space="preserve">population </w:t>
      </w:r>
      <w:r w:rsidR="00E61F28">
        <w:t xml:space="preserve">(i.e., </w:t>
      </w:r>
      <w:r w:rsidR="003A65A2">
        <w:t>MM</w:t>
      </w:r>
      <w:r w:rsidR="0097797A">
        <w:t> </w:t>
      </w:r>
      <w:r w:rsidR="003A65A2">
        <w:t>categories 2</w:t>
      </w:r>
      <w:r w:rsidR="004475B3">
        <w:t>-7</w:t>
      </w:r>
      <w:r w:rsidR="00E61F28">
        <w:t>)</w:t>
      </w:r>
      <w:r w:rsidR="00BB2C0C">
        <w:rPr>
          <w:iCs/>
        </w:rPr>
        <w:t xml:space="preserve">. </w:t>
      </w:r>
      <w:r w:rsidR="00FA792F">
        <w:t xml:space="preserve">MSAC noted that </w:t>
      </w:r>
      <w:r w:rsidR="00FA792F" w:rsidRPr="00712640">
        <w:t xml:space="preserve">the applicant </w:t>
      </w:r>
      <w:r w:rsidR="007341F9">
        <w:t>had</w:t>
      </w:r>
      <w:r w:rsidR="00FA792F" w:rsidRPr="00712640">
        <w:t xml:space="preserve"> proposed limiting the PoC</w:t>
      </w:r>
      <w:r w:rsidR="007341F9">
        <w:t xml:space="preserve">T </w:t>
      </w:r>
      <w:r w:rsidR="00FA792F" w:rsidRPr="00712640">
        <w:t>to MM</w:t>
      </w:r>
      <w:r w:rsidR="00FA792F">
        <w:t> </w:t>
      </w:r>
      <w:r w:rsidR="00A82BF4">
        <w:t xml:space="preserve">categories </w:t>
      </w:r>
      <w:r w:rsidR="00FA792F" w:rsidRPr="00712640">
        <w:t>3</w:t>
      </w:r>
      <w:r w:rsidR="00FA792F">
        <w:t>–</w:t>
      </w:r>
      <w:r w:rsidR="004475B3">
        <w:t>7</w:t>
      </w:r>
      <w:r w:rsidR="00FA792F">
        <w:t>,</w:t>
      </w:r>
      <w:r w:rsidR="00FA792F" w:rsidRPr="00712640">
        <w:t xml:space="preserve"> not to MM</w:t>
      </w:r>
      <w:r w:rsidR="00FA792F">
        <w:t> </w:t>
      </w:r>
      <w:r w:rsidR="00A82BF4">
        <w:t xml:space="preserve">categories </w:t>
      </w:r>
      <w:r w:rsidR="00FA792F" w:rsidRPr="00712640">
        <w:t>6</w:t>
      </w:r>
      <w:r w:rsidR="00FA792F">
        <w:t>–</w:t>
      </w:r>
      <w:r w:rsidR="00FA792F" w:rsidRPr="00712640">
        <w:t xml:space="preserve">7 as </w:t>
      </w:r>
      <w:r w:rsidR="0000462C">
        <w:t xml:space="preserve">previously </w:t>
      </w:r>
      <w:r w:rsidR="00FA792F" w:rsidRPr="00712640">
        <w:t xml:space="preserve">suggested </w:t>
      </w:r>
      <w:r w:rsidR="0000462C">
        <w:t>by MSAC</w:t>
      </w:r>
      <w:r w:rsidR="00FA792F" w:rsidRPr="00712640">
        <w:t xml:space="preserve">, </w:t>
      </w:r>
      <w:r w:rsidR="007341F9">
        <w:t>based on consultation</w:t>
      </w:r>
      <w:r w:rsidR="00E13EFF" w:rsidRPr="00E13EFF">
        <w:t xml:space="preserve"> with the National Aboriginal Community Controlled Health Organisation</w:t>
      </w:r>
      <w:r w:rsidR="007341F9">
        <w:t xml:space="preserve">. The applicant </w:t>
      </w:r>
      <w:r w:rsidR="00D9525A">
        <w:t>stated that</w:t>
      </w:r>
      <w:r w:rsidR="00FA792F" w:rsidRPr="00712640">
        <w:t xml:space="preserve"> restricti</w:t>
      </w:r>
      <w:r w:rsidR="00D9525A">
        <w:t>ng the population to those living in</w:t>
      </w:r>
      <w:r w:rsidR="00FA792F" w:rsidRPr="00712640">
        <w:t xml:space="preserve"> MM</w:t>
      </w:r>
      <w:r w:rsidR="00FA792F">
        <w:t> </w:t>
      </w:r>
      <w:r w:rsidR="00817ABD">
        <w:t xml:space="preserve">category </w:t>
      </w:r>
      <w:r w:rsidR="00FA792F" w:rsidRPr="00712640">
        <w:t>6</w:t>
      </w:r>
      <w:r w:rsidR="00FA792F">
        <w:t>–</w:t>
      </w:r>
      <w:r w:rsidR="00FA792F" w:rsidRPr="00712640">
        <w:t xml:space="preserve">7 </w:t>
      </w:r>
      <w:r w:rsidR="00D9525A">
        <w:t xml:space="preserve">communities </w:t>
      </w:r>
      <w:r w:rsidR="00FA792F" w:rsidRPr="00712640">
        <w:t xml:space="preserve">would lead to major inequities in </w:t>
      </w:r>
      <w:r w:rsidR="008A68A9">
        <w:t xml:space="preserve">other </w:t>
      </w:r>
      <w:r w:rsidR="00FA792F" w:rsidRPr="00712640">
        <w:t>areas where there is restricted access to centralised pathology services</w:t>
      </w:r>
      <w:r w:rsidR="00FA792F">
        <w:t>.</w:t>
      </w:r>
      <w:r w:rsidR="00FA792F" w:rsidRPr="00712640">
        <w:t xml:space="preserve"> </w:t>
      </w:r>
      <w:r w:rsidR="00FA792F">
        <w:t>MSAC noted that u</w:t>
      </w:r>
      <w:r w:rsidR="00FA792F" w:rsidRPr="00712640">
        <w:t xml:space="preserve">nder </w:t>
      </w:r>
      <w:r w:rsidR="00FA792F">
        <w:t xml:space="preserve">the </w:t>
      </w:r>
      <w:r w:rsidR="00FA792F" w:rsidRPr="00712640">
        <w:t>current program</w:t>
      </w:r>
      <w:r w:rsidR="00FA792F">
        <w:t>,</w:t>
      </w:r>
      <w:r w:rsidR="00BA38D1">
        <w:t xml:space="preserve"> </w:t>
      </w:r>
      <w:r w:rsidR="00BA38D1" w:rsidRPr="00712640">
        <w:t>13% are in MM</w:t>
      </w:r>
      <w:r w:rsidR="00BA38D1">
        <w:t> </w:t>
      </w:r>
      <w:r w:rsidR="00817ABD">
        <w:t xml:space="preserve">categories </w:t>
      </w:r>
      <w:r w:rsidR="00BA38D1" w:rsidRPr="00712640">
        <w:t>3</w:t>
      </w:r>
      <w:r w:rsidR="00BA38D1">
        <w:t>–</w:t>
      </w:r>
      <w:r w:rsidR="00BA38D1" w:rsidRPr="00712640">
        <w:t>5 and 81% in MM</w:t>
      </w:r>
      <w:r w:rsidR="00BA38D1">
        <w:t> </w:t>
      </w:r>
      <w:r w:rsidR="00817ABD">
        <w:t xml:space="preserve">categories </w:t>
      </w:r>
      <w:r w:rsidR="00BA38D1" w:rsidRPr="00712640">
        <w:t>6</w:t>
      </w:r>
      <w:r w:rsidR="00BA38D1">
        <w:t>–</w:t>
      </w:r>
      <w:r w:rsidR="00BA38D1" w:rsidRPr="00712640">
        <w:t>7</w:t>
      </w:r>
      <w:r w:rsidR="00BA38D1">
        <w:t>. These are</w:t>
      </w:r>
      <w:r w:rsidR="00FA792F" w:rsidRPr="00712640">
        <w:t xml:space="preserve"> sites </w:t>
      </w:r>
      <w:r w:rsidR="00BA38D1">
        <w:t xml:space="preserve">that have been </w:t>
      </w:r>
      <w:r w:rsidR="00FA792F" w:rsidRPr="00712640">
        <w:t>selected on basis of need</w:t>
      </w:r>
      <w:r w:rsidR="00FA792F">
        <w:t>,</w:t>
      </w:r>
      <w:r w:rsidR="00FA792F" w:rsidRPr="00712640">
        <w:t xml:space="preserve"> existing prevalence of STIs, distance from routine pathology</w:t>
      </w:r>
      <w:r w:rsidR="00BA38D1">
        <w:t xml:space="preserve"> services</w:t>
      </w:r>
      <w:r w:rsidR="00FA792F" w:rsidRPr="00712640">
        <w:t xml:space="preserve">, difficulty in clients accessing care and recalling clients for </w:t>
      </w:r>
      <w:r w:rsidR="00FA792F">
        <w:t>treatment</w:t>
      </w:r>
      <w:r w:rsidR="00101DC9">
        <w:t>.</w:t>
      </w:r>
    </w:p>
    <w:p w14:paraId="2E746FF2" w14:textId="601CEA6B" w:rsidR="00ED61AC" w:rsidRDefault="00BB2C0C" w:rsidP="00BB2C0C">
      <w:r>
        <w:t xml:space="preserve">MSAC noted that the comparator was unchanged from the original application, which is standard laboratory testing, the current standard of care. However, MSAC noted that in reality </w:t>
      </w:r>
      <w:r w:rsidR="00615E72">
        <w:t xml:space="preserve">for those living in remote and very remote communities </w:t>
      </w:r>
      <w:r>
        <w:t>there are access barriers (locality, delays in results and possible treatment) that result in patients not accessing standard laboratory STI testing</w:t>
      </w:r>
      <w:r w:rsidR="00D16E20">
        <w:t>.</w:t>
      </w:r>
      <w:r>
        <w:t xml:space="preserve"> </w:t>
      </w:r>
      <w:r w:rsidR="002C4CCE">
        <w:t>MSAC considered that f</w:t>
      </w:r>
      <w:r w:rsidR="00D16E20">
        <w:t xml:space="preserve">or this subset of the proposed population, </w:t>
      </w:r>
      <w:r>
        <w:t>a comparator of “no testing”</w:t>
      </w:r>
      <w:r w:rsidR="00615E72">
        <w:t xml:space="preserve"> could potentially have been</w:t>
      </w:r>
      <w:r w:rsidR="00BA5452">
        <w:t xml:space="preserve"> </w:t>
      </w:r>
      <w:r>
        <w:t xml:space="preserve">appropriate </w:t>
      </w:r>
      <w:r w:rsidR="00BA5452">
        <w:t xml:space="preserve">but </w:t>
      </w:r>
      <w:r w:rsidR="00616494">
        <w:t xml:space="preserve">this subpopulation had not been considered and </w:t>
      </w:r>
      <w:r w:rsidR="00BA5452">
        <w:t>no evidence ha</w:t>
      </w:r>
      <w:r w:rsidR="00ED0247">
        <w:t>d</w:t>
      </w:r>
      <w:r w:rsidR="00BA5452">
        <w:t xml:space="preserve"> been presented </w:t>
      </w:r>
      <w:r w:rsidR="00616494">
        <w:t xml:space="preserve">to support it. </w:t>
      </w:r>
    </w:p>
    <w:p w14:paraId="4B7C73AC" w14:textId="6979FC0E" w:rsidR="00757AE1" w:rsidRDefault="00C04848" w:rsidP="00CB033E">
      <w:r>
        <w:t xml:space="preserve">MSAC noted </w:t>
      </w:r>
      <w:r w:rsidR="00DE3213">
        <w:t>that a</w:t>
      </w:r>
      <w:r w:rsidR="00DE3213" w:rsidRPr="00DE3213">
        <w:t>dditional qualitative research</w:t>
      </w:r>
      <w:r w:rsidR="00616494">
        <w:t xml:space="preserve"> had been presented</w:t>
      </w:r>
      <w:r w:rsidR="00DE3213" w:rsidRPr="00DE3213">
        <w:t xml:space="preserve"> on how P</w:t>
      </w:r>
      <w:r w:rsidR="006D215F">
        <w:t>o</w:t>
      </w:r>
      <w:r w:rsidR="00DE3213" w:rsidRPr="00DE3213">
        <w:t>CT can address some barriers to STI testing and follow up.</w:t>
      </w:r>
      <w:r w:rsidR="00DE3213">
        <w:t xml:space="preserve"> However, </w:t>
      </w:r>
      <w:r>
        <w:t>no new</w:t>
      </w:r>
      <w:r w:rsidR="002220D7">
        <w:t xml:space="preserve"> </w:t>
      </w:r>
      <w:r w:rsidR="00670EDA">
        <w:t xml:space="preserve">quantitative </w:t>
      </w:r>
      <w:r w:rsidR="0056296A">
        <w:t xml:space="preserve">clinical </w:t>
      </w:r>
      <w:r w:rsidR="00261D33">
        <w:t xml:space="preserve">evidence </w:t>
      </w:r>
      <w:r w:rsidR="0056296A">
        <w:t xml:space="preserve">was presented </w:t>
      </w:r>
      <w:r w:rsidR="00787463">
        <w:t>and t</w:t>
      </w:r>
      <w:r w:rsidR="000B0007">
        <w:t xml:space="preserve">herefore, MSAC considered its previous conclusions </w:t>
      </w:r>
      <w:r w:rsidR="00DD03FF">
        <w:t xml:space="preserve">regarding the comparative safety and effectiveness of PoCT </w:t>
      </w:r>
      <w:r w:rsidR="000B0007">
        <w:t>remained unchanged. That is, PoCT</w:t>
      </w:r>
      <w:r w:rsidR="009C0BB2">
        <w:t xml:space="preserve"> </w:t>
      </w:r>
      <w:r w:rsidR="0049333E">
        <w:t>had noninferior safety compared with standard laboratory testing for CT/NG and TV</w:t>
      </w:r>
      <w:r w:rsidR="009C0BB2">
        <w:t xml:space="preserve"> and that </w:t>
      </w:r>
      <w:r w:rsidR="009928EB">
        <w:t>the reliability and validity (i.e., sensitivity and specificity) of the P</w:t>
      </w:r>
      <w:r w:rsidR="006D215F">
        <w:t>o</w:t>
      </w:r>
      <w:r w:rsidR="009928EB">
        <w:t>C</w:t>
      </w:r>
      <w:r w:rsidR="008504E3">
        <w:t>T</w:t>
      </w:r>
      <w:r w:rsidR="009928EB">
        <w:t xml:space="preserve"> was non-inferior to standard laboratory testing. </w:t>
      </w:r>
      <w:r w:rsidR="00CD0B80">
        <w:t xml:space="preserve">Further, </w:t>
      </w:r>
      <w:r w:rsidR="003E7764">
        <w:t xml:space="preserve">while it is </w:t>
      </w:r>
      <w:r w:rsidR="00B00492">
        <w:t>clinically plausible that the reduced time from test to treatment with P</w:t>
      </w:r>
      <w:r w:rsidR="006D215F">
        <w:t>o</w:t>
      </w:r>
      <w:r w:rsidR="00B00492">
        <w:t>C</w:t>
      </w:r>
      <w:r w:rsidR="003E7764">
        <w:t>T</w:t>
      </w:r>
      <w:r w:rsidR="00B00492">
        <w:t xml:space="preserve"> could lead</w:t>
      </w:r>
      <w:r w:rsidR="00502948">
        <w:t xml:space="preserve"> to</w:t>
      </w:r>
      <w:r w:rsidR="00992D9F">
        <w:t xml:space="preserve"> improved health outcomes, </w:t>
      </w:r>
      <w:r w:rsidR="00494495">
        <w:t xml:space="preserve">the available evidence </w:t>
      </w:r>
      <w:r w:rsidR="00B00492">
        <w:t>did not</w:t>
      </w:r>
      <w:r w:rsidR="00494495">
        <w:t xml:space="preserve"> </w:t>
      </w:r>
      <w:r w:rsidR="00B00492">
        <w:t>demonstrate that P</w:t>
      </w:r>
      <w:r w:rsidR="006D215F">
        <w:t>oCT</w:t>
      </w:r>
      <w:r w:rsidR="00B00492">
        <w:t xml:space="preserve"> improved health outcomes compared to standard</w:t>
      </w:r>
      <w:r w:rsidR="00494495">
        <w:t xml:space="preserve"> </w:t>
      </w:r>
      <w:r w:rsidR="00B00492">
        <w:t>laboratory testing</w:t>
      </w:r>
      <w:r w:rsidR="00502948">
        <w:t>.</w:t>
      </w:r>
      <w:r w:rsidR="00B00492">
        <w:t xml:space="preserve"> Therefore, MSAC concluded that </w:t>
      </w:r>
      <w:r w:rsidR="006D215F">
        <w:t>Po</w:t>
      </w:r>
      <w:r w:rsidR="00B00492">
        <w:t>C</w:t>
      </w:r>
      <w:r w:rsidR="00494495">
        <w:t>T</w:t>
      </w:r>
      <w:r w:rsidR="00440923">
        <w:t xml:space="preserve"> </w:t>
      </w:r>
      <w:r w:rsidR="00B00492">
        <w:t>had noninferior clinical</w:t>
      </w:r>
      <w:r w:rsidR="00494495">
        <w:t xml:space="preserve"> </w:t>
      </w:r>
      <w:r w:rsidR="00B00492">
        <w:t xml:space="preserve">effectiveness compared to standard laboratory testing </w:t>
      </w:r>
      <w:r w:rsidR="008719EC">
        <w:t>CT/NG and TV</w:t>
      </w:r>
      <w:r w:rsidR="00B00492">
        <w:t>.</w:t>
      </w:r>
      <w:r w:rsidR="008719EC">
        <w:t xml:space="preserve"> </w:t>
      </w:r>
      <w:r w:rsidR="00440923">
        <w:t xml:space="preserve">However, MSAC </w:t>
      </w:r>
      <w:r w:rsidR="00A66E8F">
        <w:t>acknowledged</w:t>
      </w:r>
      <w:r w:rsidR="00B47F33">
        <w:t xml:space="preserve"> that, while no longer-term evidence regarding change in management or impact on patient outcomes </w:t>
      </w:r>
      <w:r w:rsidR="00A66E8F">
        <w:t>was</w:t>
      </w:r>
      <w:r w:rsidR="00B47F33">
        <w:t xml:space="preserve"> provided in the applicant’s response, it is unlikely that this will become available in the near future due to the length of studies that would be required. </w:t>
      </w:r>
    </w:p>
    <w:p w14:paraId="7A571C55" w14:textId="74856907" w:rsidR="00A42E62" w:rsidRPr="00BE1251" w:rsidRDefault="00A42E62" w:rsidP="00A42E62">
      <w:r>
        <w:t xml:space="preserve">MSAC noted that the </w:t>
      </w:r>
      <w:r w:rsidR="009B7DD6">
        <w:t>resubmission</w:t>
      </w:r>
      <w:r>
        <w:t xml:space="preserve"> presented a revised economic analysis using the same </w:t>
      </w:r>
      <w:r w:rsidR="00C35F88">
        <w:t xml:space="preserve">complex </w:t>
      </w:r>
      <w:r>
        <w:t>economic model previously presented to MSAC</w:t>
      </w:r>
      <w:r w:rsidR="00725198">
        <w:t xml:space="preserve">. MSAC noted the </w:t>
      </w:r>
      <w:r w:rsidR="00415889">
        <w:t xml:space="preserve">revisions included </w:t>
      </w:r>
      <w:r w:rsidR="006F5628">
        <w:t xml:space="preserve">applying the revised target population, </w:t>
      </w:r>
      <w:r w:rsidR="00AF3B10">
        <w:t>the</w:t>
      </w:r>
      <w:r w:rsidR="00415889">
        <w:t xml:space="preserve"> </w:t>
      </w:r>
      <w:r w:rsidR="00790EEB">
        <w:t xml:space="preserve">revised </w:t>
      </w:r>
      <w:r w:rsidR="00415889">
        <w:t xml:space="preserve">PoCT fees </w:t>
      </w:r>
      <w:r w:rsidR="00907B0D">
        <w:t>and retesting of patients.</w:t>
      </w:r>
      <w:r w:rsidR="00AF1278">
        <w:t xml:space="preserve"> </w:t>
      </w:r>
      <w:r w:rsidR="00B8277F">
        <w:t xml:space="preserve">MSAC noted that the model still relied on modelling health benefits that MSAC considered may be </w:t>
      </w:r>
      <w:r w:rsidR="00B8277F">
        <w:lastRenderedPageBreak/>
        <w:t xml:space="preserve">plausible but </w:t>
      </w:r>
      <w:r w:rsidR="005F2F56">
        <w:t xml:space="preserve">had </w:t>
      </w:r>
      <w:r w:rsidR="00B8277F">
        <w:t>not been demonstrated by the clinical evidence, creating high uncertainty in the ICER. MSAC noted that as no new evidence was provided, the revised ICER presented by the applicant is unlikely to be useful for decision making due to the continued high uncertainty.</w:t>
      </w:r>
      <w:r w:rsidR="00B8277F" w:rsidRPr="00BD0D8A">
        <w:t xml:space="preserve"> </w:t>
      </w:r>
      <w:r w:rsidR="004C75DB">
        <w:t>M</w:t>
      </w:r>
      <w:r>
        <w:t xml:space="preserve">SAC </w:t>
      </w:r>
      <w:r w:rsidR="00BE7F99">
        <w:t>also recalled that it ha</w:t>
      </w:r>
      <w:r w:rsidR="00C519BC">
        <w:t>d</w:t>
      </w:r>
      <w:r w:rsidR="00BE7F99">
        <w:t xml:space="preserve"> previously highlighted </w:t>
      </w:r>
      <w:r w:rsidR="00487408">
        <w:t xml:space="preserve">a number of issues with the </w:t>
      </w:r>
      <w:r w:rsidR="00EA475D">
        <w:t>model</w:t>
      </w:r>
      <w:r w:rsidR="00487408">
        <w:t xml:space="preserve"> and </w:t>
      </w:r>
      <w:r w:rsidR="00BB1475">
        <w:t xml:space="preserve">had advised </w:t>
      </w:r>
      <w:r w:rsidR="00EA475D">
        <w:t>that the model should be respecified to address these concerns</w:t>
      </w:r>
      <w:r w:rsidR="00D67D5B">
        <w:t xml:space="preserve">. MSAC noted </w:t>
      </w:r>
      <w:r w:rsidR="00193698">
        <w:t>the applicant’s</w:t>
      </w:r>
      <w:r>
        <w:t xml:space="preserve"> pre-MSAC response</w:t>
      </w:r>
      <w:r w:rsidR="00193698">
        <w:t xml:space="preserve"> asserted that</w:t>
      </w:r>
      <w:r w:rsidRPr="00EB2C98">
        <w:t xml:space="preserve"> </w:t>
      </w:r>
      <w:r w:rsidR="00193698">
        <w:t>the model</w:t>
      </w:r>
      <w:r w:rsidRPr="00EB2C98">
        <w:t xml:space="preserve"> aligns with the PICO</w:t>
      </w:r>
      <w:r w:rsidR="00DD0106">
        <w:t xml:space="preserve"> and was complex as it</w:t>
      </w:r>
      <w:r w:rsidRPr="00EB2C98">
        <w:t xml:space="preserve"> required multiple pathways for different subgroups and for </w:t>
      </w:r>
      <w:r>
        <w:t>three</w:t>
      </w:r>
      <w:r w:rsidRPr="00EB2C98">
        <w:t xml:space="preserve"> different infections</w:t>
      </w:r>
      <w:r>
        <w:t>, all of</w:t>
      </w:r>
      <w:r w:rsidRPr="00EB2C98">
        <w:t xml:space="preserve"> which have different sequalae</w:t>
      </w:r>
      <w:r w:rsidRPr="00C24761">
        <w:t>.</w:t>
      </w:r>
      <w:r w:rsidR="0044646C" w:rsidRPr="00C24761">
        <w:t xml:space="preserve"> While MSAC agreed </w:t>
      </w:r>
      <w:r w:rsidR="00645FF3" w:rsidRPr="00C24761">
        <w:t>the model align</w:t>
      </w:r>
      <w:r w:rsidR="003E1B17" w:rsidRPr="00D603DB">
        <w:t>ed</w:t>
      </w:r>
      <w:r w:rsidR="00645FF3" w:rsidRPr="00C24761">
        <w:t xml:space="preserve"> with the PICO, MSAC still considered the economic analysis </w:t>
      </w:r>
      <w:r w:rsidR="003D6D40" w:rsidRPr="00C24761">
        <w:t xml:space="preserve">and the ICER generated was not useful for decision making given it modelled health outcomes that were not </w:t>
      </w:r>
      <w:r w:rsidR="002515C6" w:rsidRPr="00C24761">
        <w:t xml:space="preserve">demonstrated by the </w:t>
      </w:r>
      <w:r w:rsidR="00BF5E0E" w:rsidRPr="00C24761">
        <w:t xml:space="preserve">clinical </w:t>
      </w:r>
      <w:r w:rsidR="002515C6" w:rsidRPr="00C24761">
        <w:t>evidence and the model</w:t>
      </w:r>
      <w:r w:rsidR="0044646C" w:rsidRPr="00C24761">
        <w:t xml:space="preserve"> </w:t>
      </w:r>
      <w:r w:rsidR="00BF5E0E" w:rsidRPr="00C24761">
        <w:t xml:space="preserve">was not </w:t>
      </w:r>
      <w:r w:rsidR="00464C25" w:rsidRPr="00C24761">
        <w:t xml:space="preserve">respecified to </w:t>
      </w:r>
      <w:r w:rsidR="004F00BC" w:rsidRPr="00C24761">
        <w:t xml:space="preserve">address the fundamental concerns </w:t>
      </w:r>
      <w:r w:rsidR="00252BAC" w:rsidRPr="00C24761">
        <w:t xml:space="preserve">previously </w:t>
      </w:r>
      <w:r w:rsidR="004F00BC" w:rsidRPr="00C24761">
        <w:t>raised by MSAC.</w:t>
      </w:r>
    </w:p>
    <w:p w14:paraId="7F3D7C6B" w14:textId="65632609" w:rsidR="00315F17" w:rsidRDefault="00F724CB" w:rsidP="00C24761">
      <w:pPr>
        <w:rPr>
          <w:rStyle w:val="normaltextrun"/>
          <w:rFonts w:cs="Segoe UI"/>
        </w:rPr>
      </w:pPr>
      <w:r w:rsidRPr="00BE1251">
        <w:t xml:space="preserve">MSAC </w:t>
      </w:r>
      <w:r w:rsidR="00A3745C" w:rsidRPr="00BE1251">
        <w:t xml:space="preserve">recalled </w:t>
      </w:r>
      <w:r w:rsidR="00DC4121" w:rsidRPr="00BE1251">
        <w:t>it had</w:t>
      </w:r>
      <w:r w:rsidRPr="00BE1251">
        <w:t xml:space="preserve"> previous</w:t>
      </w:r>
      <w:r w:rsidR="00DC4121" w:rsidRPr="00BE1251">
        <w:t>ly concluded that</w:t>
      </w:r>
      <w:r w:rsidRPr="00BE1251">
        <w:t xml:space="preserve"> financial estimates were uncertain and likely to be underestimated. </w:t>
      </w:r>
      <w:r w:rsidR="00316868" w:rsidRPr="00BE1251">
        <w:t>MSAC noted the resubmission presented revised</w:t>
      </w:r>
      <w:r w:rsidRPr="00BE1251">
        <w:t xml:space="preserve"> financial estimates </w:t>
      </w:r>
      <w:r w:rsidR="00B11284" w:rsidRPr="00BE1251">
        <w:t>b</w:t>
      </w:r>
      <w:r w:rsidRPr="00BE1251">
        <w:t xml:space="preserve">ased on </w:t>
      </w:r>
      <w:r w:rsidR="0077589D">
        <w:t xml:space="preserve">the </w:t>
      </w:r>
      <w:r w:rsidRPr="00BE1251">
        <w:t xml:space="preserve">same market-based approach </w:t>
      </w:r>
      <w:r w:rsidR="00316868" w:rsidRPr="00BE1251">
        <w:t xml:space="preserve">that estimated the </w:t>
      </w:r>
      <w:r w:rsidR="00B63EFF" w:rsidRPr="00AD4793">
        <w:rPr>
          <w:rFonts w:cs="Arial"/>
        </w:rPr>
        <w:t>net cost to MBS</w:t>
      </w:r>
      <w:r w:rsidR="00B63EFF" w:rsidRPr="00BE1251">
        <w:rPr>
          <w:rFonts w:ascii="Arial" w:hAnsi="Arial" w:cs="Arial"/>
        </w:rPr>
        <w:t xml:space="preserve"> </w:t>
      </w:r>
      <w:r w:rsidRPr="00BE1251">
        <w:t>over 5 years (2024–2028)</w:t>
      </w:r>
      <w:r w:rsidRPr="00BE1251">
        <w:rPr>
          <w:rFonts w:ascii="Arial" w:hAnsi="Arial" w:cs="Arial"/>
        </w:rPr>
        <w:t>​</w:t>
      </w:r>
      <w:r w:rsidRPr="00BE1251">
        <w:t xml:space="preserve"> </w:t>
      </w:r>
      <w:r w:rsidR="00B63EFF" w:rsidRPr="00BE1251">
        <w:t>w</w:t>
      </w:r>
      <w:r w:rsidR="00845C62">
        <w:t>ould be</w:t>
      </w:r>
      <w:r w:rsidR="00B63EFF" w:rsidRPr="00BE1251">
        <w:t xml:space="preserve"> $</w:t>
      </w:r>
      <w:r w:rsidR="00E5302A" w:rsidRPr="00BE1251">
        <w:t>24.1 million.</w:t>
      </w:r>
      <w:r w:rsidR="00C979BA" w:rsidRPr="00BE1251">
        <w:t xml:space="preserve"> MSAC noted the </w:t>
      </w:r>
      <w:r w:rsidR="00644D49">
        <w:t>estimate</w:t>
      </w:r>
      <w:r w:rsidR="00CF6E3D">
        <w:t>d</w:t>
      </w:r>
      <w:r w:rsidR="00644D49">
        <w:t xml:space="preserve"> </w:t>
      </w:r>
      <w:r w:rsidR="00032DAC" w:rsidRPr="00C24761">
        <w:t xml:space="preserve">net cost to the MBS decreased if the alternative fees proposed by the department were applied (see </w:t>
      </w:r>
      <w:r w:rsidR="00371511" w:rsidRPr="00C24761">
        <w:fldChar w:fldCharType="begin"/>
      </w:r>
      <w:r w:rsidR="00371511" w:rsidRPr="00C24761">
        <w:instrText xml:space="preserve"> REF _Ref147762343 \h </w:instrText>
      </w:r>
      <w:r w:rsidR="00BE1251">
        <w:instrText xml:space="preserve"> \* MERGEFORMAT </w:instrText>
      </w:r>
      <w:r w:rsidR="00371511" w:rsidRPr="00C24761">
        <w:fldChar w:fldCharType="separate"/>
      </w:r>
      <w:r w:rsidR="00371511" w:rsidRPr="00BE1251">
        <w:t xml:space="preserve">Table </w:t>
      </w:r>
      <w:r w:rsidR="00371511" w:rsidRPr="00BE1251">
        <w:rPr>
          <w:noProof/>
        </w:rPr>
        <w:t>8</w:t>
      </w:r>
      <w:r w:rsidR="00371511" w:rsidRPr="00C24761">
        <w:fldChar w:fldCharType="end"/>
      </w:r>
      <w:r w:rsidR="00371511" w:rsidRPr="00C24761">
        <w:t xml:space="preserve">). </w:t>
      </w:r>
      <w:r w:rsidR="00644D49">
        <w:t xml:space="preserve">However, </w:t>
      </w:r>
      <w:r w:rsidR="00371511" w:rsidRPr="00C24761">
        <w:t xml:space="preserve">MSAC considered </w:t>
      </w:r>
      <w:r w:rsidR="00BE1251" w:rsidRPr="00C24761">
        <w:t xml:space="preserve">the predicted utilisation of the PoCT was underestimated. </w:t>
      </w:r>
      <w:r w:rsidR="00C9216B">
        <w:rPr>
          <w:iCs/>
        </w:rPr>
        <w:t xml:space="preserve"> </w:t>
      </w:r>
    </w:p>
    <w:p w14:paraId="3EF0F5CD" w14:textId="059DC624" w:rsidR="007C3267" w:rsidRDefault="000F038D" w:rsidP="00186AA3">
      <w:pPr>
        <w:tabs>
          <w:tab w:val="left" w:pos="426"/>
        </w:tabs>
        <w:rPr>
          <w:rStyle w:val="normaltextrun"/>
          <w:rFonts w:cs="Segoe UI"/>
        </w:rPr>
      </w:pPr>
      <w:r>
        <w:rPr>
          <w:rStyle w:val="normaltextrun"/>
          <w:rFonts w:cs="Segoe UI"/>
        </w:rPr>
        <w:t xml:space="preserve">Overall, MSAC </w:t>
      </w:r>
      <w:r w:rsidR="00724D58">
        <w:rPr>
          <w:rStyle w:val="normaltextrun"/>
          <w:rFonts w:cs="Segoe UI"/>
        </w:rPr>
        <w:t xml:space="preserve">did not support funding PoCT </w:t>
      </w:r>
      <w:r w:rsidR="00FD6CFE">
        <w:rPr>
          <w:rStyle w:val="normaltextrun"/>
          <w:rFonts w:cs="Segoe UI"/>
        </w:rPr>
        <w:t>for STIs for the proposed population (i.e.,</w:t>
      </w:r>
      <w:r w:rsidR="00FD6CFE" w:rsidRPr="00FD6CFE">
        <w:rPr>
          <w:rStyle w:val="normaltextrun"/>
          <w:rFonts w:cs="Segoe UI"/>
        </w:rPr>
        <w:t xml:space="preserve"> </w:t>
      </w:r>
      <w:r w:rsidR="00FD6CFE" w:rsidRPr="003E0453">
        <w:rPr>
          <w:rStyle w:val="normaltextrun"/>
          <w:rFonts w:cs="Segoe UI"/>
        </w:rPr>
        <w:t>MM category 3 large rural towns</w:t>
      </w:r>
      <w:r w:rsidR="00601A20">
        <w:rPr>
          <w:rStyle w:val="normaltextrun"/>
          <w:rFonts w:cs="Segoe UI"/>
        </w:rPr>
        <w:t xml:space="preserve"> </w:t>
      </w:r>
      <w:r w:rsidR="00FD6CFE" w:rsidRPr="003E0453">
        <w:rPr>
          <w:rStyle w:val="normaltextrun"/>
          <w:rFonts w:cs="Segoe UI"/>
        </w:rPr>
        <w:t>to MM category 7 very remote communities</w:t>
      </w:r>
      <w:r w:rsidR="00FD6CFE">
        <w:rPr>
          <w:rStyle w:val="normaltextrun"/>
          <w:rFonts w:cs="Segoe UI"/>
        </w:rPr>
        <w:t xml:space="preserve">) at the proposed </w:t>
      </w:r>
      <w:r w:rsidR="003E0453" w:rsidRPr="003E0453">
        <w:rPr>
          <w:rStyle w:val="normaltextrun"/>
          <w:rFonts w:cs="Segoe UI"/>
        </w:rPr>
        <w:t xml:space="preserve">total fee for combined CT/NG and TV PoCT of $212.90 [85% rebate $181]) due to the </w:t>
      </w:r>
      <w:r w:rsidR="007C3267">
        <w:rPr>
          <w:rStyle w:val="normaltextrun"/>
          <w:rFonts w:cs="Segoe UI"/>
        </w:rPr>
        <w:t xml:space="preserve">continued </w:t>
      </w:r>
      <w:r w:rsidR="003E0453" w:rsidRPr="003E0453">
        <w:rPr>
          <w:rStyle w:val="normaltextrun"/>
          <w:rFonts w:cs="Segoe UI"/>
        </w:rPr>
        <w:t>uncertainty regarding the clinical</w:t>
      </w:r>
      <w:r w:rsidR="00257021">
        <w:rPr>
          <w:rStyle w:val="normaltextrun"/>
          <w:rFonts w:cs="Segoe UI"/>
        </w:rPr>
        <w:t xml:space="preserve"> effectiveness</w:t>
      </w:r>
      <w:r w:rsidR="003E0453" w:rsidRPr="003E0453">
        <w:rPr>
          <w:rStyle w:val="normaltextrun"/>
          <w:rFonts w:cs="Segoe UI"/>
        </w:rPr>
        <w:t xml:space="preserve"> and cost-effectiveness of PoCT for STIs</w:t>
      </w:r>
      <w:r w:rsidR="007C3267">
        <w:rPr>
          <w:rStyle w:val="normaltextrun"/>
          <w:rFonts w:cs="Segoe UI"/>
        </w:rPr>
        <w:t xml:space="preserve"> that was unchanged from MSAC’s previous consideration.</w:t>
      </w:r>
    </w:p>
    <w:p w14:paraId="651BFDC6" w14:textId="4A35D8C6" w:rsidR="00601A20" w:rsidRDefault="00643260" w:rsidP="00186AA3">
      <w:pPr>
        <w:tabs>
          <w:tab w:val="left" w:pos="426"/>
        </w:tabs>
        <w:rPr>
          <w:iCs/>
        </w:rPr>
      </w:pPr>
      <w:r>
        <w:rPr>
          <w:rStyle w:val="normaltextrun"/>
          <w:rFonts w:cs="Segoe UI"/>
        </w:rPr>
        <w:t>As p</w:t>
      </w:r>
      <w:r w:rsidR="00B34C7F">
        <w:rPr>
          <w:rStyle w:val="normaltextrun"/>
          <w:rFonts w:cs="Segoe UI"/>
        </w:rPr>
        <w:t>er MSAC</w:t>
      </w:r>
      <w:r w:rsidR="008B066F">
        <w:rPr>
          <w:rStyle w:val="normaltextrun"/>
          <w:rFonts w:cs="Segoe UI"/>
        </w:rPr>
        <w:t>’s</w:t>
      </w:r>
      <w:r w:rsidR="00B34C7F">
        <w:rPr>
          <w:rStyle w:val="normaltextrun"/>
          <w:rFonts w:cs="Segoe UI"/>
        </w:rPr>
        <w:t xml:space="preserve"> previous consideration, </w:t>
      </w:r>
      <w:r w:rsidR="00BF5991">
        <w:rPr>
          <w:rStyle w:val="normaltextrun"/>
          <w:rFonts w:cs="Segoe UI"/>
        </w:rPr>
        <w:t xml:space="preserve">MSAC </w:t>
      </w:r>
      <w:r w:rsidR="00B34C7F">
        <w:rPr>
          <w:rStyle w:val="normaltextrun"/>
          <w:rFonts w:cs="Segoe UI"/>
        </w:rPr>
        <w:t xml:space="preserve">again reiterated that </w:t>
      </w:r>
      <w:r w:rsidR="003771E8">
        <w:rPr>
          <w:rStyle w:val="normaltextrun"/>
          <w:rFonts w:cs="Segoe UI"/>
        </w:rPr>
        <w:t>remote and very remote communities (i.e.</w:t>
      </w:r>
      <w:r w:rsidR="00A3191F">
        <w:rPr>
          <w:rStyle w:val="normaltextrun"/>
          <w:rFonts w:cs="Segoe UI"/>
        </w:rPr>
        <w:t>,</w:t>
      </w:r>
      <w:r w:rsidR="003771E8">
        <w:rPr>
          <w:rStyle w:val="normaltextrun"/>
          <w:rFonts w:cs="Segoe UI"/>
        </w:rPr>
        <w:t xml:space="preserve"> MM categor</w:t>
      </w:r>
      <w:r w:rsidR="001C7FCA">
        <w:rPr>
          <w:rStyle w:val="normaltextrun"/>
          <w:rFonts w:cs="Segoe UI"/>
        </w:rPr>
        <w:t>ies</w:t>
      </w:r>
      <w:r w:rsidR="003771E8">
        <w:rPr>
          <w:rStyle w:val="normaltextrun"/>
          <w:rFonts w:cs="Segoe UI"/>
        </w:rPr>
        <w:t xml:space="preserve"> 6-7)</w:t>
      </w:r>
      <w:r w:rsidR="009E7478">
        <w:rPr>
          <w:rStyle w:val="normaltextrun"/>
          <w:rFonts w:cs="Segoe UI"/>
        </w:rPr>
        <w:t xml:space="preserve"> </w:t>
      </w:r>
      <w:r w:rsidR="009E7478">
        <w:t>represented the areas of Australia that would have the greatest clinical need and who would currently face restricted timely access and significant delays to test results from standard laboratory testing</w:t>
      </w:r>
      <w:r w:rsidR="003771E8">
        <w:rPr>
          <w:rStyle w:val="normaltextrun"/>
          <w:rFonts w:cs="Segoe UI"/>
        </w:rPr>
        <w:t>.</w:t>
      </w:r>
      <w:r w:rsidR="0073027D">
        <w:rPr>
          <w:rStyle w:val="normaltextrun"/>
          <w:rFonts w:cs="Segoe UI"/>
        </w:rPr>
        <w:t xml:space="preserve"> </w:t>
      </w:r>
      <w:r w:rsidR="008A63C8">
        <w:rPr>
          <w:rStyle w:val="normaltextrun"/>
          <w:rFonts w:cs="Segoe UI"/>
        </w:rPr>
        <w:t xml:space="preserve">Therefore, </w:t>
      </w:r>
      <w:r w:rsidR="0073027D">
        <w:rPr>
          <w:rStyle w:val="normaltextrun"/>
          <w:rFonts w:cs="Segoe UI"/>
        </w:rPr>
        <w:t xml:space="preserve">MSAC </w:t>
      </w:r>
      <w:r w:rsidR="008E1E06">
        <w:rPr>
          <w:rStyle w:val="normaltextrun"/>
          <w:rFonts w:cs="Segoe UI"/>
        </w:rPr>
        <w:t>was supportive of f</w:t>
      </w:r>
      <w:r w:rsidR="00B9783E">
        <w:rPr>
          <w:rStyle w:val="normaltextrun"/>
          <w:rFonts w:cs="Segoe UI"/>
        </w:rPr>
        <w:t xml:space="preserve">unding </w:t>
      </w:r>
      <w:r w:rsidR="00F86676" w:rsidRPr="00583B75">
        <w:rPr>
          <w:iCs/>
        </w:rPr>
        <w:t>PoCT for STIs</w:t>
      </w:r>
      <w:r w:rsidR="00B9783E">
        <w:rPr>
          <w:iCs/>
        </w:rPr>
        <w:t xml:space="preserve"> in</w:t>
      </w:r>
      <w:r w:rsidR="001F469C">
        <w:rPr>
          <w:iCs/>
        </w:rPr>
        <w:t xml:space="preserve"> remote and very remote communities </w:t>
      </w:r>
      <w:r w:rsidR="00B9783E">
        <w:rPr>
          <w:iCs/>
        </w:rPr>
        <w:t xml:space="preserve">where </w:t>
      </w:r>
      <w:r w:rsidR="002948A5">
        <w:rPr>
          <w:iCs/>
        </w:rPr>
        <w:t xml:space="preserve">PoCT </w:t>
      </w:r>
      <w:r w:rsidR="00F86676" w:rsidRPr="00583B75">
        <w:rPr>
          <w:iCs/>
        </w:rPr>
        <w:t>could have the greatest potential benefit by improving timely access and reducing delays in receiving test results</w:t>
      </w:r>
      <w:r w:rsidR="00AE7C0A">
        <w:rPr>
          <w:iCs/>
        </w:rPr>
        <w:t>.</w:t>
      </w:r>
    </w:p>
    <w:p w14:paraId="59DA43BD" w14:textId="5ECF481B" w:rsidR="00481854" w:rsidRDefault="002C323F" w:rsidP="00186AA3">
      <w:pPr>
        <w:tabs>
          <w:tab w:val="left" w:pos="426"/>
        </w:tabs>
        <w:rPr>
          <w:rStyle w:val="normaltextrun"/>
          <w:rFonts w:cs="Segoe UI"/>
        </w:rPr>
      </w:pPr>
      <w:r>
        <w:rPr>
          <w:rStyle w:val="normaltextrun"/>
          <w:rFonts w:cs="Segoe UI"/>
        </w:rPr>
        <w:t>However, MSAC considered the applicant’s proposed fee of $212.90 ($181</w:t>
      </w:r>
      <w:r w:rsidR="000825AA">
        <w:rPr>
          <w:rStyle w:val="normaltextrun"/>
          <w:rFonts w:cs="Segoe UI"/>
        </w:rPr>
        <w:t xml:space="preserve"> 85% rebate) was not justified even in </w:t>
      </w:r>
      <w:r w:rsidR="000825AA" w:rsidRPr="000825AA">
        <w:rPr>
          <w:rStyle w:val="normaltextrun"/>
          <w:rFonts w:cs="Segoe UI"/>
        </w:rPr>
        <w:t>remote and very remote communities (i.e.</w:t>
      </w:r>
      <w:r w:rsidR="001465E6">
        <w:rPr>
          <w:rStyle w:val="normaltextrun"/>
          <w:rFonts w:cs="Segoe UI"/>
        </w:rPr>
        <w:t>,</w:t>
      </w:r>
      <w:r w:rsidR="000825AA" w:rsidRPr="000825AA">
        <w:rPr>
          <w:rStyle w:val="normaltextrun"/>
          <w:rFonts w:cs="Segoe UI"/>
        </w:rPr>
        <w:t xml:space="preserve"> MM categor</w:t>
      </w:r>
      <w:r w:rsidR="00C43C2A">
        <w:rPr>
          <w:rStyle w:val="normaltextrun"/>
          <w:rFonts w:cs="Segoe UI"/>
        </w:rPr>
        <w:t>ies</w:t>
      </w:r>
      <w:r w:rsidR="000825AA" w:rsidRPr="000825AA">
        <w:rPr>
          <w:rStyle w:val="normaltextrun"/>
          <w:rFonts w:cs="Segoe UI"/>
        </w:rPr>
        <w:t xml:space="preserve"> 6-7)</w:t>
      </w:r>
      <w:r w:rsidR="00913CF8">
        <w:rPr>
          <w:rStyle w:val="normaltextrun"/>
          <w:rFonts w:cs="Segoe UI"/>
        </w:rPr>
        <w:t xml:space="preserve"> with high clinical need. </w:t>
      </w:r>
      <w:r w:rsidR="00F25C14">
        <w:rPr>
          <w:rStyle w:val="normaltextrun"/>
          <w:rFonts w:cs="Segoe UI"/>
        </w:rPr>
        <w:t>Further</w:t>
      </w:r>
      <w:r w:rsidR="00FD0B64">
        <w:rPr>
          <w:rStyle w:val="normaltextrun"/>
          <w:rFonts w:cs="Segoe UI"/>
        </w:rPr>
        <w:t>,</w:t>
      </w:r>
      <w:r w:rsidR="00F25C14">
        <w:rPr>
          <w:rStyle w:val="normaltextrun"/>
          <w:rFonts w:cs="Segoe UI"/>
        </w:rPr>
        <w:t xml:space="preserve"> MSAC did not </w:t>
      </w:r>
      <w:r w:rsidR="00FD0B64">
        <w:rPr>
          <w:rStyle w:val="normaltextrun"/>
          <w:rFonts w:cs="Segoe UI"/>
        </w:rPr>
        <w:t>agree</w:t>
      </w:r>
      <w:r w:rsidR="00F25C14">
        <w:rPr>
          <w:rStyle w:val="normaltextrun"/>
          <w:rFonts w:cs="Segoe UI"/>
        </w:rPr>
        <w:t xml:space="preserve"> that the fee should be separated out into items f</w:t>
      </w:r>
      <w:r w:rsidR="00284199">
        <w:rPr>
          <w:rStyle w:val="normaltextrun"/>
          <w:rFonts w:cs="Segoe UI"/>
        </w:rPr>
        <w:t xml:space="preserve">or the microbiology </w:t>
      </w:r>
      <w:r w:rsidR="005514BC">
        <w:rPr>
          <w:rStyle w:val="normaltextrun"/>
          <w:rFonts w:cs="Segoe UI"/>
        </w:rPr>
        <w:t xml:space="preserve">(test kit and transport costs) and miscellaneous (staff </w:t>
      </w:r>
      <w:r w:rsidR="00FD0B64">
        <w:rPr>
          <w:rStyle w:val="normaltextrun"/>
          <w:rFonts w:cs="Segoe UI"/>
        </w:rPr>
        <w:t>time/costs to perform the test)</w:t>
      </w:r>
      <w:r w:rsidR="000F6E04">
        <w:rPr>
          <w:rStyle w:val="normaltextrun"/>
          <w:rFonts w:cs="Segoe UI"/>
        </w:rPr>
        <w:t xml:space="preserve"> components</w:t>
      </w:r>
      <w:r w:rsidR="00FD0B64">
        <w:rPr>
          <w:rStyle w:val="normaltextrun"/>
          <w:rFonts w:cs="Segoe UI"/>
        </w:rPr>
        <w:t xml:space="preserve">. </w:t>
      </w:r>
      <w:r w:rsidR="00913CF8">
        <w:rPr>
          <w:rStyle w:val="normaltextrun"/>
          <w:rFonts w:cs="Segoe UI"/>
        </w:rPr>
        <w:t xml:space="preserve">MSAC </w:t>
      </w:r>
      <w:r w:rsidR="0062520C">
        <w:rPr>
          <w:rStyle w:val="normaltextrun"/>
          <w:rFonts w:cs="Segoe UI"/>
        </w:rPr>
        <w:t xml:space="preserve">also </w:t>
      </w:r>
      <w:r w:rsidR="00913CF8">
        <w:rPr>
          <w:rStyle w:val="normaltextrun"/>
          <w:rFonts w:cs="Segoe UI"/>
        </w:rPr>
        <w:t xml:space="preserve">did not agree that </w:t>
      </w:r>
      <w:r w:rsidR="000F6E04">
        <w:rPr>
          <w:rStyle w:val="normaltextrun"/>
          <w:rFonts w:cs="Segoe UI"/>
        </w:rPr>
        <w:t xml:space="preserve">the </w:t>
      </w:r>
      <w:r w:rsidR="007E7B48">
        <w:rPr>
          <w:rStyle w:val="normaltextrun"/>
          <w:rFonts w:cs="Segoe UI"/>
        </w:rPr>
        <w:t xml:space="preserve">proposed </w:t>
      </w:r>
      <w:r w:rsidR="000F6E04">
        <w:rPr>
          <w:rStyle w:val="normaltextrun"/>
          <w:rFonts w:cs="Segoe UI"/>
        </w:rPr>
        <w:t xml:space="preserve">total </w:t>
      </w:r>
      <w:r w:rsidR="007E7B48">
        <w:rPr>
          <w:rStyle w:val="normaltextrun"/>
          <w:rFonts w:cs="Segoe UI"/>
        </w:rPr>
        <w:t xml:space="preserve">fee with </w:t>
      </w:r>
      <w:r w:rsidR="00CB033E">
        <w:rPr>
          <w:rStyle w:val="normaltextrun"/>
          <w:rFonts w:cs="Segoe UI"/>
        </w:rPr>
        <w:t>40</w:t>
      </w:r>
      <w:r w:rsidR="00CB033E">
        <w:rPr>
          <w:rStyle w:val="normaltextrun"/>
          <w:rFonts w:ascii="Arial" w:hAnsi="Arial" w:cs="Arial"/>
        </w:rPr>
        <w:t> </w:t>
      </w:r>
      <w:r w:rsidR="00CB033E">
        <w:rPr>
          <w:rStyle w:val="normaltextrun"/>
          <w:rFonts w:cs="Segoe UI"/>
        </w:rPr>
        <w:t>minutes of staff time to perform the CT/NG and TV PoC tests</w:t>
      </w:r>
      <w:r w:rsidR="007E7B48">
        <w:rPr>
          <w:rStyle w:val="normaltextrun"/>
          <w:rFonts w:cs="Segoe UI"/>
        </w:rPr>
        <w:t xml:space="preserve"> was reasonable</w:t>
      </w:r>
      <w:r w:rsidR="00CB033E">
        <w:rPr>
          <w:rStyle w:val="normaltextrun"/>
          <w:rFonts w:cs="Segoe UI"/>
        </w:rPr>
        <w:t xml:space="preserve">. </w:t>
      </w:r>
      <w:r w:rsidR="007E7B48">
        <w:rPr>
          <w:rStyle w:val="normaltextrun"/>
          <w:rFonts w:cs="Segoe UI"/>
        </w:rPr>
        <w:t xml:space="preserve">MSAC noted that </w:t>
      </w:r>
      <w:r w:rsidR="00B14E69">
        <w:rPr>
          <w:rStyle w:val="normaltextrun"/>
          <w:rFonts w:cs="Segoe UI"/>
        </w:rPr>
        <w:t xml:space="preserve">the </w:t>
      </w:r>
      <w:r w:rsidR="007E7B48">
        <w:rPr>
          <w:rStyle w:val="normaltextrun"/>
          <w:rFonts w:cs="Segoe UI"/>
        </w:rPr>
        <w:t xml:space="preserve">department had proposed an alternative </w:t>
      </w:r>
      <w:r w:rsidR="00DD5247">
        <w:rPr>
          <w:rStyle w:val="normaltextrun"/>
          <w:rFonts w:cs="Segoe UI"/>
        </w:rPr>
        <w:t xml:space="preserve">total </w:t>
      </w:r>
      <w:r w:rsidR="007E7B48">
        <w:rPr>
          <w:rStyle w:val="normaltextrun"/>
          <w:rFonts w:cs="Segoe UI"/>
        </w:rPr>
        <w:t xml:space="preserve">fee where the </w:t>
      </w:r>
      <w:r w:rsidR="00E96B34">
        <w:rPr>
          <w:rStyle w:val="normaltextrun"/>
          <w:rFonts w:cs="Segoe UI"/>
        </w:rPr>
        <w:t xml:space="preserve">staff time (miscellaneous fee component) was reduced to 20min for the </w:t>
      </w:r>
      <w:r w:rsidR="006C15D1">
        <w:rPr>
          <w:rStyle w:val="normaltextrun"/>
          <w:rFonts w:cs="Segoe UI"/>
        </w:rPr>
        <w:t xml:space="preserve">combined CT/NG and TV PoC tests (Alternative fee 1 in </w:t>
      </w:r>
      <w:r w:rsidR="006C15D1">
        <w:rPr>
          <w:rStyle w:val="normaltextrun"/>
          <w:rFonts w:cs="Segoe UI"/>
        </w:rPr>
        <w:fldChar w:fldCharType="begin"/>
      </w:r>
      <w:r w:rsidR="006C15D1">
        <w:rPr>
          <w:rStyle w:val="normaltextrun"/>
          <w:rFonts w:cs="Segoe UI"/>
        </w:rPr>
        <w:instrText xml:space="preserve"> REF _Ref147777928 \h </w:instrText>
      </w:r>
      <w:r w:rsidR="006C15D1">
        <w:rPr>
          <w:rStyle w:val="normaltextrun"/>
          <w:rFonts w:cs="Segoe UI"/>
        </w:rPr>
      </w:r>
      <w:r w:rsidR="006C15D1">
        <w:rPr>
          <w:rStyle w:val="normaltextrun"/>
          <w:rFonts w:cs="Segoe UI"/>
        </w:rPr>
        <w:fldChar w:fldCharType="separate"/>
      </w:r>
      <w:r w:rsidR="006C15D1">
        <w:t xml:space="preserve">Table </w:t>
      </w:r>
      <w:r w:rsidR="006C15D1">
        <w:rPr>
          <w:noProof/>
        </w:rPr>
        <w:t>4</w:t>
      </w:r>
      <w:r w:rsidR="006C15D1">
        <w:rPr>
          <w:rStyle w:val="normaltextrun"/>
          <w:rFonts w:cs="Segoe UI"/>
        </w:rPr>
        <w:fldChar w:fldCharType="end"/>
      </w:r>
      <w:r w:rsidR="006C15D1">
        <w:rPr>
          <w:rStyle w:val="normaltextrun"/>
          <w:rFonts w:cs="Segoe UI"/>
        </w:rPr>
        <w:t>) and that the applicant’s pre-MSAC response ha</w:t>
      </w:r>
      <w:r w:rsidR="005557BB">
        <w:rPr>
          <w:rStyle w:val="normaltextrun"/>
          <w:rFonts w:cs="Segoe UI"/>
        </w:rPr>
        <w:t>d</w:t>
      </w:r>
      <w:r w:rsidR="006C15D1">
        <w:rPr>
          <w:rStyle w:val="normaltextrun"/>
          <w:rFonts w:cs="Segoe UI"/>
        </w:rPr>
        <w:t xml:space="preserve"> proposed a compromise of </w:t>
      </w:r>
      <w:r w:rsidR="005557BB">
        <w:rPr>
          <w:rStyle w:val="normaltextrun"/>
          <w:rFonts w:cs="Segoe UI"/>
        </w:rPr>
        <w:t>3</w:t>
      </w:r>
      <w:r w:rsidR="006C15D1">
        <w:rPr>
          <w:rStyle w:val="normaltextrun"/>
          <w:rFonts w:cs="Segoe UI"/>
        </w:rPr>
        <w:t xml:space="preserve">0mins. </w:t>
      </w:r>
      <w:r w:rsidR="005557BB">
        <w:rPr>
          <w:rStyle w:val="normaltextrun"/>
          <w:rFonts w:cs="Segoe UI"/>
        </w:rPr>
        <w:t xml:space="preserve">However, </w:t>
      </w:r>
      <w:r w:rsidR="005557BB">
        <w:rPr>
          <w:rStyle w:val="eop"/>
          <w:rFonts w:cs="Segoe UI"/>
          <w:color w:val="000000"/>
        </w:rPr>
        <w:t xml:space="preserve">MSAC </w:t>
      </w:r>
      <w:r w:rsidR="00F9711A">
        <w:rPr>
          <w:rStyle w:val="eop"/>
          <w:rFonts w:cs="Segoe UI"/>
          <w:color w:val="000000"/>
        </w:rPr>
        <w:t>noted</w:t>
      </w:r>
      <w:r w:rsidR="005557BB">
        <w:rPr>
          <w:rStyle w:val="eop"/>
          <w:rFonts w:cs="Segoe UI"/>
          <w:color w:val="000000"/>
        </w:rPr>
        <w:t xml:space="preserve"> the </w:t>
      </w:r>
      <w:r w:rsidR="00CA0CC1">
        <w:rPr>
          <w:rStyle w:val="eop"/>
          <w:rFonts w:cs="Segoe UI"/>
          <w:color w:val="000000"/>
        </w:rPr>
        <w:t>proposed miscellaneous service fee (</w:t>
      </w:r>
      <w:r w:rsidR="00AF404B">
        <w:rPr>
          <w:rStyle w:val="eop"/>
          <w:rFonts w:cs="Segoe UI"/>
          <w:color w:val="000000"/>
        </w:rPr>
        <w:t xml:space="preserve">$65.85 </w:t>
      </w:r>
      <w:r w:rsidR="00CA0CC1">
        <w:rPr>
          <w:rStyle w:val="eop"/>
          <w:rFonts w:cs="Segoe UI"/>
          <w:color w:val="000000"/>
        </w:rPr>
        <w:t>for 20min of staff time)</w:t>
      </w:r>
      <w:r w:rsidR="00BD2AFB">
        <w:rPr>
          <w:rStyle w:val="eop"/>
          <w:rFonts w:cs="Segoe UI"/>
          <w:color w:val="000000"/>
        </w:rPr>
        <w:t xml:space="preserve"> </w:t>
      </w:r>
      <w:r w:rsidR="00F9711A">
        <w:rPr>
          <w:rStyle w:val="eop"/>
          <w:rFonts w:cs="Segoe UI"/>
          <w:color w:val="000000"/>
        </w:rPr>
        <w:t>was significantly more expensive than</w:t>
      </w:r>
      <w:r w:rsidR="00BD2AFB">
        <w:rPr>
          <w:rStyle w:val="eop"/>
          <w:rFonts w:cs="Segoe UI"/>
          <w:color w:val="000000"/>
        </w:rPr>
        <w:t xml:space="preserve"> other</w:t>
      </w:r>
      <w:r w:rsidR="005557BB">
        <w:rPr>
          <w:rStyle w:val="eop"/>
          <w:rFonts w:cs="Segoe UI"/>
          <w:color w:val="000000"/>
        </w:rPr>
        <w:t xml:space="preserve"> similar </w:t>
      </w:r>
      <w:r w:rsidR="00620E69">
        <w:rPr>
          <w:rStyle w:val="eop"/>
          <w:rFonts w:cs="Segoe UI"/>
          <w:color w:val="000000"/>
        </w:rPr>
        <w:t xml:space="preserve">MBS </w:t>
      </w:r>
      <w:r w:rsidR="005557BB">
        <w:rPr>
          <w:rStyle w:val="eop"/>
          <w:rFonts w:cs="Segoe UI"/>
          <w:color w:val="000000"/>
        </w:rPr>
        <w:t xml:space="preserve">services </w:t>
      </w:r>
      <w:r w:rsidR="00D35DF8">
        <w:rPr>
          <w:rStyle w:val="eop"/>
          <w:rFonts w:cs="Segoe UI"/>
          <w:color w:val="000000"/>
        </w:rPr>
        <w:t>with comparable procedures and tasks</w:t>
      </w:r>
      <w:r w:rsidR="00A03183">
        <w:rPr>
          <w:rStyle w:val="eop"/>
          <w:rFonts w:cs="Segoe UI"/>
          <w:color w:val="000000"/>
        </w:rPr>
        <w:t>.</w:t>
      </w:r>
      <w:r w:rsidR="006C15D1">
        <w:rPr>
          <w:rStyle w:val="normaltextrun"/>
          <w:rFonts w:cs="Segoe UI"/>
        </w:rPr>
        <w:t xml:space="preserve"> </w:t>
      </w:r>
      <w:r w:rsidR="007E7B48">
        <w:rPr>
          <w:rStyle w:val="normaltextrun"/>
          <w:rFonts w:cs="Segoe UI"/>
        </w:rPr>
        <w:t xml:space="preserve"> </w:t>
      </w:r>
    </w:p>
    <w:p w14:paraId="7062BE70" w14:textId="082869B3" w:rsidR="00C857C6" w:rsidRDefault="00003A8E" w:rsidP="00C24761">
      <w:pPr>
        <w:tabs>
          <w:tab w:val="left" w:pos="426"/>
        </w:tabs>
      </w:pPr>
      <w:r>
        <w:rPr>
          <w:rStyle w:val="normaltextrun"/>
          <w:rFonts w:cs="Segoe UI"/>
        </w:rPr>
        <w:t>Regarding</w:t>
      </w:r>
      <w:r w:rsidR="001D4351">
        <w:rPr>
          <w:rStyle w:val="normaltextrun"/>
          <w:rFonts w:cs="Segoe UI"/>
        </w:rPr>
        <w:t xml:space="preserve"> the </w:t>
      </w:r>
      <w:r>
        <w:rPr>
          <w:rStyle w:val="normaltextrun"/>
          <w:rFonts w:cs="Segoe UI"/>
        </w:rPr>
        <w:t xml:space="preserve">test component fee, </w:t>
      </w:r>
      <w:r w:rsidR="00C857C6" w:rsidRPr="003E53BA">
        <w:t xml:space="preserve">MSAC noted the </w:t>
      </w:r>
      <w:r w:rsidR="00B247BE">
        <w:t xml:space="preserve">applicant’s </w:t>
      </w:r>
      <w:r w:rsidR="00C857C6" w:rsidRPr="003E53BA">
        <w:t xml:space="preserve">justification that </w:t>
      </w:r>
      <w:r>
        <w:t>this</w:t>
      </w:r>
      <w:r w:rsidR="00C857C6" w:rsidRPr="003E53BA">
        <w:t xml:space="preserve"> reflects the cost of purchasing the testing kit and transport.</w:t>
      </w:r>
      <w:r w:rsidR="00C857C6">
        <w:t xml:space="preserve"> </w:t>
      </w:r>
      <w:r w:rsidR="008208B2">
        <w:t>MSAC considered t</w:t>
      </w:r>
      <w:r w:rsidR="00C857C6">
        <w:t xml:space="preserve">he attempt to build in transport </w:t>
      </w:r>
      <w:r w:rsidR="00BE04F3">
        <w:t xml:space="preserve">costs </w:t>
      </w:r>
      <w:r w:rsidR="00C857C6">
        <w:t>into the cost of the PoC</w:t>
      </w:r>
      <w:r w:rsidR="00CE747E">
        <w:t>T</w:t>
      </w:r>
      <w:r w:rsidR="00C857C6">
        <w:t xml:space="preserve"> </w:t>
      </w:r>
      <w:r w:rsidR="00F2092A">
        <w:t xml:space="preserve">was </w:t>
      </w:r>
      <w:r w:rsidR="00C857C6">
        <w:t xml:space="preserve">fraught as there is huge variation in distances </w:t>
      </w:r>
      <w:r w:rsidR="00F24FCA">
        <w:t>across</w:t>
      </w:r>
      <w:r w:rsidR="00C857C6">
        <w:t xml:space="preserve"> MM</w:t>
      </w:r>
      <w:r w:rsidR="00B659BE">
        <w:t xml:space="preserve"> category </w:t>
      </w:r>
      <w:r w:rsidR="00C857C6">
        <w:t>3 to MM</w:t>
      </w:r>
      <w:r w:rsidR="00B659BE">
        <w:t xml:space="preserve"> category </w:t>
      </w:r>
      <w:r w:rsidR="00C857C6">
        <w:t xml:space="preserve">7 and </w:t>
      </w:r>
      <w:r w:rsidR="00F24FCA">
        <w:t xml:space="preserve">it </w:t>
      </w:r>
      <w:r w:rsidR="00C857C6">
        <w:t>would be difficult to land on a value that is equitable.</w:t>
      </w:r>
      <w:r w:rsidR="008A5EFA">
        <w:t xml:space="preserve"> However, if restricted to MM</w:t>
      </w:r>
      <w:r w:rsidR="00B659BE">
        <w:t xml:space="preserve"> categories</w:t>
      </w:r>
      <w:r w:rsidR="008A5EFA">
        <w:t xml:space="preserve"> 6-7, then it would be reasonable to include transport cost</w:t>
      </w:r>
      <w:r w:rsidR="00726838">
        <w:t>s</w:t>
      </w:r>
      <w:r w:rsidR="00C707D1">
        <w:t xml:space="preserve">. </w:t>
      </w:r>
      <w:r w:rsidR="00C857C6">
        <w:t xml:space="preserve"> </w:t>
      </w:r>
    </w:p>
    <w:p w14:paraId="3147634D" w14:textId="702D732F" w:rsidR="00C857C6" w:rsidRDefault="00C857C6" w:rsidP="00C24761">
      <w:r>
        <w:t>MSAC noted that</w:t>
      </w:r>
      <w:r w:rsidR="00726838">
        <w:t xml:space="preserve"> the</w:t>
      </w:r>
      <w:r>
        <w:t xml:space="preserve"> </w:t>
      </w:r>
      <w:r w:rsidR="006D7FD6">
        <w:t>d</w:t>
      </w:r>
      <w:r>
        <w:t xml:space="preserve">epartment </w:t>
      </w:r>
      <w:r w:rsidR="006D7FD6">
        <w:t>had also proposed a</w:t>
      </w:r>
      <w:r w:rsidR="00DB2792">
        <w:t xml:space="preserve">n alternative fee based on a fee equivalent to </w:t>
      </w:r>
      <w:r w:rsidR="00697DCF">
        <w:t>MBS</w:t>
      </w:r>
      <w:r w:rsidR="00726838">
        <w:t xml:space="preserve"> item</w:t>
      </w:r>
      <w:r w:rsidR="00697DCF">
        <w:t xml:space="preserve"> </w:t>
      </w:r>
      <w:r>
        <w:t>69319</w:t>
      </w:r>
      <w:r w:rsidR="00697DCF">
        <w:t xml:space="preserve"> (comparator laboratory test item</w:t>
      </w:r>
      <w:r>
        <w:t xml:space="preserve">) </w:t>
      </w:r>
      <w:r w:rsidR="00726838">
        <w:t xml:space="preserve">plus </w:t>
      </w:r>
      <w:r w:rsidR="00464611" w:rsidRPr="00464611">
        <w:t xml:space="preserve">additional costs </w:t>
      </w:r>
      <w:r w:rsidR="00464611">
        <w:t xml:space="preserve">for the test </w:t>
      </w:r>
      <w:r w:rsidR="00652581">
        <w:t>cartridges</w:t>
      </w:r>
      <w:r w:rsidR="007723BD">
        <w:t xml:space="preserve"> </w:t>
      </w:r>
      <w:r w:rsidR="007723BD">
        <w:lastRenderedPageBreak/>
        <w:t xml:space="preserve">(Alternative fee 2 in </w:t>
      </w:r>
      <w:r w:rsidR="007723BD">
        <w:fldChar w:fldCharType="begin"/>
      </w:r>
      <w:r w:rsidR="007723BD">
        <w:instrText xml:space="preserve"> REF _Ref147777928 \h </w:instrText>
      </w:r>
      <w:r w:rsidR="007723BD">
        <w:fldChar w:fldCharType="separate"/>
      </w:r>
      <w:r w:rsidR="007723BD">
        <w:t xml:space="preserve">Table </w:t>
      </w:r>
      <w:r w:rsidR="007723BD">
        <w:rPr>
          <w:noProof/>
        </w:rPr>
        <w:t>4</w:t>
      </w:r>
      <w:r w:rsidR="007723BD">
        <w:fldChar w:fldCharType="end"/>
      </w:r>
      <w:r w:rsidR="007723BD">
        <w:t>)</w:t>
      </w:r>
      <w:r w:rsidR="00652581">
        <w:t>. MSAC consider</w:t>
      </w:r>
      <w:r w:rsidR="00F24FCA">
        <w:t>ed</w:t>
      </w:r>
      <w:r w:rsidR="00652581">
        <w:t xml:space="preserve"> this approach to be reasonable but </w:t>
      </w:r>
      <w:r w:rsidR="00CD31AE">
        <w:t>suggested some revisions</w:t>
      </w:r>
      <w:r w:rsidR="00352D53">
        <w:t xml:space="preserve">. MSAC considered </w:t>
      </w:r>
      <w:r w:rsidR="00816B28">
        <w:t xml:space="preserve">the fee for combined CT/NG and TV PoCT </w:t>
      </w:r>
      <w:r w:rsidR="00352D53">
        <w:t xml:space="preserve">should be </w:t>
      </w:r>
      <w:r w:rsidR="00816B28">
        <w:t>set at $117.65</w:t>
      </w:r>
      <w:r w:rsidR="0006695A">
        <w:t xml:space="preserve"> (85% rebate $100) so that the</w:t>
      </w:r>
      <w:r w:rsidR="00CD31AE">
        <w:t xml:space="preserve"> </w:t>
      </w:r>
      <w:r w:rsidR="00350AF6">
        <w:t xml:space="preserve">85% rebate </w:t>
      </w:r>
      <w:r w:rsidR="00CD31AE">
        <w:t xml:space="preserve">encompasses </w:t>
      </w:r>
      <w:r w:rsidR="00596098">
        <w:t xml:space="preserve">costs for the professional service (equivalent to MBS item </w:t>
      </w:r>
      <w:r w:rsidR="00352D53">
        <w:t xml:space="preserve">69319) plus costs for cartridges and transport </w:t>
      </w:r>
      <w:r w:rsidR="007723BD">
        <w:t>(</w:t>
      </w:r>
      <w:r w:rsidR="0006695A">
        <w:t xml:space="preserve">see </w:t>
      </w:r>
      <w:r w:rsidR="007723BD">
        <w:t xml:space="preserve">MSAC supported fee in </w:t>
      </w:r>
      <w:r w:rsidR="007723BD">
        <w:fldChar w:fldCharType="begin"/>
      </w:r>
      <w:r w:rsidR="007723BD">
        <w:instrText xml:space="preserve"> REF _Ref147777928 \h </w:instrText>
      </w:r>
      <w:r w:rsidR="007723BD">
        <w:fldChar w:fldCharType="separate"/>
      </w:r>
      <w:r w:rsidR="007723BD">
        <w:t xml:space="preserve">Table </w:t>
      </w:r>
      <w:r w:rsidR="007723BD">
        <w:rPr>
          <w:noProof/>
        </w:rPr>
        <w:t>4</w:t>
      </w:r>
      <w:r w:rsidR="007723BD">
        <w:fldChar w:fldCharType="end"/>
      </w:r>
      <w:r w:rsidR="007723BD">
        <w:t>)</w:t>
      </w:r>
      <w:r w:rsidR="0006695A">
        <w:t>.</w:t>
      </w:r>
      <w:r w:rsidR="00D13698">
        <w:t xml:space="preserve"> </w:t>
      </w:r>
    </w:p>
    <w:p w14:paraId="10F92DCD" w14:textId="2691EE41" w:rsidR="00C857C6" w:rsidRDefault="00E36CA3" w:rsidP="00C857C6">
      <w:r>
        <w:rPr>
          <w:rStyle w:val="normaltextrun"/>
          <w:rFonts w:cs="Segoe UI"/>
        </w:rPr>
        <w:t xml:space="preserve">MSAC highlighted that it still considered another funding mechanism would be more appropriate but </w:t>
      </w:r>
      <w:r w:rsidR="00153814">
        <w:rPr>
          <w:rStyle w:val="normaltextrun"/>
          <w:rFonts w:cs="Segoe UI"/>
        </w:rPr>
        <w:t>also</w:t>
      </w:r>
      <w:r>
        <w:rPr>
          <w:rStyle w:val="normaltextrun"/>
          <w:rFonts w:cs="Segoe UI"/>
        </w:rPr>
        <w:t xml:space="preserve"> acknowledged the reasons the applicant has continued to pursue MBS listing. Therefore, </w:t>
      </w:r>
      <w:r>
        <w:t>b</w:t>
      </w:r>
      <w:r w:rsidR="00BF4066">
        <w:t>ased on the</w:t>
      </w:r>
      <w:r w:rsidR="00C857C6">
        <w:t xml:space="preserve"> significant unmet need </w:t>
      </w:r>
      <w:r w:rsidR="00BF4066">
        <w:t>for PoCT for STIs</w:t>
      </w:r>
      <w:r w:rsidR="00C857C6" w:rsidRPr="00653D47">
        <w:t xml:space="preserve"> in </w:t>
      </w:r>
      <w:r w:rsidR="00BF4066">
        <w:t xml:space="preserve">remote and very remote </w:t>
      </w:r>
      <w:r w:rsidR="00DC5FE1">
        <w:t xml:space="preserve">communities, MSAC supported MBS listing of PoCT for CT/NG and TV in remote and very </w:t>
      </w:r>
      <w:r w:rsidR="00C857C6" w:rsidRPr="00653D47">
        <w:t>remote areas</w:t>
      </w:r>
      <w:r w:rsidR="00C857C6">
        <w:t xml:space="preserve"> </w:t>
      </w:r>
      <w:r w:rsidR="00DC5FE1">
        <w:t xml:space="preserve">(i.e., MM </w:t>
      </w:r>
      <w:r w:rsidR="009526CE">
        <w:t>categor</w:t>
      </w:r>
      <w:r w:rsidR="00504C5B">
        <w:t>ies</w:t>
      </w:r>
      <w:r w:rsidR="009526CE">
        <w:t xml:space="preserve"> </w:t>
      </w:r>
      <w:r w:rsidR="00DC5FE1">
        <w:t xml:space="preserve">6-7) at a </w:t>
      </w:r>
      <w:r w:rsidR="008B625D">
        <w:t xml:space="preserve">fee of </w:t>
      </w:r>
      <w:r w:rsidR="008B625D" w:rsidRPr="008B625D">
        <w:t>$117.65 (85% rebate $100)</w:t>
      </w:r>
      <w:r w:rsidR="0001324A">
        <w:t xml:space="preserve">. MSAC considered that if the applicant wished to pursue MBS listing of </w:t>
      </w:r>
      <w:r w:rsidR="00DD1B9F">
        <w:t xml:space="preserve">PoCT for STIs in a broader population or at a higher fee then the applicant would need </w:t>
      </w:r>
      <w:r w:rsidR="008E657E">
        <w:t>to address all of the concerns raised by MSAC at i</w:t>
      </w:r>
      <w:r w:rsidR="00955F04">
        <w:t>t</w:t>
      </w:r>
      <w:r w:rsidR="008E657E">
        <w:t>s November 2022 consideration as outlined in the P</w:t>
      </w:r>
      <w:r w:rsidR="00917AE2">
        <w:t xml:space="preserve">ublic </w:t>
      </w:r>
      <w:r w:rsidR="008E657E">
        <w:t>S</w:t>
      </w:r>
      <w:r w:rsidR="00917AE2">
        <w:t xml:space="preserve">ummary </w:t>
      </w:r>
      <w:r w:rsidR="008E657E">
        <w:t>D</w:t>
      </w:r>
      <w:r w:rsidR="00917AE2">
        <w:t>ocument</w:t>
      </w:r>
      <w:r w:rsidR="008E657E">
        <w:t xml:space="preserve"> for MSAC application </w:t>
      </w:r>
      <w:r w:rsidR="00917AE2">
        <w:t>1627.</w:t>
      </w:r>
    </w:p>
    <w:p w14:paraId="602F738A" w14:textId="4C653169" w:rsidR="00430AAB" w:rsidRDefault="00430AAB" w:rsidP="00C857C6">
      <w:r>
        <w:t xml:space="preserve">Table 1 </w:t>
      </w:r>
      <w:r w:rsidRPr="00C918FF">
        <w:t xml:space="preserve">New MBS item </w:t>
      </w:r>
      <w:r>
        <w:t xml:space="preserve">supported by MSAC </w:t>
      </w:r>
      <w:r w:rsidRPr="00C918FF">
        <w:t>(</w:t>
      </w:r>
      <w:r>
        <w:t>Group P9 – simple basic pathology tests</w:t>
      </w:r>
      <w:r w:rsidRPr="00C918FF">
        <w:t>)</w:t>
      </w:r>
    </w:p>
    <w:tbl>
      <w:tblPr>
        <w:tblStyle w:val="TableGrid1"/>
        <w:tblW w:w="9030" w:type="dxa"/>
        <w:tblInd w:w="-5" w:type="dxa"/>
        <w:tblBorders>
          <w:top w:val="none" w:sz="6" w:space="0" w:color="auto"/>
          <w:left w:val="none" w:sz="6" w:space="0" w:color="auto"/>
          <w:bottom w:val="none" w:sz="6" w:space="0" w:color="auto"/>
          <w:right w:val="none" w:sz="6" w:space="0" w:color="auto"/>
          <w:insideH w:val="none" w:sz="0" w:space="0" w:color="auto"/>
          <w:insideV w:val="none" w:sz="0" w:space="0" w:color="auto"/>
        </w:tblBorders>
        <w:tblLook w:val="0020" w:firstRow="1" w:lastRow="0" w:firstColumn="0" w:lastColumn="0" w:noHBand="0" w:noVBand="0"/>
      </w:tblPr>
      <w:tblGrid>
        <w:gridCol w:w="9030"/>
      </w:tblGrid>
      <w:tr w:rsidR="009531B5" w:rsidRPr="009C7B36" w14:paraId="42129535" w14:textId="77777777" w:rsidTr="00D3059A">
        <w:trPr>
          <w:cnfStyle w:val="100000000000" w:firstRow="1" w:lastRow="0" w:firstColumn="0" w:lastColumn="0" w:oddVBand="0" w:evenVBand="0" w:oddHBand="0" w:evenHBand="0" w:firstRowFirstColumn="0" w:firstRowLastColumn="0" w:lastRowFirstColumn="0" w:lastRowLastColumn="0"/>
          <w:trHeight w:val="120"/>
        </w:trPr>
        <w:tc>
          <w:tcPr>
            <w:tcW w:w="9030" w:type="dxa"/>
            <w:tcBorders>
              <w:top w:val="single" w:sz="2" w:space="0" w:color="000000"/>
              <w:left w:val="single" w:sz="4" w:space="0" w:color="000000"/>
              <w:bottom w:val="single" w:sz="2" w:space="0" w:color="000000"/>
              <w:right w:val="single" w:sz="4" w:space="0" w:color="000000"/>
            </w:tcBorders>
            <w:vAlign w:val="center"/>
          </w:tcPr>
          <w:p w14:paraId="1A1566B9" w14:textId="77777777" w:rsidR="009531B5" w:rsidRPr="009C7B36" w:rsidRDefault="009531B5">
            <w:pPr>
              <w:pStyle w:val="Tabletext0"/>
              <w:rPr>
                <w:color w:val="000000" w:themeColor="text1"/>
              </w:rPr>
            </w:pPr>
            <w:r w:rsidRPr="009C7B36">
              <w:rPr>
                <w:color w:val="000000" w:themeColor="text1"/>
              </w:rPr>
              <w:t>Category 6 –PATHOLOGY SERVICES Group P9–Simple Basic Pathology Tests</w:t>
            </w:r>
          </w:p>
        </w:tc>
      </w:tr>
      <w:tr w:rsidR="009531B5" w:rsidRPr="009C7B36" w14:paraId="11C3C76F" w14:textId="77777777" w:rsidTr="00D3059A">
        <w:trPr>
          <w:trHeight w:val="923"/>
        </w:trPr>
        <w:tc>
          <w:tcPr>
            <w:tcW w:w="9030" w:type="dxa"/>
            <w:tcBorders>
              <w:top w:val="single" w:sz="2" w:space="0" w:color="000000"/>
              <w:left w:val="single" w:sz="4" w:space="0" w:color="000000"/>
              <w:bottom w:val="single" w:sz="2" w:space="0" w:color="000000"/>
              <w:right w:val="single" w:sz="4" w:space="0" w:color="000000"/>
            </w:tcBorders>
          </w:tcPr>
          <w:p w14:paraId="5DF2EF77" w14:textId="77777777" w:rsidR="009531B5" w:rsidRPr="009C7B36" w:rsidRDefault="009531B5">
            <w:pPr>
              <w:pStyle w:val="Tabletext0"/>
              <w:rPr>
                <w:color w:val="000000" w:themeColor="text1"/>
              </w:rPr>
            </w:pPr>
            <w:r w:rsidRPr="009C7B36">
              <w:rPr>
                <w:color w:val="000000" w:themeColor="text1"/>
              </w:rPr>
              <w:t>MBS [Item number YYY]</w:t>
            </w:r>
          </w:p>
          <w:p w14:paraId="4BD98092" w14:textId="77777777" w:rsidR="009531B5" w:rsidRPr="009C7B36" w:rsidRDefault="009531B5">
            <w:pPr>
              <w:pStyle w:val="Tabletext0"/>
              <w:rPr>
                <w:color w:val="000000" w:themeColor="text1"/>
              </w:rPr>
            </w:pPr>
            <w:r w:rsidRPr="009C7B36">
              <w:rPr>
                <w:color w:val="000000" w:themeColor="text1"/>
              </w:rPr>
              <w:t>Detection of:</w:t>
            </w:r>
          </w:p>
          <w:p w14:paraId="722640CB" w14:textId="77777777" w:rsidR="009531B5" w:rsidRPr="009C7B36" w:rsidRDefault="009531B5" w:rsidP="009531B5">
            <w:pPr>
              <w:pStyle w:val="Tabletext0"/>
              <w:numPr>
                <w:ilvl w:val="0"/>
                <w:numId w:val="33"/>
              </w:numPr>
              <w:rPr>
                <w:color w:val="000000" w:themeColor="text1"/>
              </w:rPr>
            </w:pPr>
            <w:r w:rsidRPr="009C7B36">
              <w:rPr>
                <w:color w:val="000000" w:themeColor="text1"/>
              </w:rPr>
              <w:t xml:space="preserve">CT (Chlamydia trachomatis) and NG (Neisseria gonorrhoeae) via molecular point-of-care testing for the diagnosis of CT or NG infection, </w:t>
            </w:r>
            <w:r w:rsidRPr="009C7B36">
              <w:rPr>
                <w:b/>
                <w:bCs/>
                <w:color w:val="000000" w:themeColor="text1"/>
              </w:rPr>
              <w:t>and,</w:t>
            </w:r>
          </w:p>
          <w:p w14:paraId="4090B132" w14:textId="77777777" w:rsidR="009531B5" w:rsidRPr="009C7B36" w:rsidRDefault="009531B5" w:rsidP="009531B5">
            <w:pPr>
              <w:pStyle w:val="Tabletext0"/>
              <w:numPr>
                <w:ilvl w:val="0"/>
                <w:numId w:val="33"/>
              </w:numPr>
              <w:rPr>
                <w:color w:val="000000" w:themeColor="text1"/>
              </w:rPr>
            </w:pPr>
            <w:r w:rsidRPr="009C7B36">
              <w:rPr>
                <w:color w:val="000000" w:themeColor="text1"/>
              </w:rPr>
              <w:t>Detection of TV (</w:t>
            </w:r>
            <w:r w:rsidRPr="009C7B36">
              <w:rPr>
                <w:i/>
                <w:iCs/>
                <w:color w:val="000000" w:themeColor="text1"/>
              </w:rPr>
              <w:t>Trichomonas vaginalis</w:t>
            </w:r>
            <w:r w:rsidRPr="009C7B36">
              <w:rPr>
                <w:color w:val="000000" w:themeColor="text1"/>
              </w:rPr>
              <w:t>) via molecular point-of-care testing for the diagnosis of TV infection.</w:t>
            </w:r>
          </w:p>
          <w:p w14:paraId="09EA91FA" w14:textId="77777777" w:rsidR="009531B5" w:rsidRPr="009C7B36" w:rsidRDefault="009531B5">
            <w:pPr>
              <w:pStyle w:val="Tabletext0"/>
              <w:rPr>
                <w:color w:val="000000" w:themeColor="text1"/>
              </w:rPr>
            </w:pPr>
            <w:r w:rsidRPr="009C7B36">
              <w:rPr>
                <w:color w:val="000000" w:themeColor="text1"/>
              </w:rPr>
              <w:t>(Item is subject to restrictions in rule PR.9.x of explanatory notes to this category)</w:t>
            </w:r>
          </w:p>
          <w:p w14:paraId="06EEC9E3" w14:textId="77777777" w:rsidR="009531B5" w:rsidRPr="009C7B36" w:rsidRDefault="009531B5">
            <w:pPr>
              <w:pStyle w:val="Tabletext0"/>
              <w:rPr>
                <w:color w:val="000000" w:themeColor="text1"/>
              </w:rPr>
            </w:pPr>
            <w:r w:rsidRPr="009C7B36">
              <w:rPr>
                <w:color w:val="000000" w:themeColor="text1"/>
              </w:rPr>
              <w:t>Fee: $117.65 Benefit: 85% $100</w:t>
            </w:r>
          </w:p>
        </w:tc>
      </w:tr>
    </w:tbl>
    <w:p w14:paraId="6EFB10B1" w14:textId="0EB2C4A6" w:rsidR="009531B5" w:rsidRPr="00B61F9E" w:rsidRDefault="009531B5" w:rsidP="00B61F9E">
      <w:pPr>
        <w:pStyle w:val="Tabletext0"/>
        <w:spacing w:before="240" w:after="240"/>
        <w:rPr>
          <w:color w:val="000000" w:themeColor="text1"/>
        </w:rPr>
      </w:pPr>
      <w:r w:rsidRPr="009C7B36">
        <w:rPr>
          <w:color w:val="000000" w:themeColor="text1"/>
        </w:rPr>
        <w:t xml:space="preserve">Pathology Rule - PR.9.x  </w:t>
      </w:r>
    </w:p>
    <w:p w14:paraId="30BC4E1D" w14:textId="77777777" w:rsidR="009531B5" w:rsidRPr="009C7B36" w:rsidRDefault="009531B5" w:rsidP="009531B5">
      <w:pPr>
        <w:pStyle w:val="Tabletext0"/>
        <w:rPr>
          <w:rFonts w:cs="Times New Roman"/>
          <w:color w:val="000000" w:themeColor="text1"/>
        </w:rPr>
      </w:pPr>
      <w:r w:rsidRPr="009C7B36">
        <w:rPr>
          <w:rFonts w:cs="Times New Roman"/>
          <w:color w:val="000000" w:themeColor="text1"/>
        </w:rPr>
        <w:t>Item numbers YYY can only be performed in the following circumstances:</w:t>
      </w:r>
    </w:p>
    <w:p w14:paraId="430D7318" w14:textId="77777777" w:rsidR="009531B5" w:rsidRPr="009C7B36" w:rsidRDefault="009531B5" w:rsidP="009531B5">
      <w:pPr>
        <w:pStyle w:val="Tabletext0"/>
        <w:numPr>
          <w:ilvl w:val="0"/>
          <w:numId w:val="35"/>
        </w:numPr>
        <w:rPr>
          <w:color w:val="000000" w:themeColor="text1"/>
        </w:rPr>
      </w:pPr>
      <w:r w:rsidRPr="009C7B36">
        <w:rPr>
          <w:color w:val="000000" w:themeColor="text1"/>
        </w:rPr>
        <w:t>by or on behalf of a medical practitioner who has determined the service to be necessary for the patient under their care</w:t>
      </w:r>
    </w:p>
    <w:p w14:paraId="76054146" w14:textId="77777777" w:rsidR="009531B5" w:rsidRPr="009C7B36" w:rsidRDefault="009531B5" w:rsidP="009531B5">
      <w:pPr>
        <w:pStyle w:val="Tabletext0"/>
        <w:numPr>
          <w:ilvl w:val="0"/>
          <w:numId w:val="35"/>
        </w:numPr>
        <w:rPr>
          <w:color w:val="000000" w:themeColor="text1"/>
        </w:rPr>
      </w:pPr>
      <w:r w:rsidRPr="009C7B36">
        <w:rPr>
          <w:color w:val="000000" w:themeColor="text1"/>
        </w:rPr>
        <w:t>the service is rendered at, of from, a practice location in:</w:t>
      </w:r>
    </w:p>
    <w:p w14:paraId="42A6074D" w14:textId="77777777" w:rsidR="009531B5" w:rsidRPr="009C7B36" w:rsidRDefault="009531B5" w:rsidP="009531B5">
      <w:pPr>
        <w:pStyle w:val="Tabletext0"/>
        <w:numPr>
          <w:ilvl w:val="0"/>
          <w:numId w:val="34"/>
        </w:numPr>
        <w:rPr>
          <w:color w:val="000000" w:themeColor="text1"/>
        </w:rPr>
      </w:pPr>
      <w:r w:rsidRPr="009C7B36">
        <w:rPr>
          <w:color w:val="000000" w:themeColor="text1"/>
        </w:rPr>
        <w:t>a Modified Monash 6 area, or</w:t>
      </w:r>
    </w:p>
    <w:p w14:paraId="7672EBF6" w14:textId="77777777" w:rsidR="009531B5" w:rsidRPr="009C7B36" w:rsidRDefault="009531B5" w:rsidP="009531B5">
      <w:pPr>
        <w:pStyle w:val="Tabletext0"/>
        <w:numPr>
          <w:ilvl w:val="0"/>
          <w:numId w:val="34"/>
        </w:numPr>
        <w:rPr>
          <w:color w:val="000000" w:themeColor="text1"/>
        </w:rPr>
      </w:pPr>
      <w:r w:rsidRPr="009C7B36">
        <w:rPr>
          <w:color w:val="000000" w:themeColor="text1"/>
        </w:rPr>
        <w:t>a Modified Monash 7 area.</w:t>
      </w:r>
    </w:p>
    <w:p w14:paraId="31D33826" w14:textId="77777777" w:rsidR="009531B5" w:rsidRPr="009C7B36" w:rsidRDefault="009531B5" w:rsidP="009531B5">
      <w:pPr>
        <w:pStyle w:val="Tabletext0"/>
        <w:numPr>
          <w:ilvl w:val="0"/>
          <w:numId w:val="35"/>
        </w:numPr>
        <w:rPr>
          <w:color w:val="000000" w:themeColor="text1"/>
        </w:rPr>
      </w:pPr>
      <w:r w:rsidRPr="009C7B36">
        <w:rPr>
          <w:color w:val="000000" w:themeColor="text1"/>
        </w:rPr>
        <w:t>organisation for which the practitioner works is delivering health services and is part of the Aboriginal Medical Services or the Aboriginal Community Controlled Health Organisations</w:t>
      </w:r>
    </w:p>
    <w:p w14:paraId="0F1DE658" w14:textId="77777777" w:rsidR="009531B5" w:rsidRPr="009C7B36" w:rsidRDefault="009531B5" w:rsidP="009531B5">
      <w:pPr>
        <w:pStyle w:val="Tabletext0"/>
        <w:numPr>
          <w:ilvl w:val="0"/>
          <w:numId w:val="35"/>
        </w:numPr>
        <w:rPr>
          <w:color w:val="000000" w:themeColor="text1"/>
        </w:rPr>
      </w:pPr>
      <w:r w:rsidRPr="009C7B36">
        <w:rPr>
          <w:color w:val="000000" w:themeColor="text1"/>
        </w:rPr>
        <w:t>the practitioner referred to in paragraph (a), or the organisation for which the practitioner works, is participating in the First Nations Molecular PoC Testing Program</w:t>
      </w:r>
    </w:p>
    <w:p w14:paraId="091A7DF6" w14:textId="77777777" w:rsidR="009531B5" w:rsidRPr="009C7B36" w:rsidRDefault="009531B5" w:rsidP="009531B5">
      <w:pPr>
        <w:pStyle w:val="Tabletext0"/>
        <w:numPr>
          <w:ilvl w:val="0"/>
          <w:numId w:val="35"/>
        </w:numPr>
        <w:rPr>
          <w:color w:val="000000" w:themeColor="text1"/>
        </w:rPr>
      </w:pPr>
      <w:r w:rsidRPr="009C7B36">
        <w:rPr>
          <w:color w:val="000000" w:themeColor="text1"/>
        </w:rPr>
        <w:t>the service is provided in accordance with the Program referred to in paragraph (d).</w:t>
      </w:r>
    </w:p>
    <w:p w14:paraId="585EFE7D" w14:textId="77777777" w:rsidR="009531B5" w:rsidRPr="009C7B36" w:rsidRDefault="009531B5" w:rsidP="009531B5">
      <w:pPr>
        <w:pStyle w:val="Tabletext0"/>
        <w:numPr>
          <w:ilvl w:val="0"/>
          <w:numId w:val="35"/>
        </w:numPr>
        <w:rPr>
          <w:color w:val="000000" w:themeColor="text1"/>
        </w:rPr>
      </w:pPr>
      <w:r w:rsidRPr="009C7B36">
        <w:rPr>
          <w:color w:val="000000" w:themeColor="text1"/>
        </w:rPr>
        <w:t>The service is conducted by a medical practitioner, nurse, Aboriginal health practitioner/worker or other staff member designated by the health service who holds current certification as a competent POC operator by the First Nations Molecular PoC Testing Program for the test(s) performed; and</w:t>
      </w:r>
    </w:p>
    <w:p w14:paraId="5FFD80A8" w14:textId="0B9F7F1C" w:rsidR="009531B5" w:rsidRDefault="009531B5" w:rsidP="00447D40">
      <w:pPr>
        <w:pStyle w:val="Tabletext0"/>
        <w:numPr>
          <w:ilvl w:val="0"/>
          <w:numId w:val="35"/>
        </w:numPr>
      </w:pPr>
      <w:r w:rsidRPr="00430AAB">
        <w:rPr>
          <w:color w:val="000000" w:themeColor="text1"/>
        </w:rPr>
        <w:t>The items can only be claimed for a PoC test(s) that gives valid patient result(s) (i.e., not device errors)</w:t>
      </w:r>
    </w:p>
    <w:p w14:paraId="425EBA4F" w14:textId="77777777" w:rsidR="00C857C6" w:rsidRDefault="00C857C6" w:rsidP="00C857C6">
      <w:pPr>
        <w:pStyle w:val="Heading2"/>
        <w:numPr>
          <w:ilvl w:val="0"/>
          <w:numId w:val="0"/>
        </w:numPr>
      </w:pPr>
      <w:r>
        <w:t>Other discussion</w:t>
      </w:r>
    </w:p>
    <w:p w14:paraId="471E4250" w14:textId="23F3ED75" w:rsidR="00C857C6" w:rsidRDefault="00C857C6" w:rsidP="00C857C6">
      <w:r>
        <w:t xml:space="preserve">MSAC noted that the Department commissioned a report on the appropriateness, implementation and effectiveness of the Aboriginal and Torres Strait Islander COVID-19 Point-of-Care Testing Program, which was implemented in remote First Nations communities in 2020 to 2022 in response to the COVID-19 pandemic. </w:t>
      </w:r>
      <w:r>
        <w:rPr>
          <w:rFonts w:ascii="Arial" w:hAnsi="Arial" w:cs="Arial"/>
        </w:rPr>
        <w:t>​</w:t>
      </w:r>
      <w:r>
        <w:t>The COVID-19 PoC</w:t>
      </w:r>
      <w:r w:rsidR="007D3270">
        <w:t xml:space="preserve">T </w:t>
      </w:r>
      <w:r>
        <w:t>uses the same Gene</w:t>
      </w:r>
      <w:r w:rsidR="0060217D">
        <w:t>X</w:t>
      </w:r>
      <w:r>
        <w:t>pert system that the PoC</w:t>
      </w:r>
      <w:r w:rsidR="00EE7ED7">
        <w:t xml:space="preserve">T </w:t>
      </w:r>
      <w:r>
        <w:t>for CT/NG and TV used in the clinical evidence presented for MSAC application 1627</w:t>
      </w:r>
      <w:r w:rsidR="001561E5">
        <w:t>.1</w:t>
      </w:r>
      <w:r>
        <w:t xml:space="preserve">. Further, the COVID-19 PoC Testing Program was delivered by </w:t>
      </w:r>
      <w:r w:rsidR="007D3270">
        <w:t xml:space="preserve">the </w:t>
      </w:r>
      <w:r>
        <w:t>Kirby Institute, who is also the applicant for MSAC application 1627</w:t>
      </w:r>
      <w:r w:rsidR="001561E5">
        <w:t>.1</w:t>
      </w:r>
      <w:r>
        <w:t xml:space="preserve">. </w:t>
      </w:r>
      <w:r>
        <w:rPr>
          <w:rFonts w:ascii="Arial" w:hAnsi="Arial" w:cs="Arial"/>
        </w:rPr>
        <w:t>​</w:t>
      </w:r>
      <w:r>
        <w:t xml:space="preserve">The findings showed that staff </w:t>
      </w:r>
      <w:r>
        <w:lastRenderedPageBreak/>
        <w:t>training on PoC</w:t>
      </w:r>
      <w:r w:rsidR="007D3270">
        <w:t>T</w:t>
      </w:r>
      <w:r>
        <w:t xml:space="preserve"> was effective, the </w:t>
      </w:r>
      <w:r w:rsidR="00EE44DB">
        <w:t xml:space="preserve">First Nation </w:t>
      </w:r>
      <w:r>
        <w:t>population is likely to use PoC</w:t>
      </w:r>
      <w:r w:rsidR="007D3270">
        <w:t>T</w:t>
      </w:r>
      <w:r>
        <w:t xml:space="preserve"> for STI and PoC</w:t>
      </w:r>
      <w:r w:rsidR="007D3270">
        <w:t>T</w:t>
      </w:r>
      <w:r>
        <w:t xml:space="preserve"> has</w:t>
      </w:r>
      <w:r w:rsidR="007D3270">
        <w:t xml:space="preserve"> the</w:t>
      </w:r>
      <w:r>
        <w:t xml:space="preserve"> potential to avoid negative health outcomes and costs.</w:t>
      </w:r>
    </w:p>
    <w:p w14:paraId="6710B69D" w14:textId="383B7CF3" w:rsidR="00772829" w:rsidRPr="00CE28E3" w:rsidRDefault="000A352D" w:rsidP="002A18BE">
      <w:pPr>
        <w:pStyle w:val="Heading2"/>
        <w:numPr>
          <w:ilvl w:val="0"/>
          <w:numId w:val="0"/>
        </w:numPr>
      </w:pPr>
      <w:r>
        <w:t>4.</w:t>
      </w:r>
      <w:r w:rsidR="00C36633">
        <w:tab/>
      </w:r>
      <w:r w:rsidR="00772829" w:rsidRPr="00CE28E3">
        <w:t>Background</w:t>
      </w:r>
      <w:bookmarkEnd w:id="2"/>
    </w:p>
    <w:p w14:paraId="47803523" w14:textId="1502AE49" w:rsidR="00A3217E" w:rsidRDefault="000C7F45" w:rsidP="00844314">
      <w:pPr>
        <w:pStyle w:val="Default"/>
        <w:rPr>
          <w:rFonts w:ascii="Franklin Gothic Book" w:hAnsi="Franklin Gothic Book"/>
          <w:sz w:val="23"/>
          <w:szCs w:val="23"/>
        </w:rPr>
      </w:pPr>
      <w:bookmarkStart w:id="3" w:name="_Hlk69734494"/>
      <w:r>
        <w:rPr>
          <w:rFonts w:ascii="Franklin Gothic Book" w:hAnsi="Franklin Gothic Book"/>
          <w:sz w:val="23"/>
          <w:szCs w:val="23"/>
        </w:rPr>
        <w:t xml:space="preserve">MSAC </w:t>
      </w:r>
      <w:r w:rsidR="00914653">
        <w:rPr>
          <w:rFonts w:ascii="Franklin Gothic Book" w:hAnsi="Franklin Gothic Book"/>
          <w:sz w:val="23"/>
          <w:szCs w:val="23"/>
        </w:rPr>
        <w:t>a</w:t>
      </w:r>
      <w:r>
        <w:rPr>
          <w:rFonts w:ascii="Franklin Gothic Book" w:hAnsi="Franklin Gothic Book"/>
          <w:sz w:val="23"/>
          <w:szCs w:val="23"/>
        </w:rPr>
        <w:t xml:space="preserve">pplication </w:t>
      </w:r>
      <w:r w:rsidR="005F483A">
        <w:rPr>
          <w:rFonts w:ascii="Franklin Gothic Book" w:hAnsi="Franklin Gothic Book"/>
          <w:sz w:val="23"/>
          <w:szCs w:val="23"/>
        </w:rPr>
        <w:t xml:space="preserve">1627 </w:t>
      </w:r>
      <w:r>
        <w:rPr>
          <w:rFonts w:ascii="Franklin Gothic Book" w:hAnsi="Franklin Gothic Book"/>
          <w:sz w:val="23"/>
          <w:szCs w:val="23"/>
        </w:rPr>
        <w:t>was initially considered by the MSAC Executive i</w:t>
      </w:r>
      <w:r w:rsidR="00A3217E">
        <w:rPr>
          <w:rFonts w:ascii="Franklin Gothic Book" w:hAnsi="Franklin Gothic Book"/>
          <w:sz w:val="23"/>
          <w:szCs w:val="23"/>
        </w:rPr>
        <w:t>n October 2020</w:t>
      </w:r>
      <w:r>
        <w:rPr>
          <w:rFonts w:ascii="Franklin Gothic Book" w:hAnsi="Franklin Gothic Book"/>
          <w:sz w:val="23"/>
          <w:szCs w:val="23"/>
        </w:rPr>
        <w:t>.</w:t>
      </w:r>
      <w:r w:rsidR="00A3217E">
        <w:rPr>
          <w:rFonts w:ascii="Franklin Gothic Book" w:hAnsi="Franklin Gothic Book"/>
          <w:sz w:val="23"/>
          <w:szCs w:val="23"/>
        </w:rPr>
        <w:t xml:space="preserve"> </w:t>
      </w:r>
      <w:r w:rsidR="00681C40">
        <w:rPr>
          <w:rFonts w:ascii="Franklin Gothic Book" w:hAnsi="Franklin Gothic Book"/>
          <w:sz w:val="23"/>
          <w:szCs w:val="23"/>
        </w:rPr>
        <w:t>T</w:t>
      </w:r>
      <w:r w:rsidR="00A3217E">
        <w:rPr>
          <w:rFonts w:ascii="Franklin Gothic Book" w:hAnsi="Franklin Gothic Book"/>
          <w:sz w:val="23"/>
          <w:szCs w:val="23"/>
        </w:rPr>
        <w:t xml:space="preserve">he MSAC Executive noted </w:t>
      </w:r>
      <w:r w:rsidR="00681C40">
        <w:rPr>
          <w:rFonts w:ascii="Franklin Gothic Book" w:hAnsi="Franklin Gothic Book"/>
          <w:sz w:val="23"/>
          <w:szCs w:val="23"/>
        </w:rPr>
        <w:t>that t</w:t>
      </w:r>
      <w:r w:rsidR="00844314" w:rsidRPr="00844314">
        <w:rPr>
          <w:rFonts w:ascii="Franklin Gothic Book" w:hAnsi="Franklin Gothic Book"/>
          <w:sz w:val="23"/>
          <w:szCs w:val="23"/>
        </w:rPr>
        <w:t>he evidence presented indicated that the sensitivity and specificity of the P</w:t>
      </w:r>
      <w:r w:rsidR="00672C80">
        <w:rPr>
          <w:rFonts w:ascii="Franklin Gothic Book" w:hAnsi="Franklin Gothic Book"/>
          <w:sz w:val="23"/>
          <w:szCs w:val="23"/>
        </w:rPr>
        <w:t>o</w:t>
      </w:r>
      <w:r w:rsidR="00844314" w:rsidRPr="00844314">
        <w:rPr>
          <w:rFonts w:ascii="Franklin Gothic Book" w:hAnsi="Franklin Gothic Book"/>
          <w:sz w:val="23"/>
          <w:szCs w:val="23"/>
        </w:rPr>
        <w:t>C tests was comparable to</w:t>
      </w:r>
      <w:r w:rsidR="00844314">
        <w:rPr>
          <w:rFonts w:ascii="Franklin Gothic Book" w:hAnsi="Franklin Gothic Book"/>
          <w:sz w:val="23"/>
          <w:szCs w:val="23"/>
        </w:rPr>
        <w:t xml:space="preserve"> </w:t>
      </w:r>
      <w:r w:rsidR="00844314" w:rsidRPr="00844314">
        <w:rPr>
          <w:rFonts w:ascii="Franklin Gothic Book" w:hAnsi="Franklin Gothic Book"/>
          <w:sz w:val="23"/>
          <w:szCs w:val="23"/>
        </w:rPr>
        <w:t xml:space="preserve">standard laboratory testing and provided sufficient evidence to confirm the validity of using </w:t>
      </w:r>
      <w:r w:rsidR="0030051A">
        <w:rPr>
          <w:rFonts w:ascii="Franklin Gothic Book" w:hAnsi="Franklin Gothic Book"/>
          <w:sz w:val="23"/>
          <w:szCs w:val="23"/>
        </w:rPr>
        <w:t>PoCT</w:t>
      </w:r>
      <w:r w:rsidR="00844314" w:rsidRPr="00844314">
        <w:rPr>
          <w:rFonts w:ascii="Franklin Gothic Book" w:hAnsi="Franklin Gothic Book"/>
          <w:sz w:val="23"/>
          <w:szCs w:val="23"/>
        </w:rPr>
        <w:t xml:space="preserve"> as a diagnostic test for CT, NG and TV. The MSAC Executive considered that if the</w:t>
      </w:r>
      <w:r w:rsidR="00844314">
        <w:rPr>
          <w:rFonts w:ascii="Franklin Gothic Book" w:hAnsi="Franklin Gothic Book"/>
          <w:sz w:val="23"/>
          <w:szCs w:val="23"/>
        </w:rPr>
        <w:t xml:space="preserve"> </w:t>
      </w:r>
      <w:r w:rsidR="00844314" w:rsidRPr="00844314">
        <w:rPr>
          <w:rFonts w:ascii="Franklin Gothic Book" w:hAnsi="Franklin Gothic Book"/>
          <w:sz w:val="23"/>
          <w:szCs w:val="23"/>
        </w:rPr>
        <w:t>applicant wished to pursue an MBS fee that is higher than the existing MBS standard laboratory</w:t>
      </w:r>
      <w:r w:rsidR="00844314">
        <w:rPr>
          <w:rFonts w:ascii="Franklin Gothic Book" w:hAnsi="Franklin Gothic Book"/>
          <w:sz w:val="23"/>
          <w:szCs w:val="23"/>
        </w:rPr>
        <w:t xml:space="preserve"> </w:t>
      </w:r>
      <w:r w:rsidR="00844314" w:rsidRPr="00844314">
        <w:rPr>
          <w:rFonts w:ascii="Franklin Gothic Book" w:hAnsi="Franklin Gothic Book"/>
          <w:sz w:val="23"/>
          <w:szCs w:val="23"/>
        </w:rPr>
        <w:t xml:space="preserve">testing fees, the applicant would need to provide evidence that </w:t>
      </w:r>
      <w:r w:rsidR="0030051A">
        <w:rPr>
          <w:rFonts w:ascii="Franklin Gothic Book" w:hAnsi="Franklin Gothic Book"/>
          <w:sz w:val="23"/>
          <w:szCs w:val="23"/>
        </w:rPr>
        <w:t>PoCT</w:t>
      </w:r>
      <w:r w:rsidR="00844314" w:rsidRPr="00844314">
        <w:rPr>
          <w:rFonts w:ascii="Franklin Gothic Book" w:hAnsi="Franklin Gothic Book"/>
          <w:sz w:val="23"/>
          <w:szCs w:val="23"/>
        </w:rPr>
        <w:t xml:space="preserve"> results in better</w:t>
      </w:r>
      <w:r w:rsidR="00844314">
        <w:rPr>
          <w:rFonts w:ascii="Franklin Gothic Book" w:hAnsi="Franklin Gothic Book"/>
          <w:sz w:val="23"/>
          <w:szCs w:val="23"/>
        </w:rPr>
        <w:t xml:space="preserve"> </w:t>
      </w:r>
      <w:r w:rsidR="00844314" w:rsidRPr="00844314">
        <w:rPr>
          <w:rFonts w:ascii="Franklin Gothic Book" w:hAnsi="Franklin Gothic Book"/>
          <w:sz w:val="23"/>
          <w:szCs w:val="23"/>
        </w:rPr>
        <w:t>health outcomes than standard laboratory testing, and this evidence would need to be supported</w:t>
      </w:r>
      <w:r w:rsidR="00844314">
        <w:rPr>
          <w:rFonts w:ascii="Franklin Gothic Book" w:hAnsi="Franklin Gothic Book"/>
          <w:sz w:val="23"/>
          <w:szCs w:val="23"/>
        </w:rPr>
        <w:t xml:space="preserve"> </w:t>
      </w:r>
      <w:r w:rsidR="00844314" w:rsidRPr="00844314">
        <w:rPr>
          <w:rFonts w:ascii="Franklin Gothic Book" w:hAnsi="Franklin Gothic Book"/>
          <w:sz w:val="23"/>
          <w:szCs w:val="23"/>
        </w:rPr>
        <w:t>with an appropriate economic analysis.</w:t>
      </w:r>
    </w:p>
    <w:p w14:paraId="1FA14197" w14:textId="77777777" w:rsidR="000A352D" w:rsidRDefault="007A4432" w:rsidP="000A352D">
      <w:pPr>
        <w:pStyle w:val="Default"/>
        <w:spacing w:before="240" w:after="240"/>
        <w:rPr>
          <w:rFonts w:ascii="Franklin Gothic Book" w:hAnsi="Franklin Gothic Book"/>
          <w:sz w:val="23"/>
          <w:szCs w:val="23"/>
        </w:rPr>
      </w:pPr>
      <w:r>
        <w:rPr>
          <w:rFonts w:ascii="Franklin Gothic Book" w:hAnsi="Franklin Gothic Book"/>
          <w:sz w:val="23"/>
          <w:szCs w:val="23"/>
        </w:rPr>
        <w:t>The applicant subsequently submitted an Applicant Developed Assessment Report (ADAR) for consideration at the</w:t>
      </w:r>
      <w:r w:rsidR="00844314">
        <w:rPr>
          <w:rFonts w:ascii="Franklin Gothic Book" w:hAnsi="Franklin Gothic Book"/>
          <w:sz w:val="23"/>
          <w:szCs w:val="23"/>
        </w:rPr>
        <w:t xml:space="preserve"> November 2022</w:t>
      </w:r>
      <w:r>
        <w:rPr>
          <w:rFonts w:ascii="Franklin Gothic Book" w:hAnsi="Franklin Gothic Book"/>
          <w:sz w:val="23"/>
          <w:szCs w:val="23"/>
        </w:rPr>
        <w:t xml:space="preserve"> MSAC meeting.</w:t>
      </w:r>
      <w:r w:rsidR="00844314">
        <w:rPr>
          <w:rFonts w:ascii="Franklin Gothic Book" w:hAnsi="Franklin Gothic Book"/>
          <w:sz w:val="23"/>
          <w:szCs w:val="23"/>
        </w:rPr>
        <w:t xml:space="preserve"> </w:t>
      </w:r>
      <w:r w:rsidR="006D255D" w:rsidRPr="006D255D">
        <w:rPr>
          <w:rFonts w:ascii="Franklin Gothic Book" w:hAnsi="Franklin Gothic Book"/>
          <w:sz w:val="23"/>
          <w:szCs w:val="23"/>
        </w:rPr>
        <w:t>After considering the strength of the available evidence in relation to comparative safety, clinical</w:t>
      </w:r>
      <w:r w:rsidR="006D255D">
        <w:rPr>
          <w:rFonts w:ascii="Franklin Gothic Book" w:hAnsi="Franklin Gothic Book"/>
          <w:sz w:val="23"/>
          <w:szCs w:val="23"/>
        </w:rPr>
        <w:t xml:space="preserve"> </w:t>
      </w:r>
      <w:r w:rsidR="006D255D" w:rsidRPr="006D255D">
        <w:rPr>
          <w:rFonts w:ascii="Franklin Gothic Book" w:hAnsi="Franklin Gothic Book"/>
          <w:sz w:val="23"/>
          <w:szCs w:val="23"/>
        </w:rPr>
        <w:t xml:space="preserve">effectiveness, cost-effectiveness and total cost, </w:t>
      </w:r>
      <w:r w:rsidR="006D255D">
        <w:rPr>
          <w:rFonts w:ascii="Franklin Gothic Book" w:hAnsi="Franklin Gothic Book"/>
          <w:sz w:val="23"/>
          <w:szCs w:val="23"/>
        </w:rPr>
        <w:t xml:space="preserve">MSAC </w:t>
      </w:r>
      <w:r w:rsidR="00844314">
        <w:rPr>
          <w:rFonts w:ascii="Franklin Gothic Book" w:hAnsi="Franklin Gothic Book"/>
          <w:sz w:val="23"/>
          <w:szCs w:val="23"/>
        </w:rPr>
        <w:t xml:space="preserve">did not support </w:t>
      </w:r>
      <w:r w:rsidR="00E218F0">
        <w:rPr>
          <w:rFonts w:ascii="Franklin Gothic Book" w:hAnsi="Franklin Gothic Book"/>
          <w:sz w:val="23"/>
          <w:szCs w:val="23"/>
        </w:rPr>
        <w:t xml:space="preserve">funding </w:t>
      </w:r>
      <w:r w:rsidR="0030051A">
        <w:rPr>
          <w:rFonts w:ascii="Franklin Gothic Book" w:hAnsi="Franklin Gothic Book"/>
          <w:sz w:val="23"/>
          <w:szCs w:val="23"/>
        </w:rPr>
        <w:t>PoCT</w:t>
      </w:r>
      <w:r w:rsidR="00E65074" w:rsidRPr="00E65074">
        <w:rPr>
          <w:rFonts w:ascii="Franklin Gothic Book" w:hAnsi="Franklin Gothic Book"/>
          <w:sz w:val="23"/>
          <w:szCs w:val="23"/>
        </w:rPr>
        <w:t xml:space="preserve"> for STIs provided by Aboriginal Medical Services or</w:t>
      </w:r>
      <w:r w:rsidR="00E218F0">
        <w:rPr>
          <w:rFonts w:ascii="Franklin Gothic Book" w:hAnsi="Franklin Gothic Book"/>
          <w:sz w:val="23"/>
          <w:szCs w:val="23"/>
        </w:rPr>
        <w:t xml:space="preserve"> </w:t>
      </w:r>
      <w:r w:rsidR="00E65074" w:rsidRPr="00E65074">
        <w:rPr>
          <w:rFonts w:ascii="Franklin Gothic Book" w:hAnsi="Franklin Gothic Book"/>
          <w:sz w:val="23"/>
          <w:szCs w:val="23"/>
        </w:rPr>
        <w:t>Aboriginal Community Controlled Health Services in rural and remote areas</w:t>
      </w:r>
      <w:r w:rsidR="00E218F0">
        <w:rPr>
          <w:rFonts w:ascii="Franklin Gothic Book" w:hAnsi="Franklin Gothic Book"/>
          <w:sz w:val="23"/>
          <w:szCs w:val="23"/>
        </w:rPr>
        <w:t>.</w:t>
      </w:r>
      <w:r w:rsidR="00352420">
        <w:rPr>
          <w:rFonts w:ascii="Franklin Gothic Book" w:hAnsi="Franklin Gothic Book"/>
          <w:sz w:val="23"/>
          <w:szCs w:val="23"/>
        </w:rPr>
        <w:t xml:space="preserve"> </w:t>
      </w:r>
      <w:r w:rsidR="00352420" w:rsidRPr="00352420">
        <w:rPr>
          <w:rFonts w:ascii="Franklin Gothic Book" w:hAnsi="Franklin Gothic Book"/>
          <w:sz w:val="23"/>
          <w:szCs w:val="23"/>
        </w:rPr>
        <w:t>MSAC recognised that there is a clinical need for the proposed testing due to a high prevalence</w:t>
      </w:r>
      <w:r w:rsidR="00352420">
        <w:rPr>
          <w:rFonts w:ascii="Franklin Gothic Book" w:hAnsi="Franklin Gothic Book"/>
          <w:sz w:val="23"/>
          <w:szCs w:val="23"/>
        </w:rPr>
        <w:t xml:space="preserve"> </w:t>
      </w:r>
      <w:r w:rsidR="00352420" w:rsidRPr="00352420">
        <w:rPr>
          <w:rFonts w:ascii="Franklin Gothic Book" w:hAnsi="Franklin Gothic Book"/>
          <w:sz w:val="23"/>
          <w:szCs w:val="23"/>
        </w:rPr>
        <w:t>of STIs and the serious consequences of untreated infections representing a significant public</w:t>
      </w:r>
      <w:r w:rsidR="00352420">
        <w:rPr>
          <w:rFonts w:ascii="Franklin Gothic Book" w:hAnsi="Franklin Gothic Book"/>
          <w:sz w:val="23"/>
          <w:szCs w:val="23"/>
        </w:rPr>
        <w:t xml:space="preserve"> </w:t>
      </w:r>
      <w:r w:rsidR="00352420" w:rsidRPr="00352420">
        <w:rPr>
          <w:rFonts w:ascii="Franklin Gothic Book" w:hAnsi="Franklin Gothic Book"/>
          <w:sz w:val="23"/>
          <w:szCs w:val="23"/>
        </w:rPr>
        <w:t>health issue for the proposed population. MSAC considered the evidence provided demonstrated</w:t>
      </w:r>
      <w:r w:rsidR="00352420">
        <w:rPr>
          <w:rFonts w:ascii="Franklin Gothic Book" w:hAnsi="Franklin Gothic Book"/>
          <w:sz w:val="23"/>
          <w:szCs w:val="23"/>
        </w:rPr>
        <w:t xml:space="preserve"> </w:t>
      </w:r>
      <w:r w:rsidR="00352420" w:rsidRPr="00352420">
        <w:rPr>
          <w:rFonts w:ascii="Franklin Gothic Book" w:hAnsi="Franklin Gothic Book"/>
          <w:sz w:val="23"/>
          <w:szCs w:val="23"/>
        </w:rPr>
        <w:t xml:space="preserve">that </w:t>
      </w:r>
      <w:r w:rsidR="0030051A">
        <w:rPr>
          <w:rFonts w:ascii="Franklin Gothic Book" w:hAnsi="Franklin Gothic Book"/>
          <w:sz w:val="23"/>
          <w:szCs w:val="23"/>
        </w:rPr>
        <w:t>PoCT</w:t>
      </w:r>
      <w:r w:rsidR="00352420" w:rsidRPr="00352420">
        <w:rPr>
          <w:rFonts w:ascii="Franklin Gothic Book" w:hAnsi="Franklin Gothic Book"/>
          <w:sz w:val="23"/>
          <w:szCs w:val="23"/>
        </w:rPr>
        <w:t xml:space="preserve"> for STIs reduced the time from testing to treatment and that the clinical benefits</w:t>
      </w:r>
      <w:r w:rsidR="006D255D">
        <w:rPr>
          <w:rFonts w:ascii="Franklin Gothic Book" w:hAnsi="Franklin Gothic Book"/>
          <w:sz w:val="23"/>
          <w:szCs w:val="23"/>
        </w:rPr>
        <w:t xml:space="preserve"> </w:t>
      </w:r>
      <w:r w:rsidR="00352420" w:rsidRPr="00352420">
        <w:rPr>
          <w:rFonts w:ascii="Franklin Gothic Book" w:hAnsi="Franklin Gothic Book"/>
          <w:sz w:val="23"/>
          <w:szCs w:val="23"/>
        </w:rPr>
        <w:t>associated with this were clinically plausible. However, based on the evidence provided, the</w:t>
      </w:r>
      <w:r w:rsidR="006D255D">
        <w:rPr>
          <w:rFonts w:ascii="Franklin Gothic Book" w:hAnsi="Franklin Gothic Book"/>
          <w:sz w:val="23"/>
          <w:szCs w:val="23"/>
        </w:rPr>
        <w:t xml:space="preserve"> </w:t>
      </w:r>
      <w:r w:rsidR="00352420" w:rsidRPr="00352420">
        <w:rPr>
          <w:rFonts w:ascii="Franklin Gothic Book" w:hAnsi="Franklin Gothic Book"/>
          <w:sz w:val="23"/>
          <w:szCs w:val="23"/>
        </w:rPr>
        <w:t>magnitude of the benefit and impact on health outcomes was highly uncertain. As a result of this,</w:t>
      </w:r>
      <w:r w:rsidR="00352420">
        <w:rPr>
          <w:rFonts w:ascii="Franklin Gothic Book" w:hAnsi="Franklin Gothic Book"/>
          <w:sz w:val="23"/>
          <w:szCs w:val="23"/>
        </w:rPr>
        <w:t xml:space="preserve"> </w:t>
      </w:r>
      <w:r w:rsidR="00352420" w:rsidRPr="00352420">
        <w:rPr>
          <w:rFonts w:ascii="Franklin Gothic Book" w:hAnsi="Franklin Gothic Book"/>
          <w:sz w:val="23"/>
          <w:szCs w:val="23"/>
        </w:rPr>
        <w:t>and also due to the economic model being overly complex and unreliable, MSAC considered the</w:t>
      </w:r>
      <w:r w:rsidR="00352420">
        <w:rPr>
          <w:rFonts w:ascii="Franklin Gothic Book" w:hAnsi="Franklin Gothic Book"/>
          <w:sz w:val="23"/>
          <w:szCs w:val="23"/>
        </w:rPr>
        <w:t xml:space="preserve"> </w:t>
      </w:r>
      <w:r w:rsidR="00352420" w:rsidRPr="00352420">
        <w:rPr>
          <w:rFonts w:ascii="Franklin Gothic Book" w:hAnsi="Franklin Gothic Book"/>
          <w:sz w:val="23"/>
          <w:szCs w:val="23"/>
        </w:rPr>
        <w:t xml:space="preserve">cost-effectiveness of </w:t>
      </w:r>
      <w:r w:rsidR="0030051A">
        <w:rPr>
          <w:rFonts w:ascii="Franklin Gothic Book" w:hAnsi="Franklin Gothic Book"/>
          <w:sz w:val="23"/>
          <w:szCs w:val="23"/>
        </w:rPr>
        <w:t>PoCT</w:t>
      </w:r>
      <w:r w:rsidR="00352420" w:rsidRPr="00352420">
        <w:rPr>
          <w:rFonts w:ascii="Franklin Gothic Book" w:hAnsi="Franklin Gothic Book"/>
          <w:sz w:val="23"/>
          <w:szCs w:val="23"/>
        </w:rPr>
        <w:t xml:space="preserve"> for STIs compared to standard laboratory testing to be highly</w:t>
      </w:r>
      <w:r w:rsidR="00352420">
        <w:rPr>
          <w:rFonts w:ascii="Franklin Gothic Book" w:hAnsi="Franklin Gothic Book"/>
          <w:sz w:val="23"/>
          <w:szCs w:val="23"/>
        </w:rPr>
        <w:t xml:space="preserve"> </w:t>
      </w:r>
      <w:r w:rsidR="00352420" w:rsidRPr="00352420">
        <w:rPr>
          <w:rFonts w:ascii="Franklin Gothic Book" w:hAnsi="Franklin Gothic Book"/>
          <w:sz w:val="23"/>
          <w:szCs w:val="23"/>
        </w:rPr>
        <w:t>uncertain. MSAC considered the proposed MBS fee was very high and the costings should be re</w:t>
      </w:r>
      <w:r w:rsidR="00001D6F">
        <w:rPr>
          <w:rFonts w:ascii="Franklin Gothic Book" w:hAnsi="Franklin Gothic Book"/>
          <w:sz w:val="23"/>
          <w:szCs w:val="23"/>
        </w:rPr>
        <w:t>-</w:t>
      </w:r>
      <w:r w:rsidR="00352420" w:rsidRPr="00352420">
        <w:rPr>
          <w:rFonts w:ascii="Franklin Gothic Book" w:hAnsi="Franklin Gothic Book"/>
          <w:sz w:val="23"/>
          <w:szCs w:val="23"/>
        </w:rPr>
        <w:t>examined. MSAC considered that the fee was not sufficiently justified given the lack of objective</w:t>
      </w:r>
      <w:r w:rsidR="00352420">
        <w:rPr>
          <w:rFonts w:ascii="Franklin Gothic Book" w:hAnsi="Franklin Gothic Book"/>
          <w:sz w:val="23"/>
          <w:szCs w:val="23"/>
        </w:rPr>
        <w:t xml:space="preserve"> </w:t>
      </w:r>
      <w:r w:rsidR="00352420" w:rsidRPr="00352420">
        <w:rPr>
          <w:rFonts w:ascii="Franklin Gothic Book" w:hAnsi="Franklin Gothic Book"/>
          <w:sz w:val="23"/>
          <w:szCs w:val="23"/>
        </w:rPr>
        <w:t>data demonstrating improved health outcomes for patients. MSAC also considered the financial</w:t>
      </w:r>
      <w:r w:rsidR="00352420">
        <w:rPr>
          <w:rFonts w:ascii="Franklin Gothic Book" w:hAnsi="Franklin Gothic Book"/>
          <w:sz w:val="23"/>
          <w:szCs w:val="23"/>
        </w:rPr>
        <w:t xml:space="preserve"> </w:t>
      </w:r>
      <w:r w:rsidR="00352420" w:rsidRPr="00352420">
        <w:rPr>
          <w:rFonts w:ascii="Franklin Gothic Book" w:hAnsi="Franklin Gothic Book"/>
          <w:sz w:val="23"/>
          <w:szCs w:val="23"/>
        </w:rPr>
        <w:t>estimates to be uncertain and likely underestimated</w:t>
      </w:r>
      <w:r w:rsidR="009D08B5">
        <w:rPr>
          <w:rFonts w:ascii="Franklin Gothic Book" w:hAnsi="Franklin Gothic Book"/>
          <w:sz w:val="23"/>
          <w:szCs w:val="23"/>
        </w:rPr>
        <w:t xml:space="preserve"> (see </w:t>
      </w:r>
      <w:hyperlink r:id="rId11" w:history="1">
        <w:r w:rsidR="009D08B5" w:rsidRPr="00C93FD7">
          <w:rPr>
            <w:rStyle w:val="Hyperlink"/>
            <w:rFonts w:ascii="Franklin Gothic Book" w:hAnsi="Franklin Gothic Book"/>
            <w:sz w:val="23"/>
            <w:szCs w:val="23"/>
          </w:rPr>
          <w:t>MSAC 1627 Public Summary Document</w:t>
        </w:r>
      </w:hyperlink>
      <w:r w:rsidR="009D08B5">
        <w:rPr>
          <w:rFonts w:ascii="Franklin Gothic Book" w:hAnsi="Franklin Gothic Book"/>
          <w:sz w:val="23"/>
          <w:szCs w:val="23"/>
        </w:rPr>
        <w:t xml:space="preserve"> [PSD])</w:t>
      </w:r>
      <w:r w:rsidR="00352420" w:rsidRPr="00352420">
        <w:rPr>
          <w:rFonts w:ascii="Franklin Gothic Book" w:hAnsi="Franklin Gothic Book"/>
          <w:sz w:val="23"/>
          <w:szCs w:val="23"/>
        </w:rPr>
        <w:t xml:space="preserve">. </w:t>
      </w:r>
    </w:p>
    <w:p w14:paraId="7BF3C82A" w14:textId="4F58E049" w:rsidR="00844314" w:rsidRDefault="008A2481" w:rsidP="000A352D">
      <w:pPr>
        <w:pStyle w:val="Default"/>
        <w:spacing w:before="240" w:after="240"/>
        <w:rPr>
          <w:rFonts w:ascii="Franklin Gothic Book" w:hAnsi="Franklin Gothic Book"/>
          <w:sz w:val="23"/>
          <w:szCs w:val="23"/>
        </w:rPr>
      </w:pPr>
      <w:r>
        <w:rPr>
          <w:rFonts w:ascii="Franklin Gothic Book" w:hAnsi="Franklin Gothic Book"/>
          <w:sz w:val="23"/>
          <w:szCs w:val="23"/>
        </w:rPr>
        <w:t xml:space="preserve">In July 2023, </w:t>
      </w:r>
      <w:r w:rsidRPr="0067337D">
        <w:rPr>
          <w:rFonts w:ascii="Franklin Gothic Book" w:hAnsi="Franklin Gothic Book"/>
          <w:sz w:val="23"/>
          <w:szCs w:val="23"/>
        </w:rPr>
        <w:t xml:space="preserve">the applicant submitted a document responding to the MSAC 1627 PSD. </w:t>
      </w:r>
    </w:p>
    <w:p w14:paraId="30BDBB37" w14:textId="215444F7" w:rsidR="00825193" w:rsidRPr="00CE28E3" w:rsidRDefault="00825193" w:rsidP="00825193">
      <w:pPr>
        <w:pStyle w:val="Caption"/>
      </w:pPr>
      <w:bookmarkStart w:id="4" w:name="_Ref69480768"/>
      <w:bookmarkStart w:id="5" w:name="_Hlk69734557"/>
      <w:r w:rsidRPr="00CE28E3">
        <w:lastRenderedPageBreak/>
        <w:t>Table</w:t>
      </w:r>
      <w:r>
        <w:t> </w:t>
      </w:r>
      <w:r>
        <w:fldChar w:fldCharType="begin"/>
      </w:r>
      <w:r>
        <w:instrText>SEQ Table \* ARABIC</w:instrText>
      </w:r>
      <w:r>
        <w:fldChar w:fldCharType="separate"/>
      </w:r>
      <w:r w:rsidR="00DE2A83">
        <w:rPr>
          <w:noProof/>
        </w:rPr>
        <w:t>1</w:t>
      </w:r>
      <w:r>
        <w:fldChar w:fldCharType="end"/>
      </w:r>
      <w:bookmarkEnd w:id="4"/>
      <w:r w:rsidRPr="00CE28E3">
        <w:tab/>
        <w:t>Summary of key matters of concern</w:t>
      </w:r>
    </w:p>
    <w:tbl>
      <w:tblPr>
        <w:tblStyle w:val="TableGrid1"/>
        <w:tblW w:w="5000" w:type="pct"/>
        <w:tblLook w:val="04A0" w:firstRow="1" w:lastRow="0" w:firstColumn="1" w:lastColumn="0" w:noHBand="0" w:noVBand="1"/>
      </w:tblPr>
      <w:tblGrid>
        <w:gridCol w:w="2263"/>
        <w:gridCol w:w="3725"/>
        <w:gridCol w:w="3028"/>
      </w:tblGrid>
      <w:tr w:rsidR="00825193" w:rsidRPr="00CE28E3" w14:paraId="66A076BE" w14:textId="77777777" w:rsidTr="44CD7770">
        <w:trPr>
          <w:cnfStyle w:val="100000000000" w:firstRow="1" w:lastRow="0" w:firstColumn="0" w:lastColumn="0" w:oddVBand="0" w:evenVBand="0" w:oddHBand="0" w:evenHBand="0" w:firstRowFirstColumn="0" w:firstRowLastColumn="0" w:lastRowFirstColumn="0" w:lastRowLastColumn="0"/>
          <w:cantSplit/>
          <w:tblHeader/>
        </w:trPr>
        <w:tc>
          <w:tcPr>
            <w:tcW w:w="1255" w:type="pct"/>
            <w:shd w:val="clear" w:color="auto" w:fill="auto"/>
          </w:tcPr>
          <w:p w14:paraId="79C3FFED" w14:textId="77777777" w:rsidR="00825193" w:rsidRPr="00CE28E3" w:rsidRDefault="00825193">
            <w:pPr>
              <w:pStyle w:val="In-tableHeading"/>
            </w:pPr>
            <w:bookmarkStart w:id="6" w:name="ColumnTitle_Table1"/>
            <w:bookmarkStart w:id="7" w:name="_Hlk68275590"/>
            <w:bookmarkEnd w:id="6"/>
            <w:r w:rsidRPr="00CE28E3">
              <w:t>Component</w:t>
            </w:r>
          </w:p>
        </w:tc>
        <w:tc>
          <w:tcPr>
            <w:tcW w:w="2066" w:type="pct"/>
            <w:shd w:val="clear" w:color="auto" w:fill="auto"/>
          </w:tcPr>
          <w:p w14:paraId="6F3E11A5" w14:textId="77777777" w:rsidR="00825193" w:rsidRPr="00CE28E3" w:rsidRDefault="00825193">
            <w:pPr>
              <w:pStyle w:val="In-tableHeading"/>
            </w:pPr>
            <w:r w:rsidRPr="00CE28E3">
              <w:t>Matter of concern</w:t>
            </w:r>
          </w:p>
        </w:tc>
        <w:tc>
          <w:tcPr>
            <w:tcW w:w="1679" w:type="pct"/>
            <w:shd w:val="clear" w:color="auto" w:fill="auto"/>
          </w:tcPr>
          <w:p w14:paraId="3B37CC2C" w14:textId="5197F3F6" w:rsidR="00825193" w:rsidRPr="00CE28E3" w:rsidRDefault="00825193">
            <w:pPr>
              <w:pStyle w:val="In-tableHeading"/>
            </w:pPr>
            <w:r w:rsidRPr="00CE28E3">
              <w:t xml:space="preserve">How the </w:t>
            </w:r>
            <w:r>
              <w:t>Applicant’s response</w:t>
            </w:r>
            <w:r w:rsidR="009041A0">
              <w:t xml:space="preserve"> </w:t>
            </w:r>
            <w:r w:rsidRPr="00CE28E3">
              <w:t>addresses it</w:t>
            </w:r>
          </w:p>
        </w:tc>
      </w:tr>
      <w:tr w:rsidR="00825193" w:rsidRPr="00CE28E3" w14:paraId="1E3E4E53" w14:textId="77777777" w:rsidTr="44CD7770">
        <w:trPr>
          <w:cantSplit/>
        </w:trPr>
        <w:tc>
          <w:tcPr>
            <w:tcW w:w="1255" w:type="pct"/>
          </w:tcPr>
          <w:p w14:paraId="34F85128" w14:textId="77777777" w:rsidR="00825193" w:rsidRDefault="00825193">
            <w:pPr>
              <w:pStyle w:val="TableText"/>
            </w:pPr>
            <w:r>
              <w:t xml:space="preserve">Options for resubmission </w:t>
            </w:r>
          </w:p>
        </w:tc>
        <w:tc>
          <w:tcPr>
            <w:tcW w:w="2066" w:type="pct"/>
          </w:tcPr>
          <w:p w14:paraId="354E4838" w14:textId="752EE52D" w:rsidR="00825193" w:rsidRDefault="00825193">
            <w:pPr>
              <w:pStyle w:val="TableText"/>
            </w:pPr>
            <w:r>
              <w:t xml:space="preserve">MSAC did not support public funding of </w:t>
            </w:r>
            <w:r w:rsidR="0030051A">
              <w:t>PoCT</w:t>
            </w:r>
            <w:r>
              <w:t xml:space="preserve"> for STIs (due to concerns listed in this table below). </w:t>
            </w:r>
          </w:p>
          <w:p w14:paraId="17355A46" w14:textId="77777777" w:rsidR="00825193" w:rsidRDefault="00825193">
            <w:pPr>
              <w:pStyle w:val="TableText"/>
            </w:pPr>
          </w:p>
          <w:p w14:paraId="74D4DF4E" w14:textId="77777777" w:rsidR="00825193" w:rsidRDefault="00825193">
            <w:pPr>
              <w:pStyle w:val="TableText"/>
            </w:pPr>
            <w:r>
              <w:t xml:space="preserve">MSAC suggested options for resubmission: </w:t>
            </w:r>
          </w:p>
          <w:p w14:paraId="2587B62A" w14:textId="450B6718" w:rsidR="00825193" w:rsidRDefault="00825193" w:rsidP="00825193">
            <w:pPr>
              <w:pStyle w:val="TableText"/>
              <w:numPr>
                <w:ilvl w:val="0"/>
                <w:numId w:val="16"/>
              </w:numPr>
            </w:pPr>
            <w:r w:rsidRPr="00CF671D">
              <w:t xml:space="preserve">targeting </w:t>
            </w:r>
            <w:r w:rsidR="0030051A">
              <w:t>PoCT</w:t>
            </w:r>
            <w:r w:rsidRPr="00CF671D">
              <w:t xml:space="preserve"> for STIs to people living in remote and very remote areas</w:t>
            </w:r>
          </w:p>
          <w:p w14:paraId="6264226D" w14:textId="77777777" w:rsidR="00825193" w:rsidRDefault="00825193" w:rsidP="00825193">
            <w:pPr>
              <w:pStyle w:val="TableText"/>
              <w:numPr>
                <w:ilvl w:val="0"/>
                <w:numId w:val="16"/>
              </w:numPr>
            </w:pPr>
            <w:r w:rsidRPr="00CF671D">
              <w:t>alternative funding models to the MBS for services provided by Aboriginal Medical Services or Aboriginal Community Controlled Heath Services in rural or remote areas</w:t>
            </w:r>
            <w:r>
              <w:t>.</w:t>
            </w:r>
          </w:p>
          <w:p w14:paraId="3689A024" w14:textId="77777777" w:rsidR="00825193" w:rsidRDefault="00825193">
            <w:pPr>
              <w:pStyle w:val="TableText"/>
            </w:pPr>
          </w:p>
          <w:p w14:paraId="58D1582C" w14:textId="77777777" w:rsidR="00825193" w:rsidRPr="00DE778E" w:rsidRDefault="00825193">
            <w:pPr>
              <w:pStyle w:val="TableText"/>
            </w:pPr>
            <w:r>
              <w:t xml:space="preserve">Alternatively, </w:t>
            </w:r>
            <w:r w:rsidRPr="00FB2423">
              <w:t>should a resubmission continue to pursue the proposed population considered in this application (i.e. MM categories 2 to 7) then the errors and significant concerns highlighted with the economic model would have to be fully addressed and the model would need to be re-specified</w:t>
            </w:r>
            <w:r>
              <w:t xml:space="preserve"> (pg 7, MSAC 1627 PSD).</w:t>
            </w:r>
          </w:p>
        </w:tc>
        <w:tc>
          <w:tcPr>
            <w:tcW w:w="1679" w:type="pct"/>
          </w:tcPr>
          <w:p w14:paraId="72307AAE" w14:textId="12C48945" w:rsidR="00825193" w:rsidRDefault="00825193">
            <w:pPr>
              <w:pStyle w:val="TableText"/>
              <w:rPr>
                <w:rFonts w:cs="Arial"/>
                <w:snapToGrid w:val="0"/>
              </w:rPr>
            </w:pPr>
            <w:r>
              <w:rPr>
                <w:rFonts w:cs="Arial"/>
                <w:snapToGrid w:val="0"/>
              </w:rPr>
              <w:t>Responded to in point 2 and 7 of the applicant’s response. Under point 2, i</w:t>
            </w:r>
            <w:r w:rsidRPr="00DE778E">
              <w:rPr>
                <w:rFonts w:cs="Arial"/>
                <w:snapToGrid w:val="0"/>
              </w:rPr>
              <w:t xml:space="preserve">n consultation with NACCHO, </w:t>
            </w:r>
            <w:r>
              <w:rPr>
                <w:rFonts w:cs="Arial"/>
                <w:snapToGrid w:val="0"/>
              </w:rPr>
              <w:t>applicant has proposed</w:t>
            </w:r>
            <w:r w:rsidRPr="00DE778E">
              <w:rPr>
                <w:rFonts w:cs="Arial"/>
                <w:snapToGrid w:val="0"/>
              </w:rPr>
              <w:t xml:space="preserve"> limit</w:t>
            </w:r>
            <w:r>
              <w:rPr>
                <w:rFonts w:cs="Arial"/>
                <w:snapToGrid w:val="0"/>
              </w:rPr>
              <w:t>ing</w:t>
            </w:r>
            <w:r w:rsidRPr="00DE778E">
              <w:rPr>
                <w:rFonts w:cs="Arial"/>
                <w:snapToGrid w:val="0"/>
              </w:rPr>
              <w:t xml:space="preserve"> the </w:t>
            </w:r>
            <w:r w:rsidR="0030051A">
              <w:rPr>
                <w:rFonts w:cs="Arial"/>
                <w:snapToGrid w:val="0"/>
              </w:rPr>
              <w:t>PoCT</w:t>
            </w:r>
            <w:r w:rsidRPr="00DE778E">
              <w:rPr>
                <w:rFonts w:cs="Arial"/>
                <w:snapToGrid w:val="0"/>
              </w:rPr>
              <w:t xml:space="preserve"> to MM3-MM7 (rural and remote), but not to MM6-MM7. </w:t>
            </w:r>
            <w:r>
              <w:rPr>
                <w:rFonts w:cs="Arial"/>
                <w:snapToGrid w:val="0"/>
              </w:rPr>
              <w:t>A rationale for this was provided (see pg 2, Applicant response). The applicant asserted that r</w:t>
            </w:r>
            <w:r w:rsidRPr="00DE778E">
              <w:rPr>
                <w:rFonts w:cs="Arial"/>
                <w:snapToGrid w:val="0"/>
              </w:rPr>
              <w:t>estriction to MM6-MM7 would lead to major inequities in areas where there is restricted access to centralised pathology services.</w:t>
            </w:r>
          </w:p>
          <w:p w14:paraId="48DF583A" w14:textId="77777777" w:rsidR="00825193" w:rsidRDefault="00825193">
            <w:pPr>
              <w:pStyle w:val="TableText"/>
              <w:rPr>
                <w:rFonts w:cs="Arial"/>
                <w:snapToGrid w:val="0"/>
              </w:rPr>
            </w:pPr>
          </w:p>
          <w:p w14:paraId="3B487C04" w14:textId="77777777" w:rsidR="00825193" w:rsidRDefault="00825193">
            <w:pPr>
              <w:pStyle w:val="TableText"/>
              <w:rPr>
                <w:rFonts w:cs="Arial"/>
                <w:snapToGrid w:val="0"/>
              </w:rPr>
            </w:pPr>
            <w:r>
              <w:rPr>
                <w:rFonts w:cs="Arial"/>
                <w:snapToGrid w:val="0"/>
              </w:rPr>
              <w:t>Under point 7, the applicant provided a justification for why the applicant considers block-funding is not a sustainable funding solution.</w:t>
            </w:r>
          </w:p>
          <w:p w14:paraId="66CA8236" w14:textId="77777777" w:rsidR="00825193" w:rsidRDefault="00825193">
            <w:pPr>
              <w:pStyle w:val="TableText"/>
              <w:rPr>
                <w:rFonts w:cs="Arial"/>
                <w:bCs/>
                <w:snapToGrid w:val="0"/>
              </w:rPr>
            </w:pPr>
          </w:p>
          <w:p w14:paraId="01F24CE1" w14:textId="7098FC6A" w:rsidR="00825193" w:rsidRPr="00C918FF" w:rsidRDefault="00825193">
            <w:pPr>
              <w:pStyle w:val="TableText"/>
              <w:rPr>
                <w:rFonts w:cs="Arial"/>
                <w:snapToGrid w:val="0"/>
              </w:rPr>
            </w:pPr>
            <w:r w:rsidRPr="00C918FF">
              <w:rPr>
                <w:rFonts w:cs="Arial"/>
                <w:snapToGrid w:val="0"/>
              </w:rPr>
              <w:t xml:space="preserve">Partially addresses MSAC’s concern – proposes refining the population to MM3-7 (instead of MM6-7 suggested by MSAC) and provides a justification. </w:t>
            </w:r>
          </w:p>
          <w:p w14:paraId="477BFF7F" w14:textId="77777777" w:rsidR="00825193" w:rsidRPr="00C918FF" w:rsidRDefault="00825193">
            <w:pPr>
              <w:pStyle w:val="TableText"/>
              <w:rPr>
                <w:rFonts w:cs="Arial"/>
                <w:snapToGrid w:val="0"/>
              </w:rPr>
            </w:pPr>
          </w:p>
          <w:p w14:paraId="7B0587F9" w14:textId="77777777" w:rsidR="00825193" w:rsidRPr="00A00656" w:rsidRDefault="00825193">
            <w:pPr>
              <w:pStyle w:val="TableText"/>
              <w:rPr>
                <w:rFonts w:cs="Arial"/>
                <w:i/>
                <w:iCs/>
                <w:snapToGrid w:val="0"/>
              </w:rPr>
            </w:pPr>
            <w:r w:rsidRPr="00C918FF">
              <w:rPr>
                <w:rFonts w:cs="Arial"/>
                <w:snapToGrid w:val="0"/>
              </w:rPr>
              <w:t>Response to revised economics below.</w:t>
            </w:r>
            <w:r>
              <w:rPr>
                <w:rFonts w:cs="Arial"/>
                <w:i/>
                <w:iCs/>
                <w:snapToGrid w:val="0"/>
              </w:rPr>
              <w:t xml:space="preserve"> </w:t>
            </w:r>
          </w:p>
        </w:tc>
      </w:tr>
      <w:tr w:rsidR="00825193" w:rsidRPr="00CE28E3" w14:paraId="2E185083" w14:textId="77777777" w:rsidTr="44CD7770">
        <w:trPr>
          <w:cantSplit/>
        </w:trPr>
        <w:tc>
          <w:tcPr>
            <w:tcW w:w="1255" w:type="pct"/>
          </w:tcPr>
          <w:p w14:paraId="574F8B29" w14:textId="1A4F801D" w:rsidR="00825193" w:rsidRDefault="00825193">
            <w:pPr>
              <w:pStyle w:val="TableText"/>
            </w:pPr>
            <w:r>
              <w:t xml:space="preserve">Qualitative evidence on </w:t>
            </w:r>
            <w:r w:rsidRPr="003F1082">
              <w:t xml:space="preserve">cultural perspectives or additional benefits of cultural importance of </w:t>
            </w:r>
            <w:r w:rsidR="00540F5A">
              <w:t>PoCT</w:t>
            </w:r>
            <w:r w:rsidRPr="003F1082">
              <w:t xml:space="preserve"> over standard laboratory testing</w:t>
            </w:r>
            <w:r>
              <w:t xml:space="preserve">. </w:t>
            </w:r>
          </w:p>
        </w:tc>
        <w:tc>
          <w:tcPr>
            <w:tcW w:w="2066" w:type="pct"/>
          </w:tcPr>
          <w:p w14:paraId="219A88E6" w14:textId="0DB0A4C5" w:rsidR="00825193" w:rsidRPr="00CE28E3" w:rsidRDefault="00825193">
            <w:pPr>
              <w:pStyle w:val="TableText"/>
              <w:rPr>
                <w:rFonts w:cs="Arial"/>
                <w:snapToGrid w:val="0"/>
              </w:rPr>
            </w:pPr>
            <w:r>
              <w:rPr>
                <w:rFonts w:cs="Arial"/>
                <w:snapToGrid w:val="0"/>
              </w:rPr>
              <w:t>MSAC noted that whilst r</w:t>
            </w:r>
            <w:r w:rsidRPr="003F1082">
              <w:rPr>
                <w:rFonts w:cs="Arial"/>
                <w:snapToGrid w:val="0"/>
              </w:rPr>
              <w:t>esearch and consultation outcomes</w:t>
            </w:r>
            <w:r>
              <w:rPr>
                <w:rFonts w:cs="Arial"/>
                <w:snapToGrid w:val="0"/>
              </w:rPr>
              <w:t xml:space="preserve"> </w:t>
            </w:r>
            <w:r w:rsidRPr="003F1082">
              <w:rPr>
                <w:rFonts w:cs="Arial"/>
                <w:snapToGrid w:val="0"/>
              </w:rPr>
              <w:t>presented</w:t>
            </w:r>
            <w:r>
              <w:rPr>
                <w:rFonts w:cs="Arial"/>
                <w:snapToGrid w:val="0"/>
              </w:rPr>
              <w:t xml:space="preserve"> </w:t>
            </w:r>
            <w:r w:rsidRPr="003F1082">
              <w:rPr>
                <w:rFonts w:cs="Arial"/>
                <w:snapToGrid w:val="0"/>
              </w:rPr>
              <w:t xml:space="preserve">spoke to the feasibility, safety and acceptability of </w:t>
            </w:r>
            <w:r w:rsidR="00540F5A">
              <w:t xml:space="preserve">PoCT </w:t>
            </w:r>
            <w:r w:rsidRPr="003F1082">
              <w:rPr>
                <w:rFonts w:cs="Arial"/>
                <w:snapToGrid w:val="0"/>
              </w:rPr>
              <w:t>in Aboriginal and Torres Strait Islander communities</w:t>
            </w:r>
            <w:r>
              <w:rPr>
                <w:rFonts w:cs="Arial"/>
                <w:snapToGrid w:val="0"/>
              </w:rPr>
              <w:t xml:space="preserve">, </w:t>
            </w:r>
            <w:r w:rsidRPr="003F1082">
              <w:rPr>
                <w:rFonts w:cs="Arial"/>
                <w:snapToGrid w:val="0"/>
              </w:rPr>
              <w:t xml:space="preserve">cultural perspectives or additional benefits of cultural importance of </w:t>
            </w:r>
            <w:r w:rsidR="00540F5A">
              <w:t>PoCT</w:t>
            </w:r>
            <w:r w:rsidR="00540F5A">
              <w:rPr>
                <w:rFonts w:cs="Arial"/>
                <w:snapToGrid w:val="0"/>
              </w:rPr>
              <w:t xml:space="preserve"> </w:t>
            </w:r>
            <w:r w:rsidRPr="003F1082">
              <w:rPr>
                <w:rFonts w:cs="Arial"/>
                <w:snapToGrid w:val="0"/>
              </w:rPr>
              <w:t xml:space="preserve">over standard laboratory testing were not specifically presented. MSAC noted that patients with direct lived experience of the POC testing, communities, community organisations and the Indigenous </w:t>
            </w:r>
            <w:r w:rsidR="00540F5A">
              <w:t>PoCT</w:t>
            </w:r>
            <w:r w:rsidR="00540F5A">
              <w:rPr>
                <w:rFonts w:cs="Arial"/>
                <w:snapToGrid w:val="0"/>
              </w:rPr>
              <w:t xml:space="preserve"> </w:t>
            </w:r>
            <w:r w:rsidRPr="003F1082">
              <w:rPr>
                <w:rFonts w:cs="Arial"/>
                <w:snapToGrid w:val="0"/>
              </w:rPr>
              <w:t>Leaders Group referenced in the applicant's pre-MSAC response may be able to provide this lived experience expertise or community knowledge about important non-health benefits. MSAC agreed with ESC that presenting such additional qualitative evidence, including from community members who chose not</w:t>
            </w:r>
            <w:r w:rsidR="0F7BC173" w:rsidRPr="003F1082">
              <w:rPr>
                <w:rFonts w:cs="Arial"/>
                <w:snapToGrid w:val="0"/>
              </w:rPr>
              <w:t xml:space="preserve"> to</w:t>
            </w:r>
            <w:r w:rsidRPr="003F1082">
              <w:rPr>
                <w:rFonts w:cs="Arial"/>
                <w:snapToGrid w:val="0"/>
              </w:rPr>
              <w:t xml:space="preserve"> have the </w:t>
            </w:r>
            <w:r w:rsidR="00540F5A">
              <w:t>PoCT</w:t>
            </w:r>
            <w:r w:rsidR="00540F5A">
              <w:rPr>
                <w:rFonts w:cs="Arial"/>
                <w:snapToGrid w:val="0"/>
              </w:rPr>
              <w:t xml:space="preserve"> </w:t>
            </w:r>
            <w:r w:rsidRPr="003F1082">
              <w:rPr>
                <w:rFonts w:cs="Arial"/>
                <w:snapToGrid w:val="0"/>
              </w:rPr>
              <w:t>and those outside of the health sector, would have been informative</w:t>
            </w:r>
            <w:r>
              <w:rPr>
                <w:rFonts w:cs="Arial"/>
                <w:snapToGrid w:val="0"/>
              </w:rPr>
              <w:t xml:space="preserve"> (pg 3, MSAC 1627 PSD)</w:t>
            </w:r>
            <w:r w:rsidRPr="003F1082">
              <w:rPr>
                <w:rFonts w:cs="Arial"/>
                <w:snapToGrid w:val="0"/>
              </w:rPr>
              <w:t xml:space="preserve">.  </w:t>
            </w:r>
          </w:p>
        </w:tc>
        <w:tc>
          <w:tcPr>
            <w:tcW w:w="1679" w:type="pct"/>
          </w:tcPr>
          <w:p w14:paraId="4082B3B3" w14:textId="1579C325" w:rsidR="00825193" w:rsidRDefault="00825193">
            <w:pPr>
              <w:pStyle w:val="TableText"/>
              <w:rPr>
                <w:rFonts w:cstheme="minorHAnsi"/>
              </w:rPr>
            </w:pPr>
            <w:r>
              <w:rPr>
                <w:rFonts w:cs="Arial"/>
                <w:snapToGrid w:val="0"/>
              </w:rPr>
              <w:t xml:space="preserve">Responded to in point 8 of the applicant’s response. Reiterated qualitative evidence that was presented in MSAC 1627 ADAR and briefly presented new unpublished research - </w:t>
            </w:r>
            <w:r w:rsidRPr="00A121CC">
              <w:rPr>
                <w:rFonts w:cstheme="minorHAnsi"/>
              </w:rPr>
              <w:t xml:space="preserve">a secondary analysis of </w:t>
            </w:r>
            <w:r>
              <w:rPr>
                <w:rFonts w:cstheme="minorHAnsi"/>
              </w:rPr>
              <w:t xml:space="preserve">data from the </w:t>
            </w:r>
            <w:r w:rsidRPr="00A121CC">
              <w:rPr>
                <w:rFonts w:cstheme="minorHAnsi"/>
              </w:rPr>
              <w:t xml:space="preserve">interviews with </w:t>
            </w:r>
            <w:r>
              <w:rPr>
                <w:rFonts w:cstheme="minorHAnsi"/>
              </w:rPr>
              <w:t xml:space="preserve">the 18 health care </w:t>
            </w:r>
            <w:r w:rsidRPr="00A121CC">
              <w:rPr>
                <w:rFonts w:cstheme="minorHAnsi"/>
              </w:rPr>
              <w:t>providers</w:t>
            </w:r>
            <w:r>
              <w:rPr>
                <w:rFonts w:cstheme="minorHAnsi"/>
              </w:rPr>
              <w:t xml:space="preserve">, who were </w:t>
            </w:r>
            <w:r w:rsidR="00540F5A">
              <w:rPr>
                <w:rFonts w:cstheme="minorHAnsi"/>
              </w:rPr>
              <w:t>PoC test</w:t>
            </w:r>
            <w:r>
              <w:rPr>
                <w:rFonts w:cstheme="minorHAnsi"/>
              </w:rPr>
              <w:t xml:space="preserve"> operators, in rural and remote clinics. </w:t>
            </w:r>
          </w:p>
          <w:p w14:paraId="7134B330" w14:textId="77777777" w:rsidR="00825193" w:rsidRDefault="00825193">
            <w:pPr>
              <w:pStyle w:val="TableText"/>
              <w:rPr>
                <w:rFonts w:cstheme="minorHAnsi"/>
                <w:bCs/>
              </w:rPr>
            </w:pPr>
          </w:p>
          <w:p w14:paraId="0DCB3E7D" w14:textId="040C2735" w:rsidR="00825193" w:rsidRDefault="00825193">
            <w:pPr>
              <w:pStyle w:val="TableText"/>
              <w:rPr>
                <w:rFonts w:cstheme="minorHAnsi"/>
                <w:bCs/>
              </w:rPr>
            </w:pPr>
            <w:r>
              <w:rPr>
                <w:rFonts w:cstheme="minorHAnsi"/>
                <w:bCs/>
              </w:rPr>
              <w:t xml:space="preserve">The applicant response claimed that this research showed how </w:t>
            </w:r>
            <w:r w:rsidR="00540F5A">
              <w:t>PoCT</w:t>
            </w:r>
            <w:r>
              <w:rPr>
                <w:rFonts w:cstheme="minorHAnsi"/>
                <w:bCs/>
              </w:rPr>
              <w:t xml:space="preserve"> can overcome barriers to STI testing and follow up. </w:t>
            </w:r>
          </w:p>
          <w:p w14:paraId="4928F33D" w14:textId="77777777" w:rsidR="00825193" w:rsidRDefault="00825193">
            <w:pPr>
              <w:pStyle w:val="TableText"/>
              <w:rPr>
                <w:rFonts w:cs="Arial"/>
                <w:bCs/>
                <w:snapToGrid w:val="0"/>
              </w:rPr>
            </w:pPr>
          </w:p>
          <w:p w14:paraId="43083CFB" w14:textId="34C8A419" w:rsidR="00825193" w:rsidRPr="00C918FF" w:rsidRDefault="00825193">
            <w:pPr>
              <w:pStyle w:val="TableText"/>
              <w:rPr>
                <w:rFonts w:cs="Arial"/>
                <w:bCs/>
                <w:iCs/>
                <w:snapToGrid w:val="0"/>
              </w:rPr>
            </w:pPr>
            <w:r w:rsidRPr="00C918FF">
              <w:rPr>
                <w:rFonts w:cs="Arial"/>
                <w:bCs/>
                <w:iCs/>
                <w:snapToGrid w:val="0"/>
              </w:rPr>
              <w:t>This additional information does not appear to specifically address the evidence that MSAC suggested would have been beneficial (</w:t>
            </w:r>
            <w:r w:rsidR="00A53D57" w:rsidRPr="00C918FF">
              <w:rPr>
                <w:rFonts w:cs="Arial"/>
                <w:bCs/>
                <w:iCs/>
                <w:snapToGrid w:val="0"/>
              </w:rPr>
              <w:t xml:space="preserve">e.g., </w:t>
            </w:r>
            <w:r w:rsidRPr="00C918FF">
              <w:rPr>
                <w:rFonts w:cs="Arial"/>
                <w:bCs/>
                <w:iCs/>
                <w:snapToGrid w:val="0"/>
              </w:rPr>
              <w:t xml:space="preserve">qualitative evidence from community members who chose not to have </w:t>
            </w:r>
            <w:r w:rsidR="00540F5A">
              <w:t>PoCT</w:t>
            </w:r>
            <w:r w:rsidRPr="00C918FF">
              <w:rPr>
                <w:rFonts w:cs="Arial"/>
                <w:bCs/>
                <w:iCs/>
                <w:snapToGrid w:val="0"/>
              </w:rPr>
              <w:t>) but would likely be welcomed by MSAC.</w:t>
            </w:r>
          </w:p>
        </w:tc>
      </w:tr>
      <w:tr w:rsidR="00825193" w:rsidRPr="00CE28E3" w14:paraId="21F4BEE3" w14:textId="77777777" w:rsidTr="44CD7770">
        <w:trPr>
          <w:cantSplit/>
        </w:trPr>
        <w:tc>
          <w:tcPr>
            <w:tcW w:w="1255" w:type="pct"/>
          </w:tcPr>
          <w:p w14:paraId="75D57792" w14:textId="26F9B829" w:rsidR="00825193" w:rsidRPr="00CE28E3" w:rsidRDefault="00825193">
            <w:pPr>
              <w:pStyle w:val="TableText"/>
            </w:pPr>
            <w:r>
              <w:lastRenderedPageBreak/>
              <w:t xml:space="preserve">Evidence to demonstrate </w:t>
            </w:r>
            <w:r w:rsidR="00540F5A">
              <w:t xml:space="preserve">PoCT </w:t>
            </w:r>
            <w:r>
              <w:t xml:space="preserve">improved health outcomes compared to </w:t>
            </w:r>
            <w:r w:rsidRPr="003F1082">
              <w:t>standard laboratory testing</w:t>
            </w:r>
          </w:p>
        </w:tc>
        <w:tc>
          <w:tcPr>
            <w:tcW w:w="2066" w:type="pct"/>
          </w:tcPr>
          <w:p w14:paraId="19590EE8" w14:textId="40C9CA93" w:rsidR="00825193" w:rsidRPr="00CE28E3" w:rsidRDefault="00825193">
            <w:pPr>
              <w:pStyle w:val="TableText"/>
              <w:rPr>
                <w:rFonts w:cs="Arial"/>
                <w:snapToGrid w:val="0"/>
              </w:rPr>
            </w:pPr>
            <w:r w:rsidRPr="004A3D7F">
              <w:t xml:space="preserve">MSAC considered that it was clinically plausible that the reduced time from test to treatment with </w:t>
            </w:r>
            <w:r w:rsidR="00CE2A9C">
              <w:t xml:space="preserve">PoCT </w:t>
            </w:r>
            <w:r w:rsidRPr="004A3D7F">
              <w:t xml:space="preserve">could lead to quicker resolution of infection which could reduce the chances of onward transmission and could reduce serious downstream sequalae. However, the evidence presented did not demonstrate that </w:t>
            </w:r>
            <w:r w:rsidR="00CE2A9C">
              <w:t xml:space="preserve">PoCT </w:t>
            </w:r>
            <w:r w:rsidRPr="004A3D7F">
              <w:t>actually improve health outcomes</w:t>
            </w:r>
            <w:r w:rsidR="00A07B4C">
              <w:t xml:space="preserve"> </w:t>
            </w:r>
            <w:r w:rsidR="00D86695">
              <w:t xml:space="preserve">beyond what </w:t>
            </w:r>
            <w:r w:rsidRPr="004A3D7F">
              <w:t>standard laboratory testing</w:t>
            </w:r>
            <w:r w:rsidR="00D86695">
              <w:t xml:space="preserve"> could provide</w:t>
            </w:r>
            <w:r>
              <w:t>.</w:t>
            </w:r>
            <w:r w:rsidRPr="004A3D7F">
              <w:t xml:space="preserve"> Therefore, MSAC concluded that </w:t>
            </w:r>
            <w:r w:rsidR="00CE2A9C">
              <w:t xml:space="preserve">PoCT </w:t>
            </w:r>
            <w:r w:rsidRPr="004A3D7F">
              <w:t>had noninferior clinical effectiveness compared to standard laboratory testing for chlamydia, gonorrhoea and trichomonas</w:t>
            </w:r>
            <w:r>
              <w:t xml:space="preserve"> (pg 5, MSAC 1627 PSD)</w:t>
            </w:r>
            <w:r w:rsidRPr="004A3D7F">
              <w:t>.</w:t>
            </w:r>
          </w:p>
        </w:tc>
        <w:tc>
          <w:tcPr>
            <w:tcW w:w="1679" w:type="pct"/>
          </w:tcPr>
          <w:p w14:paraId="089D9F4B" w14:textId="7FEB0C02" w:rsidR="00825193" w:rsidRPr="00CE28E3" w:rsidRDefault="00825193">
            <w:pPr>
              <w:pStyle w:val="TableText"/>
              <w:rPr>
                <w:rFonts w:cs="Arial"/>
                <w:bCs/>
                <w:snapToGrid w:val="0"/>
              </w:rPr>
            </w:pPr>
            <w:r>
              <w:rPr>
                <w:rFonts w:cs="Arial"/>
                <w:bCs/>
                <w:snapToGrid w:val="0"/>
              </w:rPr>
              <w:t xml:space="preserve">Not addressed. </w:t>
            </w:r>
            <w:r w:rsidR="00B86086">
              <w:rPr>
                <w:rFonts w:cs="Arial"/>
                <w:bCs/>
                <w:snapToGrid w:val="0"/>
              </w:rPr>
              <w:t>No new clinical evidence presented. Application continues to be based on</w:t>
            </w:r>
            <w:r>
              <w:rPr>
                <w:rFonts w:cs="Arial"/>
                <w:bCs/>
                <w:snapToGrid w:val="0"/>
              </w:rPr>
              <w:t xml:space="preserve"> clinical evidence presented in MSAC 1627</w:t>
            </w:r>
            <w:r w:rsidR="004736A1">
              <w:rPr>
                <w:rFonts w:cs="Arial"/>
                <w:bCs/>
                <w:snapToGrid w:val="0"/>
              </w:rPr>
              <w:t>.</w:t>
            </w:r>
          </w:p>
        </w:tc>
      </w:tr>
      <w:tr w:rsidR="00825193" w:rsidRPr="00CE28E3" w14:paraId="7F8B8C5C" w14:textId="77777777" w:rsidTr="44CD7770">
        <w:trPr>
          <w:cantSplit/>
        </w:trPr>
        <w:tc>
          <w:tcPr>
            <w:tcW w:w="1255" w:type="pct"/>
          </w:tcPr>
          <w:p w14:paraId="454BDE9C" w14:textId="70E3C2AE" w:rsidR="00825193" w:rsidRDefault="00825193">
            <w:pPr>
              <w:pStyle w:val="TableText"/>
            </w:pPr>
            <w:r>
              <w:t>C</w:t>
            </w:r>
            <w:r w:rsidRPr="00CF671D">
              <w:t xml:space="preserve">ost-effectiveness of </w:t>
            </w:r>
            <w:r w:rsidR="00CE2A9C">
              <w:t>PoCT</w:t>
            </w:r>
            <w:r w:rsidRPr="00CF671D">
              <w:t xml:space="preserve"> for STIs compared to standard laboratory testing </w:t>
            </w:r>
            <w:r>
              <w:t>was considered</w:t>
            </w:r>
            <w:r w:rsidRPr="00CF671D">
              <w:t xml:space="preserve"> highly uncertain</w:t>
            </w:r>
            <w:r>
              <w:t xml:space="preserve"> </w:t>
            </w:r>
          </w:p>
        </w:tc>
        <w:tc>
          <w:tcPr>
            <w:tcW w:w="2066" w:type="pct"/>
          </w:tcPr>
          <w:p w14:paraId="0AA7DFD7" w14:textId="50E94F89" w:rsidR="00825193" w:rsidRDefault="00825193">
            <w:pPr>
              <w:pStyle w:val="TableText"/>
              <w:rPr>
                <w:rFonts w:cs="Arial"/>
                <w:snapToGrid w:val="0"/>
              </w:rPr>
            </w:pPr>
            <w:r w:rsidRPr="004A3D7F">
              <w:rPr>
                <w:rFonts w:cs="Arial"/>
                <w:snapToGrid w:val="0"/>
              </w:rPr>
              <w:t xml:space="preserve">MSAC considered the cost-effectiveness of </w:t>
            </w:r>
            <w:r w:rsidR="00CE2A9C">
              <w:t>PoCT</w:t>
            </w:r>
            <w:r w:rsidR="00CE2A9C">
              <w:rPr>
                <w:rFonts w:cs="Arial"/>
                <w:snapToGrid w:val="0"/>
              </w:rPr>
              <w:t xml:space="preserve"> </w:t>
            </w:r>
            <w:r w:rsidRPr="004A3D7F">
              <w:rPr>
                <w:rFonts w:cs="Arial"/>
                <w:snapToGrid w:val="0"/>
              </w:rPr>
              <w:t>compared with standard laboratory testing was highly uncertain due to the uncertainty in the magnitude of benefit modelled, use of an overly complex microsimulation model without incorporating changes to reflect population behaviour changes over time, errors in the model along with the lack of transparency and inability to verify updates prior to MSAC</w:t>
            </w:r>
            <w:r>
              <w:rPr>
                <w:rFonts w:cs="Arial"/>
                <w:snapToGrid w:val="0"/>
              </w:rPr>
              <w:t xml:space="preserve"> (pg 5, MSAC 1627 PSD)</w:t>
            </w:r>
            <w:r w:rsidRPr="004A3D7F">
              <w:rPr>
                <w:rFonts w:cs="Arial"/>
                <w:snapToGrid w:val="0"/>
              </w:rPr>
              <w:t>.</w:t>
            </w:r>
          </w:p>
          <w:p w14:paraId="6542F46C" w14:textId="77777777" w:rsidR="00825193" w:rsidRDefault="00825193">
            <w:pPr>
              <w:pStyle w:val="TableText"/>
              <w:rPr>
                <w:rFonts w:cs="Arial"/>
                <w:snapToGrid w:val="0"/>
              </w:rPr>
            </w:pPr>
          </w:p>
          <w:p w14:paraId="54A7D1B6" w14:textId="77777777" w:rsidR="00825193" w:rsidRPr="00CE28E3" w:rsidRDefault="00825193">
            <w:pPr>
              <w:pStyle w:val="TableText"/>
              <w:rPr>
                <w:rFonts w:cs="Arial"/>
                <w:snapToGrid w:val="0"/>
              </w:rPr>
            </w:pPr>
            <w:r>
              <w:rPr>
                <w:rFonts w:cs="Arial"/>
                <w:snapToGrid w:val="0"/>
              </w:rPr>
              <w:t>T</w:t>
            </w:r>
            <w:r w:rsidRPr="00FB2423">
              <w:rPr>
                <w:rFonts w:cs="Arial"/>
                <w:snapToGrid w:val="0"/>
              </w:rPr>
              <w:t>he errors and significant concerns highlighted with the economic model would have to be fully addressed and the model would need to be re-specified. The resubmitted model should be based on the trial data and present a stepped analysis with the incremental cost per person tested. Any reduction in time to treatment and sequalae avoided and how these transform into QALYs should be clearly presented in accordance with the Technical Guidelines</w:t>
            </w:r>
            <w:r>
              <w:rPr>
                <w:rFonts w:cs="Arial"/>
                <w:snapToGrid w:val="0"/>
              </w:rPr>
              <w:t xml:space="preserve"> (pg 7, MSAC 1627 PSD)</w:t>
            </w:r>
            <w:r w:rsidRPr="00FB2423">
              <w:rPr>
                <w:rFonts w:cs="Arial"/>
                <w:snapToGrid w:val="0"/>
              </w:rPr>
              <w:t>.</w:t>
            </w:r>
          </w:p>
        </w:tc>
        <w:tc>
          <w:tcPr>
            <w:tcW w:w="1679" w:type="pct"/>
          </w:tcPr>
          <w:p w14:paraId="45252455" w14:textId="77777777" w:rsidR="00825193" w:rsidRDefault="00825193">
            <w:pPr>
              <w:pStyle w:val="TableText"/>
              <w:rPr>
                <w:rFonts w:cs="Arial"/>
                <w:snapToGrid w:val="0"/>
              </w:rPr>
            </w:pPr>
            <w:r>
              <w:rPr>
                <w:rFonts w:cs="Arial"/>
                <w:snapToGrid w:val="0"/>
              </w:rPr>
              <w:t xml:space="preserve">Responded to in point 4 of the applicant’s response. Incorporates the reduced cost of the test and </w:t>
            </w:r>
            <w:r w:rsidRPr="00FD181C">
              <w:rPr>
                <w:rFonts w:cs="Arial"/>
                <w:snapToGrid w:val="0"/>
              </w:rPr>
              <w:t xml:space="preserve">updated the model to include re-testing of people with a positive result and annual infection risk based on mathematical models of CT and NG transmission in remote Aboriginal and Torres Strait Islander communities as recommended in the public </w:t>
            </w:r>
            <w:r>
              <w:rPr>
                <w:rFonts w:cs="Arial"/>
                <w:snapToGrid w:val="0"/>
              </w:rPr>
              <w:t xml:space="preserve">summary </w:t>
            </w:r>
            <w:r w:rsidRPr="00FD181C">
              <w:rPr>
                <w:rFonts w:cs="Arial"/>
                <w:snapToGrid w:val="0"/>
              </w:rPr>
              <w:t>document</w:t>
            </w:r>
            <w:r>
              <w:rPr>
                <w:rFonts w:cs="Arial"/>
                <w:snapToGrid w:val="0"/>
              </w:rPr>
              <w:t xml:space="preserve">. </w:t>
            </w:r>
          </w:p>
          <w:p w14:paraId="3CEFBC54" w14:textId="77777777" w:rsidR="00825193" w:rsidRDefault="00825193">
            <w:pPr>
              <w:pStyle w:val="TableText"/>
              <w:rPr>
                <w:rFonts w:cs="Arial"/>
                <w:snapToGrid w:val="0"/>
              </w:rPr>
            </w:pPr>
          </w:p>
          <w:p w14:paraId="20F0F0D9" w14:textId="676DBBE6" w:rsidR="00825193" w:rsidRPr="00C918FF" w:rsidRDefault="00B86086">
            <w:pPr>
              <w:pStyle w:val="TableText"/>
              <w:rPr>
                <w:rFonts w:cs="Arial"/>
                <w:iCs/>
                <w:snapToGrid w:val="0"/>
              </w:rPr>
            </w:pPr>
            <w:r w:rsidRPr="00C918FF">
              <w:rPr>
                <w:rFonts w:cs="Arial"/>
                <w:iCs/>
                <w:snapToGrid w:val="0"/>
              </w:rPr>
              <w:t>The</w:t>
            </w:r>
            <w:r w:rsidR="00825193" w:rsidRPr="00C918FF">
              <w:rPr>
                <w:rFonts w:cs="Arial"/>
                <w:iCs/>
                <w:snapToGrid w:val="0"/>
              </w:rPr>
              <w:t xml:space="preserve"> economic model is assumed to still rely on modelling health benefits, that </w:t>
            </w:r>
            <w:r w:rsidRPr="00C918FF">
              <w:rPr>
                <w:rFonts w:cs="Arial"/>
                <w:iCs/>
                <w:snapToGrid w:val="0"/>
              </w:rPr>
              <w:t xml:space="preserve">MSAC considered </w:t>
            </w:r>
            <w:r w:rsidR="00825193" w:rsidRPr="00C918FF">
              <w:rPr>
                <w:rFonts w:cs="Arial"/>
                <w:iCs/>
                <w:snapToGrid w:val="0"/>
              </w:rPr>
              <w:t xml:space="preserve">may be plausible but </w:t>
            </w:r>
            <w:r w:rsidRPr="00C918FF">
              <w:rPr>
                <w:rFonts w:cs="Arial"/>
                <w:iCs/>
                <w:snapToGrid w:val="0"/>
              </w:rPr>
              <w:t xml:space="preserve">were </w:t>
            </w:r>
            <w:r w:rsidR="00825193" w:rsidRPr="00C918FF">
              <w:rPr>
                <w:rFonts w:cs="Arial"/>
                <w:iCs/>
                <w:snapToGrid w:val="0"/>
              </w:rPr>
              <w:t xml:space="preserve">not demonstrated by the clinical evidence. MSAC previously noted this created high uncertainty in the ICER. As no new clinical evidence was provided, it is likely that this issue continues to create uncertainty in the ICERs. </w:t>
            </w:r>
            <w:bookmarkStart w:id="8" w:name="_Hlk145317446"/>
          </w:p>
          <w:bookmarkEnd w:id="8"/>
          <w:p w14:paraId="56546AA1" w14:textId="77777777" w:rsidR="00825193" w:rsidRPr="00CE28E3" w:rsidRDefault="00825193">
            <w:pPr>
              <w:pStyle w:val="TableText"/>
              <w:rPr>
                <w:rFonts w:cs="Arial"/>
                <w:snapToGrid w:val="0"/>
              </w:rPr>
            </w:pPr>
          </w:p>
        </w:tc>
      </w:tr>
      <w:tr w:rsidR="00825193" w:rsidRPr="00CE28E3" w14:paraId="29D5BA08" w14:textId="77777777" w:rsidTr="44CD7770">
        <w:trPr>
          <w:cantSplit/>
        </w:trPr>
        <w:tc>
          <w:tcPr>
            <w:tcW w:w="1255" w:type="pct"/>
          </w:tcPr>
          <w:p w14:paraId="27949883" w14:textId="77777777" w:rsidR="00825193" w:rsidRDefault="00825193">
            <w:pPr>
              <w:pStyle w:val="TableText"/>
            </w:pPr>
            <w:r>
              <w:t>Proposed MBS fee was very high and not sufficiently justified.</w:t>
            </w:r>
          </w:p>
        </w:tc>
        <w:tc>
          <w:tcPr>
            <w:tcW w:w="2066" w:type="pct"/>
          </w:tcPr>
          <w:p w14:paraId="0AABB36F" w14:textId="77777777" w:rsidR="00825193" w:rsidRDefault="00825193">
            <w:pPr>
              <w:pStyle w:val="TableText"/>
            </w:pPr>
            <w:r>
              <w:t>T</w:t>
            </w:r>
            <w:r w:rsidRPr="00CF671D">
              <w:t>he proposed MBS fee was very high and the costings should be re-examined</w:t>
            </w:r>
            <w:r>
              <w:t xml:space="preserve"> (pg 4, MSAC 1627 PSD)</w:t>
            </w:r>
            <w:r w:rsidRPr="00CF671D">
              <w:t>.</w:t>
            </w:r>
          </w:p>
          <w:p w14:paraId="780F54A1" w14:textId="77777777" w:rsidR="00825193" w:rsidRPr="00CE28E3" w:rsidRDefault="00825193">
            <w:pPr>
              <w:pStyle w:val="TableText"/>
              <w:rPr>
                <w:rFonts w:cs="Arial"/>
                <w:snapToGrid w:val="0"/>
              </w:rPr>
            </w:pPr>
            <w:r>
              <w:t>T</w:t>
            </w:r>
            <w:r w:rsidRPr="00CF671D">
              <w:t>he fee was not sufficiently justified given the lack of objective data demonstrating improved health outcomes for patients</w:t>
            </w:r>
            <w:r>
              <w:t xml:space="preserve"> (pg 6, MSAC 1627 PSD).</w:t>
            </w:r>
          </w:p>
        </w:tc>
        <w:tc>
          <w:tcPr>
            <w:tcW w:w="1679" w:type="pct"/>
          </w:tcPr>
          <w:p w14:paraId="7F2EA43D" w14:textId="65829C67" w:rsidR="00825193" w:rsidRDefault="00825193">
            <w:pPr>
              <w:pStyle w:val="TableText"/>
              <w:rPr>
                <w:rFonts w:cs="Arial"/>
                <w:snapToGrid w:val="0"/>
              </w:rPr>
            </w:pPr>
            <w:r w:rsidRPr="5C969EC6">
              <w:rPr>
                <w:rFonts w:cs="Arial"/>
                <w:snapToGrid w:val="0"/>
              </w:rPr>
              <w:t>Responded to in point 3 of the applicant response. The total cost of the test kit and the staff time to conduct the test has been reduced and the total proposed fee $10</w:t>
            </w:r>
            <w:r w:rsidR="3E9D0E79" w:rsidRPr="5C969EC6">
              <w:rPr>
                <w:rFonts w:cs="Arial"/>
                <w:snapToGrid w:val="0"/>
              </w:rPr>
              <w:t>6</w:t>
            </w:r>
            <w:r w:rsidRPr="5C969EC6">
              <w:rPr>
                <w:rFonts w:cs="Arial"/>
                <w:snapToGrid w:val="0"/>
              </w:rPr>
              <w:t>.</w:t>
            </w:r>
            <w:r w:rsidR="5A2739AE" w:rsidRPr="5C969EC6">
              <w:rPr>
                <w:rFonts w:cs="Arial"/>
                <w:snapToGrid w:val="0"/>
              </w:rPr>
              <w:t>4</w:t>
            </w:r>
            <w:r w:rsidRPr="5C969EC6">
              <w:rPr>
                <w:rFonts w:cs="Arial"/>
                <w:snapToGrid w:val="0"/>
              </w:rPr>
              <w:t xml:space="preserve">5 each for CT/NG and TV tests; compared to previous proposed fee of $150 and $115 respectively. </w:t>
            </w:r>
          </w:p>
          <w:p w14:paraId="3B5FACD3" w14:textId="77777777" w:rsidR="00825193" w:rsidRDefault="00825193">
            <w:pPr>
              <w:pStyle w:val="TableText"/>
              <w:rPr>
                <w:rFonts w:cs="Arial"/>
                <w:snapToGrid w:val="0"/>
              </w:rPr>
            </w:pPr>
          </w:p>
          <w:p w14:paraId="60334472" w14:textId="16020130" w:rsidR="00825193" w:rsidRPr="00C918FF" w:rsidRDefault="00825193" w:rsidP="00C918FF">
            <w:pPr>
              <w:pStyle w:val="TableText"/>
              <w:rPr>
                <w:rFonts w:cs="Arial"/>
                <w:snapToGrid w:val="0"/>
              </w:rPr>
            </w:pPr>
            <w:r w:rsidRPr="5C969EC6">
              <w:rPr>
                <w:rFonts w:cs="Arial"/>
                <w:snapToGrid w:val="0"/>
              </w:rPr>
              <w:t xml:space="preserve">The applicant response has also proposed separating the MBS items for each test into a </w:t>
            </w:r>
            <w:r w:rsidR="763FD5DB" w:rsidRPr="5C969EC6">
              <w:rPr>
                <w:rFonts w:cs="Arial"/>
                <w:snapToGrid w:val="0"/>
              </w:rPr>
              <w:t>P9 pathology</w:t>
            </w:r>
            <w:r w:rsidRPr="5C969EC6">
              <w:rPr>
                <w:rFonts w:cs="Arial"/>
                <w:snapToGrid w:val="0"/>
              </w:rPr>
              <w:t xml:space="preserve"> MBS service (for the cost of the test) and a miscellaneous MBS service item (cost of the staff time [Aboriginal Health Worker/Practitioner, nurses] to conduct the test).</w:t>
            </w:r>
          </w:p>
        </w:tc>
      </w:tr>
      <w:tr w:rsidR="00825193" w:rsidRPr="00CE28E3" w14:paraId="4C26F8E6" w14:textId="77777777" w:rsidTr="44CD7770">
        <w:trPr>
          <w:cantSplit/>
        </w:trPr>
        <w:tc>
          <w:tcPr>
            <w:tcW w:w="1255" w:type="pct"/>
          </w:tcPr>
          <w:p w14:paraId="074E9EF9" w14:textId="77777777" w:rsidR="00825193" w:rsidRDefault="00825193">
            <w:pPr>
              <w:pStyle w:val="TableText"/>
            </w:pPr>
            <w:r>
              <w:lastRenderedPageBreak/>
              <w:t>F</w:t>
            </w:r>
            <w:r w:rsidRPr="00CF671D">
              <w:t xml:space="preserve">inancial estimates </w:t>
            </w:r>
            <w:r>
              <w:t>were</w:t>
            </w:r>
            <w:r w:rsidRPr="00CF671D">
              <w:t xml:space="preserve"> uncertain and likely underestimated</w:t>
            </w:r>
          </w:p>
        </w:tc>
        <w:tc>
          <w:tcPr>
            <w:tcW w:w="2066" w:type="pct"/>
          </w:tcPr>
          <w:p w14:paraId="6E3576AB" w14:textId="18E48140" w:rsidR="00825193" w:rsidRDefault="00825193">
            <w:pPr>
              <w:pStyle w:val="TableText"/>
              <w:rPr>
                <w:rFonts w:cs="Arial"/>
                <w:snapToGrid w:val="0"/>
              </w:rPr>
            </w:pPr>
            <w:r w:rsidRPr="00282BE6">
              <w:rPr>
                <w:rFonts w:cs="Arial"/>
                <w:snapToGrid w:val="0"/>
              </w:rPr>
              <w:t xml:space="preserve">MSAC considered that the estimates were likely to be underestimated. That is, the estimated number of people tested per year using </w:t>
            </w:r>
            <w:r w:rsidR="00CE2A9C">
              <w:t>PoCT</w:t>
            </w:r>
            <w:r w:rsidR="00CE2A9C">
              <w:rPr>
                <w:rFonts w:cs="Arial"/>
                <w:snapToGrid w:val="0"/>
              </w:rPr>
              <w:t xml:space="preserve"> </w:t>
            </w:r>
            <w:r w:rsidRPr="00282BE6">
              <w:rPr>
                <w:rFonts w:cs="Arial"/>
                <w:snapToGrid w:val="0"/>
              </w:rPr>
              <w:t>would be higher if the estimates had been based on pre-COVID testing data.</w:t>
            </w:r>
          </w:p>
          <w:p w14:paraId="14167183" w14:textId="77777777" w:rsidR="00825193" w:rsidRDefault="00825193">
            <w:pPr>
              <w:pStyle w:val="TableText"/>
              <w:rPr>
                <w:rFonts w:cs="Arial"/>
                <w:snapToGrid w:val="0"/>
              </w:rPr>
            </w:pPr>
          </w:p>
          <w:p w14:paraId="3C0D7DF1" w14:textId="44E725C1" w:rsidR="00825193" w:rsidRDefault="00825193">
            <w:pPr>
              <w:pStyle w:val="TableText"/>
            </w:pPr>
            <w:r>
              <w:t xml:space="preserve">MSAC also queried whether the assumption of a maximum 300 tests/site per year also underestimates the likely utilisations of </w:t>
            </w:r>
            <w:r w:rsidR="00CE2A9C">
              <w:t>PoCT</w:t>
            </w:r>
            <w:r>
              <w:t xml:space="preserve">. MSAC noted the ADAR assumed that POC testing would substitute standard laboratory testing one-to-one (i.e., assumed that the overall number of people tested would not increase with </w:t>
            </w:r>
            <w:r w:rsidR="00CE2A9C">
              <w:t>PoCT</w:t>
            </w:r>
            <w:r>
              <w:t xml:space="preserve">) which MSAC considered is unlikely to be appropriate. MSAC considered it plausible that more people would be willing to undertake a test with same-day results </w:t>
            </w:r>
            <w:r w:rsidR="00AB0D93">
              <w:t>(i</w:t>
            </w:r>
            <w:r w:rsidR="00606A1E">
              <w:t>.</w:t>
            </w:r>
            <w:r w:rsidR="00AB0D93">
              <w:t>e.</w:t>
            </w:r>
            <w:r w:rsidR="00606A1E">
              <w:t>,</w:t>
            </w:r>
            <w:r w:rsidR="00AB0D93">
              <w:t xml:space="preserve"> </w:t>
            </w:r>
            <w:r w:rsidR="00606A1E">
              <w:t>PoCT</w:t>
            </w:r>
            <w:r w:rsidR="00AB0D93">
              <w:t>)</w:t>
            </w:r>
            <w:r>
              <w:t xml:space="preserve"> than a test where results might not be available for up to 14 days</w:t>
            </w:r>
            <w:r w:rsidR="00AB0D93">
              <w:t xml:space="preserve"> (i</w:t>
            </w:r>
            <w:r w:rsidR="00606A1E">
              <w:t>.</w:t>
            </w:r>
            <w:r w:rsidR="00AB0D93">
              <w:t>e.</w:t>
            </w:r>
            <w:r w:rsidR="00606A1E">
              <w:t>,</w:t>
            </w:r>
            <w:r w:rsidR="00AB0D93">
              <w:t xml:space="preserve"> standard laboratory testing)</w:t>
            </w:r>
            <w:r>
              <w:t>. MSAC also noted the financial estimates had costed the P</w:t>
            </w:r>
            <w:r w:rsidR="00606A1E">
              <w:t>o</w:t>
            </w:r>
            <w:r>
              <w:t>C test using 100% of the proposed MBS fee rather than applying the 85% rebate. MSAC also highlighted that the estimates did not include the cost of re-testing 3 months post treatment (per the clinical guidelines) and cost offsets for the downstream sequalae were based on 2016-17 costs, creating further uncertain</w:t>
            </w:r>
            <w:r w:rsidR="6456C7D6">
              <w:t>t</w:t>
            </w:r>
            <w:r>
              <w:t xml:space="preserve">y (potentially underestimating) the financial impact of listing </w:t>
            </w:r>
            <w:r w:rsidR="00606A1E">
              <w:t xml:space="preserve">PoCT </w:t>
            </w:r>
            <w:r w:rsidR="003806BB">
              <w:t>on the MBS</w:t>
            </w:r>
            <w:r>
              <w:t xml:space="preserve"> (pg 6, MSAC 1627 PSD).  </w:t>
            </w:r>
          </w:p>
          <w:p w14:paraId="6CA547BC" w14:textId="77777777" w:rsidR="00825193" w:rsidRDefault="00825193">
            <w:pPr>
              <w:pStyle w:val="TableText"/>
              <w:rPr>
                <w:rFonts w:cs="Arial"/>
                <w:snapToGrid w:val="0"/>
              </w:rPr>
            </w:pPr>
          </w:p>
          <w:p w14:paraId="1BBDF88D" w14:textId="77777777" w:rsidR="00825193" w:rsidRPr="00CE28E3" w:rsidRDefault="00825193">
            <w:pPr>
              <w:pStyle w:val="TableText"/>
              <w:rPr>
                <w:rFonts w:cs="Arial"/>
                <w:snapToGrid w:val="0"/>
              </w:rPr>
            </w:pPr>
            <w:r w:rsidRPr="008934CC">
              <w:rPr>
                <w:rFonts w:cs="Arial"/>
                <w:snapToGrid w:val="0"/>
              </w:rPr>
              <w:t>MSAC advised that the estimates around uptake of the testing and financial</w:t>
            </w:r>
            <w:r>
              <w:rPr>
                <w:rFonts w:cs="Arial"/>
                <w:snapToGrid w:val="0"/>
              </w:rPr>
              <w:t xml:space="preserve"> </w:t>
            </w:r>
            <w:r w:rsidRPr="008934CC">
              <w:rPr>
                <w:rFonts w:cs="Arial"/>
                <w:snapToGrid w:val="0"/>
              </w:rPr>
              <w:t>impact would need to be revised and clearly described in accordance with the approach taken in</w:t>
            </w:r>
            <w:r>
              <w:rPr>
                <w:rFonts w:cs="Arial"/>
                <w:snapToGrid w:val="0"/>
              </w:rPr>
              <w:t xml:space="preserve"> </w:t>
            </w:r>
            <w:r w:rsidRPr="008934CC">
              <w:rPr>
                <w:rFonts w:cs="Arial"/>
                <w:snapToGrid w:val="0"/>
              </w:rPr>
              <w:t>the resubmission with uptake based on</w:t>
            </w:r>
            <w:r>
              <w:rPr>
                <w:rFonts w:cs="Arial"/>
                <w:snapToGrid w:val="0"/>
              </w:rPr>
              <w:t xml:space="preserve"> </w:t>
            </w:r>
            <w:r w:rsidRPr="008934CC">
              <w:rPr>
                <w:rFonts w:cs="Arial"/>
                <w:snapToGrid w:val="0"/>
              </w:rPr>
              <w:t>extrapolation of pre-COVID testing rates</w:t>
            </w:r>
            <w:r>
              <w:rPr>
                <w:rFonts w:cs="Arial"/>
                <w:snapToGrid w:val="0"/>
              </w:rPr>
              <w:t xml:space="preserve"> (pg 7, MSAC 1627 PSD)</w:t>
            </w:r>
            <w:r w:rsidRPr="008934CC">
              <w:rPr>
                <w:rFonts w:cs="Arial"/>
                <w:snapToGrid w:val="0"/>
              </w:rPr>
              <w:t>.</w:t>
            </w:r>
          </w:p>
        </w:tc>
        <w:tc>
          <w:tcPr>
            <w:tcW w:w="1679" w:type="pct"/>
          </w:tcPr>
          <w:p w14:paraId="61F4F96F" w14:textId="29F323CB" w:rsidR="00825193" w:rsidRDefault="00825193">
            <w:pPr>
              <w:pStyle w:val="TableText"/>
              <w:rPr>
                <w:rFonts w:cs="Arial"/>
                <w:i/>
                <w:snapToGrid w:val="0"/>
              </w:rPr>
            </w:pPr>
            <w:r w:rsidRPr="004E075E">
              <w:rPr>
                <w:rFonts w:cs="Arial"/>
                <w:snapToGrid w:val="0"/>
              </w:rPr>
              <w:t xml:space="preserve">Responded to in point </w:t>
            </w:r>
            <w:r>
              <w:rPr>
                <w:rFonts w:cs="Arial"/>
                <w:snapToGrid w:val="0"/>
              </w:rPr>
              <w:t>5 and 6</w:t>
            </w:r>
            <w:r w:rsidRPr="004E075E">
              <w:rPr>
                <w:rFonts w:cs="Arial"/>
                <w:snapToGrid w:val="0"/>
              </w:rPr>
              <w:t xml:space="preserve"> of the applicant response.</w:t>
            </w:r>
            <w:r>
              <w:rPr>
                <w:rFonts w:cs="Arial"/>
                <w:snapToGrid w:val="0"/>
              </w:rPr>
              <w:t xml:space="preserve"> Revised financial analysis using </w:t>
            </w:r>
            <w:r w:rsidRPr="00374D53">
              <w:rPr>
                <w:rFonts w:cs="Arial"/>
                <w:snapToGrid w:val="0"/>
              </w:rPr>
              <w:t xml:space="preserve">post-COVID </w:t>
            </w:r>
            <w:r w:rsidR="00606A1E">
              <w:t>PoCT</w:t>
            </w:r>
            <w:r w:rsidRPr="00374D53">
              <w:rPr>
                <w:rFonts w:cs="Arial"/>
                <w:snapToGrid w:val="0"/>
              </w:rPr>
              <w:t xml:space="preserve"> numbers as a new baseline (2022-2023)</w:t>
            </w:r>
            <w:r>
              <w:rPr>
                <w:rFonts w:cs="Arial"/>
                <w:snapToGrid w:val="0"/>
              </w:rPr>
              <w:t xml:space="preserve">. </w:t>
            </w:r>
          </w:p>
          <w:p w14:paraId="0E120AB8" w14:textId="77777777" w:rsidR="00825193" w:rsidRDefault="00825193">
            <w:pPr>
              <w:pStyle w:val="TableText"/>
              <w:rPr>
                <w:rFonts w:cs="Arial"/>
                <w:i/>
                <w:snapToGrid w:val="0"/>
              </w:rPr>
            </w:pPr>
          </w:p>
          <w:p w14:paraId="6531DDD4" w14:textId="77777777" w:rsidR="00825193" w:rsidRPr="006E08AF" w:rsidRDefault="00825193">
            <w:pPr>
              <w:pStyle w:val="TableText"/>
              <w:rPr>
                <w:rFonts w:cs="Arial"/>
                <w:iCs/>
                <w:snapToGrid w:val="0"/>
              </w:rPr>
            </w:pPr>
            <w:r>
              <w:rPr>
                <w:rFonts w:cs="Arial"/>
                <w:iCs/>
                <w:snapToGrid w:val="0"/>
              </w:rPr>
              <w:t>Average annual site testing numbers</w:t>
            </w:r>
          </w:p>
          <w:p w14:paraId="4517F591" w14:textId="77777777" w:rsidR="00825193" w:rsidRDefault="00825193" w:rsidP="00825193">
            <w:pPr>
              <w:pStyle w:val="TableText"/>
              <w:numPr>
                <w:ilvl w:val="0"/>
                <w:numId w:val="16"/>
              </w:numPr>
              <w:rPr>
                <w:rFonts w:cs="Arial"/>
                <w:iCs/>
                <w:snapToGrid w:val="0"/>
              </w:rPr>
            </w:pPr>
            <w:r w:rsidRPr="001C0993">
              <w:rPr>
                <w:rFonts w:cs="Arial"/>
                <w:iCs/>
                <w:snapToGrid w:val="0"/>
              </w:rPr>
              <w:t xml:space="preserve">May 2019 to April 2020 (pre-COVID) </w:t>
            </w:r>
            <w:r>
              <w:rPr>
                <w:rFonts w:cs="Arial"/>
                <w:iCs/>
                <w:snapToGrid w:val="0"/>
              </w:rPr>
              <w:t xml:space="preserve">= </w:t>
            </w:r>
            <w:r w:rsidRPr="001C0993">
              <w:rPr>
                <w:rFonts w:cs="Arial"/>
                <w:iCs/>
                <w:snapToGrid w:val="0"/>
              </w:rPr>
              <w:t>187 for CT/NG and 152 for TV (339 combined)</w:t>
            </w:r>
          </w:p>
          <w:p w14:paraId="43349690" w14:textId="77777777" w:rsidR="00825193" w:rsidRDefault="00825193" w:rsidP="00825193">
            <w:pPr>
              <w:pStyle w:val="TableText"/>
              <w:numPr>
                <w:ilvl w:val="0"/>
                <w:numId w:val="16"/>
              </w:numPr>
              <w:rPr>
                <w:rFonts w:cs="Arial"/>
                <w:iCs/>
                <w:snapToGrid w:val="0"/>
              </w:rPr>
            </w:pPr>
            <w:r w:rsidRPr="00813FBF">
              <w:rPr>
                <w:rFonts w:cs="Arial"/>
                <w:iCs/>
                <w:snapToGrid w:val="0"/>
              </w:rPr>
              <w:t xml:space="preserve">May 2022-April 2023 (post-COVID) </w:t>
            </w:r>
            <w:r>
              <w:rPr>
                <w:rFonts w:cs="Arial"/>
                <w:iCs/>
                <w:snapToGrid w:val="0"/>
              </w:rPr>
              <w:t>= 99 for</w:t>
            </w:r>
            <w:r w:rsidRPr="00813FBF">
              <w:rPr>
                <w:rFonts w:cs="Arial"/>
                <w:iCs/>
                <w:snapToGrid w:val="0"/>
              </w:rPr>
              <w:t xml:space="preserve"> CT/NG </w:t>
            </w:r>
            <w:r>
              <w:rPr>
                <w:rFonts w:cs="Arial"/>
                <w:iCs/>
                <w:snapToGrid w:val="0"/>
              </w:rPr>
              <w:t>and 71</w:t>
            </w:r>
            <w:r w:rsidRPr="00813FBF">
              <w:rPr>
                <w:rFonts w:cs="Arial"/>
                <w:iCs/>
                <w:snapToGrid w:val="0"/>
              </w:rPr>
              <w:t xml:space="preserve"> TV (170 tests combined)</w:t>
            </w:r>
            <w:r>
              <w:rPr>
                <w:rFonts w:cs="Arial"/>
                <w:iCs/>
                <w:snapToGrid w:val="0"/>
              </w:rPr>
              <w:t>.</w:t>
            </w:r>
          </w:p>
          <w:p w14:paraId="5380F8D0" w14:textId="77777777" w:rsidR="00825193" w:rsidRDefault="00825193">
            <w:pPr>
              <w:pStyle w:val="TableText"/>
              <w:rPr>
                <w:rFonts w:cs="Arial"/>
                <w:iCs/>
                <w:snapToGrid w:val="0"/>
              </w:rPr>
            </w:pPr>
            <w:r>
              <w:rPr>
                <w:rFonts w:cs="Arial"/>
                <w:iCs/>
                <w:snapToGrid w:val="0"/>
              </w:rPr>
              <w:t xml:space="preserve">The applicant </w:t>
            </w:r>
            <w:r w:rsidRPr="00BE44A5">
              <w:rPr>
                <w:rFonts w:cs="Arial"/>
                <w:iCs/>
                <w:snapToGrid w:val="0"/>
              </w:rPr>
              <w:t>expect</w:t>
            </w:r>
            <w:r>
              <w:rPr>
                <w:rFonts w:cs="Arial"/>
                <w:iCs/>
                <w:snapToGrid w:val="0"/>
              </w:rPr>
              <w:t>s</w:t>
            </w:r>
            <w:r w:rsidRPr="00BE44A5">
              <w:rPr>
                <w:rFonts w:cs="Arial"/>
                <w:iCs/>
                <w:snapToGrid w:val="0"/>
              </w:rPr>
              <w:t xml:space="preserve"> recovery to pre-COVID levels over the subsequent 2-3 years</w:t>
            </w:r>
            <w:r>
              <w:rPr>
                <w:rFonts w:cs="Arial"/>
                <w:iCs/>
                <w:snapToGrid w:val="0"/>
              </w:rPr>
              <w:t>. The estimates include re-testing at 3 months after a positive test.</w:t>
            </w:r>
          </w:p>
          <w:p w14:paraId="15D62FFD" w14:textId="77777777" w:rsidR="00825193" w:rsidRDefault="00825193">
            <w:pPr>
              <w:pStyle w:val="TableText"/>
              <w:rPr>
                <w:rFonts w:cs="Arial"/>
                <w:snapToGrid w:val="0"/>
              </w:rPr>
            </w:pPr>
          </w:p>
          <w:p w14:paraId="55B642A1" w14:textId="77777777" w:rsidR="00825193" w:rsidRPr="00CE28E3" w:rsidRDefault="00825193" w:rsidP="00D96FCD">
            <w:pPr>
              <w:pStyle w:val="TableText"/>
              <w:rPr>
                <w:rFonts w:cs="Arial"/>
                <w:snapToGrid w:val="0"/>
              </w:rPr>
            </w:pPr>
          </w:p>
        </w:tc>
      </w:tr>
    </w:tbl>
    <w:p w14:paraId="0E27644D" w14:textId="23719AAB" w:rsidR="00825193" w:rsidRDefault="00825193" w:rsidP="00825193">
      <w:pPr>
        <w:pStyle w:val="TableFigureFooter"/>
        <w:spacing w:before="0" w:after="0"/>
        <w:rPr>
          <w:szCs w:val="20"/>
        </w:rPr>
      </w:pPr>
      <w:bookmarkStart w:id="9" w:name="_Hlk68275617"/>
      <w:bookmarkEnd w:id="7"/>
      <w:r>
        <w:rPr>
          <w:szCs w:val="20"/>
        </w:rPr>
        <w:t xml:space="preserve">Source: compiled by the department based </w:t>
      </w:r>
      <w:r w:rsidR="00F56BD2">
        <w:rPr>
          <w:szCs w:val="20"/>
        </w:rPr>
        <w:t xml:space="preserve">on </w:t>
      </w:r>
      <w:r>
        <w:rPr>
          <w:szCs w:val="20"/>
        </w:rPr>
        <w:t xml:space="preserve">MSAC 1627 </w:t>
      </w:r>
      <w:r w:rsidR="00F56BD2">
        <w:rPr>
          <w:szCs w:val="20"/>
        </w:rPr>
        <w:t>PSD</w:t>
      </w:r>
      <w:r>
        <w:rPr>
          <w:szCs w:val="20"/>
        </w:rPr>
        <w:t xml:space="preserve"> and </w:t>
      </w:r>
      <w:r w:rsidR="008A0694">
        <w:rPr>
          <w:szCs w:val="20"/>
        </w:rPr>
        <w:t>a</w:t>
      </w:r>
      <w:r>
        <w:rPr>
          <w:szCs w:val="20"/>
        </w:rPr>
        <w:t>pplicant’s response to MSAC 1627 PSD</w:t>
      </w:r>
      <w:r w:rsidR="00CD0D8A">
        <w:rPr>
          <w:szCs w:val="20"/>
        </w:rPr>
        <w:t xml:space="preserve"> </w:t>
      </w:r>
    </w:p>
    <w:p w14:paraId="183FA229" w14:textId="4E53BA6C" w:rsidR="00825193" w:rsidRPr="00B443F7" w:rsidRDefault="00825193" w:rsidP="00825193">
      <w:pPr>
        <w:pStyle w:val="TableFigureFooter"/>
        <w:spacing w:before="0" w:after="0"/>
        <w:rPr>
          <w:i/>
          <w:iCs/>
          <w:szCs w:val="20"/>
        </w:rPr>
      </w:pPr>
      <w:r>
        <w:rPr>
          <w:szCs w:val="20"/>
        </w:rPr>
        <w:t xml:space="preserve"> Abbreviations: ADAR = Applicant Developed Assessment Report; CT = </w:t>
      </w:r>
      <w:r>
        <w:rPr>
          <w:i/>
          <w:iCs/>
          <w:szCs w:val="20"/>
        </w:rPr>
        <w:t xml:space="preserve">Chlamydia trachomatis; </w:t>
      </w:r>
      <w:r>
        <w:rPr>
          <w:szCs w:val="20"/>
        </w:rPr>
        <w:t xml:space="preserve">ICER = incremental cost-effectiveness ratio; MBS = Medicare Benefits Schedule; MSAC = Medical Services Advisory Committee; MM = Modified Monash category; NACCHO = National Aboriginal Community Controlled Health Organisation; NG = </w:t>
      </w:r>
      <w:r>
        <w:rPr>
          <w:i/>
          <w:iCs/>
          <w:szCs w:val="20"/>
        </w:rPr>
        <w:t>Neisseria gonorrhoeae;</w:t>
      </w:r>
      <w:r>
        <w:rPr>
          <w:szCs w:val="20"/>
        </w:rPr>
        <w:t xml:space="preserve"> P</w:t>
      </w:r>
      <w:r w:rsidR="00606A1E">
        <w:rPr>
          <w:szCs w:val="20"/>
        </w:rPr>
        <w:t>o</w:t>
      </w:r>
      <w:r>
        <w:rPr>
          <w:szCs w:val="20"/>
        </w:rPr>
        <w:t xml:space="preserve">C = point of care; </w:t>
      </w:r>
      <w:r w:rsidR="00606A1E">
        <w:rPr>
          <w:szCs w:val="20"/>
        </w:rPr>
        <w:t xml:space="preserve">PoCT = point of care testing; </w:t>
      </w:r>
      <w:r>
        <w:rPr>
          <w:szCs w:val="20"/>
        </w:rPr>
        <w:t xml:space="preserve">PSD = Public Summary Document: </w:t>
      </w:r>
      <w:bookmarkEnd w:id="5"/>
      <w:bookmarkEnd w:id="9"/>
      <w:r>
        <w:rPr>
          <w:szCs w:val="20"/>
        </w:rPr>
        <w:t xml:space="preserve">TV = </w:t>
      </w:r>
      <w:r>
        <w:rPr>
          <w:i/>
          <w:iCs/>
          <w:szCs w:val="20"/>
        </w:rPr>
        <w:t>Trichomonas vaginalis</w:t>
      </w:r>
    </w:p>
    <w:p w14:paraId="6F52500A" w14:textId="178CF537" w:rsidR="00772829" w:rsidRPr="00CE28E3" w:rsidRDefault="000A352D" w:rsidP="002A18BE">
      <w:pPr>
        <w:pStyle w:val="Heading2"/>
        <w:numPr>
          <w:ilvl w:val="0"/>
          <w:numId w:val="0"/>
        </w:numPr>
      </w:pPr>
      <w:bookmarkStart w:id="10" w:name="_Toc69491417"/>
      <w:bookmarkEnd w:id="3"/>
      <w:r>
        <w:t>5</w:t>
      </w:r>
      <w:r w:rsidR="00C36633">
        <w:t>.</w:t>
      </w:r>
      <w:r w:rsidR="00C36633">
        <w:tab/>
      </w:r>
      <w:r w:rsidR="00772829" w:rsidRPr="00CE28E3">
        <w:t>Prerequisites to implementation of any funding advice</w:t>
      </w:r>
      <w:bookmarkEnd w:id="10"/>
    </w:p>
    <w:p w14:paraId="19149EE3" w14:textId="5250DAAC" w:rsidR="0045567F" w:rsidRPr="000D6EAF" w:rsidRDefault="00693499" w:rsidP="0045567F">
      <w:pPr>
        <w:rPr>
          <w:color w:val="000000"/>
          <w:shd w:val="clear" w:color="auto" w:fill="FFFFFF"/>
        </w:rPr>
      </w:pPr>
      <w:r>
        <w:t xml:space="preserve">Unchanged from MSAC 1627 PSD. </w:t>
      </w:r>
      <w:r w:rsidR="0045567F" w:rsidRPr="000D6EAF">
        <w:t>Both the combined</w:t>
      </w:r>
      <w:r w:rsidR="0045567F">
        <w:t xml:space="preserve"> Xpert</w:t>
      </w:r>
      <w:r w:rsidR="0045567F" w:rsidRPr="000D6EAF">
        <w:t xml:space="preserve"> CT/NG </w:t>
      </w:r>
      <w:r w:rsidR="005F53A0">
        <w:t>P</w:t>
      </w:r>
      <w:r w:rsidR="00606A1E">
        <w:t>o</w:t>
      </w:r>
      <w:r w:rsidR="005F53A0">
        <w:t xml:space="preserve">C </w:t>
      </w:r>
      <w:r w:rsidR="0045567F" w:rsidRPr="000D6EAF">
        <w:t xml:space="preserve">test and the </w:t>
      </w:r>
      <w:r w:rsidR="0045567F">
        <w:t xml:space="preserve">Xpert </w:t>
      </w:r>
      <w:r w:rsidR="0045567F" w:rsidRPr="000D6EAF">
        <w:t>TV P</w:t>
      </w:r>
      <w:r w:rsidR="00606A1E">
        <w:t>o</w:t>
      </w:r>
      <w:r w:rsidR="0045567F" w:rsidRPr="000D6EAF">
        <w:t xml:space="preserve">C test </w:t>
      </w:r>
      <w:r w:rsidR="0045567F">
        <w:t xml:space="preserve">are included on the Australian Register of Therapeutic Goods (ARTG; </w:t>
      </w:r>
      <w:r w:rsidR="0045567F" w:rsidRPr="0054796D">
        <w:rPr>
          <w:rFonts w:cstheme="minorHAnsi"/>
          <w:bCs/>
        </w:rPr>
        <w:t>ARTG ID 207540</w:t>
      </w:r>
      <w:r w:rsidR="0045567F" w:rsidRPr="0054796D">
        <w:rPr>
          <w:rFonts w:cstheme="minorHAnsi"/>
          <w:b/>
        </w:rPr>
        <w:t xml:space="preserve"> </w:t>
      </w:r>
      <w:r w:rsidR="0045567F" w:rsidRPr="0054796D">
        <w:rPr>
          <w:rFonts w:cstheme="minorHAnsi"/>
          <w:color w:val="000000"/>
          <w:shd w:val="clear" w:color="auto" w:fill="FFFFFF"/>
        </w:rPr>
        <w:t xml:space="preserve">Cepheid GeneXpert (CT/NG) </w:t>
      </w:r>
      <w:r w:rsidR="0045567F" w:rsidRPr="0054796D">
        <w:rPr>
          <w:rFonts w:cstheme="minorHAnsi"/>
          <w:bCs/>
        </w:rPr>
        <w:t xml:space="preserve">effective from 28/3/2013 and </w:t>
      </w:r>
      <w:r w:rsidR="0045567F" w:rsidRPr="0054796D">
        <w:rPr>
          <w:rFonts w:cstheme="minorHAnsi"/>
        </w:rPr>
        <w:t xml:space="preserve">ARTG ID 290014 </w:t>
      </w:r>
      <w:r w:rsidR="0045567F" w:rsidRPr="0054796D">
        <w:rPr>
          <w:rFonts w:cstheme="minorHAnsi"/>
          <w:color w:val="000000"/>
          <w:shd w:val="clear" w:color="auto" w:fill="FFFFFF"/>
        </w:rPr>
        <w:t>Cepheid GeneXpert (TV) from 9/6/2017</w:t>
      </w:r>
      <w:r w:rsidR="0045567F">
        <w:rPr>
          <w:rFonts w:cstheme="minorHAnsi"/>
          <w:color w:val="000000"/>
          <w:shd w:val="clear" w:color="auto" w:fill="FFFFFF"/>
        </w:rPr>
        <w:t>)</w:t>
      </w:r>
      <w:r w:rsidR="0045567F" w:rsidRPr="000D6EAF">
        <w:t xml:space="preserve">. </w:t>
      </w:r>
    </w:p>
    <w:p w14:paraId="47201F4A" w14:textId="35613A4F" w:rsidR="0045567F" w:rsidRDefault="0045567F" w:rsidP="0045567F">
      <w:r>
        <w:rPr>
          <w:color w:val="000000"/>
          <w:shd w:val="clear" w:color="auto" w:fill="FFFFFF"/>
        </w:rPr>
        <w:t>A</w:t>
      </w:r>
      <w:r w:rsidRPr="000D6EAF">
        <w:rPr>
          <w:rFonts w:cs="HelveticaNeueLTStd-Cn"/>
        </w:rPr>
        <w:t xml:space="preserve"> </w:t>
      </w:r>
      <w:r w:rsidRPr="000D6EAF">
        <w:t xml:space="preserve">quality assurance program to support pathology testing is required. </w:t>
      </w:r>
      <w:r w:rsidRPr="000D6EAF">
        <w:rPr>
          <w:rFonts w:eastAsia="HelveticaNeueLTStd-CnO"/>
        </w:rPr>
        <w:t xml:space="preserve">It is envisaged that </w:t>
      </w:r>
      <w:r w:rsidRPr="000D6EAF">
        <w:t>the management of quality assurance for P</w:t>
      </w:r>
      <w:r>
        <w:t>o</w:t>
      </w:r>
      <w:r w:rsidRPr="000D6EAF">
        <w:t>C</w:t>
      </w:r>
      <w:r>
        <w:t>T</w:t>
      </w:r>
      <w:r w:rsidRPr="000D6EAF">
        <w:t xml:space="preserve"> could be co-ordinated under a quality assurance program such as the Quality Assurance for Aboriginal and Torres Strait Islander Medical Services </w:t>
      </w:r>
      <w:r w:rsidRPr="000D6EAF">
        <w:lastRenderedPageBreak/>
        <w:t xml:space="preserve">(QAAMS) Program implemented by the Flinders University International Centre for Point of Care Testing (ICPOCT), which follows Australian guideline recommendations for </w:t>
      </w:r>
      <w:r w:rsidR="00606A1E">
        <w:t>PoCT</w:t>
      </w:r>
      <w:r w:rsidRPr="000D6EAF">
        <w:t>.</w:t>
      </w:r>
    </w:p>
    <w:p w14:paraId="5B05BADE" w14:textId="0EE9E84A" w:rsidR="007F281F" w:rsidRPr="00C918FF" w:rsidRDefault="00CF515B" w:rsidP="00CF515B">
      <w:r w:rsidRPr="00C918FF">
        <w:t>The department note</w:t>
      </w:r>
      <w:r w:rsidR="00A641A0">
        <w:t>d the following</w:t>
      </w:r>
      <w:r w:rsidRPr="00C918FF">
        <w:t xml:space="preserve"> PoCT STI</w:t>
      </w:r>
      <w:r w:rsidR="29C29177">
        <w:t xml:space="preserve"> Quality Assurance resources</w:t>
      </w:r>
      <w:r w:rsidR="007F281F" w:rsidRPr="00C918FF">
        <w:t xml:space="preserve">: </w:t>
      </w:r>
    </w:p>
    <w:p w14:paraId="2D45545F" w14:textId="3E810B64" w:rsidR="009D38C8" w:rsidRDefault="009D38C8" w:rsidP="00C918FF">
      <w:pPr>
        <w:pStyle w:val="ListParagraph"/>
        <w:numPr>
          <w:ilvl w:val="0"/>
          <w:numId w:val="21"/>
        </w:numPr>
      </w:pPr>
      <w:r w:rsidRPr="00C918FF">
        <w:t>An updated NPAAC Standard on Requirements for P</w:t>
      </w:r>
      <w:r w:rsidR="00E04774">
        <w:t>o</w:t>
      </w:r>
      <w:r w:rsidRPr="00C918FF">
        <w:t xml:space="preserve">C </w:t>
      </w:r>
      <w:r>
        <w:t xml:space="preserve">came into effect on 1 January 2022. These guidelines - </w:t>
      </w:r>
      <w:hyperlink r:id="rId12">
        <w:r>
          <w:t>Requirements for point of care testing (Second Edition 2021)</w:t>
        </w:r>
      </w:hyperlink>
      <w:r>
        <w:t xml:space="preserve"> replaced the previous guidelines (Guidelines for Point of Care Testing (First Edition 2015).</w:t>
      </w:r>
    </w:p>
    <w:p w14:paraId="16C69CC4" w14:textId="0798CCD2" w:rsidR="009D38C8" w:rsidRPr="007F281F" w:rsidRDefault="009D38C8" w:rsidP="00C918FF">
      <w:pPr>
        <w:pStyle w:val="ListParagraph"/>
        <w:numPr>
          <w:ilvl w:val="0"/>
          <w:numId w:val="21"/>
        </w:numPr>
        <w:rPr>
          <w:b/>
        </w:rPr>
      </w:pPr>
      <w:r>
        <w:t xml:space="preserve">The Royal College of Pathologists Australia Quality Assurance Programs have developed a Molecular Sexually Transmitted Pathogens program and participants using PoCT devices such as the GeneXpert can enrol and use this </w:t>
      </w:r>
      <w:r w:rsidR="730E5F4A">
        <w:t>QA</w:t>
      </w:r>
      <w:r w:rsidR="7E25C93C">
        <w:t>P</w:t>
      </w:r>
      <w:r>
        <w:t xml:space="preserve">. It </w:t>
      </w:r>
      <w:r w:rsidR="155F4729">
        <w:t>encompasses:</w:t>
      </w:r>
      <w:r>
        <w:t xml:space="preserve"> Chlamydia trachomatis, Neisseria gonorrhoea, Trachomatis vaginalis, Mycoplasma genitalium including resistan</w:t>
      </w:r>
      <w:r w:rsidR="001B3D00">
        <w:t>t</w:t>
      </w:r>
      <w:r>
        <w:t xml:space="preserve"> strains and </w:t>
      </w:r>
      <w:r w:rsidR="00752D68">
        <w:t>Herpes simplex virus</w:t>
      </w:r>
      <w:r>
        <w:t>.</w:t>
      </w:r>
    </w:p>
    <w:p w14:paraId="44C3B242" w14:textId="6B37B432" w:rsidR="00772829" w:rsidRPr="00CE28E3" w:rsidRDefault="000A352D" w:rsidP="002A18BE">
      <w:pPr>
        <w:pStyle w:val="Heading2"/>
        <w:numPr>
          <w:ilvl w:val="0"/>
          <w:numId w:val="0"/>
        </w:numPr>
      </w:pPr>
      <w:bookmarkStart w:id="11" w:name="_Toc69491418"/>
      <w:r>
        <w:t>6</w:t>
      </w:r>
      <w:r w:rsidR="00C36633">
        <w:t>.</w:t>
      </w:r>
      <w:r w:rsidR="00C36633">
        <w:tab/>
      </w:r>
      <w:r w:rsidR="00772829" w:rsidRPr="00CE28E3">
        <w:t>Proposal for public funding</w:t>
      </w:r>
      <w:bookmarkEnd w:id="11"/>
    </w:p>
    <w:p w14:paraId="418C7175" w14:textId="43FCDDFB" w:rsidR="00B568F8" w:rsidRDefault="004B3D03" w:rsidP="00B568F8">
      <w:pPr>
        <w:pStyle w:val="Default"/>
        <w:rPr>
          <w:rFonts w:ascii="Franklin Gothic Book" w:hAnsi="Franklin Gothic Book"/>
          <w:sz w:val="22"/>
          <w:szCs w:val="22"/>
        </w:rPr>
      </w:pPr>
      <w:r w:rsidRPr="00C918FF">
        <w:rPr>
          <w:rFonts w:ascii="Franklin Gothic Book" w:hAnsi="Franklin Gothic Book"/>
          <w:sz w:val="22"/>
          <w:szCs w:val="22"/>
        </w:rPr>
        <w:t>The applicant’s response</w:t>
      </w:r>
      <w:r w:rsidR="006231FE">
        <w:rPr>
          <w:rFonts w:ascii="Franklin Gothic Book" w:hAnsi="Franklin Gothic Book"/>
          <w:sz w:val="22"/>
          <w:szCs w:val="22"/>
        </w:rPr>
        <w:t xml:space="preserve"> </w:t>
      </w:r>
      <w:r w:rsidRPr="00C918FF">
        <w:rPr>
          <w:rFonts w:ascii="Franklin Gothic Book" w:hAnsi="Franklin Gothic Book"/>
          <w:sz w:val="22"/>
          <w:szCs w:val="22"/>
        </w:rPr>
        <w:t>propose</w:t>
      </w:r>
      <w:r w:rsidR="003B2757">
        <w:rPr>
          <w:rFonts w:ascii="Franklin Gothic Book" w:hAnsi="Franklin Gothic Book"/>
          <w:sz w:val="22"/>
          <w:szCs w:val="22"/>
        </w:rPr>
        <w:t>d</w:t>
      </w:r>
      <w:r w:rsidRPr="00C918FF">
        <w:rPr>
          <w:rFonts w:ascii="Franklin Gothic Book" w:hAnsi="Franklin Gothic Book"/>
          <w:sz w:val="22"/>
          <w:szCs w:val="22"/>
        </w:rPr>
        <w:t xml:space="preserve"> three items. Two </w:t>
      </w:r>
      <w:r w:rsidR="003B2757">
        <w:rPr>
          <w:rFonts w:ascii="Franklin Gothic Book" w:hAnsi="Franklin Gothic Book"/>
          <w:sz w:val="22"/>
          <w:szCs w:val="22"/>
        </w:rPr>
        <w:t xml:space="preserve">separate </w:t>
      </w:r>
      <w:r w:rsidRPr="00C918FF">
        <w:rPr>
          <w:rFonts w:ascii="Franklin Gothic Book" w:hAnsi="Franklin Gothic Book"/>
          <w:sz w:val="22"/>
          <w:szCs w:val="22"/>
        </w:rPr>
        <w:t xml:space="preserve">MBS items </w:t>
      </w:r>
      <w:r w:rsidR="001E72FA">
        <w:rPr>
          <w:rFonts w:ascii="Franklin Gothic Book" w:hAnsi="Franklin Gothic Book"/>
          <w:sz w:val="22"/>
          <w:szCs w:val="22"/>
        </w:rPr>
        <w:t xml:space="preserve">are proposed </w:t>
      </w:r>
      <w:r w:rsidRPr="00C918FF">
        <w:rPr>
          <w:rFonts w:ascii="Franklin Gothic Book" w:hAnsi="Franklin Gothic Book"/>
          <w:sz w:val="22"/>
          <w:szCs w:val="22"/>
        </w:rPr>
        <w:t xml:space="preserve">for </w:t>
      </w:r>
      <w:r w:rsidR="001E72FA">
        <w:rPr>
          <w:rFonts w:ascii="Franklin Gothic Book" w:hAnsi="Franklin Gothic Book"/>
          <w:sz w:val="22"/>
          <w:szCs w:val="22"/>
        </w:rPr>
        <w:t xml:space="preserve">the </w:t>
      </w:r>
      <w:r w:rsidRPr="00C918FF">
        <w:rPr>
          <w:rFonts w:ascii="Franklin Gothic Book" w:hAnsi="Franklin Gothic Book"/>
          <w:sz w:val="22"/>
          <w:szCs w:val="22"/>
        </w:rPr>
        <w:t xml:space="preserve">CT/NG (item XXX) and TV (item YYY) </w:t>
      </w:r>
      <w:r w:rsidR="00031A3C">
        <w:rPr>
          <w:rFonts w:ascii="Franklin Gothic Book" w:hAnsi="Franklin Gothic Book"/>
          <w:sz w:val="22"/>
          <w:szCs w:val="22"/>
        </w:rPr>
        <w:t>PoCT</w:t>
      </w:r>
      <w:r w:rsidR="00CE6C7B">
        <w:rPr>
          <w:rFonts w:ascii="Franklin Gothic Book" w:hAnsi="Franklin Gothic Book"/>
          <w:sz w:val="22"/>
          <w:szCs w:val="22"/>
        </w:rPr>
        <w:t>,</w:t>
      </w:r>
      <w:r w:rsidR="00031A3C">
        <w:rPr>
          <w:rFonts w:ascii="Franklin Gothic Book" w:hAnsi="Franklin Gothic Book"/>
          <w:sz w:val="22"/>
          <w:szCs w:val="22"/>
        </w:rPr>
        <w:t xml:space="preserve"> </w:t>
      </w:r>
      <w:r w:rsidRPr="00C918FF">
        <w:rPr>
          <w:rFonts w:ascii="Franklin Gothic Book" w:hAnsi="Franklin Gothic Book"/>
          <w:sz w:val="22"/>
          <w:szCs w:val="22"/>
        </w:rPr>
        <w:t>which cover the cost of the test cartridge and transport</w:t>
      </w:r>
      <w:r w:rsidR="00AE1786">
        <w:rPr>
          <w:rFonts w:ascii="Franklin Gothic Book" w:hAnsi="Franklin Gothic Book"/>
          <w:sz w:val="22"/>
          <w:szCs w:val="22"/>
        </w:rPr>
        <w:t>. In addition</w:t>
      </w:r>
      <w:r w:rsidR="001E72FA">
        <w:rPr>
          <w:rFonts w:ascii="Franklin Gothic Book" w:hAnsi="Franklin Gothic Book"/>
          <w:sz w:val="22"/>
          <w:szCs w:val="22"/>
        </w:rPr>
        <w:t xml:space="preserve">, </w:t>
      </w:r>
      <w:r w:rsidR="00E65CD3">
        <w:rPr>
          <w:rFonts w:ascii="Franklin Gothic Book" w:hAnsi="Franklin Gothic Book"/>
          <w:sz w:val="22"/>
          <w:szCs w:val="22"/>
        </w:rPr>
        <w:t>a</w:t>
      </w:r>
      <w:r w:rsidRPr="00C918FF">
        <w:rPr>
          <w:rFonts w:ascii="Franklin Gothic Book" w:hAnsi="Franklin Gothic Book"/>
          <w:sz w:val="22"/>
          <w:szCs w:val="22"/>
        </w:rPr>
        <w:t xml:space="preserve"> </w:t>
      </w:r>
      <w:r w:rsidR="00885391" w:rsidRPr="00C918FF">
        <w:rPr>
          <w:rFonts w:ascii="Franklin Gothic Book" w:hAnsi="Franklin Gothic Book"/>
          <w:sz w:val="22"/>
          <w:szCs w:val="22"/>
        </w:rPr>
        <w:t>‘miscellaneous’ item</w:t>
      </w:r>
      <w:r w:rsidR="00E65CD3">
        <w:rPr>
          <w:rFonts w:ascii="Franklin Gothic Book" w:hAnsi="Franklin Gothic Book"/>
          <w:sz w:val="22"/>
          <w:szCs w:val="22"/>
        </w:rPr>
        <w:t xml:space="preserve"> is proposed</w:t>
      </w:r>
      <w:r w:rsidR="00885391" w:rsidRPr="00C918FF">
        <w:rPr>
          <w:rFonts w:ascii="Franklin Gothic Book" w:hAnsi="Franklin Gothic Book"/>
          <w:sz w:val="22"/>
          <w:szCs w:val="22"/>
        </w:rPr>
        <w:t xml:space="preserve"> for the purposes of a ‘service fee’</w:t>
      </w:r>
      <w:r w:rsidR="00E563AD">
        <w:rPr>
          <w:rFonts w:ascii="Franklin Gothic Book" w:hAnsi="Franklin Gothic Book"/>
          <w:sz w:val="22"/>
          <w:szCs w:val="22"/>
        </w:rPr>
        <w:t xml:space="preserve"> </w:t>
      </w:r>
      <w:r w:rsidR="00885391" w:rsidRPr="00C918FF">
        <w:rPr>
          <w:rFonts w:ascii="Franklin Gothic Book" w:hAnsi="Franklin Gothic Book"/>
          <w:sz w:val="22"/>
          <w:szCs w:val="22"/>
        </w:rPr>
        <w:t>(item ZZZ)</w:t>
      </w:r>
      <w:r w:rsidR="001852E8">
        <w:rPr>
          <w:rFonts w:ascii="Franklin Gothic Book" w:hAnsi="Franklin Gothic Book"/>
          <w:sz w:val="22"/>
          <w:szCs w:val="22"/>
        </w:rPr>
        <w:t>,</w:t>
      </w:r>
      <w:r w:rsidR="00885391" w:rsidRPr="00C918FF">
        <w:rPr>
          <w:rFonts w:ascii="Franklin Gothic Book" w:hAnsi="Franklin Gothic Book"/>
          <w:sz w:val="22"/>
          <w:szCs w:val="22"/>
        </w:rPr>
        <w:t xml:space="preserve"> which covers staff time/costs for performing the test</w:t>
      </w:r>
      <w:r w:rsidR="00B568F8" w:rsidRPr="00C918FF">
        <w:rPr>
          <w:rFonts w:ascii="Franklin Gothic Book" w:hAnsi="Franklin Gothic Book"/>
          <w:sz w:val="22"/>
          <w:szCs w:val="22"/>
        </w:rPr>
        <w:t xml:space="preserve">, who may not necessarily be a clinician </w:t>
      </w:r>
      <w:r w:rsidR="00885391" w:rsidRPr="00C918FF">
        <w:rPr>
          <w:rFonts w:ascii="Franklin Gothic Book" w:hAnsi="Franklin Gothic Book"/>
          <w:sz w:val="22"/>
          <w:szCs w:val="22"/>
        </w:rPr>
        <w:t>(see</w:t>
      </w:r>
      <w:r w:rsidR="00B568F8" w:rsidRPr="00C918FF">
        <w:rPr>
          <w:rFonts w:ascii="Franklin Gothic Book" w:hAnsi="Franklin Gothic Book"/>
          <w:sz w:val="22"/>
          <w:szCs w:val="22"/>
        </w:rPr>
        <w:t xml:space="preserve"> </w:t>
      </w:r>
      <w:r w:rsidR="00FD71C8">
        <w:rPr>
          <w:rFonts w:ascii="Franklin Gothic Book" w:hAnsi="Franklin Gothic Book"/>
          <w:sz w:val="22"/>
          <w:szCs w:val="22"/>
        </w:rPr>
        <w:fldChar w:fldCharType="begin"/>
      </w:r>
      <w:r w:rsidR="00FD71C8">
        <w:rPr>
          <w:rFonts w:ascii="Franklin Gothic Book" w:hAnsi="Franklin Gothic Book"/>
          <w:sz w:val="22"/>
          <w:szCs w:val="22"/>
        </w:rPr>
        <w:instrText xml:space="preserve"> REF _Ref147778195 \h  \* MERGEFORMAT </w:instrText>
      </w:r>
      <w:r w:rsidR="00FD71C8">
        <w:rPr>
          <w:rFonts w:ascii="Franklin Gothic Book" w:hAnsi="Franklin Gothic Book"/>
          <w:sz w:val="22"/>
          <w:szCs w:val="22"/>
        </w:rPr>
      </w:r>
      <w:r w:rsidR="00FD71C8">
        <w:rPr>
          <w:rFonts w:ascii="Franklin Gothic Book" w:hAnsi="Franklin Gothic Book"/>
          <w:sz w:val="22"/>
          <w:szCs w:val="22"/>
        </w:rPr>
        <w:fldChar w:fldCharType="separate"/>
      </w:r>
      <w:r w:rsidR="00DE2A83" w:rsidRPr="00AD4793">
        <w:rPr>
          <w:rFonts w:ascii="Franklin Gothic Book" w:hAnsi="Franklin Gothic Book"/>
          <w:sz w:val="22"/>
          <w:szCs w:val="22"/>
        </w:rPr>
        <w:t>Table 2</w:t>
      </w:r>
      <w:r w:rsidR="00FD71C8">
        <w:rPr>
          <w:rFonts w:ascii="Franklin Gothic Book" w:hAnsi="Franklin Gothic Book"/>
          <w:sz w:val="22"/>
          <w:szCs w:val="22"/>
        </w:rPr>
        <w:fldChar w:fldCharType="end"/>
      </w:r>
      <w:r w:rsidR="00885391" w:rsidRPr="00C918FF">
        <w:rPr>
          <w:rFonts w:ascii="Franklin Gothic Book" w:hAnsi="Franklin Gothic Book"/>
          <w:sz w:val="22"/>
          <w:szCs w:val="22"/>
        </w:rPr>
        <w:t>)</w:t>
      </w:r>
      <w:r w:rsidR="00B568F8" w:rsidRPr="00C918FF">
        <w:rPr>
          <w:rFonts w:ascii="Franklin Gothic Book" w:hAnsi="Franklin Gothic Book"/>
          <w:sz w:val="22"/>
          <w:szCs w:val="22"/>
        </w:rPr>
        <w:t>.</w:t>
      </w:r>
    </w:p>
    <w:p w14:paraId="799E2401" w14:textId="5308C12C" w:rsidR="00D847B3" w:rsidRDefault="00065676" w:rsidP="000A352D">
      <w:pPr>
        <w:pStyle w:val="Default"/>
        <w:spacing w:before="240" w:after="59"/>
        <w:rPr>
          <w:rFonts w:ascii="Franklin Gothic Book" w:hAnsi="Franklin Gothic Book"/>
          <w:sz w:val="23"/>
          <w:szCs w:val="23"/>
        </w:rPr>
      </w:pPr>
      <w:r>
        <w:rPr>
          <w:rFonts w:ascii="Franklin Gothic Book" w:hAnsi="Franklin Gothic Book"/>
          <w:sz w:val="23"/>
          <w:szCs w:val="23"/>
        </w:rPr>
        <w:t xml:space="preserve">The three items proposed in </w:t>
      </w:r>
      <w:r w:rsidR="00365CC9">
        <w:rPr>
          <w:rFonts w:ascii="Franklin Gothic Book" w:hAnsi="Franklin Gothic Book"/>
          <w:sz w:val="23"/>
          <w:szCs w:val="23"/>
        </w:rPr>
        <w:t>applicant’s response</w:t>
      </w:r>
      <w:r>
        <w:rPr>
          <w:rFonts w:ascii="Franklin Gothic Book" w:hAnsi="Franklin Gothic Book"/>
          <w:sz w:val="23"/>
          <w:szCs w:val="23"/>
        </w:rPr>
        <w:t xml:space="preserve"> are different to the proposed MBS items previously considered by MSAC </w:t>
      </w:r>
      <w:r w:rsidR="00D847B3">
        <w:rPr>
          <w:rFonts w:ascii="Franklin Gothic Book" w:hAnsi="Franklin Gothic Book"/>
          <w:sz w:val="23"/>
          <w:szCs w:val="23"/>
        </w:rPr>
        <w:t>in November 2022</w:t>
      </w:r>
      <w:r w:rsidR="0086134A">
        <w:rPr>
          <w:rFonts w:ascii="Franklin Gothic Book" w:hAnsi="Franklin Gothic Book"/>
          <w:sz w:val="23"/>
          <w:szCs w:val="23"/>
        </w:rPr>
        <w:t xml:space="preserve"> (refer to</w:t>
      </w:r>
      <w:r w:rsidR="0050531D">
        <w:rPr>
          <w:rFonts w:ascii="Franklin Gothic Book" w:hAnsi="Franklin Gothic Book"/>
          <w:sz w:val="23"/>
          <w:szCs w:val="23"/>
        </w:rPr>
        <w:t xml:space="preserve"> Table 1 in </w:t>
      </w:r>
      <w:hyperlink r:id="rId13" w:history="1">
        <w:r w:rsidR="0050531D" w:rsidRPr="00846B3F">
          <w:rPr>
            <w:rStyle w:val="Hyperlink"/>
            <w:rFonts w:ascii="Franklin Gothic Book" w:hAnsi="Franklin Gothic Book"/>
            <w:sz w:val="23"/>
            <w:szCs w:val="23"/>
          </w:rPr>
          <w:t>MSAC 1627 PSD</w:t>
        </w:r>
      </w:hyperlink>
      <w:r w:rsidR="0050531D">
        <w:rPr>
          <w:rFonts w:ascii="Franklin Gothic Book" w:hAnsi="Franklin Gothic Book"/>
          <w:sz w:val="23"/>
          <w:szCs w:val="23"/>
        </w:rPr>
        <w:t>)</w:t>
      </w:r>
      <w:r w:rsidR="00CB63EC">
        <w:rPr>
          <w:rFonts w:ascii="Franklin Gothic Book" w:hAnsi="Franklin Gothic Book"/>
          <w:sz w:val="23"/>
          <w:szCs w:val="23"/>
        </w:rPr>
        <w:t>. The key differences are:</w:t>
      </w:r>
    </w:p>
    <w:p w14:paraId="4D28BF68" w14:textId="7BD7955F" w:rsidR="00475B32" w:rsidRDefault="00D847B3" w:rsidP="00D847B3">
      <w:pPr>
        <w:pStyle w:val="Default"/>
        <w:numPr>
          <w:ilvl w:val="0"/>
          <w:numId w:val="15"/>
        </w:numPr>
        <w:spacing w:after="59"/>
        <w:rPr>
          <w:rFonts w:ascii="Franklin Gothic Book" w:hAnsi="Franklin Gothic Book"/>
          <w:sz w:val="23"/>
          <w:szCs w:val="23"/>
        </w:rPr>
      </w:pPr>
      <w:r>
        <w:rPr>
          <w:rFonts w:ascii="Franklin Gothic Book" w:hAnsi="Franklin Gothic Book"/>
          <w:sz w:val="23"/>
          <w:szCs w:val="23"/>
        </w:rPr>
        <w:t>The cos</w:t>
      </w:r>
      <w:r w:rsidR="00CB63EC">
        <w:rPr>
          <w:rFonts w:ascii="Franklin Gothic Book" w:hAnsi="Franklin Gothic Book"/>
          <w:sz w:val="23"/>
          <w:szCs w:val="23"/>
        </w:rPr>
        <w:t>ts</w:t>
      </w:r>
      <w:r w:rsidR="00475B32">
        <w:rPr>
          <w:rFonts w:ascii="Franklin Gothic Book" w:hAnsi="Franklin Gothic Book"/>
          <w:sz w:val="23"/>
          <w:szCs w:val="23"/>
        </w:rPr>
        <w:t xml:space="preserve"> for the</w:t>
      </w:r>
      <w:r w:rsidR="00875FEE" w:rsidRPr="0067337D">
        <w:rPr>
          <w:rFonts w:ascii="Franklin Gothic Book" w:hAnsi="Franklin Gothic Book"/>
          <w:sz w:val="23"/>
          <w:szCs w:val="23"/>
        </w:rPr>
        <w:t xml:space="preserve"> PoCT nucleic acid amplification techniques (NAAT) </w:t>
      </w:r>
      <w:r w:rsidR="00475B32">
        <w:rPr>
          <w:rFonts w:ascii="Franklin Gothic Book" w:hAnsi="Franklin Gothic Book"/>
          <w:sz w:val="23"/>
          <w:szCs w:val="23"/>
        </w:rPr>
        <w:t>have been</w:t>
      </w:r>
      <w:r w:rsidR="00875FEE" w:rsidRPr="0067337D">
        <w:rPr>
          <w:rFonts w:ascii="Franklin Gothic Book" w:hAnsi="Franklin Gothic Book"/>
          <w:sz w:val="23"/>
          <w:szCs w:val="23"/>
        </w:rPr>
        <w:t xml:space="preserve"> split out into two components</w:t>
      </w:r>
      <w:r w:rsidR="009763C8">
        <w:rPr>
          <w:rFonts w:ascii="Franklin Gothic Book" w:hAnsi="Franklin Gothic Book"/>
          <w:sz w:val="23"/>
          <w:szCs w:val="23"/>
        </w:rPr>
        <w:t>:</w:t>
      </w:r>
    </w:p>
    <w:p w14:paraId="391AD667" w14:textId="76AC38AB" w:rsidR="00900EE5" w:rsidRDefault="59C43062" w:rsidP="00475B32">
      <w:pPr>
        <w:pStyle w:val="Default"/>
        <w:numPr>
          <w:ilvl w:val="1"/>
          <w:numId w:val="15"/>
        </w:numPr>
        <w:spacing w:after="59"/>
        <w:rPr>
          <w:rFonts w:ascii="Franklin Gothic Book" w:hAnsi="Franklin Gothic Book"/>
          <w:sz w:val="23"/>
          <w:szCs w:val="23"/>
        </w:rPr>
      </w:pPr>
      <w:r w:rsidRPr="5C969EC6">
        <w:rPr>
          <w:rFonts w:ascii="Franklin Gothic Book" w:hAnsi="Franklin Gothic Book"/>
          <w:sz w:val="23"/>
          <w:szCs w:val="23"/>
        </w:rPr>
        <w:t>Pathology P9 – simple basic pathology</w:t>
      </w:r>
      <w:r w:rsidR="00875FEE" w:rsidRPr="0067337D">
        <w:rPr>
          <w:rFonts w:ascii="Franklin Gothic Book" w:hAnsi="Franklin Gothic Book"/>
          <w:sz w:val="23"/>
          <w:szCs w:val="23"/>
        </w:rPr>
        <w:t xml:space="preserve"> item(s) (item XXX for NG</w:t>
      </w:r>
      <w:r w:rsidR="004C42E3">
        <w:rPr>
          <w:rFonts w:ascii="Franklin Gothic Book" w:hAnsi="Franklin Gothic Book"/>
          <w:sz w:val="23"/>
          <w:szCs w:val="23"/>
        </w:rPr>
        <w:t>/</w:t>
      </w:r>
      <w:r w:rsidR="00875FEE" w:rsidRPr="0067337D">
        <w:rPr>
          <w:rFonts w:ascii="Franklin Gothic Book" w:hAnsi="Franklin Gothic Book"/>
          <w:sz w:val="23"/>
          <w:szCs w:val="23"/>
        </w:rPr>
        <w:t>CT and</w:t>
      </w:r>
      <w:r w:rsidR="004C42E3">
        <w:rPr>
          <w:rFonts w:ascii="Franklin Gothic Book" w:hAnsi="Franklin Gothic Book"/>
          <w:sz w:val="23"/>
          <w:szCs w:val="23"/>
        </w:rPr>
        <w:t xml:space="preserve"> </w:t>
      </w:r>
      <w:r w:rsidR="00875FEE" w:rsidRPr="0067337D">
        <w:rPr>
          <w:rFonts w:ascii="Franklin Gothic Book" w:hAnsi="Franklin Gothic Book"/>
          <w:sz w:val="23"/>
          <w:szCs w:val="23"/>
        </w:rPr>
        <w:t xml:space="preserve">item YYY for TV) for the cost of the test cartridge and transport, </w:t>
      </w:r>
    </w:p>
    <w:p w14:paraId="363AF9C9" w14:textId="1BAF2D21" w:rsidR="00875FEE" w:rsidRPr="0067337D" w:rsidRDefault="00786503" w:rsidP="00C918FF">
      <w:pPr>
        <w:pStyle w:val="Default"/>
        <w:numPr>
          <w:ilvl w:val="1"/>
          <w:numId w:val="15"/>
        </w:numPr>
        <w:spacing w:after="59"/>
        <w:rPr>
          <w:rFonts w:ascii="Franklin Gothic Book" w:hAnsi="Franklin Gothic Book"/>
          <w:sz w:val="23"/>
          <w:szCs w:val="23"/>
        </w:rPr>
      </w:pPr>
      <w:r>
        <w:rPr>
          <w:rFonts w:ascii="Franklin Gothic Book" w:hAnsi="Franklin Gothic Book"/>
          <w:sz w:val="23"/>
          <w:szCs w:val="23"/>
        </w:rPr>
        <w:t>M</w:t>
      </w:r>
      <w:r w:rsidR="00875FEE" w:rsidRPr="0067337D">
        <w:rPr>
          <w:rFonts w:ascii="Franklin Gothic Book" w:hAnsi="Franklin Gothic Book"/>
          <w:sz w:val="23"/>
          <w:szCs w:val="23"/>
        </w:rPr>
        <w:t xml:space="preserve">iscellaneous </w:t>
      </w:r>
      <w:r w:rsidR="00900EE5">
        <w:rPr>
          <w:rFonts w:ascii="Franklin Gothic Book" w:hAnsi="Franklin Gothic Book"/>
          <w:sz w:val="23"/>
          <w:szCs w:val="23"/>
        </w:rPr>
        <w:t xml:space="preserve">MBS </w:t>
      </w:r>
      <w:r w:rsidR="00875FEE" w:rsidRPr="0067337D">
        <w:rPr>
          <w:rFonts w:ascii="Franklin Gothic Book" w:hAnsi="Franklin Gothic Book"/>
          <w:sz w:val="23"/>
          <w:szCs w:val="23"/>
        </w:rPr>
        <w:t xml:space="preserve">item </w:t>
      </w:r>
      <w:r>
        <w:rPr>
          <w:rFonts w:ascii="Franklin Gothic Book" w:hAnsi="Franklin Gothic Book"/>
          <w:sz w:val="23"/>
          <w:szCs w:val="23"/>
        </w:rPr>
        <w:t xml:space="preserve">accounting </w:t>
      </w:r>
      <w:r w:rsidR="00875FEE" w:rsidRPr="0067337D">
        <w:rPr>
          <w:rFonts w:ascii="Franklin Gothic Book" w:hAnsi="Franklin Gothic Book"/>
          <w:sz w:val="23"/>
          <w:szCs w:val="23"/>
        </w:rPr>
        <w:t xml:space="preserve">for </w:t>
      </w:r>
      <w:r>
        <w:rPr>
          <w:rFonts w:ascii="Franklin Gothic Book" w:hAnsi="Franklin Gothic Book"/>
          <w:sz w:val="23"/>
          <w:szCs w:val="23"/>
        </w:rPr>
        <w:t xml:space="preserve">20 minutes </w:t>
      </w:r>
      <w:r w:rsidR="00BD483C">
        <w:rPr>
          <w:rFonts w:ascii="Franklin Gothic Book" w:hAnsi="Franklin Gothic Book"/>
          <w:sz w:val="23"/>
          <w:szCs w:val="23"/>
        </w:rPr>
        <w:t xml:space="preserve">staff time for </w:t>
      </w:r>
      <w:r w:rsidR="00875FEE" w:rsidRPr="0067337D">
        <w:rPr>
          <w:rFonts w:ascii="Franklin Gothic Book" w:hAnsi="Franklin Gothic Book"/>
          <w:sz w:val="23"/>
          <w:szCs w:val="23"/>
        </w:rPr>
        <w:t xml:space="preserve">the health worker to conduct the test (item ZZZ). </w:t>
      </w:r>
    </w:p>
    <w:p w14:paraId="0F8D67B8" w14:textId="3397D792" w:rsidR="00875FEE" w:rsidRPr="0067337D" w:rsidRDefault="007D5C20" w:rsidP="00C918FF">
      <w:pPr>
        <w:pStyle w:val="Default"/>
        <w:numPr>
          <w:ilvl w:val="0"/>
          <w:numId w:val="15"/>
        </w:numPr>
        <w:spacing w:after="59"/>
        <w:rPr>
          <w:rFonts w:ascii="Franklin Gothic Book" w:hAnsi="Franklin Gothic Book"/>
          <w:sz w:val="23"/>
          <w:szCs w:val="23"/>
        </w:rPr>
      </w:pPr>
      <w:r>
        <w:rPr>
          <w:rFonts w:ascii="Franklin Gothic Book" w:hAnsi="Franklin Gothic Book"/>
          <w:sz w:val="23"/>
          <w:szCs w:val="23"/>
        </w:rPr>
        <w:t>The</w:t>
      </w:r>
      <w:r w:rsidR="00875FEE" w:rsidRPr="0067337D">
        <w:rPr>
          <w:rFonts w:ascii="Franklin Gothic Book" w:hAnsi="Franklin Gothic Book"/>
          <w:sz w:val="23"/>
          <w:szCs w:val="23"/>
        </w:rPr>
        <w:t xml:space="preserve"> </w:t>
      </w:r>
      <w:r>
        <w:rPr>
          <w:rFonts w:ascii="Franklin Gothic Book" w:hAnsi="Franklin Gothic Book"/>
          <w:sz w:val="23"/>
          <w:szCs w:val="23"/>
        </w:rPr>
        <w:t>propose</w:t>
      </w:r>
      <w:r w:rsidR="002C6AA4">
        <w:rPr>
          <w:rFonts w:ascii="Franklin Gothic Book" w:hAnsi="Franklin Gothic Book"/>
          <w:sz w:val="23"/>
          <w:szCs w:val="23"/>
        </w:rPr>
        <w:t>d</w:t>
      </w:r>
      <w:r w:rsidR="00875FEE" w:rsidRPr="0067337D">
        <w:rPr>
          <w:rFonts w:ascii="Franklin Gothic Book" w:hAnsi="Franklin Gothic Book"/>
          <w:sz w:val="23"/>
          <w:szCs w:val="23"/>
        </w:rPr>
        <w:t xml:space="preserve"> price for PoCT testing </w:t>
      </w:r>
      <w:r>
        <w:rPr>
          <w:rFonts w:ascii="Franklin Gothic Book" w:hAnsi="Franklin Gothic Book"/>
          <w:sz w:val="23"/>
          <w:szCs w:val="23"/>
        </w:rPr>
        <w:t xml:space="preserve">has been reduced </w:t>
      </w:r>
      <w:r w:rsidR="00875FEE" w:rsidRPr="0067337D">
        <w:rPr>
          <w:rFonts w:ascii="Franklin Gothic Book" w:hAnsi="Franklin Gothic Book"/>
          <w:sz w:val="23"/>
          <w:szCs w:val="23"/>
        </w:rPr>
        <w:t>(total proposed fee $106.45 each for CT/NG and TV tests</w:t>
      </w:r>
      <w:r w:rsidR="79CC38EB" w:rsidRPr="0067337D">
        <w:rPr>
          <w:rFonts w:ascii="Franklin Gothic Book" w:hAnsi="Franklin Gothic Book"/>
          <w:sz w:val="23"/>
          <w:szCs w:val="23"/>
        </w:rPr>
        <w:t>)</w:t>
      </w:r>
      <w:r w:rsidR="00875FEE" w:rsidRPr="0067337D">
        <w:rPr>
          <w:rFonts w:ascii="Franklin Gothic Book" w:hAnsi="Franklin Gothic Book"/>
          <w:sz w:val="23"/>
          <w:szCs w:val="23"/>
        </w:rPr>
        <w:t>; compared to previous proposed fee of $150 and $115, respectively</w:t>
      </w:r>
      <w:r w:rsidR="001E65BA">
        <w:rPr>
          <w:rFonts w:ascii="Franklin Gothic Book" w:hAnsi="Franklin Gothic Book"/>
          <w:sz w:val="23"/>
          <w:szCs w:val="23"/>
        </w:rPr>
        <w:t xml:space="preserve">; see </w:t>
      </w:r>
      <w:r w:rsidR="00774F38">
        <w:rPr>
          <w:rFonts w:ascii="Franklin Gothic Book" w:hAnsi="Franklin Gothic Book"/>
          <w:sz w:val="23"/>
          <w:szCs w:val="23"/>
        </w:rPr>
        <w:fldChar w:fldCharType="begin"/>
      </w:r>
      <w:r w:rsidR="00774F38">
        <w:rPr>
          <w:rFonts w:ascii="Franklin Gothic Book" w:hAnsi="Franklin Gothic Book"/>
          <w:sz w:val="23"/>
          <w:szCs w:val="23"/>
        </w:rPr>
        <w:instrText xml:space="preserve"> REF _Ref147781677 \h  \* MERGEFORMAT </w:instrText>
      </w:r>
      <w:r w:rsidR="00774F38">
        <w:rPr>
          <w:rFonts w:ascii="Franklin Gothic Book" w:hAnsi="Franklin Gothic Book"/>
          <w:sz w:val="23"/>
          <w:szCs w:val="23"/>
        </w:rPr>
      </w:r>
      <w:r w:rsidR="00774F38">
        <w:rPr>
          <w:rFonts w:ascii="Franklin Gothic Book" w:hAnsi="Franklin Gothic Book"/>
          <w:sz w:val="23"/>
          <w:szCs w:val="23"/>
        </w:rPr>
        <w:fldChar w:fldCharType="separate"/>
      </w:r>
      <w:r w:rsidR="00DE2A83" w:rsidRPr="00AD4793">
        <w:rPr>
          <w:rFonts w:ascii="Franklin Gothic Book" w:hAnsi="Franklin Gothic Book"/>
          <w:sz w:val="23"/>
          <w:szCs w:val="23"/>
        </w:rPr>
        <w:t>Table 3</w:t>
      </w:r>
      <w:r w:rsidR="00774F38">
        <w:rPr>
          <w:rFonts w:ascii="Franklin Gothic Book" w:hAnsi="Franklin Gothic Book"/>
          <w:sz w:val="23"/>
          <w:szCs w:val="23"/>
        </w:rPr>
        <w:fldChar w:fldCharType="end"/>
      </w:r>
      <w:r w:rsidR="00875FEE" w:rsidRPr="0067337D">
        <w:rPr>
          <w:rFonts w:ascii="Franklin Gothic Book" w:hAnsi="Franklin Gothic Book"/>
          <w:sz w:val="23"/>
          <w:szCs w:val="23"/>
        </w:rPr>
        <w:t xml:space="preserve">. </w:t>
      </w:r>
    </w:p>
    <w:p w14:paraId="4B6E43F1" w14:textId="2BEB8FD8" w:rsidR="00B61F9E" w:rsidRPr="00B61F9E" w:rsidRDefault="00875FEE" w:rsidP="00B61F9E">
      <w:pPr>
        <w:pStyle w:val="Default"/>
        <w:numPr>
          <w:ilvl w:val="0"/>
          <w:numId w:val="15"/>
        </w:numPr>
        <w:rPr>
          <w:rFonts w:ascii="Franklin Gothic Book" w:hAnsi="Franklin Gothic Book"/>
          <w:sz w:val="23"/>
          <w:szCs w:val="23"/>
        </w:rPr>
      </w:pPr>
      <w:r w:rsidRPr="0067337D">
        <w:rPr>
          <w:rFonts w:ascii="Franklin Gothic Book" w:hAnsi="Franklin Gothic Book"/>
          <w:sz w:val="23"/>
          <w:szCs w:val="23"/>
        </w:rPr>
        <w:t xml:space="preserve">Limiting the </w:t>
      </w:r>
      <w:r w:rsidR="00E04774" w:rsidRPr="00E04774">
        <w:rPr>
          <w:rFonts w:ascii="Franklin Gothic Book" w:hAnsi="Franklin Gothic Book"/>
          <w:sz w:val="23"/>
          <w:szCs w:val="23"/>
        </w:rPr>
        <w:t>PoCT</w:t>
      </w:r>
      <w:r w:rsidR="00E04774">
        <w:rPr>
          <w:rFonts w:ascii="Franklin Gothic Book" w:hAnsi="Franklin Gothic Book"/>
          <w:sz w:val="23"/>
          <w:szCs w:val="23"/>
        </w:rPr>
        <w:t xml:space="preserve"> </w:t>
      </w:r>
      <w:r w:rsidRPr="0067337D">
        <w:rPr>
          <w:rFonts w:ascii="Franklin Gothic Book" w:hAnsi="Franklin Gothic Book"/>
          <w:sz w:val="23"/>
          <w:szCs w:val="23"/>
        </w:rPr>
        <w:t>to MM</w:t>
      </w:r>
      <w:r w:rsidR="00FC1B7A">
        <w:rPr>
          <w:rFonts w:ascii="Franklin Gothic Book" w:hAnsi="Franklin Gothic Book"/>
          <w:sz w:val="23"/>
          <w:szCs w:val="23"/>
        </w:rPr>
        <w:t xml:space="preserve"> category </w:t>
      </w:r>
      <w:r w:rsidRPr="0067337D">
        <w:rPr>
          <w:rFonts w:ascii="Franklin Gothic Book" w:hAnsi="Franklin Gothic Book"/>
          <w:sz w:val="23"/>
          <w:szCs w:val="23"/>
        </w:rPr>
        <w:t>3</w:t>
      </w:r>
      <w:r w:rsidR="00FC1B7A">
        <w:rPr>
          <w:rFonts w:ascii="Franklin Gothic Book" w:hAnsi="Franklin Gothic Book"/>
          <w:sz w:val="23"/>
          <w:szCs w:val="23"/>
        </w:rPr>
        <w:t xml:space="preserve"> to </w:t>
      </w:r>
      <w:r w:rsidRPr="0067337D">
        <w:rPr>
          <w:rFonts w:ascii="Franklin Gothic Book" w:hAnsi="Franklin Gothic Book"/>
          <w:sz w:val="23"/>
          <w:szCs w:val="23"/>
        </w:rPr>
        <w:t>MM</w:t>
      </w:r>
      <w:r w:rsidR="00FC1B7A">
        <w:rPr>
          <w:rFonts w:ascii="Franklin Gothic Book" w:hAnsi="Franklin Gothic Book"/>
          <w:sz w:val="23"/>
          <w:szCs w:val="23"/>
        </w:rPr>
        <w:t xml:space="preserve"> category </w:t>
      </w:r>
      <w:r w:rsidRPr="0067337D">
        <w:rPr>
          <w:rFonts w:ascii="Franklin Gothic Book" w:hAnsi="Franklin Gothic Book"/>
          <w:sz w:val="23"/>
          <w:szCs w:val="23"/>
        </w:rPr>
        <w:t>7 (in clinics servicing rural and remote communities only) from MM</w:t>
      </w:r>
      <w:r w:rsidR="00FC1B7A">
        <w:rPr>
          <w:rFonts w:ascii="Franklin Gothic Book" w:hAnsi="Franklin Gothic Book"/>
          <w:sz w:val="23"/>
          <w:szCs w:val="23"/>
        </w:rPr>
        <w:t xml:space="preserve"> category </w:t>
      </w:r>
      <w:r w:rsidRPr="0067337D">
        <w:rPr>
          <w:rFonts w:ascii="Franklin Gothic Book" w:hAnsi="Franklin Gothic Book"/>
          <w:sz w:val="23"/>
          <w:szCs w:val="23"/>
        </w:rPr>
        <w:t>2</w:t>
      </w:r>
      <w:r w:rsidR="00FC1B7A">
        <w:rPr>
          <w:rFonts w:ascii="Franklin Gothic Book" w:hAnsi="Franklin Gothic Book"/>
          <w:sz w:val="23"/>
          <w:szCs w:val="23"/>
        </w:rPr>
        <w:t xml:space="preserve"> to</w:t>
      </w:r>
      <w:r w:rsidRPr="0067337D">
        <w:rPr>
          <w:rFonts w:ascii="Franklin Gothic Book" w:hAnsi="Franklin Gothic Book"/>
          <w:sz w:val="23"/>
          <w:szCs w:val="23"/>
        </w:rPr>
        <w:t xml:space="preserve"> MM</w:t>
      </w:r>
      <w:r w:rsidR="00FC1B7A">
        <w:rPr>
          <w:rFonts w:ascii="Franklin Gothic Book" w:hAnsi="Franklin Gothic Book"/>
          <w:sz w:val="23"/>
          <w:szCs w:val="23"/>
        </w:rPr>
        <w:t xml:space="preserve"> category </w:t>
      </w:r>
      <w:r w:rsidRPr="0067337D">
        <w:rPr>
          <w:rFonts w:ascii="Franklin Gothic Book" w:hAnsi="Franklin Gothic Book"/>
          <w:sz w:val="23"/>
          <w:szCs w:val="23"/>
        </w:rPr>
        <w:t xml:space="preserve">7 in the original submission. </w:t>
      </w:r>
      <w:bookmarkStart w:id="12" w:name="_Ref147778195"/>
      <w:r w:rsidR="00B61F9E">
        <w:br w:type="page"/>
      </w:r>
    </w:p>
    <w:p w14:paraId="3AC6A402" w14:textId="7B2EBF4F" w:rsidR="004B3D03" w:rsidRDefault="00C61B5F" w:rsidP="00C918FF">
      <w:pPr>
        <w:pStyle w:val="Caption"/>
        <w:rPr>
          <w:sz w:val="23"/>
          <w:szCs w:val="23"/>
        </w:rPr>
      </w:pPr>
      <w:r>
        <w:lastRenderedPageBreak/>
        <w:t xml:space="preserve">Table </w:t>
      </w:r>
      <w:r>
        <w:fldChar w:fldCharType="begin"/>
      </w:r>
      <w:r>
        <w:instrText>SEQ Table \* ARABIC</w:instrText>
      </w:r>
      <w:r>
        <w:fldChar w:fldCharType="separate"/>
      </w:r>
      <w:r w:rsidR="00DE2A83">
        <w:rPr>
          <w:noProof/>
        </w:rPr>
        <w:t>2</w:t>
      </w:r>
      <w:r>
        <w:fldChar w:fldCharType="end"/>
      </w:r>
      <w:bookmarkEnd w:id="12"/>
      <w:r w:rsidR="006F7CEA">
        <w:t xml:space="preserve"> </w:t>
      </w:r>
      <w:r w:rsidR="00A55595" w:rsidRPr="00C918FF">
        <w:t>N</w:t>
      </w:r>
      <w:r w:rsidR="00FE1BC5" w:rsidRPr="00C918FF">
        <w:t xml:space="preserve">ew MBS items proposed by the applicant (two </w:t>
      </w:r>
      <w:r w:rsidR="7C63C404">
        <w:t>Group P9</w:t>
      </w:r>
      <w:r w:rsidR="10623086">
        <w:t xml:space="preserve"> – </w:t>
      </w:r>
      <w:r w:rsidR="7C63C404">
        <w:t>simple</w:t>
      </w:r>
      <w:r w:rsidR="00FE1BC5">
        <w:t xml:space="preserve"> </w:t>
      </w:r>
      <w:r w:rsidR="10623086">
        <w:t>basic pathology tests</w:t>
      </w:r>
      <w:r w:rsidR="00FE1BC5" w:rsidRPr="00C918FF">
        <w:t xml:space="preserve"> and one miscellaneous)</w:t>
      </w:r>
      <w:r w:rsidR="1EE60FDC">
        <w:t xml:space="preserve"> with Department update in strikethrough</w:t>
      </w:r>
    </w:p>
    <w:tbl>
      <w:tblPr>
        <w:tblStyle w:val="TableGrid1"/>
        <w:tblW w:w="0" w:type="auto"/>
        <w:tblInd w:w="-113" w:type="dxa"/>
        <w:tblBorders>
          <w:top w:val="none" w:sz="6" w:space="0" w:color="auto"/>
          <w:left w:val="none" w:sz="6" w:space="0" w:color="auto"/>
          <w:bottom w:val="none" w:sz="6" w:space="0" w:color="auto"/>
          <w:right w:val="none" w:sz="6" w:space="0" w:color="auto"/>
          <w:insideH w:val="none" w:sz="0" w:space="0" w:color="auto"/>
          <w:insideV w:val="none" w:sz="0" w:space="0" w:color="auto"/>
        </w:tblBorders>
        <w:tblLayout w:type="fixed"/>
        <w:tblLook w:val="0020" w:firstRow="1" w:lastRow="0" w:firstColumn="0" w:lastColumn="0" w:noHBand="0" w:noVBand="0"/>
      </w:tblPr>
      <w:tblGrid>
        <w:gridCol w:w="9030"/>
      </w:tblGrid>
      <w:tr w:rsidR="00C356AF" w14:paraId="08FA5C7C" w14:textId="77777777" w:rsidTr="00F57A21">
        <w:trPr>
          <w:cnfStyle w:val="100000000000" w:firstRow="1" w:lastRow="0" w:firstColumn="0" w:lastColumn="0" w:oddVBand="0" w:evenVBand="0" w:oddHBand="0" w:evenHBand="0" w:firstRowFirstColumn="0" w:firstRowLastColumn="0" w:lastRowFirstColumn="0" w:lastRowLastColumn="0"/>
          <w:trHeight w:val="127"/>
        </w:trPr>
        <w:tc>
          <w:tcPr>
            <w:tcW w:w="9030"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718EA91B" w14:textId="0F3F227B" w:rsidR="004B3D03" w:rsidRDefault="004B3D03" w:rsidP="00C918FF">
            <w:pPr>
              <w:pStyle w:val="Tabletext0"/>
            </w:pPr>
            <w:r>
              <w:t>Category 6 –PATHOLOGY SERVICES–Simple Basic Pathology Tests</w:t>
            </w:r>
          </w:p>
        </w:tc>
      </w:tr>
      <w:tr w:rsidR="00BD1972" w14:paraId="20C9090F" w14:textId="77777777" w:rsidTr="00F57A21">
        <w:trPr>
          <w:trHeight w:val="925"/>
        </w:trPr>
        <w:tc>
          <w:tcPr>
            <w:tcW w:w="9030"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7BAB547" w14:textId="10DA2E38" w:rsidR="004B3D03" w:rsidRDefault="004B3D03" w:rsidP="00C918FF">
            <w:pPr>
              <w:pStyle w:val="Tabletext0"/>
            </w:pPr>
            <w:r>
              <w:t xml:space="preserve">MBS [Item number XXX] </w:t>
            </w:r>
            <w:r w:rsidRPr="00862084">
              <w:rPr>
                <w:strike/>
              </w:rPr>
              <w:t>Microbiology</w:t>
            </w:r>
            <w:r w:rsidR="00FE1BC5">
              <w:t xml:space="preserve"> </w:t>
            </w:r>
            <w:r>
              <w:t>Detection of CT (</w:t>
            </w:r>
            <w:r>
              <w:rPr>
                <w:i/>
                <w:iCs/>
              </w:rPr>
              <w:t>Chlamydia trachomatis</w:t>
            </w:r>
            <w:r>
              <w:t>) and/or NG (</w:t>
            </w:r>
            <w:r>
              <w:rPr>
                <w:i/>
                <w:iCs/>
              </w:rPr>
              <w:t>Neisseria gonorrhoeae</w:t>
            </w:r>
            <w:r>
              <w:t>) via molecular point-of-care testing for the</w:t>
            </w:r>
            <w:r w:rsidR="00FE1BC5">
              <w:t xml:space="preserve"> </w:t>
            </w:r>
            <w:r>
              <w:t>diagnosis of CT or NG infection.</w:t>
            </w:r>
            <w:r w:rsidR="00FE1BC5">
              <w:t xml:space="preserve"> </w:t>
            </w:r>
            <w:r>
              <w:t>Fee: $40.60 Benefit: 85% $34.50(Item is subject to restrictions</w:t>
            </w:r>
            <w:r w:rsidR="00FE1BC5">
              <w:t xml:space="preserve"> </w:t>
            </w:r>
            <w:r>
              <w:t>in rule</w:t>
            </w:r>
            <w:r w:rsidR="00AB2419">
              <w:t xml:space="preserve"> </w:t>
            </w:r>
            <w:r>
              <w:t>PR.9.x of explanatory notes to this category)</w:t>
            </w:r>
          </w:p>
        </w:tc>
      </w:tr>
      <w:tr w:rsidR="00C356AF" w14:paraId="0D489440" w14:textId="77777777" w:rsidTr="00F57A21">
        <w:trPr>
          <w:trHeight w:val="120"/>
        </w:trPr>
        <w:tc>
          <w:tcPr>
            <w:tcW w:w="9030"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5B6D5AFD" w14:textId="77777777" w:rsidR="004B3D03" w:rsidRDefault="004B3D03" w:rsidP="00C918FF">
            <w:pPr>
              <w:pStyle w:val="Tabletext0"/>
            </w:pPr>
            <w:r>
              <w:t>Category 6 –PATHOLOGY SERVICES Group P9–Simple Basic Pathology Tests</w:t>
            </w:r>
          </w:p>
        </w:tc>
      </w:tr>
      <w:tr w:rsidR="00BD1972" w14:paraId="2EDA1A20" w14:textId="77777777" w:rsidTr="00F57A21">
        <w:trPr>
          <w:trHeight w:val="923"/>
        </w:trPr>
        <w:tc>
          <w:tcPr>
            <w:tcW w:w="9030"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6C03CA" w14:textId="4806EC56" w:rsidR="004B3D03" w:rsidRDefault="004B3D03" w:rsidP="00C918FF">
            <w:pPr>
              <w:pStyle w:val="Tabletext0"/>
            </w:pPr>
            <w:r>
              <w:t xml:space="preserve">MBS [Item number YYY] </w:t>
            </w:r>
            <w:r w:rsidRPr="00862084">
              <w:rPr>
                <w:strike/>
              </w:rPr>
              <w:t>Microbiology</w:t>
            </w:r>
            <w:r w:rsidR="00FE1BC5">
              <w:t xml:space="preserve"> </w:t>
            </w:r>
            <w:r>
              <w:t>Detection of TV (</w:t>
            </w:r>
            <w:r>
              <w:rPr>
                <w:i/>
                <w:iCs/>
              </w:rPr>
              <w:t>Trichomonas vaginalis</w:t>
            </w:r>
            <w:r>
              <w:t>) via molecular point-of-care testing for the diagnosis of TV</w:t>
            </w:r>
            <w:r w:rsidR="00152B3D">
              <w:t xml:space="preserve"> </w:t>
            </w:r>
            <w:r>
              <w:t>infection.</w:t>
            </w:r>
            <w:r w:rsidR="00FE1BC5">
              <w:t xml:space="preserve"> </w:t>
            </w:r>
            <w:r>
              <w:t>Fee: $40.60 Benefit: 85% $34.50(Item is subject to restrictions in rule</w:t>
            </w:r>
            <w:r w:rsidR="00AB2419">
              <w:t xml:space="preserve"> </w:t>
            </w:r>
            <w:r>
              <w:t>PR.9.x of explanatory notes to this category)</w:t>
            </w:r>
          </w:p>
        </w:tc>
      </w:tr>
      <w:tr w:rsidR="00BD1972" w14:paraId="419317A1" w14:textId="77777777" w:rsidTr="00F57A21">
        <w:trPr>
          <w:trHeight w:val="235"/>
        </w:trPr>
        <w:tc>
          <w:tcPr>
            <w:tcW w:w="9030"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0290AE1" w14:textId="1DA63BA3" w:rsidR="004B3D03" w:rsidRDefault="004B3D03" w:rsidP="00C918FF">
            <w:pPr>
              <w:pStyle w:val="Tabletext0"/>
            </w:pPr>
            <w:r>
              <w:t>Category 8 MISCELLANEOUS SERVICES Category T1 –Service to</w:t>
            </w:r>
            <w:r w:rsidR="00FE1BC5">
              <w:t xml:space="preserve"> </w:t>
            </w:r>
            <w:r>
              <w:t>conduct a</w:t>
            </w:r>
            <w:r w:rsidR="00FE1BC5">
              <w:t xml:space="preserve"> </w:t>
            </w:r>
            <w:r>
              <w:t>Molecular PoCT</w:t>
            </w:r>
          </w:p>
        </w:tc>
      </w:tr>
      <w:tr w:rsidR="00BD1972" w14:paraId="3250153F" w14:textId="77777777" w:rsidTr="00F57A21">
        <w:trPr>
          <w:trHeight w:val="736"/>
        </w:trPr>
        <w:tc>
          <w:tcPr>
            <w:tcW w:w="9030"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2FE56AD" w14:textId="1D03FF1C" w:rsidR="004B3D03" w:rsidRDefault="004B3D03" w:rsidP="00C918FF">
            <w:pPr>
              <w:pStyle w:val="Tabletext0"/>
              <w:jc w:val="left"/>
            </w:pPr>
            <w:r>
              <w:t>MBS [Item number ZZZ]*</w:t>
            </w:r>
            <w:r w:rsidR="005F2482">
              <w:t xml:space="preserve"> </w:t>
            </w:r>
            <w:r>
              <w:t>SERVICE for operator to conduct a molecular</w:t>
            </w:r>
            <w:r w:rsidR="00FE1BC5">
              <w:t xml:space="preserve"> </w:t>
            </w:r>
            <w:r>
              <w:t>point-of-care</w:t>
            </w:r>
            <w:r w:rsidR="00FE1BC5">
              <w:t xml:space="preserve"> </w:t>
            </w:r>
            <w:r>
              <w:t>test</w:t>
            </w:r>
            <w:r w:rsidR="00FE1BC5">
              <w:t xml:space="preserve"> </w:t>
            </w:r>
            <w:r>
              <w:t>Fee: $65.85 Benefit: 85% = $56.00.(See explanatory notes to this Category)</w:t>
            </w:r>
          </w:p>
        </w:tc>
      </w:tr>
      <w:tr w:rsidR="00BD1972" w14:paraId="04FBF6A7" w14:textId="77777777" w:rsidTr="00F57A21">
        <w:trPr>
          <w:trHeight w:val="850"/>
        </w:trPr>
        <w:tc>
          <w:tcPr>
            <w:tcW w:w="9030"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38DDB41" w14:textId="20DAC327" w:rsidR="00AB2419" w:rsidRDefault="00AB2419" w:rsidP="00393C35">
            <w:pPr>
              <w:pStyle w:val="Tabletext0"/>
            </w:pPr>
            <w:r>
              <w:t xml:space="preserve">Explanatory notes - PR.9.x </w:t>
            </w:r>
          </w:p>
          <w:p w14:paraId="63C069A5" w14:textId="42A3735F" w:rsidR="007F78A0" w:rsidRPr="00253687" w:rsidRDefault="007F78A0" w:rsidP="00B61F9E">
            <w:pPr>
              <w:pStyle w:val="Tabletext0"/>
              <w:spacing w:before="240"/>
              <w:rPr>
                <w:rFonts w:cstheme="minorHAnsi"/>
              </w:rPr>
            </w:pPr>
            <w:r w:rsidRPr="00253687">
              <w:rPr>
                <w:rFonts w:cstheme="minorHAnsi"/>
              </w:rPr>
              <w:t xml:space="preserve">Item numbers </w:t>
            </w:r>
            <w:r>
              <w:rPr>
                <w:rFonts w:cstheme="minorHAnsi"/>
              </w:rPr>
              <w:t>XXX</w:t>
            </w:r>
            <w:r w:rsidRPr="00253687">
              <w:rPr>
                <w:rFonts w:cstheme="minorHAnsi"/>
              </w:rPr>
              <w:t xml:space="preserve"> and</w:t>
            </w:r>
            <w:r>
              <w:rPr>
                <w:rFonts w:cstheme="minorHAnsi"/>
              </w:rPr>
              <w:t xml:space="preserve"> YYY</w:t>
            </w:r>
            <w:r w:rsidRPr="00253687">
              <w:rPr>
                <w:rFonts w:cstheme="minorHAnsi"/>
              </w:rPr>
              <w:t xml:space="preserve"> can only be performed in the following circumstances:</w:t>
            </w:r>
          </w:p>
          <w:p w14:paraId="67A1CDC2" w14:textId="77777777" w:rsidR="007F78A0" w:rsidRPr="00056112" w:rsidRDefault="007F78A0" w:rsidP="00C918FF">
            <w:pPr>
              <w:pStyle w:val="Tabletext0"/>
              <w:numPr>
                <w:ilvl w:val="0"/>
                <w:numId w:val="19"/>
              </w:numPr>
              <w:rPr>
                <w:rFonts w:cstheme="minorHAnsi"/>
              </w:rPr>
            </w:pPr>
            <w:r>
              <w:rPr>
                <w:rFonts w:cstheme="minorHAnsi"/>
              </w:rPr>
              <w:t>T</w:t>
            </w:r>
            <w:r w:rsidRPr="00253687">
              <w:rPr>
                <w:rFonts w:cstheme="minorHAnsi"/>
              </w:rPr>
              <w:t xml:space="preserve">he service is rendered by or on behalf of a medical practitioner </w:t>
            </w:r>
            <w:r>
              <w:rPr>
                <w:rFonts w:cstheme="minorHAnsi"/>
              </w:rPr>
              <w:t>who has deemed the services is required; and</w:t>
            </w:r>
          </w:p>
          <w:p w14:paraId="455F7E1E" w14:textId="0E26C23D" w:rsidR="007F78A0" w:rsidRDefault="007F78A0" w:rsidP="00C918FF">
            <w:pPr>
              <w:pStyle w:val="Tabletext0"/>
              <w:numPr>
                <w:ilvl w:val="0"/>
                <w:numId w:val="19"/>
              </w:numPr>
              <w:rPr>
                <w:rFonts w:cstheme="minorHAnsi"/>
              </w:rPr>
            </w:pPr>
            <w:r w:rsidRPr="00881AC5">
              <w:rPr>
                <w:rFonts w:cstheme="minorHAnsi"/>
              </w:rPr>
              <w:t>The organisation for which the practitioner works, is enrolled in the First Nations Molecular P</w:t>
            </w:r>
            <w:r w:rsidR="00E04774">
              <w:rPr>
                <w:rFonts w:cstheme="minorHAnsi"/>
              </w:rPr>
              <w:t>o</w:t>
            </w:r>
            <w:r w:rsidRPr="00881AC5">
              <w:rPr>
                <w:rFonts w:cstheme="minorHAnsi"/>
              </w:rPr>
              <w:t>C Testing Program – a formal training and quality management provider; and</w:t>
            </w:r>
          </w:p>
          <w:p w14:paraId="7B761B4A" w14:textId="77777777" w:rsidR="007F78A0" w:rsidRDefault="007F78A0" w:rsidP="00C918FF">
            <w:pPr>
              <w:pStyle w:val="Tabletext0"/>
              <w:numPr>
                <w:ilvl w:val="0"/>
                <w:numId w:val="19"/>
              </w:numPr>
              <w:rPr>
                <w:rFonts w:cstheme="minorHAnsi"/>
              </w:rPr>
            </w:pPr>
            <w:r w:rsidRPr="00464892">
              <w:rPr>
                <w:rFonts w:cstheme="minorHAnsi"/>
              </w:rPr>
              <w:t xml:space="preserve">The organisation for which the practitioner works is located in a rural or remote setting (MM3-7) and predominantly provides services </w:t>
            </w:r>
            <w:r>
              <w:rPr>
                <w:rFonts w:cstheme="minorHAnsi"/>
              </w:rPr>
              <w:t xml:space="preserve">to </w:t>
            </w:r>
            <w:r w:rsidRPr="00464892">
              <w:rPr>
                <w:rFonts w:cstheme="minorHAnsi"/>
              </w:rPr>
              <w:t>Aboriginal and Torres Strait Islander peoples; and</w:t>
            </w:r>
          </w:p>
          <w:p w14:paraId="7D01D047" w14:textId="032A2480" w:rsidR="007F78A0" w:rsidRDefault="007F78A0" w:rsidP="00C918FF">
            <w:pPr>
              <w:pStyle w:val="Tabletext0"/>
              <w:numPr>
                <w:ilvl w:val="0"/>
                <w:numId w:val="19"/>
              </w:numPr>
              <w:rPr>
                <w:rFonts w:cstheme="minorHAnsi"/>
              </w:rPr>
            </w:pPr>
            <w:r w:rsidRPr="00881AC5">
              <w:t xml:space="preserve">The service </w:t>
            </w:r>
            <w:r w:rsidRPr="00464892">
              <w:rPr>
                <w:spacing w:val="-1"/>
              </w:rPr>
              <w:t xml:space="preserve">is conducted by a medical </w:t>
            </w:r>
            <w:r w:rsidRPr="00881AC5">
              <w:t xml:space="preserve">practitioner, </w:t>
            </w:r>
            <w:r w:rsidRPr="00464892">
              <w:rPr>
                <w:spacing w:val="-1"/>
              </w:rPr>
              <w:t>nurse, Aboriginal health</w:t>
            </w:r>
            <w:r w:rsidRPr="00464892">
              <w:rPr>
                <w:spacing w:val="30"/>
              </w:rPr>
              <w:t xml:space="preserve"> </w:t>
            </w:r>
            <w:r w:rsidRPr="00464892">
              <w:rPr>
                <w:spacing w:val="-1"/>
              </w:rPr>
              <w:t>practitioner</w:t>
            </w:r>
            <w:r w:rsidRPr="00312C0A">
              <w:rPr>
                <w:spacing w:val="-1"/>
              </w:rPr>
              <w:t>/worker o</w:t>
            </w:r>
            <w:r w:rsidRPr="00464892">
              <w:rPr>
                <w:spacing w:val="-1"/>
              </w:rPr>
              <w:t xml:space="preserve">r other staff member designated by the health service who holds current certification as a competent POC operator by </w:t>
            </w:r>
            <w:r w:rsidRPr="00464892">
              <w:rPr>
                <w:rFonts w:cstheme="minorHAnsi"/>
              </w:rPr>
              <w:t>the First Nations Molecular P</w:t>
            </w:r>
            <w:r w:rsidR="00E04774">
              <w:rPr>
                <w:rFonts w:cstheme="minorHAnsi"/>
              </w:rPr>
              <w:t>o</w:t>
            </w:r>
            <w:r w:rsidRPr="00464892">
              <w:rPr>
                <w:rFonts w:cstheme="minorHAnsi"/>
              </w:rPr>
              <w:t>C Testing Program for the test(s) performed; and</w:t>
            </w:r>
          </w:p>
          <w:p w14:paraId="0C8C7F4A" w14:textId="0F126087" w:rsidR="00C24293" w:rsidRPr="00B61F9E" w:rsidRDefault="007F78A0" w:rsidP="00393C35">
            <w:pPr>
              <w:pStyle w:val="Tabletext0"/>
              <w:numPr>
                <w:ilvl w:val="0"/>
                <w:numId w:val="19"/>
              </w:numPr>
              <w:rPr>
                <w:rFonts w:cstheme="minorHAnsi"/>
              </w:rPr>
            </w:pPr>
            <w:r w:rsidRPr="00C918FF">
              <w:rPr>
                <w:rFonts w:cstheme="minorHAnsi"/>
              </w:rPr>
              <w:t xml:space="preserve">The items can only be claimed </w:t>
            </w:r>
            <w:r w:rsidRPr="00393C35">
              <w:rPr>
                <w:rFonts w:cstheme="minorHAnsi"/>
              </w:rPr>
              <w:t>for a P</w:t>
            </w:r>
            <w:r w:rsidR="00E04774">
              <w:rPr>
                <w:rFonts w:cstheme="minorHAnsi"/>
              </w:rPr>
              <w:t>o</w:t>
            </w:r>
            <w:r w:rsidRPr="00393C35">
              <w:rPr>
                <w:rFonts w:cstheme="minorHAnsi"/>
              </w:rPr>
              <w:t>C test(s) that gives valid patient result(s) (i.e., not device errors)</w:t>
            </w:r>
          </w:p>
        </w:tc>
      </w:tr>
    </w:tbl>
    <w:p w14:paraId="1503D078" w14:textId="7C36F00E" w:rsidR="00317034" w:rsidRDefault="00D72244" w:rsidP="00B61F9E">
      <w:pPr>
        <w:pStyle w:val="Tablenotes"/>
        <w:spacing w:before="0"/>
      </w:pPr>
      <w:r>
        <w:t xml:space="preserve">Source: </w:t>
      </w:r>
      <w:r w:rsidR="005F2482">
        <w:t>Pg</w:t>
      </w:r>
      <w:r w:rsidR="00A45F27">
        <w:t xml:space="preserve"> </w:t>
      </w:r>
      <w:r w:rsidR="00991DF0">
        <w:t>8</w:t>
      </w:r>
      <w:r w:rsidR="00B934B2">
        <w:t xml:space="preserve"> of </w:t>
      </w:r>
      <w:r w:rsidR="00B0368C" w:rsidRPr="00B0368C">
        <w:t xml:space="preserve">MSAC 1627.1 </w:t>
      </w:r>
      <w:r w:rsidR="00B0368C">
        <w:t>Ap</w:t>
      </w:r>
      <w:r w:rsidR="00B934B2">
        <w:t xml:space="preserve">plicant response (Resubmission) </w:t>
      </w:r>
    </w:p>
    <w:p w14:paraId="1BAA7DE0" w14:textId="52229D92" w:rsidR="00D163DA" w:rsidRDefault="00D163DA" w:rsidP="00D72244">
      <w:pPr>
        <w:pStyle w:val="Tablenotes"/>
      </w:pPr>
      <w:r w:rsidRPr="00D163DA">
        <w:t>*</w:t>
      </w:r>
      <w:r w:rsidR="0044456B">
        <w:t xml:space="preserve">The applicant response stated that </w:t>
      </w:r>
      <w:r w:rsidR="0082532D">
        <w:t xml:space="preserve">each test is run separately to maintain test quality as such, </w:t>
      </w:r>
      <w:r w:rsidR="0044456B">
        <w:t xml:space="preserve">the </w:t>
      </w:r>
      <w:r w:rsidRPr="00D163DA">
        <w:t>Miscellaneous service is required for each microbiology item (XXX and YYY)</w:t>
      </w:r>
    </w:p>
    <w:p w14:paraId="088E1760" w14:textId="5C0295CA" w:rsidR="001E65BA" w:rsidRDefault="00615D77" w:rsidP="00C918FF">
      <w:pPr>
        <w:pStyle w:val="Caption"/>
        <w:rPr>
          <w:rFonts w:cstheme="minorHAnsi"/>
          <w:color w:val="000000"/>
          <w:u w:val="single"/>
        </w:rPr>
      </w:pPr>
      <w:bookmarkStart w:id="13" w:name="_Ref147781677"/>
      <w:r>
        <w:t xml:space="preserve">Table </w:t>
      </w:r>
      <w:r>
        <w:fldChar w:fldCharType="begin"/>
      </w:r>
      <w:r>
        <w:instrText>SEQ Table \* ARABIC</w:instrText>
      </w:r>
      <w:r>
        <w:fldChar w:fldCharType="separate"/>
      </w:r>
      <w:r w:rsidR="00DE2A83">
        <w:rPr>
          <w:noProof/>
        </w:rPr>
        <w:t>3</w:t>
      </w:r>
      <w:r>
        <w:fldChar w:fldCharType="end"/>
      </w:r>
      <w:bookmarkEnd w:id="13"/>
      <w:r>
        <w:t xml:space="preserve"> </w:t>
      </w:r>
      <w:r w:rsidR="00F41A09">
        <w:rPr>
          <w:rFonts w:cstheme="minorHAnsi"/>
          <w:color w:val="000000"/>
        </w:rPr>
        <w:t>Applicant proposed</w:t>
      </w:r>
      <w:r w:rsidR="001E65BA" w:rsidRPr="00B34E8C">
        <w:rPr>
          <w:rFonts w:cstheme="minorHAnsi"/>
          <w:color w:val="000000"/>
        </w:rPr>
        <w:t xml:space="preserve"> </w:t>
      </w:r>
      <w:r w:rsidR="001E65BA">
        <w:rPr>
          <w:rFonts w:cstheme="minorHAnsi"/>
          <w:color w:val="000000"/>
        </w:rPr>
        <w:t>revised Fee/Benefit</w:t>
      </w:r>
      <w:r w:rsidR="001E65BA" w:rsidRPr="00B34E8C">
        <w:rPr>
          <w:rFonts w:cstheme="minorHAnsi"/>
          <w:color w:val="000000"/>
        </w:rPr>
        <w:t xml:space="preserve"> associated with the </w:t>
      </w:r>
      <w:r w:rsidR="001E65BA">
        <w:rPr>
          <w:rFonts w:cstheme="minorHAnsi"/>
          <w:color w:val="000000"/>
        </w:rPr>
        <w:t>proposed new pathology items</w:t>
      </w:r>
      <w:r w:rsidR="001E65BA" w:rsidRPr="00B34E8C">
        <w:rPr>
          <w:rFonts w:cstheme="minorHAnsi"/>
          <w:color w:val="000000"/>
        </w:rPr>
        <w:t xml:space="preserve">, and </w:t>
      </w:r>
      <w:r w:rsidR="001E65BA">
        <w:rPr>
          <w:rFonts w:cstheme="minorHAnsi"/>
          <w:color w:val="000000"/>
        </w:rPr>
        <w:t>the comparison in cost (</w:t>
      </w:r>
      <w:r w:rsidR="001E65BA" w:rsidRPr="00B34E8C">
        <w:rPr>
          <w:rFonts w:cstheme="minorHAnsi"/>
          <w:color w:val="000000"/>
        </w:rPr>
        <w:t>percentage reduction</w:t>
      </w:r>
      <w:r w:rsidR="001E65BA">
        <w:rPr>
          <w:rFonts w:cstheme="minorHAnsi"/>
          <w:color w:val="000000"/>
        </w:rPr>
        <w:t>) between original submission (1) and resubmission (2)</w:t>
      </w:r>
      <w:r w:rsidR="001E65BA" w:rsidRPr="00B34E8C">
        <w:rPr>
          <w:rFonts w:cstheme="minorHAnsi"/>
          <w:color w:val="000000"/>
        </w:rPr>
        <w:t>.</w:t>
      </w:r>
      <w:r w:rsidR="001E65BA" w:rsidDel="007247A7">
        <w:rPr>
          <w:rFonts w:cstheme="minorHAnsi"/>
          <w:color w:val="000000"/>
        </w:rPr>
        <w:t xml:space="preserve"> </w:t>
      </w:r>
    </w:p>
    <w:tbl>
      <w:tblPr>
        <w:tblStyle w:val="TableGrid"/>
        <w:tblW w:w="4874" w:type="pct"/>
        <w:tblLook w:val="04A0" w:firstRow="1" w:lastRow="0" w:firstColumn="1" w:lastColumn="0" w:noHBand="0" w:noVBand="1"/>
      </w:tblPr>
      <w:tblGrid>
        <w:gridCol w:w="4815"/>
        <w:gridCol w:w="991"/>
        <w:gridCol w:w="1559"/>
        <w:gridCol w:w="1424"/>
      </w:tblGrid>
      <w:tr w:rsidR="00362331" w:rsidRPr="00EB0D16" w14:paraId="044254B9" w14:textId="77777777" w:rsidTr="00C918FF">
        <w:trPr>
          <w:trHeight w:val="168"/>
        </w:trPr>
        <w:tc>
          <w:tcPr>
            <w:tcW w:w="2739" w:type="pct"/>
          </w:tcPr>
          <w:p w14:paraId="4E237A31" w14:textId="77777777" w:rsidR="001E65BA" w:rsidRPr="00C918FF" w:rsidRDefault="001E65BA" w:rsidP="00C918FF">
            <w:pPr>
              <w:pStyle w:val="TableTextCA"/>
              <w:jc w:val="left"/>
              <w:rPr>
                <w:b/>
                <w:bCs/>
              </w:rPr>
            </w:pPr>
            <w:r w:rsidRPr="00C918FF">
              <w:rPr>
                <w:b/>
                <w:bCs/>
              </w:rPr>
              <w:t>Pathology items</w:t>
            </w:r>
          </w:p>
        </w:tc>
        <w:tc>
          <w:tcPr>
            <w:tcW w:w="564" w:type="pct"/>
          </w:tcPr>
          <w:p w14:paraId="42138C1B" w14:textId="77777777" w:rsidR="001E65BA" w:rsidRPr="006E7C88" w:rsidRDefault="001E65BA" w:rsidP="00C918FF">
            <w:pPr>
              <w:pStyle w:val="TableTextCA"/>
            </w:pPr>
          </w:p>
        </w:tc>
        <w:tc>
          <w:tcPr>
            <w:tcW w:w="887" w:type="pct"/>
            <w:vAlign w:val="center"/>
          </w:tcPr>
          <w:p w14:paraId="02F2CDA4" w14:textId="77777777" w:rsidR="001E65BA" w:rsidRPr="006E7C88" w:rsidRDefault="001E65BA" w:rsidP="00C918FF">
            <w:pPr>
              <w:pStyle w:val="TableTextCA"/>
            </w:pPr>
            <w:r w:rsidRPr="006E7C88">
              <w:t>CT/NG ($)</w:t>
            </w:r>
          </w:p>
        </w:tc>
        <w:tc>
          <w:tcPr>
            <w:tcW w:w="810" w:type="pct"/>
            <w:vAlign w:val="center"/>
          </w:tcPr>
          <w:p w14:paraId="37C7BA49" w14:textId="77777777" w:rsidR="001E65BA" w:rsidRPr="006E7C88" w:rsidRDefault="001E65BA" w:rsidP="00C918FF">
            <w:pPr>
              <w:pStyle w:val="TableTextCA"/>
            </w:pPr>
            <w:r w:rsidRPr="006E7C88">
              <w:t>TV ($)</w:t>
            </w:r>
          </w:p>
        </w:tc>
      </w:tr>
      <w:tr w:rsidR="00362331" w:rsidRPr="00EA2F4A" w14:paraId="23DA57A8" w14:textId="77777777" w:rsidTr="00C918FF">
        <w:trPr>
          <w:trHeight w:val="234"/>
        </w:trPr>
        <w:tc>
          <w:tcPr>
            <w:tcW w:w="2739" w:type="pct"/>
            <w:vMerge w:val="restart"/>
          </w:tcPr>
          <w:p w14:paraId="7FB8EB49" w14:textId="77777777" w:rsidR="001E65BA" w:rsidRPr="00C918FF" w:rsidRDefault="001E65BA" w:rsidP="00C918FF">
            <w:pPr>
              <w:pStyle w:val="TableTextCA"/>
              <w:jc w:val="left"/>
              <w:rPr>
                <w:b/>
                <w:bCs/>
              </w:rPr>
            </w:pPr>
            <w:r w:rsidRPr="00C918FF">
              <w:rPr>
                <w:b/>
                <w:bCs/>
              </w:rPr>
              <w:t>Microbiology service (test cost)</w:t>
            </w:r>
          </w:p>
        </w:tc>
        <w:tc>
          <w:tcPr>
            <w:tcW w:w="564" w:type="pct"/>
            <w:tcBorders>
              <w:bottom w:val="single" w:sz="4" w:space="0" w:color="auto"/>
            </w:tcBorders>
            <w:vAlign w:val="center"/>
          </w:tcPr>
          <w:p w14:paraId="7427448E" w14:textId="77777777" w:rsidR="001E65BA" w:rsidRPr="006E7C88" w:rsidRDefault="001E65BA" w:rsidP="00C918FF">
            <w:pPr>
              <w:pStyle w:val="TableTextCA"/>
            </w:pPr>
            <w:r w:rsidRPr="006E7C88">
              <w:t>Fee</w:t>
            </w:r>
          </w:p>
        </w:tc>
        <w:tc>
          <w:tcPr>
            <w:tcW w:w="887" w:type="pct"/>
            <w:tcBorders>
              <w:bottom w:val="single" w:sz="4" w:space="0" w:color="auto"/>
            </w:tcBorders>
            <w:vAlign w:val="center"/>
          </w:tcPr>
          <w:p w14:paraId="217DF14D" w14:textId="77777777" w:rsidR="001E65BA" w:rsidRPr="006E7C88" w:rsidRDefault="001E65BA" w:rsidP="00C918FF">
            <w:pPr>
              <w:pStyle w:val="TableTextCA"/>
            </w:pPr>
            <w:r w:rsidRPr="00C918FF">
              <w:t>40.60*</w:t>
            </w:r>
          </w:p>
        </w:tc>
        <w:tc>
          <w:tcPr>
            <w:tcW w:w="810" w:type="pct"/>
            <w:tcBorders>
              <w:bottom w:val="single" w:sz="4" w:space="0" w:color="auto"/>
            </w:tcBorders>
            <w:vAlign w:val="center"/>
          </w:tcPr>
          <w:p w14:paraId="779ED83B" w14:textId="77777777" w:rsidR="001E65BA" w:rsidRPr="006E7C88" w:rsidRDefault="001E65BA" w:rsidP="00C918FF">
            <w:pPr>
              <w:pStyle w:val="TableTextCA"/>
            </w:pPr>
            <w:r w:rsidRPr="00C918FF">
              <w:t>40.60</w:t>
            </w:r>
          </w:p>
        </w:tc>
      </w:tr>
      <w:tr w:rsidR="00362331" w:rsidRPr="00EA2F4A" w14:paraId="34BD08A3" w14:textId="77777777" w:rsidTr="17A671F8">
        <w:trPr>
          <w:trHeight w:val="234"/>
        </w:trPr>
        <w:tc>
          <w:tcPr>
            <w:tcW w:w="2739" w:type="pct"/>
            <w:vMerge/>
          </w:tcPr>
          <w:p w14:paraId="0A618434" w14:textId="77777777" w:rsidR="001E65BA" w:rsidRPr="00C918FF" w:rsidRDefault="001E65BA" w:rsidP="00C918FF">
            <w:pPr>
              <w:pStyle w:val="TableTextCA"/>
              <w:jc w:val="left"/>
              <w:rPr>
                <w:b/>
                <w:bCs/>
              </w:rPr>
            </w:pPr>
          </w:p>
        </w:tc>
        <w:tc>
          <w:tcPr>
            <w:tcW w:w="564" w:type="pct"/>
            <w:tcBorders>
              <w:bottom w:val="single" w:sz="4" w:space="0" w:color="auto"/>
            </w:tcBorders>
            <w:vAlign w:val="center"/>
          </w:tcPr>
          <w:p w14:paraId="5A196CE5" w14:textId="77777777" w:rsidR="001E65BA" w:rsidRPr="006E7C88" w:rsidRDefault="001E65BA" w:rsidP="00C918FF">
            <w:pPr>
              <w:pStyle w:val="TableTextCA"/>
            </w:pPr>
            <w:r w:rsidRPr="006E7C88">
              <w:t>85% Benefit</w:t>
            </w:r>
          </w:p>
        </w:tc>
        <w:tc>
          <w:tcPr>
            <w:tcW w:w="887" w:type="pct"/>
            <w:tcBorders>
              <w:bottom w:val="single" w:sz="4" w:space="0" w:color="auto"/>
            </w:tcBorders>
            <w:vAlign w:val="center"/>
          </w:tcPr>
          <w:p w14:paraId="1C737B43" w14:textId="77777777" w:rsidR="001E65BA" w:rsidRPr="006E7C88" w:rsidRDefault="001E65BA" w:rsidP="00C918FF">
            <w:pPr>
              <w:pStyle w:val="TableTextCA"/>
            </w:pPr>
            <w:r w:rsidRPr="00C918FF">
              <w:t>34.50</w:t>
            </w:r>
          </w:p>
        </w:tc>
        <w:tc>
          <w:tcPr>
            <w:tcW w:w="810" w:type="pct"/>
            <w:tcBorders>
              <w:bottom w:val="single" w:sz="4" w:space="0" w:color="auto"/>
            </w:tcBorders>
            <w:vAlign w:val="center"/>
          </w:tcPr>
          <w:p w14:paraId="154C8CAA" w14:textId="77777777" w:rsidR="001E65BA" w:rsidRPr="006E7C88" w:rsidRDefault="001E65BA" w:rsidP="00C918FF">
            <w:pPr>
              <w:pStyle w:val="TableTextCA"/>
            </w:pPr>
            <w:r w:rsidRPr="00C918FF">
              <w:t>34.50</w:t>
            </w:r>
          </w:p>
        </w:tc>
      </w:tr>
      <w:tr w:rsidR="00362331" w:rsidRPr="00EA2F4A" w14:paraId="42BB7A4D" w14:textId="77777777" w:rsidTr="00C918FF">
        <w:trPr>
          <w:trHeight w:val="234"/>
        </w:trPr>
        <w:tc>
          <w:tcPr>
            <w:tcW w:w="2739" w:type="pct"/>
            <w:vMerge w:val="restart"/>
          </w:tcPr>
          <w:p w14:paraId="53011581" w14:textId="77777777" w:rsidR="001E65BA" w:rsidRPr="00C918FF" w:rsidRDefault="001E65BA" w:rsidP="00C918FF">
            <w:pPr>
              <w:pStyle w:val="TableTextCA"/>
              <w:jc w:val="left"/>
              <w:rPr>
                <w:b/>
                <w:bCs/>
              </w:rPr>
            </w:pPr>
            <w:r w:rsidRPr="00C918FF">
              <w:rPr>
                <w:b/>
                <w:bCs/>
              </w:rPr>
              <w:t>Miscellaneous service (staff time cost to conduct test)</w:t>
            </w:r>
          </w:p>
        </w:tc>
        <w:tc>
          <w:tcPr>
            <w:tcW w:w="564" w:type="pct"/>
            <w:tcBorders>
              <w:bottom w:val="single" w:sz="4" w:space="0" w:color="auto"/>
            </w:tcBorders>
            <w:vAlign w:val="center"/>
          </w:tcPr>
          <w:p w14:paraId="6BA2C9DB" w14:textId="77777777" w:rsidR="001E65BA" w:rsidRPr="006E7C88" w:rsidRDefault="001E65BA" w:rsidP="00C918FF">
            <w:pPr>
              <w:pStyle w:val="TableTextCA"/>
            </w:pPr>
            <w:r w:rsidRPr="006E7C88">
              <w:t>Fee</w:t>
            </w:r>
          </w:p>
        </w:tc>
        <w:tc>
          <w:tcPr>
            <w:tcW w:w="887" w:type="pct"/>
            <w:tcBorders>
              <w:bottom w:val="single" w:sz="4" w:space="0" w:color="auto"/>
            </w:tcBorders>
            <w:vAlign w:val="center"/>
          </w:tcPr>
          <w:p w14:paraId="5F26C826" w14:textId="77777777" w:rsidR="001E65BA" w:rsidRPr="006E7C88" w:rsidRDefault="001E65BA" w:rsidP="00C918FF">
            <w:pPr>
              <w:pStyle w:val="TableTextCA"/>
            </w:pPr>
            <w:r w:rsidRPr="00C918FF">
              <w:t>65.85</w:t>
            </w:r>
          </w:p>
        </w:tc>
        <w:tc>
          <w:tcPr>
            <w:tcW w:w="810" w:type="pct"/>
            <w:tcBorders>
              <w:bottom w:val="single" w:sz="4" w:space="0" w:color="auto"/>
            </w:tcBorders>
            <w:vAlign w:val="center"/>
          </w:tcPr>
          <w:p w14:paraId="6DD941BA" w14:textId="77777777" w:rsidR="001E65BA" w:rsidRPr="006E7C88" w:rsidRDefault="001E65BA" w:rsidP="00C918FF">
            <w:pPr>
              <w:pStyle w:val="TableTextCA"/>
            </w:pPr>
            <w:r w:rsidRPr="00C918FF">
              <w:t>65.85</w:t>
            </w:r>
          </w:p>
        </w:tc>
      </w:tr>
      <w:tr w:rsidR="00A5249B" w:rsidRPr="00EA2F4A" w14:paraId="7004B3F3" w14:textId="77777777" w:rsidTr="17A671F8">
        <w:trPr>
          <w:trHeight w:val="234"/>
        </w:trPr>
        <w:tc>
          <w:tcPr>
            <w:tcW w:w="2739" w:type="pct"/>
            <w:vMerge/>
          </w:tcPr>
          <w:p w14:paraId="2D4FAE05" w14:textId="77777777" w:rsidR="001E65BA" w:rsidRPr="00C918FF" w:rsidRDefault="001E65BA" w:rsidP="00C918FF">
            <w:pPr>
              <w:pStyle w:val="TableTextCA"/>
              <w:jc w:val="left"/>
              <w:rPr>
                <w:b/>
                <w:bCs/>
              </w:rPr>
            </w:pPr>
          </w:p>
        </w:tc>
        <w:tc>
          <w:tcPr>
            <w:tcW w:w="564" w:type="pct"/>
            <w:tcBorders>
              <w:top w:val="single" w:sz="4" w:space="0" w:color="auto"/>
              <w:bottom w:val="single" w:sz="4" w:space="0" w:color="auto"/>
            </w:tcBorders>
            <w:vAlign w:val="center"/>
          </w:tcPr>
          <w:p w14:paraId="64D3CBAF" w14:textId="77777777" w:rsidR="001E65BA" w:rsidRPr="006E7C88" w:rsidRDefault="001E65BA" w:rsidP="00C918FF">
            <w:pPr>
              <w:pStyle w:val="TableTextCA"/>
            </w:pPr>
            <w:r w:rsidRPr="006E7C88">
              <w:t>85% Benefit</w:t>
            </w:r>
          </w:p>
        </w:tc>
        <w:tc>
          <w:tcPr>
            <w:tcW w:w="887" w:type="pct"/>
            <w:tcBorders>
              <w:top w:val="single" w:sz="4" w:space="0" w:color="auto"/>
              <w:bottom w:val="single" w:sz="4" w:space="0" w:color="auto"/>
            </w:tcBorders>
            <w:vAlign w:val="center"/>
          </w:tcPr>
          <w:p w14:paraId="2C39D88F" w14:textId="77777777" w:rsidR="001E65BA" w:rsidRPr="006E7C88" w:rsidRDefault="001E65BA" w:rsidP="00C918FF">
            <w:pPr>
              <w:pStyle w:val="TableTextCA"/>
            </w:pPr>
            <w:r w:rsidRPr="00C918FF">
              <w:t>56.00</w:t>
            </w:r>
          </w:p>
        </w:tc>
        <w:tc>
          <w:tcPr>
            <w:tcW w:w="810" w:type="pct"/>
            <w:tcBorders>
              <w:top w:val="single" w:sz="4" w:space="0" w:color="auto"/>
              <w:bottom w:val="single" w:sz="4" w:space="0" w:color="auto"/>
            </w:tcBorders>
            <w:vAlign w:val="center"/>
          </w:tcPr>
          <w:p w14:paraId="4235B393" w14:textId="77777777" w:rsidR="001E65BA" w:rsidRPr="006E7C88" w:rsidRDefault="001E65BA" w:rsidP="00C918FF">
            <w:pPr>
              <w:pStyle w:val="TableTextCA"/>
            </w:pPr>
            <w:r w:rsidRPr="00C918FF">
              <w:t>56.00</w:t>
            </w:r>
          </w:p>
        </w:tc>
      </w:tr>
      <w:tr w:rsidR="00362331" w:rsidRPr="00EA2F4A" w14:paraId="0CA289CD" w14:textId="77777777" w:rsidTr="00C918FF">
        <w:trPr>
          <w:trHeight w:val="238"/>
        </w:trPr>
        <w:tc>
          <w:tcPr>
            <w:tcW w:w="2739" w:type="pct"/>
            <w:tcBorders>
              <w:top w:val="single" w:sz="4" w:space="0" w:color="auto"/>
              <w:left w:val="single" w:sz="2" w:space="0" w:color="auto"/>
              <w:bottom w:val="single" w:sz="4" w:space="0" w:color="auto"/>
              <w:right w:val="single" w:sz="2" w:space="0" w:color="auto"/>
            </w:tcBorders>
          </w:tcPr>
          <w:p w14:paraId="5380D84C" w14:textId="2FD5B6D7" w:rsidR="001E65BA" w:rsidRPr="001A0713" w:rsidRDefault="001E0943" w:rsidP="00C918FF">
            <w:pPr>
              <w:pStyle w:val="TableTextCA"/>
              <w:jc w:val="left"/>
            </w:pPr>
            <w:r w:rsidRPr="00C918FF">
              <w:t xml:space="preserve">Previous </w:t>
            </w:r>
            <w:r w:rsidR="003D47D3" w:rsidRPr="001A0713">
              <w:t xml:space="preserve">– </w:t>
            </w:r>
            <w:r w:rsidR="001E65BA" w:rsidRPr="00C918FF">
              <w:rPr>
                <w:b/>
                <w:bCs/>
              </w:rPr>
              <w:t>Total requested Fee</w:t>
            </w:r>
            <w:r w:rsidR="00C5729D" w:rsidRPr="001A0713">
              <w:rPr>
                <w:b/>
                <w:bCs/>
              </w:rPr>
              <w:t>/Benefit</w:t>
            </w:r>
            <w:r w:rsidR="00C5729D" w:rsidRPr="001A0713">
              <w:rPr>
                <w:b/>
                <w:bCs/>
                <w:vertAlign w:val="superscript"/>
              </w:rPr>
              <w:t>#</w:t>
            </w:r>
            <w:r w:rsidR="001E65BA" w:rsidRPr="00C918FF">
              <w:rPr>
                <w:b/>
                <w:bCs/>
              </w:rPr>
              <w:t xml:space="preserve"> </w:t>
            </w:r>
            <w:r w:rsidR="004861F8" w:rsidRPr="001A0713">
              <w:rPr>
                <w:b/>
                <w:bCs/>
              </w:rPr>
              <w:t>for CT/NG + TV PoCT</w:t>
            </w:r>
            <w:r w:rsidR="00314885" w:rsidRPr="001A0713">
              <w:rPr>
                <w:b/>
                <w:bCs/>
              </w:rPr>
              <w:t xml:space="preserve"> </w:t>
            </w:r>
            <w:r w:rsidR="00314885" w:rsidRPr="00C918FF">
              <w:t>(</w:t>
            </w:r>
            <w:r w:rsidR="00D66D66" w:rsidRPr="00C918FF">
              <w:t xml:space="preserve">Submission 1 </w:t>
            </w:r>
            <w:r w:rsidR="003D47D3" w:rsidRPr="001A0713">
              <w:t>–</w:t>
            </w:r>
            <w:r w:rsidR="00D66D66" w:rsidRPr="00C918FF">
              <w:t xml:space="preserve"> </w:t>
            </w:r>
            <w:r w:rsidR="00314885" w:rsidRPr="00C918FF">
              <w:t>MSAC ADAR 1627)</w:t>
            </w:r>
          </w:p>
        </w:tc>
        <w:tc>
          <w:tcPr>
            <w:tcW w:w="564" w:type="pct"/>
            <w:tcBorders>
              <w:top w:val="single" w:sz="4" w:space="0" w:color="auto"/>
              <w:left w:val="single" w:sz="2" w:space="0" w:color="auto"/>
              <w:bottom w:val="single" w:sz="4" w:space="0" w:color="auto"/>
              <w:right w:val="single" w:sz="2" w:space="0" w:color="auto"/>
            </w:tcBorders>
            <w:vAlign w:val="center"/>
          </w:tcPr>
          <w:p w14:paraId="10F6B97F" w14:textId="207511E6" w:rsidR="001E65BA" w:rsidRPr="00C918FF" w:rsidRDefault="00FD4D4C" w:rsidP="00C918FF">
            <w:pPr>
              <w:pStyle w:val="TableTextCA"/>
            </w:pPr>
            <w:r>
              <w:t>Fee</w:t>
            </w:r>
          </w:p>
        </w:tc>
        <w:tc>
          <w:tcPr>
            <w:tcW w:w="887" w:type="pct"/>
            <w:tcBorders>
              <w:top w:val="single" w:sz="4" w:space="0" w:color="auto"/>
              <w:left w:val="single" w:sz="2" w:space="0" w:color="auto"/>
              <w:bottom w:val="single" w:sz="4" w:space="0" w:color="auto"/>
              <w:right w:val="single" w:sz="2" w:space="0" w:color="auto"/>
            </w:tcBorders>
            <w:vAlign w:val="center"/>
          </w:tcPr>
          <w:p w14:paraId="64370777" w14:textId="77777777" w:rsidR="001E65BA" w:rsidRPr="006E7C88" w:rsidRDefault="001E65BA" w:rsidP="00C918FF">
            <w:pPr>
              <w:pStyle w:val="TableTextCA"/>
            </w:pPr>
            <w:r w:rsidRPr="00C918FF">
              <w:t>150.00</w:t>
            </w:r>
          </w:p>
        </w:tc>
        <w:tc>
          <w:tcPr>
            <w:tcW w:w="810" w:type="pct"/>
            <w:tcBorders>
              <w:top w:val="single" w:sz="4" w:space="0" w:color="auto"/>
              <w:left w:val="single" w:sz="2" w:space="0" w:color="auto"/>
              <w:bottom w:val="single" w:sz="4" w:space="0" w:color="auto"/>
              <w:right w:val="single" w:sz="2" w:space="0" w:color="auto"/>
            </w:tcBorders>
            <w:vAlign w:val="center"/>
          </w:tcPr>
          <w:p w14:paraId="2E264144" w14:textId="77777777" w:rsidR="001E65BA" w:rsidRPr="006E7C88" w:rsidRDefault="001E65BA" w:rsidP="00C918FF">
            <w:pPr>
              <w:pStyle w:val="TableTextCA"/>
            </w:pPr>
            <w:r w:rsidRPr="00C918FF">
              <w:t>115.00</w:t>
            </w:r>
          </w:p>
        </w:tc>
      </w:tr>
      <w:tr w:rsidR="00D55607" w:rsidRPr="00EA2F4A" w14:paraId="67DF62D4" w14:textId="77777777" w:rsidTr="00D55607">
        <w:trPr>
          <w:trHeight w:val="238"/>
        </w:trPr>
        <w:tc>
          <w:tcPr>
            <w:tcW w:w="2739" w:type="pct"/>
            <w:vMerge w:val="restart"/>
            <w:tcBorders>
              <w:top w:val="single" w:sz="4" w:space="0" w:color="auto"/>
              <w:left w:val="single" w:sz="2" w:space="0" w:color="auto"/>
              <w:right w:val="single" w:sz="2" w:space="0" w:color="auto"/>
            </w:tcBorders>
            <w:vAlign w:val="center"/>
          </w:tcPr>
          <w:p w14:paraId="6826C4F3" w14:textId="77777777" w:rsidR="00D55607" w:rsidRPr="001A0713" w:rsidRDefault="00D55607" w:rsidP="00883A13">
            <w:pPr>
              <w:pStyle w:val="TableTextCA"/>
              <w:jc w:val="left"/>
              <w:rPr>
                <w:b/>
                <w:bCs/>
              </w:rPr>
            </w:pPr>
            <w:r>
              <w:t xml:space="preserve">Proposed new - </w:t>
            </w:r>
            <w:r w:rsidRPr="14F715BC">
              <w:rPr>
                <w:b/>
                <w:bCs/>
              </w:rPr>
              <w:t>Total requested Fee for CT/NG + TV PoCT (Submission 2 – Applicant response to 1627 PSD)</w:t>
            </w:r>
          </w:p>
          <w:p w14:paraId="366AA95D" w14:textId="440692CA" w:rsidR="00D55607" w:rsidRPr="00D55607" w:rsidRDefault="00D55607" w:rsidP="00883A13">
            <w:pPr>
              <w:pStyle w:val="TableTextCA"/>
              <w:jc w:val="left"/>
              <w:rPr>
                <w:b/>
                <w:bCs/>
              </w:rPr>
            </w:pPr>
            <w:r>
              <w:t>(% decrease in proposed fees)</w:t>
            </w:r>
          </w:p>
        </w:tc>
        <w:tc>
          <w:tcPr>
            <w:tcW w:w="564" w:type="pct"/>
            <w:tcBorders>
              <w:top w:val="single" w:sz="4" w:space="0" w:color="auto"/>
              <w:left w:val="single" w:sz="2" w:space="0" w:color="auto"/>
              <w:bottom w:val="single" w:sz="4" w:space="0" w:color="auto"/>
              <w:right w:val="single" w:sz="2" w:space="0" w:color="auto"/>
            </w:tcBorders>
            <w:vAlign w:val="center"/>
          </w:tcPr>
          <w:p w14:paraId="0BBE816C" w14:textId="602392D9" w:rsidR="00D55607" w:rsidRPr="006E7C88" w:rsidRDefault="00D55607" w:rsidP="00C918FF">
            <w:pPr>
              <w:pStyle w:val="TableTextCA"/>
            </w:pPr>
            <w:r>
              <w:t>Fee</w:t>
            </w:r>
          </w:p>
        </w:tc>
        <w:tc>
          <w:tcPr>
            <w:tcW w:w="887" w:type="pct"/>
            <w:tcBorders>
              <w:top w:val="single" w:sz="4" w:space="0" w:color="auto"/>
              <w:left w:val="single" w:sz="2" w:space="0" w:color="auto"/>
              <w:bottom w:val="single" w:sz="4" w:space="0" w:color="auto"/>
              <w:right w:val="single" w:sz="2" w:space="0" w:color="auto"/>
            </w:tcBorders>
            <w:vAlign w:val="center"/>
          </w:tcPr>
          <w:p w14:paraId="2677B8D2" w14:textId="2E2120D3" w:rsidR="00D55607" w:rsidRPr="00C918FF" w:rsidRDefault="00D55607" w:rsidP="00C918FF">
            <w:pPr>
              <w:pStyle w:val="TableTextCA"/>
            </w:pPr>
            <w:r w:rsidRPr="00C918FF">
              <w:t>106.45 (29.4%)</w:t>
            </w:r>
          </w:p>
        </w:tc>
        <w:tc>
          <w:tcPr>
            <w:tcW w:w="810" w:type="pct"/>
            <w:tcBorders>
              <w:top w:val="single" w:sz="4" w:space="0" w:color="auto"/>
              <w:left w:val="single" w:sz="2" w:space="0" w:color="auto"/>
              <w:bottom w:val="single" w:sz="4" w:space="0" w:color="auto"/>
              <w:right w:val="single" w:sz="2" w:space="0" w:color="auto"/>
            </w:tcBorders>
            <w:vAlign w:val="center"/>
          </w:tcPr>
          <w:p w14:paraId="59FA06B0" w14:textId="211B270D" w:rsidR="00D55607" w:rsidRPr="00C918FF" w:rsidRDefault="00D55607" w:rsidP="00C918FF">
            <w:pPr>
              <w:pStyle w:val="TableTextCA"/>
            </w:pPr>
            <w:r w:rsidRPr="00C918FF">
              <w:t>106.45 (7.9%)</w:t>
            </w:r>
          </w:p>
        </w:tc>
      </w:tr>
      <w:tr w:rsidR="00D55607" w:rsidRPr="00EA2F4A" w14:paraId="6B90564C" w14:textId="77777777" w:rsidTr="00D55607">
        <w:trPr>
          <w:trHeight w:val="238"/>
        </w:trPr>
        <w:tc>
          <w:tcPr>
            <w:tcW w:w="2739" w:type="pct"/>
            <w:vMerge/>
            <w:tcBorders>
              <w:left w:val="single" w:sz="2" w:space="0" w:color="auto"/>
              <w:bottom w:val="single" w:sz="4" w:space="0" w:color="auto"/>
              <w:right w:val="single" w:sz="2" w:space="0" w:color="auto"/>
            </w:tcBorders>
          </w:tcPr>
          <w:p w14:paraId="7FDF577F" w14:textId="1E0EB630" w:rsidR="00D55607" w:rsidRPr="00C918FF" w:rsidRDefault="00D55607" w:rsidP="00C918FF">
            <w:pPr>
              <w:pStyle w:val="TableTextCA"/>
              <w:jc w:val="left"/>
              <w:rPr>
                <w:b/>
                <w:bCs/>
              </w:rPr>
            </w:pPr>
          </w:p>
        </w:tc>
        <w:tc>
          <w:tcPr>
            <w:tcW w:w="564" w:type="pct"/>
            <w:tcBorders>
              <w:top w:val="single" w:sz="4" w:space="0" w:color="auto"/>
              <w:left w:val="single" w:sz="2" w:space="0" w:color="auto"/>
              <w:bottom w:val="single" w:sz="4" w:space="0" w:color="auto"/>
              <w:right w:val="single" w:sz="2" w:space="0" w:color="auto"/>
            </w:tcBorders>
            <w:vAlign w:val="center"/>
          </w:tcPr>
          <w:p w14:paraId="362CA656" w14:textId="654D0922" w:rsidR="00D55607" w:rsidRPr="006E7C88" w:rsidRDefault="00D55607" w:rsidP="00C918FF">
            <w:pPr>
              <w:pStyle w:val="TableTextCA"/>
            </w:pPr>
            <w:r w:rsidRPr="006E7C88">
              <w:t>85% Benefit</w:t>
            </w:r>
          </w:p>
        </w:tc>
        <w:tc>
          <w:tcPr>
            <w:tcW w:w="887" w:type="pct"/>
            <w:tcBorders>
              <w:top w:val="single" w:sz="4" w:space="0" w:color="auto"/>
              <w:left w:val="single" w:sz="2" w:space="0" w:color="auto"/>
              <w:bottom w:val="single" w:sz="4" w:space="0" w:color="auto"/>
              <w:right w:val="single" w:sz="2" w:space="0" w:color="auto"/>
            </w:tcBorders>
            <w:vAlign w:val="center"/>
          </w:tcPr>
          <w:p w14:paraId="69F60D2D" w14:textId="77777777" w:rsidR="00D55607" w:rsidRPr="00C918FF" w:rsidRDefault="00D55607" w:rsidP="00C918FF">
            <w:pPr>
              <w:pStyle w:val="TableTextCA"/>
            </w:pPr>
            <w:r w:rsidRPr="00C918FF">
              <w:t>90.50</w:t>
            </w:r>
          </w:p>
        </w:tc>
        <w:tc>
          <w:tcPr>
            <w:tcW w:w="810" w:type="pct"/>
            <w:tcBorders>
              <w:top w:val="single" w:sz="4" w:space="0" w:color="auto"/>
              <w:left w:val="single" w:sz="2" w:space="0" w:color="auto"/>
              <w:bottom w:val="single" w:sz="4" w:space="0" w:color="auto"/>
              <w:right w:val="single" w:sz="2" w:space="0" w:color="auto"/>
            </w:tcBorders>
            <w:vAlign w:val="center"/>
          </w:tcPr>
          <w:p w14:paraId="1F6472AF" w14:textId="77777777" w:rsidR="00D55607" w:rsidRPr="00C918FF" w:rsidRDefault="00D55607" w:rsidP="00C918FF">
            <w:pPr>
              <w:pStyle w:val="TableTextCA"/>
            </w:pPr>
            <w:r w:rsidRPr="00C918FF">
              <w:t>90.50</w:t>
            </w:r>
          </w:p>
        </w:tc>
      </w:tr>
      <w:tr w:rsidR="00F70FB1" w:rsidRPr="00EA2F4A" w14:paraId="15C17B0E" w14:textId="77777777" w:rsidTr="00F70FB1">
        <w:trPr>
          <w:trHeight w:val="238"/>
        </w:trPr>
        <w:tc>
          <w:tcPr>
            <w:tcW w:w="3303" w:type="pct"/>
            <w:gridSpan w:val="2"/>
            <w:tcBorders>
              <w:top w:val="single" w:sz="4" w:space="0" w:color="auto"/>
              <w:left w:val="single" w:sz="2" w:space="0" w:color="auto"/>
              <w:bottom w:val="single" w:sz="4" w:space="0" w:color="auto"/>
              <w:right w:val="single" w:sz="2" w:space="0" w:color="auto"/>
            </w:tcBorders>
          </w:tcPr>
          <w:p w14:paraId="3F605C2D" w14:textId="6B9C3E3E" w:rsidR="00F70FB1" w:rsidRPr="006E7C88" w:rsidRDefault="00F70FB1" w:rsidP="00F70FB1">
            <w:pPr>
              <w:pStyle w:val="TableTextCA"/>
              <w:jc w:val="left"/>
            </w:pPr>
            <w:r w:rsidRPr="00C918FF">
              <w:rPr>
                <w:b/>
                <w:bCs/>
              </w:rPr>
              <w:t xml:space="preserve">Difference between </w:t>
            </w:r>
            <w:r>
              <w:rPr>
                <w:b/>
                <w:bCs/>
              </w:rPr>
              <w:t xml:space="preserve">Submissions </w:t>
            </w:r>
            <w:r w:rsidRPr="00C918FF">
              <w:rPr>
                <w:b/>
                <w:bCs/>
              </w:rPr>
              <w:t xml:space="preserve">1 and 2 (% decrease in Benefit) </w:t>
            </w:r>
            <w:r w:rsidRPr="001A0713">
              <w:t xml:space="preserve">– </w:t>
            </w:r>
            <w:r w:rsidRPr="00C918FF">
              <w:t>reflects both decrease in proposed fee and decrease from 100% benefit to 85% benefit.</w:t>
            </w:r>
          </w:p>
        </w:tc>
        <w:tc>
          <w:tcPr>
            <w:tcW w:w="887" w:type="pct"/>
            <w:tcBorders>
              <w:top w:val="single" w:sz="4" w:space="0" w:color="auto"/>
              <w:left w:val="single" w:sz="2" w:space="0" w:color="auto"/>
              <w:bottom w:val="single" w:sz="4" w:space="0" w:color="auto"/>
              <w:right w:val="single" w:sz="2" w:space="0" w:color="auto"/>
            </w:tcBorders>
            <w:vAlign w:val="center"/>
          </w:tcPr>
          <w:p w14:paraId="6EBCF4D3" w14:textId="77777777" w:rsidR="00F70FB1" w:rsidRPr="00C918FF" w:rsidRDefault="00F70FB1" w:rsidP="00C918FF">
            <w:pPr>
              <w:pStyle w:val="TableTextCA"/>
            </w:pPr>
            <w:r w:rsidRPr="00C918FF">
              <w:t>59.50 (65%)</w:t>
            </w:r>
          </w:p>
        </w:tc>
        <w:tc>
          <w:tcPr>
            <w:tcW w:w="810" w:type="pct"/>
            <w:tcBorders>
              <w:top w:val="single" w:sz="4" w:space="0" w:color="auto"/>
              <w:left w:val="single" w:sz="2" w:space="0" w:color="auto"/>
              <w:bottom w:val="single" w:sz="4" w:space="0" w:color="auto"/>
              <w:right w:val="single" w:sz="2" w:space="0" w:color="auto"/>
            </w:tcBorders>
            <w:vAlign w:val="center"/>
          </w:tcPr>
          <w:p w14:paraId="6209319F" w14:textId="4115CCF5" w:rsidR="00F70FB1" w:rsidRPr="00C918FF" w:rsidRDefault="00F66E92" w:rsidP="00C918FF">
            <w:pPr>
              <w:pStyle w:val="TableTextCA"/>
            </w:pPr>
            <w:r>
              <w:t xml:space="preserve">24.50 </w:t>
            </w:r>
            <w:r w:rsidR="00F70FB1" w:rsidRPr="00C918FF">
              <w:t>(27%)</w:t>
            </w:r>
          </w:p>
        </w:tc>
      </w:tr>
    </w:tbl>
    <w:p w14:paraId="30F91BFE" w14:textId="1290E201" w:rsidR="007D6E67" w:rsidRDefault="007D6E67" w:rsidP="00B61F9E">
      <w:pPr>
        <w:pStyle w:val="Tablenotes0"/>
        <w:spacing w:before="0"/>
      </w:pPr>
      <w:r>
        <w:t>Source: Table 2, pg</w:t>
      </w:r>
      <w:r w:rsidR="00A45F27">
        <w:t xml:space="preserve"> 4</w:t>
      </w:r>
      <w:r>
        <w:t xml:space="preserve"> of </w:t>
      </w:r>
      <w:r w:rsidR="0030140D">
        <w:t xml:space="preserve">MSAC 1627.1 </w:t>
      </w:r>
      <w:r w:rsidR="00C02204">
        <w:t xml:space="preserve">Applicant response (Resubmission) </w:t>
      </w:r>
      <w:r w:rsidR="00487AC9">
        <w:t xml:space="preserve">with </w:t>
      </w:r>
      <w:r w:rsidR="00883A13">
        <w:t xml:space="preserve">department clarification/corrections </w:t>
      </w:r>
    </w:p>
    <w:p w14:paraId="3A9A76D8" w14:textId="570D36B8" w:rsidR="001E65BA" w:rsidRDefault="001E65BA" w:rsidP="00C02204">
      <w:pPr>
        <w:pStyle w:val="Tablenotes0"/>
      </w:pPr>
      <w:r w:rsidRPr="002F4CC5">
        <w:t>*Service agreements and software licencing fees have been removed and will be managed by the training and quality management program that will receive block funding. Costs for these items were only included in the original CT/NG costing and not TV.</w:t>
      </w:r>
    </w:p>
    <w:p w14:paraId="36EE1A53" w14:textId="420E6BF8" w:rsidR="001E65BA" w:rsidRDefault="00C5729D" w:rsidP="000A352D">
      <w:pPr>
        <w:pStyle w:val="Tablenotes0"/>
      </w:pPr>
      <w:r>
        <w:t>#</w:t>
      </w:r>
      <w:r w:rsidR="00321076">
        <w:t xml:space="preserve"> Applicant previously proposed 100% rebate </w:t>
      </w:r>
      <w:r w:rsidR="00995A2D">
        <w:t xml:space="preserve">hence fee and benefit were the same in MSAC 1627 ADAR </w:t>
      </w:r>
    </w:p>
    <w:p w14:paraId="30007D7F" w14:textId="13FFC257" w:rsidR="001C23AE" w:rsidRDefault="00B271E9" w:rsidP="009F26F2">
      <w:pPr>
        <w:pStyle w:val="Default"/>
        <w:spacing w:after="240" w:line="276" w:lineRule="atLeast"/>
        <w:rPr>
          <w:rFonts w:ascii="Franklin Gothic Book" w:hAnsi="Franklin Gothic Book"/>
          <w:sz w:val="22"/>
          <w:szCs w:val="22"/>
        </w:rPr>
      </w:pPr>
      <w:r>
        <w:rPr>
          <w:rFonts w:ascii="Franklin Gothic Book" w:hAnsi="Franklin Gothic Book"/>
          <w:sz w:val="22"/>
          <w:szCs w:val="22"/>
        </w:rPr>
        <w:lastRenderedPageBreak/>
        <w:t xml:space="preserve">As per the applicant’s response, </w:t>
      </w:r>
      <w:r w:rsidR="00840F2A">
        <w:rPr>
          <w:rFonts w:ascii="Franklin Gothic Book" w:hAnsi="Franklin Gothic Book"/>
          <w:sz w:val="22"/>
          <w:szCs w:val="22"/>
        </w:rPr>
        <w:t>the applicant</w:t>
      </w:r>
      <w:r>
        <w:rPr>
          <w:rFonts w:ascii="Franklin Gothic Book" w:hAnsi="Franklin Gothic Book"/>
          <w:sz w:val="22"/>
          <w:szCs w:val="22"/>
        </w:rPr>
        <w:t xml:space="preserve"> </w:t>
      </w:r>
      <w:r w:rsidR="004D731B">
        <w:rPr>
          <w:rFonts w:ascii="Franklin Gothic Book" w:hAnsi="Franklin Gothic Book"/>
          <w:sz w:val="22"/>
          <w:szCs w:val="22"/>
        </w:rPr>
        <w:t xml:space="preserve">intends </w:t>
      </w:r>
      <w:r>
        <w:rPr>
          <w:rFonts w:ascii="Franklin Gothic Book" w:hAnsi="Franklin Gothic Book"/>
          <w:sz w:val="22"/>
          <w:szCs w:val="22"/>
        </w:rPr>
        <w:t>that i</w:t>
      </w:r>
      <w:r w:rsidR="009F26F2" w:rsidRPr="000D4F33">
        <w:rPr>
          <w:rFonts w:ascii="Franklin Gothic Book" w:hAnsi="Franklin Gothic Book"/>
          <w:sz w:val="22"/>
          <w:szCs w:val="22"/>
        </w:rPr>
        <w:t xml:space="preserve">f a patient received both the CT/NG and TV PoCTs, </w:t>
      </w:r>
      <w:r>
        <w:rPr>
          <w:rFonts w:ascii="Franklin Gothic Book" w:hAnsi="Franklin Gothic Book"/>
          <w:sz w:val="22"/>
          <w:szCs w:val="22"/>
        </w:rPr>
        <w:t>then the</w:t>
      </w:r>
      <w:r w:rsidR="009F26F2" w:rsidRPr="000D4F33">
        <w:rPr>
          <w:rFonts w:ascii="Franklin Gothic Book" w:hAnsi="Franklin Gothic Book"/>
          <w:sz w:val="22"/>
          <w:szCs w:val="22"/>
        </w:rPr>
        <w:t xml:space="preserve"> miscellaneous item, which accounts for 20 minutes of staff time to perform the test, would be claimed twice</w:t>
      </w:r>
      <w:r w:rsidR="00042015">
        <w:rPr>
          <w:rFonts w:ascii="Franklin Gothic Book" w:hAnsi="Franklin Gothic Book"/>
          <w:sz w:val="22"/>
          <w:szCs w:val="22"/>
        </w:rPr>
        <w:t xml:space="preserve"> (i.e., o</w:t>
      </w:r>
      <w:r w:rsidR="009F26F2" w:rsidRPr="000D4F33">
        <w:rPr>
          <w:rFonts w:ascii="Franklin Gothic Book" w:hAnsi="Franklin Gothic Book"/>
          <w:sz w:val="22"/>
          <w:szCs w:val="22"/>
        </w:rPr>
        <w:t>nce for</w:t>
      </w:r>
      <w:r w:rsidR="00DD6366">
        <w:rPr>
          <w:rFonts w:ascii="Franklin Gothic Book" w:hAnsi="Franklin Gothic Book"/>
          <w:sz w:val="22"/>
          <w:szCs w:val="22"/>
        </w:rPr>
        <w:t xml:space="preserve"> </w:t>
      </w:r>
      <w:r w:rsidR="009F26F2" w:rsidRPr="000D4F33">
        <w:rPr>
          <w:rFonts w:ascii="Franklin Gothic Book" w:hAnsi="Franklin Gothic Book"/>
          <w:sz w:val="22"/>
          <w:szCs w:val="22"/>
        </w:rPr>
        <w:t>each test</w:t>
      </w:r>
      <w:r w:rsidR="00042015">
        <w:rPr>
          <w:rFonts w:ascii="Franklin Gothic Book" w:hAnsi="Franklin Gothic Book"/>
          <w:sz w:val="22"/>
          <w:szCs w:val="22"/>
        </w:rPr>
        <w:t>).</w:t>
      </w:r>
      <w:r w:rsidR="0004259A">
        <w:rPr>
          <w:rFonts w:ascii="Franklin Gothic Book" w:hAnsi="Franklin Gothic Book"/>
          <w:sz w:val="22"/>
          <w:szCs w:val="22"/>
        </w:rPr>
        <w:t xml:space="preserve"> T</w:t>
      </w:r>
      <w:r w:rsidR="009F26F2" w:rsidRPr="000D4F33">
        <w:rPr>
          <w:rFonts w:ascii="Franklin Gothic Book" w:hAnsi="Franklin Gothic Book"/>
          <w:sz w:val="22"/>
          <w:szCs w:val="22"/>
        </w:rPr>
        <w:t>he applicant claim</w:t>
      </w:r>
      <w:r w:rsidR="007849CD">
        <w:rPr>
          <w:rFonts w:ascii="Franklin Gothic Book" w:hAnsi="Franklin Gothic Book"/>
          <w:sz w:val="22"/>
          <w:szCs w:val="22"/>
        </w:rPr>
        <w:t>ed</w:t>
      </w:r>
      <w:r w:rsidR="009F26F2" w:rsidRPr="000D4F33">
        <w:rPr>
          <w:rFonts w:ascii="Franklin Gothic Book" w:hAnsi="Franklin Gothic Book"/>
          <w:sz w:val="22"/>
          <w:szCs w:val="22"/>
        </w:rPr>
        <w:t xml:space="preserve"> each test is run separately, one at a time, to maintain test quality.</w:t>
      </w:r>
      <w:r w:rsidR="00DD71CC">
        <w:rPr>
          <w:rFonts w:ascii="Franklin Gothic Book" w:hAnsi="Franklin Gothic Book"/>
          <w:sz w:val="22"/>
          <w:szCs w:val="22"/>
        </w:rPr>
        <w:t xml:space="preserve"> </w:t>
      </w:r>
      <w:r w:rsidR="009F26F2" w:rsidRPr="000D4F33">
        <w:rPr>
          <w:rFonts w:ascii="Franklin Gothic Book" w:hAnsi="Franklin Gothic Book"/>
          <w:sz w:val="22"/>
          <w:szCs w:val="22"/>
        </w:rPr>
        <w:t>This implie</w:t>
      </w:r>
      <w:r w:rsidR="0004259A">
        <w:rPr>
          <w:rFonts w:ascii="Franklin Gothic Book" w:hAnsi="Franklin Gothic Book"/>
          <w:sz w:val="22"/>
          <w:szCs w:val="22"/>
        </w:rPr>
        <w:t>d</w:t>
      </w:r>
      <w:r w:rsidR="008C67DC">
        <w:rPr>
          <w:rFonts w:ascii="Franklin Gothic Book" w:hAnsi="Franklin Gothic Book"/>
          <w:sz w:val="22"/>
          <w:szCs w:val="22"/>
        </w:rPr>
        <w:t xml:space="preserve"> that</w:t>
      </w:r>
      <w:r w:rsidR="009F26F2" w:rsidRPr="000D4F33">
        <w:rPr>
          <w:rFonts w:ascii="Franklin Gothic Book" w:hAnsi="Franklin Gothic Book"/>
          <w:sz w:val="22"/>
          <w:szCs w:val="22"/>
        </w:rPr>
        <w:t xml:space="preserve"> 40</w:t>
      </w:r>
      <w:r w:rsidR="004D731B">
        <w:rPr>
          <w:rFonts w:ascii="Franklin Gothic Book" w:hAnsi="Franklin Gothic Book"/>
          <w:sz w:val="22"/>
          <w:szCs w:val="22"/>
        </w:rPr>
        <w:t> </w:t>
      </w:r>
      <w:r w:rsidR="009F26F2" w:rsidRPr="000D4F33">
        <w:rPr>
          <w:rFonts w:ascii="Franklin Gothic Book" w:hAnsi="Franklin Gothic Book"/>
          <w:sz w:val="22"/>
          <w:szCs w:val="22"/>
        </w:rPr>
        <w:t xml:space="preserve">minutes of staff time is required to perform the CT/NG and TV PoCTs. </w:t>
      </w:r>
    </w:p>
    <w:p w14:paraId="363368E3" w14:textId="40F0F61D" w:rsidR="009F26F2" w:rsidRPr="00AB6418" w:rsidRDefault="0088784B" w:rsidP="30B4387D">
      <w:pPr>
        <w:pStyle w:val="Default"/>
        <w:spacing w:after="240" w:line="276" w:lineRule="atLeast"/>
        <w:rPr>
          <w:rFonts w:ascii="Franklin Gothic Book" w:hAnsi="Franklin Gothic Book"/>
          <w:sz w:val="22"/>
          <w:szCs w:val="22"/>
        </w:rPr>
      </w:pPr>
      <w:r w:rsidRPr="58A56D32">
        <w:rPr>
          <w:rFonts w:ascii="Franklin Gothic Book" w:hAnsi="Franklin Gothic Book"/>
          <w:sz w:val="22"/>
          <w:szCs w:val="22"/>
        </w:rPr>
        <w:t xml:space="preserve">Existing consultation items and block funding arrangements </w:t>
      </w:r>
      <w:r w:rsidR="00557117" w:rsidRPr="58A56D32">
        <w:rPr>
          <w:rFonts w:ascii="Franklin Gothic Book" w:hAnsi="Franklin Gothic Book"/>
          <w:sz w:val="22"/>
          <w:szCs w:val="22"/>
        </w:rPr>
        <w:t>are generally</w:t>
      </w:r>
      <w:r w:rsidR="00D720B3" w:rsidRPr="58A56D32">
        <w:rPr>
          <w:rFonts w:ascii="Franklin Gothic Book" w:hAnsi="Franklin Gothic Book"/>
          <w:sz w:val="22"/>
          <w:szCs w:val="22"/>
        </w:rPr>
        <w:t xml:space="preserve"> used </w:t>
      </w:r>
      <w:r w:rsidR="00692618" w:rsidRPr="58A56D32">
        <w:rPr>
          <w:rFonts w:ascii="Franklin Gothic Book" w:hAnsi="Franklin Gothic Book"/>
          <w:sz w:val="22"/>
          <w:szCs w:val="22"/>
        </w:rPr>
        <w:t xml:space="preserve">to </w:t>
      </w:r>
      <w:r w:rsidRPr="58A56D32">
        <w:rPr>
          <w:rFonts w:ascii="Franklin Gothic Book" w:hAnsi="Franklin Gothic Book"/>
          <w:sz w:val="22"/>
          <w:szCs w:val="22"/>
        </w:rPr>
        <w:t xml:space="preserve">cover </w:t>
      </w:r>
      <w:r w:rsidR="00692618" w:rsidRPr="58A56D32">
        <w:rPr>
          <w:rFonts w:ascii="Franklin Gothic Book" w:hAnsi="Franklin Gothic Book"/>
          <w:sz w:val="22"/>
          <w:szCs w:val="22"/>
        </w:rPr>
        <w:t>t</w:t>
      </w:r>
      <w:r w:rsidR="1ABB1F0D" w:rsidRPr="58A56D32">
        <w:rPr>
          <w:rFonts w:ascii="Franklin Gothic Book" w:hAnsi="Franklin Gothic Book"/>
          <w:sz w:val="22"/>
          <w:szCs w:val="22"/>
        </w:rPr>
        <w:t>he proposed miscellaneous service</w:t>
      </w:r>
      <w:r w:rsidRPr="58A56D32">
        <w:rPr>
          <w:rFonts w:ascii="Franklin Gothic Book" w:hAnsi="Franklin Gothic Book"/>
          <w:sz w:val="22"/>
          <w:szCs w:val="22"/>
        </w:rPr>
        <w:t xml:space="preserve">. </w:t>
      </w:r>
    </w:p>
    <w:p w14:paraId="220C10AD" w14:textId="5948F750" w:rsidR="00BB01BB" w:rsidRPr="00C918FF" w:rsidRDefault="00692618" w:rsidP="4095706C">
      <w:pPr>
        <w:pStyle w:val="Default"/>
        <w:spacing w:after="240" w:line="276" w:lineRule="atLeast"/>
        <w:rPr>
          <w:rFonts w:ascii="Franklin Gothic Book" w:hAnsi="Franklin Gothic Book"/>
          <w:sz w:val="22"/>
          <w:szCs w:val="22"/>
        </w:rPr>
      </w:pPr>
      <w:r>
        <w:rPr>
          <w:rFonts w:ascii="Franklin Gothic Book" w:hAnsi="Franklin Gothic Book"/>
          <w:sz w:val="22"/>
          <w:szCs w:val="22"/>
        </w:rPr>
        <w:t xml:space="preserve">If </w:t>
      </w:r>
      <w:r w:rsidR="00E55884">
        <w:rPr>
          <w:rFonts w:ascii="Franklin Gothic Book" w:hAnsi="Franklin Gothic Book"/>
          <w:sz w:val="22"/>
          <w:szCs w:val="22"/>
        </w:rPr>
        <w:t>MSAC consider</w:t>
      </w:r>
      <w:r w:rsidR="00614A53">
        <w:rPr>
          <w:rFonts w:ascii="Franklin Gothic Book" w:hAnsi="Franklin Gothic Book"/>
          <w:sz w:val="22"/>
          <w:szCs w:val="22"/>
        </w:rPr>
        <w:t>ed the</w:t>
      </w:r>
      <w:r w:rsidR="00E55884">
        <w:rPr>
          <w:rFonts w:ascii="Franklin Gothic Book" w:hAnsi="Franklin Gothic Book"/>
          <w:sz w:val="22"/>
          <w:szCs w:val="22"/>
        </w:rPr>
        <w:t xml:space="preserve"> inclusion of </w:t>
      </w:r>
      <w:r w:rsidR="00B772A9">
        <w:rPr>
          <w:rFonts w:ascii="Franklin Gothic Book" w:hAnsi="Franklin Gothic Book"/>
          <w:sz w:val="22"/>
          <w:szCs w:val="22"/>
        </w:rPr>
        <w:t xml:space="preserve">miscellaneous service </w:t>
      </w:r>
      <w:r w:rsidR="004F254E">
        <w:rPr>
          <w:rFonts w:ascii="Franklin Gothic Book" w:hAnsi="Franklin Gothic Book"/>
          <w:sz w:val="22"/>
          <w:szCs w:val="22"/>
        </w:rPr>
        <w:t>appropriate, t</w:t>
      </w:r>
      <w:r w:rsidR="66713F27" w:rsidRPr="00AB6418">
        <w:rPr>
          <w:rFonts w:ascii="Franklin Gothic Book" w:hAnsi="Franklin Gothic Book"/>
          <w:sz w:val="22"/>
          <w:szCs w:val="22"/>
        </w:rPr>
        <w:t xml:space="preserve">he </w:t>
      </w:r>
      <w:r w:rsidR="3B0D1A94">
        <w:rPr>
          <w:rFonts w:ascii="Franklin Gothic Book" w:hAnsi="Franklin Gothic Book"/>
          <w:sz w:val="22"/>
          <w:szCs w:val="22"/>
        </w:rPr>
        <w:t>d</w:t>
      </w:r>
      <w:r w:rsidR="66713F27" w:rsidRPr="00AB6418">
        <w:rPr>
          <w:rFonts w:ascii="Franklin Gothic Book" w:hAnsi="Franklin Gothic Book"/>
          <w:sz w:val="22"/>
          <w:szCs w:val="22"/>
        </w:rPr>
        <w:t>epartment</w:t>
      </w:r>
      <w:r w:rsidR="00457F37">
        <w:rPr>
          <w:rFonts w:ascii="Franklin Gothic Book" w:hAnsi="Franklin Gothic Book"/>
          <w:sz w:val="22"/>
          <w:szCs w:val="22"/>
        </w:rPr>
        <w:t xml:space="preserve"> noted </w:t>
      </w:r>
      <w:r w:rsidR="66713F27" w:rsidRPr="00AB6418">
        <w:rPr>
          <w:rFonts w:ascii="Franklin Gothic Book" w:hAnsi="Franklin Gothic Book"/>
          <w:sz w:val="22"/>
          <w:szCs w:val="22"/>
        </w:rPr>
        <w:t xml:space="preserve">preference for the proposed Item ZZZ to be claimed only once per episode, </w:t>
      </w:r>
      <w:r w:rsidR="28ACC726">
        <w:rPr>
          <w:rFonts w:ascii="Franklin Gothic Book" w:hAnsi="Franklin Gothic Book"/>
          <w:sz w:val="22"/>
          <w:szCs w:val="22"/>
        </w:rPr>
        <w:t xml:space="preserve">irrespective of </w:t>
      </w:r>
      <w:r w:rsidR="66713F27" w:rsidRPr="00AB6418">
        <w:rPr>
          <w:rFonts w:ascii="Franklin Gothic Book" w:hAnsi="Franklin Gothic Book"/>
          <w:sz w:val="22"/>
          <w:szCs w:val="22"/>
        </w:rPr>
        <w:t>whether one or both of Item XXX and YYY are claimed in that episode</w:t>
      </w:r>
      <w:r w:rsidR="007B5B60">
        <w:rPr>
          <w:rFonts w:ascii="Franklin Gothic Book" w:hAnsi="Franklin Gothic Book"/>
          <w:sz w:val="22"/>
          <w:szCs w:val="22"/>
        </w:rPr>
        <w:t xml:space="preserve"> under a single item</w:t>
      </w:r>
      <w:r w:rsidR="004D237E">
        <w:rPr>
          <w:rFonts w:ascii="Franklin Gothic Book" w:hAnsi="Franklin Gothic Book"/>
          <w:sz w:val="22"/>
          <w:szCs w:val="22"/>
        </w:rPr>
        <w:t xml:space="preserve"> fee</w:t>
      </w:r>
      <w:r w:rsidR="09CEC317" w:rsidRPr="00AB6418">
        <w:rPr>
          <w:rFonts w:ascii="Franklin Gothic Book" w:hAnsi="Franklin Gothic Book"/>
          <w:sz w:val="22"/>
          <w:szCs w:val="22"/>
        </w:rPr>
        <w:t xml:space="preserve"> </w:t>
      </w:r>
      <w:r w:rsidR="008777C8">
        <w:rPr>
          <w:rFonts w:ascii="Franklin Gothic Book" w:hAnsi="Franklin Gothic Book"/>
          <w:sz w:val="22"/>
          <w:szCs w:val="22"/>
        </w:rPr>
        <w:t xml:space="preserve">(i.e. without </w:t>
      </w:r>
      <w:r w:rsidR="005B1A08">
        <w:rPr>
          <w:rFonts w:ascii="Franklin Gothic Book" w:hAnsi="Franklin Gothic Book"/>
          <w:sz w:val="22"/>
          <w:szCs w:val="22"/>
        </w:rPr>
        <w:t>splitting the service into separate testing and collection/processing fees</w:t>
      </w:r>
      <w:r w:rsidR="005D04B3">
        <w:rPr>
          <w:rFonts w:ascii="Franklin Gothic Book" w:hAnsi="Franklin Gothic Book"/>
          <w:sz w:val="22"/>
          <w:szCs w:val="22"/>
        </w:rPr>
        <w:t>)</w:t>
      </w:r>
      <w:r w:rsidR="00C96ECD">
        <w:rPr>
          <w:rFonts w:ascii="Franklin Gothic Book" w:hAnsi="Franklin Gothic Book"/>
          <w:sz w:val="22"/>
          <w:szCs w:val="22"/>
        </w:rPr>
        <w:t xml:space="preserve"> </w:t>
      </w:r>
      <w:r w:rsidR="005D04B3">
        <w:rPr>
          <w:rFonts w:ascii="Franklin Gothic Book" w:hAnsi="Franklin Gothic Book"/>
          <w:sz w:val="22"/>
          <w:szCs w:val="22"/>
        </w:rPr>
        <w:t>(</w:t>
      </w:r>
      <w:r w:rsidR="09CEC317" w:rsidRPr="00AB6418">
        <w:rPr>
          <w:rFonts w:ascii="Franklin Gothic Book" w:hAnsi="Franklin Gothic Book"/>
          <w:sz w:val="22"/>
          <w:szCs w:val="22"/>
        </w:rPr>
        <w:t>see</w:t>
      </w:r>
      <w:r w:rsidR="3E20AB27" w:rsidRPr="00AB6418">
        <w:rPr>
          <w:rFonts w:ascii="Franklin Gothic Book" w:hAnsi="Franklin Gothic Book"/>
          <w:sz w:val="22"/>
          <w:szCs w:val="22"/>
        </w:rPr>
        <w:t xml:space="preserve"> Alternative 1</w:t>
      </w:r>
      <w:r w:rsidR="286D526D" w:rsidRPr="00AB6418">
        <w:rPr>
          <w:rFonts w:ascii="Franklin Gothic Book" w:hAnsi="Franklin Gothic Book"/>
          <w:sz w:val="22"/>
          <w:szCs w:val="22"/>
        </w:rPr>
        <w:t xml:space="preserve"> fee in</w:t>
      </w:r>
      <w:r w:rsidR="09CEC317" w:rsidRPr="00AB6418">
        <w:rPr>
          <w:rFonts w:ascii="Franklin Gothic Book" w:hAnsi="Franklin Gothic Book"/>
          <w:sz w:val="22"/>
          <w:szCs w:val="22"/>
        </w:rPr>
        <w:t xml:space="preserve"> </w:t>
      </w:r>
      <w:r w:rsidR="00EE3F48" w:rsidRPr="00AB6418">
        <w:rPr>
          <w:rFonts w:ascii="Franklin Gothic Book" w:hAnsi="Franklin Gothic Book"/>
          <w:sz w:val="22"/>
          <w:szCs w:val="22"/>
        </w:rPr>
        <w:fldChar w:fldCharType="begin"/>
      </w:r>
      <w:r w:rsidR="00EE3F48" w:rsidRPr="00AB6418">
        <w:rPr>
          <w:rFonts w:ascii="Franklin Gothic Book" w:hAnsi="Franklin Gothic Book"/>
          <w:sz w:val="22"/>
          <w:szCs w:val="22"/>
        </w:rPr>
        <w:instrText xml:space="preserve"> REF _Ref147777928 \h  \* MERGEFORMAT </w:instrText>
      </w:r>
      <w:r w:rsidR="00EE3F48" w:rsidRPr="00AB6418">
        <w:rPr>
          <w:rFonts w:ascii="Franklin Gothic Book" w:hAnsi="Franklin Gothic Book"/>
          <w:sz w:val="22"/>
          <w:szCs w:val="22"/>
        </w:rPr>
      </w:r>
      <w:r w:rsidR="00EE3F48" w:rsidRPr="00AB6418">
        <w:rPr>
          <w:rFonts w:ascii="Franklin Gothic Book" w:hAnsi="Franklin Gothic Book"/>
          <w:sz w:val="22"/>
          <w:szCs w:val="22"/>
        </w:rPr>
        <w:fldChar w:fldCharType="separate"/>
      </w:r>
      <w:r w:rsidR="00DE2A83" w:rsidRPr="00AD4793">
        <w:rPr>
          <w:rFonts w:ascii="Franklin Gothic Book" w:hAnsi="Franklin Gothic Book"/>
          <w:sz w:val="22"/>
          <w:szCs w:val="22"/>
        </w:rPr>
        <w:t>Table 4</w:t>
      </w:r>
      <w:r w:rsidR="00EE3F48" w:rsidRPr="00AB6418">
        <w:rPr>
          <w:rFonts w:ascii="Franklin Gothic Book" w:hAnsi="Franklin Gothic Book"/>
          <w:sz w:val="22"/>
          <w:szCs w:val="22"/>
        </w:rPr>
        <w:fldChar w:fldCharType="end"/>
      </w:r>
      <w:r w:rsidR="786FA3E1" w:rsidRPr="00AB6418">
        <w:rPr>
          <w:rFonts w:ascii="Franklin Gothic Book" w:hAnsi="Franklin Gothic Book"/>
          <w:sz w:val="22"/>
          <w:szCs w:val="22"/>
        </w:rPr>
        <w:t>)</w:t>
      </w:r>
      <w:r w:rsidR="66713F27" w:rsidRPr="00AB6418">
        <w:rPr>
          <w:rFonts w:ascii="Franklin Gothic Book" w:hAnsi="Franklin Gothic Book"/>
          <w:sz w:val="22"/>
          <w:szCs w:val="22"/>
        </w:rPr>
        <w:t>.</w:t>
      </w:r>
    </w:p>
    <w:p w14:paraId="37CEB2D6" w14:textId="69C893FF" w:rsidR="00085FC4" w:rsidRDefault="002C626F" w:rsidP="4095706C">
      <w:pPr>
        <w:pStyle w:val="Default"/>
        <w:spacing w:after="240" w:line="276" w:lineRule="atLeast"/>
        <w:rPr>
          <w:rFonts w:ascii="Franklin Gothic Book" w:hAnsi="Franklin Gothic Book"/>
          <w:sz w:val="22"/>
          <w:szCs w:val="22"/>
        </w:rPr>
      </w:pPr>
      <w:r w:rsidRPr="00C918FF">
        <w:rPr>
          <w:rFonts w:ascii="Franklin Gothic Book" w:hAnsi="Franklin Gothic Book"/>
          <w:sz w:val="22"/>
          <w:szCs w:val="22"/>
        </w:rPr>
        <w:t xml:space="preserve">Further, the department </w:t>
      </w:r>
      <w:r w:rsidR="006550D4" w:rsidRPr="00C918FF">
        <w:rPr>
          <w:rFonts w:ascii="Franklin Gothic Book" w:hAnsi="Franklin Gothic Book"/>
          <w:sz w:val="22"/>
          <w:szCs w:val="22"/>
        </w:rPr>
        <w:t>note</w:t>
      </w:r>
      <w:r w:rsidR="00370280">
        <w:rPr>
          <w:rFonts w:ascii="Franklin Gothic Book" w:hAnsi="Franklin Gothic Book"/>
          <w:sz w:val="22"/>
          <w:szCs w:val="22"/>
        </w:rPr>
        <w:t>d</w:t>
      </w:r>
      <w:r w:rsidR="006550D4" w:rsidRPr="00C918FF">
        <w:rPr>
          <w:rFonts w:ascii="Franklin Gothic Book" w:hAnsi="Franklin Gothic Book"/>
          <w:sz w:val="22"/>
          <w:szCs w:val="22"/>
        </w:rPr>
        <w:t xml:space="preserve"> the applicant’s proposed fee could </w:t>
      </w:r>
      <w:r w:rsidR="00414897" w:rsidRPr="00C918FF">
        <w:rPr>
          <w:rFonts w:ascii="Franklin Gothic Book" w:hAnsi="Franklin Gothic Book"/>
          <w:sz w:val="22"/>
          <w:szCs w:val="22"/>
        </w:rPr>
        <w:t xml:space="preserve">potentially </w:t>
      </w:r>
      <w:r w:rsidR="006550D4" w:rsidRPr="00C918FF">
        <w:rPr>
          <w:rFonts w:ascii="Franklin Gothic Book" w:hAnsi="Franklin Gothic Book"/>
          <w:sz w:val="22"/>
          <w:szCs w:val="22"/>
        </w:rPr>
        <w:t xml:space="preserve">be significantly reduced by removing </w:t>
      </w:r>
      <w:r w:rsidR="00114D69" w:rsidRPr="00C918FF">
        <w:rPr>
          <w:rFonts w:ascii="Franklin Gothic Book" w:hAnsi="Franklin Gothic Book"/>
          <w:sz w:val="22"/>
          <w:szCs w:val="22"/>
        </w:rPr>
        <w:t>costs</w:t>
      </w:r>
      <w:r w:rsidR="008B3D9A" w:rsidRPr="00C918FF">
        <w:rPr>
          <w:rFonts w:ascii="Franklin Gothic Book" w:hAnsi="Franklin Gothic Book"/>
          <w:sz w:val="22"/>
          <w:szCs w:val="22"/>
        </w:rPr>
        <w:t xml:space="preserve"> that are not appropriate to include in an MBS item fee</w:t>
      </w:r>
      <w:r w:rsidR="00114D69" w:rsidRPr="00C918FF">
        <w:rPr>
          <w:rFonts w:ascii="Franklin Gothic Book" w:hAnsi="Franklin Gothic Book"/>
          <w:sz w:val="22"/>
          <w:szCs w:val="22"/>
        </w:rPr>
        <w:t xml:space="preserve"> (</w:t>
      </w:r>
      <w:r w:rsidR="00CA3C33" w:rsidRPr="00C918FF">
        <w:rPr>
          <w:rFonts w:ascii="Franklin Gothic Book" w:hAnsi="Franklin Gothic Book"/>
          <w:sz w:val="22"/>
          <w:szCs w:val="22"/>
        </w:rPr>
        <w:t>software, cartridge transport</w:t>
      </w:r>
      <w:r w:rsidR="00985680" w:rsidRPr="00C918FF">
        <w:rPr>
          <w:rFonts w:ascii="Franklin Gothic Book" w:hAnsi="Franklin Gothic Book"/>
          <w:sz w:val="22"/>
          <w:szCs w:val="22"/>
        </w:rPr>
        <w:t xml:space="preserve">, etc) or </w:t>
      </w:r>
      <w:r w:rsidR="00EF5DA8" w:rsidRPr="00C918FF">
        <w:rPr>
          <w:rFonts w:ascii="Franklin Gothic Book" w:hAnsi="Franklin Gothic Book"/>
          <w:sz w:val="22"/>
          <w:szCs w:val="22"/>
        </w:rPr>
        <w:t xml:space="preserve">likely already funded via other sources </w:t>
      </w:r>
      <w:r w:rsidR="00F31CA2">
        <w:rPr>
          <w:rFonts w:ascii="Franklin Gothic Book" w:hAnsi="Franklin Gothic Book"/>
          <w:sz w:val="22"/>
          <w:szCs w:val="22"/>
        </w:rPr>
        <w:t>(e.g.</w:t>
      </w:r>
      <w:r w:rsidR="00BA3D4D">
        <w:rPr>
          <w:rFonts w:ascii="Franklin Gothic Book" w:hAnsi="Franklin Gothic Book"/>
          <w:sz w:val="22"/>
          <w:szCs w:val="22"/>
        </w:rPr>
        <w:t xml:space="preserve"> </w:t>
      </w:r>
      <w:r w:rsidR="002976C1" w:rsidRPr="00C918FF">
        <w:rPr>
          <w:rFonts w:ascii="Franklin Gothic Book" w:hAnsi="Franklin Gothic Book"/>
          <w:sz w:val="22"/>
          <w:szCs w:val="22"/>
        </w:rPr>
        <w:t>training, QC, QA</w:t>
      </w:r>
      <w:r w:rsidR="005E38ED">
        <w:rPr>
          <w:rFonts w:ascii="Franklin Gothic Book" w:hAnsi="Franklin Gothic Book"/>
          <w:sz w:val="22"/>
          <w:szCs w:val="22"/>
        </w:rPr>
        <w:t xml:space="preserve"> funded via QAAMS</w:t>
      </w:r>
      <w:r w:rsidR="002976C1" w:rsidRPr="00C918FF">
        <w:rPr>
          <w:rFonts w:ascii="Franklin Gothic Book" w:hAnsi="Franklin Gothic Book"/>
          <w:sz w:val="22"/>
          <w:szCs w:val="22"/>
        </w:rPr>
        <w:t>)</w:t>
      </w:r>
      <w:r w:rsidR="00401C37">
        <w:rPr>
          <w:rFonts w:ascii="Franklin Gothic Book" w:hAnsi="Franklin Gothic Book"/>
          <w:sz w:val="22"/>
          <w:szCs w:val="22"/>
        </w:rPr>
        <w:t xml:space="preserve"> - </w:t>
      </w:r>
      <w:r w:rsidR="00401C37" w:rsidRPr="00C918FF">
        <w:rPr>
          <w:rFonts w:ascii="Franklin Gothic Book" w:hAnsi="Franklin Gothic Book"/>
          <w:sz w:val="22"/>
          <w:szCs w:val="22"/>
        </w:rPr>
        <w:t xml:space="preserve">see Alternative 2 fee in </w:t>
      </w:r>
      <w:r w:rsidR="00401C37" w:rsidRPr="43B06A51">
        <w:rPr>
          <w:rFonts w:ascii="Franklin Gothic Book" w:hAnsi="Franklin Gothic Book"/>
          <w:sz w:val="22"/>
          <w:szCs w:val="22"/>
        </w:rPr>
        <w:fldChar w:fldCharType="begin"/>
      </w:r>
      <w:r w:rsidR="00401C37" w:rsidRPr="43B06A51">
        <w:rPr>
          <w:rFonts w:ascii="Franklin Gothic Book" w:hAnsi="Franklin Gothic Book"/>
          <w:sz w:val="22"/>
          <w:szCs w:val="22"/>
        </w:rPr>
        <w:instrText xml:space="preserve"> REF _Ref147777928 \h  \* MERGEFORMAT </w:instrText>
      </w:r>
      <w:r w:rsidR="00401C37" w:rsidRPr="43B06A51">
        <w:rPr>
          <w:rFonts w:ascii="Franklin Gothic Book" w:hAnsi="Franklin Gothic Book"/>
          <w:sz w:val="22"/>
          <w:szCs w:val="22"/>
        </w:rPr>
      </w:r>
      <w:r w:rsidR="00401C37" w:rsidRPr="43B06A51">
        <w:rPr>
          <w:rFonts w:ascii="Franklin Gothic Book" w:hAnsi="Franklin Gothic Book"/>
          <w:sz w:val="22"/>
          <w:szCs w:val="22"/>
        </w:rPr>
        <w:fldChar w:fldCharType="separate"/>
      </w:r>
      <w:r w:rsidR="00DE2A83" w:rsidRPr="003673A3">
        <w:rPr>
          <w:rFonts w:ascii="Franklin Gothic Book" w:hAnsi="Franklin Gothic Book"/>
          <w:sz w:val="22"/>
          <w:szCs w:val="22"/>
        </w:rPr>
        <w:t>Table 4</w:t>
      </w:r>
      <w:r w:rsidR="003673A3">
        <w:rPr>
          <w:rFonts w:ascii="Franklin Gothic Book" w:hAnsi="Franklin Gothic Book"/>
          <w:sz w:val="22"/>
          <w:szCs w:val="22"/>
        </w:rPr>
        <w:t xml:space="preserve">, </w:t>
      </w:r>
      <w:r w:rsidR="4DAB90B7" w:rsidRPr="00E8747F">
        <w:rPr>
          <w:rFonts w:ascii="Franklin Gothic Book" w:hAnsi="Franklin Gothic Book"/>
          <w:sz w:val="22"/>
          <w:szCs w:val="22"/>
        </w:rPr>
        <w:t xml:space="preserve">which removes costs for </w:t>
      </w:r>
      <w:r w:rsidR="00337937" w:rsidRPr="00E8747F">
        <w:rPr>
          <w:rFonts w:ascii="Franklin Gothic Book" w:hAnsi="Franklin Gothic Book"/>
          <w:sz w:val="22"/>
          <w:szCs w:val="22"/>
        </w:rPr>
        <w:t>miscellaneous</w:t>
      </w:r>
      <w:r w:rsidR="4DAB90B7" w:rsidRPr="00E8747F">
        <w:rPr>
          <w:rFonts w:ascii="Franklin Gothic Book" w:hAnsi="Franklin Gothic Book"/>
          <w:sz w:val="22"/>
          <w:szCs w:val="22"/>
        </w:rPr>
        <w:t xml:space="preserve"> service and proposes a service </w:t>
      </w:r>
      <w:r w:rsidR="0037762A">
        <w:rPr>
          <w:rFonts w:ascii="Franklin Gothic Book" w:hAnsi="Franklin Gothic Book"/>
          <w:sz w:val="22"/>
          <w:szCs w:val="22"/>
        </w:rPr>
        <w:t xml:space="preserve">fee </w:t>
      </w:r>
      <w:r w:rsidR="4DAB90B7" w:rsidRPr="00E8747F">
        <w:rPr>
          <w:rFonts w:ascii="Franklin Gothic Book" w:hAnsi="Franklin Gothic Book"/>
          <w:sz w:val="22"/>
          <w:szCs w:val="22"/>
        </w:rPr>
        <w:t xml:space="preserve">plus the </w:t>
      </w:r>
      <w:r w:rsidR="00337937" w:rsidRPr="00E8747F">
        <w:rPr>
          <w:rFonts w:ascii="Franklin Gothic Book" w:hAnsi="Franklin Gothic Book"/>
          <w:sz w:val="22"/>
          <w:szCs w:val="22"/>
        </w:rPr>
        <w:t>additiona</w:t>
      </w:r>
      <w:r w:rsidR="00401C37" w:rsidRPr="43B06A51">
        <w:rPr>
          <w:rFonts w:ascii="Franklin Gothic Book" w:hAnsi="Franklin Gothic Book"/>
          <w:sz w:val="22"/>
          <w:szCs w:val="22"/>
        </w:rPr>
        <w:fldChar w:fldCharType="end"/>
      </w:r>
      <w:r w:rsidR="008F68CA">
        <w:rPr>
          <w:rFonts w:ascii="Franklin Gothic Book" w:hAnsi="Franklin Gothic Book"/>
          <w:sz w:val="22"/>
          <w:szCs w:val="22"/>
        </w:rPr>
        <w:t>l</w:t>
      </w:r>
      <w:r w:rsidR="00337937">
        <w:rPr>
          <w:rFonts w:ascii="Franklin Gothic Book" w:hAnsi="Franklin Gothic Book"/>
          <w:sz w:val="22"/>
          <w:szCs w:val="22"/>
        </w:rPr>
        <w:t xml:space="preserve"> </w:t>
      </w:r>
      <w:r w:rsidR="00616E0F">
        <w:rPr>
          <w:rFonts w:ascii="Franklin Gothic Book" w:hAnsi="Franklin Gothic Book"/>
          <w:sz w:val="22"/>
          <w:szCs w:val="22"/>
        </w:rPr>
        <w:t>cost element</w:t>
      </w:r>
      <w:r w:rsidR="00FD66FE">
        <w:rPr>
          <w:rFonts w:ascii="Franklin Gothic Book" w:hAnsi="Franklin Gothic Book"/>
          <w:sz w:val="22"/>
          <w:szCs w:val="22"/>
        </w:rPr>
        <w:t>s</w:t>
      </w:r>
      <w:r w:rsidR="005E38ED">
        <w:rPr>
          <w:rFonts w:ascii="Franklin Gothic Book" w:hAnsi="Franklin Gothic Book"/>
          <w:sz w:val="22"/>
          <w:szCs w:val="22"/>
        </w:rPr>
        <w:t xml:space="preserve">. </w:t>
      </w:r>
    </w:p>
    <w:p w14:paraId="47007BB7" w14:textId="38EAC450" w:rsidR="00CE7D63" w:rsidRDefault="00CE7D63" w:rsidP="00CE7D63">
      <w:pPr>
        <w:pStyle w:val="Default"/>
        <w:spacing w:after="240" w:line="276" w:lineRule="atLeast"/>
        <w:rPr>
          <w:rFonts w:ascii="Franklin Gothic Book" w:hAnsi="Franklin Gothic Book"/>
          <w:sz w:val="22"/>
          <w:szCs w:val="22"/>
        </w:rPr>
      </w:pPr>
      <w:r>
        <w:rPr>
          <w:rFonts w:ascii="Franklin Gothic Book" w:hAnsi="Franklin Gothic Book"/>
          <w:sz w:val="22"/>
          <w:szCs w:val="22"/>
        </w:rPr>
        <w:t xml:space="preserve">The Department also noted another option is for the fee for PoCT testing and laboratory-based STI testing to be the same (i.e., equivalent to MBS item </w:t>
      </w:r>
      <w:r w:rsidR="005E00FB">
        <w:rPr>
          <w:rFonts w:ascii="Franklin Gothic Book" w:hAnsi="Franklin Gothic Book"/>
          <w:sz w:val="22"/>
          <w:szCs w:val="22"/>
        </w:rPr>
        <w:t xml:space="preserve">69317 or </w:t>
      </w:r>
      <w:r>
        <w:rPr>
          <w:rFonts w:ascii="Franklin Gothic Book" w:hAnsi="Franklin Gothic Book"/>
          <w:sz w:val="22"/>
          <w:szCs w:val="22"/>
        </w:rPr>
        <w:t>69319</w:t>
      </w:r>
      <w:r w:rsidR="005E00FB">
        <w:rPr>
          <w:rFonts w:ascii="Franklin Gothic Book" w:hAnsi="Franklin Gothic Book"/>
          <w:sz w:val="22"/>
          <w:szCs w:val="22"/>
        </w:rPr>
        <w:t xml:space="preserve"> depending on whether </w:t>
      </w:r>
      <w:r w:rsidR="00722F49">
        <w:rPr>
          <w:rFonts w:ascii="Franklin Gothic Book" w:hAnsi="Franklin Gothic Book"/>
          <w:sz w:val="22"/>
          <w:szCs w:val="22"/>
        </w:rPr>
        <w:t xml:space="preserve">or not PoCT CT/NG testing is combined with </w:t>
      </w:r>
      <w:r w:rsidR="00881E40">
        <w:rPr>
          <w:rFonts w:ascii="Franklin Gothic Book" w:hAnsi="Franklin Gothic Book"/>
          <w:sz w:val="22"/>
          <w:szCs w:val="22"/>
        </w:rPr>
        <w:t xml:space="preserve">PoCT </w:t>
      </w:r>
      <w:r w:rsidR="00722F49">
        <w:rPr>
          <w:rFonts w:ascii="Franklin Gothic Book" w:hAnsi="Franklin Gothic Book"/>
          <w:sz w:val="22"/>
          <w:szCs w:val="22"/>
        </w:rPr>
        <w:t>TV testing</w:t>
      </w:r>
      <w:r>
        <w:rPr>
          <w:rFonts w:ascii="Franklin Gothic Book" w:hAnsi="Franklin Gothic Book"/>
          <w:sz w:val="22"/>
          <w:szCs w:val="22"/>
        </w:rPr>
        <w:t xml:space="preserve">) – see </w:t>
      </w:r>
      <w:r w:rsidRPr="00C918FF">
        <w:rPr>
          <w:rFonts w:ascii="Franklin Gothic Book" w:hAnsi="Franklin Gothic Book"/>
          <w:sz w:val="22"/>
          <w:szCs w:val="22"/>
        </w:rPr>
        <w:t xml:space="preserve">Alternative </w:t>
      </w:r>
      <w:r>
        <w:rPr>
          <w:rFonts w:ascii="Franklin Gothic Book" w:hAnsi="Franklin Gothic Book"/>
          <w:sz w:val="22"/>
          <w:szCs w:val="22"/>
        </w:rPr>
        <w:t>3</w:t>
      </w:r>
      <w:r w:rsidRPr="00C918FF">
        <w:rPr>
          <w:rFonts w:ascii="Franklin Gothic Book" w:hAnsi="Franklin Gothic Book"/>
          <w:sz w:val="22"/>
          <w:szCs w:val="22"/>
        </w:rPr>
        <w:t xml:space="preserve"> fee in </w:t>
      </w:r>
      <w:r w:rsidRPr="43B06A51">
        <w:rPr>
          <w:rFonts w:ascii="Franklin Gothic Book" w:hAnsi="Franklin Gothic Book"/>
          <w:sz w:val="22"/>
          <w:szCs w:val="22"/>
        </w:rPr>
        <w:fldChar w:fldCharType="begin"/>
      </w:r>
      <w:r w:rsidRPr="43B06A51">
        <w:rPr>
          <w:rFonts w:ascii="Franklin Gothic Book" w:hAnsi="Franklin Gothic Book"/>
          <w:sz w:val="22"/>
          <w:szCs w:val="22"/>
        </w:rPr>
        <w:instrText xml:space="preserve"> REF _Ref147777928 \h  \* MERGEFORMAT </w:instrText>
      </w:r>
      <w:r w:rsidRPr="43B06A51">
        <w:rPr>
          <w:rFonts w:ascii="Franklin Gothic Book" w:hAnsi="Franklin Gothic Book"/>
          <w:sz w:val="22"/>
          <w:szCs w:val="22"/>
        </w:rPr>
      </w:r>
      <w:r w:rsidRPr="43B06A51">
        <w:rPr>
          <w:rFonts w:ascii="Franklin Gothic Book" w:hAnsi="Franklin Gothic Book"/>
          <w:sz w:val="22"/>
          <w:szCs w:val="22"/>
        </w:rPr>
        <w:fldChar w:fldCharType="separate"/>
      </w:r>
      <w:r w:rsidR="00DE2A83" w:rsidRPr="003673A3">
        <w:rPr>
          <w:rFonts w:ascii="Franklin Gothic Book" w:hAnsi="Franklin Gothic Book"/>
          <w:sz w:val="22"/>
          <w:szCs w:val="22"/>
        </w:rPr>
        <w:t>Table</w:t>
      </w:r>
      <w:r w:rsidR="00DE2A83">
        <w:t xml:space="preserve"> </w:t>
      </w:r>
      <w:r w:rsidR="00DE2A83">
        <w:rPr>
          <w:noProof/>
        </w:rPr>
        <w:t>4</w:t>
      </w:r>
      <w:r w:rsidRPr="43B06A51">
        <w:rPr>
          <w:rFonts w:ascii="Franklin Gothic Book" w:hAnsi="Franklin Gothic Book"/>
          <w:sz w:val="22"/>
          <w:szCs w:val="22"/>
        </w:rPr>
        <w:fldChar w:fldCharType="end"/>
      </w:r>
      <w:r>
        <w:rPr>
          <w:rFonts w:ascii="Franklin Gothic Book" w:hAnsi="Franklin Gothic Book"/>
          <w:sz w:val="22"/>
          <w:szCs w:val="22"/>
        </w:rPr>
        <w:t>.</w:t>
      </w:r>
    </w:p>
    <w:p w14:paraId="1A4E241C" w14:textId="42CBF42E" w:rsidR="00B61F9E" w:rsidRPr="00B61F9E" w:rsidRDefault="00092E6E" w:rsidP="00B61F9E">
      <w:pPr>
        <w:pStyle w:val="Default"/>
        <w:spacing w:after="240" w:line="276" w:lineRule="atLeast"/>
        <w:rPr>
          <w:rFonts w:ascii="Franklin Gothic Book" w:hAnsi="Franklin Gothic Book"/>
          <w:sz w:val="22"/>
          <w:szCs w:val="22"/>
        </w:rPr>
      </w:pPr>
      <w:r>
        <w:rPr>
          <w:rFonts w:ascii="Franklin Gothic Book" w:hAnsi="Franklin Gothic Book"/>
          <w:sz w:val="22"/>
          <w:szCs w:val="22"/>
        </w:rPr>
        <w:t xml:space="preserve">For MSAC’s reference, the initial fee proposed by </w:t>
      </w:r>
      <w:r w:rsidR="009D05EC">
        <w:rPr>
          <w:rFonts w:ascii="Franklin Gothic Book" w:hAnsi="Franklin Gothic Book"/>
          <w:sz w:val="22"/>
          <w:szCs w:val="22"/>
        </w:rPr>
        <w:t xml:space="preserve">the applicant </w:t>
      </w:r>
      <w:r w:rsidR="00BA2D37">
        <w:rPr>
          <w:rFonts w:ascii="Franklin Gothic Book" w:hAnsi="Franklin Gothic Book"/>
          <w:sz w:val="22"/>
          <w:szCs w:val="22"/>
        </w:rPr>
        <w:t>and considered by the MSAC Executive in October 202</w:t>
      </w:r>
      <w:r w:rsidR="00211125">
        <w:rPr>
          <w:rFonts w:ascii="Franklin Gothic Book" w:hAnsi="Franklin Gothic Book"/>
          <w:sz w:val="22"/>
          <w:szCs w:val="22"/>
        </w:rPr>
        <w:t xml:space="preserve">0, was </w:t>
      </w:r>
      <w:r w:rsidR="00B15775">
        <w:rPr>
          <w:rFonts w:ascii="Franklin Gothic Book" w:hAnsi="Franklin Gothic Book"/>
          <w:sz w:val="22"/>
          <w:szCs w:val="22"/>
        </w:rPr>
        <w:t>$86.44 per CT/N</w:t>
      </w:r>
      <w:r w:rsidR="003310F5">
        <w:rPr>
          <w:rFonts w:ascii="Franklin Gothic Book" w:hAnsi="Franklin Gothic Book"/>
          <w:sz w:val="22"/>
          <w:szCs w:val="22"/>
        </w:rPr>
        <w:t>G</w:t>
      </w:r>
      <w:r w:rsidR="00B15775">
        <w:rPr>
          <w:rFonts w:ascii="Franklin Gothic Book" w:hAnsi="Franklin Gothic Book"/>
          <w:sz w:val="22"/>
          <w:szCs w:val="22"/>
        </w:rPr>
        <w:t xml:space="preserve"> and TV MBS item (combined $172.88).</w:t>
      </w:r>
      <w:bookmarkStart w:id="14" w:name="_Ref147777928"/>
      <w:r w:rsidR="00B61F9E">
        <w:br w:type="page"/>
      </w:r>
    </w:p>
    <w:p w14:paraId="295D07D1" w14:textId="6A42A8AF" w:rsidR="002825BE" w:rsidRDefault="002825BE" w:rsidP="00447D40">
      <w:pPr>
        <w:pStyle w:val="Caption"/>
        <w:keepNext w:val="0"/>
      </w:pPr>
      <w:r>
        <w:lastRenderedPageBreak/>
        <w:t xml:space="preserve">Table </w:t>
      </w:r>
      <w:r>
        <w:fldChar w:fldCharType="begin"/>
      </w:r>
      <w:r>
        <w:instrText>SEQ Table \* ARABIC</w:instrText>
      </w:r>
      <w:r>
        <w:fldChar w:fldCharType="separate"/>
      </w:r>
      <w:r w:rsidR="00DE2A83">
        <w:rPr>
          <w:noProof/>
        </w:rPr>
        <w:t>4</w:t>
      </w:r>
      <w:r>
        <w:fldChar w:fldCharType="end"/>
      </w:r>
      <w:bookmarkEnd w:id="14"/>
      <w:r>
        <w:t xml:space="preserve"> </w:t>
      </w:r>
      <w:r w:rsidR="003B7A88">
        <w:t>Summary of applicant proposed fees and a</w:t>
      </w:r>
      <w:r>
        <w:t>lternative fee</w:t>
      </w:r>
      <w:r w:rsidR="00E76111">
        <w:t xml:space="preserve"> options</w:t>
      </w:r>
      <w:r>
        <w:t xml:space="preserve"> </w:t>
      </w:r>
      <w:r w:rsidR="71A4A5A5">
        <w:t>to reflect different cost elements for funding</w:t>
      </w:r>
    </w:p>
    <w:tbl>
      <w:tblPr>
        <w:tblStyle w:val="TableGrid"/>
        <w:tblW w:w="5108" w:type="pct"/>
        <w:tblLook w:val="04A0" w:firstRow="1" w:lastRow="0" w:firstColumn="1" w:lastColumn="0" w:noHBand="0" w:noVBand="1"/>
      </w:tblPr>
      <w:tblGrid>
        <w:gridCol w:w="4531"/>
        <w:gridCol w:w="1553"/>
        <w:gridCol w:w="1568"/>
        <w:gridCol w:w="1559"/>
      </w:tblGrid>
      <w:tr w:rsidR="00EB1350" w:rsidRPr="00AD52D2" w14:paraId="00F1ACB6" w14:textId="0ECEDC22" w:rsidTr="44CD7770">
        <w:trPr>
          <w:trHeight w:val="168"/>
        </w:trPr>
        <w:tc>
          <w:tcPr>
            <w:tcW w:w="2460" w:type="pct"/>
          </w:tcPr>
          <w:p w14:paraId="71019AF7" w14:textId="77777777" w:rsidR="00EB1350" w:rsidRPr="00AD52D2" w:rsidRDefault="00EB1350" w:rsidP="00447D40">
            <w:pPr>
              <w:pStyle w:val="TableTextCA"/>
              <w:jc w:val="left"/>
              <w:rPr>
                <w:b/>
                <w:bCs/>
              </w:rPr>
            </w:pPr>
            <w:r w:rsidRPr="00AD52D2">
              <w:rPr>
                <w:b/>
                <w:bCs/>
              </w:rPr>
              <w:t>Pathology items</w:t>
            </w:r>
          </w:p>
        </w:tc>
        <w:tc>
          <w:tcPr>
            <w:tcW w:w="843" w:type="pct"/>
            <w:vAlign w:val="center"/>
          </w:tcPr>
          <w:p w14:paraId="292E7DCD" w14:textId="77777777" w:rsidR="00932C13" w:rsidRDefault="00EB1350" w:rsidP="00447D40">
            <w:pPr>
              <w:pStyle w:val="TableTextCA"/>
            </w:pPr>
            <w:r>
              <w:t xml:space="preserve">CT/NG PoCT </w:t>
            </w:r>
          </w:p>
          <w:p w14:paraId="344C4B68" w14:textId="34E27AF9" w:rsidR="00EB1350" w:rsidRPr="00AD52D2" w:rsidRDefault="00932C13" w:rsidP="00447D40">
            <w:pPr>
              <w:pStyle w:val="TableTextCA"/>
            </w:pPr>
            <w:r>
              <w:t>F</w:t>
            </w:r>
            <w:r w:rsidR="000D6D9C">
              <w:t>ee</w:t>
            </w:r>
            <w:r w:rsidR="00A10B81">
              <w:t xml:space="preserve"> </w:t>
            </w:r>
            <w:r w:rsidR="12C0A381">
              <w:t>(</w:t>
            </w:r>
            <w:r w:rsidR="00A10B81">
              <w:t>85% bene</w:t>
            </w:r>
            <w:r w:rsidR="0052569B">
              <w:t>fit</w:t>
            </w:r>
            <w:r w:rsidR="6372A179">
              <w:t>)</w:t>
            </w:r>
          </w:p>
        </w:tc>
        <w:tc>
          <w:tcPr>
            <w:tcW w:w="851" w:type="pct"/>
            <w:vAlign w:val="center"/>
          </w:tcPr>
          <w:p w14:paraId="58D5A69A" w14:textId="77777777" w:rsidR="00932C13" w:rsidRDefault="000D6D9C" w:rsidP="00447D40">
            <w:pPr>
              <w:pStyle w:val="TableTextCA"/>
            </w:pPr>
            <w:r>
              <w:t xml:space="preserve">TV PoCT </w:t>
            </w:r>
          </w:p>
          <w:p w14:paraId="6DF59212" w14:textId="6F947866" w:rsidR="00221ACF" w:rsidRPr="00AD52D2" w:rsidRDefault="00932C13" w:rsidP="00447D40">
            <w:pPr>
              <w:pStyle w:val="TableTextCA"/>
            </w:pPr>
            <w:r>
              <w:t>F</w:t>
            </w:r>
            <w:r w:rsidR="000D6D9C">
              <w:t>ee</w:t>
            </w:r>
            <w:r>
              <w:t xml:space="preserve"> </w:t>
            </w:r>
            <w:r w:rsidR="6390E79A">
              <w:t>(</w:t>
            </w:r>
            <w:r w:rsidR="00221ACF">
              <w:t>85% benefit</w:t>
            </w:r>
            <w:r w:rsidR="68A7B5D9">
              <w:t>)</w:t>
            </w:r>
          </w:p>
        </w:tc>
        <w:tc>
          <w:tcPr>
            <w:tcW w:w="846" w:type="pct"/>
          </w:tcPr>
          <w:p w14:paraId="30DFC278" w14:textId="70944424" w:rsidR="00EB1350" w:rsidRPr="00AD52D2" w:rsidRDefault="000D6D9C" w:rsidP="00447D40">
            <w:pPr>
              <w:pStyle w:val="TableTextCA"/>
            </w:pPr>
            <w:r>
              <w:t xml:space="preserve">Combined CT/NG and TV </w:t>
            </w:r>
            <w:r w:rsidR="00932C13">
              <w:t>F</w:t>
            </w:r>
            <w:r>
              <w:t>ee</w:t>
            </w:r>
            <w:r w:rsidR="00221ACF">
              <w:t xml:space="preserve"> </w:t>
            </w:r>
            <w:r w:rsidR="7D839885">
              <w:t>(</w:t>
            </w:r>
            <w:r w:rsidR="00221ACF">
              <w:t>85% benefit</w:t>
            </w:r>
            <w:r w:rsidR="4A893BA2">
              <w:t>)</w:t>
            </w:r>
          </w:p>
        </w:tc>
      </w:tr>
      <w:tr w:rsidR="00EB1350" w:rsidRPr="00AD52D2" w14:paraId="23BBC4C4" w14:textId="5A39EF88" w:rsidTr="44CD7770">
        <w:trPr>
          <w:trHeight w:val="168"/>
        </w:trPr>
        <w:tc>
          <w:tcPr>
            <w:tcW w:w="2460" w:type="pct"/>
          </w:tcPr>
          <w:p w14:paraId="48EFF07B" w14:textId="60B53872" w:rsidR="00EB1350" w:rsidRPr="00AD52D2" w:rsidRDefault="00EB1350" w:rsidP="00447D40">
            <w:pPr>
              <w:pStyle w:val="TableTextCA"/>
              <w:jc w:val="left"/>
              <w:rPr>
                <w:b/>
                <w:bCs/>
              </w:rPr>
            </w:pPr>
            <w:r>
              <w:rPr>
                <w:b/>
                <w:bCs/>
              </w:rPr>
              <w:t xml:space="preserve">Applicant </w:t>
            </w:r>
            <w:r w:rsidR="00227C02">
              <w:rPr>
                <w:b/>
                <w:bCs/>
              </w:rPr>
              <w:t xml:space="preserve">proposed </w:t>
            </w:r>
            <w:r>
              <w:rPr>
                <w:b/>
                <w:bCs/>
              </w:rPr>
              <w:t>fee – October 2020</w:t>
            </w:r>
          </w:p>
        </w:tc>
        <w:tc>
          <w:tcPr>
            <w:tcW w:w="843" w:type="pct"/>
            <w:vAlign w:val="center"/>
          </w:tcPr>
          <w:p w14:paraId="37E98722" w14:textId="163B7114" w:rsidR="00EB1350" w:rsidRPr="00AD52D2" w:rsidRDefault="000D6D9C" w:rsidP="00447D40">
            <w:pPr>
              <w:pStyle w:val="TableTextCA"/>
            </w:pPr>
            <w:r w:rsidRPr="000D6D9C">
              <w:t>$86.44</w:t>
            </w:r>
          </w:p>
        </w:tc>
        <w:tc>
          <w:tcPr>
            <w:tcW w:w="851" w:type="pct"/>
            <w:vAlign w:val="center"/>
          </w:tcPr>
          <w:p w14:paraId="14F20523" w14:textId="3B3D9F7F" w:rsidR="00EB1350" w:rsidRPr="00AD52D2" w:rsidRDefault="000D6D9C" w:rsidP="00447D40">
            <w:pPr>
              <w:pStyle w:val="TableTextCA"/>
            </w:pPr>
            <w:r w:rsidRPr="000D6D9C">
              <w:t>$86.44</w:t>
            </w:r>
          </w:p>
        </w:tc>
        <w:tc>
          <w:tcPr>
            <w:tcW w:w="846" w:type="pct"/>
          </w:tcPr>
          <w:p w14:paraId="7BA7252C" w14:textId="40F0AD70" w:rsidR="00EB1350" w:rsidRPr="00AD52D2" w:rsidRDefault="000D6D9C" w:rsidP="00447D40">
            <w:pPr>
              <w:pStyle w:val="TableTextCA"/>
            </w:pPr>
            <w:r>
              <w:t>$172.88</w:t>
            </w:r>
          </w:p>
        </w:tc>
      </w:tr>
      <w:tr w:rsidR="00EB1350" w:rsidRPr="00AD52D2" w14:paraId="1C9A1230" w14:textId="66B698E0" w:rsidTr="44CD7770">
        <w:trPr>
          <w:trHeight w:val="168"/>
        </w:trPr>
        <w:tc>
          <w:tcPr>
            <w:tcW w:w="2460" w:type="pct"/>
          </w:tcPr>
          <w:p w14:paraId="1D88AE1E" w14:textId="3F0A04B0" w:rsidR="00EB1350" w:rsidRPr="00153B65" w:rsidRDefault="00544911" w:rsidP="00447D40">
            <w:pPr>
              <w:pStyle w:val="TableTextCA"/>
              <w:jc w:val="left"/>
            </w:pPr>
            <w:r>
              <w:rPr>
                <w:b/>
                <w:bCs/>
              </w:rPr>
              <w:t xml:space="preserve">Applicant </w:t>
            </w:r>
            <w:r w:rsidR="008B2887">
              <w:rPr>
                <w:b/>
                <w:bCs/>
              </w:rPr>
              <w:t>p</w:t>
            </w:r>
            <w:r>
              <w:rPr>
                <w:b/>
                <w:bCs/>
              </w:rPr>
              <w:t xml:space="preserve">roposed fee in </w:t>
            </w:r>
            <w:r w:rsidR="0099574F">
              <w:rPr>
                <w:b/>
                <w:bCs/>
              </w:rPr>
              <w:t xml:space="preserve">MSAC </w:t>
            </w:r>
            <w:r w:rsidR="000D6D9C">
              <w:rPr>
                <w:b/>
                <w:bCs/>
              </w:rPr>
              <w:t>1627</w:t>
            </w:r>
            <w:r w:rsidR="0099574F">
              <w:rPr>
                <w:b/>
                <w:bCs/>
              </w:rPr>
              <w:t xml:space="preserve"> ADAR</w:t>
            </w:r>
            <w:r w:rsidR="000D6D9C">
              <w:rPr>
                <w:b/>
                <w:bCs/>
              </w:rPr>
              <w:t xml:space="preserve"> – considered by MSAC Nov 2022</w:t>
            </w:r>
          </w:p>
        </w:tc>
        <w:tc>
          <w:tcPr>
            <w:tcW w:w="843" w:type="pct"/>
          </w:tcPr>
          <w:p w14:paraId="1F8C8693" w14:textId="58FC21C8" w:rsidR="00EB1350" w:rsidRPr="00AD52D2" w:rsidRDefault="000D6D9C" w:rsidP="00447D40">
            <w:pPr>
              <w:pStyle w:val="TableTextCA"/>
            </w:pPr>
            <w:r>
              <w:t>$</w:t>
            </w:r>
            <w:r w:rsidRPr="000D6D9C">
              <w:t>150.00</w:t>
            </w:r>
          </w:p>
        </w:tc>
        <w:tc>
          <w:tcPr>
            <w:tcW w:w="851" w:type="pct"/>
          </w:tcPr>
          <w:p w14:paraId="6D13686D" w14:textId="0A1D1CFB" w:rsidR="00EB1350" w:rsidRPr="00AD52D2" w:rsidRDefault="000D6D9C" w:rsidP="00447D40">
            <w:pPr>
              <w:pStyle w:val="TableTextCA"/>
            </w:pPr>
            <w:r>
              <w:t>$</w:t>
            </w:r>
            <w:r w:rsidRPr="000D6D9C">
              <w:t>115.00</w:t>
            </w:r>
          </w:p>
        </w:tc>
        <w:tc>
          <w:tcPr>
            <w:tcW w:w="846" w:type="pct"/>
          </w:tcPr>
          <w:p w14:paraId="0613B833" w14:textId="6A6A287F" w:rsidR="00EB1350" w:rsidRPr="00AD52D2" w:rsidRDefault="000D6D9C" w:rsidP="00447D40">
            <w:pPr>
              <w:pStyle w:val="TableTextCA"/>
            </w:pPr>
            <w:r>
              <w:t>$265.00</w:t>
            </w:r>
          </w:p>
        </w:tc>
      </w:tr>
      <w:tr w:rsidR="00EB1350" w:rsidRPr="00AD52D2" w14:paraId="1E21D109" w14:textId="01DF1C74" w:rsidTr="44CD7770">
        <w:trPr>
          <w:trHeight w:val="168"/>
        </w:trPr>
        <w:tc>
          <w:tcPr>
            <w:tcW w:w="2460" w:type="pct"/>
          </w:tcPr>
          <w:p w14:paraId="55120759" w14:textId="30D71100" w:rsidR="00EB1350" w:rsidRPr="00AD52D2" w:rsidRDefault="00544911" w:rsidP="00447D40">
            <w:pPr>
              <w:pStyle w:val="TableTextCA"/>
              <w:jc w:val="left"/>
              <w:rPr>
                <w:b/>
                <w:bCs/>
              </w:rPr>
            </w:pPr>
            <w:r>
              <w:rPr>
                <w:b/>
                <w:bCs/>
              </w:rPr>
              <w:t xml:space="preserve">Applicant proposed fee in </w:t>
            </w:r>
            <w:r w:rsidR="0099574F">
              <w:rPr>
                <w:b/>
                <w:bCs/>
              </w:rPr>
              <w:t>MSAC 1627.1 Applicant response (resubmission)</w:t>
            </w:r>
          </w:p>
        </w:tc>
        <w:tc>
          <w:tcPr>
            <w:tcW w:w="843" w:type="pct"/>
          </w:tcPr>
          <w:p w14:paraId="2FB0BD7F" w14:textId="7B3BCC22" w:rsidR="00EB1350" w:rsidRPr="00AD52D2" w:rsidRDefault="00F81741" w:rsidP="00447D40">
            <w:pPr>
              <w:pStyle w:val="TableTextCA"/>
            </w:pPr>
            <w:r>
              <w:t>$</w:t>
            </w:r>
            <w:r w:rsidR="00DB532E" w:rsidRPr="00DB532E">
              <w:t>106.45</w:t>
            </w:r>
          </w:p>
        </w:tc>
        <w:tc>
          <w:tcPr>
            <w:tcW w:w="851" w:type="pct"/>
          </w:tcPr>
          <w:p w14:paraId="2A6274A6" w14:textId="4A6E1053" w:rsidR="00EB1350" w:rsidRPr="00AD52D2" w:rsidRDefault="00F81741" w:rsidP="00447D40">
            <w:pPr>
              <w:pStyle w:val="TableTextCA"/>
            </w:pPr>
            <w:r>
              <w:t>$</w:t>
            </w:r>
            <w:r w:rsidR="00DB532E" w:rsidRPr="00DB532E">
              <w:t>106.45</w:t>
            </w:r>
          </w:p>
        </w:tc>
        <w:tc>
          <w:tcPr>
            <w:tcW w:w="846" w:type="pct"/>
          </w:tcPr>
          <w:p w14:paraId="67533EEB" w14:textId="50476494" w:rsidR="00EB1350" w:rsidRPr="00AD52D2" w:rsidRDefault="00DB532E" w:rsidP="00447D40">
            <w:pPr>
              <w:pStyle w:val="TableTextCA"/>
            </w:pPr>
            <w:r>
              <w:t>$212.90</w:t>
            </w:r>
          </w:p>
        </w:tc>
      </w:tr>
      <w:tr w:rsidR="00C138D2" w:rsidRPr="00AD52D2" w14:paraId="4257050A" w14:textId="5804F681" w:rsidTr="44CD7770">
        <w:trPr>
          <w:trHeight w:val="234"/>
        </w:trPr>
        <w:tc>
          <w:tcPr>
            <w:tcW w:w="2460" w:type="pct"/>
          </w:tcPr>
          <w:p w14:paraId="5199149A" w14:textId="73936B1F" w:rsidR="00C138D2" w:rsidRPr="00AD4793" w:rsidRDefault="00C138D2" w:rsidP="00447D40">
            <w:pPr>
              <w:pStyle w:val="TableTextCA"/>
              <w:jc w:val="left"/>
              <w:rPr>
                <w:b/>
                <w:bCs/>
              </w:rPr>
            </w:pPr>
            <w:r w:rsidRPr="00AD4793">
              <w:rPr>
                <w:b/>
                <w:bCs/>
              </w:rPr>
              <w:t xml:space="preserve">Alternative 1 – MSAC 1627.1 </w:t>
            </w:r>
            <w:r w:rsidR="00662175" w:rsidRPr="00AD4793">
              <w:rPr>
                <w:b/>
                <w:bCs/>
              </w:rPr>
              <w:t xml:space="preserve">applicant </w:t>
            </w:r>
            <w:r w:rsidR="00D3604B" w:rsidRPr="00AD4793">
              <w:rPr>
                <w:b/>
                <w:bCs/>
              </w:rPr>
              <w:t xml:space="preserve">proposed items &amp; fees </w:t>
            </w:r>
            <w:r w:rsidRPr="00AD4793">
              <w:rPr>
                <w:b/>
                <w:bCs/>
              </w:rPr>
              <w:t>but single miscellaneous service item claimed per patient episode</w:t>
            </w:r>
          </w:p>
          <w:p w14:paraId="3A2881E3" w14:textId="1661CC74" w:rsidR="00C138D2" w:rsidRPr="00AD4793" w:rsidRDefault="00AA2E7E" w:rsidP="00447D40">
            <w:pPr>
              <w:pStyle w:val="TableTextCA"/>
              <w:numPr>
                <w:ilvl w:val="0"/>
                <w:numId w:val="26"/>
              </w:numPr>
              <w:ind w:left="316"/>
              <w:jc w:val="left"/>
            </w:pPr>
            <w:r w:rsidRPr="00AD4793">
              <w:t>Single</w:t>
            </w:r>
            <w:r w:rsidR="00C138D2" w:rsidRPr="00AD4793">
              <w:t xml:space="preserve"> PoCT (CT/NG or TV) </w:t>
            </w:r>
            <w:r w:rsidR="00FD4FC5" w:rsidRPr="00AD4793">
              <w:t xml:space="preserve">cost </w:t>
            </w:r>
            <w:r w:rsidRPr="00AD4793">
              <w:t xml:space="preserve">= </w:t>
            </w:r>
            <w:r w:rsidR="00C138D2" w:rsidRPr="00AD4793">
              <w:t xml:space="preserve">microbiology service item </w:t>
            </w:r>
            <w:r w:rsidRPr="00AD4793">
              <w:t xml:space="preserve">($40.60) </w:t>
            </w:r>
            <w:r w:rsidR="00C138D2" w:rsidRPr="00AD4793">
              <w:t xml:space="preserve">plus single miscellaneous item </w:t>
            </w:r>
            <w:r w:rsidRPr="00AD4793">
              <w:t>($65.85)</w:t>
            </w:r>
            <w:r w:rsidR="004B29F3" w:rsidRPr="00AD4793">
              <w:t xml:space="preserve"> </w:t>
            </w:r>
            <w:r w:rsidR="008A27FF" w:rsidRPr="00AD4793">
              <w:t>= $106.45</w:t>
            </w:r>
          </w:p>
          <w:p w14:paraId="6DE689EA" w14:textId="51416D45" w:rsidR="00C138D2" w:rsidRPr="00AD4793" w:rsidRDefault="00AA2E7E" w:rsidP="00447D40">
            <w:pPr>
              <w:pStyle w:val="TableTextCA"/>
              <w:numPr>
                <w:ilvl w:val="0"/>
                <w:numId w:val="26"/>
              </w:numPr>
              <w:ind w:left="316"/>
              <w:jc w:val="left"/>
            </w:pPr>
            <w:r w:rsidRPr="00AD4793">
              <w:t>C</w:t>
            </w:r>
            <w:r w:rsidR="00C138D2" w:rsidRPr="00AD4793">
              <w:t xml:space="preserve">ombined CT/NG and TV PoCT </w:t>
            </w:r>
            <w:r w:rsidRPr="00AD4793">
              <w:t>=</w:t>
            </w:r>
            <w:r w:rsidR="00C138D2" w:rsidRPr="00AD4793">
              <w:t xml:space="preserve"> CT/NG microbiology </w:t>
            </w:r>
            <w:r w:rsidRPr="00AD4793">
              <w:t xml:space="preserve">($40.60) </w:t>
            </w:r>
            <w:r w:rsidR="00C138D2" w:rsidRPr="00AD4793">
              <w:t>+ TV microbiology</w:t>
            </w:r>
            <w:r w:rsidRPr="00AD4793">
              <w:t xml:space="preserve"> ($40.60)</w:t>
            </w:r>
            <w:r w:rsidR="00C138D2" w:rsidRPr="00AD4793">
              <w:t xml:space="preserve"> + single miscellaneous item </w:t>
            </w:r>
            <w:r w:rsidRPr="00AD4793">
              <w:t>(</w:t>
            </w:r>
            <w:r w:rsidR="00316B97" w:rsidRPr="00AD4793">
              <w:t>65.85)</w:t>
            </w:r>
            <w:r w:rsidR="004B29F3" w:rsidRPr="00AD4793">
              <w:t xml:space="preserve"> </w:t>
            </w:r>
            <w:r w:rsidR="008A27FF" w:rsidRPr="00AD4793">
              <w:t>= $147.05</w:t>
            </w:r>
          </w:p>
        </w:tc>
        <w:tc>
          <w:tcPr>
            <w:tcW w:w="843" w:type="pct"/>
          </w:tcPr>
          <w:p w14:paraId="661EB29A" w14:textId="6394BE61" w:rsidR="00C138D2" w:rsidRDefault="00C138D2" w:rsidP="00447D40">
            <w:pPr>
              <w:pStyle w:val="TableTextCA"/>
            </w:pPr>
            <w:r>
              <w:t>$</w:t>
            </w:r>
            <w:r w:rsidRPr="00DB532E">
              <w:t>106.45</w:t>
            </w:r>
            <w:r w:rsidR="00221ACF">
              <w:t xml:space="preserve"> </w:t>
            </w:r>
          </w:p>
          <w:p w14:paraId="305DB127" w14:textId="7D60D6CB" w:rsidR="00A75428" w:rsidRDefault="40578FF6" w:rsidP="00447D40">
            <w:pPr>
              <w:pStyle w:val="TableTextCA"/>
            </w:pPr>
            <w:r>
              <w:t>(</w:t>
            </w:r>
            <w:r w:rsidR="00A75428">
              <w:t>$90.50</w:t>
            </w:r>
            <w:r w:rsidR="23CFFF7A">
              <w:t>)</w:t>
            </w:r>
          </w:p>
          <w:p w14:paraId="4045D383" w14:textId="452CE374" w:rsidR="00221ACF" w:rsidRPr="00153B65" w:rsidRDefault="00221ACF" w:rsidP="00447D40">
            <w:pPr>
              <w:pStyle w:val="TableTextCA"/>
              <w:rPr>
                <w:b/>
                <w:bCs/>
              </w:rPr>
            </w:pPr>
          </w:p>
        </w:tc>
        <w:tc>
          <w:tcPr>
            <w:tcW w:w="851" w:type="pct"/>
          </w:tcPr>
          <w:p w14:paraId="1D2335D9" w14:textId="5C587E48" w:rsidR="00C138D2" w:rsidRDefault="00C138D2" w:rsidP="00447D40">
            <w:pPr>
              <w:pStyle w:val="TableTextCA"/>
            </w:pPr>
            <w:r>
              <w:t>$</w:t>
            </w:r>
            <w:r w:rsidRPr="00DB532E">
              <w:t>106.45</w:t>
            </w:r>
            <w:r w:rsidR="00221ACF">
              <w:t xml:space="preserve"> </w:t>
            </w:r>
          </w:p>
          <w:p w14:paraId="6BE646AA" w14:textId="4EE17CA6" w:rsidR="00A75428" w:rsidRDefault="26F9C462" w:rsidP="00447D40">
            <w:pPr>
              <w:pStyle w:val="TableTextCA"/>
            </w:pPr>
            <w:r>
              <w:t>(</w:t>
            </w:r>
            <w:r w:rsidR="00A75428">
              <w:t>$90.50</w:t>
            </w:r>
            <w:r w:rsidR="0B9CFF21">
              <w:t>)</w:t>
            </w:r>
          </w:p>
          <w:p w14:paraId="7D4E5D1C" w14:textId="08FE417E" w:rsidR="00221ACF" w:rsidRPr="00C918FF" w:rsidRDefault="00221ACF" w:rsidP="00447D40">
            <w:pPr>
              <w:pStyle w:val="TableTextCA"/>
              <w:rPr>
                <w:b/>
                <w:bCs/>
                <w:i/>
                <w:iCs/>
              </w:rPr>
            </w:pPr>
          </w:p>
        </w:tc>
        <w:tc>
          <w:tcPr>
            <w:tcW w:w="846" w:type="pct"/>
          </w:tcPr>
          <w:p w14:paraId="23B4BD27" w14:textId="4E95E0A2" w:rsidR="004E432E" w:rsidRDefault="00670297" w:rsidP="00447D40">
            <w:pPr>
              <w:pStyle w:val="TableTextCA"/>
            </w:pPr>
            <w:r>
              <w:t>$1</w:t>
            </w:r>
            <w:r w:rsidR="00B87014">
              <w:t>47</w:t>
            </w:r>
            <w:r>
              <w:t>.05</w:t>
            </w:r>
            <w:r w:rsidR="0011409B">
              <w:t xml:space="preserve"> </w:t>
            </w:r>
          </w:p>
          <w:p w14:paraId="51719F22" w14:textId="741E5509" w:rsidR="0011409B" w:rsidRPr="00153B65" w:rsidRDefault="2818310E" w:rsidP="00447D40">
            <w:pPr>
              <w:pStyle w:val="TableTextCA"/>
            </w:pPr>
            <w:r>
              <w:t>(</w:t>
            </w:r>
            <w:r w:rsidR="0011409B">
              <w:t>$125.00</w:t>
            </w:r>
            <w:r w:rsidR="18473283">
              <w:t>)</w:t>
            </w:r>
          </w:p>
        </w:tc>
      </w:tr>
      <w:tr w:rsidR="00C80E53" w:rsidRPr="00AD52D2" w14:paraId="2913B77D" w14:textId="37B1F4A0" w:rsidTr="44CD7770">
        <w:trPr>
          <w:trHeight w:val="238"/>
        </w:trPr>
        <w:tc>
          <w:tcPr>
            <w:tcW w:w="2460" w:type="pct"/>
            <w:tcBorders>
              <w:top w:val="single" w:sz="4" w:space="0" w:color="auto"/>
              <w:left w:val="single" w:sz="2" w:space="0" w:color="auto"/>
              <w:bottom w:val="single" w:sz="4" w:space="0" w:color="auto"/>
              <w:right w:val="single" w:sz="2" w:space="0" w:color="auto"/>
            </w:tcBorders>
          </w:tcPr>
          <w:p w14:paraId="49D7EAF4" w14:textId="1D29F6FD" w:rsidR="00C80E53" w:rsidRPr="00E8464B" w:rsidRDefault="00C80E53" w:rsidP="00447D40">
            <w:pPr>
              <w:pStyle w:val="TableTextCA"/>
              <w:jc w:val="left"/>
            </w:pPr>
            <w:r w:rsidRPr="00AD4793">
              <w:rPr>
                <w:b/>
                <w:bCs/>
              </w:rPr>
              <w:t xml:space="preserve">Alternative 2 – fee </w:t>
            </w:r>
            <w:r w:rsidRPr="00E246EB">
              <w:rPr>
                <w:b/>
                <w:bCs/>
              </w:rPr>
              <w:t>equivalent to the service fee (MBS item 69319) + additional cost elements</w:t>
            </w:r>
            <w:r w:rsidRPr="00E8464B">
              <w:t xml:space="preserve"> </w:t>
            </w:r>
          </w:p>
          <w:p w14:paraId="6A9683BC" w14:textId="61D826B4" w:rsidR="00C80E53" w:rsidRPr="00E246EB" w:rsidRDefault="3279233A" w:rsidP="00447D40">
            <w:pPr>
              <w:pStyle w:val="TableTextCA"/>
              <w:numPr>
                <w:ilvl w:val="0"/>
                <w:numId w:val="27"/>
              </w:numPr>
              <w:ind w:left="316"/>
              <w:jc w:val="left"/>
            </w:pPr>
            <w:r>
              <w:t>Single PoCT (CT/NG or TV) item = cost for 1 test cartridge ($29.01) + professional service ($42.95) = $</w:t>
            </w:r>
            <w:r w:rsidR="074DFC8C">
              <w:t>7</w:t>
            </w:r>
            <w:r w:rsidR="1053CC83">
              <w:t>1</w:t>
            </w:r>
            <w:r w:rsidR="78FCA7BC">
              <w:t>.96 (rounded to $72.00)</w:t>
            </w:r>
          </w:p>
          <w:p w14:paraId="555DA527" w14:textId="3C51A739" w:rsidR="00C80E53" w:rsidRPr="00E8464B" w:rsidRDefault="00C80E53" w:rsidP="00447D40">
            <w:pPr>
              <w:pStyle w:val="TableTextCA"/>
              <w:numPr>
                <w:ilvl w:val="0"/>
                <w:numId w:val="27"/>
              </w:numPr>
              <w:ind w:left="316"/>
              <w:jc w:val="left"/>
            </w:pPr>
            <w:r w:rsidRPr="00E246EB">
              <w:t xml:space="preserve">Combined CT/NG and TV PoCT item = cost for 2 test cartridges ($29.01 x2) + professional service ($42.95) </w:t>
            </w:r>
            <w:r w:rsidRPr="00E8464B">
              <w:t>= $</w:t>
            </w:r>
            <w:r w:rsidR="00CF4058">
              <w:t>100.97 (rounded to $101.00)</w:t>
            </w:r>
          </w:p>
        </w:tc>
        <w:tc>
          <w:tcPr>
            <w:tcW w:w="843" w:type="pct"/>
            <w:tcBorders>
              <w:top w:val="single" w:sz="4" w:space="0" w:color="auto"/>
              <w:left w:val="single" w:sz="2" w:space="0" w:color="auto"/>
              <w:bottom w:val="single" w:sz="4" w:space="0" w:color="auto"/>
              <w:right w:val="single" w:sz="2" w:space="0" w:color="auto"/>
            </w:tcBorders>
          </w:tcPr>
          <w:p w14:paraId="4EF6B1E9" w14:textId="703149C5" w:rsidR="00C80E53" w:rsidRPr="00C80E53" w:rsidRDefault="00C80E53" w:rsidP="00447D40">
            <w:pPr>
              <w:pStyle w:val="TableTextCA"/>
            </w:pPr>
            <w:r w:rsidRPr="00C80E53">
              <w:t>$7</w:t>
            </w:r>
            <w:r w:rsidR="009309E3">
              <w:t>2.00</w:t>
            </w:r>
          </w:p>
          <w:p w14:paraId="691428DC" w14:textId="350AA7FC" w:rsidR="00C80E53" w:rsidRPr="00C80E53" w:rsidRDefault="00C80E53" w:rsidP="00447D40">
            <w:pPr>
              <w:pStyle w:val="TableTextCA"/>
            </w:pPr>
            <w:r w:rsidRPr="00C80E53">
              <w:t>($61.</w:t>
            </w:r>
            <w:r w:rsidR="00AA126A">
              <w:t>20</w:t>
            </w:r>
            <w:r w:rsidRPr="00C80E53">
              <w:t>)</w:t>
            </w:r>
          </w:p>
          <w:p w14:paraId="45706B5E" w14:textId="77777777" w:rsidR="00C80E53" w:rsidRPr="00C80E53" w:rsidRDefault="00C80E53" w:rsidP="00447D40">
            <w:pPr>
              <w:pStyle w:val="TableTextCA"/>
              <w:rPr>
                <w:strike/>
              </w:rPr>
            </w:pPr>
          </w:p>
          <w:p w14:paraId="7FDCC461" w14:textId="5D215290" w:rsidR="00C80E53" w:rsidRPr="00C80E53" w:rsidRDefault="00C80E53" w:rsidP="00447D40">
            <w:pPr>
              <w:pStyle w:val="TableTextCA"/>
            </w:pPr>
          </w:p>
        </w:tc>
        <w:tc>
          <w:tcPr>
            <w:tcW w:w="851" w:type="pct"/>
            <w:tcBorders>
              <w:top w:val="single" w:sz="4" w:space="0" w:color="auto"/>
              <w:left w:val="single" w:sz="2" w:space="0" w:color="auto"/>
              <w:bottom w:val="single" w:sz="4" w:space="0" w:color="auto"/>
              <w:right w:val="single" w:sz="2" w:space="0" w:color="auto"/>
            </w:tcBorders>
          </w:tcPr>
          <w:p w14:paraId="7CB0BF9C" w14:textId="7E28E703" w:rsidR="00C80E53" w:rsidRPr="00C80E53" w:rsidRDefault="00C80E53" w:rsidP="00447D40">
            <w:pPr>
              <w:pStyle w:val="TableTextCA"/>
            </w:pPr>
            <w:r w:rsidRPr="00C80E53">
              <w:t>$7</w:t>
            </w:r>
            <w:r w:rsidR="009309E3">
              <w:t>2.00</w:t>
            </w:r>
          </w:p>
          <w:p w14:paraId="23B3AD8C" w14:textId="3F790E3C" w:rsidR="00C80E53" w:rsidRPr="00C80E53" w:rsidRDefault="00C80E53" w:rsidP="00447D40">
            <w:pPr>
              <w:pStyle w:val="TableTextCA"/>
            </w:pPr>
            <w:r w:rsidRPr="00C80E53">
              <w:t>($61.</w:t>
            </w:r>
            <w:r w:rsidR="00AA126A">
              <w:t>20</w:t>
            </w:r>
            <w:r w:rsidRPr="00C80E53">
              <w:t>)</w:t>
            </w:r>
          </w:p>
          <w:p w14:paraId="5366C801" w14:textId="04D3E120" w:rsidR="00C80E53" w:rsidRPr="00C80E53" w:rsidRDefault="00C80E53" w:rsidP="00447D40">
            <w:pPr>
              <w:pStyle w:val="TableTextCA"/>
            </w:pPr>
          </w:p>
        </w:tc>
        <w:tc>
          <w:tcPr>
            <w:tcW w:w="846" w:type="pct"/>
            <w:tcBorders>
              <w:top w:val="single" w:sz="4" w:space="0" w:color="auto"/>
              <w:left w:val="single" w:sz="2" w:space="0" w:color="auto"/>
              <w:bottom w:val="single" w:sz="4" w:space="0" w:color="auto"/>
              <w:right w:val="single" w:sz="2" w:space="0" w:color="auto"/>
            </w:tcBorders>
          </w:tcPr>
          <w:p w14:paraId="51F7F4D0" w14:textId="398F217E" w:rsidR="00C80E53" w:rsidRPr="00C80E53" w:rsidRDefault="00C80E53" w:rsidP="00447D40">
            <w:pPr>
              <w:pStyle w:val="TableTextCA"/>
            </w:pPr>
            <w:r w:rsidRPr="00C80E53">
              <w:t>$101</w:t>
            </w:r>
            <w:r w:rsidR="00CF4058">
              <w:t>.00</w:t>
            </w:r>
          </w:p>
          <w:p w14:paraId="41027066" w14:textId="09C8FCFF" w:rsidR="00C80E53" w:rsidRPr="00C80E53" w:rsidRDefault="00C80E53" w:rsidP="00447D40">
            <w:pPr>
              <w:pStyle w:val="TableTextCA"/>
            </w:pPr>
            <w:r w:rsidRPr="00C80E53">
              <w:t>($85.8</w:t>
            </w:r>
            <w:r w:rsidR="009309E3">
              <w:t>5</w:t>
            </w:r>
            <w:r w:rsidRPr="00C80E53">
              <w:t>)</w:t>
            </w:r>
          </w:p>
        </w:tc>
      </w:tr>
      <w:tr w:rsidR="00C02145" w:rsidRPr="00AD52D2" w14:paraId="69DBBE8F" w14:textId="624F9ABA" w:rsidTr="44CD7770">
        <w:trPr>
          <w:trHeight w:val="238"/>
        </w:trPr>
        <w:tc>
          <w:tcPr>
            <w:tcW w:w="2460" w:type="pct"/>
            <w:tcBorders>
              <w:top w:val="single" w:sz="4" w:space="0" w:color="auto"/>
              <w:left w:val="single" w:sz="2" w:space="0" w:color="auto"/>
              <w:bottom w:val="single" w:sz="4" w:space="0" w:color="auto"/>
              <w:right w:val="single" w:sz="2" w:space="0" w:color="auto"/>
            </w:tcBorders>
          </w:tcPr>
          <w:p w14:paraId="6A708745" w14:textId="15AA48AC" w:rsidR="00C02145" w:rsidRPr="00E246EB" w:rsidRDefault="00C02145" w:rsidP="00447D40">
            <w:pPr>
              <w:pStyle w:val="TableTextCA"/>
              <w:jc w:val="left"/>
              <w:rPr>
                <w:b/>
                <w:bCs/>
              </w:rPr>
            </w:pPr>
            <w:r w:rsidRPr="00E246EB">
              <w:rPr>
                <w:b/>
                <w:bCs/>
              </w:rPr>
              <w:t xml:space="preserve">Alternative 3 – fee equivalent to laboratory-based testing </w:t>
            </w:r>
          </w:p>
          <w:p w14:paraId="6E1927F2" w14:textId="38CE5090" w:rsidR="00C02145" w:rsidRPr="00E246EB" w:rsidRDefault="00C02145" w:rsidP="00447D40">
            <w:pPr>
              <w:pStyle w:val="TableTextCA"/>
              <w:numPr>
                <w:ilvl w:val="0"/>
                <w:numId w:val="28"/>
              </w:numPr>
              <w:ind w:left="316"/>
              <w:jc w:val="left"/>
            </w:pPr>
            <w:r w:rsidRPr="00E246EB">
              <w:t xml:space="preserve">Single PoCT (CT/NG or TV) </w:t>
            </w:r>
            <w:r w:rsidR="00246712" w:rsidRPr="00E246EB">
              <w:t xml:space="preserve">item </w:t>
            </w:r>
            <w:r w:rsidRPr="00E246EB">
              <w:t xml:space="preserve">= </w:t>
            </w:r>
            <w:r w:rsidR="00177B48" w:rsidRPr="00E246EB">
              <w:t xml:space="preserve">equivalent to </w:t>
            </w:r>
            <w:r w:rsidR="000A0D13" w:rsidRPr="00E246EB">
              <w:t>MBS item 69317 ($</w:t>
            </w:r>
            <w:r w:rsidR="00DE4E10" w:rsidRPr="00E246EB">
              <w:t>35.85)</w:t>
            </w:r>
            <w:r w:rsidR="0057630E" w:rsidRPr="00E246EB">
              <w:t xml:space="preserve"> </w:t>
            </w:r>
          </w:p>
          <w:p w14:paraId="51A88DFC" w14:textId="17626BCE" w:rsidR="00C02145" w:rsidRPr="00E8464B" w:rsidRDefault="00C02145" w:rsidP="00447D40">
            <w:pPr>
              <w:pStyle w:val="TableTextCA"/>
              <w:numPr>
                <w:ilvl w:val="0"/>
                <w:numId w:val="28"/>
              </w:numPr>
              <w:ind w:left="316"/>
              <w:jc w:val="left"/>
            </w:pPr>
            <w:r w:rsidRPr="00E246EB">
              <w:t>Combined CT/NG and TV PoCT</w:t>
            </w:r>
            <w:r w:rsidR="00246712" w:rsidRPr="00E246EB">
              <w:t xml:space="preserve"> i</w:t>
            </w:r>
            <w:r w:rsidR="008B2887" w:rsidRPr="00E246EB">
              <w:t>t</w:t>
            </w:r>
            <w:r w:rsidR="00246712" w:rsidRPr="00E246EB">
              <w:t>e</w:t>
            </w:r>
            <w:r w:rsidR="008B2887" w:rsidRPr="00E246EB">
              <w:t>m</w:t>
            </w:r>
            <w:r w:rsidRPr="00E246EB">
              <w:t xml:space="preserve"> = </w:t>
            </w:r>
            <w:r w:rsidR="00DE4E10" w:rsidRPr="00E246EB">
              <w:t>equivalent to MBS item 69319 ($42.95)</w:t>
            </w:r>
            <w:r w:rsidR="0057630E" w:rsidRPr="00E246EB">
              <w:t xml:space="preserve"> </w:t>
            </w:r>
          </w:p>
        </w:tc>
        <w:tc>
          <w:tcPr>
            <w:tcW w:w="843" w:type="pct"/>
            <w:tcBorders>
              <w:top w:val="single" w:sz="4" w:space="0" w:color="auto"/>
              <w:left w:val="single" w:sz="2" w:space="0" w:color="auto"/>
              <w:bottom w:val="single" w:sz="4" w:space="0" w:color="auto"/>
              <w:right w:val="single" w:sz="2" w:space="0" w:color="auto"/>
            </w:tcBorders>
          </w:tcPr>
          <w:p w14:paraId="081A95CD" w14:textId="0299F862" w:rsidR="00C02145" w:rsidRDefault="00C02145" w:rsidP="00447D40">
            <w:pPr>
              <w:pStyle w:val="TableTextCA"/>
            </w:pPr>
            <w:r>
              <w:t>$35.85</w:t>
            </w:r>
            <w:r w:rsidR="00CC38F8">
              <w:t xml:space="preserve"> </w:t>
            </w:r>
          </w:p>
          <w:p w14:paraId="4A5BDDF4" w14:textId="51DF3DC5" w:rsidR="00CC38F8" w:rsidRDefault="540D8535" w:rsidP="00447D40">
            <w:pPr>
              <w:pStyle w:val="TableTextCA"/>
            </w:pPr>
            <w:r>
              <w:t>(</w:t>
            </w:r>
            <w:r w:rsidR="00CC38F8">
              <w:t>$30.50</w:t>
            </w:r>
            <w:r w:rsidR="1CBB7FBF">
              <w:t>)</w:t>
            </w:r>
          </w:p>
        </w:tc>
        <w:tc>
          <w:tcPr>
            <w:tcW w:w="851" w:type="pct"/>
            <w:tcBorders>
              <w:top w:val="single" w:sz="4" w:space="0" w:color="auto"/>
              <w:left w:val="single" w:sz="2" w:space="0" w:color="auto"/>
              <w:bottom w:val="single" w:sz="4" w:space="0" w:color="auto"/>
              <w:right w:val="single" w:sz="2" w:space="0" w:color="auto"/>
            </w:tcBorders>
          </w:tcPr>
          <w:p w14:paraId="75D5BEE2" w14:textId="67DA76E1" w:rsidR="00C02145" w:rsidRDefault="007D20FD" w:rsidP="00447D40">
            <w:pPr>
              <w:pStyle w:val="TableTextCA"/>
            </w:pPr>
            <w:r>
              <w:t>$35.85</w:t>
            </w:r>
            <w:r w:rsidR="00292904">
              <w:t xml:space="preserve"> </w:t>
            </w:r>
          </w:p>
          <w:p w14:paraId="415EB893" w14:textId="53A5A542" w:rsidR="00292904" w:rsidRDefault="1F62AF20" w:rsidP="00447D40">
            <w:pPr>
              <w:pStyle w:val="TableTextCA"/>
            </w:pPr>
            <w:r>
              <w:t>(</w:t>
            </w:r>
            <w:r w:rsidR="00CC38F8">
              <w:t>$30.50</w:t>
            </w:r>
            <w:r w:rsidR="71CBFEA7">
              <w:t>)</w:t>
            </w:r>
          </w:p>
        </w:tc>
        <w:tc>
          <w:tcPr>
            <w:tcW w:w="846" w:type="pct"/>
            <w:tcBorders>
              <w:top w:val="single" w:sz="4" w:space="0" w:color="auto"/>
              <w:left w:val="single" w:sz="2" w:space="0" w:color="auto"/>
              <w:bottom w:val="single" w:sz="4" w:space="0" w:color="auto"/>
              <w:right w:val="single" w:sz="2" w:space="0" w:color="auto"/>
            </w:tcBorders>
          </w:tcPr>
          <w:p w14:paraId="5171A4CD" w14:textId="430F872F" w:rsidR="00C02145" w:rsidRDefault="007D20FD" w:rsidP="00447D40">
            <w:pPr>
              <w:pStyle w:val="TableTextCA"/>
            </w:pPr>
            <w:r>
              <w:t>$42.95</w:t>
            </w:r>
            <w:r w:rsidR="00292904">
              <w:t xml:space="preserve"> </w:t>
            </w:r>
          </w:p>
          <w:p w14:paraId="22EFAA5D" w14:textId="74CDE449" w:rsidR="00292904" w:rsidRDefault="255E2DCA" w:rsidP="00447D40">
            <w:pPr>
              <w:pStyle w:val="TableTextCA"/>
            </w:pPr>
            <w:r>
              <w:t>(</w:t>
            </w:r>
            <w:r w:rsidR="00292904">
              <w:t>$36.55</w:t>
            </w:r>
            <w:r w:rsidR="13A2D2ED">
              <w:t>)</w:t>
            </w:r>
          </w:p>
        </w:tc>
      </w:tr>
      <w:tr w:rsidR="00F54A57" w:rsidRPr="00AD52D2" w14:paraId="1EA2AA65" w14:textId="77777777" w:rsidTr="44CD7770">
        <w:trPr>
          <w:trHeight w:val="238"/>
        </w:trPr>
        <w:tc>
          <w:tcPr>
            <w:tcW w:w="2460" w:type="pct"/>
            <w:tcBorders>
              <w:top w:val="single" w:sz="4" w:space="0" w:color="auto"/>
              <w:left w:val="single" w:sz="2" w:space="0" w:color="auto"/>
              <w:bottom w:val="single" w:sz="4" w:space="0" w:color="auto"/>
              <w:right w:val="single" w:sz="2" w:space="0" w:color="auto"/>
            </w:tcBorders>
          </w:tcPr>
          <w:p w14:paraId="2615F07E" w14:textId="0E62861D" w:rsidR="00F54A57" w:rsidRPr="00AD4793" w:rsidRDefault="00E8464B" w:rsidP="00447D40">
            <w:pPr>
              <w:pStyle w:val="TableTextCA"/>
              <w:jc w:val="left"/>
              <w:rPr>
                <w:b/>
                <w:bCs/>
              </w:rPr>
            </w:pPr>
            <w:r>
              <w:rPr>
                <w:b/>
                <w:bCs/>
              </w:rPr>
              <w:t xml:space="preserve">Applicant </w:t>
            </w:r>
            <w:r w:rsidR="00F54A57" w:rsidRPr="00AD4793">
              <w:rPr>
                <w:b/>
                <w:bCs/>
              </w:rPr>
              <w:t>Pre-MSAC Alternative fee – MSAC 1627.1 applicant proposed items &amp; fees but 1.5x miscellaneous service item claimed per patient episode</w:t>
            </w:r>
          </w:p>
          <w:p w14:paraId="32B7D86F" w14:textId="77777777" w:rsidR="00F54A57" w:rsidRPr="00AD4793" w:rsidRDefault="00F54A57" w:rsidP="00447D40">
            <w:pPr>
              <w:pStyle w:val="TableTextCA"/>
              <w:numPr>
                <w:ilvl w:val="0"/>
                <w:numId w:val="26"/>
              </w:numPr>
              <w:ind w:left="316"/>
              <w:jc w:val="left"/>
            </w:pPr>
            <w:r w:rsidRPr="00AD4793">
              <w:t>Single PoCT (CT/NG or TV) cost = microbiology service item ($40.60) plus single miscellaneous item ($65.85) = $106.45</w:t>
            </w:r>
          </w:p>
          <w:p w14:paraId="22BACE32" w14:textId="09FA7203" w:rsidR="00F54A57" w:rsidRPr="00AD4793" w:rsidRDefault="00F54A57" w:rsidP="00447D40">
            <w:pPr>
              <w:pStyle w:val="TableTextCA"/>
              <w:numPr>
                <w:ilvl w:val="0"/>
                <w:numId w:val="26"/>
              </w:numPr>
              <w:ind w:left="306"/>
              <w:jc w:val="left"/>
              <w:rPr>
                <w:b/>
                <w:bCs/>
              </w:rPr>
            </w:pPr>
            <w:r w:rsidRPr="00AD4793">
              <w:t>Combined CT/NG and TV PoCT = CT/NG microbiology ($40.60) + TV microbiology ($40.60) + single miscellaneous item (1.5 x 65.85) = $</w:t>
            </w:r>
            <w:r w:rsidR="00346BAF" w:rsidRPr="00AD4793">
              <w:t>180.00</w:t>
            </w:r>
          </w:p>
        </w:tc>
        <w:tc>
          <w:tcPr>
            <w:tcW w:w="843" w:type="pct"/>
            <w:tcBorders>
              <w:top w:val="single" w:sz="4" w:space="0" w:color="auto"/>
              <w:left w:val="single" w:sz="2" w:space="0" w:color="auto"/>
              <w:bottom w:val="single" w:sz="4" w:space="0" w:color="auto"/>
              <w:right w:val="single" w:sz="2" w:space="0" w:color="auto"/>
            </w:tcBorders>
          </w:tcPr>
          <w:p w14:paraId="05E89023" w14:textId="77777777" w:rsidR="00F54A57" w:rsidRDefault="00F54A57" w:rsidP="00447D40">
            <w:pPr>
              <w:pStyle w:val="TableTextCA"/>
            </w:pPr>
            <w:r>
              <w:t>$</w:t>
            </w:r>
            <w:r w:rsidRPr="00DB532E">
              <w:t>106.45</w:t>
            </w:r>
            <w:r>
              <w:t xml:space="preserve"> </w:t>
            </w:r>
          </w:p>
          <w:p w14:paraId="45EE49C2" w14:textId="77777777" w:rsidR="00F54A57" w:rsidRDefault="00F54A57" w:rsidP="00447D40">
            <w:pPr>
              <w:pStyle w:val="TableTextCA"/>
            </w:pPr>
            <w:r>
              <w:t>($90.50)</w:t>
            </w:r>
          </w:p>
          <w:p w14:paraId="73852276" w14:textId="77777777" w:rsidR="00F54A57" w:rsidRDefault="00F54A57" w:rsidP="00447D40">
            <w:pPr>
              <w:pStyle w:val="TableTextCA"/>
            </w:pPr>
          </w:p>
        </w:tc>
        <w:tc>
          <w:tcPr>
            <w:tcW w:w="851" w:type="pct"/>
            <w:tcBorders>
              <w:top w:val="single" w:sz="4" w:space="0" w:color="auto"/>
              <w:left w:val="single" w:sz="2" w:space="0" w:color="auto"/>
              <w:bottom w:val="single" w:sz="4" w:space="0" w:color="auto"/>
              <w:right w:val="single" w:sz="2" w:space="0" w:color="auto"/>
            </w:tcBorders>
          </w:tcPr>
          <w:p w14:paraId="61907669" w14:textId="77777777" w:rsidR="00F54A57" w:rsidRDefault="00F54A57" w:rsidP="00447D40">
            <w:pPr>
              <w:pStyle w:val="TableTextCA"/>
            </w:pPr>
            <w:r>
              <w:t>$</w:t>
            </w:r>
            <w:r w:rsidRPr="00DB532E">
              <w:t>106.45</w:t>
            </w:r>
            <w:r>
              <w:t xml:space="preserve"> </w:t>
            </w:r>
          </w:p>
          <w:p w14:paraId="7E1B794D" w14:textId="77777777" w:rsidR="00F54A57" w:rsidRDefault="00F54A57" w:rsidP="00447D40">
            <w:pPr>
              <w:pStyle w:val="TableTextCA"/>
            </w:pPr>
            <w:r>
              <w:t>($90.50)</w:t>
            </w:r>
          </w:p>
          <w:p w14:paraId="558801F3" w14:textId="77777777" w:rsidR="00F54A57" w:rsidRDefault="00F54A57" w:rsidP="00447D40">
            <w:pPr>
              <w:pStyle w:val="TableTextCA"/>
            </w:pPr>
          </w:p>
        </w:tc>
        <w:tc>
          <w:tcPr>
            <w:tcW w:w="846" w:type="pct"/>
            <w:tcBorders>
              <w:top w:val="single" w:sz="4" w:space="0" w:color="auto"/>
              <w:left w:val="single" w:sz="2" w:space="0" w:color="auto"/>
              <w:bottom w:val="single" w:sz="4" w:space="0" w:color="auto"/>
              <w:right w:val="single" w:sz="2" w:space="0" w:color="auto"/>
            </w:tcBorders>
          </w:tcPr>
          <w:p w14:paraId="7F097308" w14:textId="1834927A" w:rsidR="00F54A57" w:rsidRDefault="00F54A57" w:rsidP="00447D40">
            <w:pPr>
              <w:pStyle w:val="TableTextCA"/>
            </w:pPr>
            <w:r>
              <w:t>$</w:t>
            </w:r>
            <w:r w:rsidR="008D02B9">
              <w:t>180.00</w:t>
            </w:r>
            <w:r>
              <w:t xml:space="preserve"> </w:t>
            </w:r>
          </w:p>
          <w:p w14:paraId="5DBFB57F" w14:textId="747E4F44" w:rsidR="00F54A57" w:rsidRDefault="00F54A57" w:rsidP="00447D40">
            <w:pPr>
              <w:pStyle w:val="TableTextCA"/>
            </w:pPr>
            <w:r>
              <w:t>($1</w:t>
            </w:r>
            <w:r w:rsidR="00947F73">
              <w:t>53</w:t>
            </w:r>
            <w:r>
              <w:t>.00)</w:t>
            </w:r>
          </w:p>
        </w:tc>
      </w:tr>
      <w:tr w:rsidR="00E8464B" w:rsidRPr="00AD52D2" w14:paraId="2883269C" w14:textId="77777777" w:rsidTr="44CD7770">
        <w:trPr>
          <w:trHeight w:val="238"/>
        </w:trPr>
        <w:tc>
          <w:tcPr>
            <w:tcW w:w="2460" w:type="pct"/>
            <w:tcBorders>
              <w:top w:val="single" w:sz="4" w:space="0" w:color="auto"/>
              <w:left w:val="single" w:sz="2" w:space="0" w:color="auto"/>
              <w:bottom w:val="single" w:sz="4" w:space="0" w:color="auto"/>
              <w:right w:val="single" w:sz="2" w:space="0" w:color="auto"/>
            </w:tcBorders>
          </w:tcPr>
          <w:p w14:paraId="6D10D1BB" w14:textId="77777777" w:rsidR="00E8464B" w:rsidRPr="00AD4793" w:rsidRDefault="00E8464B" w:rsidP="00447D40">
            <w:pPr>
              <w:pStyle w:val="TableTextCA"/>
              <w:jc w:val="left"/>
              <w:rPr>
                <w:b/>
                <w:bCs/>
                <w:i/>
                <w:iCs/>
              </w:rPr>
            </w:pPr>
            <w:r w:rsidRPr="00AD4793">
              <w:rPr>
                <w:b/>
                <w:bCs/>
                <w:i/>
                <w:iCs/>
              </w:rPr>
              <w:t>MSAC supported fee</w:t>
            </w:r>
            <w:r w:rsidR="00991ECC" w:rsidRPr="00AD4793">
              <w:rPr>
                <w:b/>
                <w:bCs/>
                <w:i/>
                <w:iCs/>
              </w:rPr>
              <w:t xml:space="preserve"> for combined CT/NG and TV PoCT</w:t>
            </w:r>
          </w:p>
          <w:p w14:paraId="236B6244" w14:textId="5179BFE9" w:rsidR="003B5D8A" w:rsidRPr="00AD4793" w:rsidRDefault="003B5D8A" w:rsidP="00447D40">
            <w:pPr>
              <w:pStyle w:val="TableTextCA"/>
              <w:numPr>
                <w:ilvl w:val="0"/>
                <w:numId w:val="30"/>
              </w:numPr>
              <w:jc w:val="left"/>
              <w:rPr>
                <w:b/>
                <w:bCs/>
                <w:i/>
                <w:iCs/>
              </w:rPr>
            </w:pPr>
            <w:r w:rsidRPr="00AD4793">
              <w:rPr>
                <w:i/>
                <w:iCs/>
              </w:rPr>
              <w:t xml:space="preserve">Combined CT/NG and TV PoCT = </w:t>
            </w:r>
            <w:r w:rsidR="00EA3F05" w:rsidRPr="00AD4793">
              <w:rPr>
                <w:i/>
                <w:iCs/>
              </w:rPr>
              <w:t>professional service</w:t>
            </w:r>
            <w:r w:rsidR="002117B5" w:rsidRPr="00AD4793">
              <w:rPr>
                <w:i/>
                <w:iCs/>
              </w:rPr>
              <w:t xml:space="preserve"> + cost for 2 test cartridges + transport</w:t>
            </w:r>
            <w:r w:rsidR="00EA3F05" w:rsidRPr="00AD4793">
              <w:rPr>
                <w:i/>
                <w:iCs/>
              </w:rPr>
              <w:t xml:space="preserve"> </w:t>
            </w:r>
          </w:p>
        </w:tc>
        <w:tc>
          <w:tcPr>
            <w:tcW w:w="843" w:type="pct"/>
            <w:tcBorders>
              <w:top w:val="single" w:sz="4" w:space="0" w:color="auto"/>
              <w:left w:val="single" w:sz="2" w:space="0" w:color="auto"/>
              <w:bottom w:val="single" w:sz="4" w:space="0" w:color="auto"/>
              <w:right w:val="single" w:sz="2" w:space="0" w:color="auto"/>
            </w:tcBorders>
          </w:tcPr>
          <w:p w14:paraId="69A5916F" w14:textId="52AB3D43" w:rsidR="00E8464B" w:rsidRPr="00AD4793" w:rsidRDefault="000E3AE2" w:rsidP="00447D40">
            <w:pPr>
              <w:pStyle w:val="TableTextCA"/>
              <w:rPr>
                <w:i/>
                <w:iCs/>
              </w:rPr>
            </w:pPr>
            <w:r w:rsidRPr="00AD4793">
              <w:rPr>
                <w:i/>
                <w:iCs/>
              </w:rPr>
              <w:t>-</w:t>
            </w:r>
          </w:p>
        </w:tc>
        <w:tc>
          <w:tcPr>
            <w:tcW w:w="851" w:type="pct"/>
            <w:tcBorders>
              <w:top w:val="single" w:sz="4" w:space="0" w:color="auto"/>
              <w:left w:val="single" w:sz="2" w:space="0" w:color="auto"/>
              <w:bottom w:val="single" w:sz="4" w:space="0" w:color="auto"/>
              <w:right w:val="single" w:sz="2" w:space="0" w:color="auto"/>
            </w:tcBorders>
          </w:tcPr>
          <w:p w14:paraId="0FC93B26" w14:textId="32B31750" w:rsidR="00E8464B" w:rsidRPr="00AD4793" w:rsidRDefault="000E3AE2" w:rsidP="00447D40">
            <w:pPr>
              <w:pStyle w:val="TableTextCA"/>
              <w:rPr>
                <w:i/>
                <w:iCs/>
              </w:rPr>
            </w:pPr>
            <w:r w:rsidRPr="00AD4793">
              <w:rPr>
                <w:i/>
                <w:iCs/>
              </w:rPr>
              <w:t>-</w:t>
            </w:r>
          </w:p>
        </w:tc>
        <w:tc>
          <w:tcPr>
            <w:tcW w:w="846" w:type="pct"/>
            <w:tcBorders>
              <w:top w:val="single" w:sz="4" w:space="0" w:color="auto"/>
              <w:left w:val="single" w:sz="2" w:space="0" w:color="auto"/>
              <w:bottom w:val="single" w:sz="4" w:space="0" w:color="auto"/>
              <w:right w:val="single" w:sz="2" w:space="0" w:color="auto"/>
            </w:tcBorders>
          </w:tcPr>
          <w:p w14:paraId="4A755075" w14:textId="77777777" w:rsidR="00E8464B" w:rsidRPr="00AD4793" w:rsidRDefault="00794C60" w:rsidP="00447D40">
            <w:pPr>
              <w:pStyle w:val="TableTextCA"/>
              <w:rPr>
                <w:i/>
                <w:iCs/>
              </w:rPr>
            </w:pPr>
            <w:r w:rsidRPr="00AD4793">
              <w:rPr>
                <w:i/>
                <w:iCs/>
              </w:rPr>
              <w:t>117.65</w:t>
            </w:r>
          </w:p>
          <w:p w14:paraId="35EEE2E4" w14:textId="0782157C" w:rsidR="00794C60" w:rsidRPr="00AD4793" w:rsidRDefault="00794C60" w:rsidP="00447D40">
            <w:pPr>
              <w:pStyle w:val="TableTextCA"/>
              <w:rPr>
                <w:i/>
                <w:iCs/>
              </w:rPr>
            </w:pPr>
            <w:r w:rsidRPr="00AD4793">
              <w:rPr>
                <w:i/>
                <w:iCs/>
              </w:rPr>
              <w:t>($100)</w:t>
            </w:r>
          </w:p>
        </w:tc>
      </w:tr>
    </w:tbl>
    <w:p w14:paraId="0A1CC010" w14:textId="77777777" w:rsidR="00B61F9E" w:rsidRDefault="00B61F9E">
      <w:pPr>
        <w:spacing w:before="0"/>
        <w:rPr>
          <w:rFonts w:ascii="Franklin Gothic Medium" w:eastAsiaTheme="majorEastAsia" w:hAnsi="Franklin Gothic Medium" w:cstheme="majorBidi"/>
          <w:color w:val="000000" w:themeColor="text1"/>
          <w:sz w:val="32"/>
          <w:szCs w:val="26"/>
        </w:rPr>
      </w:pPr>
      <w:bookmarkStart w:id="15" w:name="_Toc69491419"/>
      <w:r>
        <w:br w:type="page"/>
      </w:r>
    </w:p>
    <w:p w14:paraId="34E0B08F" w14:textId="24FC9CEC" w:rsidR="00772829" w:rsidRPr="00CE28E3" w:rsidRDefault="000A352D" w:rsidP="002A18BE">
      <w:pPr>
        <w:pStyle w:val="Heading2"/>
        <w:numPr>
          <w:ilvl w:val="0"/>
          <w:numId w:val="0"/>
        </w:numPr>
      </w:pPr>
      <w:r>
        <w:lastRenderedPageBreak/>
        <w:t>7</w:t>
      </w:r>
      <w:r w:rsidR="00C36633">
        <w:t>.</w:t>
      </w:r>
      <w:r w:rsidR="00C36633">
        <w:tab/>
      </w:r>
      <w:r w:rsidR="00772829" w:rsidRPr="00CE28E3">
        <w:t>Population</w:t>
      </w:r>
      <w:bookmarkEnd w:id="15"/>
      <w:r w:rsidR="00772829" w:rsidRPr="00CE28E3">
        <w:t xml:space="preserve"> </w:t>
      </w:r>
    </w:p>
    <w:p w14:paraId="48B6EF11" w14:textId="2C34586B" w:rsidR="00652B74" w:rsidRDefault="00652B74" w:rsidP="00652B74">
      <w:bookmarkStart w:id="16" w:name="_Toc69491420"/>
      <w:r>
        <w:t xml:space="preserve">The </w:t>
      </w:r>
      <w:r w:rsidR="00797BF7">
        <w:t xml:space="preserve">population as </w:t>
      </w:r>
      <w:r>
        <w:t xml:space="preserve">proposed </w:t>
      </w:r>
      <w:r w:rsidR="00797BF7">
        <w:t xml:space="preserve">by the applicant </w:t>
      </w:r>
      <w:r>
        <w:t>includes symptomatic individuals, or asymptomatic individuals (including those who do not disclose symptoms), at risk of sexually transmitted infection</w:t>
      </w:r>
      <w:r w:rsidR="00275059">
        <w:t>s</w:t>
      </w:r>
      <w:r>
        <w:t xml:space="preserve">, attending Aboriginal Medical Services </w:t>
      </w:r>
      <w:r w:rsidR="009E08C4">
        <w:t xml:space="preserve">(AMS) </w:t>
      </w:r>
      <w:r>
        <w:t xml:space="preserve">or Aboriginal Community Controlled Health </w:t>
      </w:r>
      <w:r w:rsidR="009E08C4">
        <w:t>Organisations (ACCHOs)</w:t>
      </w:r>
      <w:r>
        <w:t xml:space="preserve"> in regional and remote areas</w:t>
      </w:r>
      <w:r w:rsidR="00ED354D">
        <w:t xml:space="preserve"> (equivalent to MM</w:t>
      </w:r>
      <w:r w:rsidR="00EA42BF">
        <w:t xml:space="preserve"> </w:t>
      </w:r>
      <w:r w:rsidR="00AE3935">
        <w:t xml:space="preserve">categories </w:t>
      </w:r>
      <w:r w:rsidR="00CC11E0">
        <w:t>3</w:t>
      </w:r>
      <w:r w:rsidR="00EA42BF">
        <w:t xml:space="preserve"> to 7)</w:t>
      </w:r>
      <w:r>
        <w:t xml:space="preserve"> </w:t>
      </w:r>
      <w:r w:rsidRPr="004D109F">
        <w:t>as defined by the</w:t>
      </w:r>
      <w:r>
        <w:t xml:space="preserve"> Australian Bureau of Statistics</w:t>
      </w:r>
      <w:r w:rsidRPr="004D109F">
        <w:t xml:space="preserve"> </w:t>
      </w:r>
      <w:r>
        <w:t>(</w:t>
      </w:r>
      <w:r w:rsidRPr="004D109F">
        <w:t>ABS</w:t>
      </w:r>
      <w:r>
        <w:t>)</w:t>
      </w:r>
      <w:r w:rsidR="00D93946">
        <w:rPr>
          <w:rStyle w:val="FootnoteReference"/>
        </w:rPr>
        <w:footnoteReference w:id="2"/>
      </w:r>
      <w:r w:rsidRPr="00D92743">
        <w:rPr>
          <w:vertAlign w:val="subscript"/>
        </w:rPr>
        <w:t>.</w:t>
      </w:r>
      <w:r w:rsidR="00D23B48">
        <w:t xml:space="preserve"> </w:t>
      </w:r>
    </w:p>
    <w:p w14:paraId="2777F715" w14:textId="32A19EEB" w:rsidR="006D0330" w:rsidRDefault="006D0330" w:rsidP="00264A14">
      <w:pPr>
        <w:pStyle w:val="ListParagraph"/>
        <w:numPr>
          <w:ilvl w:val="0"/>
          <w:numId w:val="11"/>
        </w:numPr>
      </w:pPr>
      <w:r>
        <w:t xml:space="preserve">Location of population </w:t>
      </w:r>
    </w:p>
    <w:p w14:paraId="39FC8A16" w14:textId="20591EAE" w:rsidR="000C364A" w:rsidRDefault="00CD7893" w:rsidP="00652B74">
      <w:r>
        <w:t xml:space="preserve">A key issue is </w:t>
      </w:r>
      <w:r w:rsidR="00D23B48">
        <w:t xml:space="preserve">whether the population should be further restricted to people attending </w:t>
      </w:r>
      <w:r w:rsidR="009E08C4">
        <w:t>AMS or ACCHOs in very r</w:t>
      </w:r>
      <w:r w:rsidR="00132670">
        <w:t xml:space="preserve">emote and rural areas of Australia, as defined by the </w:t>
      </w:r>
      <w:r w:rsidR="003B7701">
        <w:t>M</w:t>
      </w:r>
      <w:r w:rsidR="00132670">
        <w:t>odified Monash</w:t>
      </w:r>
      <w:r w:rsidR="00BA5241">
        <w:t xml:space="preserve"> </w:t>
      </w:r>
      <w:r w:rsidR="003B7701">
        <w:t>M</w:t>
      </w:r>
      <w:r w:rsidR="00BA5241">
        <w:t>odel</w:t>
      </w:r>
      <w:r w:rsidR="003C19F6">
        <w:rPr>
          <w:rStyle w:val="FootnoteReference"/>
        </w:rPr>
        <w:footnoteReference w:id="3"/>
      </w:r>
      <w:r w:rsidR="00132670">
        <w:t xml:space="preserve"> as areas 6 and 7</w:t>
      </w:r>
      <w:r>
        <w:t xml:space="preserve"> and suggested as a pragmatic population by MSAC</w:t>
      </w:r>
      <w:r w:rsidR="00844FEB">
        <w:t xml:space="preserve"> as they are most likely to benefit from </w:t>
      </w:r>
      <w:r w:rsidR="00A54B1D">
        <w:t>the proposed intervention</w:t>
      </w:r>
      <w:r w:rsidR="00132670">
        <w:t xml:space="preserve">. People in these areas would likely have to wait the longest to obtain </w:t>
      </w:r>
      <w:r w:rsidR="007835EE">
        <w:t xml:space="preserve">standard laboratory </w:t>
      </w:r>
      <w:r w:rsidR="00132670">
        <w:t xml:space="preserve">test results, </w:t>
      </w:r>
      <w:r w:rsidR="000B300E">
        <w:t xml:space="preserve">are very mobile and </w:t>
      </w:r>
      <w:r w:rsidR="00152BF9">
        <w:t>c</w:t>
      </w:r>
      <w:r w:rsidR="000B300E">
        <w:t xml:space="preserve">ould be difficult to locate </w:t>
      </w:r>
      <w:r w:rsidR="002369B3">
        <w:t xml:space="preserve">for the purposes of </w:t>
      </w:r>
      <w:r w:rsidR="000B300E">
        <w:t>provid</w:t>
      </w:r>
      <w:r w:rsidR="002369B3">
        <w:t>ing</w:t>
      </w:r>
      <w:r w:rsidR="000B300E">
        <w:t xml:space="preserve"> test results and conduct</w:t>
      </w:r>
      <w:r w:rsidR="00CB655E">
        <w:t>ing</w:t>
      </w:r>
      <w:r w:rsidR="000B300E">
        <w:t xml:space="preserve"> contact tracing</w:t>
      </w:r>
      <w:r w:rsidR="00CB655E">
        <w:t xml:space="preserve">. </w:t>
      </w:r>
      <w:r w:rsidR="000B300E">
        <w:t xml:space="preserve"> </w:t>
      </w:r>
      <w:r w:rsidR="00CB655E">
        <w:t>This population</w:t>
      </w:r>
      <w:r w:rsidR="000B300E">
        <w:t xml:space="preserve"> </w:t>
      </w:r>
      <w:r w:rsidR="00CE5447">
        <w:t xml:space="preserve">could potentially have the most difficulty in accessing services </w:t>
      </w:r>
      <w:r w:rsidR="000479B5">
        <w:t xml:space="preserve">to treat any serious consequences of ongoing STIs (leading to worse health outcomes and </w:t>
      </w:r>
      <w:r w:rsidR="000C364A">
        <w:t xml:space="preserve">increased health system costs). </w:t>
      </w:r>
    </w:p>
    <w:p w14:paraId="0C740876" w14:textId="1F2AD079" w:rsidR="00B063D2" w:rsidRDefault="00E930E4" w:rsidP="00652B74">
      <w:r>
        <w:t>T</w:t>
      </w:r>
      <w:r w:rsidR="000C364A">
        <w:t>he applicant’s response</w:t>
      </w:r>
      <w:r w:rsidR="00DE1F9B">
        <w:t>,</w:t>
      </w:r>
      <w:r w:rsidR="00B063D2">
        <w:t xml:space="preserve"> </w:t>
      </w:r>
      <w:r w:rsidR="00DE1F9B" w:rsidRPr="00595130">
        <w:t>developed</w:t>
      </w:r>
      <w:r w:rsidR="00B063D2" w:rsidRPr="00595130">
        <w:t xml:space="preserve"> in consultation </w:t>
      </w:r>
      <w:r w:rsidR="00EC47AC" w:rsidRPr="00595130">
        <w:t>with NACCHO</w:t>
      </w:r>
      <w:r w:rsidR="00DE1F9B" w:rsidRPr="00595130">
        <w:t>,</w:t>
      </w:r>
      <w:r w:rsidR="00CD0FFF" w:rsidRPr="00595130">
        <w:t xml:space="preserve"> have</w:t>
      </w:r>
      <w:r w:rsidR="00976EC6" w:rsidRPr="00595130">
        <w:t xml:space="preserve"> advocated for the</w:t>
      </w:r>
      <w:r w:rsidR="00EC47AC" w:rsidRPr="00595130">
        <w:t xml:space="preserve"> population </w:t>
      </w:r>
      <w:r w:rsidR="00976EC6" w:rsidRPr="00595130">
        <w:t>to consist of</w:t>
      </w:r>
      <w:r w:rsidR="00EC47AC" w:rsidRPr="00595130">
        <w:t xml:space="preserve"> people</w:t>
      </w:r>
      <w:r w:rsidR="00EC47AC">
        <w:t xml:space="preserve"> in MM </w:t>
      </w:r>
      <w:r w:rsidR="00AE3935">
        <w:t xml:space="preserve">categories </w:t>
      </w:r>
      <w:r w:rsidR="00EC47AC">
        <w:t>3 to 7 (rural and remote</w:t>
      </w:r>
      <w:r w:rsidR="00886AE1">
        <w:t xml:space="preserve"> areas</w:t>
      </w:r>
      <w:r w:rsidR="00EC47AC">
        <w:t xml:space="preserve">). </w:t>
      </w:r>
      <w:r w:rsidR="009D7501">
        <w:t>The applicant response assert</w:t>
      </w:r>
      <w:r w:rsidR="006C3B70">
        <w:t>ed</w:t>
      </w:r>
      <w:r w:rsidR="009D7501">
        <w:t xml:space="preserve"> that</w:t>
      </w:r>
      <w:r w:rsidR="00EC47AC">
        <w:t xml:space="preserve"> </w:t>
      </w:r>
      <w:r w:rsidR="007A3429">
        <w:t>restrict</w:t>
      </w:r>
      <w:r w:rsidR="000A4FC3">
        <w:t>ing</w:t>
      </w:r>
      <w:r w:rsidR="007A3429">
        <w:t xml:space="preserve"> </w:t>
      </w:r>
      <w:r w:rsidR="000A4FC3">
        <w:t xml:space="preserve">the </w:t>
      </w:r>
      <w:r w:rsidR="007A3429">
        <w:t>population</w:t>
      </w:r>
      <w:r w:rsidR="000A4FC3">
        <w:t xml:space="preserve"> to MM</w:t>
      </w:r>
      <w:r w:rsidR="00AE3935">
        <w:t xml:space="preserve"> categories</w:t>
      </w:r>
      <w:r w:rsidR="000A4FC3">
        <w:t xml:space="preserve"> 6 to 7</w:t>
      </w:r>
      <w:r w:rsidR="007A3429">
        <w:t xml:space="preserve"> would lead to major inequities in areas where there is restricted access to centralised pathology services</w:t>
      </w:r>
      <w:r w:rsidR="009F71AE">
        <w:t>. F</w:t>
      </w:r>
      <w:r w:rsidR="00DF1FE4">
        <w:t>or example</w:t>
      </w:r>
      <w:r w:rsidR="00595130">
        <w:t>,</w:t>
      </w:r>
      <w:r w:rsidR="00DF1FE4">
        <w:t xml:space="preserve"> </w:t>
      </w:r>
      <w:r w:rsidR="00721B7E">
        <w:t xml:space="preserve">the applicant stated that </w:t>
      </w:r>
      <w:r w:rsidR="00DF1FE4">
        <w:t>the median aerial distance from clinics in MM</w:t>
      </w:r>
      <w:r w:rsidR="00AE3935">
        <w:t xml:space="preserve"> categories</w:t>
      </w:r>
      <w:r w:rsidR="00DF1FE4">
        <w:t xml:space="preserve"> 3</w:t>
      </w:r>
      <w:r w:rsidR="00AE3935">
        <w:t>-</w:t>
      </w:r>
      <w:r w:rsidR="00DF1FE4">
        <w:t xml:space="preserve">5 </w:t>
      </w:r>
      <w:r w:rsidR="003F4890">
        <w:t>to a major city with laboratory capacity is 785.2km [I</w:t>
      </w:r>
      <w:r w:rsidR="00C63681">
        <w:t>Q</w:t>
      </w:r>
      <w:r w:rsidR="003F4890">
        <w:t>R: 442.6km – 1079.9km]</w:t>
      </w:r>
      <w:r w:rsidR="009F71AE">
        <w:t xml:space="preserve">, and in MM </w:t>
      </w:r>
      <w:r w:rsidR="00432AA3">
        <w:t xml:space="preserve">categories </w:t>
      </w:r>
      <w:r w:rsidR="009F71AE">
        <w:t>6-7 clinics</w:t>
      </w:r>
      <w:r w:rsidR="003F4890">
        <w:t xml:space="preserve"> </w:t>
      </w:r>
      <w:r w:rsidR="004E5FCD">
        <w:t xml:space="preserve">it is </w:t>
      </w:r>
      <w:r w:rsidR="003F4890">
        <w:t xml:space="preserve">876.3km </w:t>
      </w:r>
      <w:r w:rsidR="00C63681">
        <w:t xml:space="preserve">[IQR: 606km – 1361km]). </w:t>
      </w:r>
    </w:p>
    <w:p w14:paraId="32FAA820" w14:textId="072122C2" w:rsidR="00114F8E" w:rsidRDefault="00114F8E" w:rsidP="00114F8E">
      <w:r>
        <w:t xml:space="preserve">Further, the applicant </w:t>
      </w:r>
      <w:r w:rsidR="00C171D7">
        <w:t xml:space="preserve">notes that the current STI PoCT program includes 62 clinics </w:t>
      </w:r>
      <w:r w:rsidR="00991005">
        <w:t>of which 6% were in MM</w:t>
      </w:r>
      <w:r w:rsidR="00432AA3">
        <w:t xml:space="preserve"> category </w:t>
      </w:r>
      <w:r w:rsidR="00991005">
        <w:t>2; 13% were in MM</w:t>
      </w:r>
      <w:r w:rsidR="00432AA3">
        <w:t xml:space="preserve"> categories </w:t>
      </w:r>
      <w:r w:rsidR="00991005">
        <w:t>3-5 and 81% were in MM</w:t>
      </w:r>
      <w:r w:rsidR="00432AA3">
        <w:t xml:space="preserve"> categories </w:t>
      </w:r>
      <w:r w:rsidR="00991005">
        <w:t>6-7</w:t>
      </w:r>
      <w:r w:rsidR="000B5124">
        <w:t>. The applicant state</w:t>
      </w:r>
      <w:r w:rsidR="00E4787B">
        <w:t>d</w:t>
      </w:r>
      <w:r w:rsidR="000B5124">
        <w:t xml:space="preserve"> that restricting </w:t>
      </w:r>
      <w:r w:rsidR="003642B4">
        <w:t xml:space="preserve">access to </w:t>
      </w:r>
      <w:r w:rsidR="000B5124">
        <w:t xml:space="preserve">the </w:t>
      </w:r>
      <w:r w:rsidR="00257B5E">
        <w:t xml:space="preserve">rebate to </w:t>
      </w:r>
      <w:r w:rsidR="006A4256">
        <w:t xml:space="preserve">those in </w:t>
      </w:r>
      <w:r w:rsidR="00257B5E">
        <w:t>MM6-7 will “undermine the substantial benefit being derived from existing STI PoCT in almost 1 in 5 clinics</w:t>
      </w:r>
      <w:r w:rsidR="00F27BDB">
        <w:t xml:space="preserve">”. The </w:t>
      </w:r>
      <w:r w:rsidR="00C620E8">
        <w:t>applicant</w:t>
      </w:r>
      <w:r w:rsidR="00236713">
        <w:t xml:space="preserve">’s </w:t>
      </w:r>
      <w:r w:rsidR="00C620E8">
        <w:t xml:space="preserve">proposed </w:t>
      </w:r>
      <w:r w:rsidR="00F27BDB">
        <w:t xml:space="preserve">approach of </w:t>
      </w:r>
      <w:r w:rsidR="00236713">
        <w:t>including</w:t>
      </w:r>
      <w:r w:rsidR="00F27BDB">
        <w:t xml:space="preserve"> MM </w:t>
      </w:r>
      <w:r w:rsidR="00432AA3">
        <w:t xml:space="preserve">categories </w:t>
      </w:r>
      <w:r w:rsidR="00F27BDB">
        <w:t xml:space="preserve">3 – </w:t>
      </w:r>
      <w:r w:rsidR="00236713">
        <w:t>5</w:t>
      </w:r>
      <w:r w:rsidR="00FD1FA6">
        <w:t xml:space="preserve"> </w:t>
      </w:r>
      <w:r w:rsidR="00741CF2">
        <w:t>in addition to</w:t>
      </w:r>
      <w:r w:rsidR="00FD1FA6">
        <w:t xml:space="preserve"> MSAC’s suggested MM </w:t>
      </w:r>
      <w:r w:rsidR="00432AA3">
        <w:t xml:space="preserve">categories </w:t>
      </w:r>
      <w:r w:rsidR="00FD1FA6">
        <w:t>6 -7</w:t>
      </w:r>
      <w:r w:rsidR="00F27BDB">
        <w:t xml:space="preserve"> </w:t>
      </w:r>
      <w:r w:rsidR="00FD1FA6">
        <w:t xml:space="preserve">would </w:t>
      </w:r>
      <w:r w:rsidR="00E12DA0">
        <w:t xml:space="preserve">mean that 94% of existing clinics would be included. </w:t>
      </w:r>
      <w:r w:rsidR="00842F46">
        <w:t xml:space="preserve">Additionally, </w:t>
      </w:r>
      <w:r w:rsidR="00A62BEB">
        <w:t>Aboriginal</w:t>
      </w:r>
      <w:r w:rsidR="00842F46">
        <w:t xml:space="preserve"> and Torres Strait Islander peoples living in MM</w:t>
      </w:r>
      <w:r w:rsidR="00432AA3">
        <w:t xml:space="preserve"> categories </w:t>
      </w:r>
      <w:r w:rsidR="00842F46">
        <w:t xml:space="preserve">3-5 </w:t>
      </w:r>
      <w:r w:rsidR="000702BE">
        <w:t xml:space="preserve">experience </w:t>
      </w:r>
      <w:r w:rsidR="00A62BEB">
        <w:t xml:space="preserve">socio-economic disadvantage, similar to those living in very remote areas and </w:t>
      </w:r>
      <w:r w:rsidR="00EB064C">
        <w:t xml:space="preserve">are a highly mobile population, with a third or more away from their community at any point in time (with those aged 20 – 34 the most mobile) – making follow up and treatment based on standard </w:t>
      </w:r>
      <w:r w:rsidR="00B970DA">
        <w:t xml:space="preserve">laboratory </w:t>
      </w:r>
      <w:r w:rsidR="00EB064C">
        <w:t xml:space="preserve">testing challenging for this population. </w:t>
      </w:r>
    </w:p>
    <w:p w14:paraId="66BDFCC1" w14:textId="0BC4F1EA" w:rsidR="00772829" w:rsidRPr="00CE28E3" w:rsidRDefault="000A352D" w:rsidP="002A18BE">
      <w:pPr>
        <w:pStyle w:val="Heading2"/>
        <w:numPr>
          <w:ilvl w:val="0"/>
          <w:numId w:val="0"/>
        </w:numPr>
      </w:pPr>
      <w:r>
        <w:t>8</w:t>
      </w:r>
      <w:r w:rsidR="00C36633">
        <w:t>.</w:t>
      </w:r>
      <w:r w:rsidR="00C36633">
        <w:tab/>
      </w:r>
      <w:r w:rsidR="00772829" w:rsidRPr="00CE28E3">
        <w:t>Comparator</w:t>
      </w:r>
      <w:bookmarkEnd w:id="16"/>
    </w:p>
    <w:p w14:paraId="197AD937" w14:textId="30653F53" w:rsidR="009170E3" w:rsidRDefault="00F15BBF" w:rsidP="009170E3">
      <w:bookmarkStart w:id="17" w:name="_Toc69491421"/>
      <w:r>
        <w:t xml:space="preserve">Unchanged from MSAC 1627 PSD. </w:t>
      </w:r>
      <w:r w:rsidR="00BC3856">
        <w:t xml:space="preserve">The comparator </w:t>
      </w:r>
      <w:r w:rsidR="00696601">
        <w:t xml:space="preserve">is </w:t>
      </w:r>
      <w:r w:rsidR="00BC3856">
        <w:t xml:space="preserve">standard laboratory testing, which is the current standard of care (SOC). </w:t>
      </w:r>
      <w:r w:rsidR="00E11B54">
        <w:t xml:space="preserve">MBS items relevant to the comparator are shown in </w:t>
      </w:r>
      <w:r w:rsidR="00D33560">
        <w:fldChar w:fldCharType="begin"/>
      </w:r>
      <w:r w:rsidR="00D33560">
        <w:instrText xml:space="preserve"> REF _Ref147932422 \h </w:instrText>
      </w:r>
      <w:r w:rsidR="00D33560">
        <w:fldChar w:fldCharType="separate"/>
      </w:r>
      <w:r w:rsidR="00DE2A83">
        <w:t xml:space="preserve">Table </w:t>
      </w:r>
      <w:r w:rsidR="00DE2A83">
        <w:rPr>
          <w:noProof/>
        </w:rPr>
        <w:t>5</w:t>
      </w:r>
      <w:r w:rsidR="00D33560">
        <w:fldChar w:fldCharType="end"/>
      </w:r>
      <w:r w:rsidR="00D33560">
        <w:t>.</w:t>
      </w:r>
      <w:r w:rsidR="00E11B54">
        <w:t xml:space="preserve"> Items 69316, 69317, 69319, and 69494 were added to the MBS on the 01 May 2007.</w:t>
      </w:r>
      <w:bookmarkStart w:id="18" w:name="_Ref112666481"/>
      <w:bookmarkStart w:id="19" w:name="_Ref109825551"/>
      <w:bookmarkStart w:id="20" w:name="_Ref76122752"/>
    </w:p>
    <w:p w14:paraId="5300E37F" w14:textId="52F0B0A6" w:rsidR="00AF2DD5" w:rsidRPr="00612A10" w:rsidRDefault="003C61CA" w:rsidP="003C61CA">
      <w:pPr>
        <w:pStyle w:val="Caption"/>
      </w:pPr>
      <w:bookmarkStart w:id="21" w:name="_Ref147932422"/>
      <w:bookmarkEnd w:id="18"/>
      <w:r>
        <w:lastRenderedPageBreak/>
        <w:t xml:space="preserve">Table </w:t>
      </w:r>
      <w:r>
        <w:fldChar w:fldCharType="begin"/>
      </w:r>
      <w:r>
        <w:instrText>SEQ Table \* ARABIC</w:instrText>
      </w:r>
      <w:r>
        <w:fldChar w:fldCharType="separate"/>
      </w:r>
      <w:r w:rsidR="00DE2A83">
        <w:rPr>
          <w:noProof/>
        </w:rPr>
        <w:t>5</w:t>
      </w:r>
      <w:r>
        <w:fldChar w:fldCharType="end"/>
      </w:r>
      <w:bookmarkEnd w:id="21"/>
      <w:r w:rsidR="00AF2DD5" w:rsidRPr="00CE28E3">
        <w:tab/>
      </w:r>
      <w:bookmarkEnd w:id="19"/>
      <w:r w:rsidR="00AF2DD5" w:rsidRPr="00612A10">
        <w:t>MBS items claimed for the comparator service</w:t>
      </w:r>
      <w:bookmarkEnd w:id="20"/>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AF2DD5" w:rsidRPr="00507F6D" w14:paraId="625F1604" w14:textId="77777777" w:rsidTr="44CD7770">
        <w:trPr>
          <w:cantSplit/>
          <w:tblHeader/>
        </w:trPr>
        <w:tc>
          <w:tcPr>
            <w:tcW w:w="9016" w:type="dxa"/>
          </w:tcPr>
          <w:p w14:paraId="64245F0B" w14:textId="77777777" w:rsidR="00AF2DD5" w:rsidRPr="00E739FF" w:rsidRDefault="00AF2DD5" w:rsidP="00B155F9">
            <w:pPr>
              <w:pStyle w:val="Tabletext0"/>
            </w:pPr>
            <w:r w:rsidRPr="00E739FF">
              <w:t xml:space="preserve">Category 6 – PATHOLOGY SERVICE </w:t>
            </w:r>
          </w:p>
        </w:tc>
      </w:tr>
      <w:tr w:rsidR="00AF2DD5" w:rsidRPr="00507F6D" w14:paraId="20A3F7BF" w14:textId="77777777" w:rsidTr="44CD7770">
        <w:trPr>
          <w:cantSplit/>
          <w:tblHeader/>
        </w:trPr>
        <w:tc>
          <w:tcPr>
            <w:tcW w:w="9016" w:type="dxa"/>
          </w:tcPr>
          <w:p w14:paraId="74DC7C4E" w14:textId="77777777" w:rsidR="00AF2DD5" w:rsidRPr="00E739FF" w:rsidRDefault="00AF2DD5" w:rsidP="00B155F9">
            <w:pPr>
              <w:pStyle w:val="Tabletext0"/>
              <w:rPr>
                <w:b/>
                <w:u w:color="FF0000"/>
              </w:rPr>
            </w:pPr>
            <w:r w:rsidRPr="00E739FF">
              <w:rPr>
                <w:b/>
                <w:u w:color="FF0000"/>
              </w:rPr>
              <w:t>69316</w:t>
            </w:r>
          </w:p>
          <w:p w14:paraId="26F1ADC4" w14:textId="3A5B3DAE" w:rsidR="00AF2DD5" w:rsidRPr="00E739FF" w:rsidRDefault="00AF2DD5" w:rsidP="00B155F9">
            <w:pPr>
              <w:pStyle w:val="Tabletext0"/>
              <w:rPr>
                <w:u w:color="FF0000"/>
              </w:rPr>
            </w:pPr>
            <w:r>
              <w:t xml:space="preserve">Detection of </w:t>
            </w:r>
            <w:r w:rsidRPr="44CD7770">
              <w:rPr>
                <w:i/>
                <w:iCs/>
              </w:rPr>
              <w:t>Chlamydia trachomatis</w:t>
            </w:r>
            <w:r>
              <w:t xml:space="preserve"> by any method - 1 test (Item is subject to rule 26) </w:t>
            </w:r>
            <w:r w:rsidRPr="00E739FF">
              <w:rPr>
                <w:u w:color="FF0000"/>
              </w:rPr>
              <w:t xml:space="preserve">Fee: $28.65 </w:t>
            </w:r>
            <w:r w:rsidRPr="00E739FF">
              <w:rPr>
                <w:bCs/>
                <w:u w:color="FF0000"/>
              </w:rPr>
              <w:t>Benefit</w:t>
            </w:r>
            <w:r w:rsidRPr="00E739FF">
              <w:rPr>
                <w:b/>
                <w:bCs/>
                <w:u w:color="FF0000"/>
              </w:rPr>
              <w:t xml:space="preserve">: </w:t>
            </w:r>
            <w:r w:rsidRPr="00E739FF">
              <w:rPr>
                <w:u w:color="FF0000"/>
              </w:rPr>
              <w:t>75% = $21.50 85% = $24.40</w:t>
            </w:r>
          </w:p>
        </w:tc>
      </w:tr>
      <w:tr w:rsidR="00AF2DD5" w:rsidRPr="00507F6D" w14:paraId="01E22C2A" w14:textId="77777777" w:rsidTr="44CD7770">
        <w:trPr>
          <w:cantSplit/>
          <w:tblHeader/>
        </w:trPr>
        <w:tc>
          <w:tcPr>
            <w:tcW w:w="9016" w:type="dxa"/>
          </w:tcPr>
          <w:p w14:paraId="4D640F10" w14:textId="77777777" w:rsidR="00AF2DD5" w:rsidRPr="00E739FF" w:rsidRDefault="00AF2DD5" w:rsidP="00B155F9">
            <w:pPr>
              <w:pStyle w:val="Tabletext0"/>
              <w:rPr>
                <w:b/>
                <w:u w:color="FF0000"/>
              </w:rPr>
            </w:pPr>
            <w:r w:rsidRPr="00E739FF">
              <w:rPr>
                <w:b/>
                <w:u w:color="FF0000"/>
              </w:rPr>
              <w:t>69317</w:t>
            </w:r>
          </w:p>
          <w:p w14:paraId="12A2A6E4" w14:textId="77777777" w:rsidR="00AF2DD5" w:rsidRPr="00E739FF" w:rsidRDefault="00AF2DD5" w:rsidP="00B155F9">
            <w:pPr>
              <w:pStyle w:val="Tabletext0"/>
              <w:rPr>
                <w:u w:color="FF0000"/>
              </w:rPr>
            </w:pPr>
            <w:r w:rsidRPr="00E739FF">
              <w:rPr>
                <w:u w:color="FF0000"/>
              </w:rPr>
              <w:t xml:space="preserve">1 test described in item 69494 and a test described in 69316. (Item is subject to rule 26) </w:t>
            </w:r>
          </w:p>
          <w:p w14:paraId="04E936A6" w14:textId="77777777" w:rsidR="00AF2DD5" w:rsidRPr="00E739FF" w:rsidRDefault="00AF2DD5" w:rsidP="00B155F9">
            <w:pPr>
              <w:pStyle w:val="Tabletext0"/>
              <w:rPr>
                <w:u w:color="FF0000"/>
              </w:rPr>
            </w:pPr>
            <w:r w:rsidRPr="00E739FF">
              <w:rPr>
                <w:u w:color="FF0000"/>
              </w:rPr>
              <w:t>Fee: $35.85 Benefit: 75% = $26.90 85% = $30.50</w:t>
            </w:r>
          </w:p>
        </w:tc>
      </w:tr>
      <w:tr w:rsidR="00AF2DD5" w:rsidRPr="00507F6D" w14:paraId="1B59CA9B" w14:textId="77777777" w:rsidTr="44CD7770">
        <w:trPr>
          <w:cantSplit/>
          <w:tblHeader/>
        </w:trPr>
        <w:tc>
          <w:tcPr>
            <w:tcW w:w="9016" w:type="dxa"/>
          </w:tcPr>
          <w:p w14:paraId="5CC50107" w14:textId="77777777" w:rsidR="00AF2DD5" w:rsidRPr="00E739FF" w:rsidRDefault="00AF2DD5" w:rsidP="00B155F9">
            <w:pPr>
              <w:pStyle w:val="Tabletext0"/>
              <w:rPr>
                <w:b/>
                <w:u w:color="FF0000"/>
              </w:rPr>
            </w:pPr>
            <w:r w:rsidRPr="00E739FF">
              <w:rPr>
                <w:b/>
                <w:u w:color="FF0000"/>
              </w:rPr>
              <w:t>69319</w:t>
            </w:r>
          </w:p>
          <w:p w14:paraId="0CC5451C" w14:textId="77777777" w:rsidR="00AF2DD5" w:rsidRPr="00E739FF" w:rsidRDefault="00AF2DD5" w:rsidP="00B155F9">
            <w:pPr>
              <w:pStyle w:val="Tabletext0"/>
              <w:rPr>
                <w:u w:color="FF0000"/>
              </w:rPr>
            </w:pPr>
            <w:r w:rsidRPr="00E739FF">
              <w:rPr>
                <w:u w:color="FF0000"/>
              </w:rPr>
              <w:t>2 tests described in item 69494 and a test described in 69316. (Item is subject to rule 26)</w:t>
            </w:r>
          </w:p>
          <w:p w14:paraId="06F90C4E" w14:textId="77777777" w:rsidR="00AF2DD5" w:rsidRPr="00E739FF" w:rsidRDefault="00AF2DD5" w:rsidP="00B155F9">
            <w:pPr>
              <w:pStyle w:val="Tabletext0"/>
              <w:rPr>
                <w:u w:color="FF0000"/>
              </w:rPr>
            </w:pPr>
            <w:r w:rsidRPr="00E739FF">
              <w:rPr>
                <w:u w:color="FF0000"/>
              </w:rPr>
              <w:t>Fee: $42.95 Benefit: 75% = $32.25 85% = $36.55</w:t>
            </w:r>
          </w:p>
        </w:tc>
      </w:tr>
      <w:tr w:rsidR="00AF2DD5" w:rsidRPr="00507F6D" w14:paraId="0134EB19" w14:textId="77777777" w:rsidTr="44CD7770">
        <w:trPr>
          <w:cantSplit/>
          <w:tblHeader/>
        </w:trPr>
        <w:tc>
          <w:tcPr>
            <w:tcW w:w="9016" w:type="dxa"/>
          </w:tcPr>
          <w:p w14:paraId="5EBE4D9C" w14:textId="77777777" w:rsidR="00AF2DD5" w:rsidRPr="00E739FF" w:rsidRDefault="00AF2DD5" w:rsidP="00B155F9">
            <w:pPr>
              <w:pStyle w:val="Tabletext0"/>
              <w:rPr>
                <w:b/>
                <w:u w:color="FF0000"/>
              </w:rPr>
            </w:pPr>
            <w:r w:rsidRPr="00E739FF">
              <w:rPr>
                <w:b/>
                <w:u w:color="FF0000"/>
              </w:rPr>
              <w:t>69494</w:t>
            </w:r>
          </w:p>
          <w:p w14:paraId="45B44771" w14:textId="77777777" w:rsidR="00AF2DD5" w:rsidRPr="00E739FF" w:rsidRDefault="00AF2DD5" w:rsidP="00B155F9">
            <w:pPr>
              <w:pStyle w:val="Tabletext0"/>
              <w:rPr>
                <w:u w:color="FF0000"/>
              </w:rPr>
            </w:pPr>
            <w:r w:rsidRPr="00E739FF">
              <w:rPr>
                <w:u w:color="FF0000"/>
              </w:rPr>
              <w:t>Detection of a virus or microbial antigen or microbial nucleic acid (not elsewhere specified) 1 test</w:t>
            </w:r>
          </w:p>
          <w:p w14:paraId="302597DD" w14:textId="77777777" w:rsidR="00AF2DD5" w:rsidRPr="00E739FF" w:rsidRDefault="00AF2DD5" w:rsidP="00B155F9">
            <w:pPr>
              <w:pStyle w:val="Tabletext0"/>
              <w:rPr>
                <w:u w:color="FF0000"/>
              </w:rPr>
            </w:pPr>
            <w:r w:rsidRPr="00E739FF">
              <w:rPr>
                <w:u w:color="FF0000"/>
              </w:rPr>
              <w:t>(Item is subject to rule 6 and 26)</w:t>
            </w:r>
          </w:p>
          <w:p w14:paraId="2D3FBCA6" w14:textId="77777777" w:rsidR="00AF2DD5" w:rsidRPr="00E739FF" w:rsidRDefault="00AF2DD5" w:rsidP="00B155F9">
            <w:pPr>
              <w:pStyle w:val="Tabletext0"/>
              <w:rPr>
                <w:u w:color="FF0000"/>
              </w:rPr>
            </w:pPr>
            <w:r w:rsidRPr="00E739FF">
              <w:rPr>
                <w:u w:color="FF0000"/>
              </w:rPr>
              <w:t xml:space="preserve">Fee: $28.65 </w:t>
            </w:r>
            <w:r w:rsidRPr="00E739FF">
              <w:rPr>
                <w:b/>
                <w:bCs/>
                <w:u w:color="FF0000"/>
              </w:rPr>
              <w:t xml:space="preserve">Benefit: </w:t>
            </w:r>
            <w:r w:rsidRPr="00E739FF">
              <w:rPr>
                <w:u w:color="FF0000"/>
              </w:rPr>
              <w:t>75% = $21.50 85% = $24.40</w:t>
            </w:r>
          </w:p>
        </w:tc>
      </w:tr>
      <w:tr w:rsidR="00AF2DD5" w:rsidRPr="00507F6D" w14:paraId="749388FE" w14:textId="77777777" w:rsidTr="44CD7770">
        <w:trPr>
          <w:cantSplit/>
          <w:tblHeader/>
        </w:trPr>
        <w:tc>
          <w:tcPr>
            <w:tcW w:w="9016" w:type="dxa"/>
          </w:tcPr>
          <w:p w14:paraId="662BD9CC" w14:textId="77777777" w:rsidR="00AF2DD5" w:rsidRPr="005F6A90" w:rsidRDefault="00AF2DD5" w:rsidP="00B155F9">
            <w:pPr>
              <w:pStyle w:val="Tabletext0"/>
              <w:rPr>
                <w:b/>
                <w:u w:color="FF0000"/>
              </w:rPr>
            </w:pPr>
            <w:r w:rsidRPr="005F6A90">
              <w:rPr>
                <w:b/>
                <w:u w:color="FF0000"/>
              </w:rPr>
              <w:t>73939</w:t>
            </w:r>
          </w:p>
          <w:p w14:paraId="3B4F5E66" w14:textId="77777777" w:rsidR="00AF2DD5" w:rsidRPr="005F6A90" w:rsidRDefault="00AF2DD5" w:rsidP="00B155F9">
            <w:pPr>
              <w:pStyle w:val="Tabletext0"/>
              <w:rPr>
                <w:u w:color="FF0000"/>
              </w:rPr>
            </w:pPr>
            <w:r w:rsidRPr="005F6A90">
              <w:rPr>
                <w:u w:color="FF0000"/>
              </w:rPr>
              <w:t xml:space="preserve">Initiation of a patient episode by collection of a specimen for 1 or more services (other than those services described in items 73922, 73924 or 73926), if the specimen is collected by or on behalf of the treating practitioner and if: </w:t>
            </w:r>
          </w:p>
          <w:p w14:paraId="6EE53496" w14:textId="77777777" w:rsidR="00AF2DD5" w:rsidRPr="005F6A90" w:rsidRDefault="00AF2DD5" w:rsidP="00B155F9">
            <w:pPr>
              <w:pStyle w:val="Tabletext0"/>
              <w:rPr>
                <w:u w:color="FF0000"/>
              </w:rPr>
            </w:pPr>
            <w:r w:rsidRPr="005F6A90">
              <w:rPr>
                <w:u w:color="FF0000"/>
              </w:rPr>
              <w:t xml:space="preserve">() the service is performed in a prescribed laboratory or </w:t>
            </w:r>
          </w:p>
          <w:p w14:paraId="6A1F4DE9" w14:textId="77777777" w:rsidR="00AF2DD5" w:rsidRPr="005F6A90" w:rsidRDefault="00AF2DD5" w:rsidP="00B155F9">
            <w:pPr>
              <w:pStyle w:val="Tabletext0"/>
              <w:rPr>
                <w:u w:color="FF0000"/>
              </w:rPr>
            </w:pPr>
            <w:r w:rsidRPr="005F6A90">
              <w:rPr>
                <w:u w:color="FF0000"/>
              </w:rPr>
              <w:t xml:space="preserve">() the person is a private patient in a recognised hospital </w:t>
            </w:r>
          </w:p>
          <w:p w14:paraId="4DFCC161" w14:textId="77777777" w:rsidR="00AF2DD5" w:rsidRPr="005F6A90" w:rsidRDefault="00AF2DD5" w:rsidP="00B155F9">
            <w:pPr>
              <w:pStyle w:val="Tabletext0"/>
              <w:rPr>
                <w:b/>
                <w:u w:color="FF0000"/>
              </w:rPr>
            </w:pPr>
            <w:r w:rsidRPr="005F6A90">
              <w:rPr>
                <w:u w:color="FF0000"/>
              </w:rPr>
              <w:t xml:space="preserve">Fee:  $2.40 </w:t>
            </w:r>
            <w:r w:rsidRPr="005F6A90">
              <w:rPr>
                <w:bCs/>
                <w:u w:color="FF0000"/>
              </w:rPr>
              <w:t>Benefit:</w:t>
            </w:r>
            <w:r w:rsidRPr="005F6A90">
              <w:rPr>
                <w:u w:color="FF0000"/>
              </w:rPr>
              <w:t xml:space="preserve"> 75% = $1.80 85% = $2.05</w:t>
            </w:r>
          </w:p>
        </w:tc>
      </w:tr>
    </w:tbl>
    <w:p w14:paraId="5AFB618C" w14:textId="5E3CB54F" w:rsidR="00AF2DD5" w:rsidRPr="00507F6D" w:rsidRDefault="00AF2DD5" w:rsidP="00AF2DD5">
      <w:pPr>
        <w:pStyle w:val="TableFooter"/>
      </w:pPr>
      <w:r>
        <w:t xml:space="preserve">Source: </w:t>
      </w:r>
      <w:r w:rsidR="00A758CB" w:rsidRPr="00A758CB">
        <w:t>http://www.mbsonline.gov.au/</w:t>
      </w:r>
    </w:p>
    <w:p w14:paraId="47BC3A84" w14:textId="05C96C18" w:rsidR="00772829" w:rsidRPr="00CE28E3" w:rsidRDefault="000A352D" w:rsidP="002A18BE">
      <w:pPr>
        <w:pStyle w:val="Heading2"/>
        <w:numPr>
          <w:ilvl w:val="0"/>
          <w:numId w:val="0"/>
        </w:numPr>
      </w:pPr>
      <w:r>
        <w:t>9</w:t>
      </w:r>
      <w:r w:rsidR="00C36633">
        <w:t>.</w:t>
      </w:r>
      <w:r w:rsidR="00C36633">
        <w:tab/>
      </w:r>
      <w:r w:rsidR="00772829" w:rsidRPr="00CE28E3">
        <w:t xml:space="preserve">Summary of public consultation </w:t>
      </w:r>
      <w:r w:rsidR="0052575D">
        <w:t>input</w:t>
      </w:r>
      <w:bookmarkEnd w:id="17"/>
    </w:p>
    <w:p w14:paraId="3E073AEC" w14:textId="0F15DC5A" w:rsidR="00B2680F" w:rsidRDefault="007916E4" w:rsidP="009170E3">
      <w:bookmarkStart w:id="22" w:name="_Hlk117151700"/>
      <w:bookmarkStart w:id="23" w:name="_Toc69491422"/>
      <w:r>
        <w:t xml:space="preserve">Unchanged from MSAC 1627 PSD. </w:t>
      </w:r>
    </w:p>
    <w:bookmarkEnd w:id="22"/>
    <w:p w14:paraId="03C7A1F1" w14:textId="53425BB4" w:rsidR="00772829" w:rsidRPr="00CE28E3" w:rsidRDefault="000A352D" w:rsidP="002A18BE">
      <w:pPr>
        <w:pStyle w:val="Heading2"/>
        <w:numPr>
          <w:ilvl w:val="0"/>
          <w:numId w:val="0"/>
        </w:numPr>
      </w:pPr>
      <w:r>
        <w:t>10</w:t>
      </w:r>
      <w:r w:rsidR="00C36633">
        <w:t>.</w:t>
      </w:r>
      <w:r w:rsidR="00C36633">
        <w:tab/>
      </w:r>
      <w:r w:rsidR="00772829" w:rsidRPr="00CE28E3">
        <w:t>Characteristics of the evidence base</w:t>
      </w:r>
      <w:bookmarkEnd w:id="23"/>
    </w:p>
    <w:p w14:paraId="55CB47E5" w14:textId="0A7F0568" w:rsidR="00D92775" w:rsidRDefault="00C31E11" w:rsidP="009170E3">
      <w:pPr>
        <w:spacing w:before="0"/>
      </w:pPr>
      <w:bookmarkStart w:id="24" w:name="_Hlk68276176"/>
      <w:r w:rsidRPr="00415C63">
        <w:t xml:space="preserve">Unchanged from MSAC 1627 PSD. </w:t>
      </w:r>
      <w:r w:rsidR="000268AC">
        <w:t>MSAC</w:t>
      </w:r>
      <w:r w:rsidR="006D2B42">
        <w:t xml:space="preserve"> previously noted that o</w:t>
      </w:r>
      <w:r w:rsidR="006C53E6" w:rsidRPr="00415C63">
        <w:t xml:space="preserve">verall, there was relatively limited evidence for every component of the assessment report, except for test accuracy in detection of CT, NG and TV via </w:t>
      </w:r>
      <w:r w:rsidR="00E04774">
        <w:t xml:space="preserve">PoCT </w:t>
      </w:r>
      <w:r w:rsidR="006C53E6" w:rsidRPr="00415C63">
        <w:t xml:space="preserve">in remote communities. </w:t>
      </w:r>
      <w:r w:rsidR="00CC208E" w:rsidRPr="00415C63">
        <w:t xml:space="preserve">For a </w:t>
      </w:r>
      <w:r w:rsidR="006C53E6" w:rsidRPr="00415C63">
        <w:t>summary of the key features of the evidence</w:t>
      </w:r>
      <w:r w:rsidR="00B42805" w:rsidRPr="00415C63">
        <w:t>, which is unchanged f</w:t>
      </w:r>
      <w:r w:rsidR="0016172B">
        <w:t>ro</w:t>
      </w:r>
      <w:r w:rsidR="00B42805" w:rsidRPr="00415C63">
        <w:t xml:space="preserve">m </w:t>
      </w:r>
      <w:r w:rsidR="008A5811" w:rsidRPr="00415C63">
        <w:t>M</w:t>
      </w:r>
      <w:r w:rsidR="008A5811" w:rsidRPr="0016172B">
        <w:t>SAC’s previous consideration, please refer to Table</w:t>
      </w:r>
      <w:r w:rsidR="00ED2DE0">
        <w:t> </w:t>
      </w:r>
      <w:r w:rsidR="008A5811" w:rsidRPr="0016172B">
        <w:t xml:space="preserve">3, pg </w:t>
      </w:r>
      <w:r w:rsidR="008D0F3D" w:rsidRPr="0016172B">
        <w:t xml:space="preserve">12 of </w:t>
      </w:r>
      <w:hyperlink r:id="rId14" w:history="1">
        <w:r w:rsidR="008D0F3D" w:rsidRPr="0016172B">
          <w:rPr>
            <w:rStyle w:val="Hyperlink"/>
          </w:rPr>
          <w:t>MSAC 1627 PSD</w:t>
        </w:r>
      </w:hyperlink>
      <w:r w:rsidR="008D0F3D" w:rsidRPr="0016172B">
        <w:t xml:space="preserve">. </w:t>
      </w:r>
      <w:bookmarkStart w:id="25" w:name="ColumnTitle_Table4"/>
      <w:bookmarkEnd w:id="24"/>
      <w:bookmarkEnd w:id="25"/>
    </w:p>
    <w:p w14:paraId="3B9FC2AD" w14:textId="144DFB0B" w:rsidR="00772829" w:rsidRPr="00CE28E3" w:rsidRDefault="000A352D" w:rsidP="002A18BE">
      <w:pPr>
        <w:pStyle w:val="Heading2"/>
        <w:numPr>
          <w:ilvl w:val="0"/>
          <w:numId w:val="0"/>
        </w:numPr>
      </w:pPr>
      <w:bookmarkStart w:id="26" w:name="_Toc69491423"/>
      <w:r>
        <w:t>11</w:t>
      </w:r>
      <w:r w:rsidR="00C36633">
        <w:t>.</w:t>
      </w:r>
      <w:r w:rsidR="00C36633">
        <w:tab/>
      </w:r>
      <w:r w:rsidR="00772829" w:rsidRPr="00CE28E3">
        <w:t>Comparative safety</w:t>
      </w:r>
      <w:bookmarkEnd w:id="26"/>
    </w:p>
    <w:p w14:paraId="24F9EBFD" w14:textId="675DC694" w:rsidR="00447142" w:rsidRPr="003251C2" w:rsidRDefault="003A67A4" w:rsidP="00447142">
      <w:bookmarkStart w:id="27" w:name="_Toc69491424"/>
      <w:r>
        <w:t xml:space="preserve">Unchanged from MSAC 1627 PSD. </w:t>
      </w:r>
      <w:r w:rsidR="00447142" w:rsidRPr="00E03951">
        <w:t>As the same samples need to be taken for all NAAT tests, there are no additional safety concerns with P</w:t>
      </w:r>
      <w:r w:rsidR="00E04774">
        <w:t>o</w:t>
      </w:r>
      <w:r w:rsidR="00447142" w:rsidRPr="00E03951">
        <w:t xml:space="preserve">C NAAT testing compared with </w:t>
      </w:r>
      <w:r w:rsidR="00447142">
        <w:t xml:space="preserve">standard </w:t>
      </w:r>
      <w:r w:rsidR="00447142" w:rsidRPr="00E03951">
        <w:t>laboratory NAAT testing.</w:t>
      </w:r>
    </w:p>
    <w:p w14:paraId="3717AA01" w14:textId="5BA0DE45" w:rsidR="00772829" w:rsidRPr="00CE28E3" w:rsidRDefault="00C36633" w:rsidP="002A18BE">
      <w:pPr>
        <w:pStyle w:val="Heading2"/>
        <w:numPr>
          <w:ilvl w:val="0"/>
          <w:numId w:val="0"/>
        </w:numPr>
      </w:pPr>
      <w:r>
        <w:t>1</w:t>
      </w:r>
      <w:r w:rsidR="000A352D">
        <w:t>2</w:t>
      </w:r>
      <w:r>
        <w:t>.</w:t>
      </w:r>
      <w:r>
        <w:tab/>
      </w:r>
      <w:r w:rsidR="00772829" w:rsidRPr="00CE28E3">
        <w:t>Comparative effectiveness</w:t>
      </w:r>
      <w:bookmarkEnd w:id="27"/>
    </w:p>
    <w:p w14:paraId="33AD2F3F" w14:textId="37A45650" w:rsidR="00C3001C" w:rsidRDefault="003F3FC5" w:rsidP="00254D5F">
      <w:pPr>
        <w:rPr>
          <w:rFonts w:cstheme="minorHAnsi"/>
          <w:highlight w:val="cyan"/>
          <w:u w:val="single"/>
        </w:rPr>
      </w:pPr>
      <w:bookmarkStart w:id="28" w:name="_Toc69491425"/>
      <w:r>
        <w:t xml:space="preserve">Unchanged from </w:t>
      </w:r>
      <w:r w:rsidR="0005075C">
        <w:t xml:space="preserve">the previous MSAC consideration (Refer to Section 12 of </w:t>
      </w:r>
      <w:hyperlink r:id="rId15" w:history="1">
        <w:r w:rsidR="00320514" w:rsidRPr="0016172B">
          <w:rPr>
            <w:rStyle w:val="Hyperlink"/>
          </w:rPr>
          <w:t>MSAC 1627 PSD</w:t>
        </w:r>
      </w:hyperlink>
      <w:r w:rsidR="0005075C">
        <w:t>)</w:t>
      </w:r>
      <w:r>
        <w:t>. No new evidence regarding clinical effectiveness</w:t>
      </w:r>
      <w:r w:rsidR="0005075C">
        <w:t xml:space="preserve"> </w:t>
      </w:r>
      <w:r>
        <w:t xml:space="preserve">was presented in the applicant’s response. </w:t>
      </w:r>
      <w:r w:rsidR="003B6132" w:rsidRPr="000E564C">
        <w:t>However, t</w:t>
      </w:r>
      <w:r w:rsidR="004C4C1B" w:rsidRPr="009170E3">
        <w:t>he department note</w:t>
      </w:r>
      <w:r w:rsidR="00C86A90">
        <w:t>d</w:t>
      </w:r>
      <w:r w:rsidR="00A03704" w:rsidRPr="009170E3">
        <w:t xml:space="preserve"> that</w:t>
      </w:r>
      <w:r w:rsidR="003B6132" w:rsidRPr="000E564C">
        <w:t>,</w:t>
      </w:r>
      <w:r w:rsidR="00A03704" w:rsidRPr="009170E3">
        <w:t xml:space="preserve"> </w:t>
      </w:r>
      <w:r w:rsidR="004C4C1B" w:rsidRPr="009170E3">
        <w:t xml:space="preserve">while </w:t>
      </w:r>
      <w:r w:rsidR="00A03704" w:rsidRPr="009170E3">
        <w:t>no longer-term evidence regarding change in management or impact on patient outcomes has been provided in the applicant’s response</w:t>
      </w:r>
      <w:r w:rsidR="004C4C1B" w:rsidRPr="009170E3">
        <w:t>,</w:t>
      </w:r>
      <w:r w:rsidR="00A03704" w:rsidRPr="009170E3">
        <w:t xml:space="preserve"> it is </w:t>
      </w:r>
      <w:r w:rsidR="00A03704" w:rsidRPr="009170E3">
        <w:lastRenderedPageBreak/>
        <w:t>unlikely that this will become available in the near future due to the length of studies that would be required.</w:t>
      </w:r>
      <w:r w:rsidR="00A03704" w:rsidRPr="009170E3">
        <w:rPr>
          <w:i/>
          <w:iCs/>
        </w:rPr>
        <w:t xml:space="preserve"> </w:t>
      </w:r>
    </w:p>
    <w:p w14:paraId="0DF4F724" w14:textId="08BDF7EA" w:rsidR="00324CFB" w:rsidRPr="00DD0BB2" w:rsidRDefault="00324CFB" w:rsidP="00324CFB">
      <w:pPr>
        <w:spacing w:after="0" w:line="240" w:lineRule="auto"/>
        <w:rPr>
          <w:rFonts w:cstheme="minorHAnsi"/>
        </w:rPr>
      </w:pPr>
      <w:r w:rsidRPr="00DD0BB2">
        <w:rPr>
          <w:rFonts w:cstheme="minorHAnsi"/>
        </w:rPr>
        <w:t>The applicant’s response did present some n</w:t>
      </w:r>
      <w:r w:rsidRPr="009170E3">
        <w:rPr>
          <w:rFonts w:cstheme="minorHAnsi"/>
        </w:rPr>
        <w:t xml:space="preserve">ew </w:t>
      </w:r>
      <w:r w:rsidRPr="00DD0BB2">
        <w:rPr>
          <w:rFonts w:cstheme="minorHAnsi"/>
        </w:rPr>
        <w:t xml:space="preserve">unpublished qualitative </w:t>
      </w:r>
      <w:r w:rsidR="00086E69">
        <w:rPr>
          <w:rFonts w:cstheme="minorHAnsi"/>
        </w:rPr>
        <w:t>rese</w:t>
      </w:r>
      <w:r w:rsidR="00534715">
        <w:rPr>
          <w:rFonts w:cstheme="minorHAnsi"/>
        </w:rPr>
        <w:t>ar</w:t>
      </w:r>
      <w:r w:rsidR="00086E69">
        <w:rPr>
          <w:rFonts w:cstheme="minorHAnsi"/>
        </w:rPr>
        <w:t>ch</w:t>
      </w:r>
      <w:r w:rsidRPr="00DD0BB2">
        <w:rPr>
          <w:rFonts w:cstheme="minorHAnsi"/>
        </w:rPr>
        <w:t xml:space="preserve"> based on a</w:t>
      </w:r>
      <w:r w:rsidRPr="00DD0BB2">
        <w:rPr>
          <w:rFonts w:cstheme="minorHAnsi"/>
          <w:u w:val="single"/>
        </w:rPr>
        <w:t xml:space="preserve"> </w:t>
      </w:r>
      <w:r w:rsidRPr="00DD0BB2">
        <w:rPr>
          <w:rFonts w:cstheme="minorHAnsi"/>
        </w:rPr>
        <w:t>secondary analysis of data from the interviews with 18 health care providers, who were P</w:t>
      </w:r>
      <w:r w:rsidR="00E04774">
        <w:rPr>
          <w:rFonts w:cstheme="minorHAnsi"/>
        </w:rPr>
        <w:t>o</w:t>
      </w:r>
      <w:r w:rsidRPr="00DD0BB2">
        <w:rPr>
          <w:rFonts w:cstheme="minorHAnsi"/>
        </w:rPr>
        <w:t xml:space="preserve">C </w:t>
      </w:r>
      <w:r w:rsidR="00E04774">
        <w:rPr>
          <w:rFonts w:cstheme="minorHAnsi"/>
        </w:rPr>
        <w:t xml:space="preserve">test </w:t>
      </w:r>
      <w:r w:rsidRPr="00DD0BB2">
        <w:rPr>
          <w:rFonts w:cstheme="minorHAnsi"/>
        </w:rPr>
        <w:t>operators, in rural and remote clinics</w:t>
      </w:r>
      <w:r>
        <w:rPr>
          <w:rFonts w:cstheme="minorHAnsi"/>
        </w:rPr>
        <w:t xml:space="preserve"> (previously published by Lafferty et al. 2021</w:t>
      </w:r>
      <w:r>
        <w:rPr>
          <w:rStyle w:val="FootnoteReference"/>
          <w:rFonts w:cstheme="minorHAnsi"/>
        </w:rPr>
        <w:footnoteReference w:id="4"/>
      </w:r>
      <w:r>
        <w:rPr>
          <w:rFonts w:cstheme="minorHAnsi"/>
        </w:rPr>
        <w:t>).</w:t>
      </w:r>
      <w:r w:rsidRPr="00DD0BB2">
        <w:rPr>
          <w:rFonts w:cstheme="minorHAnsi"/>
        </w:rPr>
        <w:t xml:space="preserve"> The applicant stated the unpublished analysis found that </w:t>
      </w:r>
      <w:r w:rsidR="00E04774">
        <w:t xml:space="preserve">PoCT </w:t>
      </w:r>
      <w:r w:rsidRPr="00DD0BB2">
        <w:rPr>
          <w:rFonts w:cstheme="minorHAnsi"/>
        </w:rPr>
        <w:t xml:space="preserve">can address some of the barriers to STI testing and follow-up by offering the </w:t>
      </w:r>
      <w:r w:rsidR="00E04774">
        <w:t xml:space="preserve">PoCT </w:t>
      </w:r>
      <w:r w:rsidRPr="00DD0BB2">
        <w:rPr>
          <w:rFonts w:cstheme="minorHAnsi"/>
        </w:rPr>
        <w:t xml:space="preserve">opportunistically (when attending for other reasons), using language to normalise the experience, and discussing a confidential way to provide results to the patients when their results are available in 1-2 hours (rather than weeks), so others in their small community don’t know the reason for their attendance at the clinic. Language used by healthcare providers to communicate follow up, and reconnecting in community later in the day, was viewed as a critical component to effective timely response afforded by </w:t>
      </w:r>
      <w:r w:rsidR="00E04774">
        <w:t>PoC</w:t>
      </w:r>
      <w:r w:rsidRPr="00DD0BB2">
        <w:rPr>
          <w:rFonts w:cstheme="minorHAnsi"/>
        </w:rPr>
        <w:t xml:space="preserve"> diagnostics. </w:t>
      </w:r>
    </w:p>
    <w:p w14:paraId="2CBC9FA1" w14:textId="12993B08" w:rsidR="00FD0FC4" w:rsidRDefault="00324CFB" w:rsidP="009170E3">
      <w:pPr>
        <w:rPr>
          <w:rFonts w:ascii="Franklin Gothic Medium" w:eastAsiaTheme="majorEastAsia" w:hAnsi="Franklin Gothic Medium" w:cstheme="majorBidi"/>
          <w:color w:val="000000" w:themeColor="text1"/>
          <w:sz w:val="32"/>
          <w:szCs w:val="26"/>
        </w:rPr>
      </w:pPr>
      <w:r w:rsidRPr="00254D5F">
        <w:t>The department note</w:t>
      </w:r>
      <w:r w:rsidR="00C86A90">
        <w:t>d</w:t>
      </w:r>
      <w:r w:rsidRPr="00254D5F">
        <w:t xml:space="preserve"> that while this additional information would likely be welcomed by MSAC, this evidence does not appear to specifically address the evidence that MSAC suggested would have been beneficial (e.g.</w:t>
      </w:r>
      <w:r w:rsidR="00FE773A">
        <w:t>,</w:t>
      </w:r>
      <w:r w:rsidRPr="00254D5F">
        <w:t xml:space="preserve"> qualitative evidence from community members who chose not to have </w:t>
      </w:r>
      <w:r w:rsidR="00FE773A">
        <w:t>PoCT</w:t>
      </w:r>
      <w:r w:rsidRPr="00254D5F">
        <w:t>).</w:t>
      </w:r>
    </w:p>
    <w:p w14:paraId="178479DB" w14:textId="3E688BFE" w:rsidR="003127A3" w:rsidRDefault="00C36633" w:rsidP="00CA11AB">
      <w:pPr>
        <w:pStyle w:val="Heading2"/>
        <w:numPr>
          <w:ilvl w:val="0"/>
          <w:numId w:val="0"/>
        </w:numPr>
        <w:rPr>
          <w:szCs w:val="24"/>
        </w:rPr>
      </w:pPr>
      <w:r>
        <w:t>1</w:t>
      </w:r>
      <w:r w:rsidR="000A352D">
        <w:t>3</w:t>
      </w:r>
      <w:r>
        <w:t>.</w:t>
      </w:r>
      <w:r>
        <w:tab/>
      </w:r>
      <w:r w:rsidR="00772829" w:rsidRPr="00CE28E3">
        <w:t>Economic evaluation</w:t>
      </w:r>
      <w:bookmarkEnd w:id="28"/>
    </w:p>
    <w:p w14:paraId="2BD4923B" w14:textId="367A4C77" w:rsidR="00EF0515" w:rsidRDefault="00C0133C" w:rsidP="00CA11AB">
      <w:r>
        <w:t xml:space="preserve">The applicant’s response </w:t>
      </w:r>
      <w:r w:rsidR="00B62AAA">
        <w:t xml:space="preserve">presented </w:t>
      </w:r>
      <w:r w:rsidR="00467C5F">
        <w:t xml:space="preserve">a </w:t>
      </w:r>
      <w:r w:rsidR="00B62AAA">
        <w:t xml:space="preserve">revised economic analysis </w:t>
      </w:r>
      <w:r w:rsidR="00EF0515">
        <w:t>using the same economic model previously present</w:t>
      </w:r>
      <w:r w:rsidR="007F7D7F">
        <w:t>ed</w:t>
      </w:r>
      <w:r w:rsidR="00EF0515">
        <w:t xml:space="preserve"> to MSAC with the following </w:t>
      </w:r>
      <w:r w:rsidR="007443A0">
        <w:t>changes</w:t>
      </w:r>
      <w:r w:rsidR="00EF0515">
        <w:t>:</w:t>
      </w:r>
    </w:p>
    <w:p w14:paraId="75A3456F" w14:textId="28E40F04" w:rsidR="00EF0515" w:rsidRDefault="007443A0" w:rsidP="00EF0515">
      <w:pPr>
        <w:pStyle w:val="ListParagraph"/>
        <w:numPr>
          <w:ilvl w:val="0"/>
          <w:numId w:val="11"/>
        </w:numPr>
      </w:pPr>
      <w:r>
        <w:t>R</w:t>
      </w:r>
      <w:r w:rsidRPr="007443A0">
        <w:t>evised the target population to people attending clinics located in MM3-7 areas and justified retaining MM3-5 based on higher STI rates, large distance to laboratories, social disadvantage, and mobility.</w:t>
      </w:r>
    </w:p>
    <w:p w14:paraId="7CEF4001" w14:textId="1D48E801" w:rsidR="007443A0" w:rsidRDefault="00F1432A" w:rsidP="00EF0515">
      <w:pPr>
        <w:pStyle w:val="ListParagraph"/>
        <w:numPr>
          <w:ilvl w:val="0"/>
          <w:numId w:val="11"/>
        </w:numPr>
      </w:pPr>
      <w:r>
        <w:t>R</w:t>
      </w:r>
      <w:r w:rsidRPr="00F1432A">
        <w:t>educ</w:t>
      </w:r>
      <w:r>
        <w:t>ed</w:t>
      </w:r>
      <w:r w:rsidRPr="00F1432A">
        <w:t xml:space="preserve"> the </w:t>
      </w:r>
      <w:r>
        <w:t>test cost</w:t>
      </w:r>
      <w:r w:rsidRPr="00F1432A">
        <w:t>, specifically the Miscellaneous service item component (staff time to conduct the test)</w:t>
      </w:r>
      <w:r>
        <w:t>.</w:t>
      </w:r>
    </w:p>
    <w:p w14:paraId="7669D8EB" w14:textId="3546BAB9" w:rsidR="00055DB9" w:rsidRDefault="00055DB9" w:rsidP="009170E3">
      <w:pPr>
        <w:pStyle w:val="ListParagraph"/>
        <w:numPr>
          <w:ilvl w:val="0"/>
          <w:numId w:val="11"/>
        </w:numPr>
      </w:pPr>
      <w:r>
        <w:t>I</w:t>
      </w:r>
      <w:r w:rsidRPr="00055DB9">
        <w:t>nclude</w:t>
      </w:r>
      <w:r>
        <w:t>d</w:t>
      </w:r>
      <w:r w:rsidRPr="00055DB9">
        <w:t xml:space="preserve"> re-testing of people with a positive result and annual infection risk based on mathematical models of CT and NG transmission in remote Aboriginal and Torres Strait Islander communities</w:t>
      </w:r>
      <w:r w:rsidR="00F42936">
        <w:t>.</w:t>
      </w:r>
    </w:p>
    <w:p w14:paraId="13BC84F7" w14:textId="5BAA4C30" w:rsidR="009B6575" w:rsidRDefault="009B6575" w:rsidP="009B6575">
      <w:r w:rsidRPr="0064274D">
        <w:t xml:space="preserve">The </w:t>
      </w:r>
      <w:r>
        <w:t xml:space="preserve">applicant’s response stated that, based on these revisions and using a </w:t>
      </w:r>
      <w:r w:rsidRPr="0064274D">
        <w:t xml:space="preserve">revised </w:t>
      </w:r>
      <w:r w:rsidR="00396014">
        <w:t>b</w:t>
      </w:r>
      <w:r w:rsidRPr="0064274D">
        <w:t xml:space="preserve">enefit of $181 (Microbiology and Miscellaneous Service items), </w:t>
      </w:r>
      <w:r>
        <w:t xml:space="preserve">this </w:t>
      </w:r>
      <w:r w:rsidRPr="0064274D">
        <w:t>produced an ICER of $7,583</w:t>
      </w:r>
      <w:r>
        <w:t xml:space="preserve"> (see </w:t>
      </w:r>
      <w:r w:rsidR="002F1B5D">
        <w:fldChar w:fldCharType="begin"/>
      </w:r>
      <w:r w:rsidR="002F1B5D">
        <w:instrText xml:space="preserve"> REF _Ref147932354 \h </w:instrText>
      </w:r>
      <w:r w:rsidR="002F1B5D">
        <w:fldChar w:fldCharType="separate"/>
      </w:r>
      <w:r w:rsidR="00DE2A83">
        <w:t xml:space="preserve">Table </w:t>
      </w:r>
      <w:r w:rsidR="00DE2A83">
        <w:rPr>
          <w:noProof/>
        </w:rPr>
        <w:t>6</w:t>
      </w:r>
      <w:r w:rsidR="002F1B5D">
        <w:fldChar w:fldCharType="end"/>
      </w:r>
      <w:r>
        <w:t xml:space="preserve">). For comparison, results previously considered by MSAC at the November 2022 meeting are also summarised in </w:t>
      </w:r>
      <w:r w:rsidR="002F1B5D">
        <w:fldChar w:fldCharType="begin"/>
      </w:r>
      <w:r w:rsidR="002F1B5D">
        <w:instrText xml:space="preserve"> REF _Ref147932354 \h </w:instrText>
      </w:r>
      <w:r w:rsidR="002F1B5D">
        <w:fldChar w:fldCharType="separate"/>
      </w:r>
      <w:r w:rsidR="00DE2A83">
        <w:t xml:space="preserve">Table </w:t>
      </w:r>
      <w:r w:rsidR="00DE2A83">
        <w:rPr>
          <w:noProof/>
        </w:rPr>
        <w:t>6</w:t>
      </w:r>
      <w:r w:rsidR="002F1B5D">
        <w:fldChar w:fldCharType="end"/>
      </w:r>
      <w:r>
        <w:t xml:space="preserve">. In addition, the applicant response conducted </w:t>
      </w:r>
      <w:r w:rsidRPr="0064274D">
        <w:t>12 simulations of 25,000 iterations</w:t>
      </w:r>
      <w:r w:rsidR="00353AED">
        <w:t>,</w:t>
      </w:r>
      <w:r>
        <w:t xml:space="preserve"> whic</w:t>
      </w:r>
      <w:r w:rsidR="00353AED">
        <w:t xml:space="preserve">h </w:t>
      </w:r>
      <w:r w:rsidR="00B33B28">
        <w:t>reported</w:t>
      </w:r>
      <w:r w:rsidRPr="0064274D">
        <w:t xml:space="preserve"> the ICER ranged between $3,823-$10,958</w:t>
      </w:r>
      <w:r>
        <w:t xml:space="preserve"> (</w:t>
      </w:r>
      <w:r>
        <w:fldChar w:fldCharType="begin"/>
      </w:r>
      <w:r>
        <w:instrText xml:space="preserve"> REF _Ref147750815 \h </w:instrText>
      </w:r>
      <w:r>
        <w:fldChar w:fldCharType="separate"/>
      </w:r>
      <w:r w:rsidR="00DE2A83">
        <w:t xml:space="preserve">Figure </w:t>
      </w:r>
      <w:r w:rsidR="00DE2A83">
        <w:rPr>
          <w:noProof/>
        </w:rPr>
        <w:t>1</w:t>
      </w:r>
      <w:r>
        <w:fldChar w:fldCharType="end"/>
      </w:r>
      <w:r>
        <w:t>)</w:t>
      </w:r>
      <w:r w:rsidRPr="0064274D">
        <w:t xml:space="preserve">. </w:t>
      </w:r>
    </w:p>
    <w:p w14:paraId="456DA5FE" w14:textId="72CE7034" w:rsidR="00043734" w:rsidRDefault="00AE5FC0" w:rsidP="009170E3">
      <w:r w:rsidRPr="009170E3">
        <w:t>The department note</w:t>
      </w:r>
      <w:r w:rsidR="00C86A90">
        <w:t>d</w:t>
      </w:r>
      <w:r w:rsidRPr="009170E3">
        <w:t xml:space="preserve"> that the applicant used the 85% benefit ($181) rather than the proposed fee (total $211.90) in the economic analysis</w:t>
      </w:r>
      <w:r w:rsidR="00907A10" w:rsidRPr="00995576">
        <w:t xml:space="preserve"> and that due to the complexity of the model, the amended model inputs and ICER reported would need to be verified by an assessment group. However, the department also note</w:t>
      </w:r>
      <w:r w:rsidR="00C86A90">
        <w:t>d</w:t>
      </w:r>
      <w:r w:rsidR="00907A10" w:rsidRPr="00995576">
        <w:t xml:space="preserve"> that </w:t>
      </w:r>
      <w:r w:rsidRPr="009170E3">
        <w:t>the</w:t>
      </w:r>
      <w:r w:rsidR="00043734" w:rsidRPr="009170E3">
        <w:t xml:space="preserve"> model still rel</w:t>
      </w:r>
      <w:r w:rsidRPr="009170E3">
        <w:t>ies</w:t>
      </w:r>
      <w:r w:rsidR="00043734" w:rsidRPr="009170E3">
        <w:t xml:space="preserve"> on modelling health benefits that </w:t>
      </w:r>
      <w:r w:rsidR="00FB473B">
        <w:t xml:space="preserve">MSAC considered </w:t>
      </w:r>
      <w:r w:rsidR="00B3604D" w:rsidRPr="009170E3">
        <w:t>may be</w:t>
      </w:r>
      <w:r w:rsidR="00043734" w:rsidRPr="009170E3">
        <w:t xml:space="preserve"> plausible but</w:t>
      </w:r>
      <w:r w:rsidR="0004349F" w:rsidRPr="00995576">
        <w:t xml:space="preserve"> </w:t>
      </w:r>
      <w:r w:rsidR="00B3604D" w:rsidRPr="009170E3">
        <w:t xml:space="preserve">have </w:t>
      </w:r>
      <w:r w:rsidR="00043734" w:rsidRPr="009170E3">
        <w:t xml:space="preserve">not </w:t>
      </w:r>
      <w:r w:rsidR="008B3806">
        <w:t xml:space="preserve">been </w:t>
      </w:r>
      <w:r w:rsidR="00043734" w:rsidRPr="009170E3">
        <w:t xml:space="preserve">demonstrated by the clinical evidence. MSAC previously noted this created high uncertainty in the ICER. As no new clinical evidence was provided, </w:t>
      </w:r>
      <w:r w:rsidR="00377F28">
        <w:t>this</w:t>
      </w:r>
      <w:r w:rsidR="00043734" w:rsidRPr="009170E3">
        <w:t xml:space="preserve"> issue </w:t>
      </w:r>
      <w:r w:rsidR="00377F28">
        <w:t xml:space="preserve">would </w:t>
      </w:r>
      <w:r w:rsidR="00043734" w:rsidRPr="009170E3">
        <w:t xml:space="preserve">continue to create </w:t>
      </w:r>
      <w:r w:rsidR="00DC689E" w:rsidRPr="00995576">
        <w:t xml:space="preserve">high </w:t>
      </w:r>
      <w:r w:rsidR="00043734" w:rsidRPr="009170E3">
        <w:t xml:space="preserve">uncertainty in the ICER. </w:t>
      </w:r>
      <w:r w:rsidR="00907A10" w:rsidRPr="00995576">
        <w:t>Therefore,</w:t>
      </w:r>
      <w:r w:rsidR="00195175" w:rsidRPr="009170E3">
        <w:t xml:space="preserve"> </w:t>
      </w:r>
      <w:r w:rsidR="00F43977" w:rsidRPr="009170E3">
        <w:t xml:space="preserve">even if the validation </w:t>
      </w:r>
      <w:r w:rsidR="00907A10" w:rsidRPr="00995576">
        <w:t xml:space="preserve">was </w:t>
      </w:r>
      <w:r w:rsidR="00F43977" w:rsidRPr="009170E3">
        <w:t>undertaken</w:t>
      </w:r>
      <w:r w:rsidR="00907A10" w:rsidRPr="00995576">
        <w:t>,</w:t>
      </w:r>
      <w:r w:rsidR="00B13B87" w:rsidRPr="009170E3">
        <w:t xml:space="preserve"> the</w:t>
      </w:r>
      <w:r w:rsidR="00055071" w:rsidRPr="00995576">
        <w:t xml:space="preserve"> </w:t>
      </w:r>
      <w:r w:rsidR="00F43977" w:rsidRPr="009170E3">
        <w:t>revised ICER presented by the applicant is unlikely to be useful for decision ma</w:t>
      </w:r>
      <w:r w:rsidR="00087ACB" w:rsidRPr="009170E3">
        <w:t>king</w:t>
      </w:r>
      <w:r w:rsidR="0073083D" w:rsidRPr="00995576">
        <w:t xml:space="preserve"> </w:t>
      </w:r>
      <w:r w:rsidR="003B2486" w:rsidRPr="00995576">
        <w:t xml:space="preserve">due to the continued </w:t>
      </w:r>
      <w:r w:rsidR="00C940BB" w:rsidRPr="00995576">
        <w:t>high uncertainty</w:t>
      </w:r>
      <w:r w:rsidR="00087ACB" w:rsidRPr="009170E3">
        <w:t xml:space="preserve">. </w:t>
      </w:r>
    </w:p>
    <w:p w14:paraId="7FDE1D43" w14:textId="6F86E275" w:rsidR="00950C83" w:rsidRPr="00950C83" w:rsidRDefault="00950C83" w:rsidP="002F1B5D">
      <w:pPr>
        <w:pStyle w:val="Caption"/>
      </w:pPr>
      <w:bookmarkStart w:id="29" w:name="_Ref147932354"/>
      <w:r>
        <w:lastRenderedPageBreak/>
        <w:t xml:space="preserve">Table </w:t>
      </w:r>
      <w:r>
        <w:fldChar w:fldCharType="begin"/>
      </w:r>
      <w:r>
        <w:instrText>SEQ Table \* ARABIC</w:instrText>
      </w:r>
      <w:r>
        <w:fldChar w:fldCharType="separate"/>
      </w:r>
      <w:r w:rsidR="00DE2A83">
        <w:rPr>
          <w:noProof/>
        </w:rPr>
        <w:t>6</w:t>
      </w:r>
      <w:r>
        <w:fldChar w:fldCharType="end"/>
      </w:r>
      <w:bookmarkEnd w:id="29"/>
      <w:r w:rsidRPr="00950C83">
        <w:t xml:space="preserve"> Applicant’s revised base case results over ten years</w:t>
      </w:r>
      <w:r w:rsidR="0092117B">
        <w:t xml:space="preserve"> </w:t>
      </w:r>
      <w:r w:rsidR="00CF4AF6">
        <w:t>and previous ICERS considered by MSAC</w:t>
      </w:r>
    </w:p>
    <w:tbl>
      <w:tblPr>
        <w:tblStyle w:val="TableGrid1"/>
        <w:tblW w:w="5000" w:type="pct"/>
        <w:tblLook w:val="04A0" w:firstRow="1" w:lastRow="0" w:firstColumn="1" w:lastColumn="0" w:noHBand="0" w:noVBand="1"/>
        <w:tblCaption w:val="Stepped changes to generate the base case in the Commentary"/>
        <w:tblDescription w:val="Stepped changes to generate the base case in the Commentary"/>
      </w:tblPr>
      <w:tblGrid>
        <w:gridCol w:w="5331"/>
        <w:gridCol w:w="1229"/>
        <w:gridCol w:w="1230"/>
        <w:gridCol w:w="1226"/>
      </w:tblGrid>
      <w:tr w:rsidR="00265430" w:rsidRPr="00AA4065" w14:paraId="62159B79" w14:textId="77777777" w:rsidTr="002F1B5D">
        <w:trPr>
          <w:cnfStyle w:val="100000000000" w:firstRow="1" w:lastRow="0" w:firstColumn="0" w:lastColumn="0" w:oddVBand="0" w:evenVBand="0" w:oddHBand="0" w:evenHBand="0" w:firstRowFirstColumn="0" w:firstRowLastColumn="0" w:lastRowFirstColumn="0" w:lastRowLastColumn="0"/>
          <w:trHeight w:val="300"/>
          <w:tblHeader/>
        </w:trPr>
        <w:tc>
          <w:tcPr>
            <w:tcW w:w="2956" w:type="pct"/>
            <w:tcBorders>
              <w:bottom w:val="single" w:sz="4" w:space="0" w:color="auto"/>
            </w:tcBorders>
            <w:noWrap/>
          </w:tcPr>
          <w:p w14:paraId="6AE5E11E" w14:textId="377EF64F" w:rsidR="00265430" w:rsidRPr="00AA4065" w:rsidRDefault="00265430">
            <w:pPr>
              <w:pStyle w:val="TableHeading"/>
              <w:rPr>
                <w:rFonts w:eastAsiaTheme="minorHAnsi" w:cstheme="minorBidi"/>
                <w:szCs w:val="22"/>
                <w:lang w:eastAsia="en-US"/>
              </w:rPr>
            </w:pPr>
          </w:p>
        </w:tc>
        <w:tc>
          <w:tcPr>
            <w:tcW w:w="682" w:type="pct"/>
            <w:tcBorders>
              <w:bottom w:val="single" w:sz="4" w:space="0" w:color="auto"/>
            </w:tcBorders>
            <w:noWrap/>
            <w:hideMark/>
          </w:tcPr>
          <w:p w14:paraId="0FFA2DDE" w14:textId="411ACE79" w:rsidR="00265430" w:rsidRPr="00AA4065" w:rsidRDefault="00265430">
            <w:pPr>
              <w:pStyle w:val="TableHeading"/>
              <w:jc w:val="center"/>
              <w:rPr>
                <w:rFonts w:eastAsiaTheme="minorHAnsi" w:cstheme="minorBidi"/>
                <w:szCs w:val="22"/>
                <w:lang w:eastAsia="en-US"/>
              </w:rPr>
            </w:pPr>
            <w:r w:rsidRPr="00AA4065">
              <w:rPr>
                <w:rFonts w:eastAsiaTheme="minorHAnsi" w:cstheme="minorBidi"/>
                <w:szCs w:val="22"/>
                <w:lang w:eastAsia="en-US"/>
              </w:rPr>
              <w:t>P</w:t>
            </w:r>
            <w:r w:rsidR="00FE773A">
              <w:rPr>
                <w:rFonts w:eastAsiaTheme="minorHAnsi" w:cstheme="minorBidi"/>
                <w:szCs w:val="22"/>
                <w:lang w:eastAsia="en-US"/>
              </w:rPr>
              <w:t>o</w:t>
            </w:r>
            <w:r w:rsidRPr="00AA4065">
              <w:rPr>
                <w:rFonts w:eastAsiaTheme="minorHAnsi" w:cstheme="minorBidi"/>
                <w:szCs w:val="22"/>
                <w:lang w:eastAsia="en-US"/>
              </w:rPr>
              <w:t>C</w:t>
            </w:r>
          </w:p>
        </w:tc>
        <w:tc>
          <w:tcPr>
            <w:tcW w:w="682" w:type="pct"/>
            <w:tcBorders>
              <w:bottom w:val="single" w:sz="4" w:space="0" w:color="auto"/>
            </w:tcBorders>
            <w:noWrap/>
            <w:hideMark/>
          </w:tcPr>
          <w:p w14:paraId="0BBE5BC4" w14:textId="77777777" w:rsidR="00265430" w:rsidRPr="00AA4065" w:rsidRDefault="00265430">
            <w:pPr>
              <w:pStyle w:val="TableHeading"/>
              <w:jc w:val="center"/>
              <w:rPr>
                <w:rFonts w:eastAsiaTheme="minorHAnsi" w:cstheme="minorBidi"/>
                <w:szCs w:val="22"/>
                <w:lang w:eastAsia="en-US"/>
              </w:rPr>
            </w:pPr>
            <w:r w:rsidRPr="00AA4065">
              <w:rPr>
                <w:rFonts w:eastAsiaTheme="minorHAnsi" w:cstheme="minorBidi"/>
                <w:szCs w:val="22"/>
                <w:lang w:eastAsia="en-US"/>
              </w:rPr>
              <w:t>SOC</w:t>
            </w:r>
          </w:p>
        </w:tc>
        <w:tc>
          <w:tcPr>
            <w:tcW w:w="680" w:type="pct"/>
            <w:tcBorders>
              <w:bottom w:val="single" w:sz="4" w:space="0" w:color="auto"/>
            </w:tcBorders>
            <w:noWrap/>
            <w:hideMark/>
          </w:tcPr>
          <w:p w14:paraId="20D337EF" w14:textId="77777777" w:rsidR="00265430" w:rsidRPr="00AA4065" w:rsidRDefault="00265430">
            <w:pPr>
              <w:pStyle w:val="TableHeading"/>
              <w:jc w:val="center"/>
              <w:rPr>
                <w:rFonts w:eastAsiaTheme="minorHAnsi" w:cstheme="minorBidi"/>
                <w:szCs w:val="22"/>
                <w:lang w:eastAsia="en-US"/>
              </w:rPr>
            </w:pPr>
            <w:r w:rsidRPr="00AA4065">
              <w:rPr>
                <w:rFonts w:eastAsiaTheme="minorHAnsi" w:cstheme="minorBidi"/>
                <w:szCs w:val="22"/>
                <w:lang w:eastAsia="en-US"/>
              </w:rPr>
              <w:t>Increment</w:t>
            </w:r>
          </w:p>
        </w:tc>
      </w:tr>
      <w:tr w:rsidR="00265430" w:rsidRPr="00AA4065" w14:paraId="4C8E0A00" w14:textId="77777777" w:rsidTr="007B0706">
        <w:trPr>
          <w:trHeight w:val="300"/>
        </w:trPr>
        <w:tc>
          <w:tcPr>
            <w:tcW w:w="2956" w:type="pct"/>
            <w:tcBorders>
              <w:right w:val="nil"/>
            </w:tcBorders>
            <w:noWrap/>
            <w:hideMark/>
          </w:tcPr>
          <w:p w14:paraId="71FA4E04" w14:textId="665DC300" w:rsidR="00265430" w:rsidRPr="000A18B9" w:rsidRDefault="000A18B9">
            <w:pPr>
              <w:pStyle w:val="TableText"/>
              <w:keepNext/>
              <w:rPr>
                <w:rFonts w:eastAsiaTheme="minorHAnsi" w:cstheme="minorBidi"/>
                <w:b/>
                <w:bCs/>
                <w:lang w:eastAsia="en-US"/>
              </w:rPr>
            </w:pPr>
            <w:r w:rsidRPr="009170E3">
              <w:rPr>
                <w:b/>
                <w:bCs/>
              </w:rPr>
              <w:t>Applicant’s revised base case results over ten years</w:t>
            </w:r>
          </w:p>
        </w:tc>
        <w:tc>
          <w:tcPr>
            <w:tcW w:w="682" w:type="pct"/>
            <w:tcBorders>
              <w:left w:val="nil"/>
              <w:right w:val="nil"/>
            </w:tcBorders>
            <w:noWrap/>
            <w:hideMark/>
          </w:tcPr>
          <w:p w14:paraId="2A8FE039" w14:textId="77777777" w:rsidR="00265430" w:rsidRPr="00AA4065" w:rsidRDefault="00265430">
            <w:pPr>
              <w:pStyle w:val="TableText"/>
              <w:keepNext/>
              <w:rPr>
                <w:rFonts w:eastAsiaTheme="minorHAnsi" w:cstheme="minorBidi"/>
                <w:b/>
                <w:lang w:eastAsia="en-US"/>
              </w:rPr>
            </w:pPr>
          </w:p>
        </w:tc>
        <w:tc>
          <w:tcPr>
            <w:tcW w:w="682" w:type="pct"/>
            <w:tcBorders>
              <w:left w:val="nil"/>
              <w:right w:val="nil"/>
            </w:tcBorders>
            <w:noWrap/>
            <w:hideMark/>
          </w:tcPr>
          <w:p w14:paraId="6C99AC6B" w14:textId="77777777" w:rsidR="00265430" w:rsidRPr="00AA4065" w:rsidRDefault="00265430">
            <w:pPr>
              <w:pStyle w:val="TableText"/>
              <w:keepNext/>
              <w:rPr>
                <w:rFonts w:eastAsiaTheme="minorHAnsi" w:cstheme="minorBidi"/>
                <w:b/>
                <w:lang w:eastAsia="en-US"/>
              </w:rPr>
            </w:pPr>
          </w:p>
        </w:tc>
        <w:tc>
          <w:tcPr>
            <w:tcW w:w="680" w:type="pct"/>
            <w:tcBorders>
              <w:left w:val="nil"/>
            </w:tcBorders>
            <w:noWrap/>
            <w:hideMark/>
          </w:tcPr>
          <w:p w14:paraId="5E786A2C" w14:textId="77777777" w:rsidR="00265430" w:rsidRPr="00AA4065" w:rsidRDefault="00265430">
            <w:pPr>
              <w:pStyle w:val="TableText"/>
              <w:keepNext/>
              <w:rPr>
                <w:rFonts w:eastAsiaTheme="minorHAnsi" w:cstheme="minorBidi"/>
                <w:b/>
                <w:lang w:eastAsia="en-US"/>
              </w:rPr>
            </w:pPr>
          </w:p>
        </w:tc>
      </w:tr>
      <w:tr w:rsidR="000F0DCD" w:rsidRPr="00AA4065" w14:paraId="3CD21882" w14:textId="77777777" w:rsidTr="007B0706">
        <w:trPr>
          <w:trHeight w:val="300"/>
        </w:trPr>
        <w:tc>
          <w:tcPr>
            <w:tcW w:w="2956" w:type="pct"/>
            <w:noWrap/>
          </w:tcPr>
          <w:p w14:paraId="51B31D2F" w14:textId="2A4F94E4" w:rsidR="000F0DCD" w:rsidRPr="00AA4065" w:rsidRDefault="000F0DCD" w:rsidP="000F0DCD">
            <w:pPr>
              <w:pStyle w:val="TableText"/>
              <w:keepNext/>
            </w:pPr>
            <w:r w:rsidRPr="00AA4065">
              <w:rPr>
                <w:rFonts w:eastAsiaTheme="minorHAnsi" w:cstheme="minorBidi"/>
                <w:lang w:eastAsia="en-US"/>
              </w:rPr>
              <w:t>Cost</w:t>
            </w:r>
          </w:p>
        </w:tc>
        <w:tc>
          <w:tcPr>
            <w:tcW w:w="682" w:type="pct"/>
            <w:noWrap/>
          </w:tcPr>
          <w:p w14:paraId="5F737315" w14:textId="67EB8FF7" w:rsidR="000F0DCD" w:rsidRPr="00AA4065" w:rsidRDefault="000F0DCD" w:rsidP="000F0DCD">
            <w:pPr>
              <w:pStyle w:val="TableText"/>
              <w:keepNext/>
              <w:jc w:val="right"/>
            </w:pPr>
            <w:r w:rsidRPr="00935B71">
              <w:t>$5,503</w:t>
            </w:r>
          </w:p>
        </w:tc>
        <w:tc>
          <w:tcPr>
            <w:tcW w:w="682" w:type="pct"/>
            <w:noWrap/>
          </w:tcPr>
          <w:p w14:paraId="6B12DE38" w14:textId="03FFDD84" w:rsidR="000F0DCD" w:rsidRPr="00AA4065" w:rsidRDefault="000F0DCD" w:rsidP="000F0DCD">
            <w:pPr>
              <w:pStyle w:val="TableText"/>
              <w:keepNext/>
              <w:jc w:val="right"/>
            </w:pPr>
            <w:r w:rsidRPr="00935B71">
              <w:t>$5,338</w:t>
            </w:r>
          </w:p>
        </w:tc>
        <w:tc>
          <w:tcPr>
            <w:tcW w:w="680" w:type="pct"/>
            <w:noWrap/>
          </w:tcPr>
          <w:p w14:paraId="4DE3F245" w14:textId="58907741" w:rsidR="000F0DCD" w:rsidRPr="00AA4065" w:rsidRDefault="000F0DCD" w:rsidP="000F0DCD">
            <w:pPr>
              <w:pStyle w:val="TableText"/>
              <w:keepNext/>
              <w:jc w:val="right"/>
            </w:pPr>
            <w:r w:rsidRPr="00935B71">
              <w:t>$164</w:t>
            </w:r>
          </w:p>
        </w:tc>
      </w:tr>
      <w:tr w:rsidR="000F0DCD" w:rsidRPr="00AA4065" w14:paraId="3AB9F447" w14:textId="77777777" w:rsidTr="007B0706">
        <w:trPr>
          <w:trHeight w:val="300"/>
        </w:trPr>
        <w:tc>
          <w:tcPr>
            <w:tcW w:w="2956" w:type="pct"/>
            <w:noWrap/>
          </w:tcPr>
          <w:p w14:paraId="15FFE4F3" w14:textId="4A0FC658" w:rsidR="000F0DCD" w:rsidRPr="00AA4065" w:rsidRDefault="000F0DCD" w:rsidP="000F0DCD">
            <w:pPr>
              <w:pStyle w:val="TableText"/>
              <w:keepNext/>
            </w:pPr>
            <w:r w:rsidRPr="00AA4065">
              <w:rPr>
                <w:rFonts w:eastAsiaTheme="minorHAnsi" w:cstheme="minorBidi"/>
                <w:lang w:eastAsia="en-US"/>
              </w:rPr>
              <w:t>QALYs</w:t>
            </w:r>
          </w:p>
        </w:tc>
        <w:tc>
          <w:tcPr>
            <w:tcW w:w="682" w:type="pct"/>
            <w:noWrap/>
          </w:tcPr>
          <w:p w14:paraId="14FEF4AE" w14:textId="34EBAF96" w:rsidR="000F0DCD" w:rsidRPr="00AA4065" w:rsidRDefault="000F0DCD" w:rsidP="000F0DCD">
            <w:pPr>
              <w:pStyle w:val="TableText"/>
              <w:keepNext/>
              <w:jc w:val="right"/>
            </w:pPr>
            <w:r w:rsidRPr="00935B71">
              <w:t>7.93</w:t>
            </w:r>
          </w:p>
        </w:tc>
        <w:tc>
          <w:tcPr>
            <w:tcW w:w="682" w:type="pct"/>
            <w:noWrap/>
          </w:tcPr>
          <w:p w14:paraId="13FD65BF" w14:textId="26A2E05B" w:rsidR="000F0DCD" w:rsidRPr="00AA4065" w:rsidRDefault="000F0DCD" w:rsidP="000F0DCD">
            <w:pPr>
              <w:pStyle w:val="TableText"/>
              <w:keepNext/>
              <w:jc w:val="right"/>
            </w:pPr>
            <w:r w:rsidRPr="00935B71">
              <w:t>7.91</w:t>
            </w:r>
          </w:p>
        </w:tc>
        <w:tc>
          <w:tcPr>
            <w:tcW w:w="680" w:type="pct"/>
            <w:noWrap/>
          </w:tcPr>
          <w:p w14:paraId="7B34FC24" w14:textId="74964886" w:rsidR="000F0DCD" w:rsidRPr="00AA4065" w:rsidRDefault="000F0DCD" w:rsidP="000F0DCD">
            <w:pPr>
              <w:pStyle w:val="TableText"/>
              <w:keepNext/>
              <w:jc w:val="right"/>
            </w:pPr>
            <w:r w:rsidRPr="00935B71">
              <w:t>0.02</w:t>
            </w:r>
          </w:p>
        </w:tc>
      </w:tr>
      <w:tr w:rsidR="000F0DCD" w:rsidRPr="000F0DCD" w14:paraId="63FB80FC" w14:textId="77777777" w:rsidTr="007B0706">
        <w:trPr>
          <w:trHeight w:val="300"/>
        </w:trPr>
        <w:tc>
          <w:tcPr>
            <w:tcW w:w="2956" w:type="pct"/>
            <w:noWrap/>
          </w:tcPr>
          <w:p w14:paraId="52D30B08" w14:textId="5A38FDCD" w:rsidR="000F0DCD" w:rsidRPr="00AA4065" w:rsidRDefault="000F0DCD" w:rsidP="000F0DCD">
            <w:pPr>
              <w:pStyle w:val="TableText"/>
              <w:keepNext/>
            </w:pPr>
            <w:r w:rsidRPr="00AA4065">
              <w:rPr>
                <w:rFonts w:eastAsiaTheme="minorHAnsi" w:cstheme="minorBidi"/>
                <w:b/>
                <w:lang w:eastAsia="en-US"/>
              </w:rPr>
              <w:t>ICER</w:t>
            </w:r>
          </w:p>
        </w:tc>
        <w:tc>
          <w:tcPr>
            <w:tcW w:w="682" w:type="pct"/>
            <w:noWrap/>
          </w:tcPr>
          <w:p w14:paraId="055B12A5" w14:textId="77777777" w:rsidR="000F0DCD" w:rsidRPr="00AA4065" w:rsidRDefault="000F0DCD" w:rsidP="000F0DCD">
            <w:pPr>
              <w:pStyle w:val="TableText"/>
              <w:keepNext/>
              <w:jc w:val="right"/>
            </w:pPr>
          </w:p>
        </w:tc>
        <w:tc>
          <w:tcPr>
            <w:tcW w:w="682" w:type="pct"/>
            <w:noWrap/>
          </w:tcPr>
          <w:p w14:paraId="11E6E42A" w14:textId="77777777" w:rsidR="000F0DCD" w:rsidRPr="00AA4065" w:rsidRDefault="000F0DCD" w:rsidP="000F0DCD">
            <w:pPr>
              <w:pStyle w:val="TableText"/>
              <w:keepNext/>
              <w:jc w:val="right"/>
            </w:pPr>
          </w:p>
        </w:tc>
        <w:tc>
          <w:tcPr>
            <w:tcW w:w="680" w:type="pct"/>
            <w:noWrap/>
          </w:tcPr>
          <w:p w14:paraId="61CBD6C7" w14:textId="6CA642CF" w:rsidR="000F0DCD" w:rsidRPr="009170E3" w:rsidRDefault="000F0DCD" w:rsidP="000F0DCD">
            <w:pPr>
              <w:pStyle w:val="TableText"/>
              <w:keepNext/>
              <w:jc w:val="right"/>
              <w:rPr>
                <w:b/>
                <w:bCs/>
              </w:rPr>
            </w:pPr>
            <w:r w:rsidRPr="009170E3">
              <w:rPr>
                <w:b/>
                <w:bCs/>
              </w:rPr>
              <w:t>$7,583</w:t>
            </w:r>
          </w:p>
        </w:tc>
      </w:tr>
      <w:tr w:rsidR="000F0DCD" w:rsidRPr="00AA4065" w14:paraId="172689A6" w14:textId="77777777" w:rsidTr="009170E3">
        <w:trPr>
          <w:trHeight w:val="566"/>
        </w:trPr>
        <w:tc>
          <w:tcPr>
            <w:tcW w:w="5000" w:type="pct"/>
            <w:gridSpan w:val="4"/>
            <w:noWrap/>
            <w:vAlign w:val="bottom"/>
          </w:tcPr>
          <w:p w14:paraId="7B6CC74B" w14:textId="2DD258CB" w:rsidR="000F0DCD" w:rsidRPr="009170E3" w:rsidRDefault="000F0DCD" w:rsidP="006A312E">
            <w:pPr>
              <w:pStyle w:val="TableText"/>
              <w:keepNext/>
              <w:rPr>
                <w:b/>
                <w:i/>
                <w:iCs/>
              </w:rPr>
            </w:pPr>
            <w:r>
              <w:rPr>
                <w:b/>
                <w:i/>
                <w:iCs/>
              </w:rPr>
              <w:t>Previous ICER</w:t>
            </w:r>
            <w:r w:rsidR="006A312E">
              <w:rPr>
                <w:b/>
                <w:i/>
                <w:iCs/>
              </w:rPr>
              <w:t>s</w:t>
            </w:r>
            <w:r>
              <w:rPr>
                <w:b/>
                <w:i/>
                <w:iCs/>
              </w:rPr>
              <w:t xml:space="preserve"> considered by MSAC at November 2022 meeting</w:t>
            </w:r>
          </w:p>
        </w:tc>
      </w:tr>
      <w:tr w:rsidR="000F0DCD" w:rsidRPr="00AA4065" w14:paraId="51A152B7" w14:textId="77777777" w:rsidTr="000A18B9">
        <w:trPr>
          <w:trHeight w:val="300"/>
        </w:trPr>
        <w:tc>
          <w:tcPr>
            <w:tcW w:w="5000" w:type="pct"/>
            <w:gridSpan w:val="4"/>
            <w:noWrap/>
          </w:tcPr>
          <w:p w14:paraId="2A607626" w14:textId="1F5F2C10" w:rsidR="000F0DCD" w:rsidRPr="00AA4065" w:rsidRDefault="000F0DCD" w:rsidP="009170E3">
            <w:pPr>
              <w:pStyle w:val="TableText"/>
              <w:keepNext/>
            </w:pPr>
            <w:r>
              <w:rPr>
                <w:rFonts w:eastAsiaTheme="minorHAnsi" w:cstheme="minorBidi"/>
                <w:b/>
                <w:lang w:eastAsia="en-US"/>
              </w:rPr>
              <w:t xml:space="preserve">1627 </w:t>
            </w:r>
            <w:r w:rsidRPr="00AA4065">
              <w:rPr>
                <w:rFonts w:eastAsiaTheme="minorHAnsi" w:cstheme="minorBidi"/>
                <w:b/>
                <w:lang w:eastAsia="en-US"/>
              </w:rPr>
              <w:t>ADAR base case [10,000 trials; seed 1]</w:t>
            </w:r>
          </w:p>
        </w:tc>
      </w:tr>
      <w:tr w:rsidR="000F0DCD" w:rsidRPr="00AA4065" w14:paraId="00A4E6D3" w14:textId="77777777" w:rsidTr="007B0706">
        <w:trPr>
          <w:trHeight w:val="300"/>
        </w:trPr>
        <w:tc>
          <w:tcPr>
            <w:tcW w:w="2956" w:type="pct"/>
            <w:noWrap/>
            <w:hideMark/>
          </w:tcPr>
          <w:p w14:paraId="0022910C"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Cost</w:t>
            </w:r>
          </w:p>
        </w:tc>
        <w:tc>
          <w:tcPr>
            <w:tcW w:w="682" w:type="pct"/>
            <w:noWrap/>
            <w:hideMark/>
          </w:tcPr>
          <w:p w14:paraId="4923342E" w14:textId="77777777" w:rsidR="000F0DCD" w:rsidRPr="00AA4065" w:rsidRDefault="000F0DCD" w:rsidP="000F0DCD">
            <w:pPr>
              <w:pStyle w:val="TableText"/>
              <w:keepNext/>
              <w:jc w:val="right"/>
              <w:rPr>
                <w:rFonts w:eastAsiaTheme="minorHAnsi" w:cstheme="minorBidi"/>
                <w:lang w:eastAsia="en-US"/>
              </w:rPr>
            </w:pPr>
            <w:r w:rsidRPr="00AA4065">
              <w:t>$3,763.55</w:t>
            </w:r>
          </w:p>
        </w:tc>
        <w:tc>
          <w:tcPr>
            <w:tcW w:w="682" w:type="pct"/>
            <w:noWrap/>
            <w:hideMark/>
          </w:tcPr>
          <w:p w14:paraId="669592BD" w14:textId="77777777" w:rsidR="000F0DCD" w:rsidRPr="00AA4065" w:rsidRDefault="000F0DCD" w:rsidP="000F0DCD">
            <w:pPr>
              <w:pStyle w:val="TableText"/>
              <w:keepNext/>
              <w:jc w:val="right"/>
              <w:rPr>
                <w:rFonts w:eastAsiaTheme="minorHAnsi" w:cstheme="minorBidi"/>
                <w:lang w:eastAsia="en-US"/>
              </w:rPr>
            </w:pPr>
            <w:r w:rsidRPr="00AA4065">
              <w:t>$3,516.70</w:t>
            </w:r>
          </w:p>
        </w:tc>
        <w:tc>
          <w:tcPr>
            <w:tcW w:w="680" w:type="pct"/>
            <w:noWrap/>
            <w:hideMark/>
          </w:tcPr>
          <w:p w14:paraId="132B5692" w14:textId="77777777" w:rsidR="000F0DCD" w:rsidRPr="00AA4065" w:rsidRDefault="000F0DCD" w:rsidP="000F0DCD">
            <w:pPr>
              <w:pStyle w:val="TableText"/>
              <w:keepNext/>
              <w:jc w:val="right"/>
              <w:rPr>
                <w:rFonts w:eastAsiaTheme="minorHAnsi" w:cstheme="minorBidi"/>
                <w:lang w:eastAsia="en-US"/>
              </w:rPr>
            </w:pPr>
            <w:r w:rsidRPr="00AA4065">
              <w:t>$246.85</w:t>
            </w:r>
          </w:p>
        </w:tc>
      </w:tr>
      <w:tr w:rsidR="000F0DCD" w:rsidRPr="00AA4065" w14:paraId="2699E620" w14:textId="77777777" w:rsidTr="007B0706">
        <w:trPr>
          <w:trHeight w:val="300"/>
        </w:trPr>
        <w:tc>
          <w:tcPr>
            <w:tcW w:w="2956" w:type="pct"/>
            <w:tcBorders>
              <w:bottom w:val="single" w:sz="4" w:space="0" w:color="auto"/>
            </w:tcBorders>
            <w:noWrap/>
            <w:hideMark/>
          </w:tcPr>
          <w:p w14:paraId="5137E094"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QALYs</w:t>
            </w:r>
          </w:p>
        </w:tc>
        <w:tc>
          <w:tcPr>
            <w:tcW w:w="682" w:type="pct"/>
            <w:tcBorders>
              <w:bottom w:val="single" w:sz="4" w:space="0" w:color="auto"/>
            </w:tcBorders>
            <w:noWrap/>
            <w:hideMark/>
          </w:tcPr>
          <w:p w14:paraId="67AF62E2" w14:textId="77777777" w:rsidR="000F0DCD" w:rsidRPr="00AA4065" w:rsidRDefault="000F0DCD" w:rsidP="000F0DCD">
            <w:pPr>
              <w:pStyle w:val="TableText"/>
              <w:keepNext/>
              <w:jc w:val="right"/>
              <w:rPr>
                <w:rFonts w:eastAsiaTheme="minorHAnsi" w:cstheme="minorBidi"/>
                <w:lang w:eastAsia="en-US"/>
              </w:rPr>
            </w:pPr>
            <w:r w:rsidRPr="00AA4065">
              <w:t>8.4654</w:t>
            </w:r>
          </w:p>
        </w:tc>
        <w:tc>
          <w:tcPr>
            <w:tcW w:w="682" w:type="pct"/>
            <w:tcBorders>
              <w:bottom w:val="single" w:sz="4" w:space="0" w:color="auto"/>
            </w:tcBorders>
            <w:noWrap/>
            <w:hideMark/>
          </w:tcPr>
          <w:p w14:paraId="4E716A97" w14:textId="77777777" w:rsidR="000F0DCD" w:rsidRPr="00AA4065" w:rsidRDefault="000F0DCD" w:rsidP="000F0DCD">
            <w:pPr>
              <w:pStyle w:val="TableText"/>
              <w:keepNext/>
              <w:jc w:val="right"/>
              <w:rPr>
                <w:rFonts w:eastAsiaTheme="minorHAnsi" w:cstheme="minorBidi"/>
                <w:lang w:eastAsia="en-US"/>
              </w:rPr>
            </w:pPr>
            <w:r w:rsidRPr="00AA4065">
              <w:t>8.4581</w:t>
            </w:r>
          </w:p>
        </w:tc>
        <w:tc>
          <w:tcPr>
            <w:tcW w:w="680" w:type="pct"/>
            <w:noWrap/>
            <w:hideMark/>
          </w:tcPr>
          <w:p w14:paraId="701311AC" w14:textId="77777777" w:rsidR="000F0DCD" w:rsidRPr="00AA4065" w:rsidRDefault="000F0DCD" w:rsidP="000F0DCD">
            <w:pPr>
              <w:pStyle w:val="TableText"/>
              <w:keepNext/>
              <w:jc w:val="right"/>
              <w:rPr>
                <w:rFonts w:eastAsiaTheme="minorHAnsi" w:cstheme="minorBidi"/>
                <w:lang w:eastAsia="en-US"/>
              </w:rPr>
            </w:pPr>
            <w:r w:rsidRPr="00AA4065">
              <w:t>0.0073</w:t>
            </w:r>
          </w:p>
        </w:tc>
      </w:tr>
      <w:tr w:rsidR="000F0DCD" w:rsidRPr="00AA4065" w14:paraId="33F9038C" w14:textId="77777777" w:rsidTr="007B0706">
        <w:trPr>
          <w:trHeight w:val="300"/>
        </w:trPr>
        <w:tc>
          <w:tcPr>
            <w:tcW w:w="2956" w:type="pct"/>
            <w:tcBorders>
              <w:bottom w:val="single" w:sz="4" w:space="0" w:color="auto"/>
              <w:right w:val="nil"/>
            </w:tcBorders>
            <w:noWrap/>
            <w:hideMark/>
          </w:tcPr>
          <w:p w14:paraId="791E302A" w14:textId="77777777" w:rsidR="000F0DCD" w:rsidRPr="00AA4065" w:rsidRDefault="000F0DCD" w:rsidP="000F0DCD">
            <w:pPr>
              <w:pStyle w:val="TableText"/>
              <w:keepNext/>
              <w:rPr>
                <w:rFonts w:eastAsiaTheme="minorHAnsi" w:cstheme="minorBidi"/>
                <w:b/>
                <w:lang w:eastAsia="en-US"/>
              </w:rPr>
            </w:pPr>
            <w:r w:rsidRPr="00AA4065">
              <w:rPr>
                <w:rFonts w:eastAsiaTheme="minorHAnsi" w:cstheme="minorBidi"/>
                <w:b/>
                <w:lang w:eastAsia="en-US"/>
              </w:rPr>
              <w:t>ICER</w:t>
            </w:r>
          </w:p>
        </w:tc>
        <w:tc>
          <w:tcPr>
            <w:tcW w:w="682" w:type="pct"/>
            <w:tcBorders>
              <w:left w:val="nil"/>
              <w:bottom w:val="single" w:sz="4" w:space="0" w:color="auto"/>
              <w:right w:val="nil"/>
            </w:tcBorders>
            <w:noWrap/>
            <w:hideMark/>
          </w:tcPr>
          <w:p w14:paraId="162AB398"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bottom w:val="single" w:sz="4" w:space="0" w:color="auto"/>
            </w:tcBorders>
            <w:noWrap/>
            <w:hideMark/>
          </w:tcPr>
          <w:p w14:paraId="7F389D44" w14:textId="77777777" w:rsidR="000F0DCD" w:rsidRPr="00AA4065" w:rsidRDefault="000F0DCD" w:rsidP="000F0DCD">
            <w:pPr>
              <w:pStyle w:val="TableText"/>
              <w:keepNext/>
              <w:jc w:val="right"/>
              <w:rPr>
                <w:rFonts w:eastAsiaTheme="minorHAnsi" w:cstheme="minorBidi"/>
                <w:b/>
                <w:lang w:eastAsia="en-US"/>
              </w:rPr>
            </w:pPr>
          </w:p>
        </w:tc>
        <w:tc>
          <w:tcPr>
            <w:tcW w:w="680" w:type="pct"/>
            <w:tcBorders>
              <w:bottom w:val="single" w:sz="4" w:space="0" w:color="auto"/>
            </w:tcBorders>
            <w:noWrap/>
            <w:hideMark/>
          </w:tcPr>
          <w:p w14:paraId="39F62BBF" w14:textId="77777777" w:rsidR="000F0DCD" w:rsidRPr="00AA4065" w:rsidRDefault="000F0DCD" w:rsidP="000F0DCD">
            <w:pPr>
              <w:pStyle w:val="TableText"/>
              <w:keepNext/>
              <w:jc w:val="right"/>
              <w:rPr>
                <w:rFonts w:eastAsiaTheme="minorHAnsi" w:cstheme="minorBidi"/>
                <w:b/>
                <w:lang w:eastAsia="en-US"/>
              </w:rPr>
            </w:pPr>
            <w:r w:rsidRPr="00AA4065">
              <w:rPr>
                <w:b/>
              </w:rPr>
              <w:t>$34,010</w:t>
            </w:r>
          </w:p>
        </w:tc>
      </w:tr>
      <w:tr w:rsidR="000F0DCD" w:rsidRPr="00AA4065" w14:paraId="7A344269" w14:textId="77777777" w:rsidTr="007B0706">
        <w:trPr>
          <w:trHeight w:val="300"/>
        </w:trPr>
        <w:tc>
          <w:tcPr>
            <w:tcW w:w="2956" w:type="pct"/>
            <w:tcBorders>
              <w:right w:val="nil"/>
            </w:tcBorders>
            <w:noWrap/>
            <w:hideMark/>
          </w:tcPr>
          <w:p w14:paraId="7309DE6F" w14:textId="7C9FE581" w:rsidR="000F0DCD" w:rsidRPr="00AA4065" w:rsidRDefault="000F0DCD" w:rsidP="000F0DCD">
            <w:pPr>
              <w:pStyle w:val="TableText"/>
              <w:keepNext/>
              <w:rPr>
                <w:rFonts w:eastAsiaTheme="minorHAnsi" w:cstheme="minorBidi"/>
                <w:b/>
                <w:lang w:eastAsia="en-US"/>
              </w:rPr>
            </w:pPr>
            <w:r>
              <w:rPr>
                <w:rFonts w:eastAsiaTheme="minorHAnsi" w:cstheme="minorBidi"/>
                <w:b/>
                <w:lang w:eastAsia="en-US"/>
              </w:rPr>
              <w:t>1627 ADAR base case with c</w:t>
            </w:r>
            <w:r w:rsidRPr="00AA4065">
              <w:rPr>
                <w:rFonts w:eastAsiaTheme="minorHAnsi" w:cstheme="minorBidi"/>
                <w:b/>
                <w:lang w:eastAsia="en-US"/>
              </w:rPr>
              <w:t>orrections [10,000 trials; seed 1]</w:t>
            </w:r>
            <w:r w:rsidRPr="00520873">
              <w:rPr>
                <w:rFonts w:eastAsiaTheme="minorHAnsi" w:cstheme="minorBidi"/>
                <w:b/>
                <w:vertAlign w:val="superscript"/>
                <w:lang w:eastAsia="en-US"/>
              </w:rPr>
              <w:t>a</w:t>
            </w:r>
          </w:p>
        </w:tc>
        <w:tc>
          <w:tcPr>
            <w:tcW w:w="682" w:type="pct"/>
            <w:tcBorders>
              <w:left w:val="nil"/>
              <w:right w:val="nil"/>
            </w:tcBorders>
            <w:noWrap/>
            <w:hideMark/>
          </w:tcPr>
          <w:p w14:paraId="5CA73A97"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right w:val="nil"/>
            </w:tcBorders>
            <w:noWrap/>
            <w:hideMark/>
          </w:tcPr>
          <w:p w14:paraId="167F8CD9" w14:textId="77777777" w:rsidR="000F0DCD" w:rsidRPr="00AA4065" w:rsidRDefault="000F0DCD" w:rsidP="000F0DCD">
            <w:pPr>
              <w:pStyle w:val="TableText"/>
              <w:keepNext/>
              <w:jc w:val="right"/>
              <w:rPr>
                <w:rFonts w:eastAsiaTheme="minorHAnsi" w:cstheme="minorBidi"/>
                <w:b/>
                <w:lang w:eastAsia="en-US"/>
              </w:rPr>
            </w:pPr>
          </w:p>
        </w:tc>
        <w:tc>
          <w:tcPr>
            <w:tcW w:w="680" w:type="pct"/>
            <w:tcBorders>
              <w:left w:val="nil"/>
            </w:tcBorders>
            <w:noWrap/>
            <w:hideMark/>
          </w:tcPr>
          <w:p w14:paraId="364B1A14" w14:textId="77777777" w:rsidR="000F0DCD" w:rsidRPr="00AA4065" w:rsidRDefault="000F0DCD" w:rsidP="000F0DCD">
            <w:pPr>
              <w:pStyle w:val="TableText"/>
              <w:keepNext/>
              <w:jc w:val="right"/>
              <w:rPr>
                <w:rFonts w:eastAsiaTheme="minorHAnsi" w:cstheme="minorBidi"/>
                <w:b/>
                <w:lang w:eastAsia="en-US"/>
              </w:rPr>
            </w:pPr>
          </w:p>
        </w:tc>
      </w:tr>
      <w:tr w:rsidR="000F0DCD" w:rsidRPr="00AA4065" w14:paraId="068F6001" w14:textId="77777777" w:rsidTr="007B0706">
        <w:trPr>
          <w:trHeight w:val="300"/>
        </w:trPr>
        <w:tc>
          <w:tcPr>
            <w:tcW w:w="2956" w:type="pct"/>
            <w:noWrap/>
            <w:hideMark/>
          </w:tcPr>
          <w:p w14:paraId="41E4AB7C"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Cost</w:t>
            </w:r>
          </w:p>
        </w:tc>
        <w:tc>
          <w:tcPr>
            <w:tcW w:w="682" w:type="pct"/>
            <w:noWrap/>
            <w:hideMark/>
          </w:tcPr>
          <w:p w14:paraId="7C9378E7" w14:textId="77777777" w:rsidR="000F0DCD" w:rsidRPr="00AA4065" w:rsidRDefault="000F0DCD" w:rsidP="000F0DCD">
            <w:pPr>
              <w:pStyle w:val="TableText"/>
              <w:keepNext/>
              <w:jc w:val="right"/>
              <w:rPr>
                <w:rFonts w:eastAsiaTheme="minorHAnsi" w:cstheme="minorBidi"/>
                <w:lang w:eastAsia="en-US"/>
              </w:rPr>
            </w:pPr>
            <w:r w:rsidRPr="00AA4065">
              <w:t>$4,256.06</w:t>
            </w:r>
          </w:p>
        </w:tc>
        <w:tc>
          <w:tcPr>
            <w:tcW w:w="682" w:type="pct"/>
            <w:noWrap/>
            <w:hideMark/>
          </w:tcPr>
          <w:p w14:paraId="40923359" w14:textId="77777777" w:rsidR="000F0DCD" w:rsidRPr="00AA4065" w:rsidRDefault="000F0DCD" w:rsidP="000F0DCD">
            <w:pPr>
              <w:pStyle w:val="TableText"/>
              <w:keepNext/>
              <w:jc w:val="right"/>
              <w:rPr>
                <w:rFonts w:eastAsiaTheme="minorHAnsi" w:cstheme="minorBidi"/>
                <w:lang w:eastAsia="en-US"/>
              </w:rPr>
            </w:pPr>
            <w:r w:rsidRPr="00AA4065">
              <w:t>$4,068.06</w:t>
            </w:r>
          </w:p>
        </w:tc>
        <w:tc>
          <w:tcPr>
            <w:tcW w:w="680" w:type="pct"/>
            <w:noWrap/>
            <w:hideMark/>
          </w:tcPr>
          <w:p w14:paraId="43C8B9DE" w14:textId="77777777" w:rsidR="000F0DCD" w:rsidRPr="00AA4065" w:rsidRDefault="000F0DCD" w:rsidP="000F0DCD">
            <w:pPr>
              <w:pStyle w:val="TableText"/>
              <w:keepNext/>
              <w:jc w:val="right"/>
              <w:rPr>
                <w:rFonts w:eastAsiaTheme="minorHAnsi" w:cstheme="minorBidi"/>
                <w:lang w:eastAsia="en-US"/>
              </w:rPr>
            </w:pPr>
            <w:r w:rsidRPr="00AA4065">
              <w:t>$188.00</w:t>
            </w:r>
          </w:p>
        </w:tc>
      </w:tr>
      <w:tr w:rsidR="000F0DCD" w:rsidRPr="00AA4065" w14:paraId="680A90F9" w14:textId="77777777" w:rsidTr="007B0706">
        <w:trPr>
          <w:trHeight w:val="300"/>
        </w:trPr>
        <w:tc>
          <w:tcPr>
            <w:tcW w:w="2956" w:type="pct"/>
            <w:tcBorders>
              <w:bottom w:val="single" w:sz="4" w:space="0" w:color="auto"/>
            </w:tcBorders>
            <w:noWrap/>
            <w:hideMark/>
          </w:tcPr>
          <w:p w14:paraId="4562BE7C"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QALYs</w:t>
            </w:r>
          </w:p>
        </w:tc>
        <w:tc>
          <w:tcPr>
            <w:tcW w:w="682" w:type="pct"/>
            <w:tcBorders>
              <w:bottom w:val="single" w:sz="4" w:space="0" w:color="auto"/>
            </w:tcBorders>
            <w:noWrap/>
            <w:hideMark/>
          </w:tcPr>
          <w:p w14:paraId="783276C2" w14:textId="77777777" w:rsidR="000F0DCD" w:rsidRPr="00AA4065" w:rsidRDefault="000F0DCD" w:rsidP="000F0DCD">
            <w:pPr>
              <w:pStyle w:val="TableText"/>
              <w:keepNext/>
              <w:jc w:val="right"/>
              <w:rPr>
                <w:rFonts w:eastAsiaTheme="minorHAnsi" w:cstheme="minorBidi"/>
                <w:lang w:eastAsia="en-US"/>
              </w:rPr>
            </w:pPr>
            <w:r w:rsidRPr="00AA4065">
              <w:t>7.9595</w:t>
            </w:r>
          </w:p>
        </w:tc>
        <w:tc>
          <w:tcPr>
            <w:tcW w:w="682" w:type="pct"/>
            <w:tcBorders>
              <w:bottom w:val="single" w:sz="4" w:space="0" w:color="auto"/>
            </w:tcBorders>
            <w:noWrap/>
            <w:hideMark/>
          </w:tcPr>
          <w:p w14:paraId="4302D6E7" w14:textId="77777777" w:rsidR="000F0DCD" w:rsidRPr="00AA4065" w:rsidRDefault="000F0DCD" w:rsidP="000F0DCD">
            <w:pPr>
              <w:pStyle w:val="TableText"/>
              <w:keepNext/>
              <w:jc w:val="right"/>
              <w:rPr>
                <w:rFonts w:eastAsiaTheme="minorHAnsi" w:cstheme="minorBidi"/>
                <w:lang w:eastAsia="en-US"/>
              </w:rPr>
            </w:pPr>
            <w:r w:rsidRPr="00AA4065">
              <w:t>7.9496</w:t>
            </w:r>
          </w:p>
        </w:tc>
        <w:tc>
          <w:tcPr>
            <w:tcW w:w="680" w:type="pct"/>
            <w:noWrap/>
            <w:hideMark/>
          </w:tcPr>
          <w:p w14:paraId="5EFB4172" w14:textId="77777777" w:rsidR="000F0DCD" w:rsidRPr="00AA4065" w:rsidRDefault="000F0DCD" w:rsidP="000F0DCD">
            <w:pPr>
              <w:pStyle w:val="TableText"/>
              <w:keepNext/>
              <w:jc w:val="right"/>
              <w:rPr>
                <w:rFonts w:eastAsiaTheme="minorHAnsi" w:cstheme="minorBidi"/>
                <w:lang w:eastAsia="en-US"/>
              </w:rPr>
            </w:pPr>
            <w:r w:rsidRPr="00AA4065">
              <w:t>0.0100</w:t>
            </w:r>
          </w:p>
        </w:tc>
      </w:tr>
      <w:tr w:rsidR="000F0DCD" w:rsidRPr="00AA4065" w14:paraId="1478004A" w14:textId="77777777" w:rsidTr="007B0706">
        <w:trPr>
          <w:trHeight w:val="300"/>
        </w:trPr>
        <w:tc>
          <w:tcPr>
            <w:tcW w:w="2956" w:type="pct"/>
            <w:tcBorders>
              <w:bottom w:val="single" w:sz="4" w:space="0" w:color="auto"/>
              <w:right w:val="nil"/>
            </w:tcBorders>
            <w:noWrap/>
            <w:hideMark/>
          </w:tcPr>
          <w:p w14:paraId="78688322" w14:textId="77777777" w:rsidR="000F0DCD" w:rsidRPr="00AA4065" w:rsidRDefault="000F0DCD" w:rsidP="000F0DCD">
            <w:pPr>
              <w:pStyle w:val="TableText"/>
              <w:keepNext/>
              <w:rPr>
                <w:rFonts w:eastAsiaTheme="minorHAnsi" w:cstheme="minorBidi"/>
                <w:b/>
                <w:lang w:eastAsia="en-US"/>
              </w:rPr>
            </w:pPr>
            <w:r w:rsidRPr="00AA4065">
              <w:rPr>
                <w:rFonts w:eastAsiaTheme="minorHAnsi" w:cstheme="minorBidi"/>
                <w:b/>
                <w:lang w:eastAsia="en-US"/>
              </w:rPr>
              <w:t>ICER</w:t>
            </w:r>
          </w:p>
        </w:tc>
        <w:tc>
          <w:tcPr>
            <w:tcW w:w="682" w:type="pct"/>
            <w:tcBorders>
              <w:left w:val="nil"/>
              <w:bottom w:val="single" w:sz="4" w:space="0" w:color="auto"/>
              <w:right w:val="nil"/>
            </w:tcBorders>
            <w:noWrap/>
            <w:hideMark/>
          </w:tcPr>
          <w:p w14:paraId="5C7BB805"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bottom w:val="single" w:sz="4" w:space="0" w:color="auto"/>
            </w:tcBorders>
            <w:noWrap/>
            <w:hideMark/>
          </w:tcPr>
          <w:p w14:paraId="114F7DA6" w14:textId="77777777" w:rsidR="000F0DCD" w:rsidRPr="00AA4065" w:rsidRDefault="000F0DCD" w:rsidP="000F0DCD">
            <w:pPr>
              <w:pStyle w:val="TableText"/>
              <w:keepNext/>
              <w:jc w:val="right"/>
              <w:rPr>
                <w:rFonts w:eastAsiaTheme="minorHAnsi" w:cstheme="minorBidi"/>
                <w:b/>
                <w:lang w:eastAsia="en-US"/>
              </w:rPr>
            </w:pPr>
          </w:p>
        </w:tc>
        <w:tc>
          <w:tcPr>
            <w:tcW w:w="680" w:type="pct"/>
            <w:tcBorders>
              <w:bottom w:val="single" w:sz="4" w:space="0" w:color="auto"/>
            </w:tcBorders>
            <w:noWrap/>
            <w:hideMark/>
          </w:tcPr>
          <w:p w14:paraId="3193F703" w14:textId="77777777" w:rsidR="000F0DCD" w:rsidRPr="00AA4065" w:rsidRDefault="000F0DCD" w:rsidP="000F0DCD">
            <w:pPr>
              <w:pStyle w:val="TableText"/>
              <w:keepNext/>
              <w:jc w:val="right"/>
              <w:rPr>
                <w:rFonts w:eastAsiaTheme="minorHAnsi" w:cstheme="minorBidi"/>
                <w:b/>
                <w:lang w:eastAsia="en-US"/>
              </w:rPr>
            </w:pPr>
            <w:r w:rsidRPr="00AA4065">
              <w:rPr>
                <w:b/>
              </w:rPr>
              <w:t>$18,876</w:t>
            </w:r>
          </w:p>
        </w:tc>
      </w:tr>
      <w:tr w:rsidR="000F0DCD" w:rsidRPr="00AA4065" w14:paraId="6F536BE2" w14:textId="77777777" w:rsidTr="007B0706">
        <w:trPr>
          <w:trHeight w:val="300"/>
        </w:trPr>
        <w:tc>
          <w:tcPr>
            <w:tcW w:w="2956" w:type="pct"/>
            <w:tcBorders>
              <w:right w:val="nil"/>
            </w:tcBorders>
            <w:noWrap/>
            <w:hideMark/>
          </w:tcPr>
          <w:p w14:paraId="5AAFD453" w14:textId="716789C3" w:rsidR="000F0DCD" w:rsidRPr="00AA4065" w:rsidRDefault="000F0DCD" w:rsidP="000F0DCD">
            <w:pPr>
              <w:pStyle w:val="TableText"/>
              <w:keepNext/>
              <w:rPr>
                <w:rFonts w:eastAsiaTheme="minorHAnsi" w:cstheme="minorBidi"/>
                <w:b/>
                <w:lang w:eastAsia="en-US"/>
              </w:rPr>
            </w:pPr>
            <w:r>
              <w:rPr>
                <w:rFonts w:eastAsiaTheme="minorHAnsi" w:cstheme="minorBidi"/>
                <w:b/>
                <w:lang w:eastAsia="en-US"/>
              </w:rPr>
              <w:t xml:space="preserve">1627 Adjusted </w:t>
            </w:r>
            <w:r w:rsidRPr="00AA4065">
              <w:rPr>
                <w:rFonts w:eastAsiaTheme="minorHAnsi" w:cstheme="minorBidi"/>
                <w:b/>
                <w:lang w:eastAsia="en-US"/>
              </w:rPr>
              <w:t>for single episode of testing [10,000 trials; seed 1]</w:t>
            </w:r>
            <w:r w:rsidRPr="00195B1A">
              <w:rPr>
                <w:rFonts w:eastAsiaTheme="minorHAnsi" w:cstheme="minorBidi"/>
                <w:b/>
                <w:vertAlign w:val="superscript"/>
                <w:lang w:eastAsia="en-US"/>
              </w:rPr>
              <w:t>b</w:t>
            </w:r>
          </w:p>
        </w:tc>
        <w:tc>
          <w:tcPr>
            <w:tcW w:w="682" w:type="pct"/>
            <w:tcBorders>
              <w:left w:val="nil"/>
              <w:right w:val="nil"/>
            </w:tcBorders>
            <w:noWrap/>
            <w:hideMark/>
          </w:tcPr>
          <w:p w14:paraId="26714BE5"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right w:val="nil"/>
            </w:tcBorders>
            <w:noWrap/>
            <w:hideMark/>
          </w:tcPr>
          <w:p w14:paraId="63795E91" w14:textId="77777777" w:rsidR="000F0DCD" w:rsidRPr="00AA4065" w:rsidRDefault="000F0DCD" w:rsidP="000F0DCD">
            <w:pPr>
              <w:pStyle w:val="TableText"/>
              <w:keepNext/>
              <w:jc w:val="right"/>
              <w:rPr>
                <w:rFonts w:eastAsiaTheme="minorHAnsi" w:cstheme="minorBidi"/>
                <w:b/>
                <w:lang w:eastAsia="en-US"/>
              </w:rPr>
            </w:pPr>
          </w:p>
        </w:tc>
        <w:tc>
          <w:tcPr>
            <w:tcW w:w="680" w:type="pct"/>
            <w:tcBorders>
              <w:left w:val="nil"/>
            </w:tcBorders>
            <w:noWrap/>
            <w:hideMark/>
          </w:tcPr>
          <w:p w14:paraId="422DBA5D" w14:textId="77777777" w:rsidR="000F0DCD" w:rsidRPr="00AA4065" w:rsidRDefault="000F0DCD" w:rsidP="000F0DCD">
            <w:pPr>
              <w:pStyle w:val="TableText"/>
              <w:keepNext/>
              <w:jc w:val="right"/>
              <w:rPr>
                <w:rFonts w:eastAsiaTheme="minorHAnsi" w:cstheme="minorBidi"/>
                <w:b/>
                <w:lang w:eastAsia="en-US"/>
              </w:rPr>
            </w:pPr>
          </w:p>
        </w:tc>
      </w:tr>
      <w:tr w:rsidR="000F0DCD" w:rsidRPr="00AA4065" w14:paraId="5BD2B912" w14:textId="77777777" w:rsidTr="007B0706">
        <w:trPr>
          <w:trHeight w:val="300"/>
        </w:trPr>
        <w:tc>
          <w:tcPr>
            <w:tcW w:w="2956" w:type="pct"/>
            <w:noWrap/>
            <w:hideMark/>
          </w:tcPr>
          <w:p w14:paraId="6E5E9EBB"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Cost</w:t>
            </w:r>
          </w:p>
        </w:tc>
        <w:tc>
          <w:tcPr>
            <w:tcW w:w="682" w:type="pct"/>
            <w:noWrap/>
            <w:hideMark/>
          </w:tcPr>
          <w:p w14:paraId="3EFC5FD9" w14:textId="77777777" w:rsidR="000F0DCD" w:rsidRPr="00AA4065" w:rsidRDefault="000F0DCD" w:rsidP="000F0DCD">
            <w:pPr>
              <w:pStyle w:val="TableText"/>
              <w:keepNext/>
              <w:jc w:val="right"/>
              <w:rPr>
                <w:rFonts w:eastAsiaTheme="minorHAnsi" w:cstheme="minorBidi"/>
                <w:lang w:eastAsia="en-US"/>
              </w:rPr>
            </w:pPr>
            <w:r w:rsidRPr="00AA4065">
              <w:t>$514.83</w:t>
            </w:r>
          </w:p>
        </w:tc>
        <w:tc>
          <w:tcPr>
            <w:tcW w:w="682" w:type="pct"/>
            <w:noWrap/>
            <w:hideMark/>
          </w:tcPr>
          <w:p w14:paraId="72F5E1AB" w14:textId="77777777" w:rsidR="000F0DCD" w:rsidRPr="00AA4065" w:rsidRDefault="000F0DCD" w:rsidP="000F0DCD">
            <w:pPr>
              <w:pStyle w:val="TableText"/>
              <w:keepNext/>
              <w:jc w:val="right"/>
              <w:rPr>
                <w:rFonts w:eastAsiaTheme="minorHAnsi" w:cstheme="minorBidi"/>
                <w:lang w:eastAsia="en-US"/>
              </w:rPr>
            </w:pPr>
            <w:r w:rsidRPr="00AA4065">
              <w:t>$460.21</w:t>
            </w:r>
          </w:p>
        </w:tc>
        <w:tc>
          <w:tcPr>
            <w:tcW w:w="680" w:type="pct"/>
            <w:noWrap/>
            <w:hideMark/>
          </w:tcPr>
          <w:p w14:paraId="5DDF5528" w14:textId="77777777" w:rsidR="000F0DCD" w:rsidRPr="00AA4065" w:rsidRDefault="000F0DCD" w:rsidP="000F0DCD">
            <w:pPr>
              <w:pStyle w:val="TableText"/>
              <w:keepNext/>
              <w:jc w:val="right"/>
              <w:rPr>
                <w:rFonts w:eastAsiaTheme="minorHAnsi" w:cstheme="minorBidi"/>
                <w:lang w:eastAsia="en-US"/>
              </w:rPr>
            </w:pPr>
            <w:r w:rsidRPr="00AA4065">
              <w:t>$54.62</w:t>
            </w:r>
          </w:p>
        </w:tc>
      </w:tr>
      <w:tr w:rsidR="000F0DCD" w:rsidRPr="00AA4065" w14:paraId="1B8C4A68" w14:textId="77777777" w:rsidTr="007B0706">
        <w:trPr>
          <w:trHeight w:val="300"/>
        </w:trPr>
        <w:tc>
          <w:tcPr>
            <w:tcW w:w="2956" w:type="pct"/>
            <w:tcBorders>
              <w:bottom w:val="single" w:sz="4" w:space="0" w:color="auto"/>
            </w:tcBorders>
            <w:noWrap/>
            <w:hideMark/>
          </w:tcPr>
          <w:p w14:paraId="3E12C3B4"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QALYs</w:t>
            </w:r>
          </w:p>
        </w:tc>
        <w:tc>
          <w:tcPr>
            <w:tcW w:w="682" w:type="pct"/>
            <w:tcBorders>
              <w:bottom w:val="single" w:sz="4" w:space="0" w:color="auto"/>
            </w:tcBorders>
            <w:noWrap/>
            <w:hideMark/>
          </w:tcPr>
          <w:p w14:paraId="70EA93E6" w14:textId="77777777" w:rsidR="000F0DCD" w:rsidRPr="00AA4065" w:rsidRDefault="000F0DCD" w:rsidP="000F0DCD">
            <w:pPr>
              <w:pStyle w:val="TableText"/>
              <w:keepNext/>
              <w:jc w:val="right"/>
              <w:rPr>
                <w:rFonts w:eastAsiaTheme="minorHAnsi" w:cstheme="minorBidi"/>
                <w:lang w:eastAsia="en-US"/>
              </w:rPr>
            </w:pPr>
            <w:r w:rsidRPr="00AA4065">
              <w:t>8.0445</w:t>
            </w:r>
          </w:p>
        </w:tc>
        <w:tc>
          <w:tcPr>
            <w:tcW w:w="682" w:type="pct"/>
            <w:tcBorders>
              <w:bottom w:val="single" w:sz="4" w:space="0" w:color="auto"/>
            </w:tcBorders>
            <w:noWrap/>
            <w:hideMark/>
          </w:tcPr>
          <w:p w14:paraId="7238D1A4" w14:textId="77777777" w:rsidR="000F0DCD" w:rsidRPr="00AA4065" w:rsidRDefault="000F0DCD" w:rsidP="000F0DCD">
            <w:pPr>
              <w:pStyle w:val="TableText"/>
              <w:keepNext/>
              <w:jc w:val="right"/>
              <w:rPr>
                <w:rFonts w:eastAsiaTheme="minorHAnsi" w:cstheme="minorBidi"/>
                <w:lang w:eastAsia="en-US"/>
              </w:rPr>
            </w:pPr>
            <w:r w:rsidRPr="00AA4065">
              <w:t>8.0435</w:t>
            </w:r>
          </w:p>
        </w:tc>
        <w:tc>
          <w:tcPr>
            <w:tcW w:w="680" w:type="pct"/>
            <w:noWrap/>
            <w:hideMark/>
          </w:tcPr>
          <w:p w14:paraId="08CF80C9" w14:textId="77777777" w:rsidR="000F0DCD" w:rsidRPr="00AA4065" w:rsidRDefault="000F0DCD" w:rsidP="000F0DCD">
            <w:pPr>
              <w:pStyle w:val="TableText"/>
              <w:keepNext/>
              <w:jc w:val="right"/>
              <w:rPr>
                <w:rFonts w:eastAsiaTheme="minorHAnsi" w:cstheme="minorBidi"/>
                <w:lang w:eastAsia="en-US"/>
              </w:rPr>
            </w:pPr>
            <w:r w:rsidRPr="00AA4065">
              <w:t>0.0010</w:t>
            </w:r>
          </w:p>
        </w:tc>
      </w:tr>
      <w:tr w:rsidR="000F0DCD" w:rsidRPr="00AA4065" w14:paraId="1F4DC894" w14:textId="77777777" w:rsidTr="007B0706">
        <w:trPr>
          <w:trHeight w:val="300"/>
        </w:trPr>
        <w:tc>
          <w:tcPr>
            <w:tcW w:w="2956" w:type="pct"/>
            <w:tcBorders>
              <w:bottom w:val="single" w:sz="4" w:space="0" w:color="auto"/>
              <w:right w:val="nil"/>
            </w:tcBorders>
            <w:noWrap/>
            <w:hideMark/>
          </w:tcPr>
          <w:p w14:paraId="700F31C6" w14:textId="77777777" w:rsidR="000F0DCD" w:rsidRPr="00AA4065" w:rsidRDefault="000F0DCD" w:rsidP="000F0DCD">
            <w:pPr>
              <w:pStyle w:val="TableText"/>
              <w:keepNext/>
              <w:rPr>
                <w:rFonts w:eastAsiaTheme="minorHAnsi" w:cstheme="minorBidi"/>
                <w:b/>
                <w:lang w:eastAsia="en-US"/>
              </w:rPr>
            </w:pPr>
            <w:r w:rsidRPr="00AA4065">
              <w:rPr>
                <w:rFonts w:eastAsiaTheme="minorHAnsi" w:cstheme="minorBidi"/>
                <w:b/>
                <w:lang w:eastAsia="en-US"/>
              </w:rPr>
              <w:t>ICER</w:t>
            </w:r>
          </w:p>
        </w:tc>
        <w:tc>
          <w:tcPr>
            <w:tcW w:w="682" w:type="pct"/>
            <w:tcBorders>
              <w:left w:val="nil"/>
              <w:bottom w:val="single" w:sz="4" w:space="0" w:color="auto"/>
              <w:right w:val="nil"/>
            </w:tcBorders>
            <w:noWrap/>
            <w:hideMark/>
          </w:tcPr>
          <w:p w14:paraId="11F56966"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bottom w:val="single" w:sz="4" w:space="0" w:color="auto"/>
            </w:tcBorders>
            <w:noWrap/>
            <w:hideMark/>
          </w:tcPr>
          <w:p w14:paraId="0ED93A43" w14:textId="77777777" w:rsidR="000F0DCD" w:rsidRPr="00AA4065" w:rsidRDefault="000F0DCD" w:rsidP="000F0DCD">
            <w:pPr>
              <w:pStyle w:val="TableText"/>
              <w:keepNext/>
              <w:jc w:val="right"/>
              <w:rPr>
                <w:rFonts w:eastAsiaTheme="minorHAnsi" w:cstheme="minorBidi"/>
                <w:b/>
                <w:lang w:eastAsia="en-US"/>
              </w:rPr>
            </w:pPr>
          </w:p>
        </w:tc>
        <w:tc>
          <w:tcPr>
            <w:tcW w:w="680" w:type="pct"/>
            <w:tcBorders>
              <w:bottom w:val="single" w:sz="4" w:space="0" w:color="auto"/>
            </w:tcBorders>
            <w:noWrap/>
            <w:hideMark/>
          </w:tcPr>
          <w:p w14:paraId="3E9CC567" w14:textId="5D79E978" w:rsidR="000F0DCD" w:rsidRPr="00AA4065" w:rsidRDefault="000F0DCD" w:rsidP="000F0DCD">
            <w:pPr>
              <w:pStyle w:val="TableText"/>
              <w:keepNext/>
              <w:jc w:val="right"/>
              <w:rPr>
                <w:rFonts w:eastAsiaTheme="minorHAnsi" w:cstheme="minorBidi"/>
                <w:b/>
                <w:lang w:eastAsia="en-US"/>
              </w:rPr>
            </w:pPr>
            <w:r w:rsidRPr="00AA4065">
              <w:rPr>
                <w:b/>
              </w:rPr>
              <w:t>$55,084</w:t>
            </w:r>
          </w:p>
        </w:tc>
      </w:tr>
      <w:tr w:rsidR="000F0DCD" w:rsidRPr="00AA4065" w14:paraId="614DCE2F" w14:textId="77777777" w:rsidTr="007B0706">
        <w:trPr>
          <w:trHeight w:val="300"/>
        </w:trPr>
        <w:tc>
          <w:tcPr>
            <w:tcW w:w="2956" w:type="pct"/>
            <w:tcBorders>
              <w:right w:val="nil"/>
            </w:tcBorders>
            <w:noWrap/>
            <w:hideMark/>
          </w:tcPr>
          <w:p w14:paraId="0614862C" w14:textId="5AA96460" w:rsidR="000F0DCD" w:rsidRPr="00AA4065" w:rsidRDefault="000F0DCD" w:rsidP="000F0DCD">
            <w:pPr>
              <w:pStyle w:val="TableText"/>
              <w:keepNext/>
              <w:rPr>
                <w:rFonts w:eastAsiaTheme="minorHAnsi" w:cstheme="minorBidi"/>
                <w:b/>
                <w:lang w:eastAsia="en-US"/>
              </w:rPr>
            </w:pPr>
            <w:r>
              <w:rPr>
                <w:rFonts w:eastAsiaTheme="minorHAnsi" w:cstheme="minorBidi"/>
                <w:b/>
                <w:lang w:eastAsia="en-US"/>
              </w:rPr>
              <w:t xml:space="preserve">1627 </w:t>
            </w:r>
            <w:r w:rsidRPr="00AA4065">
              <w:rPr>
                <w:rFonts w:eastAsiaTheme="minorHAnsi" w:cstheme="minorBidi"/>
                <w:b/>
                <w:lang w:eastAsia="en-US"/>
              </w:rPr>
              <w:t>Expected cohort value (Commentary</w:t>
            </w:r>
            <w:r>
              <w:rPr>
                <w:rFonts w:eastAsiaTheme="minorHAnsi" w:cstheme="minorBidi"/>
                <w:b/>
                <w:lang w:eastAsia="en-US"/>
              </w:rPr>
              <w:t xml:space="preserve"> revised</w:t>
            </w:r>
            <w:r w:rsidRPr="00AA4065">
              <w:rPr>
                <w:rFonts w:eastAsiaTheme="minorHAnsi" w:cstheme="minorBidi"/>
                <w:b/>
                <w:lang w:eastAsia="en-US"/>
              </w:rPr>
              <w:t xml:space="preserve"> base case)</w:t>
            </w:r>
          </w:p>
        </w:tc>
        <w:tc>
          <w:tcPr>
            <w:tcW w:w="682" w:type="pct"/>
            <w:tcBorders>
              <w:left w:val="nil"/>
              <w:right w:val="nil"/>
            </w:tcBorders>
            <w:noWrap/>
            <w:hideMark/>
          </w:tcPr>
          <w:p w14:paraId="5C6C067F"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right w:val="nil"/>
            </w:tcBorders>
            <w:noWrap/>
            <w:hideMark/>
          </w:tcPr>
          <w:p w14:paraId="37421F0A" w14:textId="77777777" w:rsidR="000F0DCD" w:rsidRPr="00AA4065" w:rsidRDefault="000F0DCD" w:rsidP="000F0DCD">
            <w:pPr>
              <w:pStyle w:val="TableText"/>
              <w:keepNext/>
              <w:jc w:val="right"/>
              <w:rPr>
                <w:rFonts w:eastAsiaTheme="minorHAnsi" w:cstheme="minorBidi"/>
                <w:b/>
                <w:lang w:eastAsia="en-US"/>
              </w:rPr>
            </w:pPr>
          </w:p>
        </w:tc>
        <w:tc>
          <w:tcPr>
            <w:tcW w:w="680" w:type="pct"/>
            <w:tcBorders>
              <w:left w:val="nil"/>
            </w:tcBorders>
            <w:noWrap/>
            <w:hideMark/>
          </w:tcPr>
          <w:p w14:paraId="7EAD817F" w14:textId="77777777" w:rsidR="000F0DCD" w:rsidRPr="00AA4065" w:rsidRDefault="000F0DCD" w:rsidP="000F0DCD">
            <w:pPr>
              <w:pStyle w:val="TableText"/>
              <w:keepNext/>
              <w:jc w:val="right"/>
              <w:rPr>
                <w:rFonts w:eastAsiaTheme="minorHAnsi" w:cstheme="minorBidi"/>
                <w:b/>
                <w:lang w:eastAsia="en-US"/>
              </w:rPr>
            </w:pPr>
          </w:p>
        </w:tc>
      </w:tr>
      <w:tr w:rsidR="000F0DCD" w:rsidRPr="00AA4065" w14:paraId="4A97A326" w14:textId="77777777" w:rsidTr="007B0706">
        <w:trPr>
          <w:trHeight w:val="300"/>
        </w:trPr>
        <w:tc>
          <w:tcPr>
            <w:tcW w:w="2956" w:type="pct"/>
            <w:noWrap/>
            <w:hideMark/>
          </w:tcPr>
          <w:p w14:paraId="00EBD465"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Cost</w:t>
            </w:r>
          </w:p>
        </w:tc>
        <w:tc>
          <w:tcPr>
            <w:tcW w:w="682" w:type="pct"/>
            <w:noWrap/>
            <w:hideMark/>
          </w:tcPr>
          <w:p w14:paraId="723FC8B5" w14:textId="77777777" w:rsidR="000F0DCD" w:rsidRPr="00AA4065" w:rsidRDefault="000F0DCD" w:rsidP="000F0DCD">
            <w:pPr>
              <w:pStyle w:val="TableText"/>
              <w:keepNext/>
              <w:jc w:val="right"/>
              <w:rPr>
                <w:rFonts w:eastAsiaTheme="minorHAnsi" w:cstheme="minorBidi"/>
                <w:lang w:eastAsia="en-US"/>
              </w:rPr>
            </w:pPr>
            <w:r w:rsidRPr="00AA4065">
              <w:t>$569.08</w:t>
            </w:r>
          </w:p>
        </w:tc>
        <w:tc>
          <w:tcPr>
            <w:tcW w:w="682" w:type="pct"/>
            <w:noWrap/>
            <w:hideMark/>
          </w:tcPr>
          <w:p w14:paraId="1403B36E" w14:textId="77777777" w:rsidR="000F0DCD" w:rsidRPr="00AA4065" w:rsidRDefault="000F0DCD" w:rsidP="000F0DCD">
            <w:pPr>
              <w:pStyle w:val="TableText"/>
              <w:keepNext/>
              <w:jc w:val="right"/>
              <w:rPr>
                <w:rFonts w:eastAsiaTheme="minorHAnsi" w:cstheme="minorBidi"/>
                <w:lang w:eastAsia="en-US"/>
              </w:rPr>
            </w:pPr>
            <w:r w:rsidRPr="00AA4065">
              <w:t>$541.23</w:t>
            </w:r>
          </w:p>
        </w:tc>
        <w:tc>
          <w:tcPr>
            <w:tcW w:w="680" w:type="pct"/>
            <w:noWrap/>
            <w:hideMark/>
          </w:tcPr>
          <w:p w14:paraId="6D0742B9" w14:textId="77777777" w:rsidR="000F0DCD" w:rsidRPr="00AA4065" w:rsidRDefault="000F0DCD" w:rsidP="000F0DCD">
            <w:pPr>
              <w:pStyle w:val="TableText"/>
              <w:keepNext/>
              <w:jc w:val="right"/>
              <w:rPr>
                <w:rFonts w:eastAsiaTheme="minorHAnsi" w:cstheme="minorBidi"/>
                <w:lang w:eastAsia="en-US"/>
              </w:rPr>
            </w:pPr>
            <w:r w:rsidRPr="00AA4065">
              <w:t>$27.86</w:t>
            </w:r>
          </w:p>
        </w:tc>
      </w:tr>
      <w:tr w:rsidR="000F0DCD" w:rsidRPr="00AA4065" w14:paraId="1C7F2141" w14:textId="77777777" w:rsidTr="007B0706">
        <w:trPr>
          <w:trHeight w:val="300"/>
        </w:trPr>
        <w:tc>
          <w:tcPr>
            <w:tcW w:w="2956" w:type="pct"/>
            <w:tcBorders>
              <w:bottom w:val="single" w:sz="4" w:space="0" w:color="auto"/>
            </w:tcBorders>
            <w:noWrap/>
            <w:hideMark/>
          </w:tcPr>
          <w:p w14:paraId="365AD108" w14:textId="77777777" w:rsidR="000F0DCD" w:rsidRPr="00AA4065" w:rsidRDefault="000F0DCD" w:rsidP="000F0DCD">
            <w:pPr>
              <w:pStyle w:val="TableText"/>
              <w:keepNext/>
              <w:rPr>
                <w:rFonts w:eastAsiaTheme="minorHAnsi" w:cstheme="minorBidi"/>
                <w:lang w:eastAsia="en-US"/>
              </w:rPr>
            </w:pPr>
            <w:r w:rsidRPr="00AA4065">
              <w:rPr>
                <w:rFonts w:eastAsiaTheme="minorHAnsi" w:cstheme="minorBidi"/>
                <w:lang w:eastAsia="en-US"/>
              </w:rPr>
              <w:t>QALYs</w:t>
            </w:r>
          </w:p>
        </w:tc>
        <w:tc>
          <w:tcPr>
            <w:tcW w:w="682" w:type="pct"/>
            <w:tcBorders>
              <w:bottom w:val="single" w:sz="4" w:space="0" w:color="auto"/>
            </w:tcBorders>
            <w:noWrap/>
            <w:hideMark/>
          </w:tcPr>
          <w:p w14:paraId="5511ECC8" w14:textId="77777777" w:rsidR="000F0DCD" w:rsidRPr="00AA4065" w:rsidRDefault="000F0DCD" w:rsidP="000F0DCD">
            <w:pPr>
              <w:pStyle w:val="TableText"/>
              <w:keepNext/>
              <w:jc w:val="right"/>
              <w:rPr>
                <w:rFonts w:eastAsiaTheme="minorHAnsi" w:cstheme="minorBidi"/>
                <w:lang w:eastAsia="en-US"/>
              </w:rPr>
            </w:pPr>
            <w:r w:rsidRPr="00AA4065">
              <w:t>8.0454</w:t>
            </w:r>
          </w:p>
        </w:tc>
        <w:tc>
          <w:tcPr>
            <w:tcW w:w="682" w:type="pct"/>
            <w:tcBorders>
              <w:bottom w:val="single" w:sz="4" w:space="0" w:color="auto"/>
            </w:tcBorders>
            <w:noWrap/>
            <w:hideMark/>
          </w:tcPr>
          <w:p w14:paraId="2BB59C6F" w14:textId="77777777" w:rsidR="000F0DCD" w:rsidRPr="00AA4065" w:rsidRDefault="000F0DCD" w:rsidP="000F0DCD">
            <w:pPr>
              <w:pStyle w:val="TableText"/>
              <w:keepNext/>
              <w:jc w:val="right"/>
              <w:rPr>
                <w:rFonts w:eastAsiaTheme="minorHAnsi" w:cstheme="minorBidi"/>
                <w:lang w:eastAsia="en-US"/>
              </w:rPr>
            </w:pPr>
            <w:r w:rsidRPr="00AA4065">
              <w:t>8.0440</w:t>
            </w:r>
          </w:p>
        </w:tc>
        <w:tc>
          <w:tcPr>
            <w:tcW w:w="680" w:type="pct"/>
            <w:noWrap/>
            <w:hideMark/>
          </w:tcPr>
          <w:p w14:paraId="713F17C0" w14:textId="77777777" w:rsidR="000F0DCD" w:rsidRPr="00AA4065" w:rsidRDefault="000F0DCD" w:rsidP="000F0DCD">
            <w:pPr>
              <w:pStyle w:val="TableText"/>
              <w:keepNext/>
              <w:jc w:val="right"/>
              <w:rPr>
                <w:rFonts w:eastAsiaTheme="minorHAnsi" w:cstheme="minorBidi"/>
                <w:lang w:eastAsia="en-US"/>
              </w:rPr>
            </w:pPr>
            <w:r w:rsidRPr="00AA4065">
              <w:t>0.0014</w:t>
            </w:r>
          </w:p>
        </w:tc>
      </w:tr>
      <w:tr w:rsidR="000F0DCD" w:rsidRPr="00AA4065" w14:paraId="1D5289E4" w14:textId="77777777" w:rsidTr="007B0706">
        <w:trPr>
          <w:trHeight w:val="300"/>
        </w:trPr>
        <w:tc>
          <w:tcPr>
            <w:tcW w:w="2956" w:type="pct"/>
            <w:tcBorders>
              <w:right w:val="nil"/>
            </w:tcBorders>
            <w:noWrap/>
            <w:hideMark/>
          </w:tcPr>
          <w:p w14:paraId="542B81DF" w14:textId="77777777" w:rsidR="000F0DCD" w:rsidRPr="00AA4065" w:rsidRDefault="000F0DCD" w:rsidP="000F0DCD">
            <w:pPr>
              <w:pStyle w:val="TableText"/>
              <w:keepNext/>
              <w:rPr>
                <w:rFonts w:eastAsiaTheme="minorHAnsi" w:cstheme="minorBidi"/>
                <w:b/>
                <w:lang w:eastAsia="en-US"/>
              </w:rPr>
            </w:pPr>
            <w:r w:rsidRPr="00AA4065">
              <w:rPr>
                <w:rFonts w:eastAsiaTheme="minorHAnsi" w:cstheme="minorBidi"/>
                <w:b/>
                <w:lang w:eastAsia="en-US"/>
              </w:rPr>
              <w:t>ICER</w:t>
            </w:r>
          </w:p>
        </w:tc>
        <w:tc>
          <w:tcPr>
            <w:tcW w:w="682" w:type="pct"/>
            <w:tcBorders>
              <w:left w:val="nil"/>
              <w:right w:val="nil"/>
            </w:tcBorders>
            <w:noWrap/>
            <w:hideMark/>
          </w:tcPr>
          <w:p w14:paraId="242217E3" w14:textId="77777777" w:rsidR="000F0DCD" w:rsidRPr="00AA4065" w:rsidRDefault="000F0DCD" w:rsidP="000F0DCD">
            <w:pPr>
              <w:pStyle w:val="TableText"/>
              <w:keepNext/>
              <w:jc w:val="right"/>
              <w:rPr>
                <w:rFonts w:eastAsiaTheme="minorHAnsi" w:cstheme="minorBidi"/>
                <w:b/>
                <w:lang w:eastAsia="en-US"/>
              </w:rPr>
            </w:pPr>
          </w:p>
        </w:tc>
        <w:tc>
          <w:tcPr>
            <w:tcW w:w="682" w:type="pct"/>
            <w:tcBorders>
              <w:left w:val="nil"/>
            </w:tcBorders>
            <w:noWrap/>
            <w:hideMark/>
          </w:tcPr>
          <w:p w14:paraId="4AFB2B11" w14:textId="77777777" w:rsidR="000F0DCD" w:rsidRPr="00AA4065" w:rsidRDefault="000F0DCD" w:rsidP="000F0DCD">
            <w:pPr>
              <w:pStyle w:val="TableText"/>
              <w:keepNext/>
              <w:jc w:val="right"/>
              <w:rPr>
                <w:rFonts w:eastAsiaTheme="minorHAnsi" w:cstheme="minorBidi"/>
                <w:b/>
                <w:lang w:eastAsia="en-US"/>
              </w:rPr>
            </w:pPr>
          </w:p>
        </w:tc>
        <w:tc>
          <w:tcPr>
            <w:tcW w:w="680" w:type="pct"/>
            <w:noWrap/>
            <w:hideMark/>
          </w:tcPr>
          <w:p w14:paraId="20B00F95" w14:textId="77777777" w:rsidR="000F0DCD" w:rsidRPr="00AA4065" w:rsidRDefault="000F0DCD" w:rsidP="000F0DCD">
            <w:pPr>
              <w:pStyle w:val="TableText"/>
              <w:keepNext/>
              <w:jc w:val="right"/>
              <w:rPr>
                <w:rFonts w:eastAsiaTheme="minorHAnsi" w:cstheme="minorBidi"/>
                <w:b/>
                <w:lang w:eastAsia="en-US"/>
              </w:rPr>
            </w:pPr>
            <w:r w:rsidRPr="00AA4065">
              <w:rPr>
                <w:b/>
              </w:rPr>
              <w:t>$20,453</w:t>
            </w:r>
          </w:p>
        </w:tc>
      </w:tr>
      <w:tr w:rsidR="000F0DCD" w:rsidRPr="00FE5A5E" w14:paraId="628F34E2" w14:textId="77777777" w:rsidTr="007B0706">
        <w:trPr>
          <w:trHeight w:val="300"/>
        </w:trPr>
        <w:tc>
          <w:tcPr>
            <w:tcW w:w="5000" w:type="pct"/>
            <w:gridSpan w:val="4"/>
            <w:noWrap/>
          </w:tcPr>
          <w:p w14:paraId="4E49069B" w14:textId="5EAA214C" w:rsidR="000F0DCD" w:rsidRPr="009170E3" w:rsidRDefault="000F0DCD" w:rsidP="009170E3">
            <w:pPr>
              <w:pStyle w:val="TableText"/>
              <w:rPr>
                <w:b/>
                <w:bCs/>
              </w:rPr>
            </w:pPr>
            <w:r>
              <w:rPr>
                <w:b/>
                <w:bCs/>
              </w:rPr>
              <w:t xml:space="preserve">1627 </w:t>
            </w:r>
            <w:r w:rsidRPr="009170E3">
              <w:rPr>
                <w:b/>
                <w:bCs/>
              </w:rPr>
              <w:t>Excluding indirect health care costs (Commentary alternate scenario)</w:t>
            </w:r>
          </w:p>
        </w:tc>
      </w:tr>
      <w:tr w:rsidR="000F0DCD" w:rsidRPr="00FE5A5E" w14:paraId="1C6CD120" w14:textId="77777777" w:rsidTr="007B0706">
        <w:trPr>
          <w:trHeight w:val="300"/>
        </w:trPr>
        <w:tc>
          <w:tcPr>
            <w:tcW w:w="2956" w:type="pct"/>
            <w:noWrap/>
            <w:hideMark/>
          </w:tcPr>
          <w:p w14:paraId="78401833" w14:textId="77777777" w:rsidR="000F0DCD" w:rsidRPr="00FE5A5E" w:rsidRDefault="000F0DCD" w:rsidP="000F0DCD">
            <w:pPr>
              <w:pStyle w:val="TableText"/>
              <w:rPr>
                <w:rFonts w:eastAsiaTheme="minorHAnsi" w:cstheme="minorBidi"/>
                <w:lang w:eastAsia="en-US"/>
              </w:rPr>
            </w:pPr>
            <w:r w:rsidRPr="00FE5A5E">
              <w:rPr>
                <w:rFonts w:eastAsiaTheme="minorHAnsi" w:cstheme="minorBidi"/>
                <w:lang w:eastAsia="en-US"/>
              </w:rPr>
              <w:t>Cost</w:t>
            </w:r>
          </w:p>
        </w:tc>
        <w:tc>
          <w:tcPr>
            <w:tcW w:w="682" w:type="pct"/>
            <w:noWrap/>
            <w:hideMark/>
          </w:tcPr>
          <w:p w14:paraId="4DED468D" w14:textId="77777777" w:rsidR="000F0DCD" w:rsidRPr="00FE5A5E" w:rsidRDefault="000F0DCD" w:rsidP="000F0DCD">
            <w:pPr>
              <w:pStyle w:val="TableText"/>
              <w:jc w:val="right"/>
              <w:rPr>
                <w:rFonts w:eastAsiaTheme="minorHAnsi" w:cstheme="minorBidi"/>
                <w:lang w:eastAsia="en-US"/>
              </w:rPr>
            </w:pPr>
            <w:r w:rsidRPr="00FE5A5E">
              <w:t>$396.29</w:t>
            </w:r>
          </w:p>
        </w:tc>
        <w:tc>
          <w:tcPr>
            <w:tcW w:w="682" w:type="pct"/>
            <w:noWrap/>
            <w:hideMark/>
          </w:tcPr>
          <w:p w14:paraId="22B869F7" w14:textId="77777777" w:rsidR="000F0DCD" w:rsidRPr="00FE5A5E" w:rsidRDefault="000F0DCD" w:rsidP="000F0DCD">
            <w:pPr>
              <w:pStyle w:val="TableText"/>
              <w:jc w:val="right"/>
              <w:rPr>
                <w:rFonts w:eastAsiaTheme="minorHAnsi" w:cstheme="minorBidi"/>
                <w:lang w:eastAsia="en-US"/>
              </w:rPr>
            </w:pPr>
            <w:r w:rsidRPr="00FE5A5E">
              <w:t>$324.04</w:t>
            </w:r>
          </w:p>
        </w:tc>
        <w:tc>
          <w:tcPr>
            <w:tcW w:w="680" w:type="pct"/>
            <w:noWrap/>
            <w:hideMark/>
          </w:tcPr>
          <w:p w14:paraId="17C5DAEF" w14:textId="77777777" w:rsidR="000F0DCD" w:rsidRPr="00FE5A5E" w:rsidRDefault="000F0DCD" w:rsidP="000F0DCD">
            <w:pPr>
              <w:pStyle w:val="TableText"/>
              <w:jc w:val="right"/>
              <w:rPr>
                <w:rFonts w:eastAsiaTheme="minorHAnsi" w:cstheme="minorBidi"/>
                <w:lang w:eastAsia="en-US"/>
              </w:rPr>
            </w:pPr>
            <w:r w:rsidRPr="00FE5A5E">
              <w:t>$72.26</w:t>
            </w:r>
          </w:p>
        </w:tc>
      </w:tr>
      <w:tr w:rsidR="000F0DCD" w:rsidRPr="00FE5A5E" w14:paraId="3838D6CC" w14:textId="77777777" w:rsidTr="007B0706">
        <w:trPr>
          <w:trHeight w:val="300"/>
        </w:trPr>
        <w:tc>
          <w:tcPr>
            <w:tcW w:w="2956" w:type="pct"/>
            <w:noWrap/>
            <w:hideMark/>
          </w:tcPr>
          <w:p w14:paraId="159F8B59" w14:textId="77777777" w:rsidR="000F0DCD" w:rsidRPr="00FE5A5E" w:rsidRDefault="000F0DCD" w:rsidP="000F0DCD">
            <w:pPr>
              <w:pStyle w:val="TableText"/>
              <w:rPr>
                <w:rFonts w:eastAsiaTheme="minorHAnsi" w:cstheme="minorBidi"/>
                <w:lang w:eastAsia="en-US"/>
              </w:rPr>
            </w:pPr>
            <w:r w:rsidRPr="00FE5A5E">
              <w:rPr>
                <w:rFonts w:eastAsiaTheme="minorHAnsi" w:cstheme="minorBidi"/>
                <w:lang w:eastAsia="en-US"/>
              </w:rPr>
              <w:t>QALYs</w:t>
            </w:r>
          </w:p>
        </w:tc>
        <w:tc>
          <w:tcPr>
            <w:tcW w:w="682" w:type="pct"/>
            <w:noWrap/>
            <w:hideMark/>
          </w:tcPr>
          <w:p w14:paraId="24B19D31" w14:textId="77777777" w:rsidR="000F0DCD" w:rsidRPr="00FE5A5E" w:rsidRDefault="000F0DCD" w:rsidP="000F0DCD">
            <w:pPr>
              <w:pStyle w:val="TableText"/>
              <w:jc w:val="right"/>
              <w:rPr>
                <w:rFonts w:eastAsiaTheme="minorHAnsi" w:cstheme="minorBidi"/>
                <w:lang w:eastAsia="en-US"/>
              </w:rPr>
            </w:pPr>
            <w:r w:rsidRPr="00FE5A5E">
              <w:t>8.0454</w:t>
            </w:r>
          </w:p>
        </w:tc>
        <w:tc>
          <w:tcPr>
            <w:tcW w:w="682" w:type="pct"/>
            <w:noWrap/>
            <w:hideMark/>
          </w:tcPr>
          <w:p w14:paraId="4CE81BB2" w14:textId="77777777" w:rsidR="000F0DCD" w:rsidRPr="00FE5A5E" w:rsidRDefault="000F0DCD" w:rsidP="000F0DCD">
            <w:pPr>
              <w:pStyle w:val="TableText"/>
              <w:jc w:val="right"/>
              <w:rPr>
                <w:rFonts w:eastAsiaTheme="minorHAnsi" w:cstheme="minorBidi"/>
                <w:lang w:eastAsia="en-US"/>
              </w:rPr>
            </w:pPr>
            <w:r w:rsidRPr="00FE5A5E">
              <w:t>8.0440</w:t>
            </w:r>
          </w:p>
        </w:tc>
        <w:tc>
          <w:tcPr>
            <w:tcW w:w="680" w:type="pct"/>
            <w:noWrap/>
            <w:hideMark/>
          </w:tcPr>
          <w:p w14:paraId="7F7B4CA8" w14:textId="77777777" w:rsidR="000F0DCD" w:rsidRPr="00FE5A5E" w:rsidRDefault="000F0DCD" w:rsidP="000F0DCD">
            <w:pPr>
              <w:pStyle w:val="TableText"/>
              <w:jc w:val="right"/>
              <w:rPr>
                <w:rFonts w:eastAsiaTheme="minorHAnsi" w:cstheme="minorBidi"/>
                <w:lang w:eastAsia="en-US"/>
              </w:rPr>
            </w:pPr>
            <w:r w:rsidRPr="00FE5A5E">
              <w:t>0.0014</w:t>
            </w:r>
          </w:p>
        </w:tc>
      </w:tr>
      <w:tr w:rsidR="000F0DCD" w:rsidRPr="00FE5A5E" w14:paraId="2D587366" w14:textId="77777777" w:rsidTr="007B0706">
        <w:trPr>
          <w:trHeight w:val="300"/>
        </w:trPr>
        <w:tc>
          <w:tcPr>
            <w:tcW w:w="2956" w:type="pct"/>
            <w:noWrap/>
            <w:hideMark/>
          </w:tcPr>
          <w:p w14:paraId="77951D0F" w14:textId="33FACF6D" w:rsidR="000F0DCD" w:rsidRPr="00FE5A5E" w:rsidRDefault="000F0DCD" w:rsidP="000F0DCD">
            <w:pPr>
              <w:pStyle w:val="TableText"/>
              <w:rPr>
                <w:rFonts w:eastAsiaTheme="minorHAnsi" w:cstheme="minorBidi"/>
                <w:b/>
                <w:lang w:eastAsia="en-US"/>
              </w:rPr>
            </w:pPr>
            <w:r w:rsidRPr="00FE5A5E">
              <w:rPr>
                <w:rFonts w:eastAsiaTheme="minorHAnsi" w:cstheme="minorBidi"/>
                <w:b/>
                <w:lang w:eastAsia="en-US"/>
              </w:rPr>
              <w:t>ICER</w:t>
            </w:r>
          </w:p>
        </w:tc>
        <w:tc>
          <w:tcPr>
            <w:tcW w:w="682" w:type="pct"/>
            <w:noWrap/>
            <w:hideMark/>
          </w:tcPr>
          <w:p w14:paraId="2E88B732" w14:textId="77777777" w:rsidR="000F0DCD" w:rsidRPr="00FE5A5E" w:rsidRDefault="000F0DCD" w:rsidP="000F0DCD">
            <w:pPr>
              <w:pStyle w:val="TableText"/>
              <w:jc w:val="right"/>
              <w:rPr>
                <w:rFonts w:eastAsiaTheme="minorHAnsi" w:cstheme="minorBidi"/>
                <w:b/>
                <w:lang w:eastAsia="en-US"/>
              </w:rPr>
            </w:pPr>
          </w:p>
        </w:tc>
        <w:tc>
          <w:tcPr>
            <w:tcW w:w="682" w:type="pct"/>
            <w:noWrap/>
            <w:hideMark/>
          </w:tcPr>
          <w:p w14:paraId="4DE8BE9F" w14:textId="77777777" w:rsidR="000F0DCD" w:rsidRPr="00FE5A5E" w:rsidRDefault="000F0DCD" w:rsidP="000F0DCD">
            <w:pPr>
              <w:pStyle w:val="TableText"/>
              <w:jc w:val="right"/>
              <w:rPr>
                <w:rFonts w:eastAsiaTheme="minorHAnsi" w:cstheme="minorBidi"/>
                <w:b/>
                <w:lang w:eastAsia="en-US"/>
              </w:rPr>
            </w:pPr>
          </w:p>
        </w:tc>
        <w:tc>
          <w:tcPr>
            <w:tcW w:w="680" w:type="pct"/>
            <w:noWrap/>
            <w:hideMark/>
          </w:tcPr>
          <w:p w14:paraId="74E5C235" w14:textId="77777777" w:rsidR="000F0DCD" w:rsidRPr="00FE5A5E" w:rsidRDefault="000F0DCD" w:rsidP="000F0DCD">
            <w:pPr>
              <w:pStyle w:val="TableText"/>
              <w:jc w:val="right"/>
              <w:rPr>
                <w:rFonts w:eastAsiaTheme="minorHAnsi" w:cstheme="minorBidi"/>
                <w:b/>
                <w:lang w:eastAsia="en-US"/>
              </w:rPr>
            </w:pPr>
            <w:r w:rsidRPr="00FE5A5E">
              <w:rPr>
                <w:b/>
              </w:rPr>
              <w:t>$53,049</w:t>
            </w:r>
          </w:p>
        </w:tc>
      </w:tr>
      <w:tr w:rsidR="000F0DCD" w:rsidRPr="00FE5A5E" w14:paraId="0DD71B7C" w14:textId="77777777" w:rsidTr="009170E3">
        <w:trPr>
          <w:trHeight w:val="300"/>
        </w:trPr>
        <w:tc>
          <w:tcPr>
            <w:tcW w:w="5000" w:type="pct"/>
            <w:gridSpan w:val="4"/>
            <w:noWrap/>
            <w:vAlign w:val="center"/>
          </w:tcPr>
          <w:p w14:paraId="3C7FCC8D" w14:textId="2E2D82E6" w:rsidR="000F0DCD" w:rsidRPr="00FE5A5E" w:rsidRDefault="000F0DCD" w:rsidP="009170E3">
            <w:pPr>
              <w:pStyle w:val="TableText"/>
              <w:rPr>
                <w:b/>
              </w:rPr>
            </w:pPr>
            <w:r>
              <w:rPr>
                <w:b/>
              </w:rPr>
              <w:t>Pre-ESC response</w:t>
            </w:r>
          </w:p>
        </w:tc>
      </w:tr>
      <w:tr w:rsidR="000F0DCD" w:rsidRPr="00FE5A5E" w14:paraId="1CEE608E" w14:textId="77777777" w:rsidTr="007B0706">
        <w:trPr>
          <w:trHeight w:val="300"/>
        </w:trPr>
        <w:tc>
          <w:tcPr>
            <w:tcW w:w="2956" w:type="pct"/>
            <w:noWrap/>
          </w:tcPr>
          <w:p w14:paraId="1463D02B" w14:textId="1E74B450" w:rsidR="000F0DCD" w:rsidRPr="00FE5A5E" w:rsidRDefault="000F0DCD" w:rsidP="000F0DCD">
            <w:pPr>
              <w:pStyle w:val="TableText"/>
              <w:rPr>
                <w:b/>
              </w:rPr>
            </w:pPr>
            <w:r w:rsidRPr="00FE5A5E">
              <w:rPr>
                <w:rFonts w:eastAsiaTheme="minorHAnsi" w:cstheme="minorBidi"/>
                <w:lang w:eastAsia="en-US"/>
              </w:rPr>
              <w:t>Cost</w:t>
            </w:r>
          </w:p>
        </w:tc>
        <w:tc>
          <w:tcPr>
            <w:tcW w:w="682" w:type="pct"/>
            <w:noWrap/>
          </w:tcPr>
          <w:p w14:paraId="5435BC4A" w14:textId="26CDA6AF" w:rsidR="000F0DCD" w:rsidRPr="009170E3" w:rsidRDefault="000F0DCD" w:rsidP="000F0DCD">
            <w:pPr>
              <w:pStyle w:val="TableText"/>
              <w:jc w:val="right"/>
              <w:rPr>
                <w:bCs/>
              </w:rPr>
            </w:pPr>
            <w:r w:rsidRPr="009170E3">
              <w:rPr>
                <w:bCs/>
              </w:rPr>
              <w:t>$4,590.27</w:t>
            </w:r>
          </w:p>
        </w:tc>
        <w:tc>
          <w:tcPr>
            <w:tcW w:w="682" w:type="pct"/>
            <w:noWrap/>
          </w:tcPr>
          <w:p w14:paraId="2C854557" w14:textId="6D4FD908" w:rsidR="000F0DCD" w:rsidRPr="009170E3" w:rsidRDefault="000F0DCD" w:rsidP="000F0DCD">
            <w:pPr>
              <w:pStyle w:val="TableText"/>
              <w:jc w:val="right"/>
              <w:rPr>
                <w:bCs/>
              </w:rPr>
            </w:pPr>
            <w:r w:rsidRPr="009170E3">
              <w:rPr>
                <w:bCs/>
              </w:rPr>
              <w:t>$4,218.42</w:t>
            </w:r>
          </w:p>
        </w:tc>
        <w:tc>
          <w:tcPr>
            <w:tcW w:w="680" w:type="pct"/>
            <w:noWrap/>
          </w:tcPr>
          <w:p w14:paraId="0FC1E802" w14:textId="51F67994" w:rsidR="000F0DCD" w:rsidRPr="009170E3" w:rsidRDefault="000F0DCD" w:rsidP="000F0DCD">
            <w:pPr>
              <w:pStyle w:val="TableText"/>
              <w:jc w:val="right"/>
              <w:rPr>
                <w:bCs/>
              </w:rPr>
            </w:pPr>
            <w:r w:rsidRPr="009170E3">
              <w:rPr>
                <w:bCs/>
              </w:rPr>
              <w:t>$371.85</w:t>
            </w:r>
          </w:p>
        </w:tc>
      </w:tr>
      <w:tr w:rsidR="000F0DCD" w:rsidRPr="00FE5A5E" w14:paraId="70C5671E" w14:textId="77777777" w:rsidTr="007B0706">
        <w:trPr>
          <w:trHeight w:val="300"/>
        </w:trPr>
        <w:tc>
          <w:tcPr>
            <w:tcW w:w="2956" w:type="pct"/>
            <w:noWrap/>
          </w:tcPr>
          <w:p w14:paraId="2BAB3A06" w14:textId="7E3621F2" w:rsidR="000F0DCD" w:rsidRPr="00FE5A5E" w:rsidRDefault="000F0DCD" w:rsidP="000F0DCD">
            <w:pPr>
              <w:pStyle w:val="TableText"/>
              <w:rPr>
                <w:b/>
              </w:rPr>
            </w:pPr>
            <w:r w:rsidRPr="00FE5A5E">
              <w:rPr>
                <w:rFonts w:eastAsiaTheme="minorHAnsi" w:cstheme="minorBidi"/>
                <w:lang w:eastAsia="en-US"/>
              </w:rPr>
              <w:t>QALYs</w:t>
            </w:r>
          </w:p>
        </w:tc>
        <w:tc>
          <w:tcPr>
            <w:tcW w:w="682" w:type="pct"/>
            <w:noWrap/>
          </w:tcPr>
          <w:p w14:paraId="62DDC3B5" w14:textId="325E9D43" w:rsidR="000F0DCD" w:rsidRPr="009170E3" w:rsidRDefault="000F0DCD" w:rsidP="000F0DCD">
            <w:pPr>
              <w:pStyle w:val="TableText"/>
              <w:jc w:val="right"/>
              <w:rPr>
                <w:bCs/>
              </w:rPr>
            </w:pPr>
            <w:r w:rsidRPr="009170E3">
              <w:rPr>
                <w:bCs/>
              </w:rPr>
              <w:t>8.29</w:t>
            </w:r>
          </w:p>
        </w:tc>
        <w:tc>
          <w:tcPr>
            <w:tcW w:w="682" w:type="pct"/>
            <w:noWrap/>
          </w:tcPr>
          <w:p w14:paraId="70A9D430" w14:textId="7470392E" w:rsidR="000F0DCD" w:rsidRPr="009170E3" w:rsidRDefault="000F0DCD" w:rsidP="000F0DCD">
            <w:pPr>
              <w:pStyle w:val="TableText"/>
              <w:jc w:val="right"/>
              <w:rPr>
                <w:bCs/>
              </w:rPr>
            </w:pPr>
            <w:r w:rsidRPr="009170E3">
              <w:rPr>
                <w:bCs/>
              </w:rPr>
              <w:t>8.28</w:t>
            </w:r>
          </w:p>
        </w:tc>
        <w:tc>
          <w:tcPr>
            <w:tcW w:w="680" w:type="pct"/>
            <w:noWrap/>
          </w:tcPr>
          <w:p w14:paraId="3E3E22AF" w14:textId="63B70A07" w:rsidR="000F0DCD" w:rsidRPr="009170E3" w:rsidRDefault="000F0DCD" w:rsidP="000F0DCD">
            <w:pPr>
              <w:pStyle w:val="TableText"/>
              <w:jc w:val="right"/>
              <w:rPr>
                <w:bCs/>
              </w:rPr>
            </w:pPr>
            <w:r w:rsidRPr="009170E3">
              <w:rPr>
                <w:bCs/>
              </w:rPr>
              <w:t>0.01</w:t>
            </w:r>
          </w:p>
        </w:tc>
      </w:tr>
      <w:tr w:rsidR="000F0DCD" w:rsidRPr="00FE5A5E" w14:paraId="2689F359" w14:textId="77777777" w:rsidTr="007B0706">
        <w:trPr>
          <w:trHeight w:val="300"/>
        </w:trPr>
        <w:tc>
          <w:tcPr>
            <w:tcW w:w="2956" w:type="pct"/>
            <w:noWrap/>
          </w:tcPr>
          <w:p w14:paraId="4D92C467" w14:textId="7DC14CA7" w:rsidR="000F0DCD" w:rsidRPr="00FE5A5E" w:rsidRDefault="000F0DCD" w:rsidP="000F0DCD">
            <w:pPr>
              <w:pStyle w:val="TableText"/>
              <w:rPr>
                <w:b/>
              </w:rPr>
            </w:pPr>
            <w:r w:rsidRPr="00FE5A5E">
              <w:rPr>
                <w:rFonts w:eastAsiaTheme="minorHAnsi" w:cstheme="minorBidi"/>
                <w:b/>
                <w:lang w:eastAsia="en-US"/>
              </w:rPr>
              <w:t>ICER</w:t>
            </w:r>
          </w:p>
        </w:tc>
        <w:tc>
          <w:tcPr>
            <w:tcW w:w="682" w:type="pct"/>
            <w:noWrap/>
          </w:tcPr>
          <w:p w14:paraId="1285795D" w14:textId="77777777" w:rsidR="000F0DCD" w:rsidRPr="00FE5A5E" w:rsidRDefault="000F0DCD" w:rsidP="000F0DCD">
            <w:pPr>
              <w:pStyle w:val="TableText"/>
              <w:jc w:val="right"/>
              <w:rPr>
                <w:b/>
              </w:rPr>
            </w:pPr>
          </w:p>
        </w:tc>
        <w:tc>
          <w:tcPr>
            <w:tcW w:w="682" w:type="pct"/>
            <w:noWrap/>
          </w:tcPr>
          <w:p w14:paraId="258DA560" w14:textId="77777777" w:rsidR="000F0DCD" w:rsidRPr="00FE5A5E" w:rsidRDefault="000F0DCD" w:rsidP="000F0DCD">
            <w:pPr>
              <w:pStyle w:val="TableText"/>
              <w:jc w:val="right"/>
              <w:rPr>
                <w:b/>
              </w:rPr>
            </w:pPr>
          </w:p>
        </w:tc>
        <w:tc>
          <w:tcPr>
            <w:tcW w:w="680" w:type="pct"/>
            <w:noWrap/>
          </w:tcPr>
          <w:p w14:paraId="460E1D61" w14:textId="203087B3" w:rsidR="000F0DCD" w:rsidRPr="00FE5A5E" w:rsidRDefault="000F0DCD" w:rsidP="000F0DCD">
            <w:pPr>
              <w:pStyle w:val="TableText"/>
              <w:jc w:val="right"/>
              <w:rPr>
                <w:b/>
              </w:rPr>
            </w:pPr>
            <w:r>
              <w:rPr>
                <w:b/>
              </w:rPr>
              <w:t>$37,185</w:t>
            </w:r>
          </w:p>
        </w:tc>
      </w:tr>
      <w:tr w:rsidR="000F0DCD" w:rsidRPr="00FE5A5E" w14:paraId="73D71271" w14:textId="77777777" w:rsidTr="009B2808">
        <w:trPr>
          <w:trHeight w:val="300"/>
        </w:trPr>
        <w:tc>
          <w:tcPr>
            <w:tcW w:w="5000" w:type="pct"/>
            <w:gridSpan w:val="4"/>
            <w:noWrap/>
          </w:tcPr>
          <w:p w14:paraId="7CB982AD" w14:textId="13A75070" w:rsidR="000F0DCD" w:rsidRDefault="000F0DCD" w:rsidP="009170E3">
            <w:pPr>
              <w:pStyle w:val="TableText"/>
              <w:rPr>
                <w:b/>
              </w:rPr>
            </w:pPr>
            <w:r>
              <w:rPr>
                <w:b/>
              </w:rPr>
              <w:t xml:space="preserve">1627 Pre-MSAC response </w:t>
            </w:r>
          </w:p>
        </w:tc>
      </w:tr>
      <w:tr w:rsidR="000F0DCD" w:rsidRPr="00FE5A5E" w14:paraId="753A2348" w14:textId="77777777" w:rsidTr="007B0706">
        <w:trPr>
          <w:trHeight w:val="300"/>
        </w:trPr>
        <w:tc>
          <w:tcPr>
            <w:tcW w:w="2956" w:type="pct"/>
            <w:noWrap/>
          </w:tcPr>
          <w:p w14:paraId="594BF1ED" w14:textId="7380A6AD" w:rsidR="000F0DCD" w:rsidRPr="00FE5A5E" w:rsidRDefault="000F0DCD" w:rsidP="000F0DCD">
            <w:pPr>
              <w:pStyle w:val="TableText"/>
              <w:rPr>
                <w:b/>
              </w:rPr>
            </w:pPr>
            <w:r w:rsidRPr="00FE5A5E">
              <w:rPr>
                <w:rFonts w:eastAsiaTheme="minorHAnsi" w:cstheme="minorBidi"/>
                <w:lang w:eastAsia="en-US"/>
              </w:rPr>
              <w:t>Cost</w:t>
            </w:r>
          </w:p>
        </w:tc>
        <w:tc>
          <w:tcPr>
            <w:tcW w:w="682" w:type="pct"/>
            <w:noWrap/>
          </w:tcPr>
          <w:p w14:paraId="518CE564" w14:textId="5B96A6CF" w:rsidR="000F0DCD" w:rsidRPr="009170E3" w:rsidRDefault="000F0DCD" w:rsidP="000F0DCD">
            <w:pPr>
              <w:pStyle w:val="TableText"/>
              <w:jc w:val="right"/>
              <w:rPr>
                <w:bCs/>
              </w:rPr>
            </w:pPr>
            <w:r w:rsidRPr="009170E3">
              <w:rPr>
                <w:bCs/>
              </w:rPr>
              <w:t>$5,352</w:t>
            </w:r>
          </w:p>
        </w:tc>
        <w:tc>
          <w:tcPr>
            <w:tcW w:w="682" w:type="pct"/>
            <w:noWrap/>
          </w:tcPr>
          <w:p w14:paraId="2549146E" w14:textId="26EEEE5C" w:rsidR="000F0DCD" w:rsidRPr="009170E3" w:rsidRDefault="000F0DCD" w:rsidP="000F0DCD">
            <w:pPr>
              <w:pStyle w:val="TableText"/>
              <w:jc w:val="right"/>
              <w:rPr>
                <w:bCs/>
              </w:rPr>
            </w:pPr>
            <w:r w:rsidRPr="009170E3">
              <w:rPr>
                <w:bCs/>
              </w:rPr>
              <w:t>$4,754</w:t>
            </w:r>
          </w:p>
        </w:tc>
        <w:tc>
          <w:tcPr>
            <w:tcW w:w="680" w:type="pct"/>
            <w:noWrap/>
          </w:tcPr>
          <w:p w14:paraId="7FA19766" w14:textId="168E674D" w:rsidR="000F0DCD" w:rsidRPr="009170E3" w:rsidRDefault="000F0DCD" w:rsidP="000F0DCD">
            <w:pPr>
              <w:pStyle w:val="TableText"/>
              <w:jc w:val="right"/>
              <w:rPr>
                <w:bCs/>
              </w:rPr>
            </w:pPr>
            <w:r w:rsidRPr="009170E3">
              <w:rPr>
                <w:bCs/>
              </w:rPr>
              <w:t>$</w:t>
            </w:r>
            <w:r w:rsidRPr="008A285F">
              <w:rPr>
                <w:bCs/>
              </w:rPr>
              <w:t>598</w:t>
            </w:r>
          </w:p>
        </w:tc>
      </w:tr>
      <w:tr w:rsidR="000F0DCD" w:rsidRPr="00FE5A5E" w14:paraId="0CFF4F3F" w14:textId="77777777" w:rsidTr="007B0706">
        <w:trPr>
          <w:trHeight w:val="300"/>
        </w:trPr>
        <w:tc>
          <w:tcPr>
            <w:tcW w:w="2956" w:type="pct"/>
            <w:noWrap/>
          </w:tcPr>
          <w:p w14:paraId="61089743" w14:textId="2987350F" w:rsidR="000F0DCD" w:rsidRPr="00FE5A5E" w:rsidRDefault="000F0DCD" w:rsidP="000F0DCD">
            <w:pPr>
              <w:pStyle w:val="TableText"/>
              <w:rPr>
                <w:b/>
              </w:rPr>
            </w:pPr>
            <w:r w:rsidRPr="00FE5A5E">
              <w:rPr>
                <w:rFonts w:eastAsiaTheme="minorHAnsi" w:cstheme="minorBidi"/>
                <w:lang w:eastAsia="en-US"/>
              </w:rPr>
              <w:t>QALYs</w:t>
            </w:r>
          </w:p>
        </w:tc>
        <w:tc>
          <w:tcPr>
            <w:tcW w:w="682" w:type="pct"/>
            <w:noWrap/>
          </w:tcPr>
          <w:p w14:paraId="219FCDDE" w14:textId="72EE81D9" w:rsidR="000F0DCD" w:rsidRPr="009170E3" w:rsidRDefault="000F0DCD" w:rsidP="000F0DCD">
            <w:pPr>
              <w:pStyle w:val="TableText"/>
              <w:jc w:val="right"/>
              <w:rPr>
                <w:bCs/>
              </w:rPr>
            </w:pPr>
            <w:r w:rsidRPr="009170E3">
              <w:rPr>
                <w:bCs/>
              </w:rPr>
              <w:t>8.292</w:t>
            </w:r>
          </w:p>
        </w:tc>
        <w:tc>
          <w:tcPr>
            <w:tcW w:w="682" w:type="pct"/>
            <w:noWrap/>
          </w:tcPr>
          <w:p w14:paraId="0AA9800A" w14:textId="5BA16E4F" w:rsidR="000F0DCD" w:rsidRPr="009170E3" w:rsidRDefault="000F0DCD" w:rsidP="000F0DCD">
            <w:pPr>
              <w:pStyle w:val="TableText"/>
              <w:jc w:val="right"/>
              <w:rPr>
                <w:bCs/>
              </w:rPr>
            </w:pPr>
            <w:r w:rsidRPr="009170E3">
              <w:rPr>
                <w:bCs/>
              </w:rPr>
              <w:t>8.274</w:t>
            </w:r>
          </w:p>
        </w:tc>
        <w:tc>
          <w:tcPr>
            <w:tcW w:w="680" w:type="pct"/>
            <w:noWrap/>
          </w:tcPr>
          <w:p w14:paraId="23A1B090" w14:textId="23DFB228" w:rsidR="000F0DCD" w:rsidRPr="009170E3" w:rsidRDefault="000F0DCD" w:rsidP="000F0DCD">
            <w:pPr>
              <w:pStyle w:val="TableText"/>
              <w:jc w:val="right"/>
              <w:rPr>
                <w:bCs/>
              </w:rPr>
            </w:pPr>
            <w:r w:rsidRPr="009170E3">
              <w:rPr>
                <w:bCs/>
              </w:rPr>
              <w:t>0.018</w:t>
            </w:r>
          </w:p>
        </w:tc>
      </w:tr>
      <w:tr w:rsidR="000F0DCD" w:rsidRPr="00FE5A5E" w14:paraId="1EC7831D" w14:textId="77777777" w:rsidTr="007B0706">
        <w:trPr>
          <w:trHeight w:val="300"/>
        </w:trPr>
        <w:tc>
          <w:tcPr>
            <w:tcW w:w="2956" w:type="pct"/>
            <w:noWrap/>
          </w:tcPr>
          <w:p w14:paraId="0CEEC0BB" w14:textId="430B3DD1" w:rsidR="000F0DCD" w:rsidRPr="00FE5A5E" w:rsidRDefault="000F0DCD" w:rsidP="000F0DCD">
            <w:pPr>
              <w:pStyle w:val="TableText"/>
              <w:rPr>
                <w:b/>
              </w:rPr>
            </w:pPr>
            <w:r w:rsidRPr="00FE5A5E">
              <w:rPr>
                <w:rFonts w:eastAsiaTheme="minorHAnsi" w:cstheme="minorBidi"/>
                <w:b/>
                <w:lang w:eastAsia="en-US"/>
              </w:rPr>
              <w:t>ICER</w:t>
            </w:r>
          </w:p>
        </w:tc>
        <w:tc>
          <w:tcPr>
            <w:tcW w:w="682" w:type="pct"/>
            <w:noWrap/>
          </w:tcPr>
          <w:p w14:paraId="3E648B51" w14:textId="77777777" w:rsidR="000F0DCD" w:rsidRPr="00FE5A5E" w:rsidRDefault="000F0DCD" w:rsidP="000F0DCD">
            <w:pPr>
              <w:pStyle w:val="TableText"/>
              <w:jc w:val="right"/>
              <w:rPr>
                <w:b/>
              </w:rPr>
            </w:pPr>
          </w:p>
        </w:tc>
        <w:tc>
          <w:tcPr>
            <w:tcW w:w="682" w:type="pct"/>
            <w:noWrap/>
          </w:tcPr>
          <w:p w14:paraId="324183E9" w14:textId="77777777" w:rsidR="000F0DCD" w:rsidRPr="00FE5A5E" w:rsidRDefault="000F0DCD" w:rsidP="000F0DCD">
            <w:pPr>
              <w:pStyle w:val="TableText"/>
              <w:jc w:val="right"/>
              <w:rPr>
                <w:b/>
              </w:rPr>
            </w:pPr>
          </w:p>
        </w:tc>
        <w:tc>
          <w:tcPr>
            <w:tcW w:w="680" w:type="pct"/>
            <w:noWrap/>
          </w:tcPr>
          <w:p w14:paraId="166E4130" w14:textId="10C3CA69" w:rsidR="000F0DCD" w:rsidRDefault="000F0DCD" w:rsidP="000F0DCD">
            <w:pPr>
              <w:pStyle w:val="TableText"/>
              <w:jc w:val="right"/>
              <w:rPr>
                <w:b/>
              </w:rPr>
            </w:pPr>
            <w:r w:rsidRPr="001F2956">
              <w:rPr>
                <w:b/>
              </w:rPr>
              <w:t>$</w:t>
            </w:r>
            <w:r w:rsidRPr="008A285F">
              <w:rPr>
                <w:b/>
              </w:rPr>
              <w:t>33,287</w:t>
            </w:r>
          </w:p>
        </w:tc>
      </w:tr>
    </w:tbl>
    <w:p w14:paraId="6531182F" w14:textId="4A95DE14" w:rsidR="00422A3D" w:rsidRDefault="00265430" w:rsidP="00265430">
      <w:pPr>
        <w:pStyle w:val="TableFooter"/>
        <w:spacing w:before="0" w:after="120"/>
      </w:pPr>
      <w:r w:rsidRPr="005F2557">
        <w:t>Source:</w:t>
      </w:r>
      <w:r w:rsidR="004B435C">
        <w:t xml:space="preserve"> </w:t>
      </w:r>
      <w:r w:rsidR="000A18B9" w:rsidRPr="000A18B9">
        <w:t>Table 4, pg</w:t>
      </w:r>
      <w:r w:rsidR="007D72F8">
        <w:t xml:space="preserve"> 9</w:t>
      </w:r>
      <w:r w:rsidR="000A18B9" w:rsidRPr="000A18B9">
        <w:t xml:space="preserve"> of </w:t>
      </w:r>
      <w:r w:rsidR="0030140D">
        <w:t xml:space="preserve">MSAC 1627.1 </w:t>
      </w:r>
      <w:r w:rsidR="000A18B9" w:rsidRPr="000A18B9">
        <w:t>Applicant response (Resubmission)</w:t>
      </w:r>
      <w:r w:rsidR="000A18B9">
        <w:t xml:space="preserve">; </w:t>
      </w:r>
      <w:r w:rsidR="004B435C">
        <w:t>Table 11, pg</w:t>
      </w:r>
      <w:r w:rsidR="000A18B9">
        <w:t xml:space="preserve">24 of MSAC 1627 PSD, 1627 Applicant Pre-ESC response, 1627 Applicant Pre-MSAC response </w:t>
      </w:r>
    </w:p>
    <w:p w14:paraId="0280C39A" w14:textId="7D99FD83" w:rsidR="00265430" w:rsidRDefault="00265430" w:rsidP="00265430">
      <w:pPr>
        <w:pStyle w:val="TableFooter"/>
        <w:spacing w:before="0" w:after="120"/>
      </w:pPr>
      <w:r w:rsidRPr="005F2557">
        <w:t>ICER = incremental cost-effectiveness ratio; P</w:t>
      </w:r>
      <w:r w:rsidR="00FE773A">
        <w:t>o</w:t>
      </w:r>
      <w:r w:rsidRPr="005F2557">
        <w:t>C = point of care; QALY = quality-adjusted life year; SOC = standard of care.</w:t>
      </w:r>
    </w:p>
    <w:p w14:paraId="20DCA145" w14:textId="05139A8B" w:rsidR="00265430" w:rsidRPr="003F0DB5" w:rsidRDefault="00265430" w:rsidP="00265430">
      <w:pPr>
        <w:pStyle w:val="TableFooter"/>
        <w:spacing w:before="0" w:after="120"/>
      </w:pPr>
      <w:r w:rsidRPr="003F0DB5">
        <w:rPr>
          <w:vertAlign w:val="superscript"/>
        </w:rPr>
        <w:t>a</w:t>
      </w:r>
      <w:r w:rsidRPr="003F0DB5">
        <w:t xml:space="preserve"> </w:t>
      </w:r>
      <w:r w:rsidR="003F0DB5" w:rsidRPr="009170E3">
        <w:t>This was corrected by the commentary,</w:t>
      </w:r>
      <w:r w:rsidR="003F0DB5" w:rsidRPr="00FD0FC4">
        <w:t xml:space="preserve"> during the </w:t>
      </w:r>
      <w:r w:rsidR="003F0DB5" w:rsidRPr="009170E3">
        <w:t>previous consideration of MSAC 1627,</w:t>
      </w:r>
      <w:r w:rsidRPr="003F0DB5">
        <w:t xml:space="preserve"> to account for errors identified through a model validation exercise that applied no discounting set with no utility decrements applied which observed &gt;10 LYs being accrued. Other changes were made to correct for other inconsistencies identified during the evaluation (erroneous jump states or probabilities applied).</w:t>
      </w:r>
    </w:p>
    <w:p w14:paraId="4B23A1FE" w14:textId="77777777" w:rsidR="00265430" w:rsidRDefault="00265430" w:rsidP="00265430">
      <w:pPr>
        <w:pStyle w:val="TableFooter"/>
        <w:spacing w:before="0" w:after="120"/>
      </w:pPr>
      <w:r w:rsidRPr="003F0DB5">
        <w:rPr>
          <w:vertAlign w:val="superscript"/>
        </w:rPr>
        <w:t>b</w:t>
      </w:r>
      <w:r w:rsidRPr="003F0DB5">
        <w:t xml:space="preserve"> No infections or testing in subsequent years. The probability of infertility and ectopic pregnancies was also increased to reflect the average incidence, rather than incidences by number of prior PID episodes.</w:t>
      </w:r>
      <w:r>
        <w:t xml:space="preserve"> </w:t>
      </w:r>
    </w:p>
    <w:p w14:paraId="12F16C1C" w14:textId="7D7E5C70" w:rsidR="005C3AF8" w:rsidRPr="006F634B" w:rsidRDefault="005C3AF8" w:rsidP="005C3AF8">
      <w:pPr>
        <w:pStyle w:val="Caption"/>
        <w:rPr>
          <w:rFonts w:cstheme="minorHAnsi"/>
          <w:b w:val="0"/>
          <w:bCs w:val="0"/>
        </w:rPr>
      </w:pPr>
      <w:bookmarkStart w:id="30" w:name="_Ref147750815"/>
      <w:r>
        <w:lastRenderedPageBreak/>
        <w:t xml:space="preserve">Figure </w:t>
      </w:r>
      <w:r>
        <w:fldChar w:fldCharType="begin"/>
      </w:r>
      <w:r>
        <w:instrText>SEQ Figure \* ARABIC</w:instrText>
      </w:r>
      <w:r>
        <w:fldChar w:fldCharType="separate"/>
      </w:r>
      <w:r w:rsidR="00DE2A83">
        <w:rPr>
          <w:noProof/>
        </w:rPr>
        <w:t>1</w:t>
      </w:r>
      <w:r>
        <w:fldChar w:fldCharType="end"/>
      </w:r>
      <w:bookmarkEnd w:id="30"/>
      <w:r>
        <w:t xml:space="preserve"> </w:t>
      </w:r>
      <w:r w:rsidRPr="006F634B">
        <w:rPr>
          <w:rFonts w:cstheme="minorHAnsi"/>
        </w:rPr>
        <w:t xml:space="preserve">One way sensitivity analysis </w:t>
      </w:r>
    </w:p>
    <w:p w14:paraId="52CD2AB7" w14:textId="77777777" w:rsidR="005C3AF8" w:rsidRPr="00773E52" w:rsidRDefault="005C3AF8" w:rsidP="6A0EBCB1">
      <w:pPr>
        <w:spacing w:after="0" w:line="240" w:lineRule="auto"/>
      </w:pPr>
      <w:r w:rsidRPr="003F340F">
        <w:rPr>
          <w:noProof/>
        </w:rPr>
        <w:drawing>
          <wp:inline distT="0" distB="0" distL="0" distR="0" wp14:anchorId="495C7C60" wp14:editId="6C3E80B4">
            <wp:extent cx="5933143" cy="3543300"/>
            <wp:effectExtent l="0" t="0" r="0" b="0"/>
            <wp:docPr id="235632427" name="Picture 235632427" descr="One way sensitivity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32427" name="Picture 235632427" descr="One way sensitivity analysi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1199" cy="3548111"/>
                    </a:xfrm>
                    <a:prstGeom prst="rect">
                      <a:avLst/>
                    </a:prstGeom>
                    <a:noFill/>
                    <a:ln>
                      <a:noFill/>
                    </a:ln>
                  </pic:spPr>
                </pic:pic>
              </a:graphicData>
            </a:graphic>
          </wp:inline>
        </w:drawing>
      </w:r>
    </w:p>
    <w:p w14:paraId="23EC7F55" w14:textId="5A8EAB97" w:rsidR="005C3AF8" w:rsidRDefault="005C3AF8" w:rsidP="005C3AF8">
      <w:pPr>
        <w:pStyle w:val="Tablenotes"/>
      </w:pPr>
      <w:r>
        <w:t xml:space="preserve">Source: Figure 2, pg </w:t>
      </w:r>
      <w:r w:rsidR="00BF7B18">
        <w:t>9</w:t>
      </w:r>
      <w:r>
        <w:t xml:space="preserve"> of </w:t>
      </w:r>
      <w:r w:rsidR="00AB551D">
        <w:t xml:space="preserve">MSAC 1627.1 </w:t>
      </w:r>
      <w:r w:rsidRPr="00BB23B0">
        <w:rPr>
          <w:rFonts w:cstheme="minorHAnsi"/>
          <w:szCs w:val="18"/>
        </w:rPr>
        <w:t xml:space="preserve">Applicant response (Resubmission) </w:t>
      </w:r>
    </w:p>
    <w:p w14:paraId="25AE2BAC" w14:textId="6DD27CC9" w:rsidR="00772829" w:rsidRPr="00CE28E3" w:rsidRDefault="00C36633" w:rsidP="002A18BE">
      <w:pPr>
        <w:pStyle w:val="Heading2"/>
        <w:numPr>
          <w:ilvl w:val="1"/>
          <w:numId w:val="0"/>
        </w:numPr>
      </w:pPr>
      <w:bookmarkStart w:id="31" w:name="_Toc69491426"/>
      <w:r>
        <w:t>1</w:t>
      </w:r>
      <w:r w:rsidR="000A352D">
        <w:t>4</w:t>
      </w:r>
      <w:r>
        <w:t>.</w:t>
      </w:r>
      <w:r>
        <w:tab/>
      </w:r>
      <w:r w:rsidR="00772829" w:rsidRPr="00CE28E3">
        <w:t>Financial/budgetary impacts</w:t>
      </w:r>
      <w:bookmarkEnd w:id="31"/>
    </w:p>
    <w:p w14:paraId="19AE3C9E" w14:textId="6A0D38EE" w:rsidR="009014D3" w:rsidRDefault="009014D3" w:rsidP="00C52A15">
      <w:bookmarkStart w:id="32" w:name="_Toc69491427"/>
      <w:r>
        <w:t>The applicant’s response presented revised financial estimates</w:t>
      </w:r>
      <w:r w:rsidR="009D6430">
        <w:t xml:space="preserve"> (</w:t>
      </w:r>
      <w:r w:rsidR="009D6430">
        <w:fldChar w:fldCharType="begin"/>
      </w:r>
      <w:r w:rsidR="009D6430">
        <w:instrText xml:space="preserve"> REF _Ref147762343 \h </w:instrText>
      </w:r>
      <w:r w:rsidR="009D6430">
        <w:fldChar w:fldCharType="separate"/>
      </w:r>
      <w:r w:rsidR="00DE2A83">
        <w:t xml:space="preserve">Table </w:t>
      </w:r>
      <w:r w:rsidR="00DE2A83">
        <w:rPr>
          <w:noProof/>
        </w:rPr>
        <w:t>8</w:t>
      </w:r>
      <w:r w:rsidR="009D6430">
        <w:fldChar w:fldCharType="end"/>
      </w:r>
      <w:r w:rsidR="009D6430">
        <w:t>)</w:t>
      </w:r>
      <w:r>
        <w:t xml:space="preserve">, </w:t>
      </w:r>
      <w:r w:rsidR="00C44BB3">
        <w:t xml:space="preserve">based on the same market-based approach presented to MSAC in November 2022 with the following revisions: </w:t>
      </w:r>
    </w:p>
    <w:p w14:paraId="3C672C6A" w14:textId="753F349A" w:rsidR="00D70226" w:rsidRDefault="00FB1A7F" w:rsidP="00C52A15">
      <w:pPr>
        <w:pStyle w:val="ListParagraph"/>
        <w:numPr>
          <w:ilvl w:val="0"/>
          <w:numId w:val="20"/>
        </w:numPr>
      </w:pPr>
      <w:r>
        <w:t xml:space="preserve">Applied </w:t>
      </w:r>
      <w:r w:rsidR="002116CE">
        <w:t xml:space="preserve">May </w:t>
      </w:r>
      <w:r w:rsidR="00CC07D5">
        <w:t>2022</w:t>
      </w:r>
      <w:r w:rsidR="002116CE">
        <w:t xml:space="preserve"> – April </w:t>
      </w:r>
      <w:r w:rsidR="00CC07D5">
        <w:t>2023 PoCT rates</w:t>
      </w:r>
      <w:r w:rsidR="005D31B1">
        <w:t xml:space="preserve"> </w:t>
      </w:r>
      <w:r w:rsidR="005C32E9">
        <w:t>(</w:t>
      </w:r>
      <w:r w:rsidR="009F297B">
        <w:t xml:space="preserve">99 </w:t>
      </w:r>
      <w:r w:rsidR="00972F21">
        <w:t xml:space="preserve">CT/NG </w:t>
      </w:r>
      <w:r w:rsidR="009F297B">
        <w:t>tests</w:t>
      </w:r>
      <w:r w:rsidR="003118C2">
        <w:t xml:space="preserve"> and </w:t>
      </w:r>
      <w:r w:rsidR="009F297B">
        <w:t>71 TV test</w:t>
      </w:r>
      <w:r w:rsidR="003118C2">
        <w:t xml:space="preserve">s = </w:t>
      </w:r>
      <w:r w:rsidR="000363A5">
        <w:t xml:space="preserve">170 combined tests per site) </w:t>
      </w:r>
      <w:r w:rsidR="00BE53B1">
        <w:t>as the</w:t>
      </w:r>
      <w:r w:rsidR="00BF621F">
        <w:t xml:space="preserve"> baseline</w:t>
      </w:r>
      <w:r w:rsidR="00933423">
        <w:t xml:space="preserve">, assuming </w:t>
      </w:r>
      <w:r w:rsidR="00C63C8E">
        <w:t xml:space="preserve">recovery to pre-COVID </w:t>
      </w:r>
      <w:r w:rsidR="007B6F65">
        <w:t xml:space="preserve">May 2019 - April 2020 </w:t>
      </w:r>
      <w:r w:rsidR="00C63C8E">
        <w:t>testing rates (</w:t>
      </w:r>
      <w:r w:rsidR="0079685F">
        <w:t>187 CT/NG tests</w:t>
      </w:r>
      <w:r w:rsidR="003118C2">
        <w:t xml:space="preserve"> and </w:t>
      </w:r>
      <w:r w:rsidR="00D856EE">
        <w:t>152 TV tests = 339 tests per site</w:t>
      </w:r>
      <w:r w:rsidR="005C32E9">
        <w:t>) over the subsequent 2-3 year</w:t>
      </w:r>
      <w:r w:rsidR="00D856EE">
        <w:t>s</w:t>
      </w:r>
      <w:r w:rsidR="005C32E9">
        <w:t>.</w:t>
      </w:r>
    </w:p>
    <w:p w14:paraId="7212F896" w14:textId="37EF83ED" w:rsidR="00E62F48" w:rsidRDefault="00D70226" w:rsidP="00C52A15">
      <w:pPr>
        <w:pStyle w:val="ListParagraph"/>
        <w:numPr>
          <w:ilvl w:val="0"/>
          <w:numId w:val="20"/>
        </w:numPr>
      </w:pPr>
      <w:r w:rsidRPr="00D70226">
        <w:t xml:space="preserve">Limiting </w:t>
      </w:r>
      <w:r w:rsidR="000F25A1">
        <w:t xml:space="preserve">PoCT </w:t>
      </w:r>
      <w:r w:rsidRPr="00D70226">
        <w:t>to MM</w:t>
      </w:r>
      <w:r w:rsidR="00945544">
        <w:t xml:space="preserve"> categories </w:t>
      </w:r>
      <w:r w:rsidRPr="00D70226">
        <w:t>3-7 (</w:t>
      </w:r>
      <w:r>
        <w:t>previously</w:t>
      </w:r>
      <w:r w:rsidRPr="00D70226">
        <w:t xml:space="preserve"> MM</w:t>
      </w:r>
      <w:r w:rsidR="00945544">
        <w:t xml:space="preserve"> categories </w:t>
      </w:r>
      <w:r w:rsidRPr="00D70226">
        <w:t>2-7</w:t>
      </w:r>
      <w:r>
        <w:t>)</w:t>
      </w:r>
      <w:r w:rsidR="00E62F48">
        <w:t>.</w:t>
      </w:r>
    </w:p>
    <w:p w14:paraId="302C70C3" w14:textId="41F3F271" w:rsidR="00A104F4" w:rsidRDefault="0028150A" w:rsidP="00C52A15">
      <w:pPr>
        <w:pStyle w:val="ListParagraph"/>
        <w:numPr>
          <w:ilvl w:val="0"/>
          <w:numId w:val="20"/>
        </w:numPr>
      </w:pPr>
      <w:r>
        <w:t xml:space="preserve">Assumed 20% increase in </w:t>
      </w:r>
      <w:r w:rsidR="00A3629E">
        <w:t>the number of tests</w:t>
      </w:r>
      <w:r w:rsidR="00D977D4">
        <w:t xml:space="preserve"> per site </w:t>
      </w:r>
      <w:r>
        <w:t xml:space="preserve">annually </w:t>
      </w:r>
      <w:r w:rsidR="00EE1F9A">
        <w:t>from 170</w:t>
      </w:r>
      <w:r w:rsidR="00E93C5D">
        <w:t xml:space="preserve"> tests per site in Year 1</w:t>
      </w:r>
      <w:r w:rsidR="00EE1F9A">
        <w:t xml:space="preserve"> to </w:t>
      </w:r>
      <w:r w:rsidR="00C06208">
        <w:t>508 tests per site</w:t>
      </w:r>
      <w:r w:rsidR="00E93C5D">
        <w:t xml:space="preserve"> in Year 6</w:t>
      </w:r>
      <w:r w:rsidR="00C06208">
        <w:t xml:space="preserve"> </w:t>
      </w:r>
      <w:r>
        <w:t xml:space="preserve">(previously </w:t>
      </w:r>
      <w:r w:rsidR="00D8673D">
        <w:t xml:space="preserve">170 </w:t>
      </w:r>
      <w:r w:rsidR="00BE6D8D">
        <w:t>– 300 tests per site</w:t>
      </w:r>
      <w:r>
        <w:t>).</w:t>
      </w:r>
    </w:p>
    <w:p w14:paraId="7457C9AB" w14:textId="1D00C0B3" w:rsidR="00D977D4" w:rsidRDefault="00D977D4" w:rsidP="00C52A15">
      <w:pPr>
        <w:pStyle w:val="ListParagraph"/>
        <w:numPr>
          <w:ilvl w:val="0"/>
          <w:numId w:val="20"/>
        </w:numPr>
      </w:pPr>
      <w:r>
        <w:t xml:space="preserve">Assume </w:t>
      </w:r>
      <w:r w:rsidR="003B0EF5">
        <w:t xml:space="preserve">15% increase in the number of sites that offer PoCT (previously </w:t>
      </w:r>
      <w:r w:rsidR="000E121F">
        <w:t>10%</w:t>
      </w:r>
      <w:r w:rsidR="003B0EF5">
        <w:t>)</w:t>
      </w:r>
    </w:p>
    <w:p w14:paraId="59ED771F" w14:textId="0687B75D" w:rsidR="0028150A" w:rsidRDefault="007B79F8" w:rsidP="00C52A15">
      <w:pPr>
        <w:pStyle w:val="ListParagraph"/>
        <w:numPr>
          <w:ilvl w:val="0"/>
          <w:numId w:val="20"/>
        </w:numPr>
      </w:pPr>
      <w:r>
        <w:t xml:space="preserve">Applied 85% MBS benefit (previously applied </w:t>
      </w:r>
      <w:r w:rsidR="008B663A">
        <w:t xml:space="preserve">100% </w:t>
      </w:r>
      <w:r>
        <w:t>MBS benefit)</w:t>
      </w:r>
      <w:r w:rsidR="002F1135">
        <w:t xml:space="preserve"> which equated to $181 (</w:t>
      </w:r>
      <w:r w:rsidR="00BF1057">
        <w:t>refer to</w:t>
      </w:r>
      <w:r w:rsidR="009E2CFF">
        <w:t xml:space="preserve"> </w:t>
      </w:r>
      <w:r w:rsidR="009E2CFF">
        <w:fldChar w:fldCharType="begin"/>
      </w:r>
      <w:r w:rsidR="009E2CFF">
        <w:instrText xml:space="preserve"> REF _Ref147781677 \h </w:instrText>
      </w:r>
      <w:r w:rsidR="009E2CFF">
        <w:fldChar w:fldCharType="separate"/>
      </w:r>
      <w:r w:rsidR="00DE2A83">
        <w:t xml:space="preserve">Table </w:t>
      </w:r>
      <w:r w:rsidR="00DE2A83">
        <w:rPr>
          <w:noProof/>
        </w:rPr>
        <w:t>3</w:t>
      </w:r>
      <w:r w:rsidR="009E2CFF">
        <w:fldChar w:fldCharType="end"/>
      </w:r>
      <w:r w:rsidR="009E2CFF">
        <w:t xml:space="preserve"> discussed previously in Section 4).</w:t>
      </w:r>
    </w:p>
    <w:p w14:paraId="0B6B3233" w14:textId="346570E3" w:rsidR="00600C53" w:rsidRDefault="00600C53" w:rsidP="00600C53">
      <w:r>
        <w:t xml:space="preserve">The applicant response also clarified that the previous estimates and the revised estimates include </w:t>
      </w:r>
      <w:r w:rsidR="009A2BC6">
        <w:t xml:space="preserve">retesting patients at 3 months. </w:t>
      </w:r>
    </w:p>
    <w:p w14:paraId="10476D05" w14:textId="2CCB7D3C" w:rsidR="0003599C" w:rsidRDefault="00381BA1" w:rsidP="00C52A15">
      <w:bookmarkStart w:id="33" w:name="_Ref69726382"/>
      <w:r>
        <w:t xml:space="preserve">The department </w:t>
      </w:r>
      <w:r w:rsidR="009775F2">
        <w:t>noted the following issues:</w:t>
      </w:r>
    </w:p>
    <w:p w14:paraId="288AA305" w14:textId="17EC3741" w:rsidR="00B54AD8" w:rsidRDefault="009775F2" w:rsidP="000A352D">
      <w:pPr>
        <w:pStyle w:val="ListParagraph"/>
        <w:numPr>
          <w:ilvl w:val="0"/>
          <w:numId w:val="24"/>
        </w:numPr>
        <w:ind w:left="357" w:hanging="357"/>
        <w:contextualSpacing w:val="0"/>
      </w:pPr>
      <w:r>
        <w:t xml:space="preserve">The </w:t>
      </w:r>
      <w:r w:rsidR="00A90327">
        <w:t>base</w:t>
      </w:r>
      <w:r w:rsidR="005C7E6A">
        <w:t>line t</w:t>
      </w:r>
      <w:r w:rsidR="00154034">
        <w:t xml:space="preserve">esting </w:t>
      </w:r>
      <w:r w:rsidR="005C7E6A">
        <w:t xml:space="preserve">numbers </w:t>
      </w:r>
      <w:r w:rsidR="00154034">
        <w:t>used for scale</w:t>
      </w:r>
      <w:r w:rsidR="005C7E6A">
        <w:t>-</w:t>
      </w:r>
      <w:r w:rsidR="00154034">
        <w:t xml:space="preserve">up </w:t>
      </w:r>
      <w:r w:rsidR="005C7E6A">
        <w:t xml:space="preserve">in the financial analysis </w:t>
      </w:r>
      <w:r w:rsidR="002379F9">
        <w:t>were</w:t>
      </w:r>
      <w:r w:rsidR="00F329F0">
        <w:t xml:space="preserve"> </w:t>
      </w:r>
      <w:r w:rsidR="00250E53">
        <w:t>based on</w:t>
      </w:r>
      <w:r w:rsidR="00154034">
        <w:t xml:space="preserve"> </w:t>
      </w:r>
      <w:r w:rsidR="002379F9">
        <w:t>post</w:t>
      </w:r>
      <w:r w:rsidR="00154034">
        <w:t>-COVID testing rates</w:t>
      </w:r>
      <w:r w:rsidR="001F292C">
        <w:t>.</w:t>
      </w:r>
    </w:p>
    <w:p w14:paraId="2A78EEAF" w14:textId="405365A5" w:rsidR="0072520C" w:rsidRDefault="00B54AD8" w:rsidP="0072520C">
      <w:pPr>
        <w:pStyle w:val="ListParagraph"/>
        <w:ind w:left="360"/>
      </w:pPr>
      <w:r>
        <w:t>The applicant response stated that t</w:t>
      </w:r>
      <w:r w:rsidRPr="00B54AD8">
        <w:t>he average annual site testing numbers for CT/NG P</w:t>
      </w:r>
      <w:r w:rsidR="00F73799">
        <w:t>o</w:t>
      </w:r>
      <w:r w:rsidRPr="00B54AD8">
        <w:t xml:space="preserve">C tests in May 2019 to April 2020 (pre-COVID) was 187 for CT/NG and 152 for TV (339 combined). </w:t>
      </w:r>
      <w:r w:rsidR="001A2872">
        <w:t>This is higher than the</w:t>
      </w:r>
      <w:r w:rsidRPr="00B54AD8">
        <w:t xml:space="preserve"> May 2022-April 2023 (post-COVID) average annual site testing numbers</w:t>
      </w:r>
      <w:r w:rsidR="00D675FD">
        <w:t>,</w:t>
      </w:r>
      <w:r w:rsidRPr="00B54AD8">
        <w:t xml:space="preserve"> </w:t>
      </w:r>
      <w:r w:rsidR="00995D19">
        <w:t xml:space="preserve">which was 99 for </w:t>
      </w:r>
      <w:r w:rsidRPr="00B54AD8">
        <w:t>CT/</w:t>
      </w:r>
      <w:r w:rsidR="00995D19">
        <w:t>NG</w:t>
      </w:r>
      <w:r w:rsidRPr="00B54AD8">
        <w:t xml:space="preserve"> and </w:t>
      </w:r>
      <w:r w:rsidR="00995D19">
        <w:t xml:space="preserve">71 </w:t>
      </w:r>
      <w:r w:rsidRPr="00B54AD8">
        <w:t>for TV (170 tests combined).</w:t>
      </w:r>
    </w:p>
    <w:p w14:paraId="0AF259BA" w14:textId="2637E575" w:rsidR="00C903D0" w:rsidRDefault="00C903D0" w:rsidP="0072520C">
      <w:pPr>
        <w:pStyle w:val="ListParagraph"/>
        <w:ind w:left="360"/>
      </w:pPr>
      <w:r>
        <w:lastRenderedPageBreak/>
        <w:t>However, the department also note</w:t>
      </w:r>
      <w:r w:rsidR="00700BDD">
        <w:t>d</w:t>
      </w:r>
      <w:r>
        <w:t xml:space="preserve"> that the </w:t>
      </w:r>
      <w:r w:rsidR="00C3345E">
        <w:t xml:space="preserve">way the </w:t>
      </w:r>
      <w:r w:rsidR="0050388A">
        <w:t xml:space="preserve">annual testing numbers had been </w:t>
      </w:r>
      <w:r w:rsidR="00C009E6">
        <w:t xml:space="preserve">combined and costed </w:t>
      </w:r>
      <w:r w:rsidR="00D94460">
        <w:t xml:space="preserve">in the financial analysis </w:t>
      </w:r>
      <w:r w:rsidR="00424A0B">
        <w:t>result</w:t>
      </w:r>
      <w:r w:rsidR="000D3E83">
        <w:t>ed</w:t>
      </w:r>
      <w:r w:rsidR="00424A0B">
        <w:t xml:space="preserve"> in 340 tests being costed per site</w:t>
      </w:r>
      <w:r w:rsidR="00372146">
        <w:t xml:space="preserve"> (170 CT/NG tests and </w:t>
      </w:r>
      <w:r w:rsidR="00E97E0C">
        <w:t>170 TV tests</w:t>
      </w:r>
      <w:r w:rsidR="00973FE3">
        <w:t>),</w:t>
      </w:r>
      <w:r w:rsidR="00E97E0C">
        <w:t xml:space="preserve"> which is higher than the </w:t>
      </w:r>
      <w:r w:rsidR="00C16C06">
        <w:t>2022-</w:t>
      </w:r>
      <w:r w:rsidR="005D07A6">
        <w:t xml:space="preserve">2023 </w:t>
      </w:r>
      <w:r w:rsidR="00BF7EC9">
        <w:t xml:space="preserve">test </w:t>
      </w:r>
      <w:r w:rsidR="002E101C">
        <w:t>numbers</w:t>
      </w:r>
      <w:r w:rsidR="006471BE">
        <w:t>.</w:t>
      </w:r>
      <w:r w:rsidR="002B4BE4">
        <w:t xml:space="preserve"> </w:t>
      </w:r>
      <w:r w:rsidR="00122485">
        <w:t xml:space="preserve">As shown in </w:t>
      </w:r>
      <w:r w:rsidR="00B1353D">
        <w:fldChar w:fldCharType="begin"/>
      </w:r>
      <w:r w:rsidR="00B1353D">
        <w:instrText xml:space="preserve"> REF _Ref147923900 \h </w:instrText>
      </w:r>
      <w:r w:rsidR="00B1353D">
        <w:fldChar w:fldCharType="separate"/>
      </w:r>
      <w:r w:rsidR="00DE2A83">
        <w:t xml:space="preserve">Table </w:t>
      </w:r>
      <w:r w:rsidR="00DE2A83">
        <w:rPr>
          <w:noProof/>
        </w:rPr>
        <w:t>7</w:t>
      </w:r>
      <w:r w:rsidR="00B1353D">
        <w:fldChar w:fldCharType="end"/>
      </w:r>
      <w:r w:rsidR="00122485">
        <w:t>, t</w:t>
      </w:r>
      <w:r w:rsidR="000772F6">
        <w:t xml:space="preserve">he </w:t>
      </w:r>
      <w:r w:rsidR="00122485">
        <w:t xml:space="preserve">estimated number of tests </w:t>
      </w:r>
      <w:r w:rsidR="00F3011B">
        <w:t xml:space="preserve">per site in Year 1 </w:t>
      </w:r>
      <w:r w:rsidR="00122485">
        <w:t xml:space="preserve">in the financial analysis </w:t>
      </w:r>
      <w:r w:rsidR="000118C0">
        <w:t>appears to be similar to</w:t>
      </w:r>
      <w:r w:rsidR="00122485">
        <w:t xml:space="preserve"> </w:t>
      </w:r>
      <w:r w:rsidR="00F946AF">
        <w:t>pre-COVID testing numbers.</w:t>
      </w:r>
      <w:r w:rsidR="000F44DF">
        <w:t xml:space="preserve"> </w:t>
      </w:r>
    </w:p>
    <w:p w14:paraId="052C76CE" w14:textId="1D8DCC0E" w:rsidR="00C203FE" w:rsidRDefault="00FB4AB9" w:rsidP="009F780A">
      <w:pPr>
        <w:pStyle w:val="Caption"/>
      </w:pPr>
      <w:bookmarkStart w:id="34" w:name="_Ref147923900"/>
      <w:r>
        <w:t xml:space="preserve">Table </w:t>
      </w:r>
      <w:r>
        <w:fldChar w:fldCharType="begin"/>
      </w:r>
      <w:r>
        <w:instrText>SEQ Table \* ARABIC</w:instrText>
      </w:r>
      <w:r>
        <w:fldChar w:fldCharType="separate"/>
      </w:r>
      <w:r w:rsidR="00DE2A83">
        <w:rPr>
          <w:noProof/>
        </w:rPr>
        <w:t>7</w:t>
      </w:r>
      <w:r>
        <w:fldChar w:fldCharType="end"/>
      </w:r>
      <w:bookmarkEnd w:id="34"/>
      <w:r w:rsidR="006F6633">
        <w:t xml:space="preserve"> Comparison of </w:t>
      </w:r>
      <w:r w:rsidR="0045231E">
        <w:t>actual and estimated annual site testing numbers</w:t>
      </w:r>
    </w:p>
    <w:tbl>
      <w:tblPr>
        <w:tblStyle w:val="TableGrid"/>
        <w:tblW w:w="9072" w:type="dxa"/>
        <w:tblInd w:w="-5" w:type="dxa"/>
        <w:tblLook w:val="04A0" w:firstRow="1" w:lastRow="0" w:firstColumn="1" w:lastColumn="0" w:noHBand="0" w:noVBand="1"/>
      </w:tblPr>
      <w:tblGrid>
        <w:gridCol w:w="1418"/>
        <w:gridCol w:w="2410"/>
        <w:gridCol w:w="2551"/>
        <w:gridCol w:w="2693"/>
      </w:tblGrid>
      <w:tr w:rsidR="00FB4AB9" w14:paraId="0B939E60" w14:textId="77777777" w:rsidTr="00763855">
        <w:tc>
          <w:tcPr>
            <w:tcW w:w="1418" w:type="dxa"/>
          </w:tcPr>
          <w:p w14:paraId="243B39B1" w14:textId="77777777" w:rsidR="00285040" w:rsidRDefault="00285040" w:rsidP="009F780A">
            <w:pPr>
              <w:pStyle w:val="Tabletext0"/>
            </w:pPr>
          </w:p>
        </w:tc>
        <w:tc>
          <w:tcPr>
            <w:tcW w:w="2410" w:type="dxa"/>
          </w:tcPr>
          <w:p w14:paraId="0F20EF14" w14:textId="53BF0996" w:rsidR="00285040" w:rsidRDefault="00FB4AB9" w:rsidP="009F780A">
            <w:pPr>
              <w:pStyle w:val="Tabletext0"/>
              <w:jc w:val="left"/>
            </w:pPr>
            <w:r>
              <w:t xml:space="preserve">2022-2023 </w:t>
            </w:r>
            <w:r w:rsidR="00AB44ED">
              <w:t xml:space="preserve">Annual site testing </w:t>
            </w:r>
            <w:r w:rsidR="006F6633">
              <w:t>numbers</w:t>
            </w:r>
            <w:r w:rsidR="004F5DAF">
              <w:t xml:space="preserve"> (post-COVID)</w:t>
            </w:r>
            <w:r w:rsidR="00F617E0">
              <w:t xml:space="preserve"> </w:t>
            </w:r>
          </w:p>
        </w:tc>
        <w:tc>
          <w:tcPr>
            <w:tcW w:w="2551" w:type="dxa"/>
          </w:tcPr>
          <w:p w14:paraId="7D809972" w14:textId="6D7D3DF4" w:rsidR="00285040" w:rsidRDefault="00FB4AB9" w:rsidP="009F780A">
            <w:pPr>
              <w:pStyle w:val="Tabletext0"/>
              <w:jc w:val="left"/>
            </w:pPr>
            <w:r>
              <w:t xml:space="preserve">2019-2020 </w:t>
            </w:r>
            <w:r w:rsidR="00AB6213">
              <w:t xml:space="preserve">Annual site testing </w:t>
            </w:r>
            <w:r w:rsidR="006F6633">
              <w:t xml:space="preserve">numbers </w:t>
            </w:r>
            <w:r w:rsidR="00AB6213">
              <w:t xml:space="preserve">(pre-COVID) </w:t>
            </w:r>
          </w:p>
        </w:tc>
        <w:tc>
          <w:tcPr>
            <w:tcW w:w="2693" w:type="dxa"/>
          </w:tcPr>
          <w:p w14:paraId="498B99AF" w14:textId="0C647AD1" w:rsidR="004943F3" w:rsidRDefault="004E3988" w:rsidP="00416D92">
            <w:pPr>
              <w:pStyle w:val="Tabletext0"/>
              <w:jc w:val="left"/>
            </w:pPr>
            <w:r>
              <w:t xml:space="preserve">Costed </w:t>
            </w:r>
            <w:r w:rsidR="006F6633">
              <w:t>Year 1 Annual site testing numbers in the</w:t>
            </w:r>
            <w:r w:rsidR="009E4475">
              <w:t xml:space="preserve"> financial analysis</w:t>
            </w:r>
            <w:r w:rsidR="00416D92">
              <w:rPr>
                <w:vertAlign w:val="superscript"/>
              </w:rPr>
              <w:t>a</w:t>
            </w:r>
            <w:r w:rsidR="004943F3">
              <w:t xml:space="preserve"> </w:t>
            </w:r>
          </w:p>
        </w:tc>
      </w:tr>
      <w:tr w:rsidR="00FB4AB9" w14:paraId="0147717F" w14:textId="77777777" w:rsidTr="00763855">
        <w:tc>
          <w:tcPr>
            <w:tcW w:w="1418" w:type="dxa"/>
          </w:tcPr>
          <w:p w14:paraId="392F8D83" w14:textId="7A73B61C" w:rsidR="00285040" w:rsidRDefault="00F70D18" w:rsidP="009F780A">
            <w:pPr>
              <w:pStyle w:val="Tabletext0"/>
            </w:pPr>
            <w:r>
              <w:t>CT/NG te</w:t>
            </w:r>
            <w:r w:rsidR="00A21745">
              <w:t>sts</w:t>
            </w:r>
            <w:r w:rsidR="00F617E0">
              <w:t xml:space="preserve"> </w:t>
            </w:r>
          </w:p>
        </w:tc>
        <w:tc>
          <w:tcPr>
            <w:tcW w:w="2410" w:type="dxa"/>
          </w:tcPr>
          <w:p w14:paraId="70549CC0" w14:textId="56FE4C30" w:rsidR="00285040" w:rsidRDefault="00AB6213" w:rsidP="00862084">
            <w:pPr>
              <w:pStyle w:val="Tabletext0"/>
              <w:jc w:val="right"/>
            </w:pPr>
            <w:r>
              <w:t>99</w:t>
            </w:r>
          </w:p>
        </w:tc>
        <w:tc>
          <w:tcPr>
            <w:tcW w:w="2551" w:type="dxa"/>
          </w:tcPr>
          <w:p w14:paraId="790E5A7F" w14:textId="264BF195" w:rsidR="00285040" w:rsidRDefault="00884FEA" w:rsidP="00862084">
            <w:pPr>
              <w:pStyle w:val="Tabletext0"/>
              <w:jc w:val="right"/>
            </w:pPr>
            <w:r>
              <w:t>187</w:t>
            </w:r>
          </w:p>
        </w:tc>
        <w:tc>
          <w:tcPr>
            <w:tcW w:w="2693" w:type="dxa"/>
          </w:tcPr>
          <w:p w14:paraId="36B2B7F1" w14:textId="42F184E7" w:rsidR="00285040" w:rsidRDefault="009E4475" w:rsidP="00862084">
            <w:pPr>
              <w:pStyle w:val="Tabletext0"/>
              <w:jc w:val="right"/>
            </w:pPr>
            <w:r>
              <w:t>170</w:t>
            </w:r>
          </w:p>
        </w:tc>
      </w:tr>
      <w:tr w:rsidR="00FB4AB9" w14:paraId="62E63723" w14:textId="77777777" w:rsidTr="00763855">
        <w:tc>
          <w:tcPr>
            <w:tcW w:w="1418" w:type="dxa"/>
          </w:tcPr>
          <w:p w14:paraId="2CD9B98E" w14:textId="62D88814" w:rsidR="00285040" w:rsidRDefault="00AB6213" w:rsidP="009F780A">
            <w:pPr>
              <w:pStyle w:val="Tabletext0"/>
            </w:pPr>
            <w:r>
              <w:t>TV tests</w:t>
            </w:r>
          </w:p>
        </w:tc>
        <w:tc>
          <w:tcPr>
            <w:tcW w:w="2410" w:type="dxa"/>
          </w:tcPr>
          <w:p w14:paraId="37B03AB4" w14:textId="11FB6FCC" w:rsidR="00285040" w:rsidRDefault="00AB6213" w:rsidP="00862084">
            <w:pPr>
              <w:pStyle w:val="Tabletext0"/>
              <w:jc w:val="right"/>
            </w:pPr>
            <w:r>
              <w:t>71</w:t>
            </w:r>
          </w:p>
        </w:tc>
        <w:tc>
          <w:tcPr>
            <w:tcW w:w="2551" w:type="dxa"/>
          </w:tcPr>
          <w:p w14:paraId="7EC8E09E" w14:textId="5A40F925" w:rsidR="00285040" w:rsidRDefault="00884FEA" w:rsidP="00862084">
            <w:pPr>
              <w:pStyle w:val="Tabletext0"/>
              <w:jc w:val="right"/>
            </w:pPr>
            <w:r>
              <w:t>152</w:t>
            </w:r>
          </w:p>
        </w:tc>
        <w:tc>
          <w:tcPr>
            <w:tcW w:w="2693" w:type="dxa"/>
          </w:tcPr>
          <w:p w14:paraId="7B5E1205" w14:textId="6C97FB02" w:rsidR="00285040" w:rsidRDefault="009E4475" w:rsidP="00862084">
            <w:pPr>
              <w:pStyle w:val="Tabletext0"/>
              <w:jc w:val="right"/>
            </w:pPr>
            <w:r>
              <w:t>170</w:t>
            </w:r>
          </w:p>
        </w:tc>
      </w:tr>
      <w:tr w:rsidR="00FB4AB9" w14:paraId="61472294" w14:textId="77777777" w:rsidTr="00763855">
        <w:tc>
          <w:tcPr>
            <w:tcW w:w="1418" w:type="dxa"/>
          </w:tcPr>
          <w:p w14:paraId="34DE1428" w14:textId="50B604B5" w:rsidR="00285040" w:rsidRDefault="003A35E6" w:rsidP="001F3237">
            <w:pPr>
              <w:pStyle w:val="Tabletext0"/>
              <w:jc w:val="left"/>
            </w:pPr>
            <w:r>
              <w:t>Total</w:t>
            </w:r>
          </w:p>
        </w:tc>
        <w:tc>
          <w:tcPr>
            <w:tcW w:w="2410" w:type="dxa"/>
          </w:tcPr>
          <w:p w14:paraId="46B7FF39" w14:textId="06EA5262" w:rsidR="00285040" w:rsidRDefault="00890F53" w:rsidP="00862084">
            <w:pPr>
              <w:pStyle w:val="Tabletext0"/>
              <w:jc w:val="right"/>
            </w:pPr>
            <w:r>
              <w:t>170</w:t>
            </w:r>
            <w:r w:rsidR="00854999">
              <w:t>*</w:t>
            </w:r>
          </w:p>
        </w:tc>
        <w:tc>
          <w:tcPr>
            <w:tcW w:w="2551" w:type="dxa"/>
          </w:tcPr>
          <w:p w14:paraId="1BC70C7E" w14:textId="75E1188B" w:rsidR="00285040" w:rsidRDefault="00884FEA" w:rsidP="00862084">
            <w:pPr>
              <w:pStyle w:val="Tabletext0"/>
              <w:jc w:val="right"/>
            </w:pPr>
            <w:r>
              <w:t>339</w:t>
            </w:r>
            <w:r w:rsidR="000B5E2F">
              <w:t>*</w:t>
            </w:r>
          </w:p>
        </w:tc>
        <w:tc>
          <w:tcPr>
            <w:tcW w:w="2693" w:type="dxa"/>
          </w:tcPr>
          <w:p w14:paraId="3E370EFF" w14:textId="3016B00F" w:rsidR="00285040" w:rsidRPr="00DA3D2E" w:rsidRDefault="009E4475" w:rsidP="00862084">
            <w:pPr>
              <w:pStyle w:val="Tabletext0"/>
              <w:jc w:val="right"/>
              <w:rPr>
                <w:vertAlign w:val="superscript"/>
              </w:rPr>
            </w:pPr>
            <w:r>
              <w:t>340</w:t>
            </w:r>
            <w:r w:rsidR="00DA3D2E">
              <w:rPr>
                <w:vertAlign w:val="superscript"/>
              </w:rPr>
              <w:t>#</w:t>
            </w:r>
          </w:p>
        </w:tc>
      </w:tr>
    </w:tbl>
    <w:p w14:paraId="13820E15" w14:textId="4F3198CF" w:rsidR="00C203FE" w:rsidRDefault="002245BE" w:rsidP="002245BE">
      <w:pPr>
        <w:pStyle w:val="Tablenotes"/>
      </w:pPr>
      <w:r>
        <w:t xml:space="preserve">Source: </w:t>
      </w:r>
      <w:r w:rsidR="00CF6FC2">
        <w:t xml:space="preserve">compiled by the department based on </w:t>
      </w:r>
      <w:r w:rsidR="00D62645">
        <w:t>Table</w:t>
      </w:r>
      <w:r w:rsidR="00796550">
        <w:t xml:space="preserve"> </w:t>
      </w:r>
      <w:r w:rsidR="004652D4">
        <w:t xml:space="preserve">5 and </w:t>
      </w:r>
      <w:r w:rsidR="00D843BC">
        <w:t xml:space="preserve">6 of </w:t>
      </w:r>
      <w:r w:rsidR="006923D4">
        <w:t xml:space="preserve">MSAC 1627.1 </w:t>
      </w:r>
      <w:r w:rsidR="004D3802" w:rsidRPr="004D3802">
        <w:t xml:space="preserve">Applicant response (Resubmission) </w:t>
      </w:r>
    </w:p>
    <w:p w14:paraId="7971BCDE" w14:textId="5B865BE8" w:rsidR="000B5E2F" w:rsidRDefault="000B5E2F" w:rsidP="00416D92">
      <w:pPr>
        <w:pStyle w:val="Tablenotes"/>
      </w:pPr>
      <w:r>
        <w:t>* This is based on applicant adding the number of CT/NG and TV tests together.</w:t>
      </w:r>
    </w:p>
    <w:p w14:paraId="7E7A7404" w14:textId="3257F604" w:rsidR="00DA3D2E" w:rsidRDefault="00DA3D2E" w:rsidP="00416D92">
      <w:pPr>
        <w:pStyle w:val="Tablenotes"/>
      </w:pPr>
      <w:r>
        <w:t xml:space="preserve"># </w:t>
      </w:r>
      <w:r w:rsidR="00E5092A">
        <w:t xml:space="preserve">The financial estimate costed 170 CT/NG </w:t>
      </w:r>
      <w:r w:rsidR="00A21A6E">
        <w:t>plus</w:t>
      </w:r>
      <w:r w:rsidR="00E5092A">
        <w:t xml:space="preserve"> 170 TV PoCT per </w:t>
      </w:r>
      <w:r w:rsidR="00F45D7B">
        <w:t>site to give 340 total tests per site</w:t>
      </w:r>
      <w:r w:rsidR="00CC08C2">
        <w:t xml:space="preserve"> – not to be mis-interpreted as </w:t>
      </w:r>
      <w:r w:rsidR="00CB74B8">
        <w:t xml:space="preserve">costing 340 combined tests (i.e., 340 patients receiving both </w:t>
      </w:r>
      <w:r w:rsidR="0008542E">
        <w:t xml:space="preserve">CT/NG and TV PoCT which would equate to </w:t>
      </w:r>
      <w:r w:rsidR="00BE0FE4">
        <w:t>680 tests</w:t>
      </w:r>
      <w:r w:rsidR="0008542E">
        <w:t>)</w:t>
      </w:r>
      <w:r w:rsidR="00A21A6E">
        <w:t>.</w:t>
      </w:r>
    </w:p>
    <w:p w14:paraId="425D0EF4" w14:textId="41BFE2EF" w:rsidR="00416D92" w:rsidRDefault="00416D92" w:rsidP="00416D92">
      <w:pPr>
        <w:pStyle w:val="Tablenotes"/>
      </w:pPr>
      <w:r>
        <w:t>a Based on back-calculation of values in Table 9</w:t>
      </w:r>
      <w:r w:rsidR="005526F1">
        <w:t xml:space="preserve"> (i.e., </w:t>
      </w:r>
      <w:r>
        <w:t>Estimated cost for CT/NG or TV tests / number of tests = tests per site</w:t>
      </w:r>
      <w:r w:rsidR="005526F1">
        <w:t>)</w:t>
      </w:r>
    </w:p>
    <w:p w14:paraId="11880179" w14:textId="3F2C2F0A" w:rsidR="00215169" w:rsidRDefault="00960EE0" w:rsidP="000A352D">
      <w:pPr>
        <w:pStyle w:val="ListParagraph"/>
        <w:numPr>
          <w:ilvl w:val="0"/>
          <w:numId w:val="24"/>
        </w:numPr>
        <w:ind w:left="357" w:hanging="357"/>
        <w:contextualSpacing w:val="0"/>
      </w:pPr>
      <w:r>
        <w:t xml:space="preserve">The financial analysis assumes a 1:1 </w:t>
      </w:r>
      <w:r w:rsidR="00985EF2">
        <w:t>substitution</w:t>
      </w:r>
      <w:r>
        <w:t xml:space="preserve"> of standard laboratory STI testing </w:t>
      </w:r>
      <w:r w:rsidR="00671FBD">
        <w:t xml:space="preserve">when estimating the cost offsets from reduced </w:t>
      </w:r>
      <w:r w:rsidR="0063199F">
        <w:t xml:space="preserve">use of standard laboratory STI testing. </w:t>
      </w:r>
    </w:p>
    <w:p w14:paraId="4F53A8A4" w14:textId="271DBE85" w:rsidR="007968DA" w:rsidRDefault="000F3EA0" w:rsidP="077CBCD4">
      <w:pPr>
        <w:pStyle w:val="ListParagraph"/>
        <w:spacing w:before="240"/>
        <w:ind w:left="357"/>
      </w:pPr>
      <w:r>
        <w:t>Th</w:t>
      </w:r>
      <w:r w:rsidR="0096514F">
        <w:t>e</w:t>
      </w:r>
      <w:r w:rsidR="00BF53AB">
        <w:t xml:space="preserve"> </w:t>
      </w:r>
      <w:r w:rsidR="00926E9C">
        <w:t xml:space="preserve">1:1 </w:t>
      </w:r>
      <w:r w:rsidR="00532D47">
        <w:t>substitution implies</w:t>
      </w:r>
      <w:r>
        <w:t xml:space="preserve"> that</w:t>
      </w:r>
      <w:r w:rsidR="00B47FBD">
        <w:t xml:space="preserve"> </w:t>
      </w:r>
      <w:r w:rsidR="00E073CE">
        <w:t xml:space="preserve">each of the patients estimated to receive a PoCT test would have received a </w:t>
      </w:r>
      <w:r w:rsidR="0031715C">
        <w:t>standard laboratory STI test</w:t>
      </w:r>
      <w:r w:rsidR="00D94A59">
        <w:t xml:space="preserve"> in the absence of PoCT availability, which</w:t>
      </w:r>
      <w:r>
        <w:t xml:space="preserve"> </w:t>
      </w:r>
      <w:r w:rsidR="00A13FA0">
        <w:t>does not account for the potential that there may be patients who are not currently taking up standard laboratory</w:t>
      </w:r>
      <w:r w:rsidR="00134A2A">
        <w:t xml:space="preserve"> </w:t>
      </w:r>
      <w:r w:rsidR="00A13FA0">
        <w:t xml:space="preserve">STI testing </w:t>
      </w:r>
      <w:r w:rsidR="00134A2A">
        <w:t>(</w:t>
      </w:r>
      <w:r w:rsidR="00A13FA0">
        <w:t>du</w:t>
      </w:r>
      <w:r w:rsidR="00134A2A">
        <w:t>e</w:t>
      </w:r>
      <w:r w:rsidR="00A13FA0">
        <w:t xml:space="preserve"> to the barriers raised by the applican</w:t>
      </w:r>
      <w:r w:rsidR="00134A2A">
        <w:t>t) but who may utilise PoCT if funded.</w:t>
      </w:r>
      <w:r w:rsidR="00FF210C">
        <w:t xml:space="preserve"> The department also notes that as additional laboratory testing would be required to determine the antibiotic sensitivity of the causative organism</w:t>
      </w:r>
      <w:r w:rsidR="001D4D04">
        <w:t xml:space="preserve">, there is the potential for </w:t>
      </w:r>
      <w:r w:rsidR="00726E7A">
        <w:t xml:space="preserve">PoCT testing to be performed in addition to standard laboratory testing. </w:t>
      </w:r>
      <w:r w:rsidR="00FE38D5">
        <w:t xml:space="preserve">This has not been accounted for in the </w:t>
      </w:r>
      <w:r w:rsidR="00B83047">
        <w:t>financial analysis.</w:t>
      </w:r>
    </w:p>
    <w:p w14:paraId="1B1FF430" w14:textId="77777777" w:rsidR="00921E7B" w:rsidRDefault="00921E7B" w:rsidP="00687265">
      <w:pPr>
        <w:pStyle w:val="ListParagraph"/>
        <w:numPr>
          <w:ilvl w:val="0"/>
          <w:numId w:val="24"/>
        </w:numPr>
        <w:spacing w:before="240"/>
        <w:ind w:left="357" w:hanging="357"/>
        <w:contextualSpacing w:val="0"/>
      </w:pPr>
      <w:r>
        <w:t xml:space="preserve">A minor change to the costing of the comparator - standard laboratory STI testing. </w:t>
      </w:r>
    </w:p>
    <w:p w14:paraId="26089676" w14:textId="7C21924B" w:rsidR="0058100A" w:rsidRDefault="00AF1212" w:rsidP="008A03A9">
      <w:pPr>
        <w:pStyle w:val="ListParagraph"/>
        <w:ind w:left="357"/>
        <w:contextualSpacing w:val="0"/>
      </w:pPr>
      <w:r>
        <w:t>The</w:t>
      </w:r>
      <w:r w:rsidR="0015158F">
        <w:t xml:space="preserve"> applicant’s updated financial estimates have </w:t>
      </w:r>
      <w:r w:rsidR="00EE4AA9">
        <w:t xml:space="preserve">applied the 85% rebate </w:t>
      </w:r>
      <w:r w:rsidR="003A1565">
        <w:t>($6.</w:t>
      </w:r>
      <w:r w:rsidR="005B65A9">
        <w:t>80</w:t>
      </w:r>
      <w:r w:rsidR="003A1565">
        <w:t>) for</w:t>
      </w:r>
      <w:r w:rsidR="0015158F">
        <w:t xml:space="preserve"> </w:t>
      </w:r>
      <w:r w:rsidR="002E1A2A">
        <w:t>MBS item</w:t>
      </w:r>
      <w:r w:rsidR="0015158F">
        <w:t xml:space="preserve"> </w:t>
      </w:r>
      <w:r w:rsidR="00B32DB4">
        <w:t>73938</w:t>
      </w:r>
      <w:r w:rsidR="002E1A2A">
        <w:t xml:space="preserve"> </w:t>
      </w:r>
      <w:r w:rsidR="00C4490B">
        <w:t>for initiation of the patient episode</w:t>
      </w:r>
      <w:r w:rsidR="00B5527A">
        <w:t xml:space="preserve"> </w:t>
      </w:r>
      <w:r w:rsidR="003A1565">
        <w:t>when costing the comparator. Previously</w:t>
      </w:r>
      <w:r w:rsidR="001D3FB4">
        <w:t>,</w:t>
      </w:r>
      <w:r w:rsidR="003A1565">
        <w:t xml:space="preserve"> MBS item 73939 ($2.05 </w:t>
      </w:r>
      <w:r w:rsidR="008A3DB4">
        <w:t xml:space="preserve">at </w:t>
      </w:r>
      <w:r w:rsidR="003A1565">
        <w:t xml:space="preserve">85% rebate) was used. </w:t>
      </w:r>
      <w:r w:rsidR="000D2E44">
        <w:t>The d</w:t>
      </w:r>
      <w:r w:rsidR="00291BDC">
        <w:t xml:space="preserve">epartment notes MBS item 73938 </w:t>
      </w:r>
      <w:r w:rsidR="00812101">
        <w:t>would be appropriate for a p</w:t>
      </w:r>
      <w:r w:rsidR="00184891">
        <w:t xml:space="preserve">rivate patient whereas </w:t>
      </w:r>
      <w:r w:rsidR="00706FBD">
        <w:t xml:space="preserve">MBS 73939 </w:t>
      </w:r>
      <w:r w:rsidR="00184891">
        <w:t>would be more appropriate for a public patient</w:t>
      </w:r>
      <w:r w:rsidR="0042645B">
        <w:t xml:space="preserve">. </w:t>
      </w:r>
      <w:r w:rsidR="00417EC0">
        <w:t>PoCT for STIs is proposed for patients attending AMS and/or ACCH</w:t>
      </w:r>
      <w:r w:rsidR="004D502F">
        <w:t xml:space="preserve">Os. </w:t>
      </w:r>
      <w:r w:rsidR="00A32191">
        <w:t>The applicant has not justified why</w:t>
      </w:r>
      <w:r w:rsidR="004D502F">
        <w:t xml:space="preserve"> this change has been made and/or is more appropriate. However, the consequence of this change is minor</w:t>
      </w:r>
      <w:r w:rsidR="008076B7">
        <w:t xml:space="preserve">. That is, reversing this change would </w:t>
      </w:r>
      <w:r w:rsidR="00130CD4">
        <w:t>increase</w:t>
      </w:r>
      <w:r w:rsidR="008076B7">
        <w:t xml:space="preserve"> the net cost to the MBS </w:t>
      </w:r>
      <w:r w:rsidR="00A5249B">
        <w:t xml:space="preserve">by ~3% </w:t>
      </w:r>
      <w:r w:rsidR="008076B7">
        <w:t xml:space="preserve">to </w:t>
      </w:r>
      <w:r w:rsidR="005C14D0">
        <w:t>$</w:t>
      </w:r>
      <w:r w:rsidR="00130CD4" w:rsidRPr="00130CD4">
        <w:t xml:space="preserve"> $2,382,067 </w:t>
      </w:r>
      <w:r w:rsidR="008076B7">
        <w:t xml:space="preserve">in Year 1 and </w:t>
      </w:r>
      <w:r w:rsidR="007B09F6">
        <w:t xml:space="preserve">to </w:t>
      </w:r>
      <w:r w:rsidR="00700B76" w:rsidRPr="00700B76">
        <w:t>$11,782,406</w:t>
      </w:r>
      <w:r w:rsidR="00700B76">
        <w:t xml:space="preserve"> in Year 6</w:t>
      </w:r>
      <w:r w:rsidR="00A5249B">
        <w:t>.</w:t>
      </w:r>
    </w:p>
    <w:p w14:paraId="50D823BC" w14:textId="605FF086" w:rsidR="008C09D4" w:rsidRPr="00C22586" w:rsidRDefault="00BF61B8" w:rsidP="009F780A">
      <w:r>
        <w:t>The d</w:t>
      </w:r>
      <w:r w:rsidR="005A23BE">
        <w:t xml:space="preserve">epartment </w:t>
      </w:r>
      <w:r>
        <w:t xml:space="preserve">conducted </w:t>
      </w:r>
      <w:r w:rsidR="00A24221">
        <w:t xml:space="preserve">additional </w:t>
      </w:r>
      <w:r>
        <w:t>s</w:t>
      </w:r>
      <w:r w:rsidR="00436A63">
        <w:t>ensitivity analy</w:t>
      </w:r>
      <w:r w:rsidR="009210FE">
        <w:t xml:space="preserve">ses using </w:t>
      </w:r>
      <w:r>
        <w:t xml:space="preserve">alternative fee 1 and 2 from </w:t>
      </w:r>
      <w:r>
        <w:fldChar w:fldCharType="begin"/>
      </w:r>
      <w:r>
        <w:instrText xml:space="preserve"> REF _Ref147777928 \h  \* MERGEFORMAT </w:instrText>
      </w:r>
      <w:r>
        <w:fldChar w:fldCharType="separate"/>
      </w:r>
      <w:r w:rsidR="00DE2A83">
        <w:t xml:space="preserve">Table </w:t>
      </w:r>
      <w:r w:rsidR="00DE2A83">
        <w:rPr>
          <w:noProof/>
        </w:rPr>
        <w:t>4</w:t>
      </w:r>
      <w:r>
        <w:fldChar w:fldCharType="end"/>
      </w:r>
      <w:r>
        <w:t xml:space="preserve">. </w:t>
      </w:r>
    </w:p>
    <w:p w14:paraId="217E9304" w14:textId="3D92B741" w:rsidR="007544DC" w:rsidRDefault="007544DC" w:rsidP="008A03A9">
      <w:pPr>
        <w:pStyle w:val="ListParagraph"/>
        <w:numPr>
          <w:ilvl w:val="0"/>
          <w:numId w:val="24"/>
        </w:numPr>
        <w:ind w:left="357" w:hanging="357"/>
        <w:contextualSpacing w:val="0"/>
      </w:pPr>
      <w:r>
        <w:t xml:space="preserve">Alternative fee 1 - </w:t>
      </w:r>
      <w:r w:rsidR="00AD76E2" w:rsidRPr="00AD76E2">
        <w:t>MSAC 1627.1 proposed items &amp; fees but single miscellaneous service item claimed per patient episode</w:t>
      </w:r>
      <w:r w:rsidR="008A03A9">
        <w:t>.</w:t>
      </w:r>
    </w:p>
    <w:p w14:paraId="0A531246" w14:textId="549E6293" w:rsidR="009A7DF5" w:rsidRDefault="00AD76E2" w:rsidP="008A03A9">
      <w:pPr>
        <w:pStyle w:val="ListParagraph"/>
        <w:ind w:left="357"/>
        <w:contextualSpacing w:val="0"/>
      </w:pPr>
      <w:r w:rsidRPr="00AD76E2">
        <w:t xml:space="preserve">As </w:t>
      </w:r>
      <w:r>
        <w:t xml:space="preserve">noted earlier, the </w:t>
      </w:r>
      <w:r w:rsidRPr="00AD76E2">
        <w:t>applicant</w:t>
      </w:r>
      <w:r w:rsidR="00563602">
        <w:t>’s proposal is for the miscellaneous service item to be claimed twice</w:t>
      </w:r>
      <w:r w:rsidRPr="00AD76E2">
        <w:t xml:space="preserve"> if a patient received both the CT/NG and TV PoCTs</w:t>
      </w:r>
      <w:r w:rsidR="009A7DF5">
        <w:t>, equating to 40min of staff time to perform the two PoC tests. Revising the financial analysis so that the miscellaneous service fee is only claimed once per episode for combined CT/NG and TV PoCT reduce</w:t>
      </w:r>
      <w:r w:rsidR="00724F9F">
        <w:t>d</w:t>
      </w:r>
      <w:r w:rsidR="009A7DF5">
        <w:t xml:space="preserve"> the total cost to the MBS for the proposed PoCT from $</w:t>
      </w:r>
      <w:r w:rsidR="009A7DF5" w:rsidRPr="007B2716">
        <w:t>3,027,768 to $2,091,000 in Year 1 and from $14,976,233 to $10,342,702 in Year 6</w:t>
      </w:r>
      <w:r w:rsidR="009A7DF5">
        <w:t xml:space="preserve"> (as shown in </w:t>
      </w:r>
      <w:r w:rsidR="009A7DF5">
        <w:fldChar w:fldCharType="begin"/>
      </w:r>
      <w:r w:rsidR="009A7DF5">
        <w:instrText xml:space="preserve"> REF _Ref147762343 \h </w:instrText>
      </w:r>
      <w:r w:rsidR="009A7DF5">
        <w:fldChar w:fldCharType="separate"/>
      </w:r>
      <w:r w:rsidR="00DE2A83">
        <w:t xml:space="preserve">Table </w:t>
      </w:r>
      <w:r w:rsidR="00DE2A83">
        <w:rPr>
          <w:noProof/>
        </w:rPr>
        <w:t>8</w:t>
      </w:r>
      <w:r w:rsidR="009A7DF5">
        <w:fldChar w:fldCharType="end"/>
      </w:r>
      <w:r w:rsidR="009A7DF5">
        <w:t>)</w:t>
      </w:r>
      <w:r w:rsidR="009A7DF5" w:rsidRPr="007B2716">
        <w:t>.</w:t>
      </w:r>
      <w:r w:rsidR="009A7DF5">
        <w:t xml:space="preserve"> </w:t>
      </w:r>
    </w:p>
    <w:p w14:paraId="1BEAD05F" w14:textId="2B2EA1A7" w:rsidR="003B15E6" w:rsidRPr="008A03A9" w:rsidRDefault="73498974" w:rsidP="008A03A9">
      <w:pPr>
        <w:pStyle w:val="ListParagraph"/>
        <w:numPr>
          <w:ilvl w:val="0"/>
          <w:numId w:val="24"/>
        </w:numPr>
        <w:ind w:left="357" w:hanging="357"/>
        <w:contextualSpacing w:val="0"/>
        <w:rPr>
          <w:i/>
          <w:iCs/>
        </w:rPr>
      </w:pPr>
      <w:r>
        <w:lastRenderedPageBreak/>
        <w:t>Alternative fee 2</w:t>
      </w:r>
      <w:r w:rsidR="0B012030" w:rsidRPr="30B4387D">
        <w:rPr>
          <w:i/>
          <w:iCs/>
        </w:rPr>
        <w:t xml:space="preserve"> – PoCT fee equivalent to the service fee (MBS item 69319) + additional cost elements</w:t>
      </w:r>
    </w:p>
    <w:p w14:paraId="751985DE" w14:textId="08707099" w:rsidR="00382148" w:rsidRDefault="00101607" w:rsidP="00382148">
      <w:pPr>
        <w:pStyle w:val="ListParagraph"/>
        <w:ind w:left="360"/>
      </w:pPr>
      <w:r>
        <w:t xml:space="preserve">Alternative fee 2 proposed by the department provides for both single </w:t>
      </w:r>
      <w:r w:rsidR="00724F9F">
        <w:t xml:space="preserve">PoCT </w:t>
      </w:r>
      <w:r>
        <w:t xml:space="preserve">(CT/NG </w:t>
      </w:r>
      <w:r w:rsidR="00E27329">
        <w:t>or TV) and combined CT/NG and TV PoCT items with</w:t>
      </w:r>
      <w:r w:rsidR="0011731E">
        <w:t xml:space="preserve"> a fee of </w:t>
      </w:r>
      <w:r w:rsidR="00700227">
        <w:t>$64.85</w:t>
      </w:r>
      <w:r w:rsidR="0011731E">
        <w:t xml:space="preserve"> and </w:t>
      </w:r>
      <w:r w:rsidR="00700227">
        <w:t>$86.75</w:t>
      </w:r>
      <w:r w:rsidR="0011731E">
        <w:t xml:space="preserve">, respectively. The 85% benefit would be </w:t>
      </w:r>
      <w:r w:rsidR="00150411">
        <w:t>$55.</w:t>
      </w:r>
      <w:r w:rsidR="00FB3E23">
        <w:t>10</w:t>
      </w:r>
      <w:r w:rsidR="0011731E">
        <w:t xml:space="preserve"> for single</w:t>
      </w:r>
      <w:r w:rsidR="00FB3E23">
        <w:t xml:space="preserve"> </w:t>
      </w:r>
      <w:r w:rsidR="00724F9F">
        <w:t xml:space="preserve">PoCT </w:t>
      </w:r>
      <w:r w:rsidR="00FB3E23">
        <w:t>(CT/NG or TV)</w:t>
      </w:r>
      <w:r w:rsidR="0011731E">
        <w:t xml:space="preserve"> and </w:t>
      </w:r>
      <w:r w:rsidR="00807DCC">
        <w:t>$73.75</w:t>
      </w:r>
      <w:r w:rsidR="0011731E">
        <w:t xml:space="preserve"> for combined CT/NG and TV PoCT. </w:t>
      </w:r>
      <w:r w:rsidR="00D22474">
        <w:t xml:space="preserve">Revising the financial analysis to </w:t>
      </w:r>
      <w:r w:rsidR="00E67CE0">
        <w:t xml:space="preserve">apply the </w:t>
      </w:r>
      <w:r w:rsidR="0011731E">
        <w:t xml:space="preserve">85% benefit </w:t>
      </w:r>
      <w:r w:rsidR="00807DCC">
        <w:t>($73.75) f</w:t>
      </w:r>
      <w:r w:rsidR="0011731E">
        <w:t xml:space="preserve">or the </w:t>
      </w:r>
      <w:r w:rsidR="00E00822">
        <w:t xml:space="preserve">Alternative 2 - </w:t>
      </w:r>
      <w:r w:rsidR="00DE5C07">
        <w:t>c</w:t>
      </w:r>
      <w:r w:rsidR="0059350E">
        <w:t xml:space="preserve">ombined CT/NG and TV PoCT </w:t>
      </w:r>
      <w:r w:rsidR="0011731E">
        <w:t xml:space="preserve">reduced the </w:t>
      </w:r>
      <w:r w:rsidR="00724F9F">
        <w:t>total cost to the MBS for the proposed PoCT from $</w:t>
      </w:r>
      <w:r w:rsidR="00724F9F" w:rsidRPr="007B2716">
        <w:t>3,027,768 to $</w:t>
      </w:r>
      <w:r w:rsidR="00D176C3">
        <w:t>1,233,690</w:t>
      </w:r>
      <w:r w:rsidR="00724F9F" w:rsidRPr="007B2716">
        <w:t xml:space="preserve"> in Year 1 and from $14,976,233 to $</w:t>
      </w:r>
      <w:r w:rsidR="00D176C3">
        <w:t>6,102,194</w:t>
      </w:r>
      <w:r w:rsidR="00724F9F" w:rsidRPr="007B2716">
        <w:t xml:space="preserve"> in Year 6</w:t>
      </w:r>
      <w:r w:rsidR="00724F9F">
        <w:t xml:space="preserve"> (as shown in </w:t>
      </w:r>
      <w:r w:rsidR="00724F9F">
        <w:fldChar w:fldCharType="begin"/>
      </w:r>
      <w:r w:rsidR="00724F9F">
        <w:instrText xml:space="preserve"> REF _Ref147762343 \h </w:instrText>
      </w:r>
      <w:r w:rsidR="00724F9F">
        <w:fldChar w:fldCharType="separate"/>
      </w:r>
      <w:r w:rsidR="00DE2A83">
        <w:t xml:space="preserve">Table </w:t>
      </w:r>
      <w:r w:rsidR="00DE2A83">
        <w:rPr>
          <w:noProof/>
        </w:rPr>
        <w:t>8</w:t>
      </w:r>
      <w:r w:rsidR="00724F9F">
        <w:fldChar w:fldCharType="end"/>
      </w:r>
      <w:r w:rsidR="00724F9F">
        <w:t>)</w:t>
      </w:r>
      <w:r w:rsidR="00724F9F" w:rsidRPr="007B2716">
        <w:t>.</w:t>
      </w:r>
      <w:bookmarkStart w:id="35" w:name="_Ref147762343"/>
    </w:p>
    <w:p w14:paraId="6195E828" w14:textId="77777777" w:rsidR="00382148" w:rsidRPr="00382148" w:rsidRDefault="00382148" w:rsidP="00382148">
      <w:pPr>
        <w:sectPr w:rsidR="00382148" w:rsidRPr="00382148" w:rsidSect="00382148">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440" w:right="1440" w:bottom="1440" w:left="1440" w:header="709" w:footer="709" w:gutter="0"/>
          <w:cols w:space="708"/>
          <w:docGrid w:linePitch="360"/>
        </w:sectPr>
      </w:pPr>
    </w:p>
    <w:p w14:paraId="1AE4A61C" w14:textId="0B1DB76F" w:rsidR="003B4F6D" w:rsidRDefault="00A66923" w:rsidP="00950C83">
      <w:pPr>
        <w:pStyle w:val="Caption"/>
        <w:rPr>
          <w:rFonts w:cstheme="minorHAnsi"/>
        </w:rPr>
      </w:pPr>
      <w:r>
        <w:lastRenderedPageBreak/>
        <w:t xml:space="preserve">Table </w:t>
      </w:r>
      <w:r>
        <w:fldChar w:fldCharType="begin"/>
      </w:r>
      <w:r>
        <w:instrText>SEQ Table \* ARABIC</w:instrText>
      </w:r>
      <w:r>
        <w:fldChar w:fldCharType="separate"/>
      </w:r>
      <w:r w:rsidR="00DE2A83">
        <w:rPr>
          <w:noProof/>
        </w:rPr>
        <w:t>8</w:t>
      </w:r>
      <w:r>
        <w:fldChar w:fldCharType="end"/>
      </w:r>
      <w:bookmarkEnd w:id="35"/>
      <w:r>
        <w:t xml:space="preserve"> </w:t>
      </w:r>
      <w:r w:rsidR="003B4F6D">
        <w:rPr>
          <w:rFonts w:cstheme="minorHAnsi"/>
        </w:rPr>
        <w:t>Annual (2023 – 2029) c</w:t>
      </w:r>
      <w:r w:rsidR="003B4F6D" w:rsidRPr="00A121CC">
        <w:rPr>
          <w:rFonts w:cstheme="minorHAnsi"/>
        </w:rPr>
        <w:t>ost implications for P</w:t>
      </w:r>
      <w:r w:rsidR="004158AD">
        <w:rPr>
          <w:rFonts w:cstheme="minorHAnsi"/>
        </w:rPr>
        <w:t>o</w:t>
      </w:r>
      <w:r w:rsidR="003B4F6D" w:rsidRPr="00A121CC">
        <w:rPr>
          <w:rFonts w:cstheme="minorHAnsi"/>
        </w:rPr>
        <w:t>C tests for CT/NG and TV to the MBS</w:t>
      </w:r>
      <w:r w:rsidR="003B4F6D">
        <w:rPr>
          <w:rFonts w:cstheme="minorHAnsi"/>
        </w:rPr>
        <w:t>,</w:t>
      </w:r>
      <w:r w:rsidR="003B4F6D" w:rsidRPr="00A121CC">
        <w:rPr>
          <w:rFonts w:cstheme="minorHAnsi"/>
        </w:rPr>
        <w:t xml:space="preserve"> </w:t>
      </w:r>
      <w:r w:rsidR="003B4F6D">
        <w:rPr>
          <w:rFonts w:cstheme="minorHAnsi"/>
        </w:rPr>
        <w:t>including estimated 5</w:t>
      </w:r>
      <w:r w:rsidR="003B4F6D" w:rsidRPr="00A121CC">
        <w:rPr>
          <w:rFonts w:cstheme="minorHAnsi"/>
        </w:rPr>
        <w:t>-year budget cycle</w:t>
      </w:r>
      <w:r w:rsidR="003B4F6D">
        <w:rPr>
          <w:rFonts w:cstheme="minorHAnsi"/>
        </w:rPr>
        <w:t xml:space="preserve"> cost (2025 -2028)</w:t>
      </w:r>
      <w:r w:rsidR="003B4F6D" w:rsidRPr="00A121CC">
        <w:rPr>
          <w:rFonts w:cstheme="minorHAnsi"/>
        </w:rPr>
        <w:t>.</w:t>
      </w:r>
    </w:p>
    <w:tbl>
      <w:tblPr>
        <w:tblStyle w:val="TableGrid"/>
        <w:tblW w:w="14601" w:type="dxa"/>
        <w:tblInd w:w="-289" w:type="dxa"/>
        <w:tblLayout w:type="fixed"/>
        <w:tblLook w:val="04A0" w:firstRow="1" w:lastRow="0" w:firstColumn="1" w:lastColumn="0" w:noHBand="0" w:noVBand="1"/>
      </w:tblPr>
      <w:tblGrid>
        <w:gridCol w:w="3197"/>
        <w:gridCol w:w="1421"/>
        <w:gridCol w:w="1421"/>
        <w:gridCol w:w="1421"/>
        <w:gridCol w:w="1421"/>
        <w:gridCol w:w="1421"/>
        <w:gridCol w:w="1421"/>
        <w:gridCol w:w="1421"/>
        <w:gridCol w:w="1457"/>
      </w:tblGrid>
      <w:tr w:rsidR="00A04B3A" w:rsidRPr="00D32939" w14:paraId="36EDDE22" w14:textId="77777777">
        <w:trPr>
          <w:trHeight w:val="426"/>
        </w:trPr>
        <w:tc>
          <w:tcPr>
            <w:tcW w:w="3197" w:type="dxa"/>
            <w:vAlign w:val="center"/>
          </w:tcPr>
          <w:p w14:paraId="50C53632" w14:textId="77777777" w:rsidR="003B4F6D" w:rsidRPr="00342CDC" w:rsidRDefault="003B4F6D" w:rsidP="00CB1C82">
            <w:pPr>
              <w:pStyle w:val="Tabletext0"/>
              <w:spacing w:before="0" w:after="0"/>
              <w:rPr>
                <w:rFonts w:cs="Arial"/>
              </w:rPr>
            </w:pPr>
            <w:r w:rsidRPr="00D32939">
              <w:rPr>
                <w:rFonts w:cs="Arial"/>
              </w:rPr>
              <w:t xml:space="preserve"> </w:t>
            </w:r>
          </w:p>
        </w:tc>
        <w:tc>
          <w:tcPr>
            <w:tcW w:w="1421" w:type="dxa"/>
            <w:vAlign w:val="center"/>
          </w:tcPr>
          <w:p w14:paraId="38BCF495" w14:textId="77777777" w:rsidR="003B4F6D" w:rsidRPr="00342CDC" w:rsidRDefault="003B4F6D" w:rsidP="00CB1C82">
            <w:pPr>
              <w:pStyle w:val="Tabletext0"/>
              <w:spacing w:before="0" w:after="0"/>
              <w:rPr>
                <w:rFonts w:cs="Arial"/>
              </w:rPr>
            </w:pPr>
            <w:r w:rsidRPr="00342CDC">
              <w:rPr>
                <w:rFonts w:cs="Arial"/>
              </w:rPr>
              <w:t>2023</w:t>
            </w:r>
          </w:p>
        </w:tc>
        <w:tc>
          <w:tcPr>
            <w:tcW w:w="1421" w:type="dxa"/>
            <w:vAlign w:val="center"/>
          </w:tcPr>
          <w:p w14:paraId="43FFB87E" w14:textId="77777777" w:rsidR="003B4F6D" w:rsidRPr="00342CDC" w:rsidRDefault="003B4F6D" w:rsidP="00CB1C82">
            <w:pPr>
              <w:pStyle w:val="Tabletext0"/>
              <w:spacing w:before="0" w:after="0"/>
              <w:rPr>
                <w:rFonts w:cs="Arial"/>
              </w:rPr>
            </w:pPr>
            <w:r w:rsidRPr="00342CDC">
              <w:rPr>
                <w:rFonts w:cs="Arial"/>
                <w:color w:val="000000"/>
              </w:rPr>
              <w:t>2024 (yr1)</w:t>
            </w:r>
          </w:p>
        </w:tc>
        <w:tc>
          <w:tcPr>
            <w:tcW w:w="1421" w:type="dxa"/>
            <w:vAlign w:val="center"/>
          </w:tcPr>
          <w:p w14:paraId="445594BD" w14:textId="77777777" w:rsidR="003B4F6D" w:rsidRPr="00342CDC" w:rsidRDefault="003B4F6D" w:rsidP="00CB1C82">
            <w:pPr>
              <w:pStyle w:val="Tabletext0"/>
              <w:spacing w:before="0" w:after="0"/>
              <w:rPr>
                <w:rFonts w:cs="Arial"/>
              </w:rPr>
            </w:pPr>
            <w:r w:rsidRPr="00342CDC">
              <w:rPr>
                <w:rFonts w:cs="Arial"/>
                <w:color w:val="000000"/>
              </w:rPr>
              <w:t>2025 (yr2)</w:t>
            </w:r>
          </w:p>
        </w:tc>
        <w:tc>
          <w:tcPr>
            <w:tcW w:w="1421" w:type="dxa"/>
            <w:vAlign w:val="center"/>
          </w:tcPr>
          <w:p w14:paraId="2237DDC5" w14:textId="77777777" w:rsidR="003B4F6D" w:rsidRPr="00342CDC" w:rsidRDefault="003B4F6D" w:rsidP="00CB1C82">
            <w:pPr>
              <w:pStyle w:val="Tabletext0"/>
              <w:spacing w:before="0" w:after="0"/>
              <w:rPr>
                <w:rFonts w:cs="Arial"/>
              </w:rPr>
            </w:pPr>
            <w:r w:rsidRPr="00342CDC">
              <w:rPr>
                <w:rFonts w:cs="Arial"/>
                <w:color w:val="000000"/>
              </w:rPr>
              <w:t>2026 (yr3)</w:t>
            </w:r>
          </w:p>
        </w:tc>
        <w:tc>
          <w:tcPr>
            <w:tcW w:w="1421" w:type="dxa"/>
            <w:vAlign w:val="center"/>
          </w:tcPr>
          <w:p w14:paraId="54439081" w14:textId="77777777" w:rsidR="003B4F6D" w:rsidRPr="00342CDC" w:rsidRDefault="003B4F6D" w:rsidP="00CB1C82">
            <w:pPr>
              <w:pStyle w:val="Tabletext0"/>
              <w:spacing w:before="0" w:after="0"/>
              <w:rPr>
                <w:rFonts w:cs="Arial"/>
              </w:rPr>
            </w:pPr>
            <w:r w:rsidRPr="00342CDC">
              <w:rPr>
                <w:rFonts w:cs="Arial"/>
                <w:color w:val="000000"/>
              </w:rPr>
              <w:t>2027 (yr4)</w:t>
            </w:r>
          </w:p>
        </w:tc>
        <w:tc>
          <w:tcPr>
            <w:tcW w:w="1421" w:type="dxa"/>
            <w:vAlign w:val="center"/>
          </w:tcPr>
          <w:p w14:paraId="3F0B78B5" w14:textId="77777777" w:rsidR="003B4F6D" w:rsidRPr="00342CDC" w:rsidRDefault="003B4F6D" w:rsidP="00CB1C82">
            <w:pPr>
              <w:pStyle w:val="Tabletext0"/>
              <w:spacing w:before="0" w:after="0"/>
              <w:rPr>
                <w:rFonts w:cs="Arial"/>
              </w:rPr>
            </w:pPr>
            <w:r w:rsidRPr="00342CDC">
              <w:rPr>
                <w:rFonts w:cs="Arial"/>
                <w:color w:val="000000"/>
              </w:rPr>
              <w:t>2028 (yr5)</w:t>
            </w:r>
          </w:p>
        </w:tc>
        <w:tc>
          <w:tcPr>
            <w:tcW w:w="1421" w:type="dxa"/>
            <w:vAlign w:val="center"/>
          </w:tcPr>
          <w:p w14:paraId="36229B69" w14:textId="77777777" w:rsidR="003B4F6D" w:rsidRPr="00342CDC" w:rsidRDefault="003B4F6D" w:rsidP="00CB1C82">
            <w:pPr>
              <w:pStyle w:val="Tabletext0"/>
              <w:spacing w:before="0" w:after="0"/>
              <w:rPr>
                <w:rFonts w:cs="Arial"/>
                <w:color w:val="000000"/>
              </w:rPr>
            </w:pPr>
            <w:r w:rsidRPr="00342CDC">
              <w:rPr>
                <w:rFonts w:cs="Arial"/>
                <w:color w:val="000000"/>
              </w:rPr>
              <w:t>2029 (yr6)</w:t>
            </w:r>
          </w:p>
        </w:tc>
        <w:tc>
          <w:tcPr>
            <w:tcW w:w="1457" w:type="dxa"/>
            <w:vAlign w:val="center"/>
          </w:tcPr>
          <w:p w14:paraId="68B0D4F2" w14:textId="77777777" w:rsidR="003B4F6D" w:rsidRPr="00342CDC" w:rsidRDefault="003B4F6D" w:rsidP="00CB1C82">
            <w:pPr>
              <w:pStyle w:val="Tabletext0"/>
              <w:spacing w:before="0" w:after="0"/>
              <w:rPr>
                <w:rFonts w:cs="Arial"/>
                <w:b/>
                <w:bCs/>
                <w:color w:val="000000"/>
              </w:rPr>
            </w:pPr>
            <w:r w:rsidRPr="00342CDC">
              <w:rPr>
                <w:rFonts w:cs="Arial"/>
                <w:b/>
                <w:bCs/>
                <w:color w:val="000000"/>
              </w:rPr>
              <w:t>Cost over 5 yrs</w:t>
            </w:r>
          </w:p>
          <w:p w14:paraId="62E644E5" w14:textId="77777777" w:rsidR="003B4F6D" w:rsidRPr="00342CDC" w:rsidRDefault="003B4F6D" w:rsidP="00CB1C82">
            <w:pPr>
              <w:pStyle w:val="Tabletext0"/>
              <w:spacing w:before="0" w:after="0"/>
              <w:rPr>
                <w:rFonts w:cs="Arial"/>
              </w:rPr>
            </w:pPr>
            <w:r w:rsidRPr="00342CDC">
              <w:rPr>
                <w:rFonts w:cs="Arial"/>
                <w:b/>
                <w:bCs/>
                <w:color w:val="000000"/>
              </w:rPr>
              <w:t>(2024-2028)*</w:t>
            </w:r>
          </w:p>
        </w:tc>
      </w:tr>
      <w:tr w:rsidR="00A04B3A" w:rsidRPr="00D32939" w14:paraId="15889DFC" w14:textId="77777777">
        <w:trPr>
          <w:trHeight w:val="426"/>
        </w:trPr>
        <w:tc>
          <w:tcPr>
            <w:tcW w:w="3197" w:type="dxa"/>
            <w:vAlign w:val="center"/>
          </w:tcPr>
          <w:p w14:paraId="5E6F8921" w14:textId="77777777" w:rsidR="003B4F6D" w:rsidRPr="00342CDC" w:rsidRDefault="003B4F6D" w:rsidP="00CB1C82">
            <w:pPr>
              <w:pStyle w:val="Tabletext0"/>
              <w:spacing w:before="0" w:after="0"/>
              <w:rPr>
                <w:rFonts w:cs="Arial"/>
                <w:b/>
                <w:bCs/>
              </w:rPr>
            </w:pPr>
            <w:r w:rsidRPr="00342CDC">
              <w:rPr>
                <w:rFonts w:cs="Arial"/>
                <w:b/>
                <w:bCs/>
              </w:rPr>
              <w:t xml:space="preserve">Number of sites </w:t>
            </w:r>
          </w:p>
          <w:p w14:paraId="77EC9B77" w14:textId="77777777" w:rsidR="003B4F6D" w:rsidRPr="00342CDC" w:rsidRDefault="003B4F6D" w:rsidP="00CB1C82">
            <w:pPr>
              <w:pStyle w:val="Tabletext0"/>
              <w:spacing w:before="0" w:after="0"/>
              <w:rPr>
                <w:rFonts w:cs="Arial"/>
              </w:rPr>
            </w:pPr>
            <w:r w:rsidRPr="00342CDC">
              <w:rPr>
                <w:rFonts w:cs="Arial"/>
              </w:rPr>
              <w:t>(15% increase per year)</w:t>
            </w:r>
          </w:p>
        </w:tc>
        <w:tc>
          <w:tcPr>
            <w:tcW w:w="1421" w:type="dxa"/>
            <w:vAlign w:val="center"/>
          </w:tcPr>
          <w:p w14:paraId="4B151453" w14:textId="77777777" w:rsidR="003B4F6D" w:rsidRPr="00342CDC" w:rsidRDefault="003B4F6D" w:rsidP="00CB1C82">
            <w:pPr>
              <w:pStyle w:val="Tabletext0"/>
              <w:spacing w:before="0" w:after="0"/>
              <w:rPr>
                <w:rFonts w:cs="Arial"/>
                <w:color w:val="000000"/>
              </w:rPr>
            </w:pPr>
            <w:r w:rsidRPr="00342CDC">
              <w:rPr>
                <w:rFonts w:cs="Arial"/>
                <w:color w:val="000000"/>
              </w:rPr>
              <w:t>62</w:t>
            </w:r>
          </w:p>
        </w:tc>
        <w:tc>
          <w:tcPr>
            <w:tcW w:w="1421" w:type="dxa"/>
            <w:vAlign w:val="center"/>
          </w:tcPr>
          <w:p w14:paraId="02B983CE" w14:textId="77777777" w:rsidR="003B4F6D" w:rsidRPr="00342CDC" w:rsidRDefault="003B4F6D" w:rsidP="00CB1C82">
            <w:pPr>
              <w:pStyle w:val="Tabletext0"/>
              <w:spacing w:before="0" w:after="0"/>
              <w:rPr>
                <w:rFonts w:cs="Arial"/>
              </w:rPr>
            </w:pPr>
            <w:r w:rsidRPr="00342CDC">
              <w:rPr>
                <w:rFonts w:cs="Arial"/>
                <w:color w:val="000000"/>
              </w:rPr>
              <w:t>82</w:t>
            </w:r>
          </w:p>
        </w:tc>
        <w:tc>
          <w:tcPr>
            <w:tcW w:w="1421" w:type="dxa"/>
            <w:vAlign w:val="center"/>
          </w:tcPr>
          <w:p w14:paraId="22022C89" w14:textId="77777777" w:rsidR="003B4F6D" w:rsidRPr="00342CDC" w:rsidRDefault="003B4F6D" w:rsidP="00CB1C82">
            <w:pPr>
              <w:pStyle w:val="Tabletext0"/>
              <w:spacing w:before="0" w:after="0"/>
              <w:rPr>
                <w:rFonts w:cs="Arial"/>
                <w:color w:val="000000"/>
              </w:rPr>
            </w:pPr>
            <w:r w:rsidRPr="00342CDC">
              <w:rPr>
                <w:rFonts w:cs="Arial"/>
                <w:color w:val="000000"/>
              </w:rPr>
              <w:t>94</w:t>
            </w:r>
          </w:p>
        </w:tc>
        <w:tc>
          <w:tcPr>
            <w:tcW w:w="1421" w:type="dxa"/>
            <w:vAlign w:val="center"/>
          </w:tcPr>
          <w:p w14:paraId="48734E2D" w14:textId="77777777" w:rsidR="003B4F6D" w:rsidRPr="00342CDC" w:rsidRDefault="003B4F6D" w:rsidP="00CB1C82">
            <w:pPr>
              <w:pStyle w:val="Tabletext0"/>
              <w:spacing w:before="0" w:after="0"/>
              <w:rPr>
                <w:rFonts w:cs="Arial"/>
                <w:color w:val="000000"/>
              </w:rPr>
            </w:pPr>
            <w:r w:rsidRPr="00342CDC">
              <w:rPr>
                <w:rFonts w:cs="Arial"/>
                <w:color w:val="000000"/>
              </w:rPr>
              <w:t>108</w:t>
            </w:r>
          </w:p>
        </w:tc>
        <w:tc>
          <w:tcPr>
            <w:tcW w:w="1421" w:type="dxa"/>
            <w:vAlign w:val="center"/>
          </w:tcPr>
          <w:p w14:paraId="0A8AECFE" w14:textId="77777777" w:rsidR="003B4F6D" w:rsidRPr="00342CDC" w:rsidRDefault="003B4F6D" w:rsidP="00CB1C82">
            <w:pPr>
              <w:pStyle w:val="Tabletext0"/>
              <w:spacing w:before="0" w:after="0"/>
              <w:rPr>
                <w:rFonts w:cs="Arial"/>
                <w:color w:val="000000"/>
              </w:rPr>
            </w:pPr>
            <w:r w:rsidRPr="00342CDC">
              <w:rPr>
                <w:rFonts w:cs="Arial"/>
                <w:color w:val="000000"/>
              </w:rPr>
              <w:t>124</w:t>
            </w:r>
          </w:p>
        </w:tc>
        <w:tc>
          <w:tcPr>
            <w:tcW w:w="1421" w:type="dxa"/>
            <w:vAlign w:val="center"/>
          </w:tcPr>
          <w:p w14:paraId="0EB27B2F" w14:textId="77777777" w:rsidR="003B4F6D" w:rsidRPr="00342CDC" w:rsidRDefault="003B4F6D" w:rsidP="00CB1C82">
            <w:pPr>
              <w:pStyle w:val="Tabletext0"/>
              <w:spacing w:before="0" w:after="0"/>
              <w:rPr>
                <w:rFonts w:cs="Arial"/>
                <w:color w:val="000000"/>
              </w:rPr>
            </w:pPr>
            <w:r w:rsidRPr="00342CDC">
              <w:rPr>
                <w:rFonts w:cs="Arial"/>
                <w:color w:val="000000"/>
              </w:rPr>
              <w:t>142</w:t>
            </w:r>
          </w:p>
        </w:tc>
        <w:tc>
          <w:tcPr>
            <w:tcW w:w="1421" w:type="dxa"/>
            <w:vAlign w:val="center"/>
          </w:tcPr>
          <w:p w14:paraId="702C624F" w14:textId="77777777" w:rsidR="003B4F6D" w:rsidRPr="00342CDC" w:rsidRDefault="003B4F6D" w:rsidP="00CB1C82">
            <w:pPr>
              <w:pStyle w:val="Tabletext0"/>
              <w:spacing w:before="0" w:after="0"/>
              <w:rPr>
                <w:rFonts w:cs="Arial"/>
                <w:color w:val="000000"/>
              </w:rPr>
            </w:pPr>
            <w:r w:rsidRPr="00342CDC">
              <w:rPr>
                <w:rFonts w:cs="Arial"/>
                <w:color w:val="000000"/>
              </w:rPr>
              <w:t>163</w:t>
            </w:r>
          </w:p>
        </w:tc>
        <w:tc>
          <w:tcPr>
            <w:tcW w:w="1457" w:type="dxa"/>
            <w:vAlign w:val="center"/>
          </w:tcPr>
          <w:p w14:paraId="71C45F4A" w14:textId="77777777" w:rsidR="003B4F6D" w:rsidRPr="00342CDC" w:rsidRDefault="003B4F6D" w:rsidP="00CB1C82">
            <w:pPr>
              <w:pStyle w:val="Tabletext0"/>
              <w:spacing w:before="0" w:after="0"/>
              <w:rPr>
                <w:rFonts w:cs="Arial"/>
                <w:color w:val="000000"/>
              </w:rPr>
            </w:pPr>
          </w:p>
        </w:tc>
      </w:tr>
      <w:tr w:rsidR="00A04B3A" w:rsidRPr="00D32939" w14:paraId="21883809" w14:textId="77777777">
        <w:trPr>
          <w:trHeight w:val="288"/>
        </w:trPr>
        <w:tc>
          <w:tcPr>
            <w:tcW w:w="3197" w:type="dxa"/>
            <w:vAlign w:val="center"/>
          </w:tcPr>
          <w:p w14:paraId="35218904" w14:textId="77777777" w:rsidR="003B4F6D" w:rsidRPr="00342CDC" w:rsidRDefault="003B4F6D" w:rsidP="00CB1C82">
            <w:pPr>
              <w:pStyle w:val="Tabletext0"/>
              <w:spacing w:before="0" w:after="0"/>
              <w:rPr>
                <w:rFonts w:cs="Arial"/>
                <w:b/>
                <w:bCs/>
              </w:rPr>
            </w:pPr>
            <w:r w:rsidRPr="00342CDC">
              <w:rPr>
                <w:rFonts w:cs="Arial"/>
                <w:b/>
                <w:bCs/>
              </w:rPr>
              <w:t xml:space="preserve">Number of tests per site </w:t>
            </w:r>
          </w:p>
          <w:p w14:paraId="62922855" w14:textId="77777777" w:rsidR="003B4F6D" w:rsidRPr="00342CDC" w:rsidRDefault="003B4F6D" w:rsidP="00CB1C82">
            <w:pPr>
              <w:pStyle w:val="Tabletext0"/>
              <w:spacing w:before="0" w:after="0"/>
              <w:rPr>
                <w:rFonts w:cs="Arial"/>
              </w:rPr>
            </w:pPr>
            <w:r w:rsidRPr="00342CDC">
              <w:rPr>
                <w:rFonts w:cs="Arial"/>
              </w:rPr>
              <w:t>(20% increase per year)</w:t>
            </w:r>
          </w:p>
        </w:tc>
        <w:tc>
          <w:tcPr>
            <w:tcW w:w="1421" w:type="dxa"/>
            <w:vAlign w:val="center"/>
          </w:tcPr>
          <w:p w14:paraId="1C222278" w14:textId="77777777" w:rsidR="003B4F6D" w:rsidRPr="00342CDC" w:rsidRDefault="003B4F6D" w:rsidP="00CB1C82">
            <w:pPr>
              <w:pStyle w:val="Tabletext0"/>
              <w:spacing w:before="0" w:after="0"/>
              <w:rPr>
                <w:rFonts w:cs="Arial"/>
              </w:rPr>
            </w:pPr>
            <w:r w:rsidRPr="00342CDC">
              <w:rPr>
                <w:rFonts w:cs="Arial"/>
              </w:rPr>
              <w:t>170</w:t>
            </w:r>
          </w:p>
        </w:tc>
        <w:tc>
          <w:tcPr>
            <w:tcW w:w="1421" w:type="dxa"/>
            <w:vAlign w:val="center"/>
          </w:tcPr>
          <w:p w14:paraId="6491040C" w14:textId="77777777" w:rsidR="003B4F6D" w:rsidRPr="00342CDC" w:rsidRDefault="003B4F6D" w:rsidP="00CB1C82">
            <w:pPr>
              <w:pStyle w:val="Tabletext0"/>
              <w:spacing w:before="0" w:after="0"/>
              <w:rPr>
                <w:rFonts w:cs="Arial"/>
              </w:rPr>
            </w:pPr>
            <w:r w:rsidRPr="00342CDC">
              <w:rPr>
                <w:rFonts w:cs="Arial"/>
              </w:rPr>
              <w:t>204</w:t>
            </w:r>
          </w:p>
        </w:tc>
        <w:tc>
          <w:tcPr>
            <w:tcW w:w="1421" w:type="dxa"/>
            <w:vAlign w:val="center"/>
          </w:tcPr>
          <w:p w14:paraId="2A5531E1" w14:textId="77777777" w:rsidR="003B4F6D" w:rsidRPr="00342CDC" w:rsidRDefault="003B4F6D" w:rsidP="00CB1C82">
            <w:pPr>
              <w:pStyle w:val="Tabletext0"/>
              <w:spacing w:before="0" w:after="0"/>
              <w:rPr>
                <w:rFonts w:cs="Arial"/>
                <w:color w:val="000000"/>
              </w:rPr>
            </w:pPr>
            <w:r w:rsidRPr="00342CDC">
              <w:rPr>
                <w:rFonts w:cs="Arial"/>
                <w:color w:val="000000"/>
              </w:rPr>
              <w:t>245</w:t>
            </w:r>
          </w:p>
        </w:tc>
        <w:tc>
          <w:tcPr>
            <w:tcW w:w="1421" w:type="dxa"/>
            <w:vAlign w:val="center"/>
          </w:tcPr>
          <w:p w14:paraId="21673F56" w14:textId="77777777" w:rsidR="003B4F6D" w:rsidRPr="00342CDC" w:rsidRDefault="003B4F6D" w:rsidP="00CB1C82">
            <w:pPr>
              <w:pStyle w:val="Tabletext0"/>
              <w:spacing w:before="0" w:after="0"/>
              <w:rPr>
                <w:rFonts w:cs="Arial"/>
                <w:color w:val="000000"/>
              </w:rPr>
            </w:pPr>
            <w:r w:rsidRPr="00342CDC">
              <w:rPr>
                <w:rFonts w:cs="Arial"/>
                <w:color w:val="000000"/>
              </w:rPr>
              <w:t>294</w:t>
            </w:r>
          </w:p>
        </w:tc>
        <w:tc>
          <w:tcPr>
            <w:tcW w:w="1421" w:type="dxa"/>
            <w:vAlign w:val="center"/>
          </w:tcPr>
          <w:p w14:paraId="10F57B5F" w14:textId="77777777" w:rsidR="003B4F6D" w:rsidRPr="00342CDC" w:rsidRDefault="003B4F6D" w:rsidP="00CB1C82">
            <w:pPr>
              <w:pStyle w:val="Tabletext0"/>
              <w:spacing w:before="0" w:after="0"/>
              <w:rPr>
                <w:rFonts w:cs="Arial"/>
                <w:color w:val="000000"/>
              </w:rPr>
            </w:pPr>
            <w:r w:rsidRPr="00342CDC">
              <w:rPr>
                <w:rFonts w:cs="Arial"/>
                <w:color w:val="000000"/>
              </w:rPr>
              <w:t>353</w:t>
            </w:r>
          </w:p>
        </w:tc>
        <w:tc>
          <w:tcPr>
            <w:tcW w:w="1421" w:type="dxa"/>
            <w:vAlign w:val="center"/>
          </w:tcPr>
          <w:p w14:paraId="348A96AC" w14:textId="77777777" w:rsidR="003B4F6D" w:rsidRPr="00342CDC" w:rsidRDefault="003B4F6D" w:rsidP="00CB1C82">
            <w:pPr>
              <w:pStyle w:val="Tabletext0"/>
              <w:spacing w:before="0" w:after="0"/>
              <w:rPr>
                <w:rFonts w:cs="Arial"/>
                <w:color w:val="000000"/>
              </w:rPr>
            </w:pPr>
            <w:r w:rsidRPr="00342CDC">
              <w:rPr>
                <w:rFonts w:cs="Arial"/>
                <w:color w:val="000000"/>
              </w:rPr>
              <w:t>423</w:t>
            </w:r>
          </w:p>
        </w:tc>
        <w:tc>
          <w:tcPr>
            <w:tcW w:w="1421" w:type="dxa"/>
            <w:vAlign w:val="center"/>
          </w:tcPr>
          <w:p w14:paraId="43C30FF0" w14:textId="77777777" w:rsidR="003B4F6D" w:rsidRPr="00342CDC" w:rsidRDefault="003B4F6D" w:rsidP="00CB1C82">
            <w:pPr>
              <w:pStyle w:val="Tabletext0"/>
              <w:spacing w:before="0" w:after="0"/>
              <w:rPr>
                <w:rFonts w:cs="Arial"/>
                <w:color w:val="000000"/>
              </w:rPr>
            </w:pPr>
            <w:r w:rsidRPr="00342CDC">
              <w:rPr>
                <w:rFonts w:cs="Arial"/>
                <w:color w:val="000000"/>
              </w:rPr>
              <w:t>508</w:t>
            </w:r>
          </w:p>
        </w:tc>
        <w:tc>
          <w:tcPr>
            <w:tcW w:w="1457" w:type="dxa"/>
            <w:vAlign w:val="center"/>
          </w:tcPr>
          <w:p w14:paraId="2D4740A8" w14:textId="77777777" w:rsidR="003B4F6D" w:rsidRPr="00342CDC" w:rsidRDefault="003B4F6D" w:rsidP="00CB1C82">
            <w:pPr>
              <w:pStyle w:val="Tabletext0"/>
              <w:spacing w:before="0" w:after="0"/>
              <w:rPr>
                <w:rFonts w:cs="Arial"/>
                <w:color w:val="000000"/>
              </w:rPr>
            </w:pPr>
          </w:p>
        </w:tc>
      </w:tr>
      <w:tr w:rsidR="00A04B3A" w:rsidRPr="00D32939" w14:paraId="3E61A181" w14:textId="77777777">
        <w:trPr>
          <w:trHeight w:val="288"/>
        </w:trPr>
        <w:tc>
          <w:tcPr>
            <w:tcW w:w="3197" w:type="dxa"/>
            <w:vAlign w:val="center"/>
          </w:tcPr>
          <w:p w14:paraId="01DA844B" w14:textId="77777777" w:rsidR="003B4F6D" w:rsidRPr="00342CDC" w:rsidRDefault="003B4F6D" w:rsidP="00CB1C82">
            <w:pPr>
              <w:pStyle w:val="Tabletext0"/>
              <w:spacing w:before="0" w:after="0"/>
              <w:rPr>
                <w:rFonts w:cs="Arial"/>
              </w:rPr>
            </w:pPr>
            <w:r w:rsidRPr="00342CDC">
              <w:rPr>
                <w:rFonts w:cs="Arial"/>
              </w:rPr>
              <w:t>Total number of tests</w:t>
            </w:r>
          </w:p>
        </w:tc>
        <w:tc>
          <w:tcPr>
            <w:tcW w:w="1421" w:type="dxa"/>
            <w:vAlign w:val="center"/>
          </w:tcPr>
          <w:p w14:paraId="3711EE9D" w14:textId="77777777" w:rsidR="003B4F6D" w:rsidRPr="00342CDC" w:rsidRDefault="003B4F6D" w:rsidP="00CB1C82">
            <w:pPr>
              <w:pStyle w:val="Tabletext0"/>
              <w:spacing w:before="0" w:after="0"/>
              <w:rPr>
                <w:rFonts w:cs="Arial"/>
              </w:rPr>
            </w:pPr>
            <w:r w:rsidRPr="00342CDC">
              <w:rPr>
                <w:rFonts w:cs="Arial"/>
              </w:rPr>
              <w:t>10,540</w:t>
            </w:r>
          </w:p>
        </w:tc>
        <w:tc>
          <w:tcPr>
            <w:tcW w:w="1421" w:type="dxa"/>
            <w:vAlign w:val="center"/>
          </w:tcPr>
          <w:p w14:paraId="45FBCDCF" w14:textId="77777777" w:rsidR="003B4F6D" w:rsidRPr="00342CDC" w:rsidRDefault="003B4F6D" w:rsidP="00CB1C82">
            <w:pPr>
              <w:pStyle w:val="Tabletext0"/>
              <w:spacing w:before="0" w:after="0"/>
              <w:rPr>
                <w:rFonts w:cs="Arial"/>
              </w:rPr>
            </w:pPr>
            <w:r w:rsidRPr="00342CDC">
              <w:rPr>
                <w:rFonts w:cs="Arial"/>
              </w:rPr>
              <w:t>16,728</w:t>
            </w:r>
          </w:p>
        </w:tc>
        <w:tc>
          <w:tcPr>
            <w:tcW w:w="1421" w:type="dxa"/>
            <w:vAlign w:val="center"/>
          </w:tcPr>
          <w:p w14:paraId="681367B2" w14:textId="77777777" w:rsidR="003B4F6D" w:rsidRPr="00342CDC" w:rsidRDefault="003B4F6D" w:rsidP="00CB1C82">
            <w:pPr>
              <w:pStyle w:val="Tabletext0"/>
              <w:spacing w:before="0" w:after="0"/>
              <w:rPr>
                <w:rFonts w:cs="Arial"/>
                <w:color w:val="000000"/>
              </w:rPr>
            </w:pPr>
            <w:r w:rsidRPr="00342CDC">
              <w:rPr>
                <w:rFonts w:cs="Arial"/>
                <w:color w:val="000000"/>
              </w:rPr>
              <w:t>23,011</w:t>
            </w:r>
          </w:p>
        </w:tc>
        <w:tc>
          <w:tcPr>
            <w:tcW w:w="1421" w:type="dxa"/>
            <w:vAlign w:val="center"/>
          </w:tcPr>
          <w:p w14:paraId="4B7E0E46" w14:textId="77777777" w:rsidR="003B4F6D" w:rsidRPr="00342CDC" w:rsidRDefault="003B4F6D" w:rsidP="00CB1C82">
            <w:pPr>
              <w:pStyle w:val="Tabletext0"/>
              <w:spacing w:before="0" w:after="0"/>
              <w:rPr>
                <w:rFonts w:cs="Arial"/>
                <w:color w:val="000000"/>
              </w:rPr>
            </w:pPr>
            <w:r w:rsidRPr="00342CDC">
              <w:rPr>
                <w:rFonts w:cs="Arial"/>
                <w:color w:val="000000"/>
              </w:rPr>
              <w:t>31,726</w:t>
            </w:r>
          </w:p>
        </w:tc>
        <w:tc>
          <w:tcPr>
            <w:tcW w:w="1421" w:type="dxa"/>
            <w:vAlign w:val="center"/>
          </w:tcPr>
          <w:p w14:paraId="3DF681E0" w14:textId="77777777" w:rsidR="003B4F6D" w:rsidRPr="00342CDC" w:rsidRDefault="003B4F6D" w:rsidP="00CB1C82">
            <w:pPr>
              <w:pStyle w:val="Tabletext0"/>
              <w:spacing w:before="0" w:after="0"/>
              <w:rPr>
                <w:rFonts w:cs="Arial"/>
                <w:color w:val="000000"/>
              </w:rPr>
            </w:pPr>
            <w:r w:rsidRPr="00342CDC">
              <w:rPr>
                <w:rFonts w:cs="Arial"/>
                <w:color w:val="000000"/>
              </w:rPr>
              <w:t>43,711</w:t>
            </w:r>
          </w:p>
        </w:tc>
        <w:tc>
          <w:tcPr>
            <w:tcW w:w="1421" w:type="dxa"/>
            <w:vAlign w:val="center"/>
          </w:tcPr>
          <w:p w14:paraId="34E13E2D" w14:textId="77777777" w:rsidR="003B4F6D" w:rsidRPr="00342CDC" w:rsidRDefault="003B4F6D" w:rsidP="00CB1C82">
            <w:pPr>
              <w:pStyle w:val="Tabletext0"/>
              <w:spacing w:before="0" w:after="0"/>
              <w:rPr>
                <w:rFonts w:cs="Arial"/>
                <w:color w:val="000000"/>
                <w:highlight w:val="yellow"/>
              </w:rPr>
            </w:pPr>
            <w:r w:rsidRPr="00342CDC">
              <w:rPr>
                <w:rFonts w:cs="Arial"/>
                <w:color w:val="000000"/>
              </w:rPr>
              <w:t>60,068</w:t>
            </w:r>
          </w:p>
        </w:tc>
        <w:tc>
          <w:tcPr>
            <w:tcW w:w="1421" w:type="dxa"/>
            <w:vAlign w:val="center"/>
          </w:tcPr>
          <w:p w14:paraId="401B08FB" w14:textId="04740EFA" w:rsidR="003B4F6D" w:rsidRPr="00342CDC" w:rsidRDefault="003B4F6D" w:rsidP="00CB1C82">
            <w:pPr>
              <w:pStyle w:val="Tabletext0"/>
              <w:spacing w:before="0" w:after="0"/>
              <w:rPr>
                <w:rFonts w:cs="Arial"/>
                <w:color w:val="000000"/>
              </w:rPr>
            </w:pPr>
            <w:r w:rsidRPr="00342CDC">
              <w:rPr>
                <w:rFonts w:cs="Arial"/>
                <w:color w:val="000000"/>
              </w:rPr>
              <w:t>82,742</w:t>
            </w:r>
          </w:p>
        </w:tc>
        <w:tc>
          <w:tcPr>
            <w:tcW w:w="1457" w:type="dxa"/>
            <w:vAlign w:val="center"/>
          </w:tcPr>
          <w:p w14:paraId="68346DB5" w14:textId="77777777" w:rsidR="003B4F6D" w:rsidRPr="00342CDC" w:rsidRDefault="003B4F6D" w:rsidP="00CB1C82">
            <w:pPr>
              <w:pStyle w:val="Tabletext0"/>
              <w:spacing w:before="0" w:after="0"/>
              <w:rPr>
                <w:rFonts w:cs="Arial"/>
                <w:color w:val="000000"/>
              </w:rPr>
            </w:pPr>
          </w:p>
        </w:tc>
      </w:tr>
      <w:tr w:rsidR="00A30ED5" w:rsidRPr="00D32939" w14:paraId="3DB21F97" w14:textId="77777777">
        <w:trPr>
          <w:trHeight w:val="213"/>
        </w:trPr>
        <w:tc>
          <w:tcPr>
            <w:tcW w:w="3197" w:type="dxa"/>
            <w:vAlign w:val="center"/>
          </w:tcPr>
          <w:p w14:paraId="427DA928" w14:textId="7F4AAB03" w:rsidR="003B4F6D" w:rsidRPr="00342CDC" w:rsidRDefault="003B4F6D" w:rsidP="00CB1C82">
            <w:pPr>
              <w:pStyle w:val="Tabletext0"/>
              <w:spacing w:before="0" w:after="0"/>
              <w:rPr>
                <w:rFonts w:cs="Arial"/>
              </w:rPr>
            </w:pPr>
            <w:r w:rsidRPr="00342CDC">
              <w:rPr>
                <w:rFonts w:cs="Arial"/>
              </w:rPr>
              <w:t>Cost for P</w:t>
            </w:r>
            <w:r w:rsidR="005F3C61">
              <w:rPr>
                <w:rFonts w:cs="Arial"/>
              </w:rPr>
              <w:t>o</w:t>
            </w:r>
            <w:r w:rsidRPr="00342CDC">
              <w:rPr>
                <w:rFonts w:cs="Arial"/>
              </w:rPr>
              <w:t>CT CT/NG microbiology item</w:t>
            </w:r>
            <w:r w:rsidRPr="00342CDC">
              <w:rPr>
                <w:rFonts w:cs="Arial"/>
                <w:vertAlign w:val="superscript"/>
              </w:rPr>
              <w:t>a</w:t>
            </w:r>
          </w:p>
        </w:tc>
        <w:tc>
          <w:tcPr>
            <w:tcW w:w="1421" w:type="dxa"/>
            <w:vAlign w:val="center"/>
          </w:tcPr>
          <w:p w14:paraId="69CF2E75" w14:textId="6A86A613"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363,630</w:t>
            </w:r>
          </w:p>
        </w:tc>
        <w:tc>
          <w:tcPr>
            <w:tcW w:w="1421" w:type="dxa"/>
            <w:vAlign w:val="center"/>
          </w:tcPr>
          <w:p w14:paraId="4C3630EB" w14:textId="25AA0BD5" w:rsidR="003B4F6D" w:rsidRPr="00342CDC" w:rsidRDefault="002A447D" w:rsidP="00CB1C82">
            <w:pPr>
              <w:pStyle w:val="Tabletext0"/>
              <w:spacing w:before="0" w:after="0"/>
              <w:rPr>
                <w:rFonts w:cs="Arial"/>
              </w:rPr>
            </w:pPr>
            <w:r>
              <w:rPr>
                <w:rFonts w:cs="Arial"/>
                <w:color w:val="000000"/>
              </w:rPr>
              <w:t>$</w:t>
            </w:r>
            <w:r w:rsidR="003B4F6D" w:rsidRPr="00342CDC">
              <w:rPr>
                <w:rFonts w:cs="Arial"/>
                <w:color w:val="000000"/>
              </w:rPr>
              <w:t>577,116</w:t>
            </w:r>
          </w:p>
        </w:tc>
        <w:tc>
          <w:tcPr>
            <w:tcW w:w="1421" w:type="dxa"/>
            <w:vAlign w:val="center"/>
          </w:tcPr>
          <w:p w14:paraId="55FF8F38" w14:textId="526FA2C9" w:rsidR="003B4F6D" w:rsidRPr="00342CDC" w:rsidRDefault="00F82BBC" w:rsidP="00CB1C82">
            <w:pPr>
              <w:pStyle w:val="Tabletext0"/>
              <w:spacing w:before="0" w:after="0"/>
              <w:rPr>
                <w:rFonts w:cs="Arial"/>
                <w:highlight w:val="yellow"/>
              </w:rPr>
            </w:pPr>
            <w:r>
              <w:rPr>
                <w:rFonts w:cs="Arial"/>
                <w:color w:val="000000"/>
              </w:rPr>
              <w:t>$</w:t>
            </w:r>
            <w:r w:rsidR="003B4F6D" w:rsidRPr="00342CDC">
              <w:rPr>
                <w:rFonts w:cs="Arial"/>
                <w:color w:val="000000"/>
              </w:rPr>
              <w:t>793,886</w:t>
            </w:r>
          </w:p>
        </w:tc>
        <w:tc>
          <w:tcPr>
            <w:tcW w:w="1421" w:type="dxa"/>
            <w:vAlign w:val="center"/>
          </w:tcPr>
          <w:p w14:paraId="48264E1B" w14:textId="45052D29" w:rsidR="003B4F6D" w:rsidRPr="00342CDC" w:rsidRDefault="00F82BBC" w:rsidP="00CB1C82">
            <w:pPr>
              <w:pStyle w:val="Tabletext0"/>
              <w:spacing w:before="0" w:after="0"/>
              <w:rPr>
                <w:rFonts w:cs="Arial"/>
                <w:highlight w:val="yellow"/>
              </w:rPr>
            </w:pPr>
            <w:r>
              <w:rPr>
                <w:rFonts w:cs="Arial"/>
                <w:color w:val="000000"/>
              </w:rPr>
              <w:t>$</w:t>
            </w:r>
            <w:r w:rsidR="003B4F6D" w:rsidRPr="00342CDC">
              <w:rPr>
                <w:rFonts w:cs="Arial"/>
                <w:color w:val="000000"/>
              </w:rPr>
              <w:t>1,094,550</w:t>
            </w:r>
          </w:p>
        </w:tc>
        <w:tc>
          <w:tcPr>
            <w:tcW w:w="1421" w:type="dxa"/>
            <w:vAlign w:val="center"/>
          </w:tcPr>
          <w:p w14:paraId="008F37D5" w14:textId="77777777" w:rsidR="003B4F6D" w:rsidRPr="00342CDC" w:rsidRDefault="003B4F6D" w:rsidP="00CB1C82">
            <w:pPr>
              <w:pStyle w:val="Tabletext0"/>
              <w:spacing w:before="0" w:after="0"/>
              <w:rPr>
                <w:rFonts w:cs="Arial"/>
                <w:highlight w:val="yellow"/>
              </w:rPr>
            </w:pPr>
            <w:r w:rsidRPr="00342CDC">
              <w:rPr>
                <w:rFonts w:cs="Arial"/>
                <w:color w:val="000000"/>
              </w:rPr>
              <w:t>1,508,046</w:t>
            </w:r>
          </w:p>
        </w:tc>
        <w:tc>
          <w:tcPr>
            <w:tcW w:w="1421" w:type="dxa"/>
            <w:vAlign w:val="center"/>
          </w:tcPr>
          <w:p w14:paraId="115D8793" w14:textId="3EE7AA82" w:rsidR="003B4F6D" w:rsidRPr="00342CDC" w:rsidRDefault="00F82BBC" w:rsidP="00CB1C82">
            <w:pPr>
              <w:pStyle w:val="Tabletext0"/>
              <w:spacing w:before="0" w:after="0"/>
              <w:rPr>
                <w:rFonts w:cs="Arial"/>
                <w:highlight w:val="yellow"/>
              </w:rPr>
            </w:pPr>
            <w:r>
              <w:rPr>
                <w:rFonts w:cs="Arial"/>
                <w:color w:val="000000"/>
              </w:rPr>
              <w:t>$</w:t>
            </w:r>
            <w:r w:rsidR="003B4F6D" w:rsidRPr="00342CDC">
              <w:rPr>
                <w:rFonts w:cs="Arial"/>
                <w:color w:val="000000"/>
              </w:rPr>
              <w:t>2,072,348</w:t>
            </w:r>
          </w:p>
        </w:tc>
        <w:tc>
          <w:tcPr>
            <w:tcW w:w="1421" w:type="dxa"/>
            <w:vAlign w:val="center"/>
          </w:tcPr>
          <w:p w14:paraId="4C26D7C9" w14:textId="2253A064" w:rsidR="003B4F6D" w:rsidRPr="00342CDC" w:rsidRDefault="00C27EE4" w:rsidP="00CB1C82">
            <w:pPr>
              <w:pStyle w:val="Tabletext0"/>
              <w:spacing w:before="0" w:after="0"/>
              <w:rPr>
                <w:rFonts w:cs="Arial"/>
                <w:color w:val="000000"/>
                <w:highlight w:val="yellow"/>
              </w:rPr>
            </w:pPr>
            <w:r>
              <w:rPr>
                <w:rFonts w:cs="Arial"/>
                <w:color w:val="000000"/>
              </w:rPr>
              <w:t>$</w:t>
            </w:r>
            <w:r w:rsidR="003B4F6D" w:rsidRPr="00342CDC">
              <w:rPr>
                <w:rFonts w:cs="Arial"/>
                <w:color w:val="000000"/>
              </w:rPr>
              <w:t>2,854,586</w:t>
            </w:r>
          </w:p>
        </w:tc>
        <w:tc>
          <w:tcPr>
            <w:tcW w:w="1457" w:type="dxa"/>
            <w:vAlign w:val="bottom"/>
          </w:tcPr>
          <w:p w14:paraId="09312702" w14:textId="146C9219" w:rsidR="003B4F6D" w:rsidRPr="00342CDC" w:rsidRDefault="00C27EE4" w:rsidP="00CB1C82">
            <w:pPr>
              <w:pStyle w:val="Tabletext0"/>
              <w:spacing w:before="0" w:after="0"/>
              <w:rPr>
                <w:rFonts w:cs="Arial"/>
                <w:highlight w:val="yellow"/>
              </w:rPr>
            </w:pPr>
            <w:r>
              <w:rPr>
                <w:rFonts w:cs="Arial"/>
              </w:rPr>
              <w:t>$</w:t>
            </w:r>
            <w:r w:rsidR="003B4F6D" w:rsidRPr="00342CDC">
              <w:rPr>
                <w:rFonts w:cs="Arial"/>
              </w:rPr>
              <w:t xml:space="preserve">6,045,946 </w:t>
            </w:r>
          </w:p>
        </w:tc>
      </w:tr>
      <w:tr w:rsidR="00A30ED5" w:rsidRPr="00D32939" w14:paraId="76A794CC" w14:textId="77777777">
        <w:trPr>
          <w:trHeight w:val="426"/>
        </w:trPr>
        <w:tc>
          <w:tcPr>
            <w:tcW w:w="3197" w:type="dxa"/>
            <w:vAlign w:val="center"/>
          </w:tcPr>
          <w:p w14:paraId="7572AF9B" w14:textId="1B07CEF6" w:rsidR="003B4F6D" w:rsidRPr="00342CDC" w:rsidRDefault="003B4F6D" w:rsidP="00CB1C82">
            <w:pPr>
              <w:pStyle w:val="Tabletext0"/>
              <w:spacing w:before="0" w:after="0"/>
              <w:jc w:val="left"/>
              <w:rPr>
                <w:rFonts w:cs="Arial"/>
              </w:rPr>
            </w:pPr>
            <w:r w:rsidRPr="00342CDC">
              <w:rPr>
                <w:rFonts w:cs="Arial"/>
              </w:rPr>
              <w:t>Cost for P</w:t>
            </w:r>
            <w:r w:rsidR="005F3C61">
              <w:rPr>
                <w:rFonts w:cs="Arial"/>
              </w:rPr>
              <w:t>o</w:t>
            </w:r>
            <w:r w:rsidRPr="00342CDC">
              <w:rPr>
                <w:rFonts w:cs="Arial"/>
              </w:rPr>
              <w:t>C</w:t>
            </w:r>
            <w:r w:rsidR="005F3C61">
              <w:rPr>
                <w:rFonts w:cs="Arial"/>
              </w:rPr>
              <w:t>T</w:t>
            </w:r>
            <w:r w:rsidRPr="00342CDC">
              <w:rPr>
                <w:rFonts w:cs="Arial"/>
              </w:rPr>
              <w:t xml:space="preserve"> CT/NG miscellaneous item</w:t>
            </w:r>
            <w:r w:rsidRPr="00342CDC">
              <w:rPr>
                <w:rFonts w:cs="Arial"/>
                <w:vertAlign w:val="superscript"/>
              </w:rPr>
              <w:t>a</w:t>
            </w:r>
          </w:p>
        </w:tc>
        <w:tc>
          <w:tcPr>
            <w:tcW w:w="1421" w:type="dxa"/>
            <w:vAlign w:val="center"/>
          </w:tcPr>
          <w:p w14:paraId="4BC7BFA6" w14:textId="4A9E1BB7"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590,240</w:t>
            </w:r>
          </w:p>
        </w:tc>
        <w:tc>
          <w:tcPr>
            <w:tcW w:w="1421" w:type="dxa"/>
            <w:vAlign w:val="center"/>
          </w:tcPr>
          <w:p w14:paraId="49102456" w14:textId="292945FF" w:rsidR="003B4F6D" w:rsidRPr="00342CDC" w:rsidRDefault="002A447D" w:rsidP="00CB1C82">
            <w:pPr>
              <w:pStyle w:val="Tabletext0"/>
              <w:spacing w:before="0" w:after="0"/>
              <w:rPr>
                <w:rFonts w:cs="Arial"/>
              </w:rPr>
            </w:pPr>
            <w:r>
              <w:rPr>
                <w:rFonts w:cs="Arial"/>
                <w:color w:val="000000"/>
              </w:rPr>
              <w:t>$</w:t>
            </w:r>
            <w:r w:rsidR="003B4F6D" w:rsidRPr="00342CDC">
              <w:rPr>
                <w:rFonts w:cs="Arial"/>
                <w:color w:val="000000"/>
              </w:rPr>
              <w:t>936,768</w:t>
            </w:r>
          </w:p>
        </w:tc>
        <w:tc>
          <w:tcPr>
            <w:tcW w:w="1421" w:type="dxa"/>
            <w:vAlign w:val="center"/>
          </w:tcPr>
          <w:p w14:paraId="0B4ED9B4" w14:textId="134D746A"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1,288,627</w:t>
            </w:r>
          </w:p>
        </w:tc>
        <w:tc>
          <w:tcPr>
            <w:tcW w:w="1421" w:type="dxa"/>
            <w:vAlign w:val="center"/>
          </w:tcPr>
          <w:p w14:paraId="6B02756D" w14:textId="70BF030B"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1,776,660</w:t>
            </w:r>
          </w:p>
        </w:tc>
        <w:tc>
          <w:tcPr>
            <w:tcW w:w="1421" w:type="dxa"/>
            <w:vAlign w:val="center"/>
          </w:tcPr>
          <w:p w14:paraId="585FC8CA" w14:textId="77777777" w:rsidR="003B4F6D" w:rsidRPr="00342CDC" w:rsidRDefault="003B4F6D" w:rsidP="00CB1C82">
            <w:pPr>
              <w:pStyle w:val="Tabletext0"/>
              <w:spacing w:before="0" w:after="0"/>
              <w:rPr>
                <w:rFonts w:cs="Arial"/>
              </w:rPr>
            </w:pPr>
            <w:r w:rsidRPr="00342CDC">
              <w:rPr>
                <w:rFonts w:cs="Arial"/>
                <w:color w:val="000000"/>
              </w:rPr>
              <w:t>2,447,843</w:t>
            </w:r>
          </w:p>
        </w:tc>
        <w:tc>
          <w:tcPr>
            <w:tcW w:w="1421" w:type="dxa"/>
            <w:vAlign w:val="center"/>
          </w:tcPr>
          <w:p w14:paraId="6DA6C053" w14:textId="56DE90E6"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3,363,811</w:t>
            </w:r>
          </w:p>
        </w:tc>
        <w:tc>
          <w:tcPr>
            <w:tcW w:w="1421" w:type="dxa"/>
            <w:vAlign w:val="center"/>
          </w:tcPr>
          <w:p w14:paraId="312D3347" w14:textId="037413C9" w:rsidR="003B4F6D" w:rsidRPr="00342CDC" w:rsidRDefault="00C27EE4" w:rsidP="00CB1C82">
            <w:pPr>
              <w:pStyle w:val="Tabletext0"/>
              <w:spacing w:before="0" w:after="0"/>
              <w:rPr>
                <w:rFonts w:cs="Arial"/>
                <w:color w:val="000000"/>
              </w:rPr>
            </w:pPr>
            <w:r>
              <w:rPr>
                <w:rFonts w:cs="Arial"/>
                <w:color w:val="000000"/>
              </w:rPr>
              <w:t>$</w:t>
            </w:r>
            <w:r w:rsidR="003B4F6D" w:rsidRPr="00342CDC">
              <w:rPr>
                <w:rFonts w:cs="Arial"/>
                <w:color w:val="000000"/>
              </w:rPr>
              <w:t>4,633,531</w:t>
            </w:r>
          </w:p>
        </w:tc>
        <w:tc>
          <w:tcPr>
            <w:tcW w:w="1457" w:type="dxa"/>
            <w:vAlign w:val="bottom"/>
          </w:tcPr>
          <w:p w14:paraId="2E14FFD7" w14:textId="16020294" w:rsidR="003B4F6D" w:rsidRPr="00342CDC" w:rsidRDefault="00C27EE4" w:rsidP="00CB1C82">
            <w:pPr>
              <w:pStyle w:val="Tabletext0"/>
              <w:spacing w:before="0" w:after="0"/>
              <w:rPr>
                <w:rFonts w:cs="Arial"/>
              </w:rPr>
            </w:pPr>
            <w:r>
              <w:rPr>
                <w:rFonts w:cs="Arial"/>
              </w:rPr>
              <w:t>$</w:t>
            </w:r>
            <w:r w:rsidR="003B4F6D" w:rsidRPr="00342CDC">
              <w:rPr>
                <w:rFonts w:cs="Arial"/>
              </w:rPr>
              <w:t xml:space="preserve">9,813,710 </w:t>
            </w:r>
          </w:p>
        </w:tc>
      </w:tr>
      <w:tr w:rsidR="00A30ED5" w:rsidRPr="00D32939" w14:paraId="107B468A" w14:textId="77777777">
        <w:trPr>
          <w:trHeight w:val="213"/>
        </w:trPr>
        <w:tc>
          <w:tcPr>
            <w:tcW w:w="3197" w:type="dxa"/>
            <w:vAlign w:val="center"/>
          </w:tcPr>
          <w:p w14:paraId="16045112" w14:textId="369BFD6A" w:rsidR="003B4F6D" w:rsidRPr="00342CDC" w:rsidRDefault="003B4F6D" w:rsidP="00CB1C82">
            <w:pPr>
              <w:pStyle w:val="Tabletext0"/>
              <w:spacing w:before="0" w:after="0"/>
              <w:rPr>
                <w:rFonts w:cs="Arial"/>
              </w:rPr>
            </w:pPr>
            <w:r w:rsidRPr="00342CDC">
              <w:rPr>
                <w:rFonts w:cs="Arial"/>
              </w:rPr>
              <w:t>Cost for P</w:t>
            </w:r>
            <w:r w:rsidR="005F3C61">
              <w:rPr>
                <w:rFonts w:cs="Arial"/>
              </w:rPr>
              <w:t>o</w:t>
            </w:r>
            <w:r w:rsidRPr="00342CDC">
              <w:rPr>
                <w:rFonts w:cs="Arial"/>
              </w:rPr>
              <w:t>C</w:t>
            </w:r>
            <w:r w:rsidR="005F3C61">
              <w:rPr>
                <w:rFonts w:cs="Arial"/>
              </w:rPr>
              <w:t>T</w:t>
            </w:r>
            <w:r w:rsidRPr="00342CDC">
              <w:rPr>
                <w:rFonts w:cs="Arial"/>
              </w:rPr>
              <w:t xml:space="preserve"> TV microbiology item</w:t>
            </w:r>
            <w:r w:rsidRPr="00342CDC">
              <w:rPr>
                <w:rFonts w:cs="Arial"/>
                <w:vertAlign w:val="superscript"/>
              </w:rPr>
              <w:t>b</w:t>
            </w:r>
          </w:p>
        </w:tc>
        <w:tc>
          <w:tcPr>
            <w:tcW w:w="1421" w:type="dxa"/>
            <w:vAlign w:val="center"/>
          </w:tcPr>
          <w:p w14:paraId="3EA6D5DD" w14:textId="2E9A1C24"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363,630</w:t>
            </w:r>
          </w:p>
        </w:tc>
        <w:tc>
          <w:tcPr>
            <w:tcW w:w="1421" w:type="dxa"/>
            <w:vAlign w:val="center"/>
          </w:tcPr>
          <w:p w14:paraId="21674D36" w14:textId="543C7D95" w:rsidR="003B4F6D" w:rsidRPr="00342CDC" w:rsidRDefault="002A447D" w:rsidP="00CB1C82">
            <w:pPr>
              <w:pStyle w:val="Tabletext0"/>
              <w:spacing w:before="0" w:after="0"/>
              <w:rPr>
                <w:rFonts w:cs="Arial"/>
              </w:rPr>
            </w:pPr>
            <w:r>
              <w:rPr>
                <w:rFonts w:cs="Arial"/>
                <w:color w:val="000000"/>
              </w:rPr>
              <w:t>$</w:t>
            </w:r>
            <w:r w:rsidR="003B4F6D" w:rsidRPr="00342CDC">
              <w:rPr>
                <w:rFonts w:cs="Arial"/>
                <w:color w:val="000000"/>
              </w:rPr>
              <w:t>577,116</w:t>
            </w:r>
          </w:p>
        </w:tc>
        <w:tc>
          <w:tcPr>
            <w:tcW w:w="1421" w:type="dxa"/>
            <w:vAlign w:val="center"/>
          </w:tcPr>
          <w:p w14:paraId="1309E6DD" w14:textId="6D5B827C"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793,886</w:t>
            </w:r>
          </w:p>
        </w:tc>
        <w:tc>
          <w:tcPr>
            <w:tcW w:w="1421" w:type="dxa"/>
            <w:vAlign w:val="center"/>
          </w:tcPr>
          <w:p w14:paraId="7DEA6261" w14:textId="234434F0"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1,094,550</w:t>
            </w:r>
          </w:p>
        </w:tc>
        <w:tc>
          <w:tcPr>
            <w:tcW w:w="1421" w:type="dxa"/>
            <w:vAlign w:val="center"/>
          </w:tcPr>
          <w:p w14:paraId="23CD28FD" w14:textId="77777777" w:rsidR="003B4F6D" w:rsidRPr="00342CDC" w:rsidRDefault="003B4F6D" w:rsidP="00CB1C82">
            <w:pPr>
              <w:pStyle w:val="Tabletext0"/>
              <w:spacing w:before="0" w:after="0"/>
              <w:rPr>
                <w:rFonts w:cs="Arial"/>
              </w:rPr>
            </w:pPr>
            <w:r w:rsidRPr="00342CDC">
              <w:rPr>
                <w:rFonts w:cs="Arial"/>
                <w:color w:val="000000"/>
              </w:rPr>
              <w:t>1,508,046</w:t>
            </w:r>
          </w:p>
        </w:tc>
        <w:tc>
          <w:tcPr>
            <w:tcW w:w="1421" w:type="dxa"/>
            <w:vAlign w:val="center"/>
          </w:tcPr>
          <w:p w14:paraId="10AA2E3B" w14:textId="506269D0"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2,072,348</w:t>
            </w:r>
          </w:p>
        </w:tc>
        <w:tc>
          <w:tcPr>
            <w:tcW w:w="1421" w:type="dxa"/>
            <w:vAlign w:val="center"/>
          </w:tcPr>
          <w:p w14:paraId="6BBC4960" w14:textId="3F7631CB" w:rsidR="003B4F6D" w:rsidRPr="00342CDC" w:rsidRDefault="00C27EE4" w:rsidP="00CB1C82">
            <w:pPr>
              <w:pStyle w:val="Tabletext0"/>
              <w:spacing w:before="0" w:after="0"/>
              <w:rPr>
                <w:rFonts w:cs="Arial"/>
                <w:color w:val="000000"/>
              </w:rPr>
            </w:pPr>
            <w:r>
              <w:rPr>
                <w:rFonts w:cs="Arial"/>
                <w:color w:val="000000"/>
              </w:rPr>
              <w:t>$</w:t>
            </w:r>
            <w:r w:rsidR="003B4F6D" w:rsidRPr="00342CDC">
              <w:rPr>
                <w:rFonts w:cs="Arial"/>
                <w:color w:val="000000"/>
              </w:rPr>
              <w:t>2,854,586</w:t>
            </w:r>
          </w:p>
        </w:tc>
        <w:tc>
          <w:tcPr>
            <w:tcW w:w="1457" w:type="dxa"/>
            <w:vAlign w:val="bottom"/>
          </w:tcPr>
          <w:p w14:paraId="3157CDB4" w14:textId="7C1F6754" w:rsidR="003B4F6D" w:rsidRPr="00342CDC" w:rsidRDefault="003B4F6D" w:rsidP="00CB1C82">
            <w:pPr>
              <w:pStyle w:val="Tabletext0"/>
              <w:spacing w:before="0" w:after="0"/>
              <w:rPr>
                <w:rFonts w:cs="Arial"/>
              </w:rPr>
            </w:pPr>
            <w:r w:rsidRPr="00342CDC">
              <w:rPr>
                <w:rFonts w:cs="Arial"/>
              </w:rPr>
              <w:t xml:space="preserve"> </w:t>
            </w:r>
            <w:r w:rsidR="00C27EE4">
              <w:rPr>
                <w:rFonts w:cs="Arial"/>
              </w:rPr>
              <w:t>$</w:t>
            </w:r>
            <w:r w:rsidRPr="00342CDC">
              <w:rPr>
                <w:rFonts w:cs="Arial"/>
              </w:rPr>
              <w:t xml:space="preserve">6,045,946 </w:t>
            </w:r>
          </w:p>
        </w:tc>
      </w:tr>
      <w:tr w:rsidR="00A30ED5" w:rsidRPr="00D32939" w14:paraId="78A773C5" w14:textId="77777777">
        <w:trPr>
          <w:trHeight w:val="197"/>
        </w:trPr>
        <w:tc>
          <w:tcPr>
            <w:tcW w:w="3197" w:type="dxa"/>
            <w:vAlign w:val="center"/>
          </w:tcPr>
          <w:p w14:paraId="644DCEEF" w14:textId="26FFDF89" w:rsidR="003B4F6D" w:rsidRPr="00342CDC" w:rsidRDefault="003B4F6D" w:rsidP="00CB1C82">
            <w:pPr>
              <w:pStyle w:val="Tabletext0"/>
              <w:spacing w:before="0" w:after="0"/>
              <w:rPr>
                <w:rFonts w:cs="Arial"/>
              </w:rPr>
            </w:pPr>
            <w:r w:rsidRPr="00342CDC">
              <w:rPr>
                <w:rFonts w:cs="Arial"/>
              </w:rPr>
              <w:t>Cost for P</w:t>
            </w:r>
            <w:r w:rsidR="005F3C61">
              <w:rPr>
                <w:rFonts w:cs="Arial"/>
              </w:rPr>
              <w:t>o</w:t>
            </w:r>
            <w:r w:rsidRPr="00342CDC">
              <w:rPr>
                <w:rFonts w:cs="Arial"/>
              </w:rPr>
              <w:t>C</w:t>
            </w:r>
            <w:r w:rsidR="005F3C61">
              <w:rPr>
                <w:rFonts w:cs="Arial"/>
              </w:rPr>
              <w:t>T</w:t>
            </w:r>
            <w:r w:rsidRPr="00342CDC">
              <w:rPr>
                <w:rFonts w:cs="Arial"/>
              </w:rPr>
              <w:t xml:space="preserve"> TV miscellaneous item</w:t>
            </w:r>
            <w:r w:rsidRPr="00342CDC">
              <w:rPr>
                <w:rFonts w:cs="Arial"/>
                <w:vertAlign w:val="superscript"/>
              </w:rPr>
              <w:t>b</w:t>
            </w:r>
          </w:p>
        </w:tc>
        <w:tc>
          <w:tcPr>
            <w:tcW w:w="1421" w:type="dxa"/>
            <w:vAlign w:val="center"/>
          </w:tcPr>
          <w:p w14:paraId="18088683" w14:textId="693650B1"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590,240</w:t>
            </w:r>
          </w:p>
        </w:tc>
        <w:tc>
          <w:tcPr>
            <w:tcW w:w="1421" w:type="dxa"/>
            <w:vAlign w:val="center"/>
          </w:tcPr>
          <w:p w14:paraId="1A1D0158" w14:textId="629B1D2D" w:rsidR="003B4F6D" w:rsidRPr="00342CDC" w:rsidRDefault="002A447D" w:rsidP="00CB1C82">
            <w:pPr>
              <w:pStyle w:val="Tabletext0"/>
              <w:spacing w:before="0" w:after="0"/>
              <w:rPr>
                <w:rFonts w:cs="Arial"/>
              </w:rPr>
            </w:pPr>
            <w:r>
              <w:rPr>
                <w:rFonts w:cs="Arial"/>
                <w:color w:val="000000"/>
              </w:rPr>
              <w:t>$</w:t>
            </w:r>
            <w:r w:rsidR="003B4F6D" w:rsidRPr="00342CDC">
              <w:rPr>
                <w:rFonts w:cs="Arial"/>
                <w:color w:val="000000"/>
              </w:rPr>
              <w:t>936,768</w:t>
            </w:r>
          </w:p>
        </w:tc>
        <w:tc>
          <w:tcPr>
            <w:tcW w:w="1421" w:type="dxa"/>
            <w:vAlign w:val="center"/>
          </w:tcPr>
          <w:p w14:paraId="65C957D2" w14:textId="1F305406"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1,288,627</w:t>
            </w:r>
          </w:p>
        </w:tc>
        <w:tc>
          <w:tcPr>
            <w:tcW w:w="1421" w:type="dxa"/>
            <w:vAlign w:val="center"/>
          </w:tcPr>
          <w:p w14:paraId="783AFEBC" w14:textId="0AAF9E07"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1,776,660</w:t>
            </w:r>
          </w:p>
        </w:tc>
        <w:tc>
          <w:tcPr>
            <w:tcW w:w="1421" w:type="dxa"/>
            <w:vAlign w:val="center"/>
          </w:tcPr>
          <w:p w14:paraId="0A4B5E46" w14:textId="77777777" w:rsidR="003B4F6D" w:rsidRPr="00342CDC" w:rsidRDefault="003B4F6D" w:rsidP="00CB1C82">
            <w:pPr>
              <w:pStyle w:val="Tabletext0"/>
              <w:spacing w:before="0" w:after="0"/>
              <w:rPr>
                <w:rFonts w:cs="Arial"/>
              </w:rPr>
            </w:pPr>
            <w:r w:rsidRPr="00342CDC">
              <w:rPr>
                <w:rFonts w:cs="Arial"/>
                <w:color w:val="000000"/>
              </w:rPr>
              <w:t>2,447,843</w:t>
            </w:r>
          </w:p>
        </w:tc>
        <w:tc>
          <w:tcPr>
            <w:tcW w:w="1421" w:type="dxa"/>
            <w:vAlign w:val="center"/>
          </w:tcPr>
          <w:p w14:paraId="086C4D2B" w14:textId="32E9BF6B"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3,363,811</w:t>
            </w:r>
          </w:p>
        </w:tc>
        <w:tc>
          <w:tcPr>
            <w:tcW w:w="1421" w:type="dxa"/>
            <w:vAlign w:val="center"/>
          </w:tcPr>
          <w:p w14:paraId="3DD924C4" w14:textId="7DB773F8" w:rsidR="003B4F6D" w:rsidRPr="00342CDC" w:rsidRDefault="00C27EE4" w:rsidP="00CB1C82">
            <w:pPr>
              <w:pStyle w:val="Tabletext0"/>
              <w:spacing w:before="0" w:after="0"/>
              <w:rPr>
                <w:rFonts w:cs="Arial"/>
                <w:color w:val="000000"/>
              </w:rPr>
            </w:pPr>
            <w:r>
              <w:rPr>
                <w:rFonts w:cs="Arial"/>
                <w:color w:val="000000"/>
              </w:rPr>
              <w:t>$</w:t>
            </w:r>
            <w:r w:rsidR="003B4F6D" w:rsidRPr="00342CDC">
              <w:rPr>
                <w:rFonts w:cs="Arial"/>
                <w:color w:val="000000"/>
              </w:rPr>
              <w:t>4,633,531</w:t>
            </w:r>
          </w:p>
        </w:tc>
        <w:tc>
          <w:tcPr>
            <w:tcW w:w="1457" w:type="dxa"/>
            <w:vAlign w:val="bottom"/>
          </w:tcPr>
          <w:p w14:paraId="4E644B3E" w14:textId="2C972C9A" w:rsidR="003B4F6D" w:rsidRPr="00342CDC" w:rsidRDefault="003B4F6D" w:rsidP="00CB1C82">
            <w:pPr>
              <w:pStyle w:val="Tabletext0"/>
              <w:spacing w:before="0" w:after="0"/>
              <w:rPr>
                <w:rFonts w:cs="Arial"/>
              </w:rPr>
            </w:pPr>
            <w:r w:rsidRPr="00342CDC">
              <w:rPr>
                <w:rFonts w:cs="Arial"/>
              </w:rPr>
              <w:t xml:space="preserve"> </w:t>
            </w:r>
            <w:r w:rsidR="00C27EE4">
              <w:rPr>
                <w:rFonts w:cs="Arial"/>
              </w:rPr>
              <w:t>$</w:t>
            </w:r>
            <w:r w:rsidRPr="00342CDC">
              <w:rPr>
                <w:rFonts w:cs="Arial"/>
              </w:rPr>
              <w:t xml:space="preserve">9,813,710 </w:t>
            </w:r>
          </w:p>
        </w:tc>
      </w:tr>
      <w:tr w:rsidR="00443E7D" w:rsidRPr="00D32939" w14:paraId="59DBE914" w14:textId="77777777">
        <w:trPr>
          <w:trHeight w:val="213"/>
        </w:trPr>
        <w:tc>
          <w:tcPr>
            <w:tcW w:w="3197" w:type="dxa"/>
            <w:vAlign w:val="center"/>
          </w:tcPr>
          <w:p w14:paraId="4B113C22" w14:textId="4223616D" w:rsidR="003B4F6D" w:rsidRPr="00342CDC" w:rsidRDefault="003B4F6D" w:rsidP="00CB1C82">
            <w:pPr>
              <w:pStyle w:val="Tabletext0"/>
              <w:spacing w:before="0" w:after="0"/>
              <w:rPr>
                <w:rFonts w:cs="Arial"/>
                <w:b/>
                <w:bCs/>
              </w:rPr>
            </w:pPr>
            <w:r w:rsidRPr="00342CDC">
              <w:rPr>
                <w:rFonts w:cs="Arial"/>
                <w:b/>
                <w:bCs/>
              </w:rPr>
              <w:t>Total cost MBS proposed P</w:t>
            </w:r>
            <w:r w:rsidR="004158AD">
              <w:rPr>
                <w:rFonts w:cs="Arial"/>
                <w:b/>
                <w:bCs/>
              </w:rPr>
              <w:t>o</w:t>
            </w:r>
            <w:r w:rsidRPr="00342CDC">
              <w:rPr>
                <w:rFonts w:cs="Arial"/>
                <w:b/>
                <w:bCs/>
              </w:rPr>
              <w:t>C tests</w:t>
            </w:r>
          </w:p>
        </w:tc>
        <w:tc>
          <w:tcPr>
            <w:tcW w:w="1421" w:type="dxa"/>
            <w:shd w:val="clear" w:color="auto" w:fill="auto"/>
            <w:vAlign w:val="center"/>
          </w:tcPr>
          <w:p w14:paraId="6F3CD005" w14:textId="75755DEB" w:rsidR="003B4F6D" w:rsidRPr="00342CDC" w:rsidRDefault="00F10DD6" w:rsidP="00CB1C82">
            <w:pPr>
              <w:pStyle w:val="Tabletext0"/>
              <w:spacing w:before="0" w:after="0"/>
              <w:rPr>
                <w:rFonts w:cs="Arial"/>
                <w:b/>
                <w:bCs/>
              </w:rPr>
            </w:pPr>
            <w:r>
              <w:rPr>
                <w:rFonts w:cs="Arial"/>
                <w:b/>
                <w:bCs/>
                <w:color w:val="000000"/>
              </w:rPr>
              <w:t>$</w:t>
            </w:r>
            <w:r w:rsidR="003B4F6D" w:rsidRPr="00342CDC">
              <w:rPr>
                <w:rFonts w:cs="Arial"/>
                <w:b/>
                <w:bCs/>
                <w:color w:val="000000"/>
              </w:rPr>
              <w:t>1,907,740</w:t>
            </w:r>
          </w:p>
        </w:tc>
        <w:tc>
          <w:tcPr>
            <w:tcW w:w="1421" w:type="dxa"/>
            <w:shd w:val="clear" w:color="auto" w:fill="auto"/>
            <w:vAlign w:val="center"/>
          </w:tcPr>
          <w:p w14:paraId="0B0550B2" w14:textId="73BB254E" w:rsidR="003B4F6D" w:rsidRPr="00342CDC" w:rsidRDefault="002A447D" w:rsidP="00CB1C82">
            <w:pPr>
              <w:pStyle w:val="Tabletext0"/>
              <w:spacing w:before="0" w:after="0"/>
              <w:rPr>
                <w:rFonts w:cs="Arial"/>
                <w:b/>
                <w:bCs/>
              </w:rPr>
            </w:pPr>
            <w:r>
              <w:rPr>
                <w:rFonts w:cs="Arial"/>
                <w:b/>
                <w:bCs/>
                <w:color w:val="000000"/>
              </w:rPr>
              <w:t>$</w:t>
            </w:r>
            <w:r w:rsidR="003B4F6D" w:rsidRPr="00342CDC">
              <w:rPr>
                <w:rFonts w:cs="Arial"/>
                <w:b/>
                <w:bCs/>
                <w:color w:val="000000"/>
              </w:rPr>
              <w:t>3,027,768</w:t>
            </w:r>
          </w:p>
        </w:tc>
        <w:tc>
          <w:tcPr>
            <w:tcW w:w="1421" w:type="dxa"/>
            <w:shd w:val="clear" w:color="auto" w:fill="auto"/>
            <w:vAlign w:val="center"/>
          </w:tcPr>
          <w:p w14:paraId="65F58053" w14:textId="49984179" w:rsidR="003B4F6D" w:rsidRPr="00342CDC" w:rsidRDefault="00F82BBC" w:rsidP="00CB1C82">
            <w:pPr>
              <w:pStyle w:val="Tabletext0"/>
              <w:spacing w:before="0" w:after="0"/>
              <w:rPr>
                <w:rFonts w:cs="Arial"/>
                <w:b/>
                <w:bCs/>
              </w:rPr>
            </w:pPr>
            <w:r>
              <w:rPr>
                <w:rFonts w:cs="Arial"/>
                <w:b/>
                <w:bCs/>
                <w:color w:val="000000"/>
              </w:rPr>
              <w:t>$</w:t>
            </w:r>
            <w:r w:rsidR="003B4F6D" w:rsidRPr="00342CDC">
              <w:rPr>
                <w:rFonts w:cs="Arial"/>
                <w:b/>
                <w:bCs/>
                <w:color w:val="000000"/>
              </w:rPr>
              <w:t>4,165,027</w:t>
            </w:r>
          </w:p>
        </w:tc>
        <w:tc>
          <w:tcPr>
            <w:tcW w:w="1421" w:type="dxa"/>
            <w:shd w:val="clear" w:color="auto" w:fill="auto"/>
            <w:vAlign w:val="center"/>
          </w:tcPr>
          <w:p w14:paraId="1648CAD2" w14:textId="17CFF890" w:rsidR="003B4F6D" w:rsidRPr="00342CDC" w:rsidRDefault="00F82BBC" w:rsidP="00CB1C82">
            <w:pPr>
              <w:pStyle w:val="Tabletext0"/>
              <w:spacing w:before="0" w:after="0"/>
              <w:rPr>
                <w:rFonts w:cs="Arial"/>
                <w:b/>
                <w:bCs/>
              </w:rPr>
            </w:pPr>
            <w:r>
              <w:rPr>
                <w:rFonts w:cs="Arial"/>
                <w:b/>
                <w:bCs/>
                <w:color w:val="000000"/>
              </w:rPr>
              <w:t>$</w:t>
            </w:r>
            <w:r w:rsidR="003B4F6D" w:rsidRPr="00342CDC">
              <w:rPr>
                <w:rFonts w:cs="Arial"/>
                <w:b/>
                <w:bCs/>
                <w:color w:val="000000"/>
              </w:rPr>
              <w:t>5,742,420</w:t>
            </w:r>
          </w:p>
        </w:tc>
        <w:tc>
          <w:tcPr>
            <w:tcW w:w="1421" w:type="dxa"/>
            <w:shd w:val="clear" w:color="auto" w:fill="auto"/>
            <w:vAlign w:val="center"/>
          </w:tcPr>
          <w:p w14:paraId="01998587" w14:textId="77777777" w:rsidR="003B4F6D" w:rsidRPr="00342CDC" w:rsidRDefault="003B4F6D" w:rsidP="00CB1C82">
            <w:pPr>
              <w:pStyle w:val="Tabletext0"/>
              <w:spacing w:before="0" w:after="0"/>
              <w:rPr>
                <w:rFonts w:cs="Arial"/>
                <w:b/>
                <w:bCs/>
              </w:rPr>
            </w:pPr>
            <w:r w:rsidRPr="00342CDC">
              <w:rPr>
                <w:rFonts w:cs="Arial"/>
                <w:b/>
                <w:bCs/>
                <w:color w:val="000000"/>
              </w:rPr>
              <w:t>7,911,779</w:t>
            </w:r>
          </w:p>
        </w:tc>
        <w:tc>
          <w:tcPr>
            <w:tcW w:w="1421" w:type="dxa"/>
            <w:shd w:val="clear" w:color="auto" w:fill="auto"/>
            <w:vAlign w:val="center"/>
          </w:tcPr>
          <w:p w14:paraId="79A43819" w14:textId="5FE79EB4" w:rsidR="003B4F6D" w:rsidRPr="00342CDC" w:rsidRDefault="00F82BBC" w:rsidP="00CB1C82">
            <w:pPr>
              <w:pStyle w:val="Tabletext0"/>
              <w:spacing w:before="0" w:after="0"/>
              <w:rPr>
                <w:rFonts w:cs="Arial"/>
                <w:b/>
                <w:bCs/>
              </w:rPr>
            </w:pPr>
            <w:r>
              <w:rPr>
                <w:rFonts w:cs="Arial"/>
                <w:b/>
                <w:bCs/>
                <w:color w:val="000000"/>
              </w:rPr>
              <w:t>$</w:t>
            </w:r>
            <w:r w:rsidR="003B4F6D" w:rsidRPr="00342CDC">
              <w:rPr>
                <w:rFonts w:cs="Arial"/>
                <w:b/>
                <w:bCs/>
                <w:color w:val="000000"/>
              </w:rPr>
              <w:t>10,872,316</w:t>
            </w:r>
          </w:p>
        </w:tc>
        <w:tc>
          <w:tcPr>
            <w:tcW w:w="1421" w:type="dxa"/>
            <w:shd w:val="clear" w:color="auto" w:fill="auto"/>
            <w:vAlign w:val="center"/>
          </w:tcPr>
          <w:p w14:paraId="2C090FCB" w14:textId="14309D75" w:rsidR="003B4F6D" w:rsidRPr="00342CDC" w:rsidRDefault="00C27EE4" w:rsidP="00CB1C82">
            <w:pPr>
              <w:pStyle w:val="Tabletext0"/>
              <w:spacing w:before="0" w:after="0"/>
              <w:rPr>
                <w:rFonts w:cs="Arial"/>
                <w:b/>
                <w:bCs/>
              </w:rPr>
            </w:pPr>
            <w:r>
              <w:rPr>
                <w:rFonts w:cs="Arial"/>
                <w:b/>
                <w:bCs/>
                <w:color w:val="000000"/>
              </w:rPr>
              <w:t>$</w:t>
            </w:r>
            <w:r w:rsidR="003B4F6D" w:rsidRPr="00342CDC">
              <w:rPr>
                <w:rFonts w:cs="Arial"/>
                <w:b/>
                <w:bCs/>
                <w:color w:val="000000"/>
              </w:rPr>
              <w:t>14,976,233</w:t>
            </w:r>
          </w:p>
        </w:tc>
        <w:tc>
          <w:tcPr>
            <w:tcW w:w="1457" w:type="dxa"/>
            <w:shd w:val="clear" w:color="auto" w:fill="auto"/>
            <w:vAlign w:val="bottom"/>
          </w:tcPr>
          <w:p w14:paraId="72AFB5BC" w14:textId="4DEE2CAA" w:rsidR="003B4F6D" w:rsidRPr="00342CDC" w:rsidRDefault="003B4F6D" w:rsidP="00CB1C82">
            <w:pPr>
              <w:pStyle w:val="Tabletext0"/>
              <w:spacing w:before="0" w:after="0"/>
              <w:rPr>
                <w:rFonts w:cs="Arial"/>
                <w:b/>
                <w:bCs/>
              </w:rPr>
            </w:pPr>
            <w:r w:rsidRPr="00342CDC">
              <w:rPr>
                <w:rFonts w:cs="Arial"/>
                <w:b/>
                <w:bCs/>
              </w:rPr>
              <w:t xml:space="preserve"> </w:t>
            </w:r>
            <w:r w:rsidR="00C27EE4">
              <w:rPr>
                <w:rFonts w:cs="Arial"/>
                <w:b/>
                <w:bCs/>
              </w:rPr>
              <w:t>$</w:t>
            </w:r>
            <w:r w:rsidRPr="00342CDC">
              <w:rPr>
                <w:rFonts w:cs="Arial"/>
                <w:b/>
                <w:bCs/>
              </w:rPr>
              <w:t xml:space="preserve">31,719,311 </w:t>
            </w:r>
          </w:p>
        </w:tc>
      </w:tr>
      <w:tr w:rsidR="00A04B3A" w:rsidRPr="00D32939" w14:paraId="7572B10C" w14:textId="77777777">
        <w:trPr>
          <w:trHeight w:val="213"/>
        </w:trPr>
        <w:tc>
          <w:tcPr>
            <w:tcW w:w="3197" w:type="dxa"/>
            <w:vAlign w:val="center"/>
          </w:tcPr>
          <w:p w14:paraId="648980CD" w14:textId="77777777" w:rsidR="003B4F6D" w:rsidRPr="00342CDC" w:rsidRDefault="003B4F6D" w:rsidP="00CB1C82">
            <w:pPr>
              <w:pStyle w:val="Tabletext0"/>
              <w:spacing w:before="0" w:after="0"/>
              <w:rPr>
                <w:rFonts w:cs="Arial"/>
              </w:rPr>
            </w:pPr>
            <w:r w:rsidRPr="00342CDC">
              <w:rPr>
                <w:rFonts w:cs="Arial"/>
              </w:rPr>
              <w:t>Reduction in use of standard tests</w:t>
            </w:r>
          </w:p>
        </w:tc>
        <w:tc>
          <w:tcPr>
            <w:tcW w:w="1421" w:type="dxa"/>
            <w:vAlign w:val="center"/>
          </w:tcPr>
          <w:p w14:paraId="0A1F1ED4" w14:textId="77777777" w:rsidR="003B4F6D" w:rsidRPr="00342CDC" w:rsidRDefault="003B4F6D" w:rsidP="00CB1C82">
            <w:pPr>
              <w:pStyle w:val="Tabletext0"/>
              <w:spacing w:before="0" w:after="0"/>
              <w:rPr>
                <w:rFonts w:cs="Arial"/>
              </w:rPr>
            </w:pPr>
            <w:r w:rsidRPr="00342CDC">
              <w:rPr>
                <w:rFonts w:cs="Arial"/>
              </w:rPr>
              <w:t>10,540</w:t>
            </w:r>
          </w:p>
        </w:tc>
        <w:tc>
          <w:tcPr>
            <w:tcW w:w="1421" w:type="dxa"/>
            <w:vAlign w:val="center"/>
          </w:tcPr>
          <w:p w14:paraId="66EE6323" w14:textId="77777777" w:rsidR="003B4F6D" w:rsidRPr="00342CDC" w:rsidRDefault="003B4F6D" w:rsidP="00CB1C82">
            <w:pPr>
              <w:pStyle w:val="Tabletext0"/>
              <w:spacing w:before="0" w:after="0"/>
              <w:rPr>
                <w:rFonts w:cs="Arial"/>
              </w:rPr>
            </w:pPr>
            <w:r w:rsidRPr="00342CDC">
              <w:rPr>
                <w:rFonts w:cs="Arial"/>
              </w:rPr>
              <w:t>16,728</w:t>
            </w:r>
          </w:p>
        </w:tc>
        <w:tc>
          <w:tcPr>
            <w:tcW w:w="1421" w:type="dxa"/>
            <w:vAlign w:val="center"/>
          </w:tcPr>
          <w:p w14:paraId="625E116D" w14:textId="50828508" w:rsidR="003B4F6D" w:rsidRPr="00342CDC" w:rsidRDefault="003B4F6D" w:rsidP="00CB1C82">
            <w:pPr>
              <w:pStyle w:val="Tabletext0"/>
              <w:spacing w:before="0" w:after="0"/>
              <w:rPr>
                <w:rFonts w:cs="Arial"/>
              </w:rPr>
            </w:pPr>
            <w:r w:rsidRPr="00342CDC">
              <w:rPr>
                <w:rFonts w:cs="Arial"/>
                <w:color w:val="000000"/>
              </w:rPr>
              <w:t>23,011</w:t>
            </w:r>
          </w:p>
        </w:tc>
        <w:tc>
          <w:tcPr>
            <w:tcW w:w="1421" w:type="dxa"/>
            <w:vAlign w:val="center"/>
          </w:tcPr>
          <w:p w14:paraId="4DCF6906" w14:textId="77777777" w:rsidR="003B4F6D" w:rsidRPr="00342CDC" w:rsidRDefault="003B4F6D" w:rsidP="00CB1C82">
            <w:pPr>
              <w:pStyle w:val="Tabletext0"/>
              <w:spacing w:before="0" w:after="0"/>
              <w:rPr>
                <w:rFonts w:cs="Arial"/>
              </w:rPr>
            </w:pPr>
            <w:r w:rsidRPr="00342CDC">
              <w:rPr>
                <w:rFonts w:cs="Arial"/>
                <w:color w:val="000000"/>
              </w:rPr>
              <w:t>31,726</w:t>
            </w:r>
          </w:p>
        </w:tc>
        <w:tc>
          <w:tcPr>
            <w:tcW w:w="1421" w:type="dxa"/>
            <w:vAlign w:val="center"/>
          </w:tcPr>
          <w:p w14:paraId="28FCF0A2" w14:textId="77777777" w:rsidR="003B4F6D" w:rsidRPr="00342CDC" w:rsidRDefault="003B4F6D" w:rsidP="00CB1C82">
            <w:pPr>
              <w:pStyle w:val="Tabletext0"/>
              <w:spacing w:before="0" w:after="0"/>
              <w:rPr>
                <w:rFonts w:cs="Arial"/>
              </w:rPr>
            </w:pPr>
            <w:r w:rsidRPr="00342CDC">
              <w:rPr>
                <w:rFonts w:cs="Arial"/>
                <w:color w:val="000000"/>
              </w:rPr>
              <w:t>43,711</w:t>
            </w:r>
          </w:p>
        </w:tc>
        <w:tc>
          <w:tcPr>
            <w:tcW w:w="1421" w:type="dxa"/>
            <w:vAlign w:val="center"/>
          </w:tcPr>
          <w:p w14:paraId="0AA84E72" w14:textId="77777777" w:rsidR="003B4F6D" w:rsidRPr="00342CDC" w:rsidRDefault="003B4F6D" w:rsidP="00CB1C82">
            <w:pPr>
              <w:pStyle w:val="Tabletext0"/>
              <w:spacing w:before="0" w:after="0"/>
              <w:rPr>
                <w:rFonts w:cs="Arial"/>
              </w:rPr>
            </w:pPr>
            <w:r w:rsidRPr="00342CDC">
              <w:rPr>
                <w:rFonts w:cs="Arial"/>
                <w:color w:val="000000"/>
              </w:rPr>
              <w:t>60,068</w:t>
            </w:r>
          </w:p>
        </w:tc>
        <w:tc>
          <w:tcPr>
            <w:tcW w:w="1421" w:type="dxa"/>
            <w:vAlign w:val="center"/>
          </w:tcPr>
          <w:p w14:paraId="75D62BD9" w14:textId="2BF9FBC7" w:rsidR="003B4F6D" w:rsidRPr="00342CDC" w:rsidRDefault="003B4F6D" w:rsidP="00CB1C82">
            <w:pPr>
              <w:pStyle w:val="Tabletext0"/>
              <w:spacing w:before="0" w:after="0"/>
              <w:rPr>
                <w:rFonts w:cs="Arial"/>
              </w:rPr>
            </w:pPr>
            <w:r w:rsidRPr="00342CDC">
              <w:rPr>
                <w:rFonts w:cs="Arial"/>
                <w:color w:val="000000"/>
              </w:rPr>
              <w:t>82,742</w:t>
            </w:r>
          </w:p>
        </w:tc>
        <w:tc>
          <w:tcPr>
            <w:tcW w:w="1457" w:type="dxa"/>
            <w:vAlign w:val="center"/>
          </w:tcPr>
          <w:p w14:paraId="345D2C21" w14:textId="77777777" w:rsidR="003B4F6D" w:rsidRPr="00342CDC" w:rsidRDefault="003B4F6D" w:rsidP="00CB1C82">
            <w:pPr>
              <w:pStyle w:val="Tabletext0"/>
              <w:spacing w:before="0" w:after="0"/>
              <w:rPr>
                <w:rFonts w:cs="Arial"/>
              </w:rPr>
            </w:pPr>
          </w:p>
        </w:tc>
      </w:tr>
      <w:tr w:rsidR="00A04B3A" w:rsidRPr="00D32939" w14:paraId="52059684" w14:textId="77777777">
        <w:trPr>
          <w:trHeight w:val="426"/>
        </w:trPr>
        <w:tc>
          <w:tcPr>
            <w:tcW w:w="3197" w:type="dxa"/>
            <w:vAlign w:val="center"/>
          </w:tcPr>
          <w:p w14:paraId="4BFF0901" w14:textId="1E9B9578" w:rsidR="003B4F6D" w:rsidRPr="00342CDC" w:rsidRDefault="003B4F6D" w:rsidP="00CB1C82">
            <w:pPr>
              <w:pStyle w:val="Tabletext0"/>
              <w:spacing w:before="0" w:after="0"/>
              <w:rPr>
                <w:rFonts w:cs="Arial"/>
              </w:rPr>
            </w:pPr>
            <w:r w:rsidRPr="00342CDC">
              <w:rPr>
                <w:rFonts w:cs="Arial"/>
              </w:rPr>
              <w:t>Reduction in cost to MBS for CT/NG/TV and Episode fee</w:t>
            </w:r>
          </w:p>
        </w:tc>
        <w:tc>
          <w:tcPr>
            <w:tcW w:w="1421" w:type="dxa"/>
            <w:vAlign w:val="center"/>
          </w:tcPr>
          <w:p w14:paraId="120937B8" w14:textId="48E64F6B"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456,909</w:t>
            </w:r>
          </w:p>
        </w:tc>
        <w:tc>
          <w:tcPr>
            <w:tcW w:w="1421" w:type="dxa"/>
            <w:vAlign w:val="center"/>
          </w:tcPr>
          <w:p w14:paraId="06AB44D8" w14:textId="79085822" w:rsidR="003B4F6D" w:rsidRPr="00342CDC" w:rsidRDefault="00F10DD6" w:rsidP="00CB1C82">
            <w:pPr>
              <w:pStyle w:val="Tabletext0"/>
              <w:spacing w:before="0" w:after="0"/>
              <w:rPr>
                <w:rFonts w:cs="Arial"/>
              </w:rPr>
            </w:pPr>
            <w:r>
              <w:rPr>
                <w:rFonts w:cs="Arial"/>
                <w:color w:val="000000"/>
              </w:rPr>
              <w:t>$</w:t>
            </w:r>
            <w:r w:rsidR="003B4F6D" w:rsidRPr="00342CDC">
              <w:rPr>
                <w:rFonts w:cs="Arial"/>
                <w:color w:val="000000"/>
              </w:rPr>
              <w:t>725,159</w:t>
            </w:r>
          </w:p>
        </w:tc>
        <w:tc>
          <w:tcPr>
            <w:tcW w:w="1421" w:type="dxa"/>
            <w:vAlign w:val="center"/>
          </w:tcPr>
          <w:p w14:paraId="737CD261" w14:textId="7FBD4722" w:rsidR="003B4F6D" w:rsidRPr="00342CDC" w:rsidRDefault="00725AFC" w:rsidP="00CB1C82">
            <w:pPr>
              <w:pStyle w:val="Tabletext0"/>
              <w:spacing w:before="0" w:after="0"/>
              <w:rPr>
                <w:rFonts w:cs="Arial"/>
              </w:rPr>
            </w:pPr>
            <w:r>
              <w:rPr>
                <w:rFonts w:cs="Arial"/>
                <w:color w:val="000000"/>
              </w:rPr>
              <w:t>$</w:t>
            </w:r>
            <w:r w:rsidR="003B4F6D" w:rsidRPr="00342CDC">
              <w:rPr>
                <w:rFonts w:cs="Arial"/>
                <w:color w:val="000000"/>
              </w:rPr>
              <w:t>997,536</w:t>
            </w:r>
          </w:p>
        </w:tc>
        <w:tc>
          <w:tcPr>
            <w:tcW w:w="1421" w:type="dxa"/>
            <w:vAlign w:val="center"/>
          </w:tcPr>
          <w:p w14:paraId="169FD11F" w14:textId="12D51131"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1,375,326</w:t>
            </w:r>
          </w:p>
        </w:tc>
        <w:tc>
          <w:tcPr>
            <w:tcW w:w="1421" w:type="dxa"/>
            <w:vAlign w:val="center"/>
          </w:tcPr>
          <w:p w14:paraId="0C264BBC" w14:textId="77777777" w:rsidR="003B4F6D" w:rsidRPr="00342CDC" w:rsidRDefault="003B4F6D" w:rsidP="00CB1C82">
            <w:pPr>
              <w:pStyle w:val="Tabletext0"/>
              <w:spacing w:before="0" w:after="0"/>
              <w:rPr>
                <w:rFonts w:cs="Arial"/>
              </w:rPr>
            </w:pPr>
            <w:r w:rsidRPr="00342CDC">
              <w:rPr>
                <w:rFonts w:cs="Arial"/>
                <w:color w:val="000000"/>
              </w:rPr>
              <w:t>1,894,893</w:t>
            </w:r>
          </w:p>
        </w:tc>
        <w:tc>
          <w:tcPr>
            <w:tcW w:w="1421" w:type="dxa"/>
            <w:vAlign w:val="center"/>
          </w:tcPr>
          <w:p w14:paraId="34342AFD" w14:textId="74F51AC6" w:rsidR="003B4F6D" w:rsidRPr="00342CDC" w:rsidRDefault="00F82BBC" w:rsidP="00CB1C82">
            <w:pPr>
              <w:pStyle w:val="Tabletext0"/>
              <w:spacing w:before="0" w:after="0"/>
              <w:rPr>
                <w:rFonts w:cs="Arial"/>
              </w:rPr>
            </w:pPr>
            <w:r>
              <w:rPr>
                <w:rFonts w:cs="Arial"/>
                <w:color w:val="000000"/>
              </w:rPr>
              <w:t>$</w:t>
            </w:r>
            <w:r w:rsidR="003B4F6D" w:rsidRPr="00342CDC">
              <w:rPr>
                <w:rFonts w:cs="Arial"/>
                <w:color w:val="000000"/>
              </w:rPr>
              <w:t>2,603,950</w:t>
            </w:r>
          </w:p>
        </w:tc>
        <w:tc>
          <w:tcPr>
            <w:tcW w:w="1421" w:type="dxa"/>
            <w:vAlign w:val="center"/>
          </w:tcPr>
          <w:p w14:paraId="5061EE85" w14:textId="008A7033" w:rsidR="003B4F6D" w:rsidRPr="00342CDC" w:rsidRDefault="00C27EE4" w:rsidP="00CB1C82">
            <w:pPr>
              <w:pStyle w:val="Tabletext0"/>
              <w:spacing w:before="0" w:after="0"/>
              <w:rPr>
                <w:rFonts w:cs="Arial"/>
              </w:rPr>
            </w:pPr>
            <w:r>
              <w:rPr>
                <w:rFonts w:cs="Arial"/>
                <w:color w:val="000000"/>
              </w:rPr>
              <w:t>$</w:t>
            </w:r>
            <w:r w:rsidR="003B4F6D" w:rsidRPr="00342CDC">
              <w:rPr>
                <w:rFonts w:cs="Arial"/>
                <w:color w:val="000000"/>
              </w:rPr>
              <w:t>3,586,849</w:t>
            </w:r>
          </w:p>
        </w:tc>
        <w:tc>
          <w:tcPr>
            <w:tcW w:w="1457" w:type="dxa"/>
            <w:vAlign w:val="center"/>
          </w:tcPr>
          <w:p w14:paraId="58085083" w14:textId="74C96AEF" w:rsidR="003B4F6D" w:rsidRPr="00342CDC" w:rsidRDefault="00C27EE4" w:rsidP="00CB1C82">
            <w:pPr>
              <w:pStyle w:val="Tabletext0"/>
              <w:spacing w:before="0" w:after="0"/>
              <w:rPr>
                <w:rFonts w:cs="Arial"/>
              </w:rPr>
            </w:pPr>
            <w:r>
              <w:rPr>
                <w:rFonts w:cs="Arial"/>
              </w:rPr>
              <w:t>$</w:t>
            </w:r>
            <w:r w:rsidR="003B4F6D" w:rsidRPr="00342CDC">
              <w:rPr>
                <w:rFonts w:cs="Arial"/>
              </w:rPr>
              <w:t>7,596,864</w:t>
            </w:r>
          </w:p>
        </w:tc>
      </w:tr>
      <w:tr w:rsidR="00A04B3A" w:rsidRPr="00D32939" w14:paraId="4AD513F5" w14:textId="77777777">
        <w:trPr>
          <w:trHeight w:val="443"/>
        </w:trPr>
        <w:tc>
          <w:tcPr>
            <w:tcW w:w="3197" w:type="dxa"/>
            <w:vAlign w:val="center"/>
          </w:tcPr>
          <w:p w14:paraId="3B6C397E" w14:textId="77777777" w:rsidR="003B4F6D" w:rsidRPr="00342CDC" w:rsidRDefault="003B4F6D" w:rsidP="00CB1C82">
            <w:pPr>
              <w:pStyle w:val="Tabletext0"/>
              <w:spacing w:before="0" w:after="0"/>
              <w:jc w:val="left"/>
              <w:rPr>
                <w:rFonts w:cs="Arial"/>
                <w:b/>
                <w:bCs/>
              </w:rPr>
            </w:pPr>
            <w:r w:rsidRPr="00342CDC">
              <w:rPr>
                <w:rFonts w:cs="Arial"/>
                <w:b/>
                <w:bCs/>
              </w:rPr>
              <w:t>Net cost to MBS related to change in testing</w:t>
            </w:r>
          </w:p>
        </w:tc>
        <w:tc>
          <w:tcPr>
            <w:tcW w:w="1421" w:type="dxa"/>
            <w:vAlign w:val="center"/>
          </w:tcPr>
          <w:p w14:paraId="41E6740F" w14:textId="1B9DCCF4" w:rsidR="003B4F6D" w:rsidRPr="00342CDC" w:rsidRDefault="00BD74C2" w:rsidP="00CB1C82">
            <w:pPr>
              <w:pStyle w:val="Tabletext0"/>
              <w:spacing w:before="0" w:after="0"/>
              <w:rPr>
                <w:rFonts w:cs="Arial"/>
                <w:b/>
                <w:bCs/>
              </w:rPr>
            </w:pPr>
            <w:r>
              <w:rPr>
                <w:rFonts w:cs="Arial"/>
                <w:b/>
                <w:bCs/>
                <w:color w:val="000000"/>
              </w:rPr>
              <w:t>$</w:t>
            </w:r>
            <w:r w:rsidR="003B4F6D" w:rsidRPr="00342CDC">
              <w:rPr>
                <w:rFonts w:cs="Arial"/>
                <w:b/>
                <w:bCs/>
                <w:color w:val="000000"/>
              </w:rPr>
              <w:t>1,450,831</w:t>
            </w:r>
          </w:p>
        </w:tc>
        <w:tc>
          <w:tcPr>
            <w:tcW w:w="1421" w:type="dxa"/>
            <w:vAlign w:val="center"/>
          </w:tcPr>
          <w:p w14:paraId="40FF42C2" w14:textId="707F8A62" w:rsidR="003B4F6D" w:rsidRPr="00342CDC" w:rsidRDefault="00BD74C2" w:rsidP="00CB1C82">
            <w:pPr>
              <w:pStyle w:val="Tabletext0"/>
              <w:spacing w:before="0" w:after="0"/>
              <w:rPr>
                <w:rFonts w:cs="Arial"/>
                <w:b/>
                <w:bCs/>
              </w:rPr>
            </w:pPr>
            <w:r>
              <w:rPr>
                <w:rFonts w:cs="Arial"/>
                <w:b/>
                <w:bCs/>
                <w:color w:val="000000"/>
              </w:rPr>
              <w:t>$</w:t>
            </w:r>
            <w:r w:rsidR="003B4F6D" w:rsidRPr="00342CDC">
              <w:rPr>
                <w:rFonts w:cs="Arial"/>
                <w:b/>
                <w:bCs/>
                <w:color w:val="000000"/>
              </w:rPr>
              <w:t>2,302,609</w:t>
            </w:r>
          </w:p>
        </w:tc>
        <w:tc>
          <w:tcPr>
            <w:tcW w:w="1421" w:type="dxa"/>
            <w:vAlign w:val="center"/>
          </w:tcPr>
          <w:p w14:paraId="1BB0E81E" w14:textId="688D0C4E" w:rsidR="003B4F6D" w:rsidRPr="00342CDC" w:rsidRDefault="00BD74C2" w:rsidP="00CB1C82">
            <w:pPr>
              <w:pStyle w:val="Tabletext0"/>
              <w:spacing w:before="0" w:after="0"/>
              <w:rPr>
                <w:rFonts w:cs="Arial"/>
                <w:b/>
                <w:bCs/>
              </w:rPr>
            </w:pPr>
            <w:r>
              <w:rPr>
                <w:rFonts w:cs="Arial"/>
                <w:b/>
                <w:bCs/>
                <w:color w:val="000000"/>
              </w:rPr>
              <w:t>$</w:t>
            </w:r>
            <w:r w:rsidR="003B4F6D" w:rsidRPr="00342CDC">
              <w:rPr>
                <w:rFonts w:cs="Arial"/>
                <w:b/>
                <w:bCs/>
                <w:color w:val="000000"/>
              </w:rPr>
              <w:t>3,167,492</w:t>
            </w:r>
          </w:p>
        </w:tc>
        <w:tc>
          <w:tcPr>
            <w:tcW w:w="1421" w:type="dxa"/>
            <w:vAlign w:val="center"/>
          </w:tcPr>
          <w:p w14:paraId="6CC57FFE" w14:textId="21364293" w:rsidR="003B4F6D" w:rsidRPr="00342CDC" w:rsidRDefault="00BD74C2" w:rsidP="00CB1C82">
            <w:pPr>
              <w:pStyle w:val="Tabletext0"/>
              <w:spacing w:before="0" w:after="0"/>
              <w:rPr>
                <w:rFonts w:cs="Arial"/>
                <w:b/>
                <w:bCs/>
              </w:rPr>
            </w:pPr>
            <w:r>
              <w:rPr>
                <w:rFonts w:cs="Arial"/>
                <w:b/>
                <w:bCs/>
                <w:color w:val="000000"/>
              </w:rPr>
              <w:t>$</w:t>
            </w:r>
            <w:r w:rsidR="003B4F6D" w:rsidRPr="00342CDC">
              <w:rPr>
                <w:rFonts w:cs="Arial"/>
                <w:b/>
                <w:bCs/>
                <w:color w:val="000000"/>
              </w:rPr>
              <w:t>4,367,095</w:t>
            </w:r>
          </w:p>
        </w:tc>
        <w:tc>
          <w:tcPr>
            <w:tcW w:w="1421" w:type="dxa"/>
            <w:vAlign w:val="center"/>
          </w:tcPr>
          <w:p w14:paraId="6FCC1CD8" w14:textId="485BE3D6" w:rsidR="003B4F6D" w:rsidRPr="00342CDC" w:rsidRDefault="00911149" w:rsidP="00CB1C82">
            <w:pPr>
              <w:pStyle w:val="Tabletext0"/>
              <w:spacing w:before="0" w:after="0"/>
              <w:rPr>
                <w:rFonts w:cs="Arial"/>
                <w:b/>
                <w:bCs/>
              </w:rPr>
            </w:pPr>
            <w:r>
              <w:rPr>
                <w:rFonts w:cs="Arial"/>
                <w:b/>
                <w:bCs/>
                <w:color w:val="000000"/>
              </w:rPr>
              <w:t>$</w:t>
            </w:r>
            <w:r w:rsidR="003B4F6D" w:rsidRPr="00342CDC">
              <w:rPr>
                <w:rFonts w:cs="Arial"/>
                <w:b/>
                <w:bCs/>
                <w:color w:val="000000"/>
              </w:rPr>
              <w:t>6,016,886</w:t>
            </w:r>
          </w:p>
        </w:tc>
        <w:tc>
          <w:tcPr>
            <w:tcW w:w="1421" w:type="dxa"/>
            <w:vAlign w:val="center"/>
          </w:tcPr>
          <w:p w14:paraId="047B8821" w14:textId="0FFA3142" w:rsidR="003B4F6D" w:rsidRPr="00342CDC" w:rsidRDefault="00911149" w:rsidP="00CB1C82">
            <w:pPr>
              <w:pStyle w:val="Tabletext0"/>
              <w:spacing w:before="0" w:after="0"/>
              <w:rPr>
                <w:rFonts w:cs="Arial"/>
                <w:b/>
                <w:bCs/>
              </w:rPr>
            </w:pPr>
            <w:r>
              <w:rPr>
                <w:rFonts w:cs="Arial"/>
                <w:b/>
                <w:bCs/>
                <w:color w:val="000000"/>
              </w:rPr>
              <w:t>$</w:t>
            </w:r>
            <w:r w:rsidR="003B4F6D" w:rsidRPr="00342CDC">
              <w:rPr>
                <w:rFonts w:cs="Arial"/>
                <w:b/>
                <w:bCs/>
                <w:color w:val="000000"/>
              </w:rPr>
              <w:t>8,268,366</w:t>
            </w:r>
          </w:p>
        </w:tc>
        <w:tc>
          <w:tcPr>
            <w:tcW w:w="1421" w:type="dxa"/>
            <w:vAlign w:val="center"/>
          </w:tcPr>
          <w:p w14:paraId="1221FEA2" w14:textId="766BFA4F" w:rsidR="003B4F6D" w:rsidRPr="00342CDC" w:rsidRDefault="00911149" w:rsidP="00CB1C82">
            <w:pPr>
              <w:pStyle w:val="Tabletext0"/>
              <w:spacing w:before="0" w:after="0"/>
              <w:rPr>
                <w:rFonts w:cs="Arial"/>
                <w:b/>
                <w:bCs/>
              </w:rPr>
            </w:pPr>
            <w:r>
              <w:rPr>
                <w:rFonts w:cs="Arial"/>
                <w:b/>
                <w:bCs/>
                <w:color w:val="000000"/>
              </w:rPr>
              <w:t>$</w:t>
            </w:r>
            <w:r w:rsidR="003B4F6D" w:rsidRPr="00342CDC">
              <w:rPr>
                <w:rFonts w:cs="Arial"/>
                <w:b/>
                <w:bCs/>
                <w:color w:val="000000"/>
              </w:rPr>
              <w:t>11,389,384</w:t>
            </w:r>
          </w:p>
        </w:tc>
        <w:tc>
          <w:tcPr>
            <w:tcW w:w="1457" w:type="dxa"/>
            <w:vAlign w:val="center"/>
          </w:tcPr>
          <w:p w14:paraId="3D323982" w14:textId="409B2F12" w:rsidR="003B4F6D" w:rsidRPr="00342CDC" w:rsidRDefault="00C27EE4" w:rsidP="00CB1C82">
            <w:pPr>
              <w:pStyle w:val="Tabletext0"/>
              <w:spacing w:before="0" w:after="0"/>
              <w:rPr>
                <w:rFonts w:cs="Arial"/>
                <w:b/>
                <w:bCs/>
              </w:rPr>
            </w:pPr>
            <w:r>
              <w:rPr>
                <w:rFonts w:cs="Arial"/>
                <w:b/>
                <w:bCs/>
              </w:rPr>
              <w:t>$</w:t>
            </w:r>
            <w:r w:rsidR="003B4F6D" w:rsidRPr="00342CDC">
              <w:rPr>
                <w:rFonts w:cs="Arial"/>
                <w:b/>
                <w:bCs/>
              </w:rPr>
              <w:t>24,122,448</w:t>
            </w:r>
          </w:p>
        </w:tc>
      </w:tr>
      <w:tr w:rsidR="00A04B3A" w:rsidRPr="00D32939" w14:paraId="77D299DC" w14:textId="77777777" w:rsidTr="00FA0B09">
        <w:trPr>
          <w:trHeight w:val="451"/>
        </w:trPr>
        <w:tc>
          <w:tcPr>
            <w:tcW w:w="14601" w:type="dxa"/>
            <w:gridSpan w:val="9"/>
            <w:vAlign w:val="center"/>
          </w:tcPr>
          <w:p w14:paraId="6B6B6EC6" w14:textId="220F08C4" w:rsidR="003B4F6D" w:rsidRPr="00342CDC" w:rsidRDefault="00566300" w:rsidP="00CB1C82">
            <w:pPr>
              <w:pStyle w:val="Tabletext0"/>
              <w:spacing w:before="0" w:after="0"/>
              <w:rPr>
                <w:rFonts w:cs="Arial"/>
                <w:b/>
                <w:bCs/>
              </w:rPr>
            </w:pPr>
            <w:r w:rsidRPr="00342CDC">
              <w:rPr>
                <w:rFonts w:cs="Arial"/>
                <w:b/>
                <w:bCs/>
              </w:rPr>
              <w:t xml:space="preserve">Applicant </w:t>
            </w:r>
            <w:r w:rsidR="003B4F6D" w:rsidRPr="00342CDC">
              <w:rPr>
                <w:rFonts w:cs="Arial"/>
                <w:b/>
                <w:bCs/>
              </w:rPr>
              <w:t>Sensitivity analys</w:t>
            </w:r>
            <w:r w:rsidRPr="00342CDC">
              <w:rPr>
                <w:rFonts w:cs="Arial"/>
                <w:b/>
                <w:bCs/>
              </w:rPr>
              <w:t>es</w:t>
            </w:r>
          </w:p>
        </w:tc>
      </w:tr>
      <w:tr w:rsidR="00A04B3A" w:rsidRPr="00D32939" w14:paraId="3CE04A28" w14:textId="77777777">
        <w:trPr>
          <w:trHeight w:val="213"/>
        </w:trPr>
        <w:tc>
          <w:tcPr>
            <w:tcW w:w="14601" w:type="dxa"/>
            <w:gridSpan w:val="9"/>
            <w:vAlign w:val="center"/>
          </w:tcPr>
          <w:p w14:paraId="079010C7" w14:textId="5CB3B9BD" w:rsidR="003B4F6D" w:rsidRPr="00342CDC" w:rsidRDefault="003B4F6D" w:rsidP="00CB1C82">
            <w:pPr>
              <w:pStyle w:val="Tabletext0"/>
              <w:spacing w:before="0" w:after="0"/>
              <w:rPr>
                <w:rFonts w:cs="Arial"/>
                <w:b/>
                <w:bCs/>
              </w:rPr>
            </w:pPr>
            <w:r w:rsidRPr="00342CDC">
              <w:rPr>
                <w:rFonts w:cs="Arial"/>
                <w:b/>
                <w:bCs/>
              </w:rPr>
              <w:t>Change in cost to MBS if 10% increase in patients tested per site per year</w:t>
            </w:r>
            <w:r w:rsidR="00D65EAA">
              <w:rPr>
                <w:rFonts w:cs="Arial"/>
                <w:b/>
                <w:bCs/>
              </w:rPr>
              <w:t xml:space="preserve"> (base case</w:t>
            </w:r>
            <w:r w:rsidR="00A7093A">
              <w:rPr>
                <w:rFonts w:cs="Arial"/>
                <w:b/>
                <w:bCs/>
              </w:rPr>
              <w:t>:</w:t>
            </w:r>
            <w:r w:rsidR="00D65EAA">
              <w:rPr>
                <w:rFonts w:cs="Arial"/>
                <w:b/>
                <w:bCs/>
              </w:rPr>
              <w:t xml:space="preserve"> 20% increase</w:t>
            </w:r>
            <w:r w:rsidR="00432E67">
              <w:rPr>
                <w:rFonts w:cs="Arial"/>
                <w:b/>
                <w:bCs/>
              </w:rPr>
              <w:t>)</w:t>
            </w:r>
          </w:p>
        </w:tc>
      </w:tr>
      <w:tr w:rsidR="00A04B3A" w:rsidRPr="00D32939" w14:paraId="508A342A" w14:textId="77777777">
        <w:trPr>
          <w:trHeight w:val="213"/>
        </w:trPr>
        <w:tc>
          <w:tcPr>
            <w:tcW w:w="3197" w:type="dxa"/>
            <w:vAlign w:val="center"/>
          </w:tcPr>
          <w:p w14:paraId="0389AC4A" w14:textId="77777777" w:rsidR="003B4F6D" w:rsidRPr="00342CDC" w:rsidRDefault="003B4F6D" w:rsidP="00CB1C82">
            <w:pPr>
              <w:pStyle w:val="Tabletext0"/>
              <w:spacing w:before="0" w:after="0"/>
              <w:rPr>
                <w:rFonts w:cs="Arial"/>
              </w:rPr>
            </w:pPr>
            <w:r w:rsidRPr="00342CDC">
              <w:rPr>
                <w:rFonts w:cs="Arial"/>
              </w:rPr>
              <w:t>Number of tests per site</w:t>
            </w:r>
          </w:p>
        </w:tc>
        <w:tc>
          <w:tcPr>
            <w:tcW w:w="1421" w:type="dxa"/>
            <w:vAlign w:val="center"/>
          </w:tcPr>
          <w:p w14:paraId="53A3387F" w14:textId="77777777" w:rsidR="003B4F6D" w:rsidRPr="00342CDC" w:rsidRDefault="003B4F6D" w:rsidP="00CB1C82">
            <w:pPr>
              <w:pStyle w:val="Tabletext0"/>
              <w:spacing w:before="0" w:after="0"/>
              <w:rPr>
                <w:rFonts w:cs="Arial"/>
              </w:rPr>
            </w:pPr>
            <w:r w:rsidRPr="00342CDC">
              <w:rPr>
                <w:rFonts w:cs="Arial"/>
                <w:color w:val="000000"/>
              </w:rPr>
              <w:t>170</w:t>
            </w:r>
          </w:p>
        </w:tc>
        <w:tc>
          <w:tcPr>
            <w:tcW w:w="1421" w:type="dxa"/>
            <w:vAlign w:val="center"/>
          </w:tcPr>
          <w:p w14:paraId="37BB4105" w14:textId="77777777" w:rsidR="003B4F6D" w:rsidRPr="00342CDC" w:rsidRDefault="003B4F6D" w:rsidP="00CB1C82">
            <w:pPr>
              <w:pStyle w:val="Tabletext0"/>
              <w:spacing w:before="0" w:after="0"/>
              <w:rPr>
                <w:rFonts w:cs="Arial"/>
              </w:rPr>
            </w:pPr>
            <w:r w:rsidRPr="00342CDC">
              <w:rPr>
                <w:rFonts w:cs="Arial"/>
                <w:color w:val="000000"/>
              </w:rPr>
              <w:t>187</w:t>
            </w:r>
          </w:p>
        </w:tc>
        <w:tc>
          <w:tcPr>
            <w:tcW w:w="1421" w:type="dxa"/>
            <w:vAlign w:val="center"/>
          </w:tcPr>
          <w:p w14:paraId="25BA3156" w14:textId="77777777" w:rsidR="003B4F6D" w:rsidRPr="00342CDC" w:rsidRDefault="003B4F6D" w:rsidP="00CB1C82">
            <w:pPr>
              <w:pStyle w:val="Tabletext0"/>
              <w:spacing w:before="0" w:after="0"/>
              <w:rPr>
                <w:rFonts w:cs="Arial"/>
                <w:color w:val="000000"/>
              </w:rPr>
            </w:pPr>
            <w:r w:rsidRPr="00342CDC">
              <w:rPr>
                <w:rFonts w:cs="Arial"/>
                <w:color w:val="000000"/>
              </w:rPr>
              <w:t>206</w:t>
            </w:r>
          </w:p>
        </w:tc>
        <w:tc>
          <w:tcPr>
            <w:tcW w:w="1421" w:type="dxa"/>
            <w:vAlign w:val="center"/>
          </w:tcPr>
          <w:p w14:paraId="730385E2" w14:textId="77777777" w:rsidR="003B4F6D" w:rsidRPr="00342CDC" w:rsidRDefault="003B4F6D" w:rsidP="00CB1C82">
            <w:pPr>
              <w:pStyle w:val="Tabletext0"/>
              <w:spacing w:before="0" w:after="0"/>
              <w:rPr>
                <w:rFonts w:cs="Arial"/>
                <w:color w:val="000000"/>
              </w:rPr>
            </w:pPr>
            <w:r w:rsidRPr="00342CDC">
              <w:rPr>
                <w:rFonts w:cs="Arial"/>
                <w:color w:val="000000"/>
              </w:rPr>
              <w:t>226</w:t>
            </w:r>
          </w:p>
        </w:tc>
        <w:tc>
          <w:tcPr>
            <w:tcW w:w="1421" w:type="dxa"/>
            <w:vAlign w:val="center"/>
          </w:tcPr>
          <w:p w14:paraId="6934208A" w14:textId="77777777" w:rsidR="003B4F6D" w:rsidRPr="00342CDC" w:rsidRDefault="003B4F6D" w:rsidP="00CB1C82">
            <w:pPr>
              <w:pStyle w:val="Tabletext0"/>
              <w:spacing w:before="0" w:after="0"/>
              <w:rPr>
                <w:rFonts w:cs="Arial"/>
                <w:color w:val="000000"/>
              </w:rPr>
            </w:pPr>
            <w:r w:rsidRPr="00342CDC">
              <w:rPr>
                <w:rFonts w:cs="Arial"/>
                <w:color w:val="000000"/>
              </w:rPr>
              <w:t>249</w:t>
            </w:r>
          </w:p>
        </w:tc>
        <w:tc>
          <w:tcPr>
            <w:tcW w:w="1421" w:type="dxa"/>
            <w:vAlign w:val="center"/>
          </w:tcPr>
          <w:p w14:paraId="0FD14EA3" w14:textId="77777777" w:rsidR="003B4F6D" w:rsidRPr="00342CDC" w:rsidRDefault="003B4F6D" w:rsidP="00CB1C82">
            <w:pPr>
              <w:pStyle w:val="Tabletext0"/>
              <w:spacing w:before="0" w:after="0"/>
              <w:rPr>
                <w:rFonts w:cs="Arial"/>
                <w:color w:val="000000"/>
              </w:rPr>
            </w:pPr>
            <w:r w:rsidRPr="00342CDC">
              <w:rPr>
                <w:rFonts w:cs="Arial"/>
                <w:color w:val="000000"/>
              </w:rPr>
              <w:t>274</w:t>
            </w:r>
          </w:p>
        </w:tc>
        <w:tc>
          <w:tcPr>
            <w:tcW w:w="1421" w:type="dxa"/>
            <w:vAlign w:val="center"/>
          </w:tcPr>
          <w:p w14:paraId="6BC28A65" w14:textId="77777777" w:rsidR="003B4F6D" w:rsidRPr="00342CDC" w:rsidRDefault="003B4F6D" w:rsidP="00CB1C82">
            <w:pPr>
              <w:pStyle w:val="Tabletext0"/>
              <w:spacing w:before="0" w:after="0"/>
              <w:rPr>
                <w:rFonts w:cs="Arial"/>
                <w:color w:val="000000"/>
              </w:rPr>
            </w:pPr>
            <w:r w:rsidRPr="00342CDC">
              <w:rPr>
                <w:rFonts w:cs="Arial"/>
                <w:color w:val="000000"/>
              </w:rPr>
              <w:t>301</w:t>
            </w:r>
          </w:p>
        </w:tc>
        <w:tc>
          <w:tcPr>
            <w:tcW w:w="1457" w:type="dxa"/>
            <w:vAlign w:val="center"/>
          </w:tcPr>
          <w:p w14:paraId="214433F6" w14:textId="77777777" w:rsidR="003B4F6D" w:rsidRPr="00342CDC" w:rsidRDefault="003B4F6D" w:rsidP="00CB1C82">
            <w:pPr>
              <w:pStyle w:val="Tabletext0"/>
              <w:spacing w:before="0" w:after="0"/>
              <w:rPr>
                <w:rFonts w:cs="Arial"/>
              </w:rPr>
            </w:pPr>
          </w:p>
        </w:tc>
      </w:tr>
      <w:tr w:rsidR="00A04B3A" w:rsidRPr="00D32939" w14:paraId="22A7338D" w14:textId="77777777">
        <w:trPr>
          <w:trHeight w:val="197"/>
        </w:trPr>
        <w:tc>
          <w:tcPr>
            <w:tcW w:w="3197" w:type="dxa"/>
            <w:vAlign w:val="center"/>
          </w:tcPr>
          <w:p w14:paraId="61001A41" w14:textId="77777777" w:rsidR="003B4F6D" w:rsidRPr="00EB29A7" w:rsidRDefault="003B4F6D" w:rsidP="00CB1C82">
            <w:pPr>
              <w:pStyle w:val="Tabletext0"/>
              <w:spacing w:before="0" w:after="0"/>
              <w:rPr>
                <w:rFonts w:cs="Arial"/>
              </w:rPr>
            </w:pPr>
            <w:r w:rsidRPr="00EB29A7">
              <w:rPr>
                <w:rFonts w:cs="Arial"/>
              </w:rPr>
              <w:t>Total number of tests</w:t>
            </w:r>
          </w:p>
        </w:tc>
        <w:tc>
          <w:tcPr>
            <w:tcW w:w="1421" w:type="dxa"/>
            <w:vAlign w:val="center"/>
          </w:tcPr>
          <w:p w14:paraId="5BFC1823" w14:textId="77777777" w:rsidR="003B4F6D" w:rsidRPr="00EB29A7" w:rsidRDefault="003B4F6D" w:rsidP="00CB1C82">
            <w:pPr>
              <w:pStyle w:val="Tabletext0"/>
              <w:spacing w:before="0" w:after="0"/>
              <w:rPr>
                <w:rFonts w:cs="Arial"/>
              </w:rPr>
            </w:pPr>
            <w:r w:rsidRPr="00EB29A7">
              <w:rPr>
                <w:rFonts w:cs="Arial"/>
                <w:color w:val="000000"/>
              </w:rPr>
              <w:t>10540</w:t>
            </w:r>
          </w:p>
        </w:tc>
        <w:tc>
          <w:tcPr>
            <w:tcW w:w="1421" w:type="dxa"/>
            <w:vAlign w:val="center"/>
          </w:tcPr>
          <w:p w14:paraId="7136DF76" w14:textId="77777777" w:rsidR="003B4F6D" w:rsidRPr="00EB29A7" w:rsidRDefault="003B4F6D" w:rsidP="00CB1C82">
            <w:pPr>
              <w:pStyle w:val="Tabletext0"/>
              <w:spacing w:before="0" w:after="0"/>
              <w:rPr>
                <w:rFonts w:cs="Arial"/>
              </w:rPr>
            </w:pPr>
            <w:r w:rsidRPr="00EB29A7">
              <w:rPr>
                <w:rFonts w:cs="Arial"/>
                <w:color w:val="000000"/>
              </w:rPr>
              <w:t>15334</w:t>
            </w:r>
          </w:p>
        </w:tc>
        <w:tc>
          <w:tcPr>
            <w:tcW w:w="1421" w:type="dxa"/>
            <w:vAlign w:val="center"/>
          </w:tcPr>
          <w:p w14:paraId="6127AF85" w14:textId="77777777" w:rsidR="003B4F6D" w:rsidRPr="00EB29A7" w:rsidRDefault="003B4F6D" w:rsidP="00CB1C82">
            <w:pPr>
              <w:pStyle w:val="Tabletext0"/>
              <w:spacing w:before="0" w:after="0"/>
              <w:rPr>
                <w:rFonts w:cs="Arial"/>
              </w:rPr>
            </w:pPr>
            <w:r w:rsidRPr="00EB29A7">
              <w:rPr>
                <w:rFonts w:cs="Arial"/>
                <w:color w:val="000000"/>
              </w:rPr>
              <w:t>19336</w:t>
            </w:r>
          </w:p>
        </w:tc>
        <w:tc>
          <w:tcPr>
            <w:tcW w:w="1421" w:type="dxa"/>
            <w:vAlign w:val="center"/>
          </w:tcPr>
          <w:p w14:paraId="4A8572AF" w14:textId="77777777" w:rsidR="003B4F6D" w:rsidRPr="00EB29A7" w:rsidRDefault="003B4F6D" w:rsidP="00CB1C82">
            <w:pPr>
              <w:pStyle w:val="Tabletext0"/>
              <w:spacing w:before="0" w:after="0"/>
              <w:rPr>
                <w:rFonts w:cs="Arial"/>
              </w:rPr>
            </w:pPr>
            <w:r w:rsidRPr="00EB29A7">
              <w:rPr>
                <w:rFonts w:cs="Arial"/>
                <w:color w:val="000000"/>
              </w:rPr>
              <w:t>24437</w:t>
            </w:r>
          </w:p>
        </w:tc>
        <w:tc>
          <w:tcPr>
            <w:tcW w:w="1421" w:type="dxa"/>
            <w:vAlign w:val="center"/>
          </w:tcPr>
          <w:p w14:paraId="7C8D7697" w14:textId="77777777" w:rsidR="003B4F6D" w:rsidRPr="00EB29A7" w:rsidRDefault="003B4F6D" w:rsidP="00CB1C82">
            <w:pPr>
              <w:pStyle w:val="Tabletext0"/>
              <w:spacing w:before="0" w:after="0"/>
              <w:rPr>
                <w:rFonts w:cs="Arial"/>
              </w:rPr>
            </w:pPr>
            <w:r w:rsidRPr="00EB29A7">
              <w:rPr>
                <w:rFonts w:cs="Arial"/>
                <w:color w:val="000000"/>
              </w:rPr>
              <w:t>30863</w:t>
            </w:r>
          </w:p>
        </w:tc>
        <w:tc>
          <w:tcPr>
            <w:tcW w:w="1421" w:type="dxa"/>
            <w:vAlign w:val="center"/>
          </w:tcPr>
          <w:p w14:paraId="5A0B88F2" w14:textId="77777777" w:rsidR="003B4F6D" w:rsidRPr="00EB29A7" w:rsidRDefault="003B4F6D" w:rsidP="00CB1C82">
            <w:pPr>
              <w:pStyle w:val="Tabletext0"/>
              <w:spacing w:before="0" w:after="0"/>
              <w:rPr>
                <w:rFonts w:cs="Arial"/>
              </w:rPr>
            </w:pPr>
            <w:r w:rsidRPr="00EB29A7">
              <w:rPr>
                <w:rFonts w:cs="Arial"/>
                <w:color w:val="000000"/>
              </w:rPr>
              <w:t>38878</w:t>
            </w:r>
          </w:p>
        </w:tc>
        <w:tc>
          <w:tcPr>
            <w:tcW w:w="1421" w:type="dxa"/>
            <w:vAlign w:val="center"/>
          </w:tcPr>
          <w:p w14:paraId="0791A321" w14:textId="77777777" w:rsidR="003B4F6D" w:rsidRPr="00EB29A7" w:rsidRDefault="003B4F6D" w:rsidP="00CB1C82">
            <w:pPr>
              <w:pStyle w:val="Tabletext0"/>
              <w:spacing w:before="0" w:after="0"/>
              <w:rPr>
                <w:rFonts w:cs="Arial"/>
              </w:rPr>
            </w:pPr>
            <w:r w:rsidRPr="00EB29A7">
              <w:rPr>
                <w:rFonts w:cs="Arial"/>
                <w:color w:val="000000"/>
              </w:rPr>
              <w:t>49090</w:t>
            </w:r>
          </w:p>
        </w:tc>
        <w:tc>
          <w:tcPr>
            <w:tcW w:w="1457" w:type="dxa"/>
            <w:vAlign w:val="center"/>
          </w:tcPr>
          <w:p w14:paraId="792BDC16" w14:textId="77777777" w:rsidR="003B4F6D" w:rsidRPr="00EB29A7" w:rsidRDefault="003B4F6D" w:rsidP="00CB1C82">
            <w:pPr>
              <w:pStyle w:val="Tabletext0"/>
              <w:spacing w:before="0" w:after="0"/>
              <w:rPr>
                <w:rFonts w:cs="Arial"/>
              </w:rPr>
            </w:pPr>
          </w:p>
        </w:tc>
      </w:tr>
      <w:tr w:rsidR="00A04B3A" w:rsidRPr="00D32939" w14:paraId="0DBFFB25" w14:textId="77777777">
        <w:trPr>
          <w:trHeight w:val="443"/>
        </w:trPr>
        <w:tc>
          <w:tcPr>
            <w:tcW w:w="3197" w:type="dxa"/>
            <w:vAlign w:val="center"/>
          </w:tcPr>
          <w:p w14:paraId="03716FEF" w14:textId="77777777" w:rsidR="003B4F6D" w:rsidRPr="00EB29A7" w:rsidRDefault="003B4F6D" w:rsidP="00CB1C82">
            <w:pPr>
              <w:pStyle w:val="Tabletext0"/>
              <w:spacing w:before="0" w:after="0"/>
              <w:rPr>
                <w:rFonts w:cs="Arial"/>
              </w:rPr>
            </w:pPr>
            <w:r w:rsidRPr="00EB29A7">
              <w:rPr>
                <w:rFonts w:cs="Arial"/>
              </w:rPr>
              <w:t>Net cost if 10% increase in testing per year</w:t>
            </w:r>
          </w:p>
        </w:tc>
        <w:tc>
          <w:tcPr>
            <w:tcW w:w="1421" w:type="dxa"/>
            <w:vAlign w:val="center"/>
          </w:tcPr>
          <w:p w14:paraId="31DFD0C8" w14:textId="597F39F9"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1,450,831</w:t>
            </w:r>
          </w:p>
        </w:tc>
        <w:tc>
          <w:tcPr>
            <w:tcW w:w="1421" w:type="dxa"/>
            <w:vAlign w:val="center"/>
          </w:tcPr>
          <w:p w14:paraId="725961E5" w14:textId="713BC18E"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2,110,725</w:t>
            </w:r>
          </w:p>
        </w:tc>
        <w:tc>
          <w:tcPr>
            <w:tcW w:w="1421" w:type="dxa"/>
            <w:vAlign w:val="center"/>
          </w:tcPr>
          <w:p w14:paraId="6A0D74D7" w14:textId="1CBE4395"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2,661,573</w:t>
            </w:r>
          </w:p>
        </w:tc>
        <w:tc>
          <w:tcPr>
            <w:tcW w:w="1421" w:type="dxa"/>
            <w:vAlign w:val="center"/>
          </w:tcPr>
          <w:p w14:paraId="2148569E" w14:textId="7C09042E"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3,363,775</w:t>
            </w:r>
          </w:p>
        </w:tc>
        <w:tc>
          <w:tcPr>
            <w:tcW w:w="1421" w:type="dxa"/>
            <w:vAlign w:val="center"/>
          </w:tcPr>
          <w:p w14:paraId="6F2F9E33" w14:textId="7B7735F9"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4,248,323</w:t>
            </w:r>
          </w:p>
        </w:tc>
        <w:tc>
          <w:tcPr>
            <w:tcW w:w="1421" w:type="dxa"/>
            <w:vAlign w:val="center"/>
          </w:tcPr>
          <w:p w14:paraId="10D4EA37" w14:textId="7C8A0414"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5,351,517</w:t>
            </w:r>
          </w:p>
        </w:tc>
        <w:tc>
          <w:tcPr>
            <w:tcW w:w="1421" w:type="dxa"/>
            <w:vAlign w:val="center"/>
          </w:tcPr>
          <w:p w14:paraId="5329F1CF" w14:textId="7533F9C7"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6,757,232</w:t>
            </w:r>
          </w:p>
        </w:tc>
        <w:tc>
          <w:tcPr>
            <w:tcW w:w="1457" w:type="dxa"/>
            <w:vAlign w:val="center"/>
          </w:tcPr>
          <w:p w14:paraId="0B2E6406" w14:textId="528353FD" w:rsidR="003B4F6D" w:rsidRPr="00EB29A7" w:rsidRDefault="00BD74C2" w:rsidP="00CB1C82">
            <w:pPr>
              <w:pStyle w:val="Tabletext0"/>
              <w:spacing w:before="0" w:after="0"/>
              <w:rPr>
                <w:rFonts w:cs="Arial"/>
              </w:rPr>
            </w:pPr>
            <w:r>
              <w:rPr>
                <w:rFonts w:cs="Arial"/>
              </w:rPr>
              <w:t>$</w:t>
            </w:r>
            <w:r w:rsidR="003B4F6D" w:rsidRPr="00EB29A7">
              <w:rPr>
                <w:rFonts w:cs="Arial"/>
              </w:rPr>
              <w:t>17,735,913</w:t>
            </w:r>
          </w:p>
        </w:tc>
      </w:tr>
      <w:tr w:rsidR="00A04B3A" w:rsidRPr="00D32939" w14:paraId="75D5A219" w14:textId="77777777">
        <w:trPr>
          <w:trHeight w:val="197"/>
        </w:trPr>
        <w:tc>
          <w:tcPr>
            <w:tcW w:w="14601" w:type="dxa"/>
            <w:gridSpan w:val="9"/>
            <w:vAlign w:val="center"/>
          </w:tcPr>
          <w:p w14:paraId="1912806D" w14:textId="6696C717" w:rsidR="003B4F6D" w:rsidRPr="00EB29A7" w:rsidRDefault="003B4F6D" w:rsidP="00CB1C82">
            <w:pPr>
              <w:pStyle w:val="Tabletext0"/>
              <w:spacing w:before="0" w:after="0"/>
              <w:rPr>
                <w:rFonts w:cs="Arial"/>
                <w:b/>
                <w:bCs/>
              </w:rPr>
            </w:pPr>
            <w:r w:rsidRPr="00EB29A7">
              <w:rPr>
                <w:rFonts w:cs="Arial"/>
                <w:b/>
                <w:bCs/>
              </w:rPr>
              <w:t>Net cost to MBS if 30% increase to patients tested per site per year</w:t>
            </w:r>
            <w:r w:rsidR="00432E67">
              <w:rPr>
                <w:rFonts w:cs="Arial"/>
                <w:b/>
                <w:bCs/>
              </w:rPr>
              <w:t xml:space="preserve"> (base case</w:t>
            </w:r>
            <w:r w:rsidR="00A7093A">
              <w:rPr>
                <w:rFonts w:cs="Arial"/>
                <w:b/>
                <w:bCs/>
              </w:rPr>
              <w:t xml:space="preserve">: </w:t>
            </w:r>
            <w:r w:rsidR="00432E67">
              <w:rPr>
                <w:rFonts w:cs="Arial"/>
                <w:b/>
                <w:bCs/>
              </w:rPr>
              <w:t>20% increase)</w:t>
            </w:r>
          </w:p>
        </w:tc>
      </w:tr>
      <w:tr w:rsidR="00A04B3A" w:rsidRPr="00D32939" w14:paraId="7F9E8C9F" w14:textId="77777777">
        <w:trPr>
          <w:trHeight w:val="213"/>
        </w:trPr>
        <w:tc>
          <w:tcPr>
            <w:tcW w:w="3197" w:type="dxa"/>
            <w:vAlign w:val="center"/>
          </w:tcPr>
          <w:p w14:paraId="1FB88462" w14:textId="77777777" w:rsidR="003B4F6D" w:rsidRPr="00EB29A7" w:rsidRDefault="003B4F6D" w:rsidP="00CB1C82">
            <w:pPr>
              <w:pStyle w:val="Tabletext0"/>
              <w:spacing w:before="0" w:after="0"/>
              <w:rPr>
                <w:rFonts w:cs="Arial"/>
              </w:rPr>
            </w:pPr>
            <w:r w:rsidRPr="00EB29A7">
              <w:rPr>
                <w:rFonts w:cs="Arial"/>
              </w:rPr>
              <w:t>Number of tests per site</w:t>
            </w:r>
          </w:p>
        </w:tc>
        <w:tc>
          <w:tcPr>
            <w:tcW w:w="1421" w:type="dxa"/>
            <w:vAlign w:val="center"/>
          </w:tcPr>
          <w:p w14:paraId="04BB5B47" w14:textId="77777777" w:rsidR="003B4F6D" w:rsidRPr="00EB29A7" w:rsidRDefault="003B4F6D" w:rsidP="00CB1C82">
            <w:pPr>
              <w:pStyle w:val="Tabletext0"/>
              <w:spacing w:before="0" w:after="0"/>
              <w:rPr>
                <w:rFonts w:cs="Arial"/>
              </w:rPr>
            </w:pPr>
            <w:r w:rsidRPr="00EB29A7">
              <w:rPr>
                <w:rFonts w:cs="Arial"/>
                <w:color w:val="000000"/>
              </w:rPr>
              <w:t>170</w:t>
            </w:r>
          </w:p>
        </w:tc>
        <w:tc>
          <w:tcPr>
            <w:tcW w:w="1421" w:type="dxa"/>
            <w:vAlign w:val="center"/>
          </w:tcPr>
          <w:p w14:paraId="22A964B3" w14:textId="77777777" w:rsidR="003B4F6D" w:rsidRPr="00EB29A7" w:rsidRDefault="003B4F6D" w:rsidP="00CB1C82">
            <w:pPr>
              <w:pStyle w:val="Tabletext0"/>
              <w:spacing w:before="0" w:after="0"/>
              <w:rPr>
                <w:rFonts w:cs="Arial"/>
              </w:rPr>
            </w:pPr>
            <w:r w:rsidRPr="00EB29A7">
              <w:rPr>
                <w:rFonts w:cs="Arial"/>
                <w:color w:val="000000"/>
              </w:rPr>
              <w:t>221</w:t>
            </w:r>
          </w:p>
        </w:tc>
        <w:tc>
          <w:tcPr>
            <w:tcW w:w="1421" w:type="dxa"/>
            <w:vAlign w:val="center"/>
          </w:tcPr>
          <w:p w14:paraId="5788D974" w14:textId="77777777" w:rsidR="003B4F6D" w:rsidRPr="00EB29A7" w:rsidRDefault="003B4F6D" w:rsidP="00CB1C82">
            <w:pPr>
              <w:pStyle w:val="Tabletext0"/>
              <w:spacing w:before="0" w:after="0"/>
              <w:rPr>
                <w:rFonts w:cs="Arial"/>
                <w:color w:val="000000"/>
              </w:rPr>
            </w:pPr>
            <w:r w:rsidRPr="00EB29A7">
              <w:rPr>
                <w:rFonts w:cs="Arial"/>
                <w:color w:val="000000"/>
              </w:rPr>
              <w:t>287</w:t>
            </w:r>
          </w:p>
        </w:tc>
        <w:tc>
          <w:tcPr>
            <w:tcW w:w="1421" w:type="dxa"/>
            <w:vAlign w:val="center"/>
          </w:tcPr>
          <w:p w14:paraId="380B1A59" w14:textId="77777777" w:rsidR="003B4F6D" w:rsidRPr="00EB29A7" w:rsidRDefault="003B4F6D" w:rsidP="00CB1C82">
            <w:pPr>
              <w:pStyle w:val="Tabletext0"/>
              <w:spacing w:before="0" w:after="0"/>
              <w:rPr>
                <w:rFonts w:cs="Arial"/>
                <w:color w:val="000000"/>
              </w:rPr>
            </w:pPr>
            <w:r w:rsidRPr="00EB29A7">
              <w:rPr>
                <w:rFonts w:cs="Arial"/>
                <w:color w:val="000000"/>
              </w:rPr>
              <w:t>373</w:t>
            </w:r>
          </w:p>
        </w:tc>
        <w:tc>
          <w:tcPr>
            <w:tcW w:w="1421" w:type="dxa"/>
            <w:vAlign w:val="center"/>
          </w:tcPr>
          <w:p w14:paraId="1CFE8EB1" w14:textId="77777777" w:rsidR="003B4F6D" w:rsidRPr="00EB29A7" w:rsidRDefault="003B4F6D" w:rsidP="00CB1C82">
            <w:pPr>
              <w:pStyle w:val="Tabletext0"/>
              <w:spacing w:before="0" w:after="0"/>
              <w:rPr>
                <w:rFonts w:cs="Arial"/>
                <w:color w:val="000000"/>
              </w:rPr>
            </w:pPr>
            <w:r w:rsidRPr="00EB29A7">
              <w:rPr>
                <w:rFonts w:cs="Arial"/>
                <w:color w:val="000000"/>
              </w:rPr>
              <w:t>486</w:t>
            </w:r>
          </w:p>
        </w:tc>
        <w:tc>
          <w:tcPr>
            <w:tcW w:w="1421" w:type="dxa"/>
            <w:vAlign w:val="center"/>
          </w:tcPr>
          <w:p w14:paraId="6CB4E547" w14:textId="77777777" w:rsidR="003B4F6D" w:rsidRPr="00EB29A7" w:rsidRDefault="003B4F6D" w:rsidP="00CB1C82">
            <w:pPr>
              <w:pStyle w:val="Tabletext0"/>
              <w:spacing w:before="0" w:after="0"/>
              <w:rPr>
                <w:rFonts w:cs="Arial"/>
                <w:color w:val="000000"/>
              </w:rPr>
            </w:pPr>
            <w:r w:rsidRPr="00EB29A7">
              <w:rPr>
                <w:rFonts w:cs="Arial"/>
                <w:color w:val="000000"/>
              </w:rPr>
              <w:t>631</w:t>
            </w:r>
          </w:p>
        </w:tc>
        <w:tc>
          <w:tcPr>
            <w:tcW w:w="1421" w:type="dxa"/>
            <w:vAlign w:val="center"/>
          </w:tcPr>
          <w:p w14:paraId="72CCD1D8" w14:textId="77777777" w:rsidR="003B4F6D" w:rsidRPr="00EB29A7" w:rsidRDefault="003B4F6D" w:rsidP="00CB1C82">
            <w:pPr>
              <w:pStyle w:val="Tabletext0"/>
              <w:spacing w:before="0" w:after="0"/>
              <w:rPr>
                <w:rFonts w:cs="Arial"/>
                <w:color w:val="000000"/>
              </w:rPr>
            </w:pPr>
            <w:r w:rsidRPr="00EB29A7">
              <w:rPr>
                <w:rFonts w:cs="Arial"/>
                <w:color w:val="000000"/>
              </w:rPr>
              <w:t>821</w:t>
            </w:r>
          </w:p>
        </w:tc>
        <w:tc>
          <w:tcPr>
            <w:tcW w:w="1457" w:type="dxa"/>
            <w:vAlign w:val="center"/>
          </w:tcPr>
          <w:p w14:paraId="369B51D1" w14:textId="77777777" w:rsidR="003B4F6D" w:rsidRPr="00EB29A7" w:rsidRDefault="003B4F6D" w:rsidP="00CB1C82">
            <w:pPr>
              <w:pStyle w:val="Tabletext0"/>
              <w:spacing w:before="0" w:after="0"/>
              <w:rPr>
                <w:rFonts w:cs="Arial"/>
              </w:rPr>
            </w:pPr>
          </w:p>
        </w:tc>
      </w:tr>
      <w:tr w:rsidR="00A04B3A" w:rsidRPr="00D32939" w14:paraId="32BAE544" w14:textId="77777777">
        <w:trPr>
          <w:trHeight w:val="213"/>
        </w:trPr>
        <w:tc>
          <w:tcPr>
            <w:tcW w:w="3197" w:type="dxa"/>
            <w:vAlign w:val="center"/>
          </w:tcPr>
          <w:p w14:paraId="0085BDD4" w14:textId="77777777" w:rsidR="003B4F6D" w:rsidRPr="00EB29A7" w:rsidRDefault="003B4F6D" w:rsidP="00CB1C82">
            <w:pPr>
              <w:pStyle w:val="Tabletext0"/>
              <w:spacing w:before="0" w:after="0"/>
              <w:rPr>
                <w:rFonts w:cs="Arial"/>
              </w:rPr>
            </w:pPr>
            <w:r w:rsidRPr="00EB29A7">
              <w:rPr>
                <w:rFonts w:cs="Arial"/>
              </w:rPr>
              <w:t>Total number of tests</w:t>
            </w:r>
          </w:p>
        </w:tc>
        <w:tc>
          <w:tcPr>
            <w:tcW w:w="1421" w:type="dxa"/>
            <w:vAlign w:val="center"/>
          </w:tcPr>
          <w:p w14:paraId="25D0307B" w14:textId="77777777" w:rsidR="003B4F6D" w:rsidRPr="00EB29A7" w:rsidRDefault="003B4F6D" w:rsidP="00CB1C82">
            <w:pPr>
              <w:pStyle w:val="Tabletext0"/>
              <w:spacing w:before="0" w:after="0"/>
              <w:rPr>
                <w:rFonts w:cs="Arial"/>
              </w:rPr>
            </w:pPr>
            <w:r w:rsidRPr="00EB29A7">
              <w:rPr>
                <w:rFonts w:cs="Arial"/>
                <w:color w:val="000000"/>
              </w:rPr>
              <w:t>10540</w:t>
            </w:r>
          </w:p>
        </w:tc>
        <w:tc>
          <w:tcPr>
            <w:tcW w:w="1421" w:type="dxa"/>
            <w:vAlign w:val="center"/>
          </w:tcPr>
          <w:p w14:paraId="3EE09695" w14:textId="77777777" w:rsidR="003B4F6D" w:rsidRPr="00EB29A7" w:rsidRDefault="003B4F6D" w:rsidP="00CB1C82">
            <w:pPr>
              <w:pStyle w:val="Tabletext0"/>
              <w:spacing w:before="0" w:after="0"/>
              <w:rPr>
                <w:rFonts w:cs="Arial"/>
              </w:rPr>
            </w:pPr>
            <w:r w:rsidRPr="00EB29A7">
              <w:rPr>
                <w:rFonts w:cs="Arial"/>
                <w:color w:val="000000"/>
              </w:rPr>
              <w:t>18122</w:t>
            </w:r>
          </w:p>
        </w:tc>
        <w:tc>
          <w:tcPr>
            <w:tcW w:w="1421" w:type="dxa"/>
            <w:vAlign w:val="center"/>
          </w:tcPr>
          <w:p w14:paraId="48FDA470" w14:textId="77777777" w:rsidR="003B4F6D" w:rsidRPr="00EB29A7" w:rsidRDefault="003B4F6D" w:rsidP="00CB1C82">
            <w:pPr>
              <w:pStyle w:val="Tabletext0"/>
              <w:spacing w:before="0" w:after="0"/>
              <w:rPr>
                <w:rFonts w:cs="Arial"/>
                <w:color w:val="000000"/>
              </w:rPr>
            </w:pPr>
            <w:r w:rsidRPr="00EB29A7">
              <w:rPr>
                <w:rFonts w:cs="Arial"/>
                <w:color w:val="000000"/>
              </w:rPr>
              <w:t>27006</w:t>
            </w:r>
          </w:p>
        </w:tc>
        <w:tc>
          <w:tcPr>
            <w:tcW w:w="1421" w:type="dxa"/>
            <w:vAlign w:val="center"/>
          </w:tcPr>
          <w:p w14:paraId="459A37CD" w14:textId="77777777" w:rsidR="003B4F6D" w:rsidRPr="00EB29A7" w:rsidRDefault="003B4F6D" w:rsidP="00CB1C82">
            <w:pPr>
              <w:pStyle w:val="Tabletext0"/>
              <w:spacing w:before="0" w:after="0"/>
              <w:rPr>
                <w:rFonts w:cs="Arial"/>
                <w:color w:val="000000"/>
              </w:rPr>
            </w:pPr>
            <w:r w:rsidRPr="00EB29A7">
              <w:rPr>
                <w:rFonts w:cs="Arial"/>
                <w:color w:val="000000"/>
              </w:rPr>
              <w:t>40337</w:t>
            </w:r>
          </w:p>
        </w:tc>
        <w:tc>
          <w:tcPr>
            <w:tcW w:w="1421" w:type="dxa"/>
            <w:vAlign w:val="center"/>
          </w:tcPr>
          <w:p w14:paraId="485B8884" w14:textId="77777777" w:rsidR="003B4F6D" w:rsidRPr="00EB29A7" w:rsidRDefault="003B4F6D" w:rsidP="00CB1C82">
            <w:pPr>
              <w:pStyle w:val="Tabletext0"/>
              <w:spacing w:before="0" w:after="0"/>
              <w:rPr>
                <w:rFonts w:cs="Arial"/>
                <w:color w:val="000000"/>
              </w:rPr>
            </w:pPr>
            <w:r w:rsidRPr="00EB29A7">
              <w:rPr>
                <w:rFonts w:cs="Arial"/>
                <w:color w:val="000000"/>
              </w:rPr>
              <w:t>60207</w:t>
            </w:r>
          </w:p>
        </w:tc>
        <w:tc>
          <w:tcPr>
            <w:tcW w:w="1421" w:type="dxa"/>
            <w:vAlign w:val="center"/>
          </w:tcPr>
          <w:p w14:paraId="7A911002" w14:textId="77777777" w:rsidR="003B4F6D" w:rsidRPr="00EB29A7" w:rsidRDefault="003B4F6D" w:rsidP="00CB1C82">
            <w:pPr>
              <w:pStyle w:val="Tabletext0"/>
              <w:spacing w:before="0" w:after="0"/>
              <w:rPr>
                <w:rFonts w:cs="Arial"/>
                <w:color w:val="000000"/>
              </w:rPr>
            </w:pPr>
            <w:r w:rsidRPr="00EB29A7">
              <w:rPr>
                <w:rFonts w:cs="Arial"/>
                <w:color w:val="000000"/>
              </w:rPr>
              <w:t>89630</w:t>
            </w:r>
          </w:p>
        </w:tc>
        <w:tc>
          <w:tcPr>
            <w:tcW w:w="1421" w:type="dxa"/>
            <w:vAlign w:val="center"/>
          </w:tcPr>
          <w:p w14:paraId="2A2017B0" w14:textId="77777777" w:rsidR="003B4F6D" w:rsidRPr="00EB29A7" w:rsidRDefault="003B4F6D" w:rsidP="00CB1C82">
            <w:pPr>
              <w:pStyle w:val="Tabletext0"/>
              <w:spacing w:before="0" w:after="0"/>
              <w:rPr>
                <w:rFonts w:cs="Arial"/>
                <w:color w:val="000000"/>
              </w:rPr>
            </w:pPr>
            <w:r w:rsidRPr="00EB29A7">
              <w:rPr>
                <w:rFonts w:cs="Arial"/>
                <w:color w:val="000000"/>
              </w:rPr>
              <w:t>133751</w:t>
            </w:r>
          </w:p>
        </w:tc>
        <w:tc>
          <w:tcPr>
            <w:tcW w:w="1457" w:type="dxa"/>
            <w:vAlign w:val="center"/>
          </w:tcPr>
          <w:p w14:paraId="2C397143" w14:textId="77777777" w:rsidR="003B4F6D" w:rsidRPr="00EB29A7" w:rsidRDefault="003B4F6D" w:rsidP="00CB1C82">
            <w:pPr>
              <w:pStyle w:val="Tabletext0"/>
              <w:spacing w:before="0" w:after="0"/>
              <w:rPr>
                <w:rFonts w:cs="Arial"/>
              </w:rPr>
            </w:pPr>
          </w:p>
        </w:tc>
      </w:tr>
      <w:tr w:rsidR="00A04B3A" w:rsidRPr="00D32939" w14:paraId="5AAA98BA" w14:textId="77777777">
        <w:trPr>
          <w:trHeight w:val="426"/>
        </w:trPr>
        <w:tc>
          <w:tcPr>
            <w:tcW w:w="3197" w:type="dxa"/>
            <w:vAlign w:val="center"/>
          </w:tcPr>
          <w:p w14:paraId="46FA37F2" w14:textId="77777777" w:rsidR="003B4F6D" w:rsidRPr="00EB29A7" w:rsidRDefault="003B4F6D" w:rsidP="00CB1C82">
            <w:pPr>
              <w:pStyle w:val="Tabletext0"/>
              <w:spacing w:before="0" w:after="0"/>
              <w:rPr>
                <w:rFonts w:cs="Arial"/>
              </w:rPr>
            </w:pPr>
            <w:r w:rsidRPr="00EB29A7">
              <w:rPr>
                <w:rFonts w:cs="Arial"/>
              </w:rPr>
              <w:t>Net cost if 30% increase in testing per year</w:t>
            </w:r>
          </w:p>
        </w:tc>
        <w:tc>
          <w:tcPr>
            <w:tcW w:w="1421" w:type="dxa"/>
            <w:vAlign w:val="center"/>
          </w:tcPr>
          <w:p w14:paraId="08411B61" w14:textId="7747488A"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1,450,831</w:t>
            </w:r>
          </w:p>
        </w:tc>
        <w:tc>
          <w:tcPr>
            <w:tcW w:w="1421" w:type="dxa"/>
            <w:vAlign w:val="center"/>
          </w:tcPr>
          <w:p w14:paraId="44C41142" w14:textId="04EDC052" w:rsidR="003B4F6D" w:rsidRPr="00EB29A7" w:rsidRDefault="00BD74C2" w:rsidP="00CB1C82">
            <w:pPr>
              <w:pStyle w:val="Tabletext0"/>
              <w:spacing w:before="0" w:after="0"/>
              <w:rPr>
                <w:rFonts w:cs="Arial"/>
              </w:rPr>
            </w:pPr>
            <w:r>
              <w:rPr>
                <w:rFonts w:cs="Arial"/>
                <w:color w:val="000000"/>
              </w:rPr>
              <w:t>$</w:t>
            </w:r>
            <w:r w:rsidR="003B4F6D" w:rsidRPr="00EB29A7">
              <w:rPr>
                <w:rFonts w:cs="Arial"/>
                <w:color w:val="000000"/>
              </w:rPr>
              <w:t>2,494,493</w:t>
            </w:r>
          </w:p>
        </w:tc>
        <w:tc>
          <w:tcPr>
            <w:tcW w:w="1421" w:type="dxa"/>
            <w:vAlign w:val="center"/>
          </w:tcPr>
          <w:p w14:paraId="30D6F395" w14:textId="4434ADFE" w:rsidR="003B4F6D" w:rsidRPr="00EB29A7" w:rsidRDefault="00BD74C2" w:rsidP="00CB1C82">
            <w:pPr>
              <w:pStyle w:val="Tabletext0"/>
              <w:spacing w:before="0" w:after="0"/>
              <w:rPr>
                <w:rFonts w:cs="Arial"/>
                <w:color w:val="000000"/>
              </w:rPr>
            </w:pPr>
            <w:r>
              <w:rPr>
                <w:rFonts w:cs="Arial"/>
                <w:color w:val="000000"/>
              </w:rPr>
              <w:t>$</w:t>
            </w:r>
            <w:r w:rsidR="003B4F6D" w:rsidRPr="00EB29A7">
              <w:rPr>
                <w:rFonts w:cs="Arial"/>
                <w:color w:val="000000"/>
              </w:rPr>
              <w:t>3,717,403</w:t>
            </w:r>
          </w:p>
        </w:tc>
        <w:tc>
          <w:tcPr>
            <w:tcW w:w="1421" w:type="dxa"/>
            <w:vAlign w:val="center"/>
          </w:tcPr>
          <w:p w14:paraId="414B7677" w14:textId="52D20C0C" w:rsidR="003B4F6D" w:rsidRPr="00EB29A7" w:rsidRDefault="00BD74C2" w:rsidP="00CB1C82">
            <w:pPr>
              <w:pStyle w:val="Tabletext0"/>
              <w:spacing w:before="0" w:after="0"/>
              <w:rPr>
                <w:rFonts w:cs="Arial"/>
                <w:color w:val="000000"/>
              </w:rPr>
            </w:pPr>
            <w:r>
              <w:rPr>
                <w:rFonts w:cs="Arial"/>
                <w:color w:val="000000"/>
              </w:rPr>
              <w:t>$</w:t>
            </w:r>
            <w:r w:rsidR="003B4F6D" w:rsidRPr="00EB29A7">
              <w:rPr>
                <w:rFonts w:cs="Arial"/>
                <w:color w:val="000000"/>
              </w:rPr>
              <w:t>5,552,377</w:t>
            </w:r>
          </w:p>
        </w:tc>
        <w:tc>
          <w:tcPr>
            <w:tcW w:w="1421" w:type="dxa"/>
            <w:vAlign w:val="center"/>
          </w:tcPr>
          <w:p w14:paraId="070C9D2F" w14:textId="75791CF4" w:rsidR="003B4F6D" w:rsidRPr="00EB29A7" w:rsidRDefault="00BD74C2" w:rsidP="00CB1C82">
            <w:pPr>
              <w:pStyle w:val="Tabletext0"/>
              <w:spacing w:before="0" w:after="0"/>
              <w:rPr>
                <w:rFonts w:cs="Arial"/>
                <w:color w:val="000000"/>
              </w:rPr>
            </w:pPr>
            <w:r>
              <w:rPr>
                <w:rFonts w:cs="Arial"/>
                <w:color w:val="000000"/>
              </w:rPr>
              <w:t>$</w:t>
            </w:r>
            <w:r w:rsidR="003B4F6D" w:rsidRPr="00EB29A7">
              <w:rPr>
                <w:rFonts w:cs="Arial"/>
                <w:color w:val="000000"/>
              </w:rPr>
              <w:t>8,287,437</w:t>
            </w:r>
          </w:p>
        </w:tc>
        <w:tc>
          <w:tcPr>
            <w:tcW w:w="1421" w:type="dxa"/>
            <w:vAlign w:val="center"/>
          </w:tcPr>
          <w:p w14:paraId="09F6C169" w14:textId="330D568C" w:rsidR="003B4F6D" w:rsidRPr="00EB29A7" w:rsidRDefault="00BD74C2" w:rsidP="00CB1C82">
            <w:pPr>
              <w:pStyle w:val="Tabletext0"/>
              <w:spacing w:before="0" w:after="0"/>
              <w:rPr>
                <w:rFonts w:cs="Arial"/>
                <w:color w:val="000000"/>
              </w:rPr>
            </w:pPr>
            <w:r>
              <w:rPr>
                <w:rFonts w:cs="Arial"/>
                <w:color w:val="000000"/>
              </w:rPr>
              <w:t>$</w:t>
            </w:r>
            <w:r w:rsidR="003B4F6D" w:rsidRPr="00EB29A7">
              <w:rPr>
                <w:rFonts w:cs="Arial"/>
                <w:color w:val="000000"/>
              </w:rPr>
              <w:t>12,337,587</w:t>
            </w:r>
          </w:p>
        </w:tc>
        <w:tc>
          <w:tcPr>
            <w:tcW w:w="1421" w:type="dxa"/>
            <w:vAlign w:val="center"/>
          </w:tcPr>
          <w:p w14:paraId="5A66887F" w14:textId="07E9B8FB" w:rsidR="003B4F6D" w:rsidRPr="00EB29A7" w:rsidRDefault="00BD74C2" w:rsidP="00CB1C82">
            <w:pPr>
              <w:pStyle w:val="Tabletext0"/>
              <w:spacing w:before="0" w:after="0"/>
              <w:rPr>
                <w:rFonts w:cs="Arial"/>
                <w:color w:val="000000"/>
              </w:rPr>
            </w:pPr>
            <w:r>
              <w:rPr>
                <w:rFonts w:cs="Arial"/>
                <w:color w:val="000000"/>
              </w:rPr>
              <w:t>$</w:t>
            </w:r>
            <w:r w:rsidR="003B4F6D" w:rsidRPr="00EB29A7">
              <w:rPr>
                <w:rFonts w:cs="Arial"/>
                <w:color w:val="000000"/>
              </w:rPr>
              <w:t>18,410,808</w:t>
            </w:r>
          </w:p>
        </w:tc>
        <w:tc>
          <w:tcPr>
            <w:tcW w:w="1457" w:type="dxa"/>
            <w:vAlign w:val="center"/>
          </w:tcPr>
          <w:p w14:paraId="2A8F688C" w14:textId="0D1CC33F" w:rsidR="003B4F6D" w:rsidRPr="00EB29A7" w:rsidRDefault="00BD74C2" w:rsidP="00CB1C82">
            <w:pPr>
              <w:pStyle w:val="Tabletext0"/>
              <w:spacing w:before="0" w:after="0"/>
              <w:rPr>
                <w:rFonts w:cs="Arial"/>
              </w:rPr>
            </w:pPr>
            <w:r>
              <w:rPr>
                <w:rFonts w:cs="Arial"/>
              </w:rPr>
              <w:t>$</w:t>
            </w:r>
            <w:r w:rsidR="003B4F6D" w:rsidRPr="00EB29A7">
              <w:rPr>
                <w:rFonts w:cs="Arial"/>
              </w:rPr>
              <w:t>32,389,297</w:t>
            </w:r>
          </w:p>
        </w:tc>
      </w:tr>
      <w:tr w:rsidR="00A04B3A" w:rsidRPr="00D32939" w14:paraId="2CADF909" w14:textId="77777777" w:rsidTr="00EB29A7">
        <w:trPr>
          <w:trHeight w:val="426"/>
        </w:trPr>
        <w:tc>
          <w:tcPr>
            <w:tcW w:w="14601" w:type="dxa"/>
            <w:gridSpan w:val="9"/>
            <w:vAlign w:val="center"/>
          </w:tcPr>
          <w:p w14:paraId="2BDF32D6" w14:textId="3DDE5A08" w:rsidR="00566300" w:rsidRPr="00EB29A7" w:rsidRDefault="00566300" w:rsidP="00CB1C82">
            <w:pPr>
              <w:pStyle w:val="Tabletext0"/>
              <w:spacing w:before="0" w:after="0"/>
              <w:rPr>
                <w:rFonts w:cs="Arial"/>
                <w:b/>
                <w:bCs/>
              </w:rPr>
            </w:pPr>
            <w:r w:rsidRPr="00EB29A7">
              <w:rPr>
                <w:rFonts w:eastAsiaTheme="minorHAnsi" w:cs="Arial"/>
                <w:b/>
              </w:rPr>
              <w:t xml:space="preserve">Department Sensitivity </w:t>
            </w:r>
            <w:r w:rsidR="0009482E" w:rsidRPr="0009482E">
              <w:rPr>
                <w:rFonts w:cs="Arial"/>
                <w:b/>
                <w:bCs/>
              </w:rPr>
              <w:t>Analys</w:t>
            </w:r>
            <w:r w:rsidR="0009482E">
              <w:rPr>
                <w:rFonts w:cs="Arial"/>
                <w:b/>
                <w:bCs/>
              </w:rPr>
              <w:t>i</w:t>
            </w:r>
            <w:r w:rsidR="0009482E" w:rsidRPr="0009482E">
              <w:rPr>
                <w:rFonts w:cs="Arial"/>
                <w:b/>
                <w:bCs/>
              </w:rPr>
              <w:t>s</w:t>
            </w:r>
          </w:p>
        </w:tc>
      </w:tr>
      <w:tr w:rsidR="00A04B3A" w:rsidRPr="00D32939" w14:paraId="2750414C" w14:textId="77777777" w:rsidTr="00EB29A7">
        <w:trPr>
          <w:trHeight w:val="426"/>
        </w:trPr>
        <w:tc>
          <w:tcPr>
            <w:tcW w:w="14601" w:type="dxa"/>
            <w:gridSpan w:val="9"/>
            <w:vAlign w:val="center"/>
          </w:tcPr>
          <w:p w14:paraId="226C1437" w14:textId="741CEECC" w:rsidR="00566300" w:rsidRPr="00EB29A7" w:rsidRDefault="0009482E" w:rsidP="00CB1C82">
            <w:pPr>
              <w:pStyle w:val="Tabletext0"/>
              <w:spacing w:before="0" w:after="0"/>
              <w:rPr>
                <w:rFonts w:cs="Arial"/>
                <w:b/>
                <w:bCs/>
              </w:rPr>
            </w:pPr>
            <w:r>
              <w:rPr>
                <w:rFonts w:cs="Arial"/>
                <w:b/>
                <w:bCs/>
              </w:rPr>
              <w:t xml:space="preserve">Alternative 1 fee in </w:t>
            </w:r>
            <w:r w:rsidRPr="0009482E">
              <w:rPr>
                <w:rFonts w:cs="Arial"/>
                <w:b/>
                <w:bCs/>
              </w:rPr>
              <w:fldChar w:fldCharType="begin"/>
            </w:r>
            <w:r w:rsidRPr="0009482E">
              <w:rPr>
                <w:rFonts w:cs="Arial"/>
                <w:b/>
                <w:bCs/>
              </w:rPr>
              <w:instrText xml:space="preserve"> REF _Ref147777928 \h </w:instrText>
            </w:r>
            <w:r w:rsidRPr="00EB29A7">
              <w:rPr>
                <w:rFonts w:cs="Arial"/>
                <w:b/>
                <w:bCs/>
              </w:rPr>
              <w:instrText xml:space="preserve"> \* MERGEFORMAT </w:instrText>
            </w:r>
            <w:r w:rsidRPr="0009482E">
              <w:rPr>
                <w:rFonts w:cs="Arial"/>
                <w:b/>
                <w:bCs/>
              </w:rPr>
            </w:r>
            <w:r w:rsidRPr="0009482E">
              <w:rPr>
                <w:rFonts w:cs="Arial"/>
                <w:b/>
                <w:bCs/>
              </w:rPr>
              <w:fldChar w:fldCharType="separate"/>
            </w:r>
            <w:r w:rsidR="00DE2A83" w:rsidRPr="00AD4793">
              <w:rPr>
                <w:b/>
                <w:bCs/>
              </w:rPr>
              <w:t xml:space="preserve">Table </w:t>
            </w:r>
            <w:r w:rsidR="00DE2A83" w:rsidRPr="00AD4793">
              <w:rPr>
                <w:b/>
                <w:bCs/>
                <w:noProof/>
              </w:rPr>
              <w:t>4</w:t>
            </w:r>
            <w:r w:rsidRPr="0009482E">
              <w:rPr>
                <w:rFonts w:cs="Arial"/>
                <w:b/>
                <w:bCs/>
              </w:rPr>
              <w:fldChar w:fldCharType="end"/>
            </w:r>
            <w:r w:rsidR="00790E3D">
              <w:rPr>
                <w:rFonts w:cs="Arial"/>
                <w:b/>
                <w:bCs/>
              </w:rPr>
              <w:t xml:space="preserve"> </w:t>
            </w:r>
            <w:r w:rsidR="006B5A68">
              <w:rPr>
                <w:rFonts w:cs="Arial"/>
                <w:b/>
                <w:bCs/>
              </w:rPr>
              <w:t>–</w:t>
            </w:r>
            <w:r w:rsidR="00790E3D">
              <w:rPr>
                <w:rFonts w:cs="Arial"/>
                <w:b/>
                <w:bCs/>
              </w:rPr>
              <w:t xml:space="preserve"> </w:t>
            </w:r>
            <w:r w:rsidR="00790E3D">
              <w:rPr>
                <w:rFonts w:eastAsiaTheme="minorHAnsi" w:cs="Arial"/>
                <w:b/>
              </w:rPr>
              <w:t>S</w:t>
            </w:r>
            <w:r w:rsidR="00790E3D" w:rsidRPr="00EB29A7">
              <w:rPr>
                <w:rFonts w:eastAsiaTheme="minorHAnsi" w:cs="Arial"/>
                <w:b/>
              </w:rPr>
              <w:t>ingle</w:t>
            </w:r>
            <w:r w:rsidR="006B5A68">
              <w:rPr>
                <w:rFonts w:eastAsiaTheme="minorHAnsi" w:cs="Arial"/>
                <w:b/>
              </w:rPr>
              <w:t xml:space="preserve"> 20min</w:t>
            </w:r>
            <w:r w:rsidR="00790E3D" w:rsidRPr="00EB29A7">
              <w:rPr>
                <w:rFonts w:eastAsiaTheme="minorHAnsi" w:cs="Arial"/>
                <w:b/>
              </w:rPr>
              <w:t xml:space="preserve"> miscellaneous service item</w:t>
            </w:r>
            <w:r w:rsidR="00790E3D">
              <w:rPr>
                <w:rFonts w:cs="Arial"/>
                <w:b/>
                <w:bCs/>
              </w:rPr>
              <w:t xml:space="preserve"> claimed for combined CT/NG and TV PoCT</w:t>
            </w:r>
          </w:p>
        </w:tc>
      </w:tr>
      <w:tr w:rsidR="00A04B3A" w:rsidRPr="00D32939" w14:paraId="60B4098D" w14:textId="77777777" w:rsidTr="00EB29A7">
        <w:trPr>
          <w:trHeight w:val="257"/>
        </w:trPr>
        <w:tc>
          <w:tcPr>
            <w:tcW w:w="3197" w:type="dxa"/>
            <w:vAlign w:val="center"/>
          </w:tcPr>
          <w:p w14:paraId="0387A24A" w14:textId="710F986A" w:rsidR="00D32939" w:rsidRPr="00EB29A7" w:rsidRDefault="00D32939" w:rsidP="00CB1C82">
            <w:pPr>
              <w:pStyle w:val="Tabletext0"/>
              <w:spacing w:before="0" w:after="0"/>
              <w:rPr>
                <w:rFonts w:cs="Arial"/>
              </w:rPr>
            </w:pPr>
            <w:r w:rsidRPr="00EB29A7">
              <w:rPr>
                <w:rFonts w:cs="Arial"/>
              </w:rPr>
              <w:t>Total number of tests</w:t>
            </w:r>
          </w:p>
        </w:tc>
        <w:tc>
          <w:tcPr>
            <w:tcW w:w="1421" w:type="dxa"/>
            <w:vAlign w:val="center"/>
          </w:tcPr>
          <w:p w14:paraId="0569B4FF" w14:textId="54B81CAD" w:rsidR="00D32939" w:rsidRPr="00EB29A7" w:rsidRDefault="00D32939" w:rsidP="00CB1C82">
            <w:pPr>
              <w:pStyle w:val="Tabletext0"/>
              <w:spacing w:before="0" w:after="0"/>
              <w:jc w:val="left"/>
              <w:rPr>
                <w:rFonts w:cs="Arial"/>
              </w:rPr>
            </w:pPr>
            <w:r w:rsidRPr="00D32939">
              <w:rPr>
                <w:rFonts w:cs="Arial"/>
              </w:rPr>
              <w:t xml:space="preserve"> 10,540 </w:t>
            </w:r>
          </w:p>
        </w:tc>
        <w:tc>
          <w:tcPr>
            <w:tcW w:w="1421" w:type="dxa"/>
            <w:vAlign w:val="center"/>
          </w:tcPr>
          <w:p w14:paraId="43515262" w14:textId="12591364" w:rsidR="00D32939" w:rsidRPr="00EB29A7" w:rsidRDefault="00D32939" w:rsidP="00CB1C82">
            <w:pPr>
              <w:pStyle w:val="Tabletext0"/>
              <w:spacing w:before="0" w:after="0"/>
              <w:jc w:val="left"/>
              <w:rPr>
                <w:rFonts w:cs="Arial"/>
              </w:rPr>
            </w:pPr>
            <w:r w:rsidRPr="00D32939">
              <w:rPr>
                <w:rFonts w:cs="Arial"/>
              </w:rPr>
              <w:t xml:space="preserve"> 16,728 </w:t>
            </w:r>
          </w:p>
        </w:tc>
        <w:tc>
          <w:tcPr>
            <w:tcW w:w="1421" w:type="dxa"/>
            <w:vAlign w:val="center"/>
          </w:tcPr>
          <w:p w14:paraId="21D258D6" w14:textId="6B80E818" w:rsidR="00D32939" w:rsidRPr="00EB29A7" w:rsidRDefault="00D32939" w:rsidP="00CB1C82">
            <w:pPr>
              <w:pStyle w:val="Tabletext0"/>
              <w:spacing w:before="0" w:after="0"/>
              <w:jc w:val="left"/>
              <w:rPr>
                <w:rFonts w:cs="Arial"/>
              </w:rPr>
            </w:pPr>
            <w:r w:rsidRPr="00D32939">
              <w:rPr>
                <w:rFonts w:cs="Arial"/>
              </w:rPr>
              <w:t xml:space="preserve"> 23,011 </w:t>
            </w:r>
          </w:p>
        </w:tc>
        <w:tc>
          <w:tcPr>
            <w:tcW w:w="1421" w:type="dxa"/>
            <w:vAlign w:val="center"/>
          </w:tcPr>
          <w:p w14:paraId="1DA6DE6A" w14:textId="12C409CB" w:rsidR="00D32939" w:rsidRPr="00EB29A7" w:rsidRDefault="00D32939" w:rsidP="00CB1C82">
            <w:pPr>
              <w:pStyle w:val="Tabletext0"/>
              <w:spacing w:before="0" w:after="0"/>
              <w:jc w:val="left"/>
              <w:rPr>
                <w:rFonts w:cs="Arial"/>
              </w:rPr>
            </w:pPr>
            <w:r w:rsidRPr="00D32939">
              <w:rPr>
                <w:rFonts w:cs="Arial"/>
              </w:rPr>
              <w:t xml:space="preserve"> 31,726 </w:t>
            </w:r>
          </w:p>
        </w:tc>
        <w:tc>
          <w:tcPr>
            <w:tcW w:w="1421" w:type="dxa"/>
            <w:vAlign w:val="center"/>
          </w:tcPr>
          <w:p w14:paraId="25AF45BA" w14:textId="10763306" w:rsidR="00D32939" w:rsidRPr="00EB29A7" w:rsidRDefault="00D32939" w:rsidP="00CB1C82">
            <w:pPr>
              <w:pStyle w:val="Tabletext0"/>
              <w:spacing w:before="0" w:after="0"/>
              <w:jc w:val="left"/>
              <w:rPr>
                <w:rFonts w:cs="Arial"/>
              </w:rPr>
            </w:pPr>
            <w:r w:rsidRPr="00D32939">
              <w:rPr>
                <w:rFonts w:cs="Arial"/>
              </w:rPr>
              <w:t xml:space="preserve"> 43,711 </w:t>
            </w:r>
          </w:p>
        </w:tc>
        <w:tc>
          <w:tcPr>
            <w:tcW w:w="1421" w:type="dxa"/>
            <w:vAlign w:val="center"/>
          </w:tcPr>
          <w:p w14:paraId="5012B368" w14:textId="34B9D6BE" w:rsidR="00D32939" w:rsidRPr="00EB29A7" w:rsidRDefault="00D32939" w:rsidP="00CB1C82">
            <w:pPr>
              <w:pStyle w:val="Tabletext0"/>
              <w:spacing w:before="0" w:after="0"/>
              <w:jc w:val="left"/>
              <w:rPr>
                <w:rFonts w:cs="Arial"/>
              </w:rPr>
            </w:pPr>
            <w:r w:rsidRPr="00D32939">
              <w:rPr>
                <w:rFonts w:cs="Arial"/>
              </w:rPr>
              <w:t xml:space="preserve"> 60,068 </w:t>
            </w:r>
          </w:p>
        </w:tc>
        <w:tc>
          <w:tcPr>
            <w:tcW w:w="1421" w:type="dxa"/>
            <w:vAlign w:val="center"/>
          </w:tcPr>
          <w:p w14:paraId="78797784" w14:textId="5D15ED89" w:rsidR="00D32939" w:rsidRPr="00EB29A7" w:rsidRDefault="00D32939" w:rsidP="00CB1C82">
            <w:pPr>
              <w:pStyle w:val="Tabletext0"/>
              <w:spacing w:before="0" w:after="0"/>
              <w:jc w:val="left"/>
              <w:rPr>
                <w:rFonts w:cs="Arial"/>
              </w:rPr>
            </w:pPr>
            <w:r w:rsidRPr="00D32939">
              <w:rPr>
                <w:rFonts w:cs="Arial"/>
              </w:rPr>
              <w:t xml:space="preserve"> 82,742 </w:t>
            </w:r>
          </w:p>
        </w:tc>
        <w:tc>
          <w:tcPr>
            <w:tcW w:w="1457" w:type="dxa"/>
            <w:vAlign w:val="center"/>
          </w:tcPr>
          <w:p w14:paraId="66EB01E1" w14:textId="77777777" w:rsidR="00D32939" w:rsidRPr="00EB29A7" w:rsidRDefault="00D32939" w:rsidP="00CB1C82">
            <w:pPr>
              <w:pStyle w:val="Tabletext0"/>
              <w:spacing w:before="0" w:after="0"/>
              <w:rPr>
                <w:rFonts w:cs="Arial"/>
              </w:rPr>
            </w:pPr>
          </w:p>
        </w:tc>
      </w:tr>
      <w:tr w:rsidR="00A04B3A" w:rsidRPr="00D32939" w14:paraId="478E2648" w14:textId="77777777" w:rsidTr="00EB29A7">
        <w:trPr>
          <w:trHeight w:val="426"/>
        </w:trPr>
        <w:tc>
          <w:tcPr>
            <w:tcW w:w="3197" w:type="dxa"/>
            <w:vAlign w:val="center"/>
          </w:tcPr>
          <w:p w14:paraId="29DD2466" w14:textId="45B859A7" w:rsidR="00D63D75" w:rsidRPr="00862084" w:rsidRDefault="00D63D75" w:rsidP="00CB1C82">
            <w:pPr>
              <w:pStyle w:val="Tabletext0"/>
              <w:spacing w:before="0" w:after="0"/>
              <w:rPr>
                <w:rFonts w:cs="Arial"/>
                <w:vertAlign w:val="superscript"/>
              </w:rPr>
            </w:pPr>
            <w:r w:rsidRPr="00D32939">
              <w:rPr>
                <w:rFonts w:cs="Arial"/>
              </w:rPr>
              <w:lastRenderedPageBreak/>
              <w:t>Total cost MBS proposed P</w:t>
            </w:r>
            <w:r w:rsidR="004158AD">
              <w:rPr>
                <w:rFonts w:cs="Arial"/>
              </w:rPr>
              <w:t>o</w:t>
            </w:r>
            <w:r w:rsidRPr="00D32939">
              <w:rPr>
                <w:rFonts w:cs="Arial"/>
              </w:rPr>
              <w:t>C tests</w:t>
            </w:r>
            <w:r w:rsidR="00591648">
              <w:rPr>
                <w:rFonts w:cs="Arial"/>
                <w:vertAlign w:val="superscript"/>
              </w:rPr>
              <w:t>d</w:t>
            </w:r>
          </w:p>
        </w:tc>
        <w:tc>
          <w:tcPr>
            <w:tcW w:w="1421" w:type="dxa"/>
            <w:vAlign w:val="center"/>
          </w:tcPr>
          <w:p w14:paraId="23CA1EC5" w14:textId="2C77A4E4" w:rsidR="00D63D75" w:rsidRPr="00EB29A7" w:rsidRDefault="00D63D75" w:rsidP="00CB1C82">
            <w:pPr>
              <w:pStyle w:val="Tabletext0"/>
              <w:spacing w:before="0" w:after="0"/>
              <w:jc w:val="left"/>
              <w:rPr>
                <w:rFonts w:cs="Arial"/>
                <w:color w:val="000000"/>
              </w:rPr>
            </w:pPr>
            <w:r w:rsidRPr="00D32939">
              <w:rPr>
                <w:rFonts w:cs="Arial"/>
              </w:rPr>
              <w:t xml:space="preserve"> $1,317,500 </w:t>
            </w:r>
          </w:p>
        </w:tc>
        <w:tc>
          <w:tcPr>
            <w:tcW w:w="1421" w:type="dxa"/>
            <w:vAlign w:val="center"/>
          </w:tcPr>
          <w:p w14:paraId="1C0B2A82" w14:textId="04FD7B60" w:rsidR="00D63D75" w:rsidRPr="00EB29A7" w:rsidRDefault="00D63D75" w:rsidP="00CB1C82">
            <w:pPr>
              <w:pStyle w:val="Tabletext0"/>
              <w:spacing w:before="0" w:after="0"/>
              <w:jc w:val="left"/>
              <w:rPr>
                <w:rFonts w:cs="Arial"/>
                <w:color w:val="000000"/>
              </w:rPr>
            </w:pPr>
            <w:r w:rsidRPr="00D32939">
              <w:rPr>
                <w:rFonts w:cs="Arial"/>
              </w:rPr>
              <w:t xml:space="preserve"> $2,091,000 </w:t>
            </w:r>
          </w:p>
        </w:tc>
        <w:tc>
          <w:tcPr>
            <w:tcW w:w="1421" w:type="dxa"/>
            <w:vAlign w:val="center"/>
          </w:tcPr>
          <w:p w14:paraId="736A86E1" w14:textId="0B72BC5D" w:rsidR="00D63D75" w:rsidRPr="00EB29A7" w:rsidRDefault="00D63D75" w:rsidP="00CB1C82">
            <w:pPr>
              <w:pStyle w:val="Tabletext0"/>
              <w:spacing w:before="0" w:after="0"/>
              <w:jc w:val="left"/>
              <w:rPr>
                <w:rFonts w:cs="Arial"/>
                <w:color w:val="000000"/>
              </w:rPr>
            </w:pPr>
            <w:r w:rsidRPr="00D32939">
              <w:rPr>
                <w:rFonts w:cs="Arial"/>
              </w:rPr>
              <w:t xml:space="preserve"> $2,876,400 </w:t>
            </w:r>
          </w:p>
        </w:tc>
        <w:tc>
          <w:tcPr>
            <w:tcW w:w="1421" w:type="dxa"/>
            <w:vAlign w:val="center"/>
          </w:tcPr>
          <w:p w14:paraId="58C554C8" w14:textId="4BB0EEE3" w:rsidR="00D63D75" w:rsidRPr="00EB29A7" w:rsidRDefault="00D63D75" w:rsidP="00CB1C82">
            <w:pPr>
              <w:pStyle w:val="Tabletext0"/>
              <w:spacing w:before="0" w:after="0"/>
              <w:jc w:val="left"/>
              <w:rPr>
                <w:rFonts w:cs="Arial"/>
                <w:color w:val="000000"/>
              </w:rPr>
            </w:pPr>
            <w:r w:rsidRPr="00D32939">
              <w:rPr>
                <w:rFonts w:cs="Arial"/>
              </w:rPr>
              <w:t xml:space="preserve"> $3,965,760 </w:t>
            </w:r>
          </w:p>
        </w:tc>
        <w:tc>
          <w:tcPr>
            <w:tcW w:w="1421" w:type="dxa"/>
            <w:vAlign w:val="center"/>
          </w:tcPr>
          <w:p w14:paraId="25525DFD" w14:textId="5DC94FA8" w:rsidR="00D63D75" w:rsidRPr="00EB29A7" w:rsidRDefault="00D63D75" w:rsidP="00CB1C82">
            <w:pPr>
              <w:pStyle w:val="Tabletext0"/>
              <w:spacing w:before="0" w:after="0"/>
              <w:jc w:val="left"/>
              <w:rPr>
                <w:rFonts w:cs="Arial"/>
                <w:color w:val="000000"/>
              </w:rPr>
            </w:pPr>
            <w:r w:rsidRPr="00D32939">
              <w:rPr>
                <w:rFonts w:cs="Arial"/>
              </w:rPr>
              <w:t xml:space="preserve"> $5,463,936 </w:t>
            </w:r>
          </w:p>
        </w:tc>
        <w:tc>
          <w:tcPr>
            <w:tcW w:w="1421" w:type="dxa"/>
            <w:vAlign w:val="center"/>
          </w:tcPr>
          <w:p w14:paraId="63EC8AE0" w14:textId="0F01CE07" w:rsidR="00D63D75" w:rsidRPr="00EB29A7" w:rsidRDefault="00D63D75" w:rsidP="00CB1C82">
            <w:pPr>
              <w:pStyle w:val="Tabletext0"/>
              <w:spacing w:before="0" w:after="0"/>
              <w:jc w:val="left"/>
              <w:rPr>
                <w:rFonts w:cs="Arial"/>
                <w:color w:val="000000"/>
              </w:rPr>
            </w:pPr>
            <w:r w:rsidRPr="00D32939">
              <w:rPr>
                <w:rFonts w:cs="Arial"/>
              </w:rPr>
              <w:t xml:space="preserve"> $7,508,506 </w:t>
            </w:r>
          </w:p>
        </w:tc>
        <w:tc>
          <w:tcPr>
            <w:tcW w:w="1421" w:type="dxa"/>
            <w:vAlign w:val="center"/>
          </w:tcPr>
          <w:p w14:paraId="049896A9" w14:textId="5349AEE5" w:rsidR="00D63D75" w:rsidRPr="00EB29A7" w:rsidRDefault="00D63D75" w:rsidP="00CB1C82">
            <w:pPr>
              <w:pStyle w:val="Tabletext0"/>
              <w:spacing w:before="0" w:after="0"/>
              <w:jc w:val="left"/>
              <w:rPr>
                <w:rFonts w:cs="Arial"/>
                <w:color w:val="000000"/>
              </w:rPr>
            </w:pPr>
            <w:r w:rsidRPr="00D32939">
              <w:rPr>
                <w:rFonts w:cs="Arial"/>
              </w:rPr>
              <w:t xml:space="preserve"> $10,342,702 </w:t>
            </w:r>
          </w:p>
        </w:tc>
        <w:tc>
          <w:tcPr>
            <w:tcW w:w="1457" w:type="dxa"/>
            <w:vAlign w:val="center"/>
          </w:tcPr>
          <w:p w14:paraId="6CD8785B" w14:textId="77777777" w:rsidR="00D63D75" w:rsidRPr="00D32939" w:rsidRDefault="00D63D75" w:rsidP="00CB1C82">
            <w:pPr>
              <w:pStyle w:val="Tabletext0"/>
              <w:spacing w:before="0" w:after="0"/>
              <w:rPr>
                <w:rFonts w:cs="Arial"/>
              </w:rPr>
            </w:pPr>
          </w:p>
        </w:tc>
      </w:tr>
      <w:tr w:rsidR="00A04B3A" w:rsidRPr="00D32939" w14:paraId="38ACBF2C" w14:textId="77777777" w:rsidTr="00EB29A7">
        <w:trPr>
          <w:trHeight w:val="426"/>
        </w:trPr>
        <w:tc>
          <w:tcPr>
            <w:tcW w:w="3197" w:type="dxa"/>
            <w:vAlign w:val="center"/>
          </w:tcPr>
          <w:p w14:paraId="0E6BD4E0" w14:textId="076AAD09" w:rsidR="0088160A" w:rsidRPr="00D32939" w:rsidRDefault="0088160A" w:rsidP="00CB1C82">
            <w:pPr>
              <w:pStyle w:val="Tabletext0"/>
              <w:spacing w:before="0" w:after="0"/>
              <w:jc w:val="left"/>
              <w:rPr>
                <w:rFonts w:cs="Arial"/>
              </w:rPr>
            </w:pPr>
            <w:r w:rsidRPr="00B8223A">
              <w:rPr>
                <w:rFonts w:cs="Arial"/>
              </w:rPr>
              <w:t>Net cost to MBS related to change in testing</w:t>
            </w:r>
          </w:p>
        </w:tc>
        <w:tc>
          <w:tcPr>
            <w:tcW w:w="1421" w:type="dxa"/>
            <w:vAlign w:val="center"/>
          </w:tcPr>
          <w:p w14:paraId="59D25583" w14:textId="70720C5E" w:rsidR="0088160A" w:rsidRPr="00D32939" w:rsidRDefault="0088160A" w:rsidP="00CB1C82">
            <w:pPr>
              <w:pStyle w:val="Tabletext0"/>
              <w:spacing w:before="0" w:after="0"/>
              <w:jc w:val="left"/>
              <w:rPr>
                <w:rFonts w:cs="Arial"/>
              </w:rPr>
            </w:pPr>
            <w:r w:rsidRPr="00AD7689">
              <w:t xml:space="preserve"> $860,591 </w:t>
            </w:r>
          </w:p>
        </w:tc>
        <w:tc>
          <w:tcPr>
            <w:tcW w:w="1421" w:type="dxa"/>
            <w:vAlign w:val="center"/>
          </w:tcPr>
          <w:p w14:paraId="75276F02" w14:textId="62516AC8" w:rsidR="0088160A" w:rsidRPr="00D32939" w:rsidRDefault="0088160A" w:rsidP="00CB1C82">
            <w:pPr>
              <w:pStyle w:val="Tabletext0"/>
              <w:spacing w:before="0" w:after="0"/>
              <w:jc w:val="left"/>
              <w:rPr>
                <w:rFonts w:cs="Arial"/>
              </w:rPr>
            </w:pPr>
            <w:r w:rsidRPr="00AD7689">
              <w:t xml:space="preserve"> $1,365,841 </w:t>
            </w:r>
          </w:p>
        </w:tc>
        <w:tc>
          <w:tcPr>
            <w:tcW w:w="1421" w:type="dxa"/>
            <w:vAlign w:val="center"/>
          </w:tcPr>
          <w:p w14:paraId="04DA9990" w14:textId="687A6594" w:rsidR="0088160A" w:rsidRPr="00D32939" w:rsidRDefault="0088160A" w:rsidP="00CB1C82">
            <w:pPr>
              <w:pStyle w:val="Tabletext0"/>
              <w:spacing w:before="0" w:after="0"/>
              <w:jc w:val="left"/>
              <w:rPr>
                <w:rFonts w:cs="Arial"/>
              </w:rPr>
            </w:pPr>
            <w:r w:rsidRPr="00AD7689">
              <w:t xml:space="preserve"> $1,878,864 </w:t>
            </w:r>
          </w:p>
        </w:tc>
        <w:tc>
          <w:tcPr>
            <w:tcW w:w="1421" w:type="dxa"/>
            <w:vAlign w:val="center"/>
          </w:tcPr>
          <w:p w14:paraId="5141EA46" w14:textId="3A97C053" w:rsidR="0088160A" w:rsidRPr="00D32939" w:rsidRDefault="0088160A" w:rsidP="00CB1C82">
            <w:pPr>
              <w:pStyle w:val="Tabletext0"/>
              <w:spacing w:before="0" w:after="0"/>
              <w:jc w:val="left"/>
              <w:rPr>
                <w:rFonts w:cs="Arial"/>
              </w:rPr>
            </w:pPr>
            <w:r w:rsidRPr="00AD7689">
              <w:t xml:space="preserve"> $2,590,434 </w:t>
            </w:r>
          </w:p>
        </w:tc>
        <w:tc>
          <w:tcPr>
            <w:tcW w:w="1421" w:type="dxa"/>
            <w:vAlign w:val="center"/>
          </w:tcPr>
          <w:p w14:paraId="68C56BC6" w14:textId="6AB9F6A8" w:rsidR="0088160A" w:rsidRPr="00D32939" w:rsidRDefault="0088160A" w:rsidP="00CB1C82">
            <w:pPr>
              <w:pStyle w:val="Tabletext0"/>
              <w:spacing w:before="0" w:after="0"/>
              <w:jc w:val="left"/>
              <w:rPr>
                <w:rFonts w:cs="Arial"/>
              </w:rPr>
            </w:pPr>
            <w:r w:rsidRPr="00AD7689">
              <w:t xml:space="preserve"> $3,569,043 </w:t>
            </w:r>
          </w:p>
        </w:tc>
        <w:tc>
          <w:tcPr>
            <w:tcW w:w="1421" w:type="dxa"/>
            <w:vAlign w:val="center"/>
          </w:tcPr>
          <w:p w14:paraId="78C47DCB" w14:textId="7B38884F" w:rsidR="0088160A" w:rsidRPr="00D32939" w:rsidRDefault="0088160A" w:rsidP="00CB1C82">
            <w:pPr>
              <w:pStyle w:val="Tabletext0"/>
              <w:spacing w:before="0" w:after="0"/>
              <w:jc w:val="left"/>
              <w:rPr>
                <w:rFonts w:cs="Arial"/>
              </w:rPr>
            </w:pPr>
            <w:r w:rsidRPr="00AD7689">
              <w:t xml:space="preserve"> $4,904,556 </w:t>
            </w:r>
          </w:p>
        </w:tc>
        <w:tc>
          <w:tcPr>
            <w:tcW w:w="1421" w:type="dxa"/>
            <w:vAlign w:val="center"/>
          </w:tcPr>
          <w:p w14:paraId="251AC00C" w14:textId="42D23383" w:rsidR="0088160A" w:rsidRPr="00D32939" w:rsidRDefault="0088160A" w:rsidP="00CB1C82">
            <w:pPr>
              <w:pStyle w:val="Tabletext0"/>
              <w:spacing w:before="0" w:after="0"/>
              <w:jc w:val="left"/>
              <w:rPr>
                <w:rFonts w:cs="Arial"/>
              </w:rPr>
            </w:pPr>
            <w:r w:rsidRPr="00AD7689">
              <w:t xml:space="preserve"> $6,755,853 </w:t>
            </w:r>
          </w:p>
        </w:tc>
        <w:tc>
          <w:tcPr>
            <w:tcW w:w="1457" w:type="dxa"/>
            <w:vAlign w:val="center"/>
          </w:tcPr>
          <w:p w14:paraId="0E464409" w14:textId="1449F99E" w:rsidR="0088160A" w:rsidRPr="00D32939" w:rsidRDefault="008C0EC9" w:rsidP="00CB1C82">
            <w:pPr>
              <w:pStyle w:val="Tabletext0"/>
              <w:spacing w:before="0" w:after="0"/>
              <w:rPr>
                <w:rFonts w:cs="Arial"/>
              </w:rPr>
            </w:pPr>
            <w:r w:rsidRPr="008C0EC9">
              <w:rPr>
                <w:rFonts w:cs="Arial"/>
              </w:rPr>
              <w:t>$14,308,739</w:t>
            </w:r>
          </w:p>
        </w:tc>
      </w:tr>
      <w:tr w:rsidR="00A04B3A" w:rsidRPr="00D32939" w14:paraId="502E8A92" w14:textId="77777777">
        <w:trPr>
          <w:trHeight w:val="426"/>
        </w:trPr>
        <w:tc>
          <w:tcPr>
            <w:tcW w:w="14601" w:type="dxa"/>
            <w:gridSpan w:val="9"/>
            <w:vAlign w:val="center"/>
          </w:tcPr>
          <w:p w14:paraId="048728A2" w14:textId="5FB7C0B4" w:rsidR="0009482E" w:rsidRPr="00EB29A7" w:rsidRDefault="0009482E" w:rsidP="00CB1C82">
            <w:pPr>
              <w:pStyle w:val="Tabletext0"/>
              <w:spacing w:before="0" w:after="0"/>
              <w:rPr>
                <w:rFonts w:cs="Arial"/>
                <w:b/>
                <w:bCs/>
              </w:rPr>
            </w:pPr>
            <w:r>
              <w:rPr>
                <w:rFonts w:cs="Arial"/>
                <w:b/>
                <w:bCs/>
              </w:rPr>
              <w:t xml:space="preserve">Alternative 2 fee in </w:t>
            </w:r>
            <w:r w:rsidRPr="0009482E">
              <w:rPr>
                <w:rFonts w:cs="Arial"/>
                <w:b/>
                <w:bCs/>
              </w:rPr>
              <w:fldChar w:fldCharType="begin"/>
            </w:r>
            <w:r w:rsidRPr="0009482E">
              <w:rPr>
                <w:rFonts w:cs="Arial"/>
                <w:b/>
                <w:bCs/>
              </w:rPr>
              <w:instrText xml:space="preserve"> REF _Ref147777928 \h </w:instrText>
            </w:r>
            <w:r w:rsidRPr="008943B1">
              <w:rPr>
                <w:rFonts w:cs="Arial"/>
                <w:b/>
                <w:bCs/>
              </w:rPr>
              <w:instrText xml:space="preserve"> \* MERGEFORMAT </w:instrText>
            </w:r>
            <w:r w:rsidRPr="0009482E">
              <w:rPr>
                <w:rFonts w:cs="Arial"/>
                <w:b/>
                <w:bCs/>
              </w:rPr>
            </w:r>
            <w:r w:rsidRPr="0009482E">
              <w:rPr>
                <w:rFonts w:cs="Arial"/>
                <w:b/>
                <w:bCs/>
              </w:rPr>
              <w:fldChar w:fldCharType="separate"/>
            </w:r>
            <w:r w:rsidR="00DE2A83" w:rsidRPr="00AD4793">
              <w:rPr>
                <w:b/>
                <w:bCs/>
              </w:rPr>
              <w:t xml:space="preserve">Table </w:t>
            </w:r>
            <w:r w:rsidR="00DE2A83" w:rsidRPr="00AD4793">
              <w:rPr>
                <w:b/>
                <w:bCs/>
                <w:noProof/>
              </w:rPr>
              <w:t>4</w:t>
            </w:r>
            <w:r w:rsidRPr="0009482E">
              <w:rPr>
                <w:rFonts w:cs="Arial"/>
                <w:b/>
                <w:bCs/>
              </w:rPr>
              <w:fldChar w:fldCharType="end"/>
            </w:r>
            <w:r w:rsidR="00790E3D">
              <w:rPr>
                <w:rFonts w:cs="Arial"/>
                <w:b/>
                <w:bCs/>
              </w:rPr>
              <w:t xml:space="preserve"> - F</w:t>
            </w:r>
            <w:r w:rsidR="00790E3D" w:rsidRPr="00EB29A7">
              <w:rPr>
                <w:rFonts w:cs="Arial"/>
                <w:b/>
                <w:bCs/>
              </w:rPr>
              <w:t>ee equivalent to the professional service fee</w:t>
            </w:r>
            <w:r w:rsidR="00790E3D">
              <w:rPr>
                <w:rFonts w:cs="Arial"/>
                <w:b/>
                <w:bCs/>
              </w:rPr>
              <w:t xml:space="preserve"> + test cartridges </w:t>
            </w:r>
          </w:p>
        </w:tc>
      </w:tr>
      <w:tr w:rsidR="00A04B3A" w:rsidRPr="00D32939" w14:paraId="0BADCD25" w14:textId="77777777" w:rsidTr="0088160A">
        <w:trPr>
          <w:trHeight w:val="426"/>
        </w:trPr>
        <w:tc>
          <w:tcPr>
            <w:tcW w:w="3197" w:type="dxa"/>
            <w:vAlign w:val="center"/>
          </w:tcPr>
          <w:p w14:paraId="24DFD79E" w14:textId="755D6980" w:rsidR="0009482E" w:rsidRPr="00B8223A" w:rsidRDefault="0009482E" w:rsidP="00CB1C82">
            <w:pPr>
              <w:pStyle w:val="Tabletext0"/>
              <w:spacing w:before="0" w:after="0"/>
              <w:jc w:val="left"/>
              <w:rPr>
                <w:rFonts w:cs="Arial"/>
              </w:rPr>
            </w:pPr>
            <w:r w:rsidRPr="008943B1">
              <w:rPr>
                <w:rFonts w:cs="Arial"/>
              </w:rPr>
              <w:t>Total number of tests</w:t>
            </w:r>
          </w:p>
        </w:tc>
        <w:tc>
          <w:tcPr>
            <w:tcW w:w="1421" w:type="dxa"/>
            <w:vAlign w:val="center"/>
          </w:tcPr>
          <w:p w14:paraId="3A5F9593" w14:textId="28683B21" w:rsidR="0009482E" w:rsidRPr="00AD7689" w:rsidRDefault="0009482E" w:rsidP="00CB1C82">
            <w:pPr>
              <w:pStyle w:val="Tabletext0"/>
              <w:spacing w:before="0" w:after="0"/>
              <w:jc w:val="left"/>
            </w:pPr>
            <w:r w:rsidRPr="00D32939">
              <w:rPr>
                <w:rFonts w:cs="Arial"/>
              </w:rPr>
              <w:t xml:space="preserve"> 10,540 </w:t>
            </w:r>
          </w:p>
        </w:tc>
        <w:tc>
          <w:tcPr>
            <w:tcW w:w="1421" w:type="dxa"/>
            <w:vAlign w:val="center"/>
          </w:tcPr>
          <w:p w14:paraId="7FFA05AF" w14:textId="41B1283F" w:rsidR="0009482E" w:rsidRPr="00AD7689" w:rsidRDefault="0009482E" w:rsidP="00CB1C82">
            <w:pPr>
              <w:pStyle w:val="Tabletext0"/>
              <w:spacing w:before="0" w:after="0"/>
              <w:jc w:val="left"/>
            </w:pPr>
            <w:r w:rsidRPr="00D32939">
              <w:rPr>
                <w:rFonts w:cs="Arial"/>
              </w:rPr>
              <w:t xml:space="preserve"> 16,728 </w:t>
            </w:r>
          </w:p>
        </w:tc>
        <w:tc>
          <w:tcPr>
            <w:tcW w:w="1421" w:type="dxa"/>
            <w:vAlign w:val="center"/>
          </w:tcPr>
          <w:p w14:paraId="35B9103F" w14:textId="4461C8C3" w:rsidR="0009482E" w:rsidRPr="00AD7689" w:rsidRDefault="0009482E" w:rsidP="00CB1C82">
            <w:pPr>
              <w:pStyle w:val="Tabletext0"/>
              <w:spacing w:before="0" w:after="0"/>
              <w:jc w:val="left"/>
            </w:pPr>
            <w:r w:rsidRPr="00D32939">
              <w:rPr>
                <w:rFonts w:cs="Arial"/>
              </w:rPr>
              <w:t xml:space="preserve"> 23,011 </w:t>
            </w:r>
          </w:p>
        </w:tc>
        <w:tc>
          <w:tcPr>
            <w:tcW w:w="1421" w:type="dxa"/>
            <w:vAlign w:val="center"/>
          </w:tcPr>
          <w:p w14:paraId="17B11C87" w14:textId="765FAC71" w:rsidR="0009482E" w:rsidRPr="00AD7689" w:rsidRDefault="0009482E" w:rsidP="00CB1C82">
            <w:pPr>
              <w:pStyle w:val="Tabletext0"/>
              <w:spacing w:before="0" w:after="0"/>
              <w:jc w:val="left"/>
            </w:pPr>
            <w:r w:rsidRPr="00D32939">
              <w:rPr>
                <w:rFonts w:cs="Arial"/>
              </w:rPr>
              <w:t xml:space="preserve"> 31,726 </w:t>
            </w:r>
          </w:p>
        </w:tc>
        <w:tc>
          <w:tcPr>
            <w:tcW w:w="1421" w:type="dxa"/>
            <w:vAlign w:val="center"/>
          </w:tcPr>
          <w:p w14:paraId="00A02024" w14:textId="4F674F74" w:rsidR="0009482E" w:rsidRPr="00AD7689" w:rsidRDefault="0009482E" w:rsidP="00CB1C82">
            <w:pPr>
              <w:pStyle w:val="Tabletext0"/>
              <w:spacing w:before="0" w:after="0"/>
              <w:jc w:val="left"/>
            </w:pPr>
            <w:r w:rsidRPr="00D32939">
              <w:rPr>
                <w:rFonts w:cs="Arial"/>
              </w:rPr>
              <w:t xml:space="preserve"> 43,711 </w:t>
            </w:r>
          </w:p>
        </w:tc>
        <w:tc>
          <w:tcPr>
            <w:tcW w:w="1421" w:type="dxa"/>
            <w:vAlign w:val="center"/>
          </w:tcPr>
          <w:p w14:paraId="19FDC84B" w14:textId="495FFE44" w:rsidR="0009482E" w:rsidRPr="00AD7689" w:rsidRDefault="0009482E" w:rsidP="00CB1C82">
            <w:pPr>
              <w:pStyle w:val="Tabletext0"/>
              <w:spacing w:before="0" w:after="0"/>
              <w:jc w:val="left"/>
            </w:pPr>
            <w:r w:rsidRPr="00D32939">
              <w:rPr>
                <w:rFonts w:cs="Arial"/>
              </w:rPr>
              <w:t xml:space="preserve"> 60,068 </w:t>
            </w:r>
          </w:p>
        </w:tc>
        <w:tc>
          <w:tcPr>
            <w:tcW w:w="1421" w:type="dxa"/>
            <w:vAlign w:val="center"/>
          </w:tcPr>
          <w:p w14:paraId="37F9961A" w14:textId="02AA4A7A" w:rsidR="0009482E" w:rsidRPr="00AD7689" w:rsidRDefault="0009482E" w:rsidP="00CB1C82">
            <w:pPr>
              <w:pStyle w:val="Tabletext0"/>
              <w:spacing w:before="0" w:after="0"/>
              <w:jc w:val="left"/>
            </w:pPr>
            <w:r w:rsidRPr="00D32939">
              <w:rPr>
                <w:rFonts w:cs="Arial"/>
              </w:rPr>
              <w:t xml:space="preserve"> 82,742 </w:t>
            </w:r>
          </w:p>
        </w:tc>
        <w:tc>
          <w:tcPr>
            <w:tcW w:w="1457" w:type="dxa"/>
            <w:vAlign w:val="center"/>
          </w:tcPr>
          <w:p w14:paraId="7D0032E7" w14:textId="77777777" w:rsidR="0009482E" w:rsidRPr="008C0EC9" w:rsidRDefault="0009482E" w:rsidP="00CB1C82">
            <w:pPr>
              <w:pStyle w:val="Tabletext0"/>
              <w:spacing w:before="0" w:after="0"/>
              <w:rPr>
                <w:rFonts w:cs="Arial"/>
              </w:rPr>
            </w:pPr>
          </w:p>
        </w:tc>
      </w:tr>
      <w:tr w:rsidR="001A6D07" w:rsidRPr="00D32939" w14:paraId="30872E53" w14:textId="77777777" w:rsidTr="00025E3D">
        <w:trPr>
          <w:trHeight w:val="426"/>
        </w:trPr>
        <w:tc>
          <w:tcPr>
            <w:tcW w:w="3197" w:type="dxa"/>
            <w:vAlign w:val="center"/>
          </w:tcPr>
          <w:p w14:paraId="0FB61ACF" w14:textId="3E6ECFD0" w:rsidR="001A6D07" w:rsidRPr="00862084" w:rsidRDefault="001A6D07" w:rsidP="00CB1C82">
            <w:pPr>
              <w:pStyle w:val="Tabletext0"/>
              <w:spacing w:before="0" w:after="0"/>
              <w:jc w:val="left"/>
              <w:rPr>
                <w:rFonts w:cs="Arial"/>
                <w:vertAlign w:val="superscript"/>
              </w:rPr>
            </w:pPr>
            <w:r w:rsidRPr="00D32939">
              <w:rPr>
                <w:rFonts w:cs="Arial"/>
              </w:rPr>
              <w:t>Total cost MBS proposed P</w:t>
            </w:r>
            <w:r>
              <w:rPr>
                <w:rFonts w:cs="Arial"/>
              </w:rPr>
              <w:t>o</w:t>
            </w:r>
            <w:r w:rsidRPr="00D32939">
              <w:rPr>
                <w:rFonts w:cs="Arial"/>
              </w:rPr>
              <w:t>C tests</w:t>
            </w:r>
            <w:r>
              <w:rPr>
                <w:rFonts w:cs="Arial"/>
                <w:vertAlign w:val="superscript"/>
              </w:rPr>
              <w:t>e</w:t>
            </w:r>
          </w:p>
        </w:tc>
        <w:tc>
          <w:tcPr>
            <w:tcW w:w="1421" w:type="dxa"/>
          </w:tcPr>
          <w:p w14:paraId="582F274D" w14:textId="56648D95" w:rsidR="001A6D07" w:rsidRPr="00AD7689" w:rsidRDefault="001A6D07" w:rsidP="00CB1C82">
            <w:pPr>
              <w:pStyle w:val="Tabletext0"/>
              <w:spacing w:before="0" w:after="0"/>
              <w:jc w:val="left"/>
            </w:pPr>
            <w:r w:rsidRPr="0082719C">
              <w:t xml:space="preserve"> $904,859</w:t>
            </w:r>
          </w:p>
        </w:tc>
        <w:tc>
          <w:tcPr>
            <w:tcW w:w="1421" w:type="dxa"/>
          </w:tcPr>
          <w:p w14:paraId="2403A657" w14:textId="72DB7376" w:rsidR="001A6D07" w:rsidRPr="00AD7689" w:rsidRDefault="001A6D07" w:rsidP="00CB1C82">
            <w:pPr>
              <w:pStyle w:val="Tabletext0"/>
              <w:spacing w:before="0" w:after="0"/>
              <w:jc w:val="left"/>
            </w:pPr>
            <w:r w:rsidRPr="0082719C">
              <w:t xml:space="preserve"> $1,436,099 </w:t>
            </w:r>
          </w:p>
        </w:tc>
        <w:tc>
          <w:tcPr>
            <w:tcW w:w="1421" w:type="dxa"/>
          </w:tcPr>
          <w:p w14:paraId="3B112AA0" w14:textId="02A57F64" w:rsidR="001A6D07" w:rsidRPr="00AD7689" w:rsidRDefault="001A6D07" w:rsidP="00CB1C82">
            <w:pPr>
              <w:pStyle w:val="Tabletext0"/>
              <w:spacing w:before="0" w:after="0"/>
              <w:jc w:val="left"/>
            </w:pPr>
            <w:r w:rsidRPr="0082719C">
              <w:t xml:space="preserve"> $1,975,512 </w:t>
            </w:r>
          </w:p>
        </w:tc>
        <w:tc>
          <w:tcPr>
            <w:tcW w:w="1421" w:type="dxa"/>
          </w:tcPr>
          <w:p w14:paraId="1C9D1FDB" w14:textId="1338A267" w:rsidR="001A6D07" w:rsidRPr="00AD7689" w:rsidRDefault="001A6D07" w:rsidP="00CB1C82">
            <w:pPr>
              <w:pStyle w:val="Tabletext0"/>
              <w:spacing w:before="0" w:after="0"/>
              <w:jc w:val="left"/>
            </w:pPr>
            <w:r w:rsidRPr="0082719C">
              <w:t xml:space="preserve"> $2,723,684 </w:t>
            </w:r>
          </w:p>
        </w:tc>
        <w:tc>
          <w:tcPr>
            <w:tcW w:w="1421" w:type="dxa"/>
          </w:tcPr>
          <w:p w14:paraId="52DBE555" w14:textId="6753A58D" w:rsidR="001A6D07" w:rsidRPr="00AD7689" w:rsidRDefault="001A6D07" w:rsidP="00CB1C82">
            <w:pPr>
              <w:pStyle w:val="Tabletext0"/>
              <w:spacing w:before="0" w:after="0"/>
              <w:jc w:val="left"/>
            </w:pPr>
            <w:r w:rsidRPr="0082719C">
              <w:t xml:space="preserve"> $3,752,631 </w:t>
            </w:r>
          </w:p>
        </w:tc>
        <w:tc>
          <w:tcPr>
            <w:tcW w:w="1421" w:type="dxa"/>
          </w:tcPr>
          <w:p w14:paraId="58F9C060" w14:textId="7FA26269" w:rsidR="001A6D07" w:rsidRPr="00AD7689" w:rsidRDefault="001A6D07" w:rsidP="00CB1C82">
            <w:pPr>
              <w:pStyle w:val="Tabletext0"/>
              <w:spacing w:before="0" w:after="0"/>
              <w:jc w:val="left"/>
            </w:pPr>
            <w:r w:rsidRPr="0082719C">
              <w:t xml:space="preserve"> $5,156,842 </w:t>
            </w:r>
          </w:p>
        </w:tc>
        <w:tc>
          <w:tcPr>
            <w:tcW w:w="1421" w:type="dxa"/>
          </w:tcPr>
          <w:p w14:paraId="0055FC32" w14:textId="6E31B2C0" w:rsidR="001A6D07" w:rsidRPr="00AD7689" w:rsidRDefault="001A6D07" w:rsidP="00CB1C82">
            <w:pPr>
              <w:pStyle w:val="Tabletext0"/>
              <w:spacing w:before="0" w:after="0"/>
              <w:jc w:val="left"/>
            </w:pPr>
            <w:r w:rsidRPr="0082719C">
              <w:t xml:space="preserve"> $7,103,368 </w:t>
            </w:r>
          </w:p>
        </w:tc>
        <w:tc>
          <w:tcPr>
            <w:tcW w:w="1457" w:type="dxa"/>
          </w:tcPr>
          <w:p w14:paraId="7DB8AB0E" w14:textId="77777777" w:rsidR="001A6D07" w:rsidRPr="008C0EC9" w:rsidRDefault="001A6D07" w:rsidP="00CB1C82">
            <w:pPr>
              <w:pStyle w:val="Tabletext0"/>
              <w:spacing w:before="0" w:after="0"/>
              <w:rPr>
                <w:rFonts w:cs="Arial"/>
              </w:rPr>
            </w:pPr>
          </w:p>
        </w:tc>
      </w:tr>
      <w:tr w:rsidR="001A6D07" w:rsidRPr="00D32939" w14:paraId="2BFC4DB1" w14:textId="77777777" w:rsidTr="00EB29A7">
        <w:trPr>
          <w:trHeight w:val="426"/>
        </w:trPr>
        <w:tc>
          <w:tcPr>
            <w:tcW w:w="3197" w:type="dxa"/>
            <w:vAlign w:val="center"/>
          </w:tcPr>
          <w:p w14:paraId="7604CD01" w14:textId="2F0D8336" w:rsidR="001A6D07" w:rsidRPr="00B8223A" w:rsidRDefault="001A6D07" w:rsidP="00CB1C82">
            <w:pPr>
              <w:pStyle w:val="Tabletext0"/>
              <w:spacing w:before="0" w:after="0"/>
              <w:jc w:val="left"/>
              <w:rPr>
                <w:rFonts w:cs="Arial"/>
              </w:rPr>
            </w:pPr>
            <w:r w:rsidRPr="00B8223A">
              <w:rPr>
                <w:rFonts w:cs="Arial"/>
              </w:rPr>
              <w:t>Net cost to MBS related to change in testing</w:t>
            </w:r>
          </w:p>
        </w:tc>
        <w:tc>
          <w:tcPr>
            <w:tcW w:w="1421" w:type="dxa"/>
          </w:tcPr>
          <w:p w14:paraId="31399A52" w14:textId="2E4D295C" w:rsidR="001A6D07" w:rsidRPr="00AD7689" w:rsidRDefault="001A6D07" w:rsidP="00CB1C82">
            <w:pPr>
              <w:pStyle w:val="Tabletext0"/>
              <w:spacing w:before="0" w:after="0"/>
              <w:jc w:val="left"/>
            </w:pPr>
            <w:r w:rsidRPr="0082719C">
              <w:t xml:space="preserve"> $447,950</w:t>
            </w:r>
          </w:p>
        </w:tc>
        <w:tc>
          <w:tcPr>
            <w:tcW w:w="1421" w:type="dxa"/>
          </w:tcPr>
          <w:p w14:paraId="09E2187B" w14:textId="4EBC7BF0" w:rsidR="001A6D07" w:rsidRPr="00AD7689" w:rsidRDefault="001A6D07" w:rsidP="00CB1C82">
            <w:pPr>
              <w:pStyle w:val="Tabletext0"/>
              <w:spacing w:before="0" w:after="0"/>
              <w:jc w:val="left"/>
            </w:pPr>
            <w:r w:rsidRPr="0082719C">
              <w:t xml:space="preserve"> $710,940 </w:t>
            </w:r>
          </w:p>
        </w:tc>
        <w:tc>
          <w:tcPr>
            <w:tcW w:w="1421" w:type="dxa"/>
          </w:tcPr>
          <w:p w14:paraId="41D1CE3F" w14:textId="77CF4765" w:rsidR="001A6D07" w:rsidRPr="00AD7689" w:rsidRDefault="001A6D07" w:rsidP="00CB1C82">
            <w:pPr>
              <w:pStyle w:val="Tabletext0"/>
              <w:spacing w:before="0" w:after="0"/>
              <w:jc w:val="left"/>
            </w:pPr>
            <w:r w:rsidRPr="0082719C">
              <w:t xml:space="preserve"> $977,976 </w:t>
            </w:r>
          </w:p>
        </w:tc>
        <w:tc>
          <w:tcPr>
            <w:tcW w:w="1421" w:type="dxa"/>
          </w:tcPr>
          <w:p w14:paraId="28E21D22" w14:textId="3166F57E" w:rsidR="001A6D07" w:rsidRPr="00AD7689" w:rsidRDefault="001A6D07" w:rsidP="00CB1C82">
            <w:pPr>
              <w:pStyle w:val="Tabletext0"/>
              <w:spacing w:before="0" w:after="0"/>
              <w:jc w:val="left"/>
            </w:pPr>
            <w:r w:rsidRPr="0082719C">
              <w:t xml:space="preserve"> $1,348,358 </w:t>
            </w:r>
          </w:p>
        </w:tc>
        <w:tc>
          <w:tcPr>
            <w:tcW w:w="1421" w:type="dxa"/>
          </w:tcPr>
          <w:p w14:paraId="05845774" w14:textId="4058E4E9" w:rsidR="001A6D07" w:rsidRPr="00AD7689" w:rsidRDefault="001A6D07" w:rsidP="00CB1C82">
            <w:pPr>
              <w:pStyle w:val="Tabletext0"/>
              <w:spacing w:before="0" w:after="0"/>
              <w:jc w:val="left"/>
            </w:pPr>
            <w:r w:rsidRPr="0082719C">
              <w:t xml:space="preserve"> $1,857,738 </w:t>
            </w:r>
          </w:p>
        </w:tc>
        <w:tc>
          <w:tcPr>
            <w:tcW w:w="1421" w:type="dxa"/>
          </w:tcPr>
          <w:p w14:paraId="411BB629" w14:textId="532C902D" w:rsidR="001A6D07" w:rsidRPr="00AD7689" w:rsidRDefault="001A6D07" w:rsidP="00CB1C82">
            <w:pPr>
              <w:pStyle w:val="Tabletext0"/>
              <w:spacing w:before="0" w:after="0"/>
              <w:jc w:val="left"/>
            </w:pPr>
            <w:r w:rsidRPr="0082719C">
              <w:t xml:space="preserve"> $2,552,892 </w:t>
            </w:r>
          </w:p>
        </w:tc>
        <w:tc>
          <w:tcPr>
            <w:tcW w:w="1421" w:type="dxa"/>
          </w:tcPr>
          <w:p w14:paraId="5F282580" w14:textId="00E0CAA7" w:rsidR="001A6D07" w:rsidRPr="00AD7689" w:rsidRDefault="001A6D07" w:rsidP="00CB1C82">
            <w:pPr>
              <w:pStyle w:val="Tabletext0"/>
              <w:spacing w:before="0" w:after="0"/>
              <w:jc w:val="left"/>
            </w:pPr>
            <w:r w:rsidRPr="0082719C">
              <w:t xml:space="preserve"> $3,516,519 </w:t>
            </w:r>
          </w:p>
        </w:tc>
        <w:tc>
          <w:tcPr>
            <w:tcW w:w="1457" w:type="dxa"/>
          </w:tcPr>
          <w:p w14:paraId="22337AD7" w14:textId="6D2BC74D" w:rsidR="001A6D07" w:rsidRPr="008C0EC9" w:rsidRDefault="001A6D07" w:rsidP="00CB1C82">
            <w:pPr>
              <w:pStyle w:val="Tabletext0"/>
              <w:spacing w:before="0" w:after="0"/>
              <w:rPr>
                <w:rFonts w:cs="Arial"/>
              </w:rPr>
            </w:pPr>
            <w:r w:rsidRPr="0082719C">
              <w:t xml:space="preserve"> $7,447,905 </w:t>
            </w:r>
          </w:p>
        </w:tc>
      </w:tr>
      <w:tr w:rsidR="00346BAF" w:rsidRPr="00EB29A7" w14:paraId="24863CE5" w14:textId="77777777" w:rsidTr="00025E3D">
        <w:trPr>
          <w:trHeight w:val="426"/>
        </w:trPr>
        <w:tc>
          <w:tcPr>
            <w:tcW w:w="14601" w:type="dxa"/>
            <w:gridSpan w:val="9"/>
            <w:vAlign w:val="center"/>
          </w:tcPr>
          <w:p w14:paraId="33176B90" w14:textId="13FC1716" w:rsidR="00346BAF" w:rsidRPr="00EB29A7" w:rsidRDefault="00837346" w:rsidP="00CB1C82">
            <w:pPr>
              <w:pStyle w:val="Tabletext0"/>
              <w:spacing w:before="0" w:after="0"/>
              <w:rPr>
                <w:rFonts w:cs="Arial"/>
                <w:b/>
                <w:bCs/>
              </w:rPr>
            </w:pPr>
            <w:r>
              <w:rPr>
                <w:rFonts w:cs="Arial"/>
                <w:b/>
                <w:bCs/>
              </w:rPr>
              <w:t xml:space="preserve">Applicant </w:t>
            </w:r>
            <w:r w:rsidR="00346BAF">
              <w:rPr>
                <w:rFonts w:cs="Arial"/>
                <w:b/>
                <w:bCs/>
              </w:rPr>
              <w:t xml:space="preserve">Pre-MSAC Alternative fee in </w:t>
            </w:r>
            <w:r w:rsidR="00346BAF" w:rsidRPr="0009482E">
              <w:rPr>
                <w:rFonts w:cs="Arial"/>
                <w:b/>
                <w:bCs/>
              </w:rPr>
              <w:fldChar w:fldCharType="begin"/>
            </w:r>
            <w:r w:rsidR="00346BAF" w:rsidRPr="0009482E">
              <w:rPr>
                <w:rFonts w:cs="Arial"/>
                <w:b/>
                <w:bCs/>
              </w:rPr>
              <w:instrText xml:space="preserve"> REF _Ref147777928 \h </w:instrText>
            </w:r>
            <w:r w:rsidR="00346BAF" w:rsidRPr="008943B1">
              <w:rPr>
                <w:rFonts w:cs="Arial"/>
                <w:b/>
                <w:bCs/>
              </w:rPr>
              <w:instrText xml:space="preserve"> \* MERGEFORMAT </w:instrText>
            </w:r>
            <w:r w:rsidR="00346BAF" w:rsidRPr="0009482E">
              <w:rPr>
                <w:rFonts w:cs="Arial"/>
                <w:b/>
                <w:bCs/>
              </w:rPr>
            </w:r>
            <w:r w:rsidR="00346BAF" w:rsidRPr="0009482E">
              <w:rPr>
                <w:rFonts w:cs="Arial"/>
                <w:b/>
                <w:bCs/>
              </w:rPr>
              <w:fldChar w:fldCharType="separate"/>
            </w:r>
            <w:r w:rsidR="00DE2A83" w:rsidRPr="00AD4793">
              <w:rPr>
                <w:b/>
                <w:bCs/>
              </w:rPr>
              <w:t xml:space="preserve">Table </w:t>
            </w:r>
            <w:r w:rsidR="00DE2A83" w:rsidRPr="00AD4793">
              <w:rPr>
                <w:b/>
                <w:bCs/>
                <w:noProof/>
              </w:rPr>
              <w:t>4</w:t>
            </w:r>
            <w:r w:rsidR="00346BAF" w:rsidRPr="0009482E">
              <w:rPr>
                <w:rFonts w:cs="Arial"/>
                <w:b/>
                <w:bCs/>
              </w:rPr>
              <w:fldChar w:fldCharType="end"/>
            </w:r>
            <w:r w:rsidR="00346BAF">
              <w:rPr>
                <w:rFonts w:cs="Arial"/>
                <w:b/>
                <w:bCs/>
              </w:rPr>
              <w:t xml:space="preserve"> – </w:t>
            </w:r>
            <w:r w:rsidR="00346BAF">
              <w:rPr>
                <w:rFonts w:eastAsiaTheme="minorHAnsi" w:cs="Arial"/>
                <w:b/>
              </w:rPr>
              <w:t>1.5</w:t>
            </w:r>
            <w:r w:rsidR="00346BAF" w:rsidRPr="00EB29A7">
              <w:rPr>
                <w:rFonts w:eastAsiaTheme="minorHAnsi" w:cs="Arial"/>
                <w:b/>
              </w:rPr>
              <w:t xml:space="preserve"> miscellaneous service item</w:t>
            </w:r>
            <w:r w:rsidR="00346BAF">
              <w:rPr>
                <w:rFonts w:cs="Arial"/>
                <w:b/>
                <w:bCs/>
              </w:rPr>
              <w:t xml:space="preserve"> claimed for combined CT/NG and TV PoCT</w:t>
            </w:r>
          </w:p>
        </w:tc>
      </w:tr>
      <w:tr w:rsidR="00346BAF" w:rsidRPr="008C0EC9" w14:paraId="489C423E" w14:textId="77777777" w:rsidTr="00025E3D">
        <w:trPr>
          <w:trHeight w:val="426"/>
        </w:trPr>
        <w:tc>
          <w:tcPr>
            <w:tcW w:w="3197" w:type="dxa"/>
            <w:vAlign w:val="center"/>
          </w:tcPr>
          <w:p w14:paraId="4CDADEE7" w14:textId="77777777" w:rsidR="00346BAF" w:rsidRPr="00B8223A" w:rsidRDefault="00346BAF" w:rsidP="00CB1C82">
            <w:pPr>
              <w:pStyle w:val="Tabletext0"/>
              <w:spacing w:before="0" w:after="0"/>
              <w:jc w:val="left"/>
              <w:rPr>
                <w:rFonts w:cs="Arial"/>
              </w:rPr>
            </w:pPr>
            <w:r w:rsidRPr="008943B1">
              <w:rPr>
                <w:rFonts w:cs="Arial"/>
              </w:rPr>
              <w:t>Total number of tests</w:t>
            </w:r>
          </w:p>
        </w:tc>
        <w:tc>
          <w:tcPr>
            <w:tcW w:w="1421" w:type="dxa"/>
            <w:vAlign w:val="center"/>
          </w:tcPr>
          <w:p w14:paraId="03A6293A" w14:textId="77777777" w:rsidR="00346BAF" w:rsidRPr="00AD7689" w:rsidRDefault="00346BAF" w:rsidP="00CB1C82">
            <w:pPr>
              <w:pStyle w:val="Tabletext0"/>
              <w:spacing w:before="0" w:after="0"/>
              <w:jc w:val="left"/>
            </w:pPr>
            <w:r w:rsidRPr="00D32939">
              <w:rPr>
                <w:rFonts w:cs="Arial"/>
              </w:rPr>
              <w:t xml:space="preserve"> 10,540 </w:t>
            </w:r>
          </w:p>
        </w:tc>
        <w:tc>
          <w:tcPr>
            <w:tcW w:w="1421" w:type="dxa"/>
            <w:vAlign w:val="center"/>
          </w:tcPr>
          <w:p w14:paraId="1888395D" w14:textId="77777777" w:rsidR="00346BAF" w:rsidRPr="00AD7689" w:rsidRDefault="00346BAF" w:rsidP="00CB1C82">
            <w:pPr>
              <w:pStyle w:val="Tabletext0"/>
              <w:spacing w:before="0" w:after="0"/>
              <w:jc w:val="left"/>
            </w:pPr>
            <w:r w:rsidRPr="00D32939">
              <w:rPr>
                <w:rFonts w:cs="Arial"/>
              </w:rPr>
              <w:t xml:space="preserve"> 16,728 </w:t>
            </w:r>
          </w:p>
        </w:tc>
        <w:tc>
          <w:tcPr>
            <w:tcW w:w="1421" w:type="dxa"/>
            <w:vAlign w:val="center"/>
          </w:tcPr>
          <w:p w14:paraId="3D0D6D77" w14:textId="77777777" w:rsidR="00346BAF" w:rsidRPr="00AD7689" w:rsidRDefault="00346BAF" w:rsidP="00CB1C82">
            <w:pPr>
              <w:pStyle w:val="Tabletext0"/>
              <w:spacing w:before="0" w:after="0"/>
              <w:jc w:val="left"/>
            </w:pPr>
            <w:r w:rsidRPr="00D32939">
              <w:rPr>
                <w:rFonts w:cs="Arial"/>
              </w:rPr>
              <w:t xml:space="preserve"> 23,011 </w:t>
            </w:r>
          </w:p>
        </w:tc>
        <w:tc>
          <w:tcPr>
            <w:tcW w:w="1421" w:type="dxa"/>
            <w:vAlign w:val="center"/>
          </w:tcPr>
          <w:p w14:paraId="472D4F6A" w14:textId="77777777" w:rsidR="00346BAF" w:rsidRPr="00AD7689" w:rsidRDefault="00346BAF" w:rsidP="00CB1C82">
            <w:pPr>
              <w:pStyle w:val="Tabletext0"/>
              <w:spacing w:before="0" w:after="0"/>
              <w:jc w:val="left"/>
            </w:pPr>
            <w:r w:rsidRPr="00D32939">
              <w:rPr>
                <w:rFonts w:cs="Arial"/>
              </w:rPr>
              <w:t xml:space="preserve"> 31,726 </w:t>
            </w:r>
          </w:p>
        </w:tc>
        <w:tc>
          <w:tcPr>
            <w:tcW w:w="1421" w:type="dxa"/>
            <w:vAlign w:val="center"/>
          </w:tcPr>
          <w:p w14:paraId="304C5F8A" w14:textId="77777777" w:rsidR="00346BAF" w:rsidRPr="00AD7689" w:rsidRDefault="00346BAF" w:rsidP="00CB1C82">
            <w:pPr>
              <w:pStyle w:val="Tabletext0"/>
              <w:spacing w:before="0" w:after="0"/>
              <w:jc w:val="left"/>
            </w:pPr>
            <w:r w:rsidRPr="00D32939">
              <w:rPr>
                <w:rFonts w:cs="Arial"/>
              </w:rPr>
              <w:t xml:space="preserve"> 43,711 </w:t>
            </w:r>
          </w:p>
        </w:tc>
        <w:tc>
          <w:tcPr>
            <w:tcW w:w="1421" w:type="dxa"/>
            <w:vAlign w:val="center"/>
          </w:tcPr>
          <w:p w14:paraId="7CF9F64A" w14:textId="77777777" w:rsidR="00346BAF" w:rsidRPr="00AD7689" w:rsidRDefault="00346BAF" w:rsidP="00CB1C82">
            <w:pPr>
              <w:pStyle w:val="Tabletext0"/>
              <w:spacing w:before="0" w:after="0"/>
              <w:jc w:val="left"/>
            </w:pPr>
            <w:r w:rsidRPr="00D32939">
              <w:rPr>
                <w:rFonts w:cs="Arial"/>
              </w:rPr>
              <w:t xml:space="preserve"> 60,068 </w:t>
            </w:r>
          </w:p>
        </w:tc>
        <w:tc>
          <w:tcPr>
            <w:tcW w:w="1421" w:type="dxa"/>
            <w:vAlign w:val="center"/>
          </w:tcPr>
          <w:p w14:paraId="1C6A67D3" w14:textId="77777777" w:rsidR="00346BAF" w:rsidRPr="00AD7689" w:rsidRDefault="00346BAF" w:rsidP="00CB1C82">
            <w:pPr>
              <w:pStyle w:val="Tabletext0"/>
              <w:spacing w:before="0" w:after="0"/>
              <w:jc w:val="left"/>
            </w:pPr>
            <w:r w:rsidRPr="00D32939">
              <w:rPr>
                <w:rFonts w:cs="Arial"/>
              </w:rPr>
              <w:t xml:space="preserve"> 82,742 </w:t>
            </w:r>
          </w:p>
        </w:tc>
        <w:tc>
          <w:tcPr>
            <w:tcW w:w="1457" w:type="dxa"/>
            <w:vAlign w:val="center"/>
          </w:tcPr>
          <w:p w14:paraId="391DD5B5" w14:textId="77777777" w:rsidR="00346BAF" w:rsidRPr="008C0EC9" w:rsidRDefault="00346BAF" w:rsidP="00CB1C82">
            <w:pPr>
              <w:pStyle w:val="Tabletext0"/>
              <w:spacing w:before="0" w:after="0"/>
              <w:rPr>
                <w:rFonts w:cs="Arial"/>
              </w:rPr>
            </w:pPr>
          </w:p>
        </w:tc>
      </w:tr>
      <w:tr w:rsidR="003A649B" w:rsidRPr="008C0EC9" w14:paraId="3CD2BC42" w14:textId="77777777" w:rsidTr="00025E3D">
        <w:trPr>
          <w:trHeight w:val="426"/>
        </w:trPr>
        <w:tc>
          <w:tcPr>
            <w:tcW w:w="3197" w:type="dxa"/>
            <w:vAlign w:val="center"/>
          </w:tcPr>
          <w:p w14:paraId="2DA614EC" w14:textId="77777777" w:rsidR="003A649B" w:rsidRPr="00862084" w:rsidRDefault="003A649B" w:rsidP="00CB1C82">
            <w:pPr>
              <w:pStyle w:val="Tabletext0"/>
              <w:spacing w:before="0" w:after="0"/>
              <w:jc w:val="left"/>
              <w:rPr>
                <w:rFonts w:cs="Arial"/>
                <w:vertAlign w:val="superscript"/>
              </w:rPr>
            </w:pPr>
            <w:r w:rsidRPr="00D32939">
              <w:rPr>
                <w:rFonts w:cs="Arial"/>
              </w:rPr>
              <w:t>Total cost MBS proposed P</w:t>
            </w:r>
            <w:r>
              <w:rPr>
                <w:rFonts w:cs="Arial"/>
              </w:rPr>
              <w:t>o</w:t>
            </w:r>
            <w:r w:rsidRPr="00D32939">
              <w:rPr>
                <w:rFonts w:cs="Arial"/>
              </w:rPr>
              <w:t>C tests</w:t>
            </w:r>
            <w:r>
              <w:rPr>
                <w:rFonts w:cs="Arial"/>
                <w:vertAlign w:val="superscript"/>
              </w:rPr>
              <w:t>e</w:t>
            </w:r>
          </w:p>
        </w:tc>
        <w:tc>
          <w:tcPr>
            <w:tcW w:w="1421" w:type="dxa"/>
          </w:tcPr>
          <w:p w14:paraId="577D77C0" w14:textId="087915C2" w:rsidR="003A649B" w:rsidRPr="00AD7689" w:rsidRDefault="003A649B" w:rsidP="00CB1C82">
            <w:pPr>
              <w:pStyle w:val="Tabletext0"/>
              <w:spacing w:before="0" w:after="0"/>
              <w:jc w:val="left"/>
            </w:pPr>
            <w:r w:rsidRPr="0035155F">
              <w:t xml:space="preserve"> $1,612,620 </w:t>
            </w:r>
          </w:p>
        </w:tc>
        <w:tc>
          <w:tcPr>
            <w:tcW w:w="1421" w:type="dxa"/>
          </w:tcPr>
          <w:p w14:paraId="0367EEAC" w14:textId="60994E0E" w:rsidR="003A649B" w:rsidRPr="00AD7689" w:rsidRDefault="003A649B" w:rsidP="00CB1C82">
            <w:pPr>
              <w:pStyle w:val="Tabletext0"/>
              <w:spacing w:before="0" w:after="0"/>
              <w:jc w:val="left"/>
            </w:pPr>
            <w:r w:rsidRPr="0035155F">
              <w:t xml:space="preserve"> $2,559,384 </w:t>
            </w:r>
          </w:p>
        </w:tc>
        <w:tc>
          <w:tcPr>
            <w:tcW w:w="1421" w:type="dxa"/>
          </w:tcPr>
          <w:p w14:paraId="453C01DE" w14:textId="647DCFBA" w:rsidR="003A649B" w:rsidRPr="00AD7689" w:rsidRDefault="003A649B" w:rsidP="00CB1C82">
            <w:pPr>
              <w:pStyle w:val="Tabletext0"/>
              <w:spacing w:before="0" w:after="0"/>
              <w:jc w:val="left"/>
            </w:pPr>
            <w:r w:rsidRPr="0035155F">
              <w:t xml:space="preserve"> $3,520,714 </w:t>
            </w:r>
          </w:p>
        </w:tc>
        <w:tc>
          <w:tcPr>
            <w:tcW w:w="1421" w:type="dxa"/>
          </w:tcPr>
          <w:p w14:paraId="2A208322" w14:textId="42481828" w:rsidR="003A649B" w:rsidRPr="00AD7689" w:rsidRDefault="003A649B" w:rsidP="00CB1C82">
            <w:pPr>
              <w:pStyle w:val="Tabletext0"/>
              <w:spacing w:before="0" w:after="0"/>
              <w:jc w:val="left"/>
            </w:pPr>
            <w:r w:rsidRPr="0035155F">
              <w:t xml:space="preserve"> $4,854,090 </w:t>
            </w:r>
          </w:p>
        </w:tc>
        <w:tc>
          <w:tcPr>
            <w:tcW w:w="1421" w:type="dxa"/>
          </w:tcPr>
          <w:p w14:paraId="3C536EE4" w14:textId="67D52F83" w:rsidR="003A649B" w:rsidRPr="00AD7689" w:rsidRDefault="003A649B" w:rsidP="00CB1C82">
            <w:pPr>
              <w:pStyle w:val="Tabletext0"/>
              <w:spacing w:before="0" w:after="0"/>
              <w:jc w:val="left"/>
            </w:pPr>
            <w:r w:rsidRPr="0035155F">
              <w:t xml:space="preserve"> $6,687,858 </w:t>
            </w:r>
          </w:p>
        </w:tc>
        <w:tc>
          <w:tcPr>
            <w:tcW w:w="1421" w:type="dxa"/>
          </w:tcPr>
          <w:p w14:paraId="67D1FBDD" w14:textId="45744A49" w:rsidR="003A649B" w:rsidRPr="00AD7689" w:rsidRDefault="003A649B" w:rsidP="00CB1C82">
            <w:pPr>
              <w:pStyle w:val="Tabletext0"/>
              <w:spacing w:before="0" w:after="0"/>
              <w:jc w:val="left"/>
            </w:pPr>
            <w:r w:rsidRPr="0035155F">
              <w:t xml:space="preserve"> $9,190,411 </w:t>
            </w:r>
          </w:p>
        </w:tc>
        <w:tc>
          <w:tcPr>
            <w:tcW w:w="1421" w:type="dxa"/>
          </w:tcPr>
          <w:p w14:paraId="7DB841B8" w14:textId="4A421D0F" w:rsidR="003A649B" w:rsidRPr="00AD7689" w:rsidRDefault="003A649B" w:rsidP="00CB1C82">
            <w:pPr>
              <w:pStyle w:val="Tabletext0"/>
              <w:spacing w:before="0" w:after="0"/>
              <w:jc w:val="left"/>
            </w:pPr>
            <w:r w:rsidRPr="0082719C">
              <w:t xml:space="preserve"> </w:t>
            </w:r>
            <w:r w:rsidRPr="003A649B">
              <w:t>$12,659,467</w:t>
            </w:r>
          </w:p>
        </w:tc>
        <w:tc>
          <w:tcPr>
            <w:tcW w:w="1457" w:type="dxa"/>
          </w:tcPr>
          <w:p w14:paraId="20BE3A63" w14:textId="77777777" w:rsidR="003A649B" w:rsidRPr="008C0EC9" w:rsidRDefault="003A649B" w:rsidP="00CB1C82">
            <w:pPr>
              <w:pStyle w:val="Tabletext0"/>
              <w:spacing w:before="0" w:after="0"/>
              <w:rPr>
                <w:rFonts w:cs="Arial"/>
              </w:rPr>
            </w:pPr>
          </w:p>
        </w:tc>
      </w:tr>
      <w:tr w:rsidR="00E20A8C" w:rsidRPr="008C0EC9" w14:paraId="25F45528" w14:textId="77777777" w:rsidTr="00025E3D">
        <w:trPr>
          <w:trHeight w:val="426"/>
        </w:trPr>
        <w:tc>
          <w:tcPr>
            <w:tcW w:w="3197" w:type="dxa"/>
            <w:vAlign w:val="center"/>
          </w:tcPr>
          <w:p w14:paraId="7B8D1713" w14:textId="77777777" w:rsidR="00E20A8C" w:rsidRPr="00B8223A" w:rsidRDefault="00E20A8C" w:rsidP="00CB1C82">
            <w:pPr>
              <w:pStyle w:val="Tabletext0"/>
              <w:spacing w:before="0" w:after="0"/>
              <w:jc w:val="left"/>
              <w:rPr>
                <w:rFonts w:cs="Arial"/>
              </w:rPr>
            </w:pPr>
            <w:r w:rsidRPr="00B8223A">
              <w:rPr>
                <w:rFonts w:cs="Arial"/>
              </w:rPr>
              <w:t>Net cost to MBS related to change in testing</w:t>
            </w:r>
          </w:p>
        </w:tc>
        <w:tc>
          <w:tcPr>
            <w:tcW w:w="1421" w:type="dxa"/>
          </w:tcPr>
          <w:p w14:paraId="6EBB31B4" w14:textId="6CEFEB57" w:rsidR="00E20A8C" w:rsidRPr="00AD7689" w:rsidRDefault="00E20A8C" w:rsidP="00CB1C82">
            <w:pPr>
              <w:pStyle w:val="Tabletext0"/>
              <w:spacing w:before="0" w:after="0"/>
              <w:jc w:val="left"/>
            </w:pPr>
            <w:r w:rsidRPr="00A100FA">
              <w:t xml:space="preserve"> $1,155,711 </w:t>
            </w:r>
          </w:p>
        </w:tc>
        <w:tc>
          <w:tcPr>
            <w:tcW w:w="1421" w:type="dxa"/>
          </w:tcPr>
          <w:p w14:paraId="1E6EC5B2" w14:textId="4F1A9BD7" w:rsidR="00E20A8C" w:rsidRPr="00AD7689" w:rsidRDefault="00E20A8C" w:rsidP="00CB1C82">
            <w:pPr>
              <w:pStyle w:val="Tabletext0"/>
              <w:spacing w:before="0" w:after="0"/>
              <w:jc w:val="left"/>
            </w:pPr>
            <w:r w:rsidRPr="00A100FA">
              <w:t xml:space="preserve"> $1,834,225 </w:t>
            </w:r>
          </w:p>
        </w:tc>
        <w:tc>
          <w:tcPr>
            <w:tcW w:w="1421" w:type="dxa"/>
          </w:tcPr>
          <w:p w14:paraId="1AA30885" w14:textId="13CFEE67" w:rsidR="00E20A8C" w:rsidRPr="00AD7689" w:rsidRDefault="00E20A8C" w:rsidP="00CB1C82">
            <w:pPr>
              <w:pStyle w:val="Tabletext0"/>
              <w:spacing w:before="0" w:after="0"/>
              <w:jc w:val="left"/>
            </w:pPr>
            <w:r w:rsidRPr="00A100FA">
              <w:t xml:space="preserve"> $2,523,178 </w:t>
            </w:r>
          </w:p>
        </w:tc>
        <w:tc>
          <w:tcPr>
            <w:tcW w:w="1421" w:type="dxa"/>
          </w:tcPr>
          <w:p w14:paraId="7B8A9B66" w14:textId="46F21DC4" w:rsidR="00E20A8C" w:rsidRPr="00AD7689" w:rsidRDefault="00E20A8C" w:rsidP="00CB1C82">
            <w:pPr>
              <w:pStyle w:val="Tabletext0"/>
              <w:spacing w:before="0" w:after="0"/>
              <w:jc w:val="left"/>
            </w:pPr>
            <w:r w:rsidRPr="00A100FA">
              <w:t xml:space="preserve"> $3,478,765 </w:t>
            </w:r>
          </w:p>
        </w:tc>
        <w:tc>
          <w:tcPr>
            <w:tcW w:w="1421" w:type="dxa"/>
          </w:tcPr>
          <w:p w14:paraId="0F788408" w14:textId="53519DB2" w:rsidR="00E20A8C" w:rsidRPr="00AD7689" w:rsidRDefault="00E20A8C" w:rsidP="00CB1C82">
            <w:pPr>
              <w:pStyle w:val="Tabletext0"/>
              <w:spacing w:before="0" w:after="0"/>
              <w:jc w:val="left"/>
            </w:pPr>
            <w:r w:rsidRPr="00A100FA">
              <w:t xml:space="preserve"> $4,792,965 </w:t>
            </w:r>
          </w:p>
        </w:tc>
        <w:tc>
          <w:tcPr>
            <w:tcW w:w="1421" w:type="dxa"/>
          </w:tcPr>
          <w:p w14:paraId="1D6DD0A5" w14:textId="253D7AF6" w:rsidR="00E20A8C" w:rsidRPr="00AD7689" w:rsidRDefault="00E20A8C" w:rsidP="00CB1C82">
            <w:pPr>
              <w:pStyle w:val="Tabletext0"/>
              <w:spacing w:before="0" w:after="0"/>
              <w:jc w:val="left"/>
            </w:pPr>
            <w:r w:rsidRPr="00A100FA">
              <w:t xml:space="preserve"> $6,586,461 </w:t>
            </w:r>
          </w:p>
        </w:tc>
        <w:tc>
          <w:tcPr>
            <w:tcW w:w="1421" w:type="dxa"/>
          </w:tcPr>
          <w:p w14:paraId="18EA0417" w14:textId="7EE23EC2" w:rsidR="00E20A8C" w:rsidRPr="00AD7689" w:rsidRDefault="00E20A8C" w:rsidP="00CB1C82">
            <w:pPr>
              <w:pStyle w:val="Tabletext0"/>
              <w:spacing w:before="0" w:after="0"/>
              <w:jc w:val="left"/>
            </w:pPr>
            <w:r w:rsidRPr="00A100FA">
              <w:t xml:space="preserve"> $9,072,618 </w:t>
            </w:r>
          </w:p>
        </w:tc>
        <w:tc>
          <w:tcPr>
            <w:tcW w:w="1457" w:type="dxa"/>
          </w:tcPr>
          <w:p w14:paraId="64AB9808" w14:textId="1ED7FBBD" w:rsidR="00E20A8C" w:rsidRPr="008C0EC9" w:rsidRDefault="00E20A8C" w:rsidP="00CB1C82">
            <w:pPr>
              <w:pStyle w:val="Tabletext0"/>
              <w:spacing w:before="0" w:after="0"/>
              <w:rPr>
                <w:rFonts w:cs="Arial"/>
              </w:rPr>
            </w:pPr>
            <w:r w:rsidRPr="00A100FA">
              <w:t xml:space="preserve"> $19,215,594 </w:t>
            </w:r>
          </w:p>
        </w:tc>
      </w:tr>
    </w:tbl>
    <w:p w14:paraId="5DB1F78D" w14:textId="538FC357" w:rsidR="003B4F6D" w:rsidRPr="008F3541" w:rsidRDefault="003B4F6D" w:rsidP="00CB1C82">
      <w:pPr>
        <w:pStyle w:val="Tablenotes0"/>
        <w:spacing w:before="40"/>
      </w:pPr>
      <w:r w:rsidRPr="008F3541">
        <w:t xml:space="preserve">a </w:t>
      </w:r>
      <w:r>
        <w:t>P</w:t>
      </w:r>
      <w:r w:rsidRPr="008F3541">
        <w:t xml:space="preserve">roposed Benefit for pathology </w:t>
      </w:r>
      <w:r>
        <w:t>Microbiology S</w:t>
      </w:r>
      <w:r w:rsidRPr="008F3541">
        <w:t xml:space="preserve">ervice </w:t>
      </w:r>
      <w:r>
        <w:t xml:space="preserve">for </w:t>
      </w:r>
      <w:r w:rsidRPr="008F3541">
        <w:t xml:space="preserve">CT/NG </w:t>
      </w:r>
      <w:r>
        <w:t>P</w:t>
      </w:r>
      <w:r w:rsidR="0076543C">
        <w:t>o</w:t>
      </w:r>
      <w:r>
        <w:t xml:space="preserve">C test </w:t>
      </w:r>
      <w:r w:rsidRPr="008F3541">
        <w:t>$34.</w:t>
      </w:r>
      <w:r>
        <w:t>50</w:t>
      </w:r>
      <w:r w:rsidRPr="008F3541">
        <w:t xml:space="preserve"> (Fee $40.</w:t>
      </w:r>
      <w:r>
        <w:t>60</w:t>
      </w:r>
      <w:r w:rsidRPr="008F3541">
        <w:t>)</w:t>
      </w:r>
      <w:r>
        <w:t xml:space="preserve">, and </w:t>
      </w:r>
      <w:r w:rsidRPr="008F3541">
        <w:t xml:space="preserve">Miscellaneous Service - for staff time conducting </w:t>
      </w:r>
      <w:r>
        <w:t xml:space="preserve">CT/NG </w:t>
      </w:r>
      <w:r w:rsidRPr="008F3541">
        <w:t>P</w:t>
      </w:r>
      <w:r w:rsidR="0076543C">
        <w:t>o</w:t>
      </w:r>
      <w:r w:rsidRPr="008F3541">
        <w:t>C test $</w:t>
      </w:r>
      <w:r>
        <w:t>56.00</w:t>
      </w:r>
      <w:r w:rsidRPr="008F3541">
        <w:t xml:space="preserve"> (Fee $65.85)</w:t>
      </w:r>
      <w:r>
        <w:t>; Total Benefit for CT/NG P</w:t>
      </w:r>
      <w:r w:rsidR="0076543C">
        <w:t>o</w:t>
      </w:r>
      <w:r>
        <w:t>C testing =$90.50</w:t>
      </w:r>
    </w:p>
    <w:p w14:paraId="0F72D037" w14:textId="4E43BBA5" w:rsidR="003B4F6D" w:rsidRPr="008F3541" w:rsidRDefault="003B4F6D" w:rsidP="00EB29A7">
      <w:pPr>
        <w:pStyle w:val="Tablenotes0"/>
      </w:pPr>
      <w:r w:rsidRPr="008F3541">
        <w:t xml:space="preserve">b </w:t>
      </w:r>
      <w:r>
        <w:t>P</w:t>
      </w:r>
      <w:r w:rsidRPr="008F3541">
        <w:t xml:space="preserve">roposed Benefit for pathology </w:t>
      </w:r>
      <w:r>
        <w:t>Microbiology S</w:t>
      </w:r>
      <w:r w:rsidRPr="008F3541">
        <w:t xml:space="preserve">ervice </w:t>
      </w:r>
      <w:r>
        <w:t>for TV</w:t>
      </w:r>
      <w:r w:rsidRPr="008F3541">
        <w:t xml:space="preserve"> </w:t>
      </w:r>
      <w:r>
        <w:t>P</w:t>
      </w:r>
      <w:r w:rsidR="0076543C">
        <w:t>o</w:t>
      </w:r>
      <w:r>
        <w:t xml:space="preserve">C test </w:t>
      </w:r>
      <w:r w:rsidRPr="008F3541">
        <w:t>$34.</w:t>
      </w:r>
      <w:r>
        <w:t>50</w:t>
      </w:r>
      <w:r w:rsidRPr="008F3541">
        <w:t xml:space="preserve"> (Fee $40.</w:t>
      </w:r>
      <w:r>
        <w:t>60</w:t>
      </w:r>
      <w:r w:rsidRPr="008F3541">
        <w:t>)</w:t>
      </w:r>
      <w:r>
        <w:t xml:space="preserve">, and </w:t>
      </w:r>
      <w:r w:rsidRPr="008F3541">
        <w:t xml:space="preserve">Miscellaneous Service - for staff time conducting </w:t>
      </w:r>
      <w:r>
        <w:t xml:space="preserve">TV </w:t>
      </w:r>
      <w:r w:rsidRPr="008F3541">
        <w:t>P</w:t>
      </w:r>
      <w:r w:rsidR="0076543C">
        <w:t>o</w:t>
      </w:r>
      <w:r w:rsidRPr="008F3541">
        <w:t>C test $</w:t>
      </w:r>
      <w:r>
        <w:t>56.00</w:t>
      </w:r>
      <w:r w:rsidRPr="008F3541">
        <w:t xml:space="preserve"> (Fee $65.85)</w:t>
      </w:r>
      <w:r>
        <w:t>; Total Benefit for TV P</w:t>
      </w:r>
      <w:r w:rsidR="0076543C">
        <w:t>o</w:t>
      </w:r>
      <w:r>
        <w:t>C testing = $90.50</w:t>
      </w:r>
    </w:p>
    <w:p w14:paraId="42AA885A" w14:textId="77777777" w:rsidR="003B4F6D" w:rsidRDefault="003B4F6D" w:rsidP="00EB29A7">
      <w:pPr>
        <w:pStyle w:val="Tablenotes0"/>
      </w:pPr>
      <w:r w:rsidRPr="008F3541">
        <w:t>c Benefit for laboratory test pathology service</w:t>
      </w:r>
      <w:r>
        <w:t xml:space="preserve"> - </w:t>
      </w:r>
      <w:r w:rsidRPr="008F3541">
        <w:t>MBS item 69319</w:t>
      </w:r>
      <w:r>
        <w:t xml:space="preserve"> (3 tests including test for chlamydia) </w:t>
      </w:r>
      <w:r w:rsidRPr="008F3541">
        <w:t xml:space="preserve">and </w:t>
      </w:r>
      <w:r w:rsidRPr="00236456">
        <w:t>Item 73938- Episode fee for one or more services</w:t>
      </w:r>
      <w:r>
        <w:t xml:space="preserve"> Combined Total Benefit $43.35</w:t>
      </w:r>
    </w:p>
    <w:p w14:paraId="7EBCB8CC" w14:textId="68B860BC" w:rsidR="00591648" w:rsidRDefault="00591648" w:rsidP="00EB29A7">
      <w:pPr>
        <w:pStyle w:val="Tablenotes0"/>
      </w:pPr>
      <w:r>
        <w:t xml:space="preserve">d </w:t>
      </w:r>
      <w:r w:rsidR="004F26C7">
        <w:t xml:space="preserve">Sensitivity analysis uses </w:t>
      </w:r>
      <w:r w:rsidR="00A6646C">
        <w:t xml:space="preserve">85% Benefit from </w:t>
      </w:r>
      <w:r w:rsidR="001D78F1">
        <w:t xml:space="preserve">Alternative </w:t>
      </w:r>
      <w:r w:rsidR="00945D2C">
        <w:t xml:space="preserve">1 </w:t>
      </w:r>
      <w:r w:rsidR="00A6646C">
        <w:t xml:space="preserve">scenario in </w:t>
      </w:r>
      <w:r w:rsidR="00A6646C">
        <w:fldChar w:fldCharType="begin"/>
      </w:r>
      <w:r w:rsidR="00A6646C">
        <w:instrText xml:space="preserve"> REF _Ref147777928 \h </w:instrText>
      </w:r>
      <w:r w:rsidR="00A6646C">
        <w:fldChar w:fldCharType="separate"/>
      </w:r>
      <w:r w:rsidR="00DE2A83">
        <w:t xml:space="preserve">Table </w:t>
      </w:r>
      <w:r w:rsidR="00DE2A83">
        <w:rPr>
          <w:noProof/>
        </w:rPr>
        <w:t>4</w:t>
      </w:r>
      <w:r w:rsidR="00A6646C">
        <w:fldChar w:fldCharType="end"/>
      </w:r>
      <w:r w:rsidR="00A6646C">
        <w:t xml:space="preserve"> – </w:t>
      </w:r>
      <w:r w:rsidR="00ED2D0B">
        <w:t xml:space="preserve">total combined </w:t>
      </w:r>
      <w:r w:rsidR="004F26C7">
        <w:t>85%</w:t>
      </w:r>
      <w:r w:rsidR="00ED2D0B">
        <w:t xml:space="preserve"> </w:t>
      </w:r>
      <w:r w:rsidR="004F26C7">
        <w:t xml:space="preserve">Benefit </w:t>
      </w:r>
      <w:r w:rsidR="00ED2D0B">
        <w:t xml:space="preserve">($125) </w:t>
      </w:r>
      <w:r w:rsidR="004F26C7">
        <w:t>for</w:t>
      </w:r>
      <w:r w:rsidR="00ED2D0B" w:rsidRPr="00ED2D0B">
        <w:t xml:space="preserve"> </w:t>
      </w:r>
      <w:r w:rsidR="00ED2D0B">
        <w:t>c</w:t>
      </w:r>
      <w:r w:rsidR="00ED2D0B" w:rsidRPr="00ED2D0B">
        <w:t>ombined CT/NG, TV and single miscellaneous service item</w:t>
      </w:r>
      <w:r w:rsidR="004F26C7">
        <w:t xml:space="preserve"> </w:t>
      </w:r>
      <w:r w:rsidR="001D78F1">
        <w:t xml:space="preserve"> </w:t>
      </w:r>
    </w:p>
    <w:p w14:paraId="39EF88FD" w14:textId="37F47CD0" w:rsidR="00ED2D0B" w:rsidRPr="008F3541" w:rsidRDefault="00ED2D0B" w:rsidP="00EB29A7">
      <w:pPr>
        <w:pStyle w:val="Tablenotes0"/>
      </w:pPr>
      <w:r>
        <w:t xml:space="preserve">e Sensitivity analysis uses 85% Benefit from Alternative 2 scenario in </w:t>
      </w:r>
      <w:r>
        <w:fldChar w:fldCharType="begin"/>
      </w:r>
      <w:r>
        <w:instrText xml:space="preserve"> REF _Ref147777928 \h </w:instrText>
      </w:r>
      <w:r>
        <w:fldChar w:fldCharType="separate"/>
      </w:r>
      <w:r w:rsidR="00DE2A83">
        <w:t xml:space="preserve">Table </w:t>
      </w:r>
      <w:r w:rsidR="00DE2A83">
        <w:rPr>
          <w:noProof/>
        </w:rPr>
        <w:t>4</w:t>
      </w:r>
      <w:r>
        <w:fldChar w:fldCharType="end"/>
      </w:r>
      <w:r>
        <w:t xml:space="preserve"> – total combined 85% Benefit ($</w:t>
      </w:r>
      <w:r w:rsidR="002503E1">
        <w:t>73.75</w:t>
      </w:r>
      <w:r>
        <w:t>) for</w:t>
      </w:r>
      <w:r w:rsidRPr="00ED2D0B">
        <w:t xml:space="preserve"> </w:t>
      </w:r>
      <w:r>
        <w:t>c</w:t>
      </w:r>
      <w:r w:rsidRPr="00ED2D0B">
        <w:t>ombined CT/NG, TV and single miscellaneous service item</w:t>
      </w:r>
      <w:r>
        <w:t xml:space="preserve">  </w:t>
      </w:r>
    </w:p>
    <w:p w14:paraId="233DAB48" w14:textId="4EF7A211" w:rsidR="003B4F6D" w:rsidRDefault="003B4F6D" w:rsidP="00EB29A7">
      <w:pPr>
        <w:pStyle w:val="Tablenotes0"/>
      </w:pPr>
      <w:r>
        <w:t>*5-year budget calculated from 2024 -2028, which aligns with a presumed availability of the approved items in 2024. An additional 6</w:t>
      </w:r>
      <w:r w:rsidRPr="00F631CC">
        <w:rPr>
          <w:vertAlign w:val="superscript"/>
        </w:rPr>
        <w:t>th</w:t>
      </w:r>
      <w:r>
        <w:t xml:space="preserve"> year (2029) is provided </w:t>
      </w:r>
      <w:r w:rsidR="00861E06">
        <w:t xml:space="preserve">[in the applicant response] </w:t>
      </w:r>
      <w:r>
        <w:t>but is not part of the 5-year budget estimate.</w:t>
      </w:r>
    </w:p>
    <w:p w14:paraId="0FE0A0AE" w14:textId="7D482C37" w:rsidR="003B4F6D" w:rsidRPr="009E54CA" w:rsidRDefault="003B4F6D" w:rsidP="00EB29A7">
      <w:pPr>
        <w:pStyle w:val="Tablenotes0"/>
        <w:rPr>
          <w:sz w:val="20"/>
          <w:szCs w:val="20"/>
        </w:rPr>
      </w:pPr>
      <w:r w:rsidRPr="00264132">
        <w:rPr>
          <w:sz w:val="20"/>
          <w:szCs w:val="20"/>
          <w:u w:val="single"/>
        </w:rPr>
        <w:t>Note</w:t>
      </w:r>
      <w:r w:rsidR="00EB29A7">
        <w:rPr>
          <w:sz w:val="20"/>
          <w:szCs w:val="20"/>
          <w:u w:val="single"/>
        </w:rPr>
        <w:t xml:space="preserve"> from the applicant response</w:t>
      </w:r>
      <w:r w:rsidRPr="00264132">
        <w:rPr>
          <w:sz w:val="20"/>
          <w:szCs w:val="20"/>
          <w:u w:val="single"/>
        </w:rPr>
        <w:t>:</w:t>
      </w:r>
      <w:r w:rsidRPr="009E54CA">
        <w:rPr>
          <w:sz w:val="20"/>
          <w:szCs w:val="20"/>
        </w:rPr>
        <w:t xml:space="preserve"> The government will still be required to provide block funding to the First Nations Molecular Testing Program to conduct training, quality management and connectivity, consistent with national P</w:t>
      </w:r>
      <w:r w:rsidR="0076543C">
        <w:rPr>
          <w:sz w:val="20"/>
          <w:szCs w:val="20"/>
        </w:rPr>
        <w:t>o</w:t>
      </w:r>
      <w:r w:rsidRPr="009E54CA">
        <w:rPr>
          <w:sz w:val="20"/>
          <w:szCs w:val="20"/>
        </w:rPr>
        <w:t xml:space="preserve">C testing guidelines, and the amount of funding provided to this Program provided will limit the total number of services able to conduct STI </w:t>
      </w:r>
      <w:r>
        <w:rPr>
          <w:sz w:val="20"/>
          <w:szCs w:val="20"/>
        </w:rPr>
        <w:t>m</w:t>
      </w:r>
      <w:r w:rsidRPr="009E54CA">
        <w:rPr>
          <w:sz w:val="20"/>
          <w:szCs w:val="20"/>
        </w:rPr>
        <w:t xml:space="preserve">olecular </w:t>
      </w:r>
      <w:r w:rsidR="0076543C">
        <w:t>PoCT</w:t>
      </w:r>
      <w:r w:rsidRPr="009E54CA">
        <w:rPr>
          <w:sz w:val="20"/>
          <w:szCs w:val="20"/>
        </w:rPr>
        <w:t>.</w:t>
      </w:r>
    </w:p>
    <w:p w14:paraId="77516267" w14:textId="77777777" w:rsidR="005C170B" w:rsidRDefault="005C170B" w:rsidP="00C52A15">
      <w:pPr>
        <w:sectPr w:rsidR="005C170B" w:rsidSect="00382148">
          <w:pgSz w:w="16838" w:h="11906" w:orient="landscape" w:code="9"/>
          <w:pgMar w:top="1440" w:right="1440" w:bottom="1440" w:left="1440" w:header="709" w:footer="709" w:gutter="0"/>
          <w:cols w:space="708"/>
          <w:docGrid w:linePitch="360"/>
        </w:sectPr>
      </w:pPr>
    </w:p>
    <w:bookmarkEnd w:id="33"/>
    <w:p w14:paraId="7838A9FF" w14:textId="71694C08" w:rsidR="00772829" w:rsidRPr="00CE28E3" w:rsidRDefault="00C36633" w:rsidP="00565417">
      <w:pPr>
        <w:pStyle w:val="Heading2"/>
        <w:numPr>
          <w:ilvl w:val="0"/>
          <w:numId w:val="0"/>
        </w:numPr>
      </w:pPr>
      <w:r>
        <w:lastRenderedPageBreak/>
        <w:t>1</w:t>
      </w:r>
      <w:r w:rsidR="008A03A9">
        <w:t>5</w:t>
      </w:r>
      <w:r>
        <w:t>.</w:t>
      </w:r>
      <w:r>
        <w:tab/>
      </w:r>
      <w:r w:rsidR="00772829" w:rsidRPr="00CE28E3">
        <w:t xml:space="preserve">Other relevant </w:t>
      </w:r>
      <w:bookmarkEnd w:id="32"/>
      <w:r w:rsidR="00FA5766">
        <w:t>information</w:t>
      </w:r>
    </w:p>
    <w:p w14:paraId="312A4664" w14:textId="15AA884C" w:rsidR="002F108F" w:rsidRDefault="00125D0F" w:rsidP="002F108F">
      <w:r>
        <w:t>Nil.</w:t>
      </w:r>
    </w:p>
    <w:p w14:paraId="58648EBB" w14:textId="1DF36D31" w:rsidR="008A03A9" w:rsidRDefault="008A03A9" w:rsidP="008A03A9">
      <w:pPr>
        <w:pStyle w:val="Heading2"/>
        <w:numPr>
          <w:ilvl w:val="0"/>
          <w:numId w:val="0"/>
        </w:numPr>
      </w:pPr>
      <w:r>
        <w:t>16.</w:t>
      </w:r>
      <w:r>
        <w:tab/>
        <w:t>Applicant comments on MSAC’s Public Summary Document</w:t>
      </w:r>
    </w:p>
    <w:p w14:paraId="48DB4209" w14:textId="2B18A118" w:rsidR="00244A77" w:rsidRPr="00DF27A9" w:rsidRDefault="00244A77" w:rsidP="008A03A9">
      <w:pPr>
        <w:pStyle w:val="Heading2"/>
        <w:numPr>
          <w:ilvl w:val="0"/>
          <w:numId w:val="0"/>
        </w:numPr>
        <w:rPr>
          <w:rFonts w:ascii="Franklin Gothic Book" w:hAnsi="Franklin Gothic Book"/>
        </w:rPr>
      </w:pPr>
      <w:r w:rsidRPr="00DF27A9">
        <w:rPr>
          <w:rFonts w:ascii="Franklin Gothic Book" w:hAnsi="Franklin Gothic Book" w:cstheme="minorHAnsi"/>
          <w:color w:val="auto"/>
          <w:sz w:val="22"/>
          <w:szCs w:val="22"/>
        </w:rPr>
        <w:t>The approval of the proposed rebate for STI POC testing is important, as it addresses a major inequity in health care access to timely diagnostics for infectious diseases in remote Aboriginal communities.  The inclusion of funding to support the services to conduct the testing is also well received as it recognises this activity needs to be reimbursed like other clinical activities which have existing Medicare rebates. However, notably the amount provided accounts for less than half of the time required to conduct the testing and thus will not sufficiently cover the complete service. While a rebate supported for remote and very remote areas (MM6-7) will have significant benefits, the decision to not support regional areas (MM3-5) is a missed opportunity to lessen health inequity. The majority of Aboriginal and Torres Strait Islander peoples (43.8%) reside in regional areas, where notification rates for chlamydia and gonorrhoea are three and ten times higher in comparison to the non-Indigenous population, respectively, and regional clinical services are also significant distances away from centralised laboratory.</w:t>
      </w:r>
      <w:r w:rsidR="002F4F96" w:rsidRPr="00DF27A9">
        <w:rPr>
          <w:rFonts w:ascii="Franklin Gothic Book" w:hAnsi="Franklin Gothic Book" w:cstheme="minorHAnsi"/>
          <w:color w:val="auto"/>
          <w:sz w:val="22"/>
          <w:szCs w:val="22"/>
        </w:rPr>
        <w:t xml:space="preserve"> The applicant notes that </w:t>
      </w:r>
      <w:r w:rsidRPr="00DF27A9">
        <w:rPr>
          <w:rFonts w:ascii="Franklin Gothic Book" w:hAnsi="Franklin Gothic Book" w:cstheme="minorHAnsi"/>
          <w:color w:val="auto"/>
          <w:sz w:val="22"/>
          <w:szCs w:val="22"/>
        </w:rPr>
        <w:t>the basis for not funding the complete service and not approving the broader geographical scope was</w:t>
      </w:r>
      <w:r w:rsidR="002F4F96" w:rsidRPr="00DF27A9">
        <w:rPr>
          <w:rFonts w:ascii="Franklin Gothic Book" w:hAnsi="Franklin Gothic Book" w:cstheme="minorHAnsi"/>
          <w:color w:val="auto"/>
          <w:sz w:val="22"/>
          <w:szCs w:val="22"/>
        </w:rPr>
        <w:t xml:space="preserve"> because MSAC considered</w:t>
      </w:r>
      <w:r w:rsidRPr="00DF27A9">
        <w:rPr>
          <w:rFonts w:ascii="Franklin Gothic Book" w:hAnsi="Franklin Gothic Book" w:cstheme="minorHAnsi"/>
          <w:color w:val="auto"/>
          <w:sz w:val="22"/>
          <w:szCs w:val="22"/>
        </w:rPr>
        <w:t xml:space="preserve"> there was insufficient clinical evidence to support the health economic evaluation. However, we provided the best available synthesized evidence from over 30 studies across the world (including data among Aboriginal women in Australia) which had already demonstrated the association between STIs and sequalae such as pelvic inflammatory disease. This evidence forms the basis of Australia clinical guidelines and the National STI Strategy, thus deemed sufficient. We also provided RCT and programmatic evidence from regional and remote Aboriginal communities, which showed STI POC testing significantly improved the uptake and timeliness of treatment, and in turn rapid cure from infection. Timely treatment and cure from STIs will reduce the risk of pelvic inflammatory disease and other reproductive morbidity, as well as onward transmission to sexual partners. </w:t>
      </w:r>
    </w:p>
    <w:p w14:paraId="20069D2E" w14:textId="0CD0FF35" w:rsidR="008A03A9" w:rsidRDefault="008A03A9" w:rsidP="008A03A9">
      <w:pPr>
        <w:pStyle w:val="Heading2"/>
        <w:numPr>
          <w:ilvl w:val="0"/>
          <w:numId w:val="0"/>
        </w:numPr>
      </w:pPr>
      <w:r>
        <w:t>17.</w:t>
      </w:r>
      <w:r>
        <w:tab/>
        <w:t>Further information on MSAC</w:t>
      </w:r>
    </w:p>
    <w:p w14:paraId="1B438708" w14:textId="24098AD9" w:rsidR="00415A9B" w:rsidRPr="008A03A9" w:rsidRDefault="008A03A9" w:rsidP="00DF27A9">
      <w:pPr>
        <w:pStyle w:val="BodyText"/>
        <w:jc w:val="lef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23" w:tooltip="Link to the MSAC website" w:history="1">
        <w:r w:rsidRPr="00F309FA">
          <w:rPr>
            <w:rStyle w:val="Hyperlink"/>
            <w:rFonts w:ascii="Franklin Gothic Book" w:hAnsi="Franklin Gothic Book"/>
            <w:bCs/>
            <w:iCs/>
            <w:sz w:val="22"/>
          </w:rPr>
          <w:t>visit the MSAC website</w:t>
        </w:r>
      </w:hyperlink>
    </w:p>
    <w:sectPr w:rsidR="00415A9B" w:rsidRPr="008A03A9" w:rsidSect="00021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E6EA" w14:textId="77777777" w:rsidR="00A702E8" w:rsidRDefault="00A702E8" w:rsidP="00B62DF2">
      <w:pPr>
        <w:spacing w:after="0" w:line="240" w:lineRule="auto"/>
      </w:pPr>
      <w:r>
        <w:separator/>
      </w:r>
    </w:p>
  </w:endnote>
  <w:endnote w:type="continuationSeparator" w:id="0">
    <w:p w14:paraId="5F7387CB" w14:textId="77777777" w:rsidR="00A702E8" w:rsidRDefault="00A702E8" w:rsidP="00B62DF2">
      <w:pPr>
        <w:spacing w:after="0" w:line="240" w:lineRule="auto"/>
      </w:pPr>
      <w:r>
        <w:continuationSeparator/>
      </w:r>
    </w:p>
  </w:endnote>
  <w:endnote w:type="continuationNotice" w:id="1">
    <w:p w14:paraId="5EC95603" w14:textId="77777777" w:rsidR="00A702E8" w:rsidRDefault="00A702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UI Light">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HelveticaNeueLTStd-Cn">
    <w:altName w:val="Arial"/>
    <w:charset w:val="00"/>
    <w:family w:val="swiss"/>
    <w:pitch w:val="default"/>
    <w:sig w:usb0="00000003" w:usb1="00000000" w:usb2="00000000" w:usb3="00000000" w:csb0="00000001" w:csb1="00000000"/>
  </w:font>
  <w:font w:name="HelveticaNeueLTStd-CnO">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25328E00" w:rsidR="005947B5" w:rsidRDefault="005947B5" w:rsidP="00415A9B">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976810"/>
      <w:docPartObj>
        <w:docPartGallery w:val="Page Numbers (Bottom of Page)"/>
        <w:docPartUnique/>
      </w:docPartObj>
    </w:sdtPr>
    <w:sdtEndPr>
      <w:rPr>
        <w:noProof/>
      </w:rPr>
    </w:sdtEndPr>
    <w:sdtContent>
      <w:p w14:paraId="5C1ACE5E" w14:textId="2D5D73C7" w:rsidR="00382148" w:rsidRDefault="003821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F7E1" w14:textId="77777777" w:rsidR="00382148" w:rsidRDefault="0038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30F7" w14:textId="77777777" w:rsidR="00A702E8" w:rsidRDefault="00A702E8" w:rsidP="00B62DF2">
      <w:pPr>
        <w:spacing w:after="0" w:line="240" w:lineRule="auto"/>
      </w:pPr>
      <w:r>
        <w:separator/>
      </w:r>
    </w:p>
  </w:footnote>
  <w:footnote w:type="continuationSeparator" w:id="0">
    <w:p w14:paraId="75D5DD9C" w14:textId="77777777" w:rsidR="00A702E8" w:rsidRDefault="00A702E8" w:rsidP="00B62DF2">
      <w:pPr>
        <w:spacing w:after="0" w:line="240" w:lineRule="auto"/>
      </w:pPr>
      <w:r>
        <w:continuationSeparator/>
      </w:r>
    </w:p>
  </w:footnote>
  <w:footnote w:type="continuationNotice" w:id="1">
    <w:p w14:paraId="2A45A1B6" w14:textId="77777777" w:rsidR="00A702E8" w:rsidRDefault="00A702E8">
      <w:pPr>
        <w:spacing w:before="0" w:after="0" w:line="240" w:lineRule="auto"/>
      </w:pPr>
    </w:p>
  </w:footnote>
  <w:footnote w:id="2">
    <w:p w14:paraId="16DB4C75" w14:textId="682C1161" w:rsidR="00D93946" w:rsidRDefault="00D93946">
      <w:pPr>
        <w:pStyle w:val="FootnoteText"/>
      </w:pPr>
      <w:r>
        <w:rPr>
          <w:rStyle w:val="FootnoteReference"/>
        </w:rPr>
        <w:footnoteRef/>
      </w:r>
      <w:r>
        <w:t xml:space="preserve"> </w:t>
      </w:r>
      <w:r w:rsidR="00502631" w:rsidRPr="00BB7755">
        <w:t xml:space="preserve">Australian Bureau of Statistics. Remoteness Structure Australian Statistical Geography Standard (ASGS) Edition 3. 20 July 2021. </w:t>
      </w:r>
      <w:hyperlink r:id="rId1" w:history="1">
        <w:r w:rsidR="00502631" w:rsidRPr="00BB7755">
          <w:rPr>
            <w:rStyle w:val="Hyperlink"/>
          </w:rPr>
          <w:t>https://www.abs.gov.au/statistics/standards/australian-statistical-geography-standard-asgs-edition-3/jul2021-jun2026/remoteness-structure</w:t>
        </w:r>
      </w:hyperlink>
      <w:r w:rsidR="00502631" w:rsidRPr="00BB7755">
        <w:t xml:space="preserve"> (accessed 1 December 2021).</w:t>
      </w:r>
    </w:p>
  </w:footnote>
  <w:footnote w:id="3">
    <w:p w14:paraId="4E597564" w14:textId="5546ED2E" w:rsidR="003C19F6" w:rsidRDefault="003C19F6">
      <w:pPr>
        <w:pStyle w:val="FootnoteText"/>
      </w:pPr>
      <w:r>
        <w:rPr>
          <w:rStyle w:val="FootnoteReference"/>
        </w:rPr>
        <w:footnoteRef/>
      </w:r>
      <w:r w:rsidR="00373089">
        <w:t xml:space="preserve"> </w:t>
      </w:r>
      <w:r w:rsidR="00373089" w:rsidRPr="00373089">
        <w:t>https://www.health.gov.au/sites/default/files/documents/2020/07/modified-monash-model-fact-sheet.pdf</w:t>
      </w:r>
      <w:r>
        <w:t xml:space="preserve"> </w:t>
      </w:r>
    </w:p>
  </w:footnote>
  <w:footnote w:id="4">
    <w:p w14:paraId="394BFC61" w14:textId="77777777" w:rsidR="00324CFB" w:rsidRDefault="00324CFB" w:rsidP="00324CFB">
      <w:pPr>
        <w:pStyle w:val="FootnoteText"/>
      </w:pPr>
      <w:r>
        <w:rPr>
          <w:rStyle w:val="FootnoteReference"/>
        </w:rPr>
        <w:footnoteRef/>
      </w:r>
      <w:r>
        <w:t xml:space="preserve"> </w:t>
      </w:r>
      <w:r w:rsidRPr="00252762">
        <w:t xml:space="preserve">Lafferty L, Smith K, Causer L, et al. </w:t>
      </w:r>
      <w:r>
        <w:t xml:space="preserve">(2021) </w:t>
      </w:r>
      <w:r w:rsidRPr="00252762">
        <w:t>Scaling up sexually transmissible infections point-of-care testing in remote Aboriginal and Torres Strait Islander communities: healthcare workers' perceptions of the barriers and facilitators. Implement Sci Commun</w:t>
      </w:r>
      <w:r>
        <w:t xml:space="preserve"> </w:t>
      </w:r>
      <w:r w:rsidRPr="00252762">
        <w:t>2(1):127. doi: 10.1186/s43058-021-00232-8 [published Online First: 2021/11/09]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B34" w14:textId="77777777" w:rsidR="00382148" w:rsidRDefault="00382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5659" w14:textId="77777777" w:rsidR="00382148" w:rsidRDefault="00382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BAD0" w14:textId="77777777" w:rsidR="00382148" w:rsidRDefault="00382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E0"/>
    <w:multiLevelType w:val="hybridMultilevel"/>
    <w:tmpl w:val="F334B790"/>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 w15:restartNumberingAfterBreak="0">
    <w:nsid w:val="079C09AC"/>
    <w:multiLevelType w:val="hybridMultilevel"/>
    <w:tmpl w:val="9A70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36541"/>
    <w:multiLevelType w:val="hybridMultilevel"/>
    <w:tmpl w:val="850A51FE"/>
    <w:lvl w:ilvl="0" w:tplc="88605B6A">
      <w:start w:val="11"/>
      <w:numFmt w:val="bullet"/>
      <w:lvlText w:val="-"/>
      <w:lvlJc w:val="left"/>
      <w:pPr>
        <w:ind w:left="1080" w:hanging="360"/>
      </w:pPr>
      <w:rPr>
        <w:rFonts w:ascii="Franklin Gothic Book" w:eastAsiaTheme="minorHAnsi" w:hAnsi="Franklin Gothic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922949"/>
    <w:multiLevelType w:val="hybridMultilevel"/>
    <w:tmpl w:val="FFFFFFFF"/>
    <w:lvl w:ilvl="0" w:tplc="CD7464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5392B"/>
    <w:multiLevelType w:val="hybridMultilevel"/>
    <w:tmpl w:val="E3D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E613A"/>
    <w:multiLevelType w:val="hybridMultilevel"/>
    <w:tmpl w:val="5332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24DA7"/>
    <w:multiLevelType w:val="hybridMultilevel"/>
    <w:tmpl w:val="98C4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72533"/>
    <w:multiLevelType w:val="hybridMultilevel"/>
    <w:tmpl w:val="8A22A56A"/>
    <w:lvl w:ilvl="0" w:tplc="78EC58D4">
      <w:start w:val="1"/>
      <w:numFmt w:val="upperLetter"/>
      <w:lvlText w:val="%1."/>
      <w:lvlJc w:val="left"/>
      <w:pPr>
        <w:ind w:left="1020" w:hanging="360"/>
      </w:pPr>
    </w:lvl>
    <w:lvl w:ilvl="1" w:tplc="52948A90">
      <w:start w:val="1"/>
      <w:numFmt w:val="upperLetter"/>
      <w:lvlText w:val="%2."/>
      <w:lvlJc w:val="left"/>
      <w:pPr>
        <w:ind w:left="1020" w:hanging="360"/>
      </w:pPr>
    </w:lvl>
    <w:lvl w:ilvl="2" w:tplc="36827694">
      <w:start w:val="1"/>
      <w:numFmt w:val="upperLetter"/>
      <w:lvlText w:val="%3."/>
      <w:lvlJc w:val="left"/>
      <w:pPr>
        <w:ind w:left="1020" w:hanging="360"/>
      </w:pPr>
    </w:lvl>
    <w:lvl w:ilvl="3" w:tplc="6966D01E">
      <w:start w:val="1"/>
      <w:numFmt w:val="upperLetter"/>
      <w:lvlText w:val="%4."/>
      <w:lvlJc w:val="left"/>
      <w:pPr>
        <w:ind w:left="1020" w:hanging="360"/>
      </w:pPr>
    </w:lvl>
    <w:lvl w:ilvl="4" w:tplc="8ED8661A">
      <w:start w:val="1"/>
      <w:numFmt w:val="upperLetter"/>
      <w:lvlText w:val="%5."/>
      <w:lvlJc w:val="left"/>
      <w:pPr>
        <w:ind w:left="1020" w:hanging="360"/>
      </w:pPr>
    </w:lvl>
    <w:lvl w:ilvl="5" w:tplc="6638EE88">
      <w:start w:val="1"/>
      <w:numFmt w:val="upperLetter"/>
      <w:lvlText w:val="%6."/>
      <w:lvlJc w:val="left"/>
      <w:pPr>
        <w:ind w:left="1020" w:hanging="360"/>
      </w:pPr>
    </w:lvl>
    <w:lvl w:ilvl="6" w:tplc="73A87004">
      <w:start w:val="1"/>
      <w:numFmt w:val="upperLetter"/>
      <w:lvlText w:val="%7."/>
      <w:lvlJc w:val="left"/>
      <w:pPr>
        <w:ind w:left="1020" w:hanging="360"/>
      </w:pPr>
    </w:lvl>
    <w:lvl w:ilvl="7" w:tplc="BB344F56">
      <w:start w:val="1"/>
      <w:numFmt w:val="upperLetter"/>
      <w:lvlText w:val="%8."/>
      <w:lvlJc w:val="left"/>
      <w:pPr>
        <w:ind w:left="1020" w:hanging="360"/>
      </w:pPr>
    </w:lvl>
    <w:lvl w:ilvl="8" w:tplc="222C45A4">
      <w:start w:val="1"/>
      <w:numFmt w:val="upperLetter"/>
      <w:lvlText w:val="%9."/>
      <w:lvlJc w:val="left"/>
      <w:pPr>
        <w:ind w:left="1020" w:hanging="360"/>
      </w:p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514189"/>
    <w:multiLevelType w:val="hybridMultilevel"/>
    <w:tmpl w:val="D2687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DC7AB6"/>
    <w:multiLevelType w:val="hybridMultilevel"/>
    <w:tmpl w:val="CCD0E4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6F6B8B"/>
    <w:multiLevelType w:val="hybridMultilevel"/>
    <w:tmpl w:val="EC1ECB28"/>
    <w:lvl w:ilvl="0" w:tplc="6804BE9A">
      <w:start w:val="1"/>
      <w:numFmt w:val="upperLetter"/>
      <w:lvlText w:val="%1."/>
      <w:lvlJc w:val="left"/>
      <w:pPr>
        <w:ind w:left="720" w:hanging="360"/>
      </w:pPr>
    </w:lvl>
    <w:lvl w:ilvl="1" w:tplc="C96CB5BA">
      <w:start w:val="1"/>
      <w:numFmt w:val="upperLetter"/>
      <w:lvlText w:val="%2."/>
      <w:lvlJc w:val="left"/>
      <w:pPr>
        <w:ind w:left="720" w:hanging="360"/>
      </w:pPr>
    </w:lvl>
    <w:lvl w:ilvl="2" w:tplc="51B26BCE">
      <w:start w:val="1"/>
      <w:numFmt w:val="upperLetter"/>
      <w:lvlText w:val="%3."/>
      <w:lvlJc w:val="left"/>
      <w:pPr>
        <w:ind w:left="720" w:hanging="360"/>
      </w:pPr>
    </w:lvl>
    <w:lvl w:ilvl="3" w:tplc="5296C82E">
      <w:start w:val="1"/>
      <w:numFmt w:val="upperLetter"/>
      <w:lvlText w:val="%4."/>
      <w:lvlJc w:val="left"/>
      <w:pPr>
        <w:ind w:left="720" w:hanging="360"/>
      </w:pPr>
    </w:lvl>
    <w:lvl w:ilvl="4" w:tplc="4404BAEE">
      <w:start w:val="1"/>
      <w:numFmt w:val="upperLetter"/>
      <w:lvlText w:val="%5."/>
      <w:lvlJc w:val="left"/>
      <w:pPr>
        <w:ind w:left="720" w:hanging="360"/>
      </w:pPr>
    </w:lvl>
    <w:lvl w:ilvl="5" w:tplc="B4465CF2">
      <w:start w:val="1"/>
      <w:numFmt w:val="upperLetter"/>
      <w:lvlText w:val="%6."/>
      <w:lvlJc w:val="left"/>
      <w:pPr>
        <w:ind w:left="720" w:hanging="360"/>
      </w:pPr>
    </w:lvl>
    <w:lvl w:ilvl="6" w:tplc="08E6CE04">
      <w:start w:val="1"/>
      <w:numFmt w:val="upperLetter"/>
      <w:lvlText w:val="%7."/>
      <w:lvlJc w:val="left"/>
      <w:pPr>
        <w:ind w:left="720" w:hanging="360"/>
      </w:pPr>
    </w:lvl>
    <w:lvl w:ilvl="7" w:tplc="07709990">
      <w:start w:val="1"/>
      <w:numFmt w:val="upperLetter"/>
      <w:lvlText w:val="%8."/>
      <w:lvlJc w:val="left"/>
      <w:pPr>
        <w:ind w:left="720" w:hanging="360"/>
      </w:pPr>
    </w:lvl>
    <w:lvl w:ilvl="8" w:tplc="D3749314">
      <w:start w:val="1"/>
      <w:numFmt w:val="upperLetter"/>
      <w:lvlText w:val="%9."/>
      <w:lvlJc w:val="left"/>
      <w:pPr>
        <w:ind w:left="720" w:hanging="360"/>
      </w:pPr>
    </w:lvl>
  </w:abstractNum>
  <w:abstractNum w:abstractNumId="17" w15:restartNumberingAfterBreak="0">
    <w:nsid w:val="47095746"/>
    <w:multiLevelType w:val="hybridMultilevel"/>
    <w:tmpl w:val="04A0B9E8"/>
    <w:lvl w:ilvl="0" w:tplc="A11298EA">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22946ED"/>
    <w:multiLevelType w:val="hybridMultilevel"/>
    <w:tmpl w:val="4E64A4B4"/>
    <w:lvl w:ilvl="0" w:tplc="88605B6A">
      <w:start w:val="11"/>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E491D"/>
    <w:multiLevelType w:val="hybridMultilevel"/>
    <w:tmpl w:val="E80E20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A3F8D862">
      <w:numFmt w:val="bullet"/>
      <w:lvlText w:val="•"/>
      <w:lvlJc w:val="left"/>
      <w:pPr>
        <w:ind w:left="2220" w:hanging="360"/>
      </w:pPr>
      <w:rPr>
        <w:rFonts w:ascii="Franklin Gothic Book" w:eastAsiaTheme="minorHAnsi" w:hAnsi="Franklin Gothic Book" w:cs="Times New Roman"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9F85A8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D914A7A"/>
    <w:multiLevelType w:val="hybridMultilevel"/>
    <w:tmpl w:val="E2DC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15CC9"/>
    <w:multiLevelType w:val="hybridMultilevel"/>
    <w:tmpl w:val="0E56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5627F3"/>
    <w:multiLevelType w:val="hybridMultilevel"/>
    <w:tmpl w:val="A37687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7C0AED"/>
    <w:multiLevelType w:val="hybridMultilevel"/>
    <w:tmpl w:val="F13629EA"/>
    <w:lvl w:ilvl="0" w:tplc="DE120674">
      <w:numFmt w:val="bullet"/>
      <w:lvlText w:val="-"/>
      <w:lvlJc w:val="left"/>
      <w:pPr>
        <w:ind w:left="410" w:hanging="360"/>
      </w:pPr>
      <w:rPr>
        <w:rFonts w:ascii="Arial Narrow" w:eastAsiaTheme="minorHAnsi" w:hAnsi="Arial Narrow"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5" w15:restartNumberingAfterBreak="0">
    <w:nsid w:val="635D3CF2"/>
    <w:multiLevelType w:val="hybridMultilevel"/>
    <w:tmpl w:val="801A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46BBF"/>
    <w:multiLevelType w:val="hybridMultilevel"/>
    <w:tmpl w:val="77A21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DC66F1"/>
    <w:multiLevelType w:val="hybridMultilevel"/>
    <w:tmpl w:val="EFF6482A"/>
    <w:lvl w:ilvl="0" w:tplc="F4CA86A6">
      <w:start w:val="1"/>
      <w:numFmt w:val="upperLetter"/>
      <w:lvlText w:val="%1."/>
      <w:lvlJc w:val="left"/>
      <w:pPr>
        <w:ind w:left="720" w:hanging="360"/>
      </w:pPr>
    </w:lvl>
    <w:lvl w:ilvl="1" w:tplc="28B2A18E">
      <w:start w:val="1"/>
      <w:numFmt w:val="upperLetter"/>
      <w:lvlText w:val="%2."/>
      <w:lvlJc w:val="left"/>
      <w:pPr>
        <w:ind w:left="720" w:hanging="360"/>
      </w:pPr>
    </w:lvl>
    <w:lvl w:ilvl="2" w:tplc="36688F6A">
      <w:start w:val="1"/>
      <w:numFmt w:val="upperLetter"/>
      <w:lvlText w:val="%3."/>
      <w:lvlJc w:val="left"/>
      <w:pPr>
        <w:ind w:left="720" w:hanging="360"/>
      </w:pPr>
    </w:lvl>
    <w:lvl w:ilvl="3" w:tplc="591E352C">
      <w:start w:val="1"/>
      <w:numFmt w:val="upperLetter"/>
      <w:lvlText w:val="%4."/>
      <w:lvlJc w:val="left"/>
      <w:pPr>
        <w:ind w:left="720" w:hanging="360"/>
      </w:pPr>
    </w:lvl>
    <w:lvl w:ilvl="4" w:tplc="38AC9DA2">
      <w:start w:val="1"/>
      <w:numFmt w:val="upperLetter"/>
      <w:lvlText w:val="%5."/>
      <w:lvlJc w:val="left"/>
      <w:pPr>
        <w:ind w:left="720" w:hanging="360"/>
      </w:pPr>
    </w:lvl>
    <w:lvl w:ilvl="5" w:tplc="BF385528">
      <w:start w:val="1"/>
      <w:numFmt w:val="upperLetter"/>
      <w:lvlText w:val="%6."/>
      <w:lvlJc w:val="left"/>
      <w:pPr>
        <w:ind w:left="720" w:hanging="360"/>
      </w:pPr>
    </w:lvl>
    <w:lvl w:ilvl="6" w:tplc="69901D78">
      <w:start w:val="1"/>
      <w:numFmt w:val="upperLetter"/>
      <w:lvlText w:val="%7."/>
      <w:lvlJc w:val="left"/>
      <w:pPr>
        <w:ind w:left="720" w:hanging="360"/>
      </w:pPr>
    </w:lvl>
    <w:lvl w:ilvl="7" w:tplc="044654D0">
      <w:start w:val="1"/>
      <w:numFmt w:val="upperLetter"/>
      <w:lvlText w:val="%8."/>
      <w:lvlJc w:val="left"/>
      <w:pPr>
        <w:ind w:left="720" w:hanging="360"/>
      </w:pPr>
    </w:lvl>
    <w:lvl w:ilvl="8" w:tplc="1916CDBA">
      <w:start w:val="1"/>
      <w:numFmt w:val="upperLetter"/>
      <w:lvlText w:val="%9."/>
      <w:lvlJc w:val="left"/>
      <w:pPr>
        <w:ind w:left="720" w:hanging="360"/>
      </w:pPr>
    </w:lvl>
  </w:abstractNum>
  <w:abstractNum w:abstractNumId="28" w15:restartNumberingAfterBreak="0">
    <w:nsid w:val="6BDF1DF4"/>
    <w:multiLevelType w:val="hybridMultilevel"/>
    <w:tmpl w:val="FFFFFFFF"/>
    <w:lvl w:ilvl="0" w:tplc="0C09001B">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9" w15:restartNumberingAfterBreak="0">
    <w:nsid w:val="6EC97671"/>
    <w:multiLevelType w:val="hybridMultilevel"/>
    <w:tmpl w:val="96860B0A"/>
    <w:lvl w:ilvl="0" w:tplc="CEB6A788">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10D4A7D"/>
    <w:multiLevelType w:val="hybridMultilevel"/>
    <w:tmpl w:val="AE58E4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D60225"/>
    <w:multiLevelType w:val="hybridMultilevel"/>
    <w:tmpl w:val="DA767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C41AD3"/>
    <w:multiLevelType w:val="hybridMultilevel"/>
    <w:tmpl w:val="6E40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6" w15:restartNumberingAfterBreak="0">
    <w:nsid w:val="7F746A9B"/>
    <w:multiLevelType w:val="hybridMultilevel"/>
    <w:tmpl w:val="97A6208A"/>
    <w:lvl w:ilvl="0" w:tplc="B43029D8">
      <w:start w:val="1"/>
      <w:numFmt w:val="lowerLetter"/>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1415277782">
    <w:abstractNumId w:val="15"/>
  </w:num>
  <w:num w:numId="2" w16cid:durableId="145360726">
    <w:abstractNumId w:val="35"/>
  </w:num>
  <w:num w:numId="3" w16cid:durableId="984043514">
    <w:abstractNumId w:val="4"/>
  </w:num>
  <w:num w:numId="4" w16cid:durableId="164516174">
    <w:abstractNumId w:val="8"/>
  </w:num>
  <w:num w:numId="5" w16cid:durableId="822310144">
    <w:abstractNumId w:val="33"/>
  </w:num>
  <w:num w:numId="6" w16cid:durableId="1267498281">
    <w:abstractNumId w:val="9"/>
  </w:num>
  <w:num w:numId="7" w16cid:durableId="658653785">
    <w:abstractNumId w:val="11"/>
  </w:num>
  <w:num w:numId="8" w16cid:durableId="1629823143">
    <w:abstractNumId w:val="13"/>
  </w:num>
  <w:num w:numId="9" w16cid:durableId="566887298">
    <w:abstractNumId w:val="17"/>
  </w:num>
  <w:num w:numId="10" w16cid:durableId="783966821">
    <w:abstractNumId w:val="1"/>
  </w:num>
  <w:num w:numId="11" w16cid:durableId="1420907170">
    <w:abstractNumId w:val="21"/>
  </w:num>
  <w:num w:numId="12" w16cid:durableId="1918514665">
    <w:abstractNumId w:val="12"/>
  </w:num>
  <w:num w:numId="13" w16cid:durableId="1644046664">
    <w:abstractNumId w:val="5"/>
  </w:num>
  <w:num w:numId="14" w16cid:durableId="1060327680">
    <w:abstractNumId w:val="18"/>
  </w:num>
  <w:num w:numId="15" w16cid:durableId="947739062">
    <w:abstractNumId w:val="19"/>
  </w:num>
  <w:num w:numId="16" w16cid:durableId="1094521071">
    <w:abstractNumId w:val="24"/>
  </w:num>
  <w:num w:numId="17" w16cid:durableId="1151945732">
    <w:abstractNumId w:val="6"/>
  </w:num>
  <w:num w:numId="18" w16cid:durableId="296490438">
    <w:abstractNumId w:val="23"/>
  </w:num>
  <w:num w:numId="19" w16cid:durableId="1604724557">
    <w:abstractNumId w:val="30"/>
  </w:num>
  <w:num w:numId="20" w16cid:durableId="899680462">
    <w:abstractNumId w:val="32"/>
  </w:num>
  <w:num w:numId="21" w16cid:durableId="184827597">
    <w:abstractNumId w:val="0"/>
  </w:num>
  <w:num w:numId="22" w16cid:durableId="140663198">
    <w:abstractNumId w:val="15"/>
  </w:num>
  <w:num w:numId="23" w16cid:durableId="1133984104">
    <w:abstractNumId w:val="2"/>
  </w:num>
  <w:num w:numId="24" w16cid:durableId="1823505779">
    <w:abstractNumId w:val="14"/>
  </w:num>
  <w:num w:numId="25" w16cid:durableId="315307593">
    <w:abstractNumId w:val="20"/>
  </w:num>
  <w:num w:numId="26" w16cid:durableId="2084446925">
    <w:abstractNumId w:val="22"/>
  </w:num>
  <w:num w:numId="27" w16cid:durableId="536087481">
    <w:abstractNumId w:val="25"/>
  </w:num>
  <w:num w:numId="28" w16cid:durableId="1806966724">
    <w:abstractNumId w:val="26"/>
  </w:num>
  <w:num w:numId="29" w16cid:durableId="1192843413">
    <w:abstractNumId w:val="34"/>
  </w:num>
  <w:num w:numId="30" w16cid:durableId="1789662698">
    <w:abstractNumId w:val="31"/>
  </w:num>
  <w:num w:numId="31" w16cid:durableId="739013590">
    <w:abstractNumId w:val="7"/>
  </w:num>
  <w:num w:numId="32" w16cid:durableId="1964843221">
    <w:abstractNumId w:val="3"/>
  </w:num>
  <w:num w:numId="33" w16cid:durableId="1450540416">
    <w:abstractNumId w:val="29"/>
  </w:num>
  <w:num w:numId="34" w16cid:durableId="1969847549">
    <w:abstractNumId w:val="28"/>
  </w:num>
  <w:num w:numId="35" w16cid:durableId="974338624">
    <w:abstractNumId w:val="36"/>
  </w:num>
  <w:num w:numId="36" w16cid:durableId="33432790">
    <w:abstractNumId w:val="10"/>
  </w:num>
  <w:num w:numId="37" w16cid:durableId="141393289">
    <w:abstractNumId w:val="16"/>
  </w:num>
  <w:num w:numId="38" w16cid:durableId="198353433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15A"/>
    <w:rsid w:val="0000021F"/>
    <w:rsid w:val="0000109A"/>
    <w:rsid w:val="00001AE6"/>
    <w:rsid w:val="00001AED"/>
    <w:rsid w:val="00001D55"/>
    <w:rsid w:val="00001D6F"/>
    <w:rsid w:val="00002912"/>
    <w:rsid w:val="00002BFC"/>
    <w:rsid w:val="00002DBE"/>
    <w:rsid w:val="00002E53"/>
    <w:rsid w:val="00003A8E"/>
    <w:rsid w:val="00003AF2"/>
    <w:rsid w:val="0000462C"/>
    <w:rsid w:val="00004D69"/>
    <w:rsid w:val="00004F7F"/>
    <w:rsid w:val="000054C9"/>
    <w:rsid w:val="00005E52"/>
    <w:rsid w:val="00006319"/>
    <w:rsid w:val="000064E4"/>
    <w:rsid w:val="000066EC"/>
    <w:rsid w:val="00007634"/>
    <w:rsid w:val="000102C7"/>
    <w:rsid w:val="00011568"/>
    <w:rsid w:val="0001167C"/>
    <w:rsid w:val="000118C0"/>
    <w:rsid w:val="00011BB5"/>
    <w:rsid w:val="00012085"/>
    <w:rsid w:val="0001324A"/>
    <w:rsid w:val="00013A1E"/>
    <w:rsid w:val="00014974"/>
    <w:rsid w:val="00014C79"/>
    <w:rsid w:val="0001528E"/>
    <w:rsid w:val="000165AA"/>
    <w:rsid w:val="000169CC"/>
    <w:rsid w:val="00016C31"/>
    <w:rsid w:val="00016E64"/>
    <w:rsid w:val="00017444"/>
    <w:rsid w:val="0001770E"/>
    <w:rsid w:val="00017A34"/>
    <w:rsid w:val="00017B04"/>
    <w:rsid w:val="00021689"/>
    <w:rsid w:val="000218B6"/>
    <w:rsid w:val="000228B8"/>
    <w:rsid w:val="00022CFC"/>
    <w:rsid w:val="00023591"/>
    <w:rsid w:val="0002381B"/>
    <w:rsid w:val="000241FC"/>
    <w:rsid w:val="00024242"/>
    <w:rsid w:val="0002456D"/>
    <w:rsid w:val="00024EA5"/>
    <w:rsid w:val="00025B42"/>
    <w:rsid w:val="00025BBB"/>
    <w:rsid w:val="00025E3D"/>
    <w:rsid w:val="0002629F"/>
    <w:rsid w:val="000268AC"/>
    <w:rsid w:val="000269F7"/>
    <w:rsid w:val="0002755F"/>
    <w:rsid w:val="00027864"/>
    <w:rsid w:val="00030EBE"/>
    <w:rsid w:val="000318A4"/>
    <w:rsid w:val="00031A3C"/>
    <w:rsid w:val="00032DAC"/>
    <w:rsid w:val="00033898"/>
    <w:rsid w:val="00033E78"/>
    <w:rsid w:val="0003423A"/>
    <w:rsid w:val="0003477F"/>
    <w:rsid w:val="00034A02"/>
    <w:rsid w:val="00034DE7"/>
    <w:rsid w:val="00034F0F"/>
    <w:rsid w:val="00035073"/>
    <w:rsid w:val="0003599C"/>
    <w:rsid w:val="00035BA0"/>
    <w:rsid w:val="000363A5"/>
    <w:rsid w:val="00036622"/>
    <w:rsid w:val="00036699"/>
    <w:rsid w:val="00036AD8"/>
    <w:rsid w:val="00036CBB"/>
    <w:rsid w:val="00037037"/>
    <w:rsid w:val="00037302"/>
    <w:rsid w:val="00037625"/>
    <w:rsid w:val="0004005D"/>
    <w:rsid w:val="00040ADF"/>
    <w:rsid w:val="00040FB4"/>
    <w:rsid w:val="0004178C"/>
    <w:rsid w:val="00041F5D"/>
    <w:rsid w:val="00042015"/>
    <w:rsid w:val="00042029"/>
    <w:rsid w:val="0004259A"/>
    <w:rsid w:val="000425B3"/>
    <w:rsid w:val="000429B4"/>
    <w:rsid w:val="0004349F"/>
    <w:rsid w:val="000434D4"/>
    <w:rsid w:val="00043734"/>
    <w:rsid w:val="000443A6"/>
    <w:rsid w:val="000449D1"/>
    <w:rsid w:val="00044D71"/>
    <w:rsid w:val="00045B8D"/>
    <w:rsid w:val="00045CC5"/>
    <w:rsid w:val="00045E4C"/>
    <w:rsid w:val="00046B6A"/>
    <w:rsid w:val="00047236"/>
    <w:rsid w:val="000472D4"/>
    <w:rsid w:val="000479B5"/>
    <w:rsid w:val="0005075C"/>
    <w:rsid w:val="000512A5"/>
    <w:rsid w:val="00052DD3"/>
    <w:rsid w:val="0005326D"/>
    <w:rsid w:val="00053DC7"/>
    <w:rsid w:val="00053F6C"/>
    <w:rsid w:val="00054416"/>
    <w:rsid w:val="00055071"/>
    <w:rsid w:val="0005563F"/>
    <w:rsid w:val="00055DB9"/>
    <w:rsid w:val="00055DDB"/>
    <w:rsid w:val="00057B43"/>
    <w:rsid w:val="00057F78"/>
    <w:rsid w:val="000608A9"/>
    <w:rsid w:val="00060CBC"/>
    <w:rsid w:val="0006339C"/>
    <w:rsid w:val="0006406D"/>
    <w:rsid w:val="00064783"/>
    <w:rsid w:val="000647C2"/>
    <w:rsid w:val="00064C6C"/>
    <w:rsid w:val="0006514C"/>
    <w:rsid w:val="0006555A"/>
    <w:rsid w:val="00065676"/>
    <w:rsid w:val="0006695A"/>
    <w:rsid w:val="000672CB"/>
    <w:rsid w:val="0007021F"/>
    <w:rsid w:val="000702BE"/>
    <w:rsid w:val="000709A0"/>
    <w:rsid w:val="00074199"/>
    <w:rsid w:val="00076559"/>
    <w:rsid w:val="000765A5"/>
    <w:rsid w:val="000772F6"/>
    <w:rsid w:val="00080241"/>
    <w:rsid w:val="00080AC4"/>
    <w:rsid w:val="00080BC6"/>
    <w:rsid w:val="00081778"/>
    <w:rsid w:val="00081A9C"/>
    <w:rsid w:val="00082084"/>
    <w:rsid w:val="000825AA"/>
    <w:rsid w:val="00082FA3"/>
    <w:rsid w:val="0008326A"/>
    <w:rsid w:val="00084B97"/>
    <w:rsid w:val="0008542E"/>
    <w:rsid w:val="00085FC4"/>
    <w:rsid w:val="000861D6"/>
    <w:rsid w:val="00086E69"/>
    <w:rsid w:val="000870B6"/>
    <w:rsid w:val="00087ACB"/>
    <w:rsid w:val="00090613"/>
    <w:rsid w:val="00090BD1"/>
    <w:rsid w:val="00090D90"/>
    <w:rsid w:val="0009113E"/>
    <w:rsid w:val="00091364"/>
    <w:rsid w:val="0009141C"/>
    <w:rsid w:val="00091857"/>
    <w:rsid w:val="00091C59"/>
    <w:rsid w:val="000928CE"/>
    <w:rsid w:val="00092A21"/>
    <w:rsid w:val="00092DD2"/>
    <w:rsid w:val="00092E6E"/>
    <w:rsid w:val="000930B1"/>
    <w:rsid w:val="000930CB"/>
    <w:rsid w:val="00093D9A"/>
    <w:rsid w:val="00094656"/>
    <w:rsid w:val="0009482E"/>
    <w:rsid w:val="00095533"/>
    <w:rsid w:val="0009630B"/>
    <w:rsid w:val="0009690E"/>
    <w:rsid w:val="00096B52"/>
    <w:rsid w:val="000973AF"/>
    <w:rsid w:val="000979B6"/>
    <w:rsid w:val="000A00D3"/>
    <w:rsid w:val="000A0D13"/>
    <w:rsid w:val="000A10BF"/>
    <w:rsid w:val="000A122D"/>
    <w:rsid w:val="000A18B9"/>
    <w:rsid w:val="000A1C73"/>
    <w:rsid w:val="000A2ACD"/>
    <w:rsid w:val="000A2B65"/>
    <w:rsid w:val="000A2DA8"/>
    <w:rsid w:val="000A352D"/>
    <w:rsid w:val="000A44D1"/>
    <w:rsid w:val="000A4FC3"/>
    <w:rsid w:val="000A505D"/>
    <w:rsid w:val="000A5943"/>
    <w:rsid w:val="000A5C47"/>
    <w:rsid w:val="000A5C5B"/>
    <w:rsid w:val="000A629E"/>
    <w:rsid w:val="000A64F9"/>
    <w:rsid w:val="000A65AF"/>
    <w:rsid w:val="000A674E"/>
    <w:rsid w:val="000A67CE"/>
    <w:rsid w:val="000A6B30"/>
    <w:rsid w:val="000A790A"/>
    <w:rsid w:val="000A7E91"/>
    <w:rsid w:val="000B0007"/>
    <w:rsid w:val="000B03D2"/>
    <w:rsid w:val="000B06D2"/>
    <w:rsid w:val="000B07A7"/>
    <w:rsid w:val="000B1DA7"/>
    <w:rsid w:val="000B1FFE"/>
    <w:rsid w:val="000B300E"/>
    <w:rsid w:val="000B3330"/>
    <w:rsid w:val="000B3BE5"/>
    <w:rsid w:val="000B3F6A"/>
    <w:rsid w:val="000B4237"/>
    <w:rsid w:val="000B4E98"/>
    <w:rsid w:val="000B5124"/>
    <w:rsid w:val="000B5288"/>
    <w:rsid w:val="000B5991"/>
    <w:rsid w:val="000B5C42"/>
    <w:rsid w:val="000B5E2F"/>
    <w:rsid w:val="000B6CF0"/>
    <w:rsid w:val="000B720C"/>
    <w:rsid w:val="000B7665"/>
    <w:rsid w:val="000C0206"/>
    <w:rsid w:val="000C042D"/>
    <w:rsid w:val="000C0B82"/>
    <w:rsid w:val="000C1A5E"/>
    <w:rsid w:val="000C2327"/>
    <w:rsid w:val="000C30A7"/>
    <w:rsid w:val="000C35E8"/>
    <w:rsid w:val="000C364A"/>
    <w:rsid w:val="000C3D90"/>
    <w:rsid w:val="000C4751"/>
    <w:rsid w:val="000C5210"/>
    <w:rsid w:val="000C77FD"/>
    <w:rsid w:val="000C7C46"/>
    <w:rsid w:val="000C7F45"/>
    <w:rsid w:val="000D029E"/>
    <w:rsid w:val="000D129A"/>
    <w:rsid w:val="000D174A"/>
    <w:rsid w:val="000D1802"/>
    <w:rsid w:val="000D1B52"/>
    <w:rsid w:val="000D1C90"/>
    <w:rsid w:val="000D1E82"/>
    <w:rsid w:val="000D2DF6"/>
    <w:rsid w:val="000D2E44"/>
    <w:rsid w:val="000D3CAE"/>
    <w:rsid w:val="000D3E83"/>
    <w:rsid w:val="000D3FE6"/>
    <w:rsid w:val="000D484F"/>
    <w:rsid w:val="000D4A6A"/>
    <w:rsid w:val="000D4C1B"/>
    <w:rsid w:val="000D4F33"/>
    <w:rsid w:val="000D5523"/>
    <w:rsid w:val="000D6341"/>
    <w:rsid w:val="000D6AA3"/>
    <w:rsid w:val="000D6D9C"/>
    <w:rsid w:val="000D7841"/>
    <w:rsid w:val="000D786A"/>
    <w:rsid w:val="000D7C46"/>
    <w:rsid w:val="000E03DC"/>
    <w:rsid w:val="000E07AB"/>
    <w:rsid w:val="000E0AF1"/>
    <w:rsid w:val="000E0EA7"/>
    <w:rsid w:val="000E0FF8"/>
    <w:rsid w:val="000E1124"/>
    <w:rsid w:val="000E11F9"/>
    <w:rsid w:val="000E121F"/>
    <w:rsid w:val="000E1353"/>
    <w:rsid w:val="000E1A3F"/>
    <w:rsid w:val="000E31B9"/>
    <w:rsid w:val="000E3AE2"/>
    <w:rsid w:val="000E4423"/>
    <w:rsid w:val="000E5531"/>
    <w:rsid w:val="000E564C"/>
    <w:rsid w:val="000E58D7"/>
    <w:rsid w:val="000E5F1A"/>
    <w:rsid w:val="000E6381"/>
    <w:rsid w:val="000E6410"/>
    <w:rsid w:val="000E678B"/>
    <w:rsid w:val="000E7442"/>
    <w:rsid w:val="000E788A"/>
    <w:rsid w:val="000F0264"/>
    <w:rsid w:val="000F038D"/>
    <w:rsid w:val="000F0DCD"/>
    <w:rsid w:val="000F0E59"/>
    <w:rsid w:val="000F113C"/>
    <w:rsid w:val="000F1B7D"/>
    <w:rsid w:val="000F25A1"/>
    <w:rsid w:val="000F2E01"/>
    <w:rsid w:val="000F3A47"/>
    <w:rsid w:val="000F3EA0"/>
    <w:rsid w:val="000F427F"/>
    <w:rsid w:val="000F429F"/>
    <w:rsid w:val="000F44DF"/>
    <w:rsid w:val="000F4774"/>
    <w:rsid w:val="000F5A54"/>
    <w:rsid w:val="000F62C1"/>
    <w:rsid w:val="000F6E04"/>
    <w:rsid w:val="000F7987"/>
    <w:rsid w:val="0010051C"/>
    <w:rsid w:val="0010055B"/>
    <w:rsid w:val="00101607"/>
    <w:rsid w:val="001017B7"/>
    <w:rsid w:val="00101DC9"/>
    <w:rsid w:val="00102866"/>
    <w:rsid w:val="0010448B"/>
    <w:rsid w:val="001045C0"/>
    <w:rsid w:val="00104BFB"/>
    <w:rsid w:val="0010521F"/>
    <w:rsid w:val="00105AE4"/>
    <w:rsid w:val="0010625A"/>
    <w:rsid w:val="00106A3A"/>
    <w:rsid w:val="00107524"/>
    <w:rsid w:val="001077B1"/>
    <w:rsid w:val="00107DCD"/>
    <w:rsid w:val="00107EF0"/>
    <w:rsid w:val="00111417"/>
    <w:rsid w:val="001120E2"/>
    <w:rsid w:val="00112FB9"/>
    <w:rsid w:val="00113C60"/>
    <w:rsid w:val="00113D1D"/>
    <w:rsid w:val="0011409B"/>
    <w:rsid w:val="00114B8B"/>
    <w:rsid w:val="00114C3B"/>
    <w:rsid w:val="00114D69"/>
    <w:rsid w:val="00114DAA"/>
    <w:rsid w:val="00114DCA"/>
    <w:rsid w:val="00114E89"/>
    <w:rsid w:val="00114F8E"/>
    <w:rsid w:val="00115691"/>
    <w:rsid w:val="00115EF3"/>
    <w:rsid w:val="00116577"/>
    <w:rsid w:val="00116624"/>
    <w:rsid w:val="00116700"/>
    <w:rsid w:val="00116E27"/>
    <w:rsid w:val="00117039"/>
    <w:rsid w:val="0011731E"/>
    <w:rsid w:val="0011776A"/>
    <w:rsid w:val="0011781C"/>
    <w:rsid w:val="00117903"/>
    <w:rsid w:val="00117F04"/>
    <w:rsid w:val="00120BD3"/>
    <w:rsid w:val="00121419"/>
    <w:rsid w:val="0012241B"/>
    <w:rsid w:val="00122485"/>
    <w:rsid w:val="00122811"/>
    <w:rsid w:val="00122AE3"/>
    <w:rsid w:val="00122EE1"/>
    <w:rsid w:val="00122EEB"/>
    <w:rsid w:val="001234F4"/>
    <w:rsid w:val="00123658"/>
    <w:rsid w:val="001237AF"/>
    <w:rsid w:val="00123D49"/>
    <w:rsid w:val="001247EB"/>
    <w:rsid w:val="00124F3C"/>
    <w:rsid w:val="001255B6"/>
    <w:rsid w:val="0012592F"/>
    <w:rsid w:val="00125B61"/>
    <w:rsid w:val="00125D0F"/>
    <w:rsid w:val="00126122"/>
    <w:rsid w:val="001270E9"/>
    <w:rsid w:val="001272F3"/>
    <w:rsid w:val="0012785D"/>
    <w:rsid w:val="0013003A"/>
    <w:rsid w:val="00130CD4"/>
    <w:rsid w:val="00131145"/>
    <w:rsid w:val="001318F5"/>
    <w:rsid w:val="00131D45"/>
    <w:rsid w:val="001320F0"/>
    <w:rsid w:val="00132670"/>
    <w:rsid w:val="001336E0"/>
    <w:rsid w:val="00133F34"/>
    <w:rsid w:val="00134A2A"/>
    <w:rsid w:val="00135176"/>
    <w:rsid w:val="00135273"/>
    <w:rsid w:val="00135FC9"/>
    <w:rsid w:val="00137140"/>
    <w:rsid w:val="00137527"/>
    <w:rsid w:val="0014092F"/>
    <w:rsid w:val="00140937"/>
    <w:rsid w:val="00143478"/>
    <w:rsid w:val="00143A33"/>
    <w:rsid w:val="00143F2F"/>
    <w:rsid w:val="00144479"/>
    <w:rsid w:val="00144911"/>
    <w:rsid w:val="001460C3"/>
    <w:rsid w:val="001465E6"/>
    <w:rsid w:val="00146624"/>
    <w:rsid w:val="00146804"/>
    <w:rsid w:val="001469DF"/>
    <w:rsid w:val="00146A20"/>
    <w:rsid w:val="00150376"/>
    <w:rsid w:val="00150411"/>
    <w:rsid w:val="0015158F"/>
    <w:rsid w:val="001515E4"/>
    <w:rsid w:val="00151DBD"/>
    <w:rsid w:val="00152B3D"/>
    <w:rsid w:val="00152BF9"/>
    <w:rsid w:val="001531D6"/>
    <w:rsid w:val="00153814"/>
    <w:rsid w:val="00153B65"/>
    <w:rsid w:val="00154034"/>
    <w:rsid w:val="0015491D"/>
    <w:rsid w:val="00155351"/>
    <w:rsid w:val="00155434"/>
    <w:rsid w:val="00155BDA"/>
    <w:rsid w:val="001561E5"/>
    <w:rsid w:val="00156FA7"/>
    <w:rsid w:val="00157231"/>
    <w:rsid w:val="001575CD"/>
    <w:rsid w:val="0016023A"/>
    <w:rsid w:val="0016172B"/>
    <w:rsid w:val="001623FD"/>
    <w:rsid w:val="00162B9D"/>
    <w:rsid w:val="00162DBF"/>
    <w:rsid w:val="0016350B"/>
    <w:rsid w:val="0016351E"/>
    <w:rsid w:val="001635D0"/>
    <w:rsid w:val="001637FA"/>
    <w:rsid w:val="00164CF8"/>
    <w:rsid w:val="00165209"/>
    <w:rsid w:val="001653AE"/>
    <w:rsid w:val="001657BD"/>
    <w:rsid w:val="00166A20"/>
    <w:rsid w:val="0016762B"/>
    <w:rsid w:val="00170D5B"/>
    <w:rsid w:val="00171080"/>
    <w:rsid w:val="001710E5"/>
    <w:rsid w:val="00171E16"/>
    <w:rsid w:val="00172B8F"/>
    <w:rsid w:val="00172D2F"/>
    <w:rsid w:val="00172EC8"/>
    <w:rsid w:val="001736F8"/>
    <w:rsid w:val="0017392B"/>
    <w:rsid w:val="00173D85"/>
    <w:rsid w:val="001740F3"/>
    <w:rsid w:val="0017490A"/>
    <w:rsid w:val="00174AA3"/>
    <w:rsid w:val="00174FD4"/>
    <w:rsid w:val="00177B48"/>
    <w:rsid w:val="00180299"/>
    <w:rsid w:val="00182952"/>
    <w:rsid w:val="00183E2D"/>
    <w:rsid w:val="00184243"/>
    <w:rsid w:val="00184879"/>
    <w:rsid w:val="00184891"/>
    <w:rsid w:val="00184BAE"/>
    <w:rsid w:val="00184FB5"/>
    <w:rsid w:val="001852E8"/>
    <w:rsid w:val="001867FB"/>
    <w:rsid w:val="001869BA"/>
    <w:rsid w:val="00186AA3"/>
    <w:rsid w:val="001905A3"/>
    <w:rsid w:val="00191D57"/>
    <w:rsid w:val="00192604"/>
    <w:rsid w:val="00192D3C"/>
    <w:rsid w:val="0019362A"/>
    <w:rsid w:val="00193698"/>
    <w:rsid w:val="0019371C"/>
    <w:rsid w:val="00194519"/>
    <w:rsid w:val="0019474E"/>
    <w:rsid w:val="00194AC2"/>
    <w:rsid w:val="00195175"/>
    <w:rsid w:val="001954EA"/>
    <w:rsid w:val="00195728"/>
    <w:rsid w:val="00195BA8"/>
    <w:rsid w:val="00195BB2"/>
    <w:rsid w:val="00196739"/>
    <w:rsid w:val="001970C0"/>
    <w:rsid w:val="00197738"/>
    <w:rsid w:val="001A0713"/>
    <w:rsid w:val="001A1657"/>
    <w:rsid w:val="001A1CB7"/>
    <w:rsid w:val="001A2872"/>
    <w:rsid w:val="001A2930"/>
    <w:rsid w:val="001A3C4B"/>
    <w:rsid w:val="001A420B"/>
    <w:rsid w:val="001A4B97"/>
    <w:rsid w:val="001A4F7D"/>
    <w:rsid w:val="001A5153"/>
    <w:rsid w:val="001A5514"/>
    <w:rsid w:val="001A6D07"/>
    <w:rsid w:val="001A7B42"/>
    <w:rsid w:val="001A7D8F"/>
    <w:rsid w:val="001B0355"/>
    <w:rsid w:val="001B1322"/>
    <w:rsid w:val="001B1A9B"/>
    <w:rsid w:val="001B2A97"/>
    <w:rsid w:val="001B2CD4"/>
    <w:rsid w:val="001B3D00"/>
    <w:rsid w:val="001B50D6"/>
    <w:rsid w:val="001B5B4B"/>
    <w:rsid w:val="001B7329"/>
    <w:rsid w:val="001B77B5"/>
    <w:rsid w:val="001B7B51"/>
    <w:rsid w:val="001B7BBD"/>
    <w:rsid w:val="001C0363"/>
    <w:rsid w:val="001C174A"/>
    <w:rsid w:val="001C1814"/>
    <w:rsid w:val="001C1A70"/>
    <w:rsid w:val="001C1D05"/>
    <w:rsid w:val="001C1F54"/>
    <w:rsid w:val="001C23AE"/>
    <w:rsid w:val="001C2A48"/>
    <w:rsid w:val="001C5A4F"/>
    <w:rsid w:val="001C5A85"/>
    <w:rsid w:val="001C5ADB"/>
    <w:rsid w:val="001C5F2E"/>
    <w:rsid w:val="001C69E3"/>
    <w:rsid w:val="001C6DFD"/>
    <w:rsid w:val="001C7FCA"/>
    <w:rsid w:val="001C7FD1"/>
    <w:rsid w:val="001D0AA8"/>
    <w:rsid w:val="001D1E19"/>
    <w:rsid w:val="001D32C0"/>
    <w:rsid w:val="001D3A64"/>
    <w:rsid w:val="001D3FB4"/>
    <w:rsid w:val="001D4351"/>
    <w:rsid w:val="001D4D04"/>
    <w:rsid w:val="001D5793"/>
    <w:rsid w:val="001D5A28"/>
    <w:rsid w:val="001D5E04"/>
    <w:rsid w:val="001D64B0"/>
    <w:rsid w:val="001D74A7"/>
    <w:rsid w:val="001D78F1"/>
    <w:rsid w:val="001D79FC"/>
    <w:rsid w:val="001E0943"/>
    <w:rsid w:val="001E0971"/>
    <w:rsid w:val="001E0D0C"/>
    <w:rsid w:val="001E15F2"/>
    <w:rsid w:val="001E22F7"/>
    <w:rsid w:val="001E3264"/>
    <w:rsid w:val="001E3A4D"/>
    <w:rsid w:val="001E3FD4"/>
    <w:rsid w:val="001E40DF"/>
    <w:rsid w:val="001E465F"/>
    <w:rsid w:val="001E4FA6"/>
    <w:rsid w:val="001E54CE"/>
    <w:rsid w:val="001E562B"/>
    <w:rsid w:val="001E6237"/>
    <w:rsid w:val="001E65BA"/>
    <w:rsid w:val="001E6D65"/>
    <w:rsid w:val="001E70F0"/>
    <w:rsid w:val="001E72FA"/>
    <w:rsid w:val="001F05D5"/>
    <w:rsid w:val="001F088B"/>
    <w:rsid w:val="001F0BA2"/>
    <w:rsid w:val="001F1091"/>
    <w:rsid w:val="001F2032"/>
    <w:rsid w:val="001F2902"/>
    <w:rsid w:val="001F292C"/>
    <w:rsid w:val="001F2956"/>
    <w:rsid w:val="001F3237"/>
    <w:rsid w:val="001F3F36"/>
    <w:rsid w:val="001F469C"/>
    <w:rsid w:val="001F5A4E"/>
    <w:rsid w:val="001F5B90"/>
    <w:rsid w:val="001F5C9B"/>
    <w:rsid w:val="001F5F86"/>
    <w:rsid w:val="001F658C"/>
    <w:rsid w:val="001F675C"/>
    <w:rsid w:val="001F6B10"/>
    <w:rsid w:val="001F6E2A"/>
    <w:rsid w:val="001F6F44"/>
    <w:rsid w:val="001F7563"/>
    <w:rsid w:val="001F7C99"/>
    <w:rsid w:val="00200498"/>
    <w:rsid w:val="00200DBB"/>
    <w:rsid w:val="00200F6B"/>
    <w:rsid w:val="002028A2"/>
    <w:rsid w:val="0020482F"/>
    <w:rsid w:val="00204A48"/>
    <w:rsid w:val="002051BF"/>
    <w:rsid w:val="002057AE"/>
    <w:rsid w:val="00207F59"/>
    <w:rsid w:val="00211125"/>
    <w:rsid w:val="002116CE"/>
    <w:rsid w:val="002117B5"/>
    <w:rsid w:val="00211A07"/>
    <w:rsid w:val="00211DC3"/>
    <w:rsid w:val="00212227"/>
    <w:rsid w:val="00212870"/>
    <w:rsid w:val="0021382C"/>
    <w:rsid w:val="00213CCC"/>
    <w:rsid w:val="00214EC5"/>
    <w:rsid w:val="00215169"/>
    <w:rsid w:val="00215549"/>
    <w:rsid w:val="002155B6"/>
    <w:rsid w:val="002157E4"/>
    <w:rsid w:val="00215AFB"/>
    <w:rsid w:val="00215DEA"/>
    <w:rsid w:val="002163F0"/>
    <w:rsid w:val="00217423"/>
    <w:rsid w:val="00217985"/>
    <w:rsid w:val="002200D8"/>
    <w:rsid w:val="00221ACF"/>
    <w:rsid w:val="002220D7"/>
    <w:rsid w:val="002222C9"/>
    <w:rsid w:val="00223664"/>
    <w:rsid w:val="002239F9"/>
    <w:rsid w:val="00223A56"/>
    <w:rsid w:val="00223A85"/>
    <w:rsid w:val="002245BE"/>
    <w:rsid w:val="00224F44"/>
    <w:rsid w:val="00224FA8"/>
    <w:rsid w:val="00225685"/>
    <w:rsid w:val="00225833"/>
    <w:rsid w:val="00226095"/>
    <w:rsid w:val="00227B89"/>
    <w:rsid w:val="00227C02"/>
    <w:rsid w:val="00227F43"/>
    <w:rsid w:val="002333EA"/>
    <w:rsid w:val="0023448A"/>
    <w:rsid w:val="0023449A"/>
    <w:rsid w:val="00234640"/>
    <w:rsid w:val="00234CFB"/>
    <w:rsid w:val="00234D9C"/>
    <w:rsid w:val="00236713"/>
    <w:rsid w:val="002369B3"/>
    <w:rsid w:val="00236DCD"/>
    <w:rsid w:val="002379F9"/>
    <w:rsid w:val="00240106"/>
    <w:rsid w:val="002411C7"/>
    <w:rsid w:val="0024259B"/>
    <w:rsid w:val="00242C17"/>
    <w:rsid w:val="00242F4E"/>
    <w:rsid w:val="00243EFB"/>
    <w:rsid w:val="002443A0"/>
    <w:rsid w:val="00244A77"/>
    <w:rsid w:val="002452A0"/>
    <w:rsid w:val="0024530D"/>
    <w:rsid w:val="00246008"/>
    <w:rsid w:val="00246371"/>
    <w:rsid w:val="00246387"/>
    <w:rsid w:val="002463A6"/>
    <w:rsid w:val="00246712"/>
    <w:rsid w:val="00246ADB"/>
    <w:rsid w:val="0024703E"/>
    <w:rsid w:val="002503E1"/>
    <w:rsid w:val="00250E53"/>
    <w:rsid w:val="002515C6"/>
    <w:rsid w:val="002517A5"/>
    <w:rsid w:val="00251EB9"/>
    <w:rsid w:val="00251F6C"/>
    <w:rsid w:val="0025249C"/>
    <w:rsid w:val="00252762"/>
    <w:rsid w:val="00252A23"/>
    <w:rsid w:val="00252BAC"/>
    <w:rsid w:val="00253394"/>
    <w:rsid w:val="002534FF"/>
    <w:rsid w:val="002539ED"/>
    <w:rsid w:val="0025440D"/>
    <w:rsid w:val="002544D1"/>
    <w:rsid w:val="0025450E"/>
    <w:rsid w:val="00254BAB"/>
    <w:rsid w:val="00254D5F"/>
    <w:rsid w:val="00255152"/>
    <w:rsid w:val="0025554E"/>
    <w:rsid w:val="0025623E"/>
    <w:rsid w:val="00256809"/>
    <w:rsid w:val="0025698C"/>
    <w:rsid w:val="00256F77"/>
    <w:rsid w:val="00257021"/>
    <w:rsid w:val="00257B5E"/>
    <w:rsid w:val="0026185F"/>
    <w:rsid w:val="00261D33"/>
    <w:rsid w:val="002628A1"/>
    <w:rsid w:val="002638F3"/>
    <w:rsid w:val="002638F4"/>
    <w:rsid w:val="00263E90"/>
    <w:rsid w:val="00264A14"/>
    <w:rsid w:val="00264D91"/>
    <w:rsid w:val="00265430"/>
    <w:rsid w:val="00265747"/>
    <w:rsid w:val="002658CA"/>
    <w:rsid w:val="0026595F"/>
    <w:rsid w:val="00266C0D"/>
    <w:rsid w:val="00266DE9"/>
    <w:rsid w:val="00267B14"/>
    <w:rsid w:val="00270170"/>
    <w:rsid w:val="002707E7"/>
    <w:rsid w:val="00270F42"/>
    <w:rsid w:val="0027160C"/>
    <w:rsid w:val="00271F1C"/>
    <w:rsid w:val="00272519"/>
    <w:rsid w:val="0027288A"/>
    <w:rsid w:val="00275059"/>
    <w:rsid w:val="002751D1"/>
    <w:rsid w:val="00275209"/>
    <w:rsid w:val="00275533"/>
    <w:rsid w:val="00276549"/>
    <w:rsid w:val="00276A2A"/>
    <w:rsid w:val="00277F88"/>
    <w:rsid w:val="0027C4FC"/>
    <w:rsid w:val="0028150A"/>
    <w:rsid w:val="00281F93"/>
    <w:rsid w:val="00281FA1"/>
    <w:rsid w:val="00282055"/>
    <w:rsid w:val="00282165"/>
    <w:rsid w:val="002825BE"/>
    <w:rsid w:val="002833B2"/>
    <w:rsid w:val="00283820"/>
    <w:rsid w:val="00283EDD"/>
    <w:rsid w:val="00283EDF"/>
    <w:rsid w:val="00284199"/>
    <w:rsid w:val="00284340"/>
    <w:rsid w:val="00285040"/>
    <w:rsid w:val="00286EC4"/>
    <w:rsid w:val="0028745E"/>
    <w:rsid w:val="0028789F"/>
    <w:rsid w:val="00287A1C"/>
    <w:rsid w:val="00287E78"/>
    <w:rsid w:val="0029047A"/>
    <w:rsid w:val="00290676"/>
    <w:rsid w:val="002909D5"/>
    <w:rsid w:val="002913DF"/>
    <w:rsid w:val="00291462"/>
    <w:rsid w:val="00291572"/>
    <w:rsid w:val="00291BDC"/>
    <w:rsid w:val="00291EBB"/>
    <w:rsid w:val="0029206A"/>
    <w:rsid w:val="00292904"/>
    <w:rsid w:val="00292B97"/>
    <w:rsid w:val="00292E79"/>
    <w:rsid w:val="002939B1"/>
    <w:rsid w:val="00293E2B"/>
    <w:rsid w:val="0029467B"/>
    <w:rsid w:val="002948A5"/>
    <w:rsid w:val="002950BD"/>
    <w:rsid w:val="0029593B"/>
    <w:rsid w:val="00295E6C"/>
    <w:rsid w:val="00295F9F"/>
    <w:rsid w:val="00296A9D"/>
    <w:rsid w:val="00297413"/>
    <w:rsid w:val="002974A4"/>
    <w:rsid w:val="002976C1"/>
    <w:rsid w:val="00297899"/>
    <w:rsid w:val="00297FAB"/>
    <w:rsid w:val="002A02DA"/>
    <w:rsid w:val="002A04B4"/>
    <w:rsid w:val="002A0942"/>
    <w:rsid w:val="002A13CA"/>
    <w:rsid w:val="002A145B"/>
    <w:rsid w:val="002A156F"/>
    <w:rsid w:val="002A18BE"/>
    <w:rsid w:val="002A23BA"/>
    <w:rsid w:val="002A2860"/>
    <w:rsid w:val="002A33EE"/>
    <w:rsid w:val="002A3698"/>
    <w:rsid w:val="002A36F6"/>
    <w:rsid w:val="002A3FCC"/>
    <w:rsid w:val="002A4084"/>
    <w:rsid w:val="002A447D"/>
    <w:rsid w:val="002A4AD6"/>
    <w:rsid w:val="002A5244"/>
    <w:rsid w:val="002A7196"/>
    <w:rsid w:val="002A76AE"/>
    <w:rsid w:val="002B087C"/>
    <w:rsid w:val="002B08FB"/>
    <w:rsid w:val="002B0E92"/>
    <w:rsid w:val="002B1354"/>
    <w:rsid w:val="002B1384"/>
    <w:rsid w:val="002B2658"/>
    <w:rsid w:val="002B2752"/>
    <w:rsid w:val="002B3681"/>
    <w:rsid w:val="002B39C1"/>
    <w:rsid w:val="002B4BE4"/>
    <w:rsid w:val="002B640B"/>
    <w:rsid w:val="002B662C"/>
    <w:rsid w:val="002B667C"/>
    <w:rsid w:val="002B7601"/>
    <w:rsid w:val="002B7A18"/>
    <w:rsid w:val="002B7E5D"/>
    <w:rsid w:val="002C035D"/>
    <w:rsid w:val="002C1185"/>
    <w:rsid w:val="002C11CA"/>
    <w:rsid w:val="002C16E5"/>
    <w:rsid w:val="002C323F"/>
    <w:rsid w:val="002C3D30"/>
    <w:rsid w:val="002C45E8"/>
    <w:rsid w:val="002C4CCE"/>
    <w:rsid w:val="002C5989"/>
    <w:rsid w:val="002C626F"/>
    <w:rsid w:val="002C62E6"/>
    <w:rsid w:val="002C676D"/>
    <w:rsid w:val="002C6786"/>
    <w:rsid w:val="002C6AA4"/>
    <w:rsid w:val="002C6BA1"/>
    <w:rsid w:val="002C70CE"/>
    <w:rsid w:val="002D00C9"/>
    <w:rsid w:val="002D3EE5"/>
    <w:rsid w:val="002D5097"/>
    <w:rsid w:val="002D55E4"/>
    <w:rsid w:val="002D5C43"/>
    <w:rsid w:val="002D690D"/>
    <w:rsid w:val="002E001F"/>
    <w:rsid w:val="002E101C"/>
    <w:rsid w:val="002E1A2A"/>
    <w:rsid w:val="002E1F01"/>
    <w:rsid w:val="002E33E0"/>
    <w:rsid w:val="002E5054"/>
    <w:rsid w:val="002E5221"/>
    <w:rsid w:val="002E6190"/>
    <w:rsid w:val="002E63BE"/>
    <w:rsid w:val="002E6C0B"/>
    <w:rsid w:val="002E7113"/>
    <w:rsid w:val="002E7365"/>
    <w:rsid w:val="002E7775"/>
    <w:rsid w:val="002E7AD2"/>
    <w:rsid w:val="002F05D1"/>
    <w:rsid w:val="002F108F"/>
    <w:rsid w:val="002F1135"/>
    <w:rsid w:val="002F1399"/>
    <w:rsid w:val="002F1B5D"/>
    <w:rsid w:val="002F32FB"/>
    <w:rsid w:val="002F40AB"/>
    <w:rsid w:val="002F4F96"/>
    <w:rsid w:val="002F5430"/>
    <w:rsid w:val="002F5611"/>
    <w:rsid w:val="002F5F5E"/>
    <w:rsid w:val="002F5F85"/>
    <w:rsid w:val="002F693F"/>
    <w:rsid w:val="0030051A"/>
    <w:rsid w:val="003008CC"/>
    <w:rsid w:val="00300BE8"/>
    <w:rsid w:val="0030140D"/>
    <w:rsid w:val="00301763"/>
    <w:rsid w:val="00302252"/>
    <w:rsid w:val="003025F7"/>
    <w:rsid w:val="00303067"/>
    <w:rsid w:val="00303C60"/>
    <w:rsid w:val="00303FCF"/>
    <w:rsid w:val="00304D33"/>
    <w:rsid w:val="00304FB8"/>
    <w:rsid w:val="0030678D"/>
    <w:rsid w:val="00307299"/>
    <w:rsid w:val="00307ACA"/>
    <w:rsid w:val="00307D0A"/>
    <w:rsid w:val="00310823"/>
    <w:rsid w:val="00310B9B"/>
    <w:rsid w:val="00310C3F"/>
    <w:rsid w:val="003118C2"/>
    <w:rsid w:val="003122F5"/>
    <w:rsid w:val="003127A3"/>
    <w:rsid w:val="00312837"/>
    <w:rsid w:val="003140CD"/>
    <w:rsid w:val="003140D2"/>
    <w:rsid w:val="00314885"/>
    <w:rsid w:val="00315575"/>
    <w:rsid w:val="00315578"/>
    <w:rsid w:val="00315B80"/>
    <w:rsid w:val="00315F17"/>
    <w:rsid w:val="00315F5F"/>
    <w:rsid w:val="003167DE"/>
    <w:rsid w:val="00316868"/>
    <w:rsid w:val="00316B97"/>
    <w:rsid w:val="00317034"/>
    <w:rsid w:val="0031715C"/>
    <w:rsid w:val="003171F6"/>
    <w:rsid w:val="00317712"/>
    <w:rsid w:val="00317714"/>
    <w:rsid w:val="003177F5"/>
    <w:rsid w:val="00317818"/>
    <w:rsid w:val="00320514"/>
    <w:rsid w:val="00320883"/>
    <w:rsid w:val="00320A17"/>
    <w:rsid w:val="00320B38"/>
    <w:rsid w:val="00321076"/>
    <w:rsid w:val="00322505"/>
    <w:rsid w:val="00322DA9"/>
    <w:rsid w:val="00322DCB"/>
    <w:rsid w:val="00322E4F"/>
    <w:rsid w:val="00322F0A"/>
    <w:rsid w:val="00323519"/>
    <w:rsid w:val="003238F4"/>
    <w:rsid w:val="00323AF6"/>
    <w:rsid w:val="00323D60"/>
    <w:rsid w:val="003244E1"/>
    <w:rsid w:val="00324CFB"/>
    <w:rsid w:val="003251C2"/>
    <w:rsid w:val="00325FA0"/>
    <w:rsid w:val="003266C1"/>
    <w:rsid w:val="00326F1C"/>
    <w:rsid w:val="00327162"/>
    <w:rsid w:val="00327C72"/>
    <w:rsid w:val="00327FDB"/>
    <w:rsid w:val="003302EF"/>
    <w:rsid w:val="00330814"/>
    <w:rsid w:val="00330A0A"/>
    <w:rsid w:val="003310F5"/>
    <w:rsid w:val="003316CC"/>
    <w:rsid w:val="00331B6C"/>
    <w:rsid w:val="00331E35"/>
    <w:rsid w:val="003328A9"/>
    <w:rsid w:val="00332BF4"/>
    <w:rsid w:val="00332E17"/>
    <w:rsid w:val="0033382E"/>
    <w:rsid w:val="003338C0"/>
    <w:rsid w:val="003339DF"/>
    <w:rsid w:val="00333AD2"/>
    <w:rsid w:val="003340B7"/>
    <w:rsid w:val="003354BF"/>
    <w:rsid w:val="0033594B"/>
    <w:rsid w:val="003370FF"/>
    <w:rsid w:val="003371B5"/>
    <w:rsid w:val="00337937"/>
    <w:rsid w:val="00337BAF"/>
    <w:rsid w:val="00340341"/>
    <w:rsid w:val="0034039A"/>
    <w:rsid w:val="00340606"/>
    <w:rsid w:val="00340E06"/>
    <w:rsid w:val="003417CB"/>
    <w:rsid w:val="00341A66"/>
    <w:rsid w:val="003424DA"/>
    <w:rsid w:val="00342CDC"/>
    <w:rsid w:val="003433BD"/>
    <w:rsid w:val="003435A9"/>
    <w:rsid w:val="0034463C"/>
    <w:rsid w:val="00344649"/>
    <w:rsid w:val="003453CB"/>
    <w:rsid w:val="00345496"/>
    <w:rsid w:val="003455FF"/>
    <w:rsid w:val="00345BCF"/>
    <w:rsid w:val="00345E7D"/>
    <w:rsid w:val="00346119"/>
    <w:rsid w:val="003466F9"/>
    <w:rsid w:val="00346BAF"/>
    <w:rsid w:val="00350092"/>
    <w:rsid w:val="0035011E"/>
    <w:rsid w:val="0035067E"/>
    <w:rsid w:val="00350878"/>
    <w:rsid w:val="00350AF6"/>
    <w:rsid w:val="00351443"/>
    <w:rsid w:val="003519AD"/>
    <w:rsid w:val="00351E0E"/>
    <w:rsid w:val="00352147"/>
    <w:rsid w:val="00352420"/>
    <w:rsid w:val="00352D53"/>
    <w:rsid w:val="00353AED"/>
    <w:rsid w:val="00353F33"/>
    <w:rsid w:val="003542C4"/>
    <w:rsid w:val="00354EB4"/>
    <w:rsid w:val="0035571B"/>
    <w:rsid w:val="003562C3"/>
    <w:rsid w:val="00356CFB"/>
    <w:rsid w:val="00356D29"/>
    <w:rsid w:val="00356ECB"/>
    <w:rsid w:val="003571C2"/>
    <w:rsid w:val="00360343"/>
    <w:rsid w:val="0036216B"/>
    <w:rsid w:val="00362331"/>
    <w:rsid w:val="003624BF"/>
    <w:rsid w:val="00363970"/>
    <w:rsid w:val="003640A7"/>
    <w:rsid w:val="003642B4"/>
    <w:rsid w:val="003645F8"/>
    <w:rsid w:val="00364C8E"/>
    <w:rsid w:val="00365447"/>
    <w:rsid w:val="00365CC9"/>
    <w:rsid w:val="00365EBC"/>
    <w:rsid w:val="003673A3"/>
    <w:rsid w:val="00367722"/>
    <w:rsid w:val="0036794E"/>
    <w:rsid w:val="00370280"/>
    <w:rsid w:val="003708B7"/>
    <w:rsid w:val="00371511"/>
    <w:rsid w:val="00372146"/>
    <w:rsid w:val="00372C45"/>
    <w:rsid w:val="00373089"/>
    <w:rsid w:val="003730C4"/>
    <w:rsid w:val="003735E6"/>
    <w:rsid w:val="00376D64"/>
    <w:rsid w:val="003771E8"/>
    <w:rsid w:val="0037762A"/>
    <w:rsid w:val="0037785D"/>
    <w:rsid w:val="003779E0"/>
    <w:rsid w:val="00377F28"/>
    <w:rsid w:val="00377F86"/>
    <w:rsid w:val="003806BB"/>
    <w:rsid w:val="0038146C"/>
    <w:rsid w:val="00381BA1"/>
    <w:rsid w:val="00382148"/>
    <w:rsid w:val="003825D7"/>
    <w:rsid w:val="00382609"/>
    <w:rsid w:val="00382EAF"/>
    <w:rsid w:val="00385295"/>
    <w:rsid w:val="00385CDD"/>
    <w:rsid w:val="00386124"/>
    <w:rsid w:val="003864D5"/>
    <w:rsid w:val="00387B04"/>
    <w:rsid w:val="00387BAB"/>
    <w:rsid w:val="00390567"/>
    <w:rsid w:val="003908B5"/>
    <w:rsid w:val="003912B1"/>
    <w:rsid w:val="003920CA"/>
    <w:rsid w:val="00392F29"/>
    <w:rsid w:val="00393882"/>
    <w:rsid w:val="00393C35"/>
    <w:rsid w:val="00395094"/>
    <w:rsid w:val="00396014"/>
    <w:rsid w:val="003966F6"/>
    <w:rsid w:val="0039677D"/>
    <w:rsid w:val="00397F19"/>
    <w:rsid w:val="003A0660"/>
    <w:rsid w:val="003A0A2C"/>
    <w:rsid w:val="003A0CFA"/>
    <w:rsid w:val="003A0D52"/>
    <w:rsid w:val="003A1565"/>
    <w:rsid w:val="003A2ED1"/>
    <w:rsid w:val="003A35E6"/>
    <w:rsid w:val="003A39EB"/>
    <w:rsid w:val="003A4C47"/>
    <w:rsid w:val="003A5A1E"/>
    <w:rsid w:val="003A649B"/>
    <w:rsid w:val="003A65A2"/>
    <w:rsid w:val="003A6724"/>
    <w:rsid w:val="003A67A4"/>
    <w:rsid w:val="003A6AAD"/>
    <w:rsid w:val="003A6E1A"/>
    <w:rsid w:val="003A6E86"/>
    <w:rsid w:val="003A7344"/>
    <w:rsid w:val="003A747D"/>
    <w:rsid w:val="003A7852"/>
    <w:rsid w:val="003B01C8"/>
    <w:rsid w:val="003B0BA1"/>
    <w:rsid w:val="003B0EF5"/>
    <w:rsid w:val="003B1417"/>
    <w:rsid w:val="003B15E6"/>
    <w:rsid w:val="003B1BAA"/>
    <w:rsid w:val="003B2486"/>
    <w:rsid w:val="003B269B"/>
    <w:rsid w:val="003B2757"/>
    <w:rsid w:val="003B3770"/>
    <w:rsid w:val="003B3B6D"/>
    <w:rsid w:val="003B4599"/>
    <w:rsid w:val="003B4F6D"/>
    <w:rsid w:val="003B5111"/>
    <w:rsid w:val="003B5D8A"/>
    <w:rsid w:val="003B6132"/>
    <w:rsid w:val="003B61B7"/>
    <w:rsid w:val="003B63D3"/>
    <w:rsid w:val="003B6BD7"/>
    <w:rsid w:val="003B7701"/>
    <w:rsid w:val="003B7908"/>
    <w:rsid w:val="003B7A88"/>
    <w:rsid w:val="003C19F6"/>
    <w:rsid w:val="003C1AE2"/>
    <w:rsid w:val="003C1F4B"/>
    <w:rsid w:val="003C20FE"/>
    <w:rsid w:val="003C4F57"/>
    <w:rsid w:val="003C4F8F"/>
    <w:rsid w:val="003C51A7"/>
    <w:rsid w:val="003C61CA"/>
    <w:rsid w:val="003C6B59"/>
    <w:rsid w:val="003C799B"/>
    <w:rsid w:val="003D05DF"/>
    <w:rsid w:val="003D1898"/>
    <w:rsid w:val="003D2334"/>
    <w:rsid w:val="003D294D"/>
    <w:rsid w:val="003D299E"/>
    <w:rsid w:val="003D376E"/>
    <w:rsid w:val="003D3C33"/>
    <w:rsid w:val="003D420A"/>
    <w:rsid w:val="003D47D3"/>
    <w:rsid w:val="003D55E1"/>
    <w:rsid w:val="003D641A"/>
    <w:rsid w:val="003D6D40"/>
    <w:rsid w:val="003D6F65"/>
    <w:rsid w:val="003D71EB"/>
    <w:rsid w:val="003E0453"/>
    <w:rsid w:val="003E1444"/>
    <w:rsid w:val="003E15CD"/>
    <w:rsid w:val="003E1B17"/>
    <w:rsid w:val="003E22CB"/>
    <w:rsid w:val="003E2343"/>
    <w:rsid w:val="003E33A9"/>
    <w:rsid w:val="003E3ACB"/>
    <w:rsid w:val="003E3CBE"/>
    <w:rsid w:val="003E406B"/>
    <w:rsid w:val="003E4F96"/>
    <w:rsid w:val="003E55FF"/>
    <w:rsid w:val="003E5CCA"/>
    <w:rsid w:val="003E770D"/>
    <w:rsid w:val="003E7764"/>
    <w:rsid w:val="003E7773"/>
    <w:rsid w:val="003E7D99"/>
    <w:rsid w:val="003E7DE6"/>
    <w:rsid w:val="003E7F6A"/>
    <w:rsid w:val="003F013A"/>
    <w:rsid w:val="003F02E3"/>
    <w:rsid w:val="003F0DB5"/>
    <w:rsid w:val="003F0F75"/>
    <w:rsid w:val="003F115E"/>
    <w:rsid w:val="003F1478"/>
    <w:rsid w:val="003F14C2"/>
    <w:rsid w:val="003F1572"/>
    <w:rsid w:val="003F2210"/>
    <w:rsid w:val="003F333D"/>
    <w:rsid w:val="003F36D4"/>
    <w:rsid w:val="003F3FC5"/>
    <w:rsid w:val="003F44A6"/>
    <w:rsid w:val="003F4890"/>
    <w:rsid w:val="003F4E59"/>
    <w:rsid w:val="003F517A"/>
    <w:rsid w:val="003F535C"/>
    <w:rsid w:val="003F57E2"/>
    <w:rsid w:val="003F6359"/>
    <w:rsid w:val="003F70EF"/>
    <w:rsid w:val="003F7196"/>
    <w:rsid w:val="003F78D4"/>
    <w:rsid w:val="004008AF"/>
    <w:rsid w:val="00400B5F"/>
    <w:rsid w:val="00401C27"/>
    <w:rsid w:val="00401C37"/>
    <w:rsid w:val="00401DBF"/>
    <w:rsid w:val="00402ABD"/>
    <w:rsid w:val="004033D9"/>
    <w:rsid w:val="00403975"/>
    <w:rsid w:val="00404142"/>
    <w:rsid w:val="0040431A"/>
    <w:rsid w:val="00404A94"/>
    <w:rsid w:val="0040551F"/>
    <w:rsid w:val="004060DE"/>
    <w:rsid w:val="00406CA9"/>
    <w:rsid w:val="0040710F"/>
    <w:rsid w:val="0040771F"/>
    <w:rsid w:val="004078A4"/>
    <w:rsid w:val="00407EDF"/>
    <w:rsid w:val="004108F3"/>
    <w:rsid w:val="00410BB7"/>
    <w:rsid w:val="00411116"/>
    <w:rsid w:val="004111F7"/>
    <w:rsid w:val="0041217D"/>
    <w:rsid w:val="004125C6"/>
    <w:rsid w:val="0041275F"/>
    <w:rsid w:val="004127F8"/>
    <w:rsid w:val="00413EC4"/>
    <w:rsid w:val="0041413D"/>
    <w:rsid w:val="00414897"/>
    <w:rsid w:val="0041502F"/>
    <w:rsid w:val="00415889"/>
    <w:rsid w:val="004158AD"/>
    <w:rsid w:val="00415A9B"/>
    <w:rsid w:val="00415ABE"/>
    <w:rsid w:val="00415BF5"/>
    <w:rsid w:val="00415C63"/>
    <w:rsid w:val="00416D92"/>
    <w:rsid w:val="00416E8E"/>
    <w:rsid w:val="00417EC0"/>
    <w:rsid w:val="004208CB"/>
    <w:rsid w:val="00421A89"/>
    <w:rsid w:val="00421EBC"/>
    <w:rsid w:val="004225C0"/>
    <w:rsid w:val="00422A3D"/>
    <w:rsid w:val="00422C0C"/>
    <w:rsid w:val="0042304B"/>
    <w:rsid w:val="004234BF"/>
    <w:rsid w:val="00423978"/>
    <w:rsid w:val="00424084"/>
    <w:rsid w:val="0042432E"/>
    <w:rsid w:val="00424A0B"/>
    <w:rsid w:val="00424B5D"/>
    <w:rsid w:val="00425997"/>
    <w:rsid w:val="00425D39"/>
    <w:rsid w:val="00425F46"/>
    <w:rsid w:val="0042645B"/>
    <w:rsid w:val="00426550"/>
    <w:rsid w:val="004273AD"/>
    <w:rsid w:val="00427882"/>
    <w:rsid w:val="00427CB3"/>
    <w:rsid w:val="004301C2"/>
    <w:rsid w:val="004305AE"/>
    <w:rsid w:val="00430AAB"/>
    <w:rsid w:val="00430CB1"/>
    <w:rsid w:val="00430FC2"/>
    <w:rsid w:val="00431512"/>
    <w:rsid w:val="00431800"/>
    <w:rsid w:val="00431BE4"/>
    <w:rsid w:val="00432AA3"/>
    <w:rsid w:val="00432E67"/>
    <w:rsid w:val="00433541"/>
    <w:rsid w:val="00433B7C"/>
    <w:rsid w:val="004350A2"/>
    <w:rsid w:val="00435A8F"/>
    <w:rsid w:val="00436514"/>
    <w:rsid w:val="0043663C"/>
    <w:rsid w:val="00436717"/>
    <w:rsid w:val="00436852"/>
    <w:rsid w:val="004368EF"/>
    <w:rsid w:val="00436A63"/>
    <w:rsid w:val="00436F13"/>
    <w:rsid w:val="0043736D"/>
    <w:rsid w:val="0043C21C"/>
    <w:rsid w:val="00440923"/>
    <w:rsid w:val="004410D4"/>
    <w:rsid w:val="00441A89"/>
    <w:rsid w:val="004423F7"/>
    <w:rsid w:val="00442A49"/>
    <w:rsid w:val="004431F4"/>
    <w:rsid w:val="0044384D"/>
    <w:rsid w:val="00443918"/>
    <w:rsid w:val="00443DAA"/>
    <w:rsid w:val="00443E7D"/>
    <w:rsid w:val="0044456B"/>
    <w:rsid w:val="0044481B"/>
    <w:rsid w:val="00444EC0"/>
    <w:rsid w:val="00445A85"/>
    <w:rsid w:val="00445F03"/>
    <w:rsid w:val="0044646C"/>
    <w:rsid w:val="004465F2"/>
    <w:rsid w:val="00446807"/>
    <w:rsid w:val="0044683D"/>
    <w:rsid w:val="0044690B"/>
    <w:rsid w:val="00446AF4"/>
    <w:rsid w:val="00446BBE"/>
    <w:rsid w:val="00447142"/>
    <w:rsid w:val="004475B3"/>
    <w:rsid w:val="0044782C"/>
    <w:rsid w:val="00447D40"/>
    <w:rsid w:val="00447F53"/>
    <w:rsid w:val="0045076D"/>
    <w:rsid w:val="0045093D"/>
    <w:rsid w:val="004515C8"/>
    <w:rsid w:val="00451645"/>
    <w:rsid w:val="00451F4F"/>
    <w:rsid w:val="0045231E"/>
    <w:rsid w:val="00452E19"/>
    <w:rsid w:val="004530B5"/>
    <w:rsid w:val="00454F8E"/>
    <w:rsid w:val="0045567F"/>
    <w:rsid w:val="00455F20"/>
    <w:rsid w:val="00456551"/>
    <w:rsid w:val="004566A9"/>
    <w:rsid w:val="004567E7"/>
    <w:rsid w:val="004573CA"/>
    <w:rsid w:val="00457F37"/>
    <w:rsid w:val="004601EA"/>
    <w:rsid w:val="004605CE"/>
    <w:rsid w:val="0046077A"/>
    <w:rsid w:val="00460F5A"/>
    <w:rsid w:val="00461E62"/>
    <w:rsid w:val="00461ECF"/>
    <w:rsid w:val="00461F93"/>
    <w:rsid w:val="004624F8"/>
    <w:rsid w:val="00462778"/>
    <w:rsid w:val="004643C5"/>
    <w:rsid w:val="00464611"/>
    <w:rsid w:val="00464C25"/>
    <w:rsid w:val="00464F6C"/>
    <w:rsid w:val="004652D4"/>
    <w:rsid w:val="00465C4F"/>
    <w:rsid w:val="00466D34"/>
    <w:rsid w:val="00467600"/>
    <w:rsid w:val="00467876"/>
    <w:rsid w:val="00467C5F"/>
    <w:rsid w:val="00467D3E"/>
    <w:rsid w:val="00467EB1"/>
    <w:rsid w:val="00470960"/>
    <w:rsid w:val="00471D0D"/>
    <w:rsid w:val="0047281C"/>
    <w:rsid w:val="004736A1"/>
    <w:rsid w:val="00474E01"/>
    <w:rsid w:val="00475023"/>
    <w:rsid w:val="00475B32"/>
    <w:rsid w:val="004762A2"/>
    <w:rsid w:val="004802D6"/>
    <w:rsid w:val="004802DA"/>
    <w:rsid w:val="00481854"/>
    <w:rsid w:val="00481EB2"/>
    <w:rsid w:val="00482804"/>
    <w:rsid w:val="00482B47"/>
    <w:rsid w:val="0048323E"/>
    <w:rsid w:val="00484DC5"/>
    <w:rsid w:val="00485675"/>
    <w:rsid w:val="004861F8"/>
    <w:rsid w:val="00487408"/>
    <w:rsid w:val="00487AC9"/>
    <w:rsid w:val="00487C85"/>
    <w:rsid w:val="00490DC4"/>
    <w:rsid w:val="00491267"/>
    <w:rsid w:val="00491405"/>
    <w:rsid w:val="00491E45"/>
    <w:rsid w:val="0049333E"/>
    <w:rsid w:val="004943F3"/>
    <w:rsid w:val="00494495"/>
    <w:rsid w:val="004944DD"/>
    <w:rsid w:val="00494CED"/>
    <w:rsid w:val="00494D67"/>
    <w:rsid w:val="00494F64"/>
    <w:rsid w:val="00494FC4"/>
    <w:rsid w:val="0049777F"/>
    <w:rsid w:val="00497B9F"/>
    <w:rsid w:val="004A0648"/>
    <w:rsid w:val="004A1EE2"/>
    <w:rsid w:val="004A2084"/>
    <w:rsid w:val="004A2896"/>
    <w:rsid w:val="004A31A7"/>
    <w:rsid w:val="004A3DF0"/>
    <w:rsid w:val="004A4430"/>
    <w:rsid w:val="004A45FD"/>
    <w:rsid w:val="004A4FDF"/>
    <w:rsid w:val="004A5489"/>
    <w:rsid w:val="004A5E73"/>
    <w:rsid w:val="004A63B2"/>
    <w:rsid w:val="004A7650"/>
    <w:rsid w:val="004A78E2"/>
    <w:rsid w:val="004A7A52"/>
    <w:rsid w:val="004B0172"/>
    <w:rsid w:val="004B0EE4"/>
    <w:rsid w:val="004B19FE"/>
    <w:rsid w:val="004B21BB"/>
    <w:rsid w:val="004B2570"/>
    <w:rsid w:val="004B29F3"/>
    <w:rsid w:val="004B2A4D"/>
    <w:rsid w:val="004B2F45"/>
    <w:rsid w:val="004B3245"/>
    <w:rsid w:val="004B33C2"/>
    <w:rsid w:val="004B3B6E"/>
    <w:rsid w:val="004B3D03"/>
    <w:rsid w:val="004B4214"/>
    <w:rsid w:val="004B435C"/>
    <w:rsid w:val="004B5A56"/>
    <w:rsid w:val="004B63D2"/>
    <w:rsid w:val="004B689D"/>
    <w:rsid w:val="004B6AEA"/>
    <w:rsid w:val="004B76E2"/>
    <w:rsid w:val="004B7960"/>
    <w:rsid w:val="004B7E66"/>
    <w:rsid w:val="004C00AE"/>
    <w:rsid w:val="004C0AFA"/>
    <w:rsid w:val="004C0D2B"/>
    <w:rsid w:val="004C0E97"/>
    <w:rsid w:val="004C3173"/>
    <w:rsid w:val="004C3D9F"/>
    <w:rsid w:val="004C42E3"/>
    <w:rsid w:val="004C48C8"/>
    <w:rsid w:val="004C4C1B"/>
    <w:rsid w:val="004C4C66"/>
    <w:rsid w:val="004C598D"/>
    <w:rsid w:val="004C64D4"/>
    <w:rsid w:val="004C75DB"/>
    <w:rsid w:val="004C78D6"/>
    <w:rsid w:val="004D00A8"/>
    <w:rsid w:val="004D0664"/>
    <w:rsid w:val="004D0ED8"/>
    <w:rsid w:val="004D237E"/>
    <w:rsid w:val="004D27BF"/>
    <w:rsid w:val="004D31CE"/>
    <w:rsid w:val="004D3802"/>
    <w:rsid w:val="004D3897"/>
    <w:rsid w:val="004D427D"/>
    <w:rsid w:val="004D4425"/>
    <w:rsid w:val="004D502F"/>
    <w:rsid w:val="004D563A"/>
    <w:rsid w:val="004D5707"/>
    <w:rsid w:val="004D6270"/>
    <w:rsid w:val="004D6B73"/>
    <w:rsid w:val="004D731B"/>
    <w:rsid w:val="004D7E64"/>
    <w:rsid w:val="004E038D"/>
    <w:rsid w:val="004E0ED6"/>
    <w:rsid w:val="004E2BD6"/>
    <w:rsid w:val="004E2CF3"/>
    <w:rsid w:val="004E3411"/>
    <w:rsid w:val="004E3988"/>
    <w:rsid w:val="004E39CA"/>
    <w:rsid w:val="004E3B79"/>
    <w:rsid w:val="004E432E"/>
    <w:rsid w:val="004E5173"/>
    <w:rsid w:val="004E5FCD"/>
    <w:rsid w:val="004E610C"/>
    <w:rsid w:val="004E7A7E"/>
    <w:rsid w:val="004F00BC"/>
    <w:rsid w:val="004F0147"/>
    <w:rsid w:val="004F152F"/>
    <w:rsid w:val="004F1937"/>
    <w:rsid w:val="004F1A02"/>
    <w:rsid w:val="004F24DE"/>
    <w:rsid w:val="004F254E"/>
    <w:rsid w:val="004F26C7"/>
    <w:rsid w:val="004F3C98"/>
    <w:rsid w:val="004F40E8"/>
    <w:rsid w:val="004F41BC"/>
    <w:rsid w:val="004F5DAF"/>
    <w:rsid w:val="004F60E5"/>
    <w:rsid w:val="004F6AD3"/>
    <w:rsid w:val="004F6F9F"/>
    <w:rsid w:val="004F7F96"/>
    <w:rsid w:val="004FCECF"/>
    <w:rsid w:val="00501386"/>
    <w:rsid w:val="00501BD9"/>
    <w:rsid w:val="00501C25"/>
    <w:rsid w:val="00502631"/>
    <w:rsid w:val="005027A6"/>
    <w:rsid w:val="00502948"/>
    <w:rsid w:val="00502DAE"/>
    <w:rsid w:val="00502FFB"/>
    <w:rsid w:val="0050388A"/>
    <w:rsid w:val="005038A0"/>
    <w:rsid w:val="00503D54"/>
    <w:rsid w:val="00503E70"/>
    <w:rsid w:val="00504A82"/>
    <w:rsid w:val="00504C5B"/>
    <w:rsid w:val="00504D35"/>
    <w:rsid w:val="005051CB"/>
    <w:rsid w:val="0050531D"/>
    <w:rsid w:val="005057FB"/>
    <w:rsid w:val="00505E19"/>
    <w:rsid w:val="005103C5"/>
    <w:rsid w:val="00510702"/>
    <w:rsid w:val="00510C72"/>
    <w:rsid w:val="005111DE"/>
    <w:rsid w:val="005113DC"/>
    <w:rsid w:val="0051190A"/>
    <w:rsid w:val="00512355"/>
    <w:rsid w:val="005131D3"/>
    <w:rsid w:val="0051352C"/>
    <w:rsid w:val="00514127"/>
    <w:rsid w:val="00514E08"/>
    <w:rsid w:val="00514FC2"/>
    <w:rsid w:val="00515780"/>
    <w:rsid w:val="00515BFA"/>
    <w:rsid w:val="005161B3"/>
    <w:rsid w:val="00517A86"/>
    <w:rsid w:val="0052071C"/>
    <w:rsid w:val="00520BE2"/>
    <w:rsid w:val="00520C9A"/>
    <w:rsid w:val="00522FEE"/>
    <w:rsid w:val="0052349D"/>
    <w:rsid w:val="0052399C"/>
    <w:rsid w:val="0052439A"/>
    <w:rsid w:val="00524BE8"/>
    <w:rsid w:val="0052569B"/>
    <w:rsid w:val="0052575D"/>
    <w:rsid w:val="00525A3C"/>
    <w:rsid w:val="00525B66"/>
    <w:rsid w:val="00525D1D"/>
    <w:rsid w:val="005260C2"/>
    <w:rsid w:val="00526C92"/>
    <w:rsid w:val="00526F37"/>
    <w:rsid w:val="005275FC"/>
    <w:rsid w:val="0052768C"/>
    <w:rsid w:val="00527CCD"/>
    <w:rsid w:val="00527DB0"/>
    <w:rsid w:val="005301DA"/>
    <w:rsid w:val="00530260"/>
    <w:rsid w:val="0053033A"/>
    <w:rsid w:val="00530896"/>
    <w:rsid w:val="005310AF"/>
    <w:rsid w:val="0053114D"/>
    <w:rsid w:val="005313C9"/>
    <w:rsid w:val="005324DF"/>
    <w:rsid w:val="00532CE1"/>
    <w:rsid w:val="00532D47"/>
    <w:rsid w:val="00533310"/>
    <w:rsid w:val="005342C3"/>
    <w:rsid w:val="00534715"/>
    <w:rsid w:val="0053523D"/>
    <w:rsid w:val="005362F5"/>
    <w:rsid w:val="0053725B"/>
    <w:rsid w:val="00540C57"/>
    <w:rsid w:val="00540F5A"/>
    <w:rsid w:val="005422E5"/>
    <w:rsid w:val="00543DAA"/>
    <w:rsid w:val="0054445D"/>
    <w:rsid w:val="0054485D"/>
    <w:rsid w:val="00544911"/>
    <w:rsid w:val="0054510C"/>
    <w:rsid w:val="00545A65"/>
    <w:rsid w:val="00545CEB"/>
    <w:rsid w:val="0054789D"/>
    <w:rsid w:val="00547A20"/>
    <w:rsid w:val="00550876"/>
    <w:rsid w:val="00550E3B"/>
    <w:rsid w:val="00550EC6"/>
    <w:rsid w:val="005514BC"/>
    <w:rsid w:val="005519A6"/>
    <w:rsid w:val="0055213C"/>
    <w:rsid w:val="005526F1"/>
    <w:rsid w:val="00553024"/>
    <w:rsid w:val="005531BD"/>
    <w:rsid w:val="00553CAB"/>
    <w:rsid w:val="00554233"/>
    <w:rsid w:val="0055448E"/>
    <w:rsid w:val="00554F03"/>
    <w:rsid w:val="00555464"/>
    <w:rsid w:val="005557BB"/>
    <w:rsid w:val="00555D36"/>
    <w:rsid w:val="00556026"/>
    <w:rsid w:val="005567B2"/>
    <w:rsid w:val="0055693C"/>
    <w:rsid w:val="00556F87"/>
    <w:rsid w:val="00557089"/>
    <w:rsid w:val="00557117"/>
    <w:rsid w:val="005572FB"/>
    <w:rsid w:val="00557870"/>
    <w:rsid w:val="00560277"/>
    <w:rsid w:val="00560938"/>
    <w:rsid w:val="00560AF1"/>
    <w:rsid w:val="00561562"/>
    <w:rsid w:val="00561886"/>
    <w:rsid w:val="0056296A"/>
    <w:rsid w:val="00562E2E"/>
    <w:rsid w:val="00563602"/>
    <w:rsid w:val="00563DE6"/>
    <w:rsid w:val="0056528D"/>
    <w:rsid w:val="00565417"/>
    <w:rsid w:val="0056628B"/>
    <w:rsid w:val="00566298"/>
    <w:rsid w:val="00566300"/>
    <w:rsid w:val="005667D9"/>
    <w:rsid w:val="00570018"/>
    <w:rsid w:val="005700E7"/>
    <w:rsid w:val="0057091E"/>
    <w:rsid w:val="005709E0"/>
    <w:rsid w:val="00570A50"/>
    <w:rsid w:val="00570F9B"/>
    <w:rsid w:val="00571930"/>
    <w:rsid w:val="005723D6"/>
    <w:rsid w:val="00572469"/>
    <w:rsid w:val="0057285B"/>
    <w:rsid w:val="005733D0"/>
    <w:rsid w:val="0057390A"/>
    <w:rsid w:val="00573A46"/>
    <w:rsid w:val="00573AF2"/>
    <w:rsid w:val="005745CC"/>
    <w:rsid w:val="00574A6E"/>
    <w:rsid w:val="00575C1A"/>
    <w:rsid w:val="00575D97"/>
    <w:rsid w:val="0057630E"/>
    <w:rsid w:val="00577141"/>
    <w:rsid w:val="00577145"/>
    <w:rsid w:val="005773BE"/>
    <w:rsid w:val="005775E0"/>
    <w:rsid w:val="005778E0"/>
    <w:rsid w:val="00577E1E"/>
    <w:rsid w:val="0058060F"/>
    <w:rsid w:val="0058100A"/>
    <w:rsid w:val="005812C5"/>
    <w:rsid w:val="00582365"/>
    <w:rsid w:val="00583B75"/>
    <w:rsid w:val="00583DFA"/>
    <w:rsid w:val="00585C1B"/>
    <w:rsid w:val="00585D92"/>
    <w:rsid w:val="00587639"/>
    <w:rsid w:val="0059031E"/>
    <w:rsid w:val="0059076D"/>
    <w:rsid w:val="00590FC3"/>
    <w:rsid w:val="00590FD3"/>
    <w:rsid w:val="00591648"/>
    <w:rsid w:val="00591682"/>
    <w:rsid w:val="00592638"/>
    <w:rsid w:val="00592A41"/>
    <w:rsid w:val="00593138"/>
    <w:rsid w:val="0059350E"/>
    <w:rsid w:val="00593A33"/>
    <w:rsid w:val="00593F50"/>
    <w:rsid w:val="005947B5"/>
    <w:rsid w:val="00595130"/>
    <w:rsid w:val="00596098"/>
    <w:rsid w:val="005960BB"/>
    <w:rsid w:val="00597407"/>
    <w:rsid w:val="00597964"/>
    <w:rsid w:val="00597BCB"/>
    <w:rsid w:val="005A0496"/>
    <w:rsid w:val="005A05A7"/>
    <w:rsid w:val="005A06C1"/>
    <w:rsid w:val="005A0AE6"/>
    <w:rsid w:val="005A0B7B"/>
    <w:rsid w:val="005A0F51"/>
    <w:rsid w:val="005A1216"/>
    <w:rsid w:val="005A16F1"/>
    <w:rsid w:val="005A23BE"/>
    <w:rsid w:val="005A2F64"/>
    <w:rsid w:val="005A34B5"/>
    <w:rsid w:val="005A3978"/>
    <w:rsid w:val="005A3D47"/>
    <w:rsid w:val="005A4047"/>
    <w:rsid w:val="005A4384"/>
    <w:rsid w:val="005A49C0"/>
    <w:rsid w:val="005A4B3D"/>
    <w:rsid w:val="005A5E57"/>
    <w:rsid w:val="005A618D"/>
    <w:rsid w:val="005A7012"/>
    <w:rsid w:val="005A758F"/>
    <w:rsid w:val="005A7A5E"/>
    <w:rsid w:val="005B02A3"/>
    <w:rsid w:val="005B073E"/>
    <w:rsid w:val="005B1A08"/>
    <w:rsid w:val="005B1C07"/>
    <w:rsid w:val="005B26C1"/>
    <w:rsid w:val="005B3432"/>
    <w:rsid w:val="005B3BD6"/>
    <w:rsid w:val="005B43A2"/>
    <w:rsid w:val="005B5660"/>
    <w:rsid w:val="005B5F26"/>
    <w:rsid w:val="005B65A9"/>
    <w:rsid w:val="005B7D6C"/>
    <w:rsid w:val="005C14D0"/>
    <w:rsid w:val="005C170B"/>
    <w:rsid w:val="005C29C5"/>
    <w:rsid w:val="005C2AD3"/>
    <w:rsid w:val="005C32E9"/>
    <w:rsid w:val="005C39D6"/>
    <w:rsid w:val="005C3AF8"/>
    <w:rsid w:val="005C3D39"/>
    <w:rsid w:val="005C41C8"/>
    <w:rsid w:val="005C4384"/>
    <w:rsid w:val="005C4C10"/>
    <w:rsid w:val="005C5B2A"/>
    <w:rsid w:val="005C6580"/>
    <w:rsid w:val="005C65F4"/>
    <w:rsid w:val="005C7215"/>
    <w:rsid w:val="005C73C4"/>
    <w:rsid w:val="005C7678"/>
    <w:rsid w:val="005C7E6A"/>
    <w:rsid w:val="005D00EA"/>
    <w:rsid w:val="005D01DC"/>
    <w:rsid w:val="005D023B"/>
    <w:rsid w:val="005D02C4"/>
    <w:rsid w:val="005D04B3"/>
    <w:rsid w:val="005D07A6"/>
    <w:rsid w:val="005D08C5"/>
    <w:rsid w:val="005D2162"/>
    <w:rsid w:val="005D2304"/>
    <w:rsid w:val="005D31B1"/>
    <w:rsid w:val="005D37F2"/>
    <w:rsid w:val="005D3A04"/>
    <w:rsid w:val="005D450A"/>
    <w:rsid w:val="005D48FE"/>
    <w:rsid w:val="005D4D6E"/>
    <w:rsid w:val="005D59EA"/>
    <w:rsid w:val="005D5CDD"/>
    <w:rsid w:val="005D5E86"/>
    <w:rsid w:val="005D6873"/>
    <w:rsid w:val="005D7471"/>
    <w:rsid w:val="005D749D"/>
    <w:rsid w:val="005D74D6"/>
    <w:rsid w:val="005D7D9C"/>
    <w:rsid w:val="005E00FB"/>
    <w:rsid w:val="005E0524"/>
    <w:rsid w:val="005E0AEB"/>
    <w:rsid w:val="005E1054"/>
    <w:rsid w:val="005E19BC"/>
    <w:rsid w:val="005E1A40"/>
    <w:rsid w:val="005E2702"/>
    <w:rsid w:val="005E38ED"/>
    <w:rsid w:val="005E3AB9"/>
    <w:rsid w:val="005E3CA2"/>
    <w:rsid w:val="005E3F29"/>
    <w:rsid w:val="005E46EF"/>
    <w:rsid w:val="005E5874"/>
    <w:rsid w:val="005E61FD"/>
    <w:rsid w:val="005E62AE"/>
    <w:rsid w:val="005E740B"/>
    <w:rsid w:val="005E75D5"/>
    <w:rsid w:val="005E78CB"/>
    <w:rsid w:val="005E7D5A"/>
    <w:rsid w:val="005F1555"/>
    <w:rsid w:val="005F2482"/>
    <w:rsid w:val="005F2978"/>
    <w:rsid w:val="005F2F56"/>
    <w:rsid w:val="005F3C61"/>
    <w:rsid w:val="005F40C5"/>
    <w:rsid w:val="005F418C"/>
    <w:rsid w:val="005F4721"/>
    <w:rsid w:val="005F483A"/>
    <w:rsid w:val="005F53A0"/>
    <w:rsid w:val="005F720A"/>
    <w:rsid w:val="005F7E9B"/>
    <w:rsid w:val="00600C53"/>
    <w:rsid w:val="0060170A"/>
    <w:rsid w:val="006017BD"/>
    <w:rsid w:val="00601A20"/>
    <w:rsid w:val="0060217D"/>
    <w:rsid w:val="00602F43"/>
    <w:rsid w:val="006039D2"/>
    <w:rsid w:val="00603B08"/>
    <w:rsid w:val="00603D5E"/>
    <w:rsid w:val="0060439D"/>
    <w:rsid w:val="00604B54"/>
    <w:rsid w:val="00605776"/>
    <w:rsid w:val="00605B0D"/>
    <w:rsid w:val="006060DF"/>
    <w:rsid w:val="00606A1E"/>
    <w:rsid w:val="00607601"/>
    <w:rsid w:val="00610162"/>
    <w:rsid w:val="00610ABA"/>
    <w:rsid w:val="00612A1D"/>
    <w:rsid w:val="00612BC5"/>
    <w:rsid w:val="00613037"/>
    <w:rsid w:val="006130D5"/>
    <w:rsid w:val="0061317A"/>
    <w:rsid w:val="0061342C"/>
    <w:rsid w:val="006135AB"/>
    <w:rsid w:val="006138E4"/>
    <w:rsid w:val="00614122"/>
    <w:rsid w:val="006144F6"/>
    <w:rsid w:val="00614A53"/>
    <w:rsid w:val="0061507B"/>
    <w:rsid w:val="00615277"/>
    <w:rsid w:val="00615D77"/>
    <w:rsid w:val="00615E72"/>
    <w:rsid w:val="00616407"/>
    <w:rsid w:val="00616494"/>
    <w:rsid w:val="006164AC"/>
    <w:rsid w:val="00616E0F"/>
    <w:rsid w:val="00617897"/>
    <w:rsid w:val="00617E0B"/>
    <w:rsid w:val="00620E5A"/>
    <w:rsid w:val="00620E69"/>
    <w:rsid w:val="006231FE"/>
    <w:rsid w:val="00623416"/>
    <w:rsid w:val="006236E9"/>
    <w:rsid w:val="00623EB1"/>
    <w:rsid w:val="006250E9"/>
    <w:rsid w:val="0062520C"/>
    <w:rsid w:val="00625EC4"/>
    <w:rsid w:val="00630520"/>
    <w:rsid w:val="00630A00"/>
    <w:rsid w:val="00631916"/>
    <w:rsid w:val="0063199F"/>
    <w:rsid w:val="00631E31"/>
    <w:rsid w:val="00633B2F"/>
    <w:rsid w:val="006362D1"/>
    <w:rsid w:val="00636DFE"/>
    <w:rsid w:val="006374C8"/>
    <w:rsid w:val="00640614"/>
    <w:rsid w:val="00640C31"/>
    <w:rsid w:val="00641E8E"/>
    <w:rsid w:val="0064274D"/>
    <w:rsid w:val="00643226"/>
    <w:rsid w:val="00643260"/>
    <w:rsid w:val="006435DC"/>
    <w:rsid w:val="006435EB"/>
    <w:rsid w:val="006436A8"/>
    <w:rsid w:val="00644668"/>
    <w:rsid w:val="00644D49"/>
    <w:rsid w:val="00645324"/>
    <w:rsid w:val="006459EF"/>
    <w:rsid w:val="00645BDE"/>
    <w:rsid w:val="00645FF3"/>
    <w:rsid w:val="00646303"/>
    <w:rsid w:val="006465F3"/>
    <w:rsid w:val="006471BE"/>
    <w:rsid w:val="00650889"/>
    <w:rsid w:val="006510D4"/>
    <w:rsid w:val="006512AB"/>
    <w:rsid w:val="00651A3D"/>
    <w:rsid w:val="00651F3D"/>
    <w:rsid w:val="00652581"/>
    <w:rsid w:val="00652715"/>
    <w:rsid w:val="0065280F"/>
    <w:rsid w:val="00652A0B"/>
    <w:rsid w:val="00652B74"/>
    <w:rsid w:val="00653201"/>
    <w:rsid w:val="006534BF"/>
    <w:rsid w:val="006537D7"/>
    <w:rsid w:val="00653E80"/>
    <w:rsid w:val="0065444A"/>
    <w:rsid w:val="00654F68"/>
    <w:rsid w:val="006550D4"/>
    <w:rsid w:val="00655CF9"/>
    <w:rsid w:val="00655D45"/>
    <w:rsid w:val="00656AD0"/>
    <w:rsid w:val="00656FDB"/>
    <w:rsid w:val="0065714C"/>
    <w:rsid w:val="00657331"/>
    <w:rsid w:val="00657404"/>
    <w:rsid w:val="00657873"/>
    <w:rsid w:val="00657ABF"/>
    <w:rsid w:val="00657F09"/>
    <w:rsid w:val="00660A74"/>
    <w:rsid w:val="00660E54"/>
    <w:rsid w:val="006613D8"/>
    <w:rsid w:val="00662175"/>
    <w:rsid w:val="00662E5F"/>
    <w:rsid w:val="00664434"/>
    <w:rsid w:val="0066499F"/>
    <w:rsid w:val="0066560D"/>
    <w:rsid w:val="0066561F"/>
    <w:rsid w:val="00666A58"/>
    <w:rsid w:val="00666E97"/>
    <w:rsid w:val="006677EB"/>
    <w:rsid w:val="00670297"/>
    <w:rsid w:val="0067057D"/>
    <w:rsid w:val="00670650"/>
    <w:rsid w:val="00670EDA"/>
    <w:rsid w:val="006712C0"/>
    <w:rsid w:val="006712F1"/>
    <w:rsid w:val="00671FBD"/>
    <w:rsid w:val="00672C80"/>
    <w:rsid w:val="00672CCD"/>
    <w:rsid w:val="0067337D"/>
    <w:rsid w:val="00673475"/>
    <w:rsid w:val="006738B7"/>
    <w:rsid w:val="00673AAD"/>
    <w:rsid w:val="006744A9"/>
    <w:rsid w:val="006744AC"/>
    <w:rsid w:val="006747D7"/>
    <w:rsid w:val="00674C7D"/>
    <w:rsid w:val="006750CA"/>
    <w:rsid w:val="006762B1"/>
    <w:rsid w:val="00680465"/>
    <w:rsid w:val="00680AC0"/>
    <w:rsid w:val="00680B40"/>
    <w:rsid w:val="006810E8"/>
    <w:rsid w:val="00681C40"/>
    <w:rsid w:val="00681EC9"/>
    <w:rsid w:val="006822FA"/>
    <w:rsid w:val="0068288C"/>
    <w:rsid w:val="0068311F"/>
    <w:rsid w:val="00683170"/>
    <w:rsid w:val="006835A8"/>
    <w:rsid w:val="00683A8E"/>
    <w:rsid w:val="00683F36"/>
    <w:rsid w:val="006841A4"/>
    <w:rsid w:val="00684F32"/>
    <w:rsid w:val="0068548D"/>
    <w:rsid w:val="006854EB"/>
    <w:rsid w:val="00685589"/>
    <w:rsid w:val="006856D3"/>
    <w:rsid w:val="00685DA4"/>
    <w:rsid w:val="00686092"/>
    <w:rsid w:val="006861A0"/>
    <w:rsid w:val="0068682C"/>
    <w:rsid w:val="00687265"/>
    <w:rsid w:val="00687B02"/>
    <w:rsid w:val="00690633"/>
    <w:rsid w:val="006923D4"/>
    <w:rsid w:val="00692618"/>
    <w:rsid w:val="00693499"/>
    <w:rsid w:val="006938AA"/>
    <w:rsid w:val="0069474B"/>
    <w:rsid w:val="0069475D"/>
    <w:rsid w:val="00694B5D"/>
    <w:rsid w:val="00695778"/>
    <w:rsid w:val="00695A68"/>
    <w:rsid w:val="00696601"/>
    <w:rsid w:val="00697966"/>
    <w:rsid w:val="00697DCF"/>
    <w:rsid w:val="006A1C60"/>
    <w:rsid w:val="006A2BC1"/>
    <w:rsid w:val="006A312E"/>
    <w:rsid w:val="006A3399"/>
    <w:rsid w:val="006A3A2B"/>
    <w:rsid w:val="006A3E97"/>
    <w:rsid w:val="006A4256"/>
    <w:rsid w:val="006A4383"/>
    <w:rsid w:val="006A5445"/>
    <w:rsid w:val="006A6034"/>
    <w:rsid w:val="006A6340"/>
    <w:rsid w:val="006A6BF1"/>
    <w:rsid w:val="006A771E"/>
    <w:rsid w:val="006A78ED"/>
    <w:rsid w:val="006B0914"/>
    <w:rsid w:val="006B1393"/>
    <w:rsid w:val="006B155E"/>
    <w:rsid w:val="006B1948"/>
    <w:rsid w:val="006B2566"/>
    <w:rsid w:val="006B3032"/>
    <w:rsid w:val="006B4438"/>
    <w:rsid w:val="006B4819"/>
    <w:rsid w:val="006B4B2E"/>
    <w:rsid w:val="006B4B4A"/>
    <w:rsid w:val="006B4FBA"/>
    <w:rsid w:val="006B5308"/>
    <w:rsid w:val="006B5A68"/>
    <w:rsid w:val="006B690D"/>
    <w:rsid w:val="006B6C98"/>
    <w:rsid w:val="006B75C6"/>
    <w:rsid w:val="006B7CD0"/>
    <w:rsid w:val="006C085B"/>
    <w:rsid w:val="006C0E26"/>
    <w:rsid w:val="006C15D1"/>
    <w:rsid w:val="006C2567"/>
    <w:rsid w:val="006C29E3"/>
    <w:rsid w:val="006C2B86"/>
    <w:rsid w:val="006C354C"/>
    <w:rsid w:val="006C3B70"/>
    <w:rsid w:val="006C3B76"/>
    <w:rsid w:val="006C43D1"/>
    <w:rsid w:val="006C4572"/>
    <w:rsid w:val="006C53E6"/>
    <w:rsid w:val="006C57C7"/>
    <w:rsid w:val="006C64C3"/>
    <w:rsid w:val="006C715F"/>
    <w:rsid w:val="006C7B03"/>
    <w:rsid w:val="006D00B2"/>
    <w:rsid w:val="006D0330"/>
    <w:rsid w:val="006D0572"/>
    <w:rsid w:val="006D0EC2"/>
    <w:rsid w:val="006D12E6"/>
    <w:rsid w:val="006D193F"/>
    <w:rsid w:val="006D1A63"/>
    <w:rsid w:val="006D215F"/>
    <w:rsid w:val="006D255D"/>
    <w:rsid w:val="006D2B09"/>
    <w:rsid w:val="006D2B42"/>
    <w:rsid w:val="006D3226"/>
    <w:rsid w:val="006D3538"/>
    <w:rsid w:val="006D3D2A"/>
    <w:rsid w:val="006D4688"/>
    <w:rsid w:val="006D4918"/>
    <w:rsid w:val="006D4C72"/>
    <w:rsid w:val="006D4D46"/>
    <w:rsid w:val="006D4E4C"/>
    <w:rsid w:val="006D5585"/>
    <w:rsid w:val="006D5F76"/>
    <w:rsid w:val="006D6D96"/>
    <w:rsid w:val="006D7211"/>
    <w:rsid w:val="006D73EA"/>
    <w:rsid w:val="006D75C8"/>
    <w:rsid w:val="006D77C3"/>
    <w:rsid w:val="006D7A17"/>
    <w:rsid w:val="006D7FD6"/>
    <w:rsid w:val="006E01C2"/>
    <w:rsid w:val="006E0529"/>
    <w:rsid w:val="006E0C39"/>
    <w:rsid w:val="006E0EFB"/>
    <w:rsid w:val="006E1EF3"/>
    <w:rsid w:val="006E2B94"/>
    <w:rsid w:val="006E371C"/>
    <w:rsid w:val="006E3775"/>
    <w:rsid w:val="006E4126"/>
    <w:rsid w:val="006E468B"/>
    <w:rsid w:val="006E5B38"/>
    <w:rsid w:val="006E6284"/>
    <w:rsid w:val="006E6464"/>
    <w:rsid w:val="006E6FEF"/>
    <w:rsid w:val="006E7C88"/>
    <w:rsid w:val="006F02E2"/>
    <w:rsid w:val="006F04C1"/>
    <w:rsid w:val="006F055B"/>
    <w:rsid w:val="006F0D46"/>
    <w:rsid w:val="006F11EF"/>
    <w:rsid w:val="006F19F7"/>
    <w:rsid w:val="006F1AF6"/>
    <w:rsid w:val="006F23DD"/>
    <w:rsid w:val="006F2430"/>
    <w:rsid w:val="006F2CFF"/>
    <w:rsid w:val="006F3956"/>
    <w:rsid w:val="006F3A67"/>
    <w:rsid w:val="006F3D94"/>
    <w:rsid w:val="006F40E7"/>
    <w:rsid w:val="006F4FCC"/>
    <w:rsid w:val="006F50A9"/>
    <w:rsid w:val="006F5158"/>
    <w:rsid w:val="006F5628"/>
    <w:rsid w:val="006F6633"/>
    <w:rsid w:val="006F75AC"/>
    <w:rsid w:val="006F7CEA"/>
    <w:rsid w:val="00700227"/>
    <w:rsid w:val="00700651"/>
    <w:rsid w:val="00700950"/>
    <w:rsid w:val="00700B76"/>
    <w:rsid w:val="00700BCD"/>
    <w:rsid w:val="00700BDD"/>
    <w:rsid w:val="00700E72"/>
    <w:rsid w:val="00700F9E"/>
    <w:rsid w:val="00701136"/>
    <w:rsid w:val="007017FB"/>
    <w:rsid w:val="0070319A"/>
    <w:rsid w:val="00703A4E"/>
    <w:rsid w:val="00703CB4"/>
    <w:rsid w:val="0070519F"/>
    <w:rsid w:val="007052C5"/>
    <w:rsid w:val="00706FBD"/>
    <w:rsid w:val="00707AD2"/>
    <w:rsid w:val="00707C18"/>
    <w:rsid w:val="007103A9"/>
    <w:rsid w:val="007113C1"/>
    <w:rsid w:val="00711AFF"/>
    <w:rsid w:val="0071340A"/>
    <w:rsid w:val="00713AD4"/>
    <w:rsid w:val="007144CE"/>
    <w:rsid w:val="00714676"/>
    <w:rsid w:val="00714791"/>
    <w:rsid w:val="0071526B"/>
    <w:rsid w:val="00715E75"/>
    <w:rsid w:val="007166A3"/>
    <w:rsid w:val="007166DD"/>
    <w:rsid w:val="007169A5"/>
    <w:rsid w:val="00716AD2"/>
    <w:rsid w:val="007171AD"/>
    <w:rsid w:val="007171D3"/>
    <w:rsid w:val="00720196"/>
    <w:rsid w:val="007203CA"/>
    <w:rsid w:val="00720719"/>
    <w:rsid w:val="00720C20"/>
    <w:rsid w:val="00720FC5"/>
    <w:rsid w:val="00721436"/>
    <w:rsid w:val="00721B7E"/>
    <w:rsid w:val="007220AF"/>
    <w:rsid w:val="007226F5"/>
    <w:rsid w:val="00722F49"/>
    <w:rsid w:val="00723922"/>
    <w:rsid w:val="00723A42"/>
    <w:rsid w:val="00723B2C"/>
    <w:rsid w:val="00724490"/>
    <w:rsid w:val="00724D58"/>
    <w:rsid w:val="00724ED0"/>
    <w:rsid w:val="00724F92"/>
    <w:rsid w:val="00724F9F"/>
    <w:rsid w:val="00725198"/>
    <w:rsid w:val="0072520C"/>
    <w:rsid w:val="007253D6"/>
    <w:rsid w:val="0072578A"/>
    <w:rsid w:val="00725822"/>
    <w:rsid w:val="0072597A"/>
    <w:rsid w:val="00725AFC"/>
    <w:rsid w:val="00726838"/>
    <w:rsid w:val="00726E7A"/>
    <w:rsid w:val="00727206"/>
    <w:rsid w:val="0072756E"/>
    <w:rsid w:val="00727A88"/>
    <w:rsid w:val="0073027D"/>
    <w:rsid w:val="0073083D"/>
    <w:rsid w:val="007309BB"/>
    <w:rsid w:val="00730A53"/>
    <w:rsid w:val="00730B35"/>
    <w:rsid w:val="007311F3"/>
    <w:rsid w:val="00731D11"/>
    <w:rsid w:val="007320FE"/>
    <w:rsid w:val="00732993"/>
    <w:rsid w:val="007341F9"/>
    <w:rsid w:val="00734289"/>
    <w:rsid w:val="007343D2"/>
    <w:rsid w:val="007357F1"/>
    <w:rsid w:val="00735BE1"/>
    <w:rsid w:val="00736460"/>
    <w:rsid w:val="00737014"/>
    <w:rsid w:val="00737040"/>
    <w:rsid w:val="0073792C"/>
    <w:rsid w:val="00740137"/>
    <w:rsid w:val="007410F2"/>
    <w:rsid w:val="00741257"/>
    <w:rsid w:val="00741CF2"/>
    <w:rsid w:val="00741DDD"/>
    <w:rsid w:val="00741E16"/>
    <w:rsid w:val="0074257A"/>
    <w:rsid w:val="007438D5"/>
    <w:rsid w:val="007443A0"/>
    <w:rsid w:val="00744523"/>
    <w:rsid w:val="00745C9B"/>
    <w:rsid w:val="00746032"/>
    <w:rsid w:val="0074672A"/>
    <w:rsid w:val="00747434"/>
    <w:rsid w:val="0074788B"/>
    <w:rsid w:val="00747FFB"/>
    <w:rsid w:val="007500D3"/>
    <w:rsid w:val="007506F7"/>
    <w:rsid w:val="007511D3"/>
    <w:rsid w:val="0075123C"/>
    <w:rsid w:val="0075137C"/>
    <w:rsid w:val="0075159E"/>
    <w:rsid w:val="00752D68"/>
    <w:rsid w:val="00752F4C"/>
    <w:rsid w:val="00753536"/>
    <w:rsid w:val="0075418A"/>
    <w:rsid w:val="007544DC"/>
    <w:rsid w:val="0075478B"/>
    <w:rsid w:val="00754F14"/>
    <w:rsid w:val="00756133"/>
    <w:rsid w:val="00756C2E"/>
    <w:rsid w:val="007571AD"/>
    <w:rsid w:val="00757AE1"/>
    <w:rsid w:val="00760D4B"/>
    <w:rsid w:val="00760D87"/>
    <w:rsid w:val="00760D9D"/>
    <w:rsid w:val="00761238"/>
    <w:rsid w:val="0076260D"/>
    <w:rsid w:val="0076356C"/>
    <w:rsid w:val="00763855"/>
    <w:rsid w:val="00763B77"/>
    <w:rsid w:val="00763CA4"/>
    <w:rsid w:val="007653D5"/>
    <w:rsid w:val="007653DC"/>
    <w:rsid w:val="0076543C"/>
    <w:rsid w:val="00766444"/>
    <w:rsid w:val="00766D78"/>
    <w:rsid w:val="00766F7B"/>
    <w:rsid w:val="0076702C"/>
    <w:rsid w:val="00767F6C"/>
    <w:rsid w:val="00770273"/>
    <w:rsid w:val="007716CD"/>
    <w:rsid w:val="0077211A"/>
    <w:rsid w:val="0077224D"/>
    <w:rsid w:val="007723BD"/>
    <w:rsid w:val="00772586"/>
    <w:rsid w:val="00772829"/>
    <w:rsid w:val="00773B3C"/>
    <w:rsid w:val="00773E19"/>
    <w:rsid w:val="007749D3"/>
    <w:rsid w:val="00774E1C"/>
    <w:rsid w:val="00774F38"/>
    <w:rsid w:val="0077589D"/>
    <w:rsid w:val="00777848"/>
    <w:rsid w:val="00777893"/>
    <w:rsid w:val="00780AB3"/>
    <w:rsid w:val="00780CB6"/>
    <w:rsid w:val="00781127"/>
    <w:rsid w:val="00782AB1"/>
    <w:rsid w:val="007835EE"/>
    <w:rsid w:val="007838DA"/>
    <w:rsid w:val="00784341"/>
    <w:rsid w:val="007849CD"/>
    <w:rsid w:val="00784A63"/>
    <w:rsid w:val="007852E9"/>
    <w:rsid w:val="00785B2C"/>
    <w:rsid w:val="00786503"/>
    <w:rsid w:val="00787463"/>
    <w:rsid w:val="00787D99"/>
    <w:rsid w:val="00790885"/>
    <w:rsid w:val="007908DA"/>
    <w:rsid w:val="00790B15"/>
    <w:rsid w:val="00790E3D"/>
    <w:rsid w:val="00790EEB"/>
    <w:rsid w:val="00790F49"/>
    <w:rsid w:val="0079158C"/>
    <w:rsid w:val="007916E4"/>
    <w:rsid w:val="0079202F"/>
    <w:rsid w:val="007931CB"/>
    <w:rsid w:val="0079344D"/>
    <w:rsid w:val="00793BBF"/>
    <w:rsid w:val="00794C60"/>
    <w:rsid w:val="007951D4"/>
    <w:rsid w:val="007955F0"/>
    <w:rsid w:val="00795610"/>
    <w:rsid w:val="00795660"/>
    <w:rsid w:val="00796550"/>
    <w:rsid w:val="0079685F"/>
    <w:rsid w:val="007968DA"/>
    <w:rsid w:val="00796E45"/>
    <w:rsid w:val="00797B7E"/>
    <w:rsid w:val="00797BF7"/>
    <w:rsid w:val="00797C46"/>
    <w:rsid w:val="00797D28"/>
    <w:rsid w:val="007A14D0"/>
    <w:rsid w:val="007A19F6"/>
    <w:rsid w:val="007A1B42"/>
    <w:rsid w:val="007A1DB4"/>
    <w:rsid w:val="007A1FAA"/>
    <w:rsid w:val="007A2771"/>
    <w:rsid w:val="007A2B65"/>
    <w:rsid w:val="007A3429"/>
    <w:rsid w:val="007A3952"/>
    <w:rsid w:val="007A3CC3"/>
    <w:rsid w:val="007A4432"/>
    <w:rsid w:val="007A5017"/>
    <w:rsid w:val="007A5085"/>
    <w:rsid w:val="007A50F3"/>
    <w:rsid w:val="007A53CB"/>
    <w:rsid w:val="007A5592"/>
    <w:rsid w:val="007A560B"/>
    <w:rsid w:val="007A5617"/>
    <w:rsid w:val="007B0245"/>
    <w:rsid w:val="007B0706"/>
    <w:rsid w:val="007B083F"/>
    <w:rsid w:val="007B0880"/>
    <w:rsid w:val="007B09F6"/>
    <w:rsid w:val="007B0D01"/>
    <w:rsid w:val="007B0FB5"/>
    <w:rsid w:val="007B1348"/>
    <w:rsid w:val="007B1A7F"/>
    <w:rsid w:val="007B2012"/>
    <w:rsid w:val="007B2085"/>
    <w:rsid w:val="007B226A"/>
    <w:rsid w:val="007B248A"/>
    <w:rsid w:val="007B2716"/>
    <w:rsid w:val="007B2FDC"/>
    <w:rsid w:val="007B3500"/>
    <w:rsid w:val="007B3642"/>
    <w:rsid w:val="007B38A0"/>
    <w:rsid w:val="007B38B7"/>
    <w:rsid w:val="007B3F1B"/>
    <w:rsid w:val="007B4889"/>
    <w:rsid w:val="007B4F7B"/>
    <w:rsid w:val="007B583D"/>
    <w:rsid w:val="007B5B60"/>
    <w:rsid w:val="007B6684"/>
    <w:rsid w:val="007B66AC"/>
    <w:rsid w:val="007B6B21"/>
    <w:rsid w:val="007B6E83"/>
    <w:rsid w:val="007B6F65"/>
    <w:rsid w:val="007B7024"/>
    <w:rsid w:val="007B79F8"/>
    <w:rsid w:val="007B7A4E"/>
    <w:rsid w:val="007C0390"/>
    <w:rsid w:val="007C09CB"/>
    <w:rsid w:val="007C0BD0"/>
    <w:rsid w:val="007C14A2"/>
    <w:rsid w:val="007C15DA"/>
    <w:rsid w:val="007C2003"/>
    <w:rsid w:val="007C2B12"/>
    <w:rsid w:val="007C300E"/>
    <w:rsid w:val="007C3267"/>
    <w:rsid w:val="007C328D"/>
    <w:rsid w:val="007C336F"/>
    <w:rsid w:val="007C3E3E"/>
    <w:rsid w:val="007C41B1"/>
    <w:rsid w:val="007C6E78"/>
    <w:rsid w:val="007D1E56"/>
    <w:rsid w:val="007D20FD"/>
    <w:rsid w:val="007D2DD7"/>
    <w:rsid w:val="007D30B7"/>
    <w:rsid w:val="007D3270"/>
    <w:rsid w:val="007D36A4"/>
    <w:rsid w:val="007D3E90"/>
    <w:rsid w:val="007D3EEA"/>
    <w:rsid w:val="007D5950"/>
    <w:rsid w:val="007D5B58"/>
    <w:rsid w:val="007D5C20"/>
    <w:rsid w:val="007D5DB8"/>
    <w:rsid w:val="007D68B2"/>
    <w:rsid w:val="007D6CD9"/>
    <w:rsid w:val="007D6E67"/>
    <w:rsid w:val="007D72F8"/>
    <w:rsid w:val="007D756A"/>
    <w:rsid w:val="007D7BF9"/>
    <w:rsid w:val="007E04BF"/>
    <w:rsid w:val="007E0C98"/>
    <w:rsid w:val="007E15AD"/>
    <w:rsid w:val="007E1FDC"/>
    <w:rsid w:val="007E25ED"/>
    <w:rsid w:val="007E2BC0"/>
    <w:rsid w:val="007E2C4D"/>
    <w:rsid w:val="007E3377"/>
    <w:rsid w:val="007E4B7C"/>
    <w:rsid w:val="007E4FA5"/>
    <w:rsid w:val="007E5465"/>
    <w:rsid w:val="007E65E6"/>
    <w:rsid w:val="007E7096"/>
    <w:rsid w:val="007E73B0"/>
    <w:rsid w:val="007E789C"/>
    <w:rsid w:val="007E7B48"/>
    <w:rsid w:val="007F0929"/>
    <w:rsid w:val="007F0DDF"/>
    <w:rsid w:val="007F281F"/>
    <w:rsid w:val="007F360B"/>
    <w:rsid w:val="007F4D73"/>
    <w:rsid w:val="007F4FC5"/>
    <w:rsid w:val="007F57AC"/>
    <w:rsid w:val="007F5D54"/>
    <w:rsid w:val="007F67E9"/>
    <w:rsid w:val="007F67FB"/>
    <w:rsid w:val="007F7451"/>
    <w:rsid w:val="007F78A0"/>
    <w:rsid w:val="007F78C9"/>
    <w:rsid w:val="007F7C7B"/>
    <w:rsid w:val="007F7D7F"/>
    <w:rsid w:val="008003DB"/>
    <w:rsid w:val="00800FE7"/>
    <w:rsid w:val="0080198D"/>
    <w:rsid w:val="00801B1A"/>
    <w:rsid w:val="00803E00"/>
    <w:rsid w:val="008040A2"/>
    <w:rsid w:val="00804632"/>
    <w:rsid w:val="008054D9"/>
    <w:rsid w:val="008055A6"/>
    <w:rsid w:val="00805632"/>
    <w:rsid w:val="0080590B"/>
    <w:rsid w:val="0080661D"/>
    <w:rsid w:val="00806688"/>
    <w:rsid w:val="00806791"/>
    <w:rsid w:val="00806879"/>
    <w:rsid w:val="00807071"/>
    <w:rsid w:val="008076B7"/>
    <w:rsid w:val="00807A3E"/>
    <w:rsid w:val="00807DCC"/>
    <w:rsid w:val="008101B5"/>
    <w:rsid w:val="00810338"/>
    <w:rsid w:val="00810520"/>
    <w:rsid w:val="00810E10"/>
    <w:rsid w:val="0081135D"/>
    <w:rsid w:val="00811DD8"/>
    <w:rsid w:val="00812101"/>
    <w:rsid w:val="00812282"/>
    <w:rsid w:val="008123FF"/>
    <w:rsid w:val="00814389"/>
    <w:rsid w:val="0081451F"/>
    <w:rsid w:val="008148E4"/>
    <w:rsid w:val="008157F1"/>
    <w:rsid w:val="00816962"/>
    <w:rsid w:val="00816B28"/>
    <w:rsid w:val="00816EC2"/>
    <w:rsid w:val="00817ABD"/>
    <w:rsid w:val="008208B2"/>
    <w:rsid w:val="00821018"/>
    <w:rsid w:val="0082121D"/>
    <w:rsid w:val="00822668"/>
    <w:rsid w:val="008236E1"/>
    <w:rsid w:val="0082416B"/>
    <w:rsid w:val="00824458"/>
    <w:rsid w:val="008249F7"/>
    <w:rsid w:val="00824A4A"/>
    <w:rsid w:val="00824B74"/>
    <w:rsid w:val="00825193"/>
    <w:rsid w:val="0082532D"/>
    <w:rsid w:val="00825D3E"/>
    <w:rsid w:val="00826574"/>
    <w:rsid w:val="00826607"/>
    <w:rsid w:val="008268C8"/>
    <w:rsid w:val="00826EBC"/>
    <w:rsid w:val="00827027"/>
    <w:rsid w:val="008279F0"/>
    <w:rsid w:val="00827ED8"/>
    <w:rsid w:val="00827FF9"/>
    <w:rsid w:val="00830803"/>
    <w:rsid w:val="0083227E"/>
    <w:rsid w:val="008331EB"/>
    <w:rsid w:val="0083449D"/>
    <w:rsid w:val="00835307"/>
    <w:rsid w:val="00835C4A"/>
    <w:rsid w:val="00835EC9"/>
    <w:rsid w:val="008372C6"/>
    <w:rsid w:val="00837346"/>
    <w:rsid w:val="00837E3C"/>
    <w:rsid w:val="00837FFD"/>
    <w:rsid w:val="00840135"/>
    <w:rsid w:val="00840CE5"/>
    <w:rsid w:val="00840D2B"/>
    <w:rsid w:val="00840F2A"/>
    <w:rsid w:val="00840FFF"/>
    <w:rsid w:val="00841388"/>
    <w:rsid w:val="00841582"/>
    <w:rsid w:val="00841EFB"/>
    <w:rsid w:val="00841F44"/>
    <w:rsid w:val="00842C0F"/>
    <w:rsid w:val="00842C82"/>
    <w:rsid w:val="00842F46"/>
    <w:rsid w:val="008436D7"/>
    <w:rsid w:val="008440FE"/>
    <w:rsid w:val="00844314"/>
    <w:rsid w:val="00844FEB"/>
    <w:rsid w:val="0084581E"/>
    <w:rsid w:val="00845896"/>
    <w:rsid w:val="00845C62"/>
    <w:rsid w:val="00846119"/>
    <w:rsid w:val="00846B3F"/>
    <w:rsid w:val="00846B6F"/>
    <w:rsid w:val="00847370"/>
    <w:rsid w:val="008474D1"/>
    <w:rsid w:val="008474D8"/>
    <w:rsid w:val="008474E1"/>
    <w:rsid w:val="008474E3"/>
    <w:rsid w:val="0084789D"/>
    <w:rsid w:val="008503EF"/>
    <w:rsid w:val="008504E3"/>
    <w:rsid w:val="00850D07"/>
    <w:rsid w:val="00850E09"/>
    <w:rsid w:val="00850E2C"/>
    <w:rsid w:val="008516C9"/>
    <w:rsid w:val="00851A93"/>
    <w:rsid w:val="00851DC7"/>
    <w:rsid w:val="008527ED"/>
    <w:rsid w:val="008537F7"/>
    <w:rsid w:val="008538B3"/>
    <w:rsid w:val="00853EE6"/>
    <w:rsid w:val="0085441F"/>
    <w:rsid w:val="008546BE"/>
    <w:rsid w:val="00854999"/>
    <w:rsid w:val="00854FB2"/>
    <w:rsid w:val="0085581F"/>
    <w:rsid w:val="00856074"/>
    <w:rsid w:val="008576BA"/>
    <w:rsid w:val="0085793B"/>
    <w:rsid w:val="00857949"/>
    <w:rsid w:val="0085798B"/>
    <w:rsid w:val="00860A37"/>
    <w:rsid w:val="00860F91"/>
    <w:rsid w:val="00861198"/>
    <w:rsid w:val="0086134A"/>
    <w:rsid w:val="00861A56"/>
    <w:rsid w:val="00861E06"/>
    <w:rsid w:val="00862084"/>
    <w:rsid w:val="00862EC9"/>
    <w:rsid w:val="00863F5D"/>
    <w:rsid w:val="00864727"/>
    <w:rsid w:val="00864EE8"/>
    <w:rsid w:val="00865BBB"/>
    <w:rsid w:val="00866AA0"/>
    <w:rsid w:val="008672C6"/>
    <w:rsid w:val="00867903"/>
    <w:rsid w:val="008704C8"/>
    <w:rsid w:val="008719C2"/>
    <w:rsid w:val="008719EC"/>
    <w:rsid w:val="0087277A"/>
    <w:rsid w:val="00872A47"/>
    <w:rsid w:val="00872E85"/>
    <w:rsid w:val="00873168"/>
    <w:rsid w:val="008736E2"/>
    <w:rsid w:val="00874565"/>
    <w:rsid w:val="008759BA"/>
    <w:rsid w:val="00875F7B"/>
    <w:rsid w:val="00875FEE"/>
    <w:rsid w:val="00876208"/>
    <w:rsid w:val="00877247"/>
    <w:rsid w:val="008777C8"/>
    <w:rsid w:val="008801AE"/>
    <w:rsid w:val="00880660"/>
    <w:rsid w:val="00880AA3"/>
    <w:rsid w:val="00880E09"/>
    <w:rsid w:val="0088160A"/>
    <w:rsid w:val="0088170B"/>
    <w:rsid w:val="00881CBE"/>
    <w:rsid w:val="00881E40"/>
    <w:rsid w:val="00881F54"/>
    <w:rsid w:val="0088214D"/>
    <w:rsid w:val="00882FA8"/>
    <w:rsid w:val="00883A13"/>
    <w:rsid w:val="00883C01"/>
    <w:rsid w:val="0088421C"/>
    <w:rsid w:val="0088445B"/>
    <w:rsid w:val="0088468F"/>
    <w:rsid w:val="00884897"/>
    <w:rsid w:val="00884FEA"/>
    <w:rsid w:val="00885391"/>
    <w:rsid w:val="00885C7E"/>
    <w:rsid w:val="00886919"/>
    <w:rsid w:val="00886AE1"/>
    <w:rsid w:val="00886B63"/>
    <w:rsid w:val="0088784B"/>
    <w:rsid w:val="00887BBB"/>
    <w:rsid w:val="00887F45"/>
    <w:rsid w:val="0089099E"/>
    <w:rsid w:val="00890E4E"/>
    <w:rsid w:val="00890F53"/>
    <w:rsid w:val="00891A45"/>
    <w:rsid w:val="00891AF6"/>
    <w:rsid w:val="00891BC3"/>
    <w:rsid w:val="00891BF4"/>
    <w:rsid w:val="00891D89"/>
    <w:rsid w:val="00891EE5"/>
    <w:rsid w:val="008931E1"/>
    <w:rsid w:val="008931E3"/>
    <w:rsid w:val="00893397"/>
    <w:rsid w:val="008937C8"/>
    <w:rsid w:val="00893AD4"/>
    <w:rsid w:val="008950C3"/>
    <w:rsid w:val="008955DF"/>
    <w:rsid w:val="008967C4"/>
    <w:rsid w:val="00896812"/>
    <w:rsid w:val="00896E8B"/>
    <w:rsid w:val="00897177"/>
    <w:rsid w:val="008A03A9"/>
    <w:rsid w:val="008A0694"/>
    <w:rsid w:val="008A0D2A"/>
    <w:rsid w:val="008A115C"/>
    <w:rsid w:val="008A1693"/>
    <w:rsid w:val="008A1CCE"/>
    <w:rsid w:val="008A2481"/>
    <w:rsid w:val="008A254F"/>
    <w:rsid w:val="008A2630"/>
    <w:rsid w:val="008A27FF"/>
    <w:rsid w:val="008A285F"/>
    <w:rsid w:val="008A3DB4"/>
    <w:rsid w:val="008A3DE1"/>
    <w:rsid w:val="008A4BAF"/>
    <w:rsid w:val="008A509D"/>
    <w:rsid w:val="008A5811"/>
    <w:rsid w:val="008A5833"/>
    <w:rsid w:val="008A5EFA"/>
    <w:rsid w:val="008A627E"/>
    <w:rsid w:val="008A63C8"/>
    <w:rsid w:val="008A68A9"/>
    <w:rsid w:val="008A7AD5"/>
    <w:rsid w:val="008B066F"/>
    <w:rsid w:val="008B0842"/>
    <w:rsid w:val="008B1038"/>
    <w:rsid w:val="008B1F54"/>
    <w:rsid w:val="008B2887"/>
    <w:rsid w:val="008B2B19"/>
    <w:rsid w:val="008B3806"/>
    <w:rsid w:val="008B3A88"/>
    <w:rsid w:val="008B3D9A"/>
    <w:rsid w:val="008B3DEE"/>
    <w:rsid w:val="008B41F4"/>
    <w:rsid w:val="008B434B"/>
    <w:rsid w:val="008B4BFC"/>
    <w:rsid w:val="008B51B4"/>
    <w:rsid w:val="008B5B67"/>
    <w:rsid w:val="008B5D7A"/>
    <w:rsid w:val="008B625D"/>
    <w:rsid w:val="008B632A"/>
    <w:rsid w:val="008B663A"/>
    <w:rsid w:val="008B66E3"/>
    <w:rsid w:val="008B6DC0"/>
    <w:rsid w:val="008B6E84"/>
    <w:rsid w:val="008B7848"/>
    <w:rsid w:val="008B7F92"/>
    <w:rsid w:val="008C02C8"/>
    <w:rsid w:val="008C052B"/>
    <w:rsid w:val="008C0636"/>
    <w:rsid w:val="008C09D4"/>
    <w:rsid w:val="008C0B12"/>
    <w:rsid w:val="008C0EC9"/>
    <w:rsid w:val="008C0ECF"/>
    <w:rsid w:val="008C116D"/>
    <w:rsid w:val="008C1E05"/>
    <w:rsid w:val="008C1FB1"/>
    <w:rsid w:val="008C2D84"/>
    <w:rsid w:val="008C34BB"/>
    <w:rsid w:val="008C40F4"/>
    <w:rsid w:val="008C45E2"/>
    <w:rsid w:val="008C4642"/>
    <w:rsid w:val="008C4ADD"/>
    <w:rsid w:val="008C4F66"/>
    <w:rsid w:val="008C56BD"/>
    <w:rsid w:val="008C6304"/>
    <w:rsid w:val="008C67DC"/>
    <w:rsid w:val="008C7B3E"/>
    <w:rsid w:val="008C7C3A"/>
    <w:rsid w:val="008C7CAF"/>
    <w:rsid w:val="008D017E"/>
    <w:rsid w:val="008D02B9"/>
    <w:rsid w:val="008D07C8"/>
    <w:rsid w:val="008D0B51"/>
    <w:rsid w:val="008D0F3D"/>
    <w:rsid w:val="008D13E7"/>
    <w:rsid w:val="008D1E86"/>
    <w:rsid w:val="008D2125"/>
    <w:rsid w:val="008D2137"/>
    <w:rsid w:val="008D28C5"/>
    <w:rsid w:val="008D3726"/>
    <w:rsid w:val="008D45DC"/>
    <w:rsid w:val="008D4758"/>
    <w:rsid w:val="008D4862"/>
    <w:rsid w:val="008D4B9C"/>
    <w:rsid w:val="008D4CB0"/>
    <w:rsid w:val="008D5580"/>
    <w:rsid w:val="008D6397"/>
    <w:rsid w:val="008D6664"/>
    <w:rsid w:val="008D691B"/>
    <w:rsid w:val="008D6E46"/>
    <w:rsid w:val="008D73C9"/>
    <w:rsid w:val="008D7766"/>
    <w:rsid w:val="008D7BED"/>
    <w:rsid w:val="008E0428"/>
    <w:rsid w:val="008E12DB"/>
    <w:rsid w:val="008E16BF"/>
    <w:rsid w:val="008E181B"/>
    <w:rsid w:val="008E1E06"/>
    <w:rsid w:val="008E2047"/>
    <w:rsid w:val="008E2DAB"/>
    <w:rsid w:val="008E3049"/>
    <w:rsid w:val="008E35A3"/>
    <w:rsid w:val="008E4EFE"/>
    <w:rsid w:val="008E578C"/>
    <w:rsid w:val="008E597D"/>
    <w:rsid w:val="008E5A0E"/>
    <w:rsid w:val="008E5A59"/>
    <w:rsid w:val="008E627E"/>
    <w:rsid w:val="008E657E"/>
    <w:rsid w:val="008E6AA1"/>
    <w:rsid w:val="008E7274"/>
    <w:rsid w:val="008E74B7"/>
    <w:rsid w:val="008E78E4"/>
    <w:rsid w:val="008E7C1C"/>
    <w:rsid w:val="008F0562"/>
    <w:rsid w:val="008F079F"/>
    <w:rsid w:val="008F0A2B"/>
    <w:rsid w:val="008F260B"/>
    <w:rsid w:val="008F389A"/>
    <w:rsid w:val="008F39F2"/>
    <w:rsid w:val="008F4561"/>
    <w:rsid w:val="008F589A"/>
    <w:rsid w:val="008F5CF0"/>
    <w:rsid w:val="008F6594"/>
    <w:rsid w:val="008F68CA"/>
    <w:rsid w:val="008F6B00"/>
    <w:rsid w:val="008F6CCF"/>
    <w:rsid w:val="008F72E1"/>
    <w:rsid w:val="008F765E"/>
    <w:rsid w:val="00900188"/>
    <w:rsid w:val="009002CD"/>
    <w:rsid w:val="00900EE5"/>
    <w:rsid w:val="00900F0F"/>
    <w:rsid w:val="00901372"/>
    <w:rsid w:val="009014B6"/>
    <w:rsid w:val="009014D3"/>
    <w:rsid w:val="00902BFD"/>
    <w:rsid w:val="00902CB3"/>
    <w:rsid w:val="00902D46"/>
    <w:rsid w:val="00903CEA"/>
    <w:rsid w:val="0090415B"/>
    <w:rsid w:val="009041A0"/>
    <w:rsid w:val="009058C7"/>
    <w:rsid w:val="00906821"/>
    <w:rsid w:val="00906E65"/>
    <w:rsid w:val="00907264"/>
    <w:rsid w:val="009072EA"/>
    <w:rsid w:val="00907A10"/>
    <w:rsid w:val="00907B0D"/>
    <w:rsid w:val="00907EF6"/>
    <w:rsid w:val="00911149"/>
    <w:rsid w:val="009131E7"/>
    <w:rsid w:val="00913CF8"/>
    <w:rsid w:val="00913D30"/>
    <w:rsid w:val="009144D5"/>
    <w:rsid w:val="00914653"/>
    <w:rsid w:val="00915F98"/>
    <w:rsid w:val="00915FA3"/>
    <w:rsid w:val="009163C6"/>
    <w:rsid w:val="009170E3"/>
    <w:rsid w:val="00917AE2"/>
    <w:rsid w:val="00921060"/>
    <w:rsid w:val="009210FE"/>
    <w:rsid w:val="0092117B"/>
    <w:rsid w:val="009217F8"/>
    <w:rsid w:val="00921E7B"/>
    <w:rsid w:val="00923459"/>
    <w:rsid w:val="0092470E"/>
    <w:rsid w:val="00925187"/>
    <w:rsid w:val="009252DB"/>
    <w:rsid w:val="00926E62"/>
    <w:rsid w:val="00926E9C"/>
    <w:rsid w:val="0092709C"/>
    <w:rsid w:val="0092717F"/>
    <w:rsid w:val="009275E8"/>
    <w:rsid w:val="009276BF"/>
    <w:rsid w:val="00927744"/>
    <w:rsid w:val="00927B05"/>
    <w:rsid w:val="009309B4"/>
    <w:rsid w:val="009309E3"/>
    <w:rsid w:val="00930F4E"/>
    <w:rsid w:val="00932C13"/>
    <w:rsid w:val="009333CC"/>
    <w:rsid w:val="00933423"/>
    <w:rsid w:val="00933D67"/>
    <w:rsid w:val="00933F15"/>
    <w:rsid w:val="00934657"/>
    <w:rsid w:val="00934BD4"/>
    <w:rsid w:val="00935053"/>
    <w:rsid w:val="0093570B"/>
    <w:rsid w:val="00935BC2"/>
    <w:rsid w:val="00936062"/>
    <w:rsid w:val="00937CBE"/>
    <w:rsid w:val="009404AC"/>
    <w:rsid w:val="00941645"/>
    <w:rsid w:val="00941A11"/>
    <w:rsid w:val="00942EE4"/>
    <w:rsid w:val="00942EF0"/>
    <w:rsid w:val="00943D00"/>
    <w:rsid w:val="00944087"/>
    <w:rsid w:val="009447E7"/>
    <w:rsid w:val="00944E74"/>
    <w:rsid w:val="00945544"/>
    <w:rsid w:val="009459F4"/>
    <w:rsid w:val="00945C82"/>
    <w:rsid w:val="00945D2C"/>
    <w:rsid w:val="0094688C"/>
    <w:rsid w:val="00946C24"/>
    <w:rsid w:val="009473C5"/>
    <w:rsid w:val="00947614"/>
    <w:rsid w:val="00947F73"/>
    <w:rsid w:val="0095012E"/>
    <w:rsid w:val="00950821"/>
    <w:rsid w:val="00950C0E"/>
    <w:rsid w:val="00950C83"/>
    <w:rsid w:val="00951934"/>
    <w:rsid w:val="00951DBD"/>
    <w:rsid w:val="0095207B"/>
    <w:rsid w:val="009526CE"/>
    <w:rsid w:val="009531B5"/>
    <w:rsid w:val="0095333C"/>
    <w:rsid w:val="00954C8C"/>
    <w:rsid w:val="00955E66"/>
    <w:rsid w:val="00955F04"/>
    <w:rsid w:val="009563D7"/>
    <w:rsid w:val="0095670C"/>
    <w:rsid w:val="00956ACE"/>
    <w:rsid w:val="009572A0"/>
    <w:rsid w:val="00957ADC"/>
    <w:rsid w:val="00957D24"/>
    <w:rsid w:val="00960349"/>
    <w:rsid w:val="0096074B"/>
    <w:rsid w:val="009607EF"/>
    <w:rsid w:val="00960DCF"/>
    <w:rsid w:val="00960EE0"/>
    <w:rsid w:val="009615F9"/>
    <w:rsid w:val="00961B53"/>
    <w:rsid w:val="00962684"/>
    <w:rsid w:val="0096322C"/>
    <w:rsid w:val="00963264"/>
    <w:rsid w:val="009636AE"/>
    <w:rsid w:val="0096389D"/>
    <w:rsid w:val="00963FF7"/>
    <w:rsid w:val="0096514F"/>
    <w:rsid w:val="00966422"/>
    <w:rsid w:val="0096693C"/>
    <w:rsid w:val="0096732F"/>
    <w:rsid w:val="009675AE"/>
    <w:rsid w:val="009676C0"/>
    <w:rsid w:val="009679CA"/>
    <w:rsid w:val="0097182A"/>
    <w:rsid w:val="00971CF1"/>
    <w:rsid w:val="00972294"/>
    <w:rsid w:val="00972438"/>
    <w:rsid w:val="00972F21"/>
    <w:rsid w:val="00973FE3"/>
    <w:rsid w:val="00974422"/>
    <w:rsid w:val="00974AFB"/>
    <w:rsid w:val="00975699"/>
    <w:rsid w:val="0097569C"/>
    <w:rsid w:val="00976021"/>
    <w:rsid w:val="009763C8"/>
    <w:rsid w:val="00976EC6"/>
    <w:rsid w:val="009775F2"/>
    <w:rsid w:val="0097781E"/>
    <w:rsid w:val="0097797A"/>
    <w:rsid w:val="009803A9"/>
    <w:rsid w:val="009803CB"/>
    <w:rsid w:val="009803D4"/>
    <w:rsid w:val="009807A2"/>
    <w:rsid w:val="009816CF"/>
    <w:rsid w:val="0098199C"/>
    <w:rsid w:val="00981C78"/>
    <w:rsid w:val="00982568"/>
    <w:rsid w:val="00982BD3"/>
    <w:rsid w:val="00982BEB"/>
    <w:rsid w:val="00982CD4"/>
    <w:rsid w:val="0098351B"/>
    <w:rsid w:val="009839D7"/>
    <w:rsid w:val="0098457E"/>
    <w:rsid w:val="00985680"/>
    <w:rsid w:val="00985EF2"/>
    <w:rsid w:val="00986948"/>
    <w:rsid w:val="00986D85"/>
    <w:rsid w:val="009870A0"/>
    <w:rsid w:val="009873F3"/>
    <w:rsid w:val="00987568"/>
    <w:rsid w:val="00991005"/>
    <w:rsid w:val="00991231"/>
    <w:rsid w:val="00991DF0"/>
    <w:rsid w:val="00991ECC"/>
    <w:rsid w:val="009925ED"/>
    <w:rsid w:val="009928EB"/>
    <w:rsid w:val="00992D9F"/>
    <w:rsid w:val="00992FC1"/>
    <w:rsid w:val="009933E2"/>
    <w:rsid w:val="009934C6"/>
    <w:rsid w:val="00994BD6"/>
    <w:rsid w:val="00995576"/>
    <w:rsid w:val="0099574F"/>
    <w:rsid w:val="0099580A"/>
    <w:rsid w:val="00995A2D"/>
    <w:rsid w:val="00995B7F"/>
    <w:rsid w:val="00995CAF"/>
    <w:rsid w:val="00995D19"/>
    <w:rsid w:val="00995E98"/>
    <w:rsid w:val="009964F6"/>
    <w:rsid w:val="009966A3"/>
    <w:rsid w:val="0099697D"/>
    <w:rsid w:val="00996F15"/>
    <w:rsid w:val="00997778"/>
    <w:rsid w:val="00997BA8"/>
    <w:rsid w:val="009A0519"/>
    <w:rsid w:val="009A065D"/>
    <w:rsid w:val="009A06F4"/>
    <w:rsid w:val="009A1819"/>
    <w:rsid w:val="009A1AE8"/>
    <w:rsid w:val="009A28E0"/>
    <w:rsid w:val="009A2BC6"/>
    <w:rsid w:val="009A2D6A"/>
    <w:rsid w:val="009A3778"/>
    <w:rsid w:val="009A3B16"/>
    <w:rsid w:val="009A3BB3"/>
    <w:rsid w:val="009A3E2A"/>
    <w:rsid w:val="009A3E2E"/>
    <w:rsid w:val="009A4B08"/>
    <w:rsid w:val="009A51AD"/>
    <w:rsid w:val="009A5A98"/>
    <w:rsid w:val="009A785B"/>
    <w:rsid w:val="009A7DF5"/>
    <w:rsid w:val="009A7F34"/>
    <w:rsid w:val="009B01C8"/>
    <w:rsid w:val="009B12A8"/>
    <w:rsid w:val="009B2245"/>
    <w:rsid w:val="009B258E"/>
    <w:rsid w:val="009B2808"/>
    <w:rsid w:val="009B31B7"/>
    <w:rsid w:val="009B5639"/>
    <w:rsid w:val="009B5997"/>
    <w:rsid w:val="009B6575"/>
    <w:rsid w:val="009B6B23"/>
    <w:rsid w:val="009B6B33"/>
    <w:rsid w:val="009B7676"/>
    <w:rsid w:val="009B7ABD"/>
    <w:rsid w:val="009B7DD6"/>
    <w:rsid w:val="009C0077"/>
    <w:rsid w:val="009C0BB2"/>
    <w:rsid w:val="009C1AF0"/>
    <w:rsid w:val="009C1D27"/>
    <w:rsid w:val="009C29AD"/>
    <w:rsid w:val="009C2CCD"/>
    <w:rsid w:val="009C38CF"/>
    <w:rsid w:val="009C3BD9"/>
    <w:rsid w:val="009C4234"/>
    <w:rsid w:val="009C521E"/>
    <w:rsid w:val="009C5B82"/>
    <w:rsid w:val="009C756E"/>
    <w:rsid w:val="009D016D"/>
    <w:rsid w:val="009D05EC"/>
    <w:rsid w:val="009D08B5"/>
    <w:rsid w:val="009D21BE"/>
    <w:rsid w:val="009D2861"/>
    <w:rsid w:val="009D38C8"/>
    <w:rsid w:val="009D3C3D"/>
    <w:rsid w:val="009D4EEA"/>
    <w:rsid w:val="009D5288"/>
    <w:rsid w:val="009D5430"/>
    <w:rsid w:val="009D63B0"/>
    <w:rsid w:val="009D6430"/>
    <w:rsid w:val="009D6FD6"/>
    <w:rsid w:val="009D7501"/>
    <w:rsid w:val="009D76BE"/>
    <w:rsid w:val="009E083E"/>
    <w:rsid w:val="009E08C4"/>
    <w:rsid w:val="009E1151"/>
    <w:rsid w:val="009E2125"/>
    <w:rsid w:val="009E2AD3"/>
    <w:rsid w:val="009E2CFF"/>
    <w:rsid w:val="009E3092"/>
    <w:rsid w:val="009E401E"/>
    <w:rsid w:val="009E4475"/>
    <w:rsid w:val="009E47E5"/>
    <w:rsid w:val="009E5422"/>
    <w:rsid w:val="009E5755"/>
    <w:rsid w:val="009E7478"/>
    <w:rsid w:val="009E74A2"/>
    <w:rsid w:val="009E7F02"/>
    <w:rsid w:val="009F0B09"/>
    <w:rsid w:val="009F146F"/>
    <w:rsid w:val="009F26F2"/>
    <w:rsid w:val="009F297B"/>
    <w:rsid w:val="009F2C8B"/>
    <w:rsid w:val="009F3613"/>
    <w:rsid w:val="009F377D"/>
    <w:rsid w:val="009F37BE"/>
    <w:rsid w:val="009F3AD8"/>
    <w:rsid w:val="009F3C75"/>
    <w:rsid w:val="009F49F5"/>
    <w:rsid w:val="009F58BD"/>
    <w:rsid w:val="009F5E17"/>
    <w:rsid w:val="009F6809"/>
    <w:rsid w:val="009F6D46"/>
    <w:rsid w:val="009F71AE"/>
    <w:rsid w:val="009F780A"/>
    <w:rsid w:val="00A0037E"/>
    <w:rsid w:val="00A01303"/>
    <w:rsid w:val="00A015A8"/>
    <w:rsid w:val="00A01754"/>
    <w:rsid w:val="00A01B9D"/>
    <w:rsid w:val="00A02C4F"/>
    <w:rsid w:val="00A03183"/>
    <w:rsid w:val="00A031C3"/>
    <w:rsid w:val="00A03704"/>
    <w:rsid w:val="00A03ACE"/>
    <w:rsid w:val="00A03DBD"/>
    <w:rsid w:val="00A03EB2"/>
    <w:rsid w:val="00A044A0"/>
    <w:rsid w:val="00A04A09"/>
    <w:rsid w:val="00A04B3A"/>
    <w:rsid w:val="00A04F17"/>
    <w:rsid w:val="00A057F8"/>
    <w:rsid w:val="00A05821"/>
    <w:rsid w:val="00A05D1D"/>
    <w:rsid w:val="00A05E50"/>
    <w:rsid w:val="00A05EA2"/>
    <w:rsid w:val="00A0638C"/>
    <w:rsid w:val="00A070E4"/>
    <w:rsid w:val="00A076CC"/>
    <w:rsid w:val="00A07B4C"/>
    <w:rsid w:val="00A104F4"/>
    <w:rsid w:val="00A10B81"/>
    <w:rsid w:val="00A1165C"/>
    <w:rsid w:val="00A125D6"/>
    <w:rsid w:val="00A12630"/>
    <w:rsid w:val="00A12D15"/>
    <w:rsid w:val="00A1350B"/>
    <w:rsid w:val="00A13C04"/>
    <w:rsid w:val="00A13FA0"/>
    <w:rsid w:val="00A143CB"/>
    <w:rsid w:val="00A14E53"/>
    <w:rsid w:val="00A15004"/>
    <w:rsid w:val="00A15580"/>
    <w:rsid w:val="00A158C9"/>
    <w:rsid w:val="00A15E62"/>
    <w:rsid w:val="00A16449"/>
    <w:rsid w:val="00A1658C"/>
    <w:rsid w:val="00A17019"/>
    <w:rsid w:val="00A1780E"/>
    <w:rsid w:val="00A21745"/>
    <w:rsid w:val="00A21909"/>
    <w:rsid w:val="00A21A6E"/>
    <w:rsid w:val="00A21BD9"/>
    <w:rsid w:val="00A22111"/>
    <w:rsid w:val="00A22984"/>
    <w:rsid w:val="00A22EFC"/>
    <w:rsid w:val="00A24221"/>
    <w:rsid w:val="00A245B5"/>
    <w:rsid w:val="00A24AB4"/>
    <w:rsid w:val="00A2586E"/>
    <w:rsid w:val="00A25E21"/>
    <w:rsid w:val="00A25E80"/>
    <w:rsid w:val="00A25F14"/>
    <w:rsid w:val="00A26249"/>
    <w:rsid w:val="00A26389"/>
    <w:rsid w:val="00A26448"/>
    <w:rsid w:val="00A26598"/>
    <w:rsid w:val="00A265B0"/>
    <w:rsid w:val="00A269F6"/>
    <w:rsid w:val="00A26EE8"/>
    <w:rsid w:val="00A26FA5"/>
    <w:rsid w:val="00A27579"/>
    <w:rsid w:val="00A27919"/>
    <w:rsid w:val="00A303B8"/>
    <w:rsid w:val="00A30ED5"/>
    <w:rsid w:val="00A3191F"/>
    <w:rsid w:val="00A31C49"/>
    <w:rsid w:val="00A31D83"/>
    <w:rsid w:val="00A3217E"/>
    <w:rsid w:val="00A32191"/>
    <w:rsid w:val="00A322D7"/>
    <w:rsid w:val="00A325FC"/>
    <w:rsid w:val="00A32A39"/>
    <w:rsid w:val="00A33A4B"/>
    <w:rsid w:val="00A33C43"/>
    <w:rsid w:val="00A34078"/>
    <w:rsid w:val="00A34572"/>
    <w:rsid w:val="00A34715"/>
    <w:rsid w:val="00A34735"/>
    <w:rsid w:val="00A34F54"/>
    <w:rsid w:val="00A35949"/>
    <w:rsid w:val="00A36051"/>
    <w:rsid w:val="00A361C3"/>
    <w:rsid w:val="00A3629E"/>
    <w:rsid w:val="00A36317"/>
    <w:rsid w:val="00A3745C"/>
    <w:rsid w:val="00A411FA"/>
    <w:rsid w:val="00A42755"/>
    <w:rsid w:val="00A42E3E"/>
    <w:rsid w:val="00A42E62"/>
    <w:rsid w:val="00A43C4D"/>
    <w:rsid w:val="00A44859"/>
    <w:rsid w:val="00A44EC1"/>
    <w:rsid w:val="00A454B3"/>
    <w:rsid w:val="00A45E52"/>
    <w:rsid w:val="00A45F27"/>
    <w:rsid w:val="00A4637B"/>
    <w:rsid w:val="00A46652"/>
    <w:rsid w:val="00A46D15"/>
    <w:rsid w:val="00A4713D"/>
    <w:rsid w:val="00A47243"/>
    <w:rsid w:val="00A477E0"/>
    <w:rsid w:val="00A5249B"/>
    <w:rsid w:val="00A5265E"/>
    <w:rsid w:val="00A526AE"/>
    <w:rsid w:val="00A5323B"/>
    <w:rsid w:val="00A53629"/>
    <w:rsid w:val="00A5381D"/>
    <w:rsid w:val="00A53D57"/>
    <w:rsid w:val="00A54B1D"/>
    <w:rsid w:val="00A54FB4"/>
    <w:rsid w:val="00A55595"/>
    <w:rsid w:val="00A569F0"/>
    <w:rsid w:val="00A56DE0"/>
    <w:rsid w:val="00A56F0B"/>
    <w:rsid w:val="00A56FAB"/>
    <w:rsid w:val="00A570A1"/>
    <w:rsid w:val="00A576F5"/>
    <w:rsid w:val="00A6006B"/>
    <w:rsid w:val="00A61E60"/>
    <w:rsid w:val="00A62BEB"/>
    <w:rsid w:val="00A6373C"/>
    <w:rsid w:val="00A63979"/>
    <w:rsid w:val="00A63C18"/>
    <w:rsid w:val="00A641A0"/>
    <w:rsid w:val="00A6430A"/>
    <w:rsid w:val="00A64B2D"/>
    <w:rsid w:val="00A64D51"/>
    <w:rsid w:val="00A662DC"/>
    <w:rsid w:val="00A6646C"/>
    <w:rsid w:val="00A66923"/>
    <w:rsid w:val="00A66BE5"/>
    <w:rsid w:val="00A66CE4"/>
    <w:rsid w:val="00A66E8F"/>
    <w:rsid w:val="00A6741B"/>
    <w:rsid w:val="00A6758F"/>
    <w:rsid w:val="00A702E8"/>
    <w:rsid w:val="00A7093A"/>
    <w:rsid w:val="00A70FD4"/>
    <w:rsid w:val="00A71135"/>
    <w:rsid w:val="00A7171A"/>
    <w:rsid w:val="00A71A13"/>
    <w:rsid w:val="00A73BBE"/>
    <w:rsid w:val="00A74226"/>
    <w:rsid w:val="00A742CE"/>
    <w:rsid w:val="00A750A6"/>
    <w:rsid w:val="00A75428"/>
    <w:rsid w:val="00A757B0"/>
    <w:rsid w:val="00A758CB"/>
    <w:rsid w:val="00A770F3"/>
    <w:rsid w:val="00A776A4"/>
    <w:rsid w:val="00A80111"/>
    <w:rsid w:val="00A8049D"/>
    <w:rsid w:val="00A8169C"/>
    <w:rsid w:val="00A8185B"/>
    <w:rsid w:val="00A81A57"/>
    <w:rsid w:val="00A822C2"/>
    <w:rsid w:val="00A82990"/>
    <w:rsid w:val="00A82BF4"/>
    <w:rsid w:val="00A83CA9"/>
    <w:rsid w:val="00A85560"/>
    <w:rsid w:val="00A8557E"/>
    <w:rsid w:val="00A857D5"/>
    <w:rsid w:val="00A85BEE"/>
    <w:rsid w:val="00A85DE2"/>
    <w:rsid w:val="00A869BC"/>
    <w:rsid w:val="00A86A77"/>
    <w:rsid w:val="00A87672"/>
    <w:rsid w:val="00A877BF"/>
    <w:rsid w:val="00A87C0A"/>
    <w:rsid w:val="00A90327"/>
    <w:rsid w:val="00A90401"/>
    <w:rsid w:val="00A9071B"/>
    <w:rsid w:val="00A908C4"/>
    <w:rsid w:val="00A90900"/>
    <w:rsid w:val="00A90ACB"/>
    <w:rsid w:val="00A921E3"/>
    <w:rsid w:val="00A92BEA"/>
    <w:rsid w:val="00A9344D"/>
    <w:rsid w:val="00A93B8D"/>
    <w:rsid w:val="00A94B90"/>
    <w:rsid w:val="00A94D20"/>
    <w:rsid w:val="00A951B0"/>
    <w:rsid w:val="00A9595A"/>
    <w:rsid w:val="00A966ED"/>
    <w:rsid w:val="00A96C6B"/>
    <w:rsid w:val="00A9752B"/>
    <w:rsid w:val="00A97DAB"/>
    <w:rsid w:val="00AA075C"/>
    <w:rsid w:val="00AA126A"/>
    <w:rsid w:val="00AA244E"/>
    <w:rsid w:val="00AA2461"/>
    <w:rsid w:val="00AA2603"/>
    <w:rsid w:val="00AA2865"/>
    <w:rsid w:val="00AA2C09"/>
    <w:rsid w:val="00AA2E7E"/>
    <w:rsid w:val="00AA3A9B"/>
    <w:rsid w:val="00AA3AA7"/>
    <w:rsid w:val="00AA3BF1"/>
    <w:rsid w:val="00AA3E58"/>
    <w:rsid w:val="00AA46C4"/>
    <w:rsid w:val="00AA5410"/>
    <w:rsid w:val="00AA63FF"/>
    <w:rsid w:val="00AA6FF4"/>
    <w:rsid w:val="00AA7C46"/>
    <w:rsid w:val="00AB0173"/>
    <w:rsid w:val="00AB0473"/>
    <w:rsid w:val="00AB05F7"/>
    <w:rsid w:val="00AB0859"/>
    <w:rsid w:val="00AB0BBA"/>
    <w:rsid w:val="00AB0D93"/>
    <w:rsid w:val="00AB1FE6"/>
    <w:rsid w:val="00AB21A5"/>
    <w:rsid w:val="00AB21C6"/>
    <w:rsid w:val="00AB2419"/>
    <w:rsid w:val="00AB2707"/>
    <w:rsid w:val="00AB2841"/>
    <w:rsid w:val="00AB2891"/>
    <w:rsid w:val="00AB2BA1"/>
    <w:rsid w:val="00AB2E7B"/>
    <w:rsid w:val="00AB3113"/>
    <w:rsid w:val="00AB3589"/>
    <w:rsid w:val="00AB44ED"/>
    <w:rsid w:val="00AB535F"/>
    <w:rsid w:val="00AB551D"/>
    <w:rsid w:val="00AB5AF7"/>
    <w:rsid w:val="00AB6213"/>
    <w:rsid w:val="00AB6295"/>
    <w:rsid w:val="00AB633D"/>
    <w:rsid w:val="00AB6418"/>
    <w:rsid w:val="00AB671B"/>
    <w:rsid w:val="00AC09D5"/>
    <w:rsid w:val="00AC1349"/>
    <w:rsid w:val="00AC1943"/>
    <w:rsid w:val="00AC197F"/>
    <w:rsid w:val="00AC2943"/>
    <w:rsid w:val="00AC340F"/>
    <w:rsid w:val="00AC45A7"/>
    <w:rsid w:val="00AC4AD6"/>
    <w:rsid w:val="00AC6DA7"/>
    <w:rsid w:val="00AC6F7D"/>
    <w:rsid w:val="00AC720A"/>
    <w:rsid w:val="00AC72AF"/>
    <w:rsid w:val="00AC78D4"/>
    <w:rsid w:val="00AC7B61"/>
    <w:rsid w:val="00AD0810"/>
    <w:rsid w:val="00AD0BAB"/>
    <w:rsid w:val="00AD1D8B"/>
    <w:rsid w:val="00AD25AA"/>
    <w:rsid w:val="00AD2D93"/>
    <w:rsid w:val="00AD3613"/>
    <w:rsid w:val="00AD4793"/>
    <w:rsid w:val="00AD50BD"/>
    <w:rsid w:val="00AD52D2"/>
    <w:rsid w:val="00AD5C17"/>
    <w:rsid w:val="00AD604B"/>
    <w:rsid w:val="00AD60EA"/>
    <w:rsid w:val="00AD67D4"/>
    <w:rsid w:val="00AD76E2"/>
    <w:rsid w:val="00AE0732"/>
    <w:rsid w:val="00AE0EC0"/>
    <w:rsid w:val="00AE1786"/>
    <w:rsid w:val="00AE1E58"/>
    <w:rsid w:val="00AE22C0"/>
    <w:rsid w:val="00AE3569"/>
    <w:rsid w:val="00AE3867"/>
    <w:rsid w:val="00AE3935"/>
    <w:rsid w:val="00AE4331"/>
    <w:rsid w:val="00AE4CB5"/>
    <w:rsid w:val="00AE5FC0"/>
    <w:rsid w:val="00AE614D"/>
    <w:rsid w:val="00AE644C"/>
    <w:rsid w:val="00AE7849"/>
    <w:rsid w:val="00AE7977"/>
    <w:rsid w:val="00AE7C0A"/>
    <w:rsid w:val="00AF1212"/>
    <w:rsid w:val="00AF1278"/>
    <w:rsid w:val="00AF1F10"/>
    <w:rsid w:val="00AF2141"/>
    <w:rsid w:val="00AF2DD5"/>
    <w:rsid w:val="00AF3B10"/>
    <w:rsid w:val="00AF3D39"/>
    <w:rsid w:val="00AF404B"/>
    <w:rsid w:val="00AF497B"/>
    <w:rsid w:val="00AF5582"/>
    <w:rsid w:val="00AF6A4C"/>
    <w:rsid w:val="00AF761F"/>
    <w:rsid w:val="00B00492"/>
    <w:rsid w:val="00B0105F"/>
    <w:rsid w:val="00B01BFD"/>
    <w:rsid w:val="00B02183"/>
    <w:rsid w:val="00B026AD"/>
    <w:rsid w:val="00B034C6"/>
    <w:rsid w:val="00B0368C"/>
    <w:rsid w:val="00B03F77"/>
    <w:rsid w:val="00B04356"/>
    <w:rsid w:val="00B047C2"/>
    <w:rsid w:val="00B04CB1"/>
    <w:rsid w:val="00B055C6"/>
    <w:rsid w:val="00B05635"/>
    <w:rsid w:val="00B063D2"/>
    <w:rsid w:val="00B06E30"/>
    <w:rsid w:val="00B073CA"/>
    <w:rsid w:val="00B07620"/>
    <w:rsid w:val="00B10D00"/>
    <w:rsid w:val="00B11284"/>
    <w:rsid w:val="00B11336"/>
    <w:rsid w:val="00B11723"/>
    <w:rsid w:val="00B12C4D"/>
    <w:rsid w:val="00B12CD9"/>
    <w:rsid w:val="00B1314F"/>
    <w:rsid w:val="00B1353D"/>
    <w:rsid w:val="00B13B87"/>
    <w:rsid w:val="00B14E69"/>
    <w:rsid w:val="00B150F9"/>
    <w:rsid w:val="00B151CF"/>
    <w:rsid w:val="00B155F5"/>
    <w:rsid w:val="00B155F9"/>
    <w:rsid w:val="00B15775"/>
    <w:rsid w:val="00B16F54"/>
    <w:rsid w:val="00B17097"/>
    <w:rsid w:val="00B20445"/>
    <w:rsid w:val="00B22398"/>
    <w:rsid w:val="00B23D45"/>
    <w:rsid w:val="00B23F96"/>
    <w:rsid w:val="00B247AD"/>
    <w:rsid w:val="00B247BE"/>
    <w:rsid w:val="00B249E7"/>
    <w:rsid w:val="00B24AFE"/>
    <w:rsid w:val="00B25D05"/>
    <w:rsid w:val="00B26341"/>
    <w:rsid w:val="00B26622"/>
    <w:rsid w:val="00B26669"/>
    <w:rsid w:val="00B2680F"/>
    <w:rsid w:val="00B26814"/>
    <w:rsid w:val="00B26890"/>
    <w:rsid w:val="00B271E9"/>
    <w:rsid w:val="00B276B4"/>
    <w:rsid w:val="00B27944"/>
    <w:rsid w:val="00B303B1"/>
    <w:rsid w:val="00B303F6"/>
    <w:rsid w:val="00B307B7"/>
    <w:rsid w:val="00B32012"/>
    <w:rsid w:val="00B32DB4"/>
    <w:rsid w:val="00B32E37"/>
    <w:rsid w:val="00B33B28"/>
    <w:rsid w:val="00B34C7F"/>
    <w:rsid w:val="00B354D3"/>
    <w:rsid w:val="00B36028"/>
    <w:rsid w:val="00B3604D"/>
    <w:rsid w:val="00B36926"/>
    <w:rsid w:val="00B40064"/>
    <w:rsid w:val="00B4140E"/>
    <w:rsid w:val="00B4204C"/>
    <w:rsid w:val="00B422F2"/>
    <w:rsid w:val="00B42805"/>
    <w:rsid w:val="00B448D3"/>
    <w:rsid w:val="00B44D09"/>
    <w:rsid w:val="00B44E9D"/>
    <w:rsid w:val="00B45FF6"/>
    <w:rsid w:val="00B4680F"/>
    <w:rsid w:val="00B46C9D"/>
    <w:rsid w:val="00B47216"/>
    <w:rsid w:val="00B47453"/>
    <w:rsid w:val="00B47C55"/>
    <w:rsid w:val="00B47F33"/>
    <w:rsid w:val="00B47FBD"/>
    <w:rsid w:val="00B503AD"/>
    <w:rsid w:val="00B50A44"/>
    <w:rsid w:val="00B50A65"/>
    <w:rsid w:val="00B51377"/>
    <w:rsid w:val="00B5189B"/>
    <w:rsid w:val="00B5307F"/>
    <w:rsid w:val="00B5330B"/>
    <w:rsid w:val="00B5351A"/>
    <w:rsid w:val="00B53576"/>
    <w:rsid w:val="00B53BB2"/>
    <w:rsid w:val="00B54A8A"/>
    <w:rsid w:val="00B54AD8"/>
    <w:rsid w:val="00B5527A"/>
    <w:rsid w:val="00B55398"/>
    <w:rsid w:val="00B55524"/>
    <w:rsid w:val="00B55F47"/>
    <w:rsid w:val="00B5688F"/>
    <w:rsid w:val="00B568F8"/>
    <w:rsid w:val="00B575BF"/>
    <w:rsid w:val="00B57620"/>
    <w:rsid w:val="00B600AF"/>
    <w:rsid w:val="00B605B1"/>
    <w:rsid w:val="00B608F0"/>
    <w:rsid w:val="00B612EA"/>
    <w:rsid w:val="00B617C4"/>
    <w:rsid w:val="00B61C66"/>
    <w:rsid w:val="00B61F9E"/>
    <w:rsid w:val="00B62604"/>
    <w:rsid w:val="00B62AAA"/>
    <w:rsid w:val="00B62DF2"/>
    <w:rsid w:val="00B632D6"/>
    <w:rsid w:val="00B63EFF"/>
    <w:rsid w:val="00B64D86"/>
    <w:rsid w:val="00B659BE"/>
    <w:rsid w:val="00B65A3A"/>
    <w:rsid w:val="00B65FBC"/>
    <w:rsid w:val="00B66A87"/>
    <w:rsid w:val="00B672AF"/>
    <w:rsid w:val="00B678A7"/>
    <w:rsid w:val="00B67F79"/>
    <w:rsid w:val="00B70315"/>
    <w:rsid w:val="00B708F3"/>
    <w:rsid w:val="00B712D0"/>
    <w:rsid w:val="00B714AC"/>
    <w:rsid w:val="00B72A75"/>
    <w:rsid w:val="00B72F39"/>
    <w:rsid w:val="00B73510"/>
    <w:rsid w:val="00B73557"/>
    <w:rsid w:val="00B74112"/>
    <w:rsid w:val="00B7428D"/>
    <w:rsid w:val="00B757E5"/>
    <w:rsid w:val="00B758A3"/>
    <w:rsid w:val="00B75C62"/>
    <w:rsid w:val="00B75DD3"/>
    <w:rsid w:val="00B75F02"/>
    <w:rsid w:val="00B76024"/>
    <w:rsid w:val="00B76267"/>
    <w:rsid w:val="00B76E84"/>
    <w:rsid w:val="00B772A9"/>
    <w:rsid w:val="00B80110"/>
    <w:rsid w:val="00B803DF"/>
    <w:rsid w:val="00B80B76"/>
    <w:rsid w:val="00B81148"/>
    <w:rsid w:val="00B81769"/>
    <w:rsid w:val="00B81F38"/>
    <w:rsid w:val="00B8223A"/>
    <w:rsid w:val="00B8277F"/>
    <w:rsid w:val="00B83047"/>
    <w:rsid w:val="00B838C3"/>
    <w:rsid w:val="00B83B62"/>
    <w:rsid w:val="00B845F0"/>
    <w:rsid w:val="00B84B7F"/>
    <w:rsid w:val="00B8535F"/>
    <w:rsid w:val="00B86086"/>
    <w:rsid w:val="00B86972"/>
    <w:rsid w:val="00B869CB"/>
    <w:rsid w:val="00B87014"/>
    <w:rsid w:val="00B87395"/>
    <w:rsid w:val="00B878CD"/>
    <w:rsid w:val="00B87BC4"/>
    <w:rsid w:val="00B91572"/>
    <w:rsid w:val="00B91A6E"/>
    <w:rsid w:val="00B91CB1"/>
    <w:rsid w:val="00B9219A"/>
    <w:rsid w:val="00B9249B"/>
    <w:rsid w:val="00B934B2"/>
    <w:rsid w:val="00B94D43"/>
    <w:rsid w:val="00B9536C"/>
    <w:rsid w:val="00B95692"/>
    <w:rsid w:val="00B96435"/>
    <w:rsid w:val="00B969B3"/>
    <w:rsid w:val="00B970DA"/>
    <w:rsid w:val="00B976D9"/>
    <w:rsid w:val="00B976FD"/>
    <w:rsid w:val="00B9783E"/>
    <w:rsid w:val="00B97B6E"/>
    <w:rsid w:val="00BA0D5E"/>
    <w:rsid w:val="00BA131B"/>
    <w:rsid w:val="00BA1FFB"/>
    <w:rsid w:val="00BA2B3E"/>
    <w:rsid w:val="00BA2B3F"/>
    <w:rsid w:val="00BA2D37"/>
    <w:rsid w:val="00BA2E0F"/>
    <w:rsid w:val="00BA2E84"/>
    <w:rsid w:val="00BA3431"/>
    <w:rsid w:val="00BA38D1"/>
    <w:rsid w:val="00BA3D4D"/>
    <w:rsid w:val="00BA4479"/>
    <w:rsid w:val="00BA4E45"/>
    <w:rsid w:val="00BA4E73"/>
    <w:rsid w:val="00BA5061"/>
    <w:rsid w:val="00BA5241"/>
    <w:rsid w:val="00BA5452"/>
    <w:rsid w:val="00BA59FB"/>
    <w:rsid w:val="00BA64B8"/>
    <w:rsid w:val="00BA75B4"/>
    <w:rsid w:val="00BB01BB"/>
    <w:rsid w:val="00BB0ACE"/>
    <w:rsid w:val="00BB1224"/>
    <w:rsid w:val="00BB1475"/>
    <w:rsid w:val="00BB14A3"/>
    <w:rsid w:val="00BB15CD"/>
    <w:rsid w:val="00BB23B0"/>
    <w:rsid w:val="00BB283E"/>
    <w:rsid w:val="00BB2C0C"/>
    <w:rsid w:val="00BB3CF6"/>
    <w:rsid w:val="00BB4646"/>
    <w:rsid w:val="00BB4A4C"/>
    <w:rsid w:val="00BB51BA"/>
    <w:rsid w:val="00BB51C3"/>
    <w:rsid w:val="00BB7C95"/>
    <w:rsid w:val="00BC0564"/>
    <w:rsid w:val="00BC15DE"/>
    <w:rsid w:val="00BC17C8"/>
    <w:rsid w:val="00BC31C9"/>
    <w:rsid w:val="00BC3403"/>
    <w:rsid w:val="00BC369C"/>
    <w:rsid w:val="00BC3856"/>
    <w:rsid w:val="00BC39B3"/>
    <w:rsid w:val="00BC3FA3"/>
    <w:rsid w:val="00BC42A7"/>
    <w:rsid w:val="00BC4972"/>
    <w:rsid w:val="00BC50FA"/>
    <w:rsid w:val="00BC548A"/>
    <w:rsid w:val="00BC5E60"/>
    <w:rsid w:val="00BC6897"/>
    <w:rsid w:val="00BD0456"/>
    <w:rsid w:val="00BD048E"/>
    <w:rsid w:val="00BD1972"/>
    <w:rsid w:val="00BD1A95"/>
    <w:rsid w:val="00BD1B8D"/>
    <w:rsid w:val="00BD2AFB"/>
    <w:rsid w:val="00BD33D4"/>
    <w:rsid w:val="00BD40B1"/>
    <w:rsid w:val="00BD483C"/>
    <w:rsid w:val="00BD4EAA"/>
    <w:rsid w:val="00BD693D"/>
    <w:rsid w:val="00BD6D09"/>
    <w:rsid w:val="00BD70D5"/>
    <w:rsid w:val="00BD7277"/>
    <w:rsid w:val="00BD74C2"/>
    <w:rsid w:val="00BD7C4A"/>
    <w:rsid w:val="00BE04F3"/>
    <w:rsid w:val="00BE0E8B"/>
    <w:rsid w:val="00BE0FE4"/>
    <w:rsid w:val="00BE1251"/>
    <w:rsid w:val="00BE2379"/>
    <w:rsid w:val="00BE42BA"/>
    <w:rsid w:val="00BE47BF"/>
    <w:rsid w:val="00BE5374"/>
    <w:rsid w:val="00BE53B1"/>
    <w:rsid w:val="00BE60F4"/>
    <w:rsid w:val="00BE614D"/>
    <w:rsid w:val="00BE627A"/>
    <w:rsid w:val="00BE647C"/>
    <w:rsid w:val="00BE64A6"/>
    <w:rsid w:val="00BE6CE8"/>
    <w:rsid w:val="00BE6D8D"/>
    <w:rsid w:val="00BE6FC4"/>
    <w:rsid w:val="00BE7F99"/>
    <w:rsid w:val="00BF0674"/>
    <w:rsid w:val="00BF1048"/>
    <w:rsid w:val="00BF1057"/>
    <w:rsid w:val="00BF2951"/>
    <w:rsid w:val="00BF347D"/>
    <w:rsid w:val="00BF4066"/>
    <w:rsid w:val="00BF53AB"/>
    <w:rsid w:val="00BF5991"/>
    <w:rsid w:val="00BF59CE"/>
    <w:rsid w:val="00BF5E0E"/>
    <w:rsid w:val="00BF61B8"/>
    <w:rsid w:val="00BF621F"/>
    <w:rsid w:val="00BF7B18"/>
    <w:rsid w:val="00BF7C54"/>
    <w:rsid w:val="00BF7EC9"/>
    <w:rsid w:val="00C00113"/>
    <w:rsid w:val="00C0025C"/>
    <w:rsid w:val="00C009E6"/>
    <w:rsid w:val="00C0133C"/>
    <w:rsid w:val="00C0150F"/>
    <w:rsid w:val="00C01A3A"/>
    <w:rsid w:val="00C01D5F"/>
    <w:rsid w:val="00C02145"/>
    <w:rsid w:val="00C02204"/>
    <w:rsid w:val="00C0345A"/>
    <w:rsid w:val="00C03511"/>
    <w:rsid w:val="00C0395F"/>
    <w:rsid w:val="00C03C13"/>
    <w:rsid w:val="00C042D7"/>
    <w:rsid w:val="00C04848"/>
    <w:rsid w:val="00C04C3A"/>
    <w:rsid w:val="00C05700"/>
    <w:rsid w:val="00C05AA7"/>
    <w:rsid w:val="00C06208"/>
    <w:rsid w:val="00C06624"/>
    <w:rsid w:val="00C06D4F"/>
    <w:rsid w:val="00C074CD"/>
    <w:rsid w:val="00C07DAC"/>
    <w:rsid w:val="00C10589"/>
    <w:rsid w:val="00C107C3"/>
    <w:rsid w:val="00C1100C"/>
    <w:rsid w:val="00C11B82"/>
    <w:rsid w:val="00C12808"/>
    <w:rsid w:val="00C13520"/>
    <w:rsid w:val="00C138D2"/>
    <w:rsid w:val="00C14760"/>
    <w:rsid w:val="00C14837"/>
    <w:rsid w:val="00C14F9B"/>
    <w:rsid w:val="00C14FAB"/>
    <w:rsid w:val="00C151D8"/>
    <w:rsid w:val="00C15845"/>
    <w:rsid w:val="00C15F42"/>
    <w:rsid w:val="00C1610B"/>
    <w:rsid w:val="00C1611D"/>
    <w:rsid w:val="00C16682"/>
    <w:rsid w:val="00C16C06"/>
    <w:rsid w:val="00C16C9A"/>
    <w:rsid w:val="00C16D18"/>
    <w:rsid w:val="00C171D7"/>
    <w:rsid w:val="00C175E4"/>
    <w:rsid w:val="00C1770D"/>
    <w:rsid w:val="00C20374"/>
    <w:rsid w:val="00C203FE"/>
    <w:rsid w:val="00C20834"/>
    <w:rsid w:val="00C21EAB"/>
    <w:rsid w:val="00C2246B"/>
    <w:rsid w:val="00C22586"/>
    <w:rsid w:val="00C232E0"/>
    <w:rsid w:val="00C24293"/>
    <w:rsid w:val="00C24761"/>
    <w:rsid w:val="00C24B5E"/>
    <w:rsid w:val="00C2534F"/>
    <w:rsid w:val="00C26B50"/>
    <w:rsid w:val="00C26B51"/>
    <w:rsid w:val="00C27EE4"/>
    <w:rsid w:val="00C3001C"/>
    <w:rsid w:val="00C30058"/>
    <w:rsid w:val="00C30169"/>
    <w:rsid w:val="00C30A45"/>
    <w:rsid w:val="00C30B7C"/>
    <w:rsid w:val="00C317A2"/>
    <w:rsid w:val="00C31A34"/>
    <w:rsid w:val="00C31E11"/>
    <w:rsid w:val="00C332FB"/>
    <w:rsid w:val="00C3345E"/>
    <w:rsid w:val="00C343FC"/>
    <w:rsid w:val="00C356AF"/>
    <w:rsid w:val="00C35F88"/>
    <w:rsid w:val="00C3651F"/>
    <w:rsid w:val="00C36633"/>
    <w:rsid w:val="00C36E9D"/>
    <w:rsid w:val="00C37699"/>
    <w:rsid w:val="00C37C86"/>
    <w:rsid w:val="00C37D1A"/>
    <w:rsid w:val="00C40475"/>
    <w:rsid w:val="00C4114F"/>
    <w:rsid w:val="00C412B1"/>
    <w:rsid w:val="00C41E39"/>
    <w:rsid w:val="00C43C2A"/>
    <w:rsid w:val="00C44094"/>
    <w:rsid w:val="00C4436C"/>
    <w:rsid w:val="00C4490B"/>
    <w:rsid w:val="00C44BB3"/>
    <w:rsid w:val="00C461B2"/>
    <w:rsid w:val="00C47C8E"/>
    <w:rsid w:val="00C519BC"/>
    <w:rsid w:val="00C51AA8"/>
    <w:rsid w:val="00C52303"/>
    <w:rsid w:val="00C5264A"/>
    <w:rsid w:val="00C5287B"/>
    <w:rsid w:val="00C52A15"/>
    <w:rsid w:val="00C52FD1"/>
    <w:rsid w:val="00C5359B"/>
    <w:rsid w:val="00C53AF7"/>
    <w:rsid w:val="00C54323"/>
    <w:rsid w:val="00C54B3C"/>
    <w:rsid w:val="00C54CF1"/>
    <w:rsid w:val="00C554B5"/>
    <w:rsid w:val="00C55798"/>
    <w:rsid w:val="00C5618C"/>
    <w:rsid w:val="00C56823"/>
    <w:rsid w:val="00C56988"/>
    <w:rsid w:val="00C56CA4"/>
    <w:rsid w:val="00C56EF2"/>
    <w:rsid w:val="00C56FA7"/>
    <w:rsid w:val="00C570A6"/>
    <w:rsid w:val="00C5729D"/>
    <w:rsid w:val="00C579F3"/>
    <w:rsid w:val="00C600B3"/>
    <w:rsid w:val="00C60A7F"/>
    <w:rsid w:val="00C60DE1"/>
    <w:rsid w:val="00C611C6"/>
    <w:rsid w:val="00C61464"/>
    <w:rsid w:val="00C61B5F"/>
    <w:rsid w:val="00C620E8"/>
    <w:rsid w:val="00C62722"/>
    <w:rsid w:val="00C63325"/>
    <w:rsid w:val="00C63681"/>
    <w:rsid w:val="00C63C8E"/>
    <w:rsid w:val="00C6406D"/>
    <w:rsid w:val="00C642C2"/>
    <w:rsid w:val="00C64A3B"/>
    <w:rsid w:val="00C64C02"/>
    <w:rsid w:val="00C65245"/>
    <w:rsid w:val="00C65FAA"/>
    <w:rsid w:val="00C66B5E"/>
    <w:rsid w:val="00C675A2"/>
    <w:rsid w:val="00C677D1"/>
    <w:rsid w:val="00C67D31"/>
    <w:rsid w:val="00C67E8E"/>
    <w:rsid w:val="00C707D1"/>
    <w:rsid w:val="00C7126B"/>
    <w:rsid w:val="00C72177"/>
    <w:rsid w:val="00C7243A"/>
    <w:rsid w:val="00C73BCE"/>
    <w:rsid w:val="00C74B8C"/>
    <w:rsid w:val="00C74D05"/>
    <w:rsid w:val="00C754C8"/>
    <w:rsid w:val="00C757FD"/>
    <w:rsid w:val="00C771A7"/>
    <w:rsid w:val="00C77E43"/>
    <w:rsid w:val="00C80A96"/>
    <w:rsid w:val="00C80C09"/>
    <w:rsid w:val="00C80E53"/>
    <w:rsid w:val="00C80EDF"/>
    <w:rsid w:val="00C8268F"/>
    <w:rsid w:val="00C83535"/>
    <w:rsid w:val="00C83D39"/>
    <w:rsid w:val="00C83D84"/>
    <w:rsid w:val="00C84269"/>
    <w:rsid w:val="00C84EED"/>
    <w:rsid w:val="00C857C6"/>
    <w:rsid w:val="00C86A90"/>
    <w:rsid w:val="00C87436"/>
    <w:rsid w:val="00C87D11"/>
    <w:rsid w:val="00C903D0"/>
    <w:rsid w:val="00C91135"/>
    <w:rsid w:val="00C91651"/>
    <w:rsid w:val="00C917A4"/>
    <w:rsid w:val="00C918EE"/>
    <w:rsid w:val="00C918FF"/>
    <w:rsid w:val="00C91A98"/>
    <w:rsid w:val="00C9216B"/>
    <w:rsid w:val="00C922A2"/>
    <w:rsid w:val="00C9249B"/>
    <w:rsid w:val="00C92FA3"/>
    <w:rsid w:val="00C93048"/>
    <w:rsid w:val="00C93838"/>
    <w:rsid w:val="00C9384B"/>
    <w:rsid w:val="00C93BBD"/>
    <w:rsid w:val="00C93FD7"/>
    <w:rsid w:val="00C940BB"/>
    <w:rsid w:val="00C943D7"/>
    <w:rsid w:val="00C95284"/>
    <w:rsid w:val="00C95886"/>
    <w:rsid w:val="00C958A7"/>
    <w:rsid w:val="00C96B5D"/>
    <w:rsid w:val="00C96ECD"/>
    <w:rsid w:val="00C96F4E"/>
    <w:rsid w:val="00C971D3"/>
    <w:rsid w:val="00C97454"/>
    <w:rsid w:val="00C979BA"/>
    <w:rsid w:val="00C97CEE"/>
    <w:rsid w:val="00CA0A4E"/>
    <w:rsid w:val="00CA0CC1"/>
    <w:rsid w:val="00CA11AB"/>
    <w:rsid w:val="00CA11C3"/>
    <w:rsid w:val="00CA123E"/>
    <w:rsid w:val="00CA1986"/>
    <w:rsid w:val="00CA1AC0"/>
    <w:rsid w:val="00CA2074"/>
    <w:rsid w:val="00CA26EA"/>
    <w:rsid w:val="00CA2FB2"/>
    <w:rsid w:val="00CA3326"/>
    <w:rsid w:val="00CA3C33"/>
    <w:rsid w:val="00CA3D3A"/>
    <w:rsid w:val="00CA42D6"/>
    <w:rsid w:val="00CA4D46"/>
    <w:rsid w:val="00CA528A"/>
    <w:rsid w:val="00CA56D2"/>
    <w:rsid w:val="00CA61C2"/>
    <w:rsid w:val="00CA69CB"/>
    <w:rsid w:val="00CA69CE"/>
    <w:rsid w:val="00CA6F60"/>
    <w:rsid w:val="00CA7BA4"/>
    <w:rsid w:val="00CB033E"/>
    <w:rsid w:val="00CB0811"/>
    <w:rsid w:val="00CB0BF7"/>
    <w:rsid w:val="00CB0DFD"/>
    <w:rsid w:val="00CB13FD"/>
    <w:rsid w:val="00CB15E9"/>
    <w:rsid w:val="00CB1C82"/>
    <w:rsid w:val="00CB21FF"/>
    <w:rsid w:val="00CB2BD5"/>
    <w:rsid w:val="00CB2ECD"/>
    <w:rsid w:val="00CB3557"/>
    <w:rsid w:val="00CB4503"/>
    <w:rsid w:val="00CB4722"/>
    <w:rsid w:val="00CB4CAE"/>
    <w:rsid w:val="00CB5C55"/>
    <w:rsid w:val="00CB611C"/>
    <w:rsid w:val="00CB63EC"/>
    <w:rsid w:val="00CB655E"/>
    <w:rsid w:val="00CB749B"/>
    <w:rsid w:val="00CB74B8"/>
    <w:rsid w:val="00CB77BB"/>
    <w:rsid w:val="00CC07D5"/>
    <w:rsid w:val="00CC08C2"/>
    <w:rsid w:val="00CC11E0"/>
    <w:rsid w:val="00CC19AF"/>
    <w:rsid w:val="00CC1D1A"/>
    <w:rsid w:val="00CC208E"/>
    <w:rsid w:val="00CC290E"/>
    <w:rsid w:val="00CC33AD"/>
    <w:rsid w:val="00CC38F8"/>
    <w:rsid w:val="00CC4E66"/>
    <w:rsid w:val="00CC5956"/>
    <w:rsid w:val="00CC6260"/>
    <w:rsid w:val="00CC6490"/>
    <w:rsid w:val="00CC6BAD"/>
    <w:rsid w:val="00CC7DE8"/>
    <w:rsid w:val="00CD0649"/>
    <w:rsid w:val="00CD06DD"/>
    <w:rsid w:val="00CD0B80"/>
    <w:rsid w:val="00CD0D8A"/>
    <w:rsid w:val="00CD0FB1"/>
    <w:rsid w:val="00CD0FFF"/>
    <w:rsid w:val="00CD1404"/>
    <w:rsid w:val="00CD1638"/>
    <w:rsid w:val="00CD3040"/>
    <w:rsid w:val="00CD31AE"/>
    <w:rsid w:val="00CD32A3"/>
    <w:rsid w:val="00CD4AB6"/>
    <w:rsid w:val="00CD60DD"/>
    <w:rsid w:val="00CD6944"/>
    <w:rsid w:val="00CD7880"/>
    <w:rsid w:val="00CD7893"/>
    <w:rsid w:val="00CE0BAC"/>
    <w:rsid w:val="00CE1514"/>
    <w:rsid w:val="00CE28E3"/>
    <w:rsid w:val="00CE2A9C"/>
    <w:rsid w:val="00CE30FA"/>
    <w:rsid w:val="00CE3610"/>
    <w:rsid w:val="00CE36A4"/>
    <w:rsid w:val="00CE4F15"/>
    <w:rsid w:val="00CE5447"/>
    <w:rsid w:val="00CE6B02"/>
    <w:rsid w:val="00CE6C7B"/>
    <w:rsid w:val="00CE726E"/>
    <w:rsid w:val="00CE747E"/>
    <w:rsid w:val="00CE7AB3"/>
    <w:rsid w:val="00CE7D63"/>
    <w:rsid w:val="00CF085E"/>
    <w:rsid w:val="00CF1564"/>
    <w:rsid w:val="00CF19FC"/>
    <w:rsid w:val="00CF1A2D"/>
    <w:rsid w:val="00CF2601"/>
    <w:rsid w:val="00CF2887"/>
    <w:rsid w:val="00CF2913"/>
    <w:rsid w:val="00CF4058"/>
    <w:rsid w:val="00CF439F"/>
    <w:rsid w:val="00CF4AF6"/>
    <w:rsid w:val="00CF515B"/>
    <w:rsid w:val="00CF58B2"/>
    <w:rsid w:val="00CF60EE"/>
    <w:rsid w:val="00CF678D"/>
    <w:rsid w:val="00CF6ADF"/>
    <w:rsid w:val="00CF6E3D"/>
    <w:rsid w:val="00CF6FC2"/>
    <w:rsid w:val="00CF7120"/>
    <w:rsid w:val="00CF724C"/>
    <w:rsid w:val="00CF7453"/>
    <w:rsid w:val="00CF7C84"/>
    <w:rsid w:val="00CF7EE6"/>
    <w:rsid w:val="00D001B4"/>
    <w:rsid w:val="00D003B7"/>
    <w:rsid w:val="00D0046E"/>
    <w:rsid w:val="00D00E36"/>
    <w:rsid w:val="00D02F4F"/>
    <w:rsid w:val="00D0302D"/>
    <w:rsid w:val="00D03844"/>
    <w:rsid w:val="00D04CB3"/>
    <w:rsid w:val="00D04F31"/>
    <w:rsid w:val="00D0610F"/>
    <w:rsid w:val="00D06695"/>
    <w:rsid w:val="00D077F4"/>
    <w:rsid w:val="00D104DE"/>
    <w:rsid w:val="00D107B0"/>
    <w:rsid w:val="00D13698"/>
    <w:rsid w:val="00D13F67"/>
    <w:rsid w:val="00D14633"/>
    <w:rsid w:val="00D149CD"/>
    <w:rsid w:val="00D14A1F"/>
    <w:rsid w:val="00D14E59"/>
    <w:rsid w:val="00D163DA"/>
    <w:rsid w:val="00D164B1"/>
    <w:rsid w:val="00D165E8"/>
    <w:rsid w:val="00D16E20"/>
    <w:rsid w:val="00D176C3"/>
    <w:rsid w:val="00D20031"/>
    <w:rsid w:val="00D20413"/>
    <w:rsid w:val="00D2051E"/>
    <w:rsid w:val="00D20882"/>
    <w:rsid w:val="00D22474"/>
    <w:rsid w:val="00D2345C"/>
    <w:rsid w:val="00D23807"/>
    <w:rsid w:val="00D23B48"/>
    <w:rsid w:val="00D244E6"/>
    <w:rsid w:val="00D261B9"/>
    <w:rsid w:val="00D3059A"/>
    <w:rsid w:val="00D30D5E"/>
    <w:rsid w:val="00D30EB0"/>
    <w:rsid w:val="00D310AB"/>
    <w:rsid w:val="00D313B3"/>
    <w:rsid w:val="00D31E2E"/>
    <w:rsid w:val="00D3292B"/>
    <w:rsid w:val="00D32939"/>
    <w:rsid w:val="00D33560"/>
    <w:rsid w:val="00D33A3B"/>
    <w:rsid w:val="00D33B6A"/>
    <w:rsid w:val="00D33F02"/>
    <w:rsid w:val="00D34761"/>
    <w:rsid w:val="00D3524B"/>
    <w:rsid w:val="00D356BB"/>
    <w:rsid w:val="00D358F7"/>
    <w:rsid w:val="00D35DF8"/>
    <w:rsid w:val="00D3604B"/>
    <w:rsid w:val="00D36376"/>
    <w:rsid w:val="00D36639"/>
    <w:rsid w:val="00D369A8"/>
    <w:rsid w:val="00D36E67"/>
    <w:rsid w:val="00D374DB"/>
    <w:rsid w:val="00D37EF5"/>
    <w:rsid w:val="00D40A83"/>
    <w:rsid w:val="00D40D0E"/>
    <w:rsid w:val="00D419C9"/>
    <w:rsid w:val="00D42245"/>
    <w:rsid w:val="00D428B9"/>
    <w:rsid w:val="00D42CA3"/>
    <w:rsid w:val="00D43246"/>
    <w:rsid w:val="00D438C5"/>
    <w:rsid w:val="00D4448D"/>
    <w:rsid w:val="00D45750"/>
    <w:rsid w:val="00D457EA"/>
    <w:rsid w:val="00D458BF"/>
    <w:rsid w:val="00D45C42"/>
    <w:rsid w:val="00D45FD1"/>
    <w:rsid w:val="00D47D7E"/>
    <w:rsid w:val="00D506AF"/>
    <w:rsid w:val="00D520CF"/>
    <w:rsid w:val="00D52C10"/>
    <w:rsid w:val="00D52E54"/>
    <w:rsid w:val="00D52FF5"/>
    <w:rsid w:val="00D536D0"/>
    <w:rsid w:val="00D542FA"/>
    <w:rsid w:val="00D54E92"/>
    <w:rsid w:val="00D55607"/>
    <w:rsid w:val="00D55BD5"/>
    <w:rsid w:val="00D56DFA"/>
    <w:rsid w:val="00D579CC"/>
    <w:rsid w:val="00D600EA"/>
    <w:rsid w:val="00D60126"/>
    <w:rsid w:val="00D603DB"/>
    <w:rsid w:val="00D60634"/>
    <w:rsid w:val="00D60B1F"/>
    <w:rsid w:val="00D60BF2"/>
    <w:rsid w:val="00D60E22"/>
    <w:rsid w:val="00D61302"/>
    <w:rsid w:val="00D61747"/>
    <w:rsid w:val="00D62005"/>
    <w:rsid w:val="00D62645"/>
    <w:rsid w:val="00D62AB2"/>
    <w:rsid w:val="00D62F4D"/>
    <w:rsid w:val="00D63966"/>
    <w:rsid w:val="00D63D75"/>
    <w:rsid w:val="00D642C1"/>
    <w:rsid w:val="00D6478A"/>
    <w:rsid w:val="00D64906"/>
    <w:rsid w:val="00D649C5"/>
    <w:rsid w:val="00D652D9"/>
    <w:rsid w:val="00D655CD"/>
    <w:rsid w:val="00D655D5"/>
    <w:rsid w:val="00D65EAA"/>
    <w:rsid w:val="00D660F4"/>
    <w:rsid w:val="00D66D66"/>
    <w:rsid w:val="00D6739C"/>
    <w:rsid w:val="00D675FD"/>
    <w:rsid w:val="00D6782C"/>
    <w:rsid w:val="00D6797D"/>
    <w:rsid w:val="00D67C82"/>
    <w:rsid w:val="00D67C9E"/>
    <w:rsid w:val="00D67D5B"/>
    <w:rsid w:val="00D70226"/>
    <w:rsid w:val="00D70DDA"/>
    <w:rsid w:val="00D70F92"/>
    <w:rsid w:val="00D71153"/>
    <w:rsid w:val="00D71B39"/>
    <w:rsid w:val="00D720B3"/>
    <w:rsid w:val="00D72244"/>
    <w:rsid w:val="00D72849"/>
    <w:rsid w:val="00D72C0A"/>
    <w:rsid w:val="00D72D90"/>
    <w:rsid w:val="00D72EAA"/>
    <w:rsid w:val="00D73AD9"/>
    <w:rsid w:val="00D73FEC"/>
    <w:rsid w:val="00D74537"/>
    <w:rsid w:val="00D7500F"/>
    <w:rsid w:val="00D757DD"/>
    <w:rsid w:val="00D76070"/>
    <w:rsid w:val="00D76E54"/>
    <w:rsid w:val="00D80C29"/>
    <w:rsid w:val="00D8167C"/>
    <w:rsid w:val="00D817B9"/>
    <w:rsid w:val="00D81BA3"/>
    <w:rsid w:val="00D829EF"/>
    <w:rsid w:val="00D82C0E"/>
    <w:rsid w:val="00D8316D"/>
    <w:rsid w:val="00D83B51"/>
    <w:rsid w:val="00D84361"/>
    <w:rsid w:val="00D843BC"/>
    <w:rsid w:val="00D84581"/>
    <w:rsid w:val="00D847B3"/>
    <w:rsid w:val="00D84C1C"/>
    <w:rsid w:val="00D84ECA"/>
    <w:rsid w:val="00D8525E"/>
    <w:rsid w:val="00D856EE"/>
    <w:rsid w:val="00D86695"/>
    <w:rsid w:val="00D8673D"/>
    <w:rsid w:val="00D867B5"/>
    <w:rsid w:val="00D86A9A"/>
    <w:rsid w:val="00D87237"/>
    <w:rsid w:val="00D87B98"/>
    <w:rsid w:val="00D9009E"/>
    <w:rsid w:val="00D9041B"/>
    <w:rsid w:val="00D90484"/>
    <w:rsid w:val="00D90D54"/>
    <w:rsid w:val="00D90DBB"/>
    <w:rsid w:val="00D9141D"/>
    <w:rsid w:val="00D91B0A"/>
    <w:rsid w:val="00D91E94"/>
    <w:rsid w:val="00D92743"/>
    <w:rsid w:val="00D92775"/>
    <w:rsid w:val="00D931EC"/>
    <w:rsid w:val="00D9334E"/>
    <w:rsid w:val="00D93946"/>
    <w:rsid w:val="00D94460"/>
    <w:rsid w:val="00D946C9"/>
    <w:rsid w:val="00D94A59"/>
    <w:rsid w:val="00D94CF3"/>
    <w:rsid w:val="00D9525A"/>
    <w:rsid w:val="00D95A01"/>
    <w:rsid w:val="00D960D4"/>
    <w:rsid w:val="00D967A8"/>
    <w:rsid w:val="00D96BB5"/>
    <w:rsid w:val="00D96FCD"/>
    <w:rsid w:val="00D977D4"/>
    <w:rsid w:val="00D97BAD"/>
    <w:rsid w:val="00DA02A5"/>
    <w:rsid w:val="00DA058E"/>
    <w:rsid w:val="00DA09A3"/>
    <w:rsid w:val="00DA09A9"/>
    <w:rsid w:val="00DA1668"/>
    <w:rsid w:val="00DA3D2E"/>
    <w:rsid w:val="00DA40C8"/>
    <w:rsid w:val="00DA4534"/>
    <w:rsid w:val="00DA512C"/>
    <w:rsid w:val="00DA5D32"/>
    <w:rsid w:val="00DA6765"/>
    <w:rsid w:val="00DB003C"/>
    <w:rsid w:val="00DB1100"/>
    <w:rsid w:val="00DB1113"/>
    <w:rsid w:val="00DB1E91"/>
    <w:rsid w:val="00DB25C3"/>
    <w:rsid w:val="00DB2792"/>
    <w:rsid w:val="00DB4410"/>
    <w:rsid w:val="00DB4CE2"/>
    <w:rsid w:val="00DB5117"/>
    <w:rsid w:val="00DB532E"/>
    <w:rsid w:val="00DB5844"/>
    <w:rsid w:val="00DB6031"/>
    <w:rsid w:val="00DB6418"/>
    <w:rsid w:val="00DB664A"/>
    <w:rsid w:val="00DB7463"/>
    <w:rsid w:val="00DC06A6"/>
    <w:rsid w:val="00DC10FD"/>
    <w:rsid w:val="00DC14AF"/>
    <w:rsid w:val="00DC1720"/>
    <w:rsid w:val="00DC268C"/>
    <w:rsid w:val="00DC3633"/>
    <w:rsid w:val="00DC396C"/>
    <w:rsid w:val="00DC4108"/>
    <w:rsid w:val="00DC4121"/>
    <w:rsid w:val="00DC4170"/>
    <w:rsid w:val="00DC4274"/>
    <w:rsid w:val="00DC4EC7"/>
    <w:rsid w:val="00DC4F64"/>
    <w:rsid w:val="00DC50C5"/>
    <w:rsid w:val="00DC5FE1"/>
    <w:rsid w:val="00DC64A7"/>
    <w:rsid w:val="00DC689E"/>
    <w:rsid w:val="00DC7790"/>
    <w:rsid w:val="00DC7B5E"/>
    <w:rsid w:val="00DD0106"/>
    <w:rsid w:val="00DD03FF"/>
    <w:rsid w:val="00DD0910"/>
    <w:rsid w:val="00DD0953"/>
    <w:rsid w:val="00DD0BB2"/>
    <w:rsid w:val="00DD0C29"/>
    <w:rsid w:val="00DD0F80"/>
    <w:rsid w:val="00DD1731"/>
    <w:rsid w:val="00DD1A1F"/>
    <w:rsid w:val="00DD1A95"/>
    <w:rsid w:val="00DD1B9F"/>
    <w:rsid w:val="00DD2C81"/>
    <w:rsid w:val="00DD3B7F"/>
    <w:rsid w:val="00DD3FCF"/>
    <w:rsid w:val="00DD46E8"/>
    <w:rsid w:val="00DD4935"/>
    <w:rsid w:val="00DD498B"/>
    <w:rsid w:val="00DD5247"/>
    <w:rsid w:val="00DD6366"/>
    <w:rsid w:val="00DD710E"/>
    <w:rsid w:val="00DD71CC"/>
    <w:rsid w:val="00DD79CA"/>
    <w:rsid w:val="00DD7E94"/>
    <w:rsid w:val="00DE05BB"/>
    <w:rsid w:val="00DE1F9B"/>
    <w:rsid w:val="00DE2496"/>
    <w:rsid w:val="00DE2A83"/>
    <w:rsid w:val="00DE3213"/>
    <w:rsid w:val="00DE36B4"/>
    <w:rsid w:val="00DE3841"/>
    <w:rsid w:val="00DE39A2"/>
    <w:rsid w:val="00DE39C5"/>
    <w:rsid w:val="00DE46F1"/>
    <w:rsid w:val="00DE4BD2"/>
    <w:rsid w:val="00DE4E10"/>
    <w:rsid w:val="00DE5C07"/>
    <w:rsid w:val="00DE65CA"/>
    <w:rsid w:val="00DE6A9B"/>
    <w:rsid w:val="00DE6ECB"/>
    <w:rsid w:val="00DE7099"/>
    <w:rsid w:val="00DE70B3"/>
    <w:rsid w:val="00DE7635"/>
    <w:rsid w:val="00DE7D0F"/>
    <w:rsid w:val="00DF0099"/>
    <w:rsid w:val="00DF0A3A"/>
    <w:rsid w:val="00DF0FAA"/>
    <w:rsid w:val="00DF1C28"/>
    <w:rsid w:val="00DF1FE4"/>
    <w:rsid w:val="00DF27A9"/>
    <w:rsid w:val="00DF341B"/>
    <w:rsid w:val="00DF39E9"/>
    <w:rsid w:val="00DF431B"/>
    <w:rsid w:val="00DF4FE7"/>
    <w:rsid w:val="00DF4FF2"/>
    <w:rsid w:val="00DF550F"/>
    <w:rsid w:val="00DF5A0B"/>
    <w:rsid w:val="00DF717D"/>
    <w:rsid w:val="00DF74D9"/>
    <w:rsid w:val="00DF751F"/>
    <w:rsid w:val="00E002A0"/>
    <w:rsid w:val="00E00822"/>
    <w:rsid w:val="00E00AA3"/>
    <w:rsid w:val="00E00D62"/>
    <w:rsid w:val="00E015B5"/>
    <w:rsid w:val="00E027FB"/>
    <w:rsid w:val="00E02CAB"/>
    <w:rsid w:val="00E02D7C"/>
    <w:rsid w:val="00E02F20"/>
    <w:rsid w:val="00E0360B"/>
    <w:rsid w:val="00E0372C"/>
    <w:rsid w:val="00E03A96"/>
    <w:rsid w:val="00E04774"/>
    <w:rsid w:val="00E05B76"/>
    <w:rsid w:val="00E05D56"/>
    <w:rsid w:val="00E06066"/>
    <w:rsid w:val="00E06302"/>
    <w:rsid w:val="00E073CE"/>
    <w:rsid w:val="00E07777"/>
    <w:rsid w:val="00E079B8"/>
    <w:rsid w:val="00E105A9"/>
    <w:rsid w:val="00E10D8D"/>
    <w:rsid w:val="00E11B54"/>
    <w:rsid w:val="00E12D5E"/>
    <w:rsid w:val="00E12DA0"/>
    <w:rsid w:val="00E138A7"/>
    <w:rsid w:val="00E138CE"/>
    <w:rsid w:val="00E13EFF"/>
    <w:rsid w:val="00E15056"/>
    <w:rsid w:val="00E15525"/>
    <w:rsid w:val="00E15DB1"/>
    <w:rsid w:val="00E160F3"/>
    <w:rsid w:val="00E17503"/>
    <w:rsid w:val="00E17552"/>
    <w:rsid w:val="00E17D1A"/>
    <w:rsid w:val="00E20A8C"/>
    <w:rsid w:val="00E218F0"/>
    <w:rsid w:val="00E21B03"/>
    <w:rsid w:val="00E22009"/>
    <w:rsid w:val="00E22445"/>
    <w:rsid w:val="00E24224"/>
    <w:rsid w:val="00E24422"/>
    <w:rsid w:val="00E246EB"/>
    <w:rsid w:val="00E24777"/>
    <w:rsid w:val="00E256E5"/>
    <w:rsid w:val="00E25A31"/>
    <w:rsid w:val="00E25C8F"/>
    <w:rsid w:val="00E260A3"/>
    <w:rsid w:val="00E267D1"/>
    <w:rsid w:val="00E26D15"/>
    <w:rsid w:val="00E26D26"/>
    <w:rsid w:val="00E26DD4"/>
    <w:rsid w:val="00E27329"/>
    <w:rsid w:val="00E27619"/>
    <w:rsid w:val="00E278BC"/>
    <w:rsid w:val="00E27DDB"/>
    <w:rsid w:val="00E30051"/>
    <w:rsid w:val="00E30A49"/>
    <w:rsid w:val="00E31702"/>
    <w:rsid w:val="00E31B55"/>
    <w:rsid w:val="00E31B75"/>
    <w:rsid w:val="00E31DDD"/>
    <w:rsid w:val="00E3242E"/>
    <w:rsid w:val="00E330C9"/>
    <w:rsid w:val="00E3330E"/>
    <w:rsid w:val="00E3351F"/>
    <w:rsid w:val="00E33892"/>
    <w:rsid w:val="00E33992"/>
    <w:rsid w:val="00E33B2B"/>
    <w:rsid w:val="00E342B7"/>
    <w:rsid w:val="00E34E01"/>
    <w:rsid w:val="00E35BD3"/>
    <w:rsid w:val="00E36B5B"/>
    <w:rsid w:val="00E36CA3"/>
    <w:rsid w:val="00E372AB"/>
    <w:rsid w:val="00E409ED"/>
    <w:rsid w:val="00E40D5C"/>
    <w:rsid w:val="00E40DAE"/>
    <w:rsid w:val="00E40F62"/>
    <w:rsid w:val="00E411F1"/>
    <w:rsid w:val="00E419B9"/>
    <w:rsid w:val="00E42EFD"/>
    <w:rsid w:val="00E43249"/>
    <w:rsid w:val="00E43332"/>
    <w:rsid w:val="00E436A2"/>
    <w:rsid w:val="00E43E25"/>
    <w:rsid w:val="00E45836"/>
    <w:rsid w:val="00E458D8"/>
    <w:rsid w:val="00E459E7"/>
    <w:rsid w:val="00E475E9"/>
    <w:rsid w:val="00E4787B"/>
    <w:rsid w:val="00E47A33"/>
    <w:rsid w:val="00E47CF3"/>
    <w:rsid w:val="00E5092A"/>
    <w:rsid w:val="00E50CF6"/>
    <w:rsid w:val="00E50F92"/>
    <w:rsid w:val="00E518A7"/>
    <w:rsid w:val="00E52175"/>
    <w:rsid w:val="00E529F5"/>
    <w:rsid w:val="00E5302A"/>
    <w:rsid w:val="00E5356B"/>
    <w:rsid w:val="00E53962"/>
    <w:rsid w:val="00E53CF6"/>
    <w:rsid w:val="00E53E00"/>
    <w:rsid w:val="00E53F99"/>
    <w:rsid w:val="00E54221"/>
    <w:rsid w:val="00E54A3F"/>
    <w:rsid w:val="00E54B5F"/>
    <w:rsid w:val="00E55884"/>
    <w:rsid w:val="00E55B05"/>
    <w:rsid w:val="00E55C8A"/>
    <w:rsid w:val="00E563AD"/>
    <w:rsid w:val="00E5650A"/>
    <w:rsid w:val="00E56874"/>
    <w:rsid w:val="00E571AD"/>
    <w:rsid w:val="00E5735B"/>
    <w:rsid w:val="00E574EC"/>
    <w:rsid w:val="00E57E53"/>
    <w:rsid w:val="00E57F9C"/>
    <w:rsid w:val="00E60E8D"/>
    <w:rsid w:val="00E615F9"/>
    <w:rsid w:val="00E6193C"/>
    <w:rsid w:val="00E61F28"/>
    <w:rsid w:val="00E62339"/>
    <w:rsid w:val="00E62BC2"/>
    <w:rsid w:val="00E62D3D"/>
    <w:rsid w:val="00E62F48"/>
    <w:rsid w:val="00E63DAA"/>
    <w:rsid w:val="00E65074"/>
    <w:rsid w:val="00E65CD3"/>
    <w:rsid w:val="00E66327"/>
    <w:rsid w:val="00E67CE0"/>
    <w:rsid w:val="00E67D83"/>
    <w:rsid w:val="00E7221D"/>
    <w:rsid w:val="00E73163"/>
    <w:rsid w:val="00E73528"/>
    <w:rsid w:val="00E73A26"/>
    <w:rsid w:val="00E74341"/>
    <w:rsid w:val="00E7539F"/>
    <w:rsid w:val="00E75EDB"/>
    <w:rsid w:val="00E76111"/>
    <w:rsid w:val="00E7615F"/>
    <w:rsid w:val="00E76AE0"/>
    <w:rsid w:val="00E76FE4"/>
    <w:rsid w:val="00E778BC"/>
    <w:rsid w:val="00E80AC2"/>
    <w:rsid w:val="00E81182"/>
    <w:rsid w:val="00E81A87"/>
    <w:rsid w:val="00E81B7A"/>
    <w:rsid w:val="00E8355B"/>
    <w:rsid w:val="00E8369B"/>
    <w:rsid w:val="00E83884"/>
    <w:rsid w:val="00E83948"/>
    <w:rsid w:val="00E83CF9"/>
    <w:rsid w:val="00E8464B"/>
    <w:rsid w:val="00E850B5"/>
    <w:rsid w:val="00E85F20"/>
    <w:rsid w:val="00E86021"/>
    <w:rsid w:val="00E86A97"/>
    <w:rsid w:val="00E8744E"/>
    <w:rsid w:val="00E8747F"/>
    <w:rsid w:val="00E87CBB"/>
    <w:rsid w:val="00E90159"/>
    <w:rsid w:val="00E9064C"/>
    <w:rsid w:val="00E913FF"/>
    <w:rsid w:val="00E91FBB"/>
    <w:rsid w:val="00E92893"/>
    <w:rsid w:val="00E92974"/>
    <w:rsid w:val="00E92D53"/>
    <w:rsid w:val="00E92F98"/>
    <w:rsid w:val="00E930E4"/>
    <w:rsid w:val="00E9331D"/>
    <w:rsid w:val="00E938EE"/>
    <w:rsid w:val="00E93C5D"/>
    <w:rsid w:val="00E9467F"/>
    <w:rsid w:val="00E95322"/>
    <w:rsid w:val="00E95490"/>
    <w:rsid w:val="00E95FFA"/>
    <w:rsid w:val="00E968C1"/>
    <w:rsid w:val="00E96B34"/>
    <w:rsid w:val="00E96DC7"/>
    <w:rsid w:val="00E96EE8"/>
    <w:rsid w:val="00E971F6"/>
    <w:rsid w:val="00E97E0C"/>
    <w:rsid w:val="00EA0E54"/>
    <w:rsid w:val="00EA10EA"/>
    <w:rsid w:val="00EA1769"/>
    <w:rsid w:val="00EA3060"/>
    <w:rsid w:val="00EA3671"/>
    <w:rsid w:val="00EA3F05"/>
    <w:rsid w:val="00EA424E"/>
    <w:rsid w:val="00EA42BF"/>
    <w:rsid w:val="00EA475D"/>
    <w:rsid w:val="00EA47D6"/>
    <w:rsid w:val="00EA71CE"/>
    <w:rsid w:val="00EA792D"/>
    <w:rsid w:val="00EB064C"/>
    <w:rsid w:val="00EB0D02"/>
    <w:rsid w:val="00EB0DEA"/>
    <w:rsid w:val="00EB1350"/>
    <w:rsid w:val="00EB1A7F"/>
    <w:rsid w:val="00EB1B90"/>
    <w:rsid w:val="00EB1DC6"/>
    <w:rsid w:val="00EB1F63"/>
    <w:rsid w:val="00EB27BC"/>
    <w:rsid w:val="00EB29A7"/>
    <w:rsid w:val="00EB3A55"/>
    <w:rsid w:val="00EB4BB9"/>
    <w:rsid w:val="00EB5659"/>
    <w:rsid w:val="00EB5814"/>
    <w:rsid w:val="00EB6397"/>
    <w:rsid w:val="00EB6616"/>
    <w:rsid w:val="00EB6A32"/>
    <w:rsid w:val="00EB7581"/>
    <w:rsid w:val="00EB7A36"/>
    <w:rsid w:val="00EB7D3D"/>
    <w:rsid w:val="00EC0FBB"/>
    <w:rsid w:val="00EC1145"/>
    <w:rsid w:val="00EC16C8"/>
    <w:rsid w:val="00EC1876"/>
    <w:rsid w:val="00EC2F6A"/>
    <w:rsid w:val="00EC33A0"/>
    <w:rsid w:val="00EC47AC"/>
    <w:rsid w:val="00EC4836"/>
    <w:rsid w:val="00EC4A77"/>
    <w:rsid w:val="00EC5088"/>
    <w:rsid w:val="00EC5811"/>
    <w:rsid w:val="00EC619B"/>
    <w:rsid w:val="00EC7B91"/>
    <w:rsid w:val="00EC7FA0"/>
    <w:rsid w:val="00ED0247"/>
    <w:rsid w:val="00ED06BD"/>
    <w:rsid w:val="00ED159B"/>
    <w:rsid w:val="00ED2D0B"/>
    <w:rsid w:val="00ED2DE0"/>
    <w:rsid w:val="00ED3051"/>
    <w:rsid w:val="00ED354D"/>
    <w:rsid w:val="00ED4AA5"/>
    <w:rsid w:val="00ED5E38"/>
    <w:rsid w:val="00ED61AC"/>
    <w:rsid w:val="00ED6402"/>
    <w:rsid w:val="00ED645E"/>
    <w:rsid w:val="00ED66BB"/>
    <w:rsid w:val="00ED68DA"/>
    <w:rsid w:val="00ED69BE"/>
    <w:rsid w:val="00ED7757"/>
    <w:rsid w:val="00ED778A"/>
    <w:rsid w:val="00EE034E"/>
    <w:rsid w:val="00EE1F9A"/>
    <w:rsid w:val="00EE3035"/>
    <w:rsid w:val="00EE34C8"/>
    <w:rsid w:val="00EE3F48"/>
    <w:rsid w:val="00EE407E"/>
    <w:rsid w:val="00EE4490"/>
    <w:rsid w:val="00EE44DB"/>
    <w:rsid w:val="00EE4794"/>
    <w:rsid w:val="00EE4968"/>
    <w:rsid w:val="00EE4AA9"/>
    <w:rsid w:val="00EE4B03"/>
    <w:rsid w:val="00EE4EEF"/>
    <w:rsid w:val="00EE5534"/>
    <w:rsid w:val="00EE59E1"/>
    <w:rsid w:val="00EE5E8A"/>
    <w:rsid w:val="00EE5F1A"/>
    <w:rsid w:val="00EE6832"/>
    <w:rsid w:val="00EE6A7C"/>
    <w:rsid w:val="00EE79F5"/>
    <w:rsid w:val="00EE7CDD"/>
    <w:rsid w:val="00EE7ED7"/>
    <w:rsid w:val="00EF0515"/>
    <w:rsid w:val="00EF1755"/>
    <w:rsid w:val="00EF25DF"/>
    <w:rsid w:val="00EF3D58"/>
    <w:rsid w:val="00EF4EE5"/>
    <w:rsid w:val="00EF5BA1"/>
    <w:rsid w:val="00EF5DA8"/>
    <w:rsid w:val="00EF666B"/>
    <w:rsid w:val="00EF69BE"/>
    <w:rsid w:val="00EF7063"/>
    <w:rsid w:val="00EF7084"/>
    <w:rsid w:val="00EF7ED9"/>
    <w:rsid w:val="00F0003A"/>
    <w:rsid w:val="00F00635"/>
    <w:rsid w:val="00F006F0"/>
    <w:rsid w:val="00F019D5"/>
    <w:rsid w:val="00F02E0E"/>
    <w:rsid w:val="00F03B39"/>
    <w:rsid w:val="00F04052"/>
    <w:rsid w:val="00F04FED"/>
    <w:rsid w:val="00F05D84"/>
    <w:rsid w:val="00F06673"/>
    <w:rsid w:val="00F06961"/>
    <w:rsid w:val="00F06D39"/>
    <w:rsid w:val="00F070E2"/>
    <w:rsid w:val="00F079CE"/>
    <w:rsid w:val="00F10546"/>
    <w:rsid w:val="00F1066F"/>
    <w:rsid w:val="00F10DD6"/>
    <w:rsid w:val="00F11504"/>
    <w:rsid w:val="00F125BD"/>
    <w:rsid w:val="00F1278F"/>
    <w:rsid w:val="00F1415F"/>
    <w:rsid w:val="00F14201"/>
    <w:rsid w:val="00F1432A"/>
    <w:rsid w:val="00F1508C"/>
    <w:rsid w:val="00F1578E"/>
    <w:rsid w:val="00F15A45"/>
    <w:rsid w:val="00F15B6B"/>
    <w:rsid w:val="00F15BBF"/>
    <w:rsid w:val="00F16597"/>
    <w:rsid w:val="00F200C1"/>
    <w:rsid w:val="00F20157"/>
    <w:rsid w:val="00F20763"/>
    <w:rsid w:val="00F2092A"/>
    <w:rsid w:val="00F22195"/>
    <w:rsid w:val="00F222DA"/>
    <w:rsid w:val="00F22309"/>
    <w:rsid w:val="00F22747"/>
    <w:rsid w:val="00F227C8"/>
    <w:rsid w:val="00F23358"/>
    <w:rsid w:val="00F23CB7"/>
    <w:rsid w:val="00F2418C"/>
    <w:rsid w:val="00F243F1"/>
    <w:rsid w:val="00F24679"/>
    <w:rsid w:val="00F248FD"/>
    <w:rsid w:val="00F24FCA"/>
    <w:rsid w:val="00F25098"/>
    <w:rsid w:val="00F257B5"/>
    <w:rsid w:val="00F25C14"/>
    <w:rsid w:val="00F26E8D"/>
    <w:rsid w:val="00F2720E"/>
    <w:rsid w:val="00F2776D"/>
    <w:rsid w:val="00F27BDB"/>
    <w:rsid w:val="00F3011B"/>
    <w:rsid w:val="00F31253"/>
    <w:rsid w:val="00F3145B"/>
    <w:rsid w:val="00F319B2"/>
    <w:rsid w:val="00F31CA2"/>
    <w:rsid w:val="00F329F0"/>
    <w:rsid w:val="00F3369E"/>
    <w:rsid w:val="00F340CE"/>
    <w:rsid w:val="00F3435C"/>
    <w:rsid w:val="00F346E6"/>
    <w:rsid w:val="00F363C2"/>
    <w:rsid w:val="00F36446"/>
    <w:rsid w:val="00F40864"/>
    <w:rsid w:val="00F40B21"/>
    <w:rsid w:val="00F41A09"/>
    <w:rsid w:val="00F421CB"/>
    <w:rsid w:val="00F4272A"/>
    <w:rsid w:val="00F42936"/>
    <w:rsid w:val="00F4302A"/>
    <w:rsid w:val="00F43977"/>
    <w:rsid w:val="00F44895"/>
    <w:rsid w:val="00F44B9E"/>
    <w:rsid w:val="00F45D7B"/>
    <w:rsid w:val="00F45F9C"/>
    <w:rsid w:val="00F50585"/>
    <w:rsid w:val="00F516E3"/>
    <w:rsid w:val="00F51D4C"/>
    <w:rsid w:val="00F521E9"/>
    <w:rsid w:val="00F54832"/>
    <w:rsid w:val="00F54A57"/>
    <w:rsid w:val="00F5612E"/>
    <w:rsid w:val="00F56BD2"/>
    <w:rsid w:val="00F57199"/>
    <w:rsid w:val="00F57885"/>
    <w:rsid w:val="00F57A21"/>
    <w:rsid w:val="00F57CAE"/>
    <w:rsid w:val="00F57DF4"/>
    <w:rsid w:val="00F609C7"/>
    <w:rsid w:val="00F617E0"/>
    <w:rsid w:val="00F62323"/>
    <w:rsid w:val="00F62A93"/>
    <w:rsid w:val="00F63372"/>
    <w:rsid w:val="00F65210"/>
    <w:rsid w:val="00F65B81"/>
    <w:rsid w:val="00F65DCE"/>
    <w:rsid w:val="00F65FF8"/>
    <w:rsid w:val="00F66144"/>
    <w:rsid w:val="00F66E92"/>
    <w:rsid w:val="00F6713F"/>
    <w:rsid w:val="00F67CC5"/>
    <w:rsid w:val="00F7055F"/>
    <w:rsid w:val="00F70D18"/>
    <w:rsid w:val="00F70F85"/>
    <w:rsid w:val="00F70FB1"/>
    <w:rsid w:val="00F714A2"/>
    <w:rsid w:val="00F72290"/>
    <w:rsid w:val="00F722F8"/>
    <w:rsid w:val="00F724CB"/>
    <w:rsid w:val="00F72DDD"/>
    <w:rsid w:val="00F72DF5"/>
    <w:rsid w:val="00F734DC"/>
    <w:rsid w:val="00F73799"/>
    <w:rsid w:val="00F74251"/>
    <w:rsid w:val="00F74B51"/>
    <w:rsid w:val="00F753A8"/>
    <w:rsid w:val="00F75F0B"/>
    <w:rsid w:val="00F763C0"/>
    <w:rsid w:val="00F76C40"/>
    <w:rsid w:val="00F77784"/>
    <w:rsid w:val="00F77A1B"/>
    <w:rsid w:val="00F77F71"/>
    <w:rsid w:val="00F80E56"/>
    <w:rsid w:val="00F8118F"/>
    <w:rsid w:val="00F81362"/>
    <w:rsid w:val="00F81741"/>
    <w:rsid w:val="00F82BBC"/>
    <w:rsid w:val="00F84624"/>
    <w:rsid w:val="00F848A6"/>
    <w:rsid w:val="00F854EE"/>
    <w:rsid w:val="00F85B58"/>
    <w:rsid w:val="00F8657F"/>
    <w:rsid w:val="00F86676"/>
    <w:rsid w:val="00F87CF3"/>
    <w:rsid w:val="00F90CA4"/>
    <w:rsid w:val="00F91353"/>
    <w:rsid w:val="00F9250D"/>
    <w:rsid w:val="00F9257B"/>
    <w:rsid w:val="00F92CDF"/>
    <w:rsid w:val="00F93BCE"/>
    <w:rsid w:val="00F946AF"/>
    <w:rsid w:val="00F9684A"/>
    <w:rsid w:val="00F9711A"/>
    <w:rsid w:val="00F9740B"/>
    <w:rsid w:val="00F97E2F"/>
    <w:rsid w:val="00FA0825"/>
    <w:rsid w:val="00FA08AD"/>
    <w:rsid w:val="00FA098A"/>
    <w:rsid w:val="00FA0B09"/>
    <w:rsid w:val="00FA1E39"/>
    <w:rsid w:val="00FA2024"/>
    <w:rsid w:val="00FA2F27"/>
    <w:rsid w:val="00FA3280"/>
    <w:rsid w:val="00FA4150"/>
    <w:rsid w:val="00FA4181"/>
    <w:rsid w:val="00FA47FA"/>
    <w:rsid w:val="00FA5766"/>
    <w:rsid w:val="00FA5EF6"/>
    <w:rsid w:val="00FA5F42"/>
    <w:rsid w:val="00FA69C7"/>
    <w:rsid w:val="00FA78AB"/>
    <w:rsid w:val="00FA792F"/>
    <w:rsid w:val="00FA7B9C"/>
    <w:rsid w:val="00FA7D7D"/>
    <w:rsid w:val="00FB1A7F"/>
    <w:rsid w:val="00FB1F9B"/>
    <w:rsid w:val="00FB2D48"/>
    <w:rsid w:val="00FB3E23"/>
    <w:rsid w:val="00FB473B"/>
    <w:rsid w:val="00FB4AB9"/>
    <w:rsid w:val="00FB5362"/>
    <w:rsid w:val="00FB620D"/>
    <w:rsid w:val="00FB6325"/>
    <w:rsid w:val="00FB649C"/>
    <w:rsid w:val="00FB6853"/>
    <w:rsid w:val="00FB6F67"/>
    <w:rsid w:val="00FB75C0"/>
    <w:rsid w:val="00FC00B0"/>
    <w:rsid w:val="00FC056F"/>
    <w:rsid w:val="00FC0AD7"/>
    <w:rsid w:val="00FC10DE"/>
    <w:rsid w:val="00FC17F2"/>
    <w:rsid w:val="00FC1B7A"/>
    <w:rsid w:val="00FC2082"/>
    <w:rsid w:val="00FC23E5"/>
    <w:rsid w:val="00FC2D5F"/>
    <w:rsid w:val="00FC440D"/>
    <w:rsid w:val="00FC44AE"/>
    <w:rsid w:val="00FC5397"/>
    <w:rsid w:val="00FC5603"/>
    <w:rsid w:val="00FC6F42"/>
    <w:rsid w:val="00FD0B28"/>
    <w:rsid w:val="00FD0B64"/>
    <w:rsid w:val="00FD0FC4"/>
    <w:rsid w:val="00FD110E"/>
    <w:rsid w:val="00FD17BA"/>
    <w:rsid w:val="00FD1AED"/>
    <w:rsid w:val="00FD1FA6"/>
    <w:rsid w:val="00FD262E"/>
    <w:rsid w:val="00FD2C9D"/>
    <w:rsid w:val="00FD2F74"/>
    <w:rsid w:val="00FD3B94"/>
    <w:rsid w:val="00FD40DD"/>
    <w:rsid w:val="00FD4384"/>
    <w:rsid w:val="00FD43B3"/>
    <w:rsid w:val="00FD48DD"/>
    <w:rsid w:val="00FD4B30"/>
    <w:rsid w:val="00FD4D4C"/>
    <w:rsid w:val="00FD4FC5"/>
    <w:rsid w:val="00FD5E5B"/>
    <w:rsid w:val="00FD5EE7"/>
    <w:rsid w:val="00FD6295"/>
    <w:rsid w:val="00FD66FE"/>
    <w:rsid w:val="00FD6CFE"/>
    <w:rsid w:val="00FD6ED6"/>
    <w:rsid w:val="00FD71C8"/>
    <w:rsid w:val="00FD7796"/>
    <w:rsid w:val="00FD7922"/>
    <w:rsid w:val="00FE03F9"/>
    <w:rsid w:val="00FE1118"/>
    <w:rsid w:val="00FE14F1"/>
    <w:rsid w:val="00FE1BC5"/>
    <w:rsid w:val="00FE2532"/>
    <w:rsid w:val="00FE287E"/>
    <w:rsid w:val="00FE2EB3"/>
    <w:rsid w:val="00FE38D5"/>
    <w:rsid w:val="00FE40E5"/>
    <w:rsid w:val="00FE44D7"/>
    <w:rsid w:val="00FE4739"/>
    <w:rsid w:val="00FE4DB2"/>
    <w:rsid w:val="00FE5139"/>
    <w:rsid w:val="00FE5C25"/>
    <w:rsid w:val="00FE681D"/>
    <w:rsid w:val="00FE74DF"/>
    <w:rsid w:val="00FE773A"/>
    <w:rsid w:val="00FF05E6"/>
    <w:rsid w:val="00FF0DBD"/>
    <w:rsid w:val="00FF153A"/>
    <w:rsid w:val="00FF1777"/>
    <w:rsid w:val="00FF2100"/>
    <w:rsid w:val="00FF210C"/>
    <w:rsid w:val="00FF29D5"/>
    <w:rsid w:val="00FF3A07"/>
    <w:rsid w:val="00FF3FEA"/>
    <w:rsid w:val="00FF46D0"/>
    <w:rsid w:val="00FF4C68"/>
    <w:rsid w:val="00FF5645"/>
    <w:rsid w:val="00FF6362"/>
    <w:rsid w:val="00FF6A45"/>
    <w:rsid w:val="00FF6E0C"/>
    <w:rsid w:val="00FF6FFA"/>
    <w:rsid w:val="012E9D99"/>
    <w:rsid w:val="013EAFD4"/>
    <w:rsid w:val="01BB7EFD"/>
    <w:rsid w:val="02B54865"/>
    <w:rsid w:val="02CC3415"/>
    <w:rsid w:val="03A88F11"/>
    <w:rsid w:val="0410E4AD"/>
    <w:rsid w:val="041AEE32"/>
    <w:rsid w:val="0491F10E"/>
    <w:rsid w:val="04C272D0"/>
    <w:rsid w:val="0573CFD8"/>
    <w:rsid w:val="05FDADCE"/>
    <w:rsid w:val="06376074"/>
    <w:rsid w:val="0679D737"/>
    <w:rsid w:val="06FB80A6"/>
    <w:rsid w:val="0713776C"/>
    <w:rsid w:val="072650BD"/>
    <w:rsid w:val="074DFC8C"/>
    <w:rsid w:val="077CBCD4"/>
    <w:rsid w:val="07AD0165"/>
    <w:rsid w:val="07C06C73"/>
    <w:rsid w:val="084FF431"/>
    <w:rsid w:val="08AD955D"/>
    <w:rsid w:val="08FFDDD4"/>
    <w:rsid w:val="09CE7C5D"/>
    <w:rsid w:val="09CEC317"/>
    <w:rsid w:val="0A09AE21"/>
    <w:rsid w:val="0A3E8875"/>
    <w:rsid w:val="0B012030"/>
    <w:rsid w:val="0B178EAA"/>
    <w:rsid w:val="0B7BDF32"/>
    <w:rsid w:val="0B82CBA5"/>
    <w:rsid w:val="0B9CFF21"/>
    <w:rsid w:val="0BD76157"/>
    <w:rsid w:val="0C1286C7"/>
    <w:rsid w:val="0C32F644"/>
    <w:rsid w:val="0C7523D2"/>
    <w:rsid w:val="0C86E8A9"/>
    <w:rsid w:val="0CEFA14E"/>
    <w:rsid w:val="0E663528"/>
    <w:rsid w:val="0F7BC173"/>
    <w:rsid w:val="0FF055B0"/>
    <w:rsid w:val="1007D15E"/>
    <w:rsid w:val="102AA548"/>
    <w:rsid w:val="1053CC83"/>
    <w:rsid w:val="10623086"/>
    <w:rsid w:val="11199D33"/>
    <w:rsid w:val="118EFA9B"/>
    <w:rsid w:val="11987DEA"/>
    <w:rsid w:val="1226544D"/>
    <w:rsid w:val="1240CCC7"/>
    <w:rsid w:val="126F0119"/>
    <w:rsid w:val="12C0A381"/>
    <w:rsid w:val="13201BE1"/>
    <w:rsid w:val="1375AFB5"/>
    <w:rsid w:val="13A2D2ED"/>
    <w:rsid w:val="14346B32"/>
    <w:rsid w:val="14CB4E75"/>
    <w:rsid w:val="14F715BC"/>
    <w:rsid w:val="15039564"/>
    <w:rsid w:val="155F4729"/>
    <w:rsid w:val="15798BAD"/>
    <w:rsid w:val="15ADAB6D"/>
    <w:rsid w:val="161535DE"/>
    <w:rsid w:val="165A2E73"/>
    <w:rsid w:val="1705E2CF"/>
    <w:rsid w:val="1758D032"/>
    <w:rsid w:val="17A2E0E6"/>
    <w:rsid w:val="17A671F8"/>
    <w:rsid w:val="17BE6203"/>
    <w:rsid w:val="183E13A2"/>
    <w:rsid w:val="18473283"/>
    <w:rsid w:val="1854F76E"/>
    <w:rsid w:val="1901A9CC"/>
    <w:rsid w:val="1963EC6C"/>
    <w:rsid w:val="1A2257CF"/>
    <w:rsid w:val="1A3CB2AC"/>
    <w:rsid w:val="1A3D7CB4"/>
    <w:rsid w:val="1A4416C1"/>
    <w:rsid w:val="1ABB1F0D"/>
    <w:rsid w:val="1ACB3B03"/>
    <w:rsid w:val="1B1145FD"/>
    <w:rsid w:val="1B16F23C"/>
    <w:rsid w:val="1B4EABD8"/>
    <w:rsid w:val="1C646DE2"/>
    <w:rsid w:val="1CBB7FBF"/>
    <w:rsid w:val="1DA8E700"/>
    <w:rsid w:val="1DA970B0"/>
    <w:rsid w:val="1DBD048F"/>
    <w:rsid w:val="1DE0C0E4"/>
    <w:rsid w:val="1DE25DA3"/>
    <w:rsid w:val="1EE60FDC"/>
    <w:rsid w:val="1F07BB9D"/>
    <w:rsid w:val="1F09280B"/>
    <w:rsid w:val="1F0DD157"/>
    <w:rsid w:val="1F481568"/>
    <w:rsid w:val="1F62AF20"/>
    <w:rsid w:val="1FC782D8"/>
    <w:rsid w:val="205E6E4F"/>
    <w:rsid w:val="20F1A438"/>
    <w:rsid w:val="21405DE2"/>
    <w:rsid w:val="21F2D81E"/>
    <w:rsid w:val="223C7817"/>
    <w:rsid w:val="22BE1F92"/>
    <w:rsid w:val="2340FE32"/>
    <w:rsid w:val="239C4B8B"/>
    <w:rsid w:val="23BE6BFF"/>
    <w:rsid w:val="23CFFF7A"/>
    <w:rsid w:val="23E035FE"/>
    <w:rsid w:val="23F6CEC7"/>
    <w:rsid w:val="24735B02"/>
    <w:rsid w:val="249CB9FB"/>
    <w:rsid w:val="24B2E30E"/>
    <w:rsid w:val="25426B10"/>
    <w:rsid w:val="254B707C"/>
    <w:rsid w:val="25539CCE"/>
    <w:rsid w:val="255E2DCA"/>
    <w:rsid w:val="256A1A50"/>
    <w:rsid w:val="25B7DD58"/>
    <w:rsid w:val="2640C1EE"/>
    <w:rsid w:val="267B7A16"/>
    <w:rsid w:val="269A3568"/>
    <w:rsid w:val="26F9C462"/>
    <w:rsid w:val="2750D218"/>
    <w:rsid w:val="2769C236"/>
    <w:rsid w:val="276C3E6E"/>
    <w:rsid w:val="278079B8"/>
    <w:rsid w:val="2818310E"/>
    <w:rsid w:val="286D526D"/>
    <w:rsid w:val="28ACC726"/>
    <w:rsid w:val="28D1A445"/>
    <w:rsid w:val="297FD9A5"/>
    <w:rsid w:val="29C29177"/>
    <w:rsid w:val="29C4CC17"/>
    <w:rsid w:val="2A802EAB"/>
    <w:rsid w:val="2ADFFAD0"/>
    <w:rsid w:val="2AE78F29"/>
    <w:rsid w:val="2AF5F710"/>
    <w:rsid w:val="2BC9E54C"/>
    <w:rsid w:val="2C0925C6"/>
    <w:rsid w:val="2C6E1D86"/>
    <w:rsid w:val="2CEDFA5E"/>
    <w:rsid w:val="2D50DBE0"/>
    <w:rsid w:val="2DD5D100"/>
    <w:rsid w:val="30577D6D"/>
    <w:rsid w:val="30B4387D"/>
    <w:rsid w:val="30CCF4CB"/>
    <w:rsid w:val="31202490"/>
    <w:rsid w:val="3176B318"/>
    <w:rsid w:val="317C2394"/>
    <w:rsid w:val="318A9BB9"/>
    <w:rsid w:val="31916616"/>
    <w:rsid w:val="31B17D45"/>
    <w:rsid w:val="323775F6"/>
    <w:rsid w:val="3279233A"/>
    <w:rsid w:val="32ACAA12"/>
    <w:rsid w:val="3309C4BA"/>
    <w:rsid w:val="331A0D55"/>
    <w:rsid w:val="334F5B08"/>
    <w:rsid w:val="33769612"/>
    <w:rsid w:val="33F5B977"/>
    <w:rsid w:val="342CE7C9"/>
    <w:rsid w:val="343B2341"/>
    <w:rsid w:val="349247EB"/>
    <w:rsid w:val="34B3E326"/>
    <w:rsid w:val="34DE61F4"/>
    <w:rsid w:val="34DF5BD7"/>
    <w:rsid w:val="360BE8B9"/>
    <w:rsid w:val="378235FB"/>
    <w:rsid w:val="380E273E"/>
    <w:rsid w:val="3853487E"/>
    <w:rsid w:val="389798A7"/>
    <w:rsid w:val="389A0AE2"/>
    <w:rsid w:val="394B5A9E"/>
    <w:rsid w:val="397DAAC8"/>
    <w:rsid w:val="39B1FD28"/>
    <w:rsid w:val="3A02ADD2"/>
    <w:rsid w:val="3A2E32EA"/>
    <w:rsid w:val="3A8CF1E9"/>
    <w:rsid w:val="3ADAF199"/>
    <w:rsid w:val="3B0D1A94"/>
    <w:rsid w:val="3B2D7660"/>
    <w:rsid w:val="3B8F92E7"/>
    <w:rsid w:val="3CA87D54"/>
    <w:rsid w:val="3CE69F2A"/>
    <w:rsid w:val="3D38566D"/>
    <w:rsid w:val="3D73B2D9"/>
    <w:rsid w:val="3DABAA88"/>
    <w:rsid w:val="3DC1100D"/>
    <w:rsid w:val="3DE839D9"/>
    <w:rsid w:val="3DE9BA58"/>
    <w:rsid w:val="3DF96E1E"/>
    <w:rsid w:val="3E20AB27"/>
    <w:rsid w:val="3E4E4C2B"/>
    <w:rsid w:val="3E76C59F"/>
    <w:rsid w:val="3E7B40FA"/>
    <w:rsid w:val="3E9D0E79"/>
    <w:rsid w:val="3FCFEE70"/>
    <w:rsid w:val="3FED329B"/>
    <w:rsid w:val="40578FF6"/>
    <w:rsid w:val="4095706C"/>
    <w:rsid w:val="41A63A5B"/>
    <w:rsid w:val="428A11FC"/>
    <w:rsid w:val="42CA1EBE"/>
    <w:rsid w:val="43A11F7E"/>
    <w:rsid w:val="43ABC875"/>
    <w:rsid w:val="43B06A51"/>
    <w:rsid w:val="44399792"/>
    <w:rsid w:val="4472B1C6"/>
    <w:rsid w:val="449CCAD5"/>
    <w:rsid w:val="44CD7770"/>
    <w:rsid w:val="4587ECC0"/>
    <w:rsid w:val="4696819E"/>
    <w:rsid w:val="472C804A"/>
    <w:rsid w:val="48CB2686"/>
    <w:rsid w:val="48D693B6"/>
    <w:rsid w:val="496628A4"/>
    <w:rsid w:val="4981E102"/>
    <w:rsid w:val="49BC82C1"/>
    <w:rsid w:val="4A2C601D"/>
    <w:rsid w:val="4A398626"/>
    <w:rsid w:val="4A57EDA1"/>
    <w:rsid w:val="4A5CD5A7"/>
    <w:rsid w:val="4A8638F1"/>
    <w:rsid w:val="4A893BA2"/>
    <w:rsid w:val="4AB3D6DF"/>
    <w:rsid w:val="4AE4F7B4"/>
    <w:rsid w:val="4B05C1BE"/>
    <w:rsid w:val="4B0A7828"/>
    <w:rsid w:val="4B499492"/>
    <w:rsid w:val="4B61F7F7"/>
    <w:rsid w:val="4BC3A438"/>
    <w:rsid w:val="4C2C21D2"/>
    <w:rsid w:val="4C73A453"/>
    <w:rsid w:val="4C7BE0E3"/>
    <w:rsid w:val="4CC2AB99"/>
    <w:rsid w:val="4D9CFD22"/>
    <w:rsid w:val="4DAB90B7"/>
    <w:rsid w:val="4F2178CB"/>
    <w:rsid w:val="4F4962DF"/>
    <w:rsid w:val="4F663737"/>
    <w:rsid w:val="4F6830C7"/>
    <w:rsid w:val="4F9B8838"/>
    <w:rsid w:val="4FF86575"/>
    <w:rsid w:val="50D4AF43"/>
    <w:rsid w:val="51C90E2A"/>
    <w:rsid w:val="5264A802"/>
    <w:rsid w:val="53513E5F"/>
    <w:rsid w:val="5398D482"/>
    <w:rsid w:val="53B5455C"/>
    <w:rsid w:val="540D8535"/>
    <w:rsid w:val="5435CF3B"/>
    <w:rsid w:val="54773FB8"/>
    <w:rsid w:val="547D6C58"/>
    <w:rsid w:val="5495FD96"/>
    <w:rsid w:val="54C46957"/>
    <w:rsid w:val="5502C43A"/>
    <w:rsid w:val="55063826"/>
    <w:rsid w:val="553DFA92"/>
    <w:rsid w:val="55A2E22C"/>
    <w:rsid w:val="55AB49FC"/>
    <w:rsid w:val="560BF6B1"/>
    <w:rsid w:val="560F5BC3"/>
    <w:rsid w:val="565544BE"/>
    <w:rsid w:val="56E21677"/>
    <w:rsid w:val="57099CD1"/>
    <w:rsid w:val="57AEF70B"/>
    <w:rsid w:val="582BF752"/>
    <w:rsid w:val="585F4BD5"/>
    <w:rsid w:val="58A56D32"/>
    <w:rsid w:val="58B730A4"/>
    <w:rsid w:val="5930C99B"/>
    <w:rsid w:val="596D0D01"/>
    <w:rsid w:val="5996C177"/>
    <w:rsid w:val="59A1CFEE"/>
    <w:rsid w:val="59C43062"/>
    <w:rsid w:val="59F382D3"/>
    <w:rsid w:val="5A2739AE"/>
    <w:rsid w:val="5A2BEAED"/>
    <w:rsid w:val="5BEE67A3"/>
    <w:rsid w:val="5C1B84F3"/>
    <w:rsid w:val="5C4F1AC2"/>
    <w:rsid w:val="5C693C9D"/>
    <w:rsid w:val="5C6BA834"/>
    <w:rsid w:val="5C969EC6"/>
    <w:rsid w:val="5D642D26"/>
    <w:rsid w:val="5D7E6264"/>
    <w:rsid w:val="5D836146"/>
    <w:rsid w:val="5E329ECB"/>
    <w:rsid w:val="5E33C95B"/>
    <w:rsid w:val="5E8A9DE9"/>
    <w:rsid w:val="5EED406C"/>
    <w:rsid w:val="606EEFBB"/>
    <w:rsid w:val="6119552F"/>
    <w:rsid w:val="619E3288"/>
    <w:rsid w:val="6225F521"/>
    <w:rsid w:val="62C90A1F"/>
    <w:rsid w:val="6372A179"/>
    <w:rsid w:val="638451A8"/>
    <w:rsid w:val="6390E79A"/>
    <w:rsid w:val="63AFEA79"/>
    <w:rsid w:val="63D54212"/>
    <w:rsid w:val="645189A0"/>
    <w:rsid w:val="6456C7D6"/>
    <w:rsid w:val="64B023B2"/>
    <w:rsid w:val="64EEAC3F"/>
    <w:rsid w:val="65078280"/>
    <w:rsid w:val="659F74AB"/>
    <w:rsid w:val="65E3AC61"/>
    <w:rsid w:val="661339F9"/>
    <w:rsid w:val="661F0440"/>
    <w:rsid w:val="6636246C"/>
    <w:rsid w:val="663F0B2C"/>
    <w:rsid w:val="66470BCF"/>
    <w:rsid w:val="66713F27"/>
    <w:rsid w:val="6673ED86"/>
    <w:rsid w:val="66824610"/>
    <w:rsid w:val="66DBD4FA"/>
    <w:rsid w:val="681CB03D"/>
    <w:rsid w:val="68A7B5D9"/>
    <w:rsid w:val="68B245FD"/>
    <w:rsid w:val="6900A6C3"/>
    <w:rsid w:val="692E9748"/>
    <w:rsid w:val="69382181"/>
    <w:rsid w:val="69694960"/>
    <w:rsid w:val="699EF7BD"/>
    <w:rsid w:val="69BDF879"/>
    <w:rsid w:val="6A077DFE"/>
    <w:rsid w:val="6A0EBCB1"/>
    <w:rsid w:val="6AB59C2D"/>
    <w:rsid w:val="6AC99569"/>
    <w:rsid w:val="6B677F9B"/>
    <w:rsid w:val="6B994DD7"/>
    <w:rsid w:val="6BF5E503"/>
    <w:rsid w:val="6C6FC243"/>
    <w:rsid w:val="6D3B7ACC"/>
    <w:rsid w:val="6D57B844"/>
    <w:rsid w:val="6DD394C1"/>
    <w:rsid w:val="6E0B92A4"/>
    <w:rsid w:val="6E477FEF"/>
    <w:rsid w:val="6E8412DA"/>
    <w:rsid w:val="6EEB60B6"/>
    <w:rsid w:val="6EFCE361"/>
    <w:rsid w:val="6F0EE069"/>
    <w:rsid w:val="6F230CC0"/>
    <w:rsid w:val="6F257942"/>
    <w:rsid w:val="6F3D8ED2"/>
    <w:rsid w:val="6F65829B"/>
    <w:rsid w:val="6F8242DF"/>
    <w:rsid w:val="6FFBE33A"/>
    <w:rsid w:val="7001A28E"/>
    <w:rsid w:val="7004B4FE"/>
    <w:rsid w:val="704D3A16"/>
    <w:rsid w:val="70672666"/>
    <w:rsid w:val="707FA10E"/>
    <w:rsid w:val="7168C8E5"/>
    <w:rsid w:val="71A4A5A5"/>
    <w:rsid w:val="71C57697"/>
    <w:rsid w:val="71CBFEA7"/>
    <w:rsid w:val="71DA5926"/>
    <w:rsid w:val="72353790"/>
    <w:rsid w:val="7302ABA8"/>
    <w:rsid w:val="730E5F4A"/>
    <w:rsid w:val="73498974"/>
    <w:rsid w:val="738B8AAE"/>
    <w:rsid w:val="73D941D6"/>
    <w:rsid w:val="743B8260"/>
    <w:rsid w:val="74A11AF8"/>
    <w:rsid w:val="74B79DF9"/>
    <w:rsid w:val="74BFF19F"/>
    <w:rsid w:val="751FF314"/>
    <w:rsid w:val="7556B989"/>
    <w:rsid w:val="756946D1"/>
    <w:rsid w:val="75742FF1"/>
    <w:rsid w:val="7609F5C3"/>
    <w:rsid w:val="763FD5DB"/>
    <w:rsid w:val="76620F9F"/>
    <w:rsid w:val="769897B1"/>
    <w:rsid w:val="76F59D78"/>
    <w:rsid w:val="7731BFEC"/>
    <w:rsid w:val="777980C5"/>
    <w:rsid w:val="779D59FE"/>
    <w:rsid w:val="7812DA0E"/>
    <w:rsid w:val="785A7FC8"/>
    <w:rsid w:val="786FA3E1"/>
    <w:rsid w:val="78792EDD"/>
    <w:rsid w:val="78FCA7BC"/>
    <w:rsid w:val="7932ADFB"/>
    <w:rsid w:val="7956C265"/>
    <w:rsid w:val="79651DD9"/>
    <w:rsid w:val="79B2DD0E"/>
    <w:rsid w:val="79CC38EB"/>
    <w:rsid w:val="79DB62AF"/>
    <w:rsid w:val="79DF00DE"/>
    <w:rsid w:val="79E0054E"/>
    <w:rsid w:val="7AA45262"/>
    <w:rsid w:val="7AB015E9"/>
    <w:rsid w:val="7B05EBC1"/>
    <w:rsid w:val="7B0DB68E"/>
    <w:rsid w:val="7B31A34F"/>
    <w:rsid w:val="7B449064"/>
    <w:rsid w:val="7B4F71FC"/>
    <w:rsid w:val="7BE79C55"/>
    <w:rsid w:val="7C27A62C"/>
    <w:rsid w:val="7C63C404"/>
    <w:rsid w:val="7C8F003A"/>
    <w:rsid w:val="7D0942AF"/>
    <w:rsid w:val="7D3B02CB"/>
    <w:rsid w:val="7D839885"/>
    <w:rsid w:val="7E25C93C"/>
    <w:rsid w:val="7E4ADBF1"/>
    <w:rsid w:val="7EA03322"/>
    <w:rsid w:val="7EA37A36"/>
    <w:rsid w:val="7F01849F"/>
    <w:rsid w:val="7FA238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AA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semiHidden/>
    <w:unhideWhenUsed/>
    <w:qFormat/>
    <w:rsid w:val="00036C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0973AF"/>
    <w:pPr>
      <w:keepNext/>
      <w:spacing w:before="360" w:after="120" w:line="240" w:lineRule="auto"/>
      <w:outlineLvl w:val="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Light" w:hAnsi="Yu Gothic UI Ligh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0973AF"/>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Dossier table,Section 3- footnotes,CMA Table Template,PBAC table,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Bullets Points,Styl moj,Akapit z listą1,Akapit z listą11,ES Paragraph,PBAC ES Paragraph,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Yu Gothic UI Light" w:hAnsi="@Yu Gothic UI Ligh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Yu Gothic UI Light" w:hAnsi="@Yu Gothic UI Ligh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Yu Gothic UI Light" w:hAnsi="@Yu Gothic UI Ligh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292E79"/>
    <w:rPr>
      <w:color w:val="605E5C"/>
      <w:shd w:val="clear" w:color="auto" w:fill="E1DFDD"/>
    </w:rPr>
  </w:style>
  <w:style w:type="table" w:customStyle="1" w:styleId="TableGridLight2">
    <w:name w:val="Table Grid Light2"/>
    <w:basedOn w:val="TableNormal"/>
    <w:next w:val="TableGridLight"/>
    <w:uiPriority w:val="40"/>
    <w:rsid w:val="00B503AD"/>
    <w:pPr>
      <w:spacing w:after="0" w:line="240" w:lineRule="auto"/>
    </w:pPr>
    <w:rPr>
      <w:rFonts w:ascii="Times New Roman" w:eastAsia="Times New Roman" w:hAnsi="Times New Roman" w:cs="Times New Roman"/>
      <w:sz w:val="20"/>
      <w:szCs w:val="20"/>
      <w:lang w:eastAsia="en-A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B503AD"/>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B503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97B6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HealthConsult3">
    <w:name w:val="HealthConsult3"/>
    <w:basedOn w:val="TableNormal"/>
    <w:next w:val="TableGrid"/>
    <w:uiPriority w:val="59"/>
    <w:rsid w:val="0038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38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5CDD"/>
    <w:pPr>
      <w:spacing w:after="0" w:line="240" w:lineRule="auto"/>
    </w:pPr>
    <w:rPr>
      <w:rFonts w:eastAsia="Times New Roman"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E2C4D"/>
    <w:rPr>
      <w:color w:val="2B579A"/>
      <w:shd w:val="clear" w:color="auto" w:fill="E1DFDD"/>
    </w:rPr>
  </w:style>
  <w:style w:type="character" w:customStyle="1" w:styleId="Heading5Char">
    <w:name w:val="Heading 5 Char"/>
    <w:basedOn w:val="DefaultParagraphFont"/>
    <w:link w:val="Heading5"/>
    <w:uiPriority w:val="9"/>
    <w:semiHidden/>
    <w:rsid w:val="00036CBB"/>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036CBB"/>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styleId="BodyText">
    <w:name w:val="Body Text"/>
    <w:basedOn w:val="Normal"/>
    <w:link w:val="BodyTextChar"/>
    <w:rsid w:val="008A03A9"/>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8A03A9"/>
    <w:rPr>
      <w:rFonts w:ascii="Book Antiqua" w:eastAsia="Times New Roman" w:hAnsi="Book Antiqua" w:cs="Times New Roman"/>
      <w:sz w:val="24"/>
      <w:szCs w:val="20"/>
    </w:rPr>
  </w:style>
  <w:style w:type="paragraph" w:customStyle="1" w:styleId="BulletBeforeDash">
    <w:name w:val="BulletBeforeDash"/>
    <w:basedOn w:val="Normal"/>
    <w:rsid w:val="00640614"/>
    <w:pPr>
      <w:numPr>
        <w:numId w:val="29"/>
      </w:numPr>
      <w:spacing w:before="0" w:after="0" w:line="240" w:lineRule="auto"/>
    </w:pPr>
    <w:rPr>
      <w:rFonts w:ascii="Times New Roman" w:eastAsia="Times New Roman" w:hAnsi="Times New Roman" w:cs="Times New Roman"/>
      <w:color w:val="000000"/>
      <w:sz w:val="24"/>
      <w:szCs w:val="20"/>
      <w:lang w:eastAsia="en-AU"/>
    </w:rPr>
  </w:style>
  <w:style w:type="character" w:customStyle="1" w:styleId="normaltextrun">
    <w:name w:val="normaltextrun"/>
    <w:basedOn w:val="DefaultParagraphFont"/>
    <w:rsid w:val="00640614"/>
  </w:style>
  <w:style w:type="character" w:customStyle="1" w:styleId="eop">
    <w:name w:val="eop"/>
    <w:basedOn w:val="DefaultParagraphFont"/>
    <w:rsid w:val="00640614"/>
  </w:style>
  <w:style w:type="paragraph" w:customStyle="1" w:styleId="CharCharChar">
    <w:name w:val="Char Char Char"/>
    <w:basedOn w:val="Normal"/>
    <w:uiPriority w:val="99"/>
    <w:rsid w:val="00D36639"/>
    <w:pPr>
      <w:spacing w:before="0" w:after="0" w:line="240" w:lineRule="auto"/>
    </w:pPr>
    <w:rPr>
      <w:rFonts w:ascii="Arial" w:eastAsia="Times New Roman" w:hAnsi="Arial" w:cs="Arial"/>
    </w:rPr>
  </w:style>
  <w:style w:type="paragraph" w:customStyle="1" w:styleId="C1HBullet">
    <w:name w:val="C1H Bullet"/>
    <w:basedOn w:val="Normal"/>
    <w:uiPriority w:val="99"/>
    <w:rsid w:val="00D36639"/>
    <w:pPr>
      <w:tabs>
        <w:tab w:val="num" w:pos="1440"/>
      </w:tabs>
      <w:spacing w:before="0" w:after="0" w:line="240" w:lineRule="auto"/>
      <w:ind w:left="1440" w:hanging="360"/>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4274544">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3823911">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2030284">
      <w:bodyDiv w:val="1"/>
      <w:marLeft w:val="0"/>
      <w:marRight w:val="0"/>
      <w:marTop w:val="0"/>
      <w:marBottom w:val="0"/>
      <w:divBdr>
        <w:top w:val="none" w:sz="0" w:space="0" w:color="auto"/>
        <w:left w:val="none" w:sz="0" w:space="0" w:color="auto"/>
        <w:bottom w:val="none" w:sz="0" w:space="0" w:color="auto"/>
        <w:right w:val="none" w:sz="0" w:space="0" w:color="auto"/>
      </w:divBdr>
    </w:div>
    <w:div w:id="379131012">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5029879">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852132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1360232">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3882920">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87800968">
      <w:bodyDiv w:val="1"/>
      <w:marLeft w:val="0"/>
      <w:marRight w:val="0"/>
      <w:marTop w:val="0"/>
      <w:marBottom w:val="0"/>
      <w:divBdr>
        <w:top w:val="none" w:sz="0" w:space="0" w:color="auto"/>
        <w:left w:val="none" w:sz="0" w:space="0" w:color="auto"/>
        <w:bottom w:val="none" w:sz="0" w:space="0" w:color="auto"/>
        <w:right w:val="none" w:sz="0" w:space="0" w:color="auto"/>
      </w:divBdr>
    </w:div>
    <w:div w:id="1388215986">
      <w:bodyDiv w:val="1"/>
      <w:marLeft w:val="0"/>
      <w:marRight w:val="0"/>
      <w:marTop w:val="0"/>
      <w:marBottom w:val="0"/>
      <w:divBdr>
        <w:top w:val="none" w:sz="0" w:space="0" w:color="auto"/>
        <w:left w:val="none" w:sz="0" w:space="0" w:color="auto"/>
        <w:bottom w:val="none" w:sz="0" w:space="0" w:color="auto"/>
        <w:right w:val="none" w:sz="0" w:space="0" w:color="auto"/>
      </w:divBdr>
    </w:div>
    <w:div w:id="139901199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5079509">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8928930">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1978072">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37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9BF32AEFCCEBCB7FCA2586D200218621/$File/1627%20Final%20PSD-Nov2022_redacted.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afetyandquality.gov.au/publications-and-resources/resource-library/requirements-point-care-testing-second-edition-202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27-publ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9BF32AEFCCEBCB7FCA2586D200218621/$File/1627%20Final%20PSD-Nov2022_redacted.pdf" TargetMode="External"/><Relationship Id="rId23" Type="http://schemas.openxmlformats.org/officeDocument/2006/relationships/hyperlink" Target="http://msac.gov.au/internet/msac/publishing.nsf/Content/Home-1" TargetMode="External"/><Relationship Id="rId10" Type="http://schemas.openxmlformats.org/officeDocument/2006/relationships/hyperlink" Target="http://www.msac.gov.au/internet/msac/publishing.nsf/Content/1627-publi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internet/msac/publishing.nsf/Content/1627-public" TargetMode="External"/><Relationship Id="rId14" Type="http://schemas.openxmlformats.org/officeDocument/2006/relationships/hyperlink" Target="http://www.msac.gov.au/internet/msac/publishing.nsf/Content/9BF32AEFCCEBCB7FCA2586D200218621/$File/1627%20Final%20PSD-Nov2022_redacted.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standards/australian-statistical-geography-standard-asgs-edition-3/jul2021-jun2026/remoteness-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10695</Words>
  <Characters>60967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71519</CharactersWithSpaces>
  <SharedDoc>false</SharedDoc>
  <HyperlinkBase/>
  <HLinks>
    <vt:vector size="114" baseType="variant">
      <vt:variant>
        <vt:i4>6684716</vt:i4>
      </vt:variant>
      <vt:variant>
        <vt:i4>126</vt:i4>
      </vt:variant>
      <vt:variant>
        <vt:i4>0</vt:i4>
      </vt:variant>
      <vt:variant>
        <vt:i4>5</vt:i4>
      </vt:variant>
      <vt:variant>
        <vt:lpwstr>http://msac.gov.au/internet/msac/publishing.nsf/Content/Home-1</vt:lpwstr>
      </vt:variant>
      <vt:variant>
        <vt:lpwstr/>
      </vt:variant>
      <vt:variant>
        <vt:i4>1507385</vt:i4>
      </vt:variant>
      <vt:variant>
        <vt:i4>69</vt:i4>
      </vt:variant>
      <vt:variant>
        <vt:i4>0</vt:i4>
      </vt:variant>
      <vt:variant>
        <vt:i4>5</vt:i4>
      </vt:variant>
      <vt:variant>
        <vt:lpwstr>http://www.msac.gov.au/internet/msac/publishing.nsf/Content/9BF32AEFCCEBCB7FCA2586D200218621/$File/1627 Final PSD-Nov2022_redacted.pdf</vt:lpwstr>
      </vt:variant>
      <vt:variant>
        <vt:lpwstr/>
      </vt:variant>
      <vt:variant>
        <vt:i4>1507385</vt:i4>
      </vt:variant>
      <vt:variant>
        <vt:i4>66</vt:i4>
      </vt:variant>
      <vt:variant>
        <vt:i4>0</vt:i4>
      </vt:variant>
      <vt:variant>
        <vt:i4>5</vt:i4>
      </vt:variant>
      <vt:variant>
        <vt:lpwstr>http://www.msac.gov.au/internet/msac/publishing.nsf/Content/9BF32AEFCCEBCB7FCA2586D200218621/$File/1627 Final PSD-Nov2022_redacted.pdf</vt:lpwstr>
      </vt:variant>
      <vt:variant>
        <vt:lpwstr/>
      </vt:variant>
      <vt:variant>
        <vt:i4>1507385</vt:i4>
      </vt:variant>
      <vt:variant>
        <vt:i4>36</vt:i4>
      </vt:variant>
      <vt:variant>
        <vt:i4>0</vt:i4>
      </vt:variant>
      <vt:variant>
        <vt:i4>5</vt:i4>
      </vt:variant>
      <vt:variant>
        <vt:lpwstr>http://www.msac.gov.au/internet/msac/publishing.nsf/Content/9BF32AEFCCEBCB7FCA2586D200218621/$File/1627 Final PSD-Nov2022_redacted.pdf</vt:lpwstr>
      </vt:variant>
      <vt:variant>
        <vt:lpwstr/>
      </vt:variant>
      <vt:variant>
        <vt:i4>8323130</vt:i4>
      </vt:variant>
      <vt:variant>
        <vt:i4>30</vt:i4>
      </vt:variant>
      <vt:variant>
        <vt:i4>0</vt:i4>
      </vt:variant>
      <vt:variant>
        <vt:i4>5</vt:i4>
      </vt:variant>
      <vt:variant>
        <vt:lpwstr>https://www.safetyandquality.gov.au/publications-and-resources/resource-library/requirements-point-care-testing-second-edition-2021</vt:lpwstr>
      </vt:variant>
      <vt:variant>
        <vt:lpwstr/>
      </vt:variant>
      <vt:variant>
        <vt:i4>2556010</vt:i4>
      </vt:variant>
      <vt:variant>
        <vt:i4>24</vt:i4>
      </vt:variant>
      <vt:variant>
        <vt:i4>0</vt:i4>
      </vt:variant>
      <vt:variant>
        <vt:i4>5</vt:i4>
      </vt:variant>
      <vt:variant>
        <vt:lpwstr>http://www.msac.gov.au/internet/msac/publishing.nsf/Content/1627-public</vt:lpwstr>
      </vt:variant>
      <vt:variant>
        <vt:lpwstr/>
      </vt:variant>
      <vt:variant>
        <vt:i4>2556010</vt:i4>
      </vt:variant>
      <vt:variant>
        <vt:i4>6</vt:i4>
      </vt:variant>
      <vt:variant>
        <vt:i4>0</vt:i4>
      </vt:variant>
      <vt:variant>
        <vt:i4>5</vt:i4>
      </vt:variant>
      <vt:variant>
        <vt:lpwstr>http://www.msac.gov.au/internet/msac/publishing.nsf/Content/1627-public</vt:lpwstr>
      </vt:variant>
      <vt:variant>
        <vt:lpwstr/>
      </vt:variant>
      <vt:variant>
        <vt:i4>2556010</vt:i4>
      </vt:variant>
      <vt:variant>
        <vt:i4>3</vt:i4>
      </vt:variant>
      <vt:variant>
        <vt:i4>0</vt:i4>
      </vt:variant>
      <vt:variant>
        <vt:i4>5</vt:i4>
      </vt:variant>
      <vt:variant>
        <vt:lpwstr>http://www.msac.gov.au/internet/msac/publishing.nsf/Content/1627-public</vt:lpwstr>
      </vt:variant>
      <vt:variant>
        <vt:lpwstr/>
      </vt:variant>
      <vt:variant>
        <vt:i4>3997744</vt:i4>
      </vt:variant>
      <vt:variant>
        <vt:i4>0</vt:i4>
      </vt:variant>
      <vt:variant>
        <vt:i4>0</vt:i4>
      </vt:variant>
      <vt:variant>
        <vt:i4>5</vt:i4>
      </vt:variant>
      <vt:variant>
        <vt:lpwstr>http://www.msac.gov.au/</vt:lpwstr>
      </vt:variant>
      <vt:variant>
        <vt:lpwstr/>
      </vt:variant>
      <vt:variant>
        <vt:i4>2031622</vt:i4>
      </vt:variant>
      <vt:variant>
        <vt:i4>0</vt:i4>
      </vt:variant>
      <vt:variant>
        <vt:i4>0</vt:i4>
      </vt:variant>
      <vt:variant>
        <vt:i4>5</vt:i4>
      </vt:variant>
      <vt:variant>
        <vt:lpwstr>https://www.abs.gov.au/statistics/standards/australian-statistical-geography-standard-asgs-edition-3/jul2021-jun2026/remoteness-structure</vt:lpwstr>
      </vt:variant>
      <vt:variant>
        <vt:lpwstr/>
      </vt:variant>
      <vt:variant>
        <vt:i4>4259907</vt:i4>
      </vt:variant>
      <vt:variant>
        <vt:i4>24</vt:i4>
      </vt:variant>
      <vt:variant>
        <vt:i4>0</vt:i4>
      </vt:variant>
      <vt:variant>
        <vt:i4>5</vt:i4>
      </vt:variant>
      <vt:variant>
        <vt:lpwstr>http://www.msac.gov.au/internet/msac/publishing.nsf/Content/FAQ-01</vt:lpwstr>
      </vt:variant>
      <vt:variant>
        <vt:lpwstr>FAQ1.1</vt:lpwstr>
      </vt:variant>
      <vt:variant>
        <vt:i4>5177461</vt:i4>
      </vt:variant>
      <vt:variant>
        <vt:i4>21</vt:i4>
      </vt:variant>
      <vt:variant>
        <vt:i4>0</vt:i4>
      </vt:variant>
      <vt:variant>
        <vt:i4>5</vt:i4>
      </vt:variant>
      <vt:variant>
        <vt:lpwstr>mailto:Ric.Howard@health.gov.au</vt:lpwstr>
      </vt:variant>
      <vt:variant>
        <vt:lpwstr/>
      </vt:variant>
      <vt:variant>
        <vt:i4>5177461</vt:i4>
      </vt:variant>
      <vt:variant>
        <vt:i4>18</vt:i4>
      </vt:variant>
      <vt:variant>
        <vt:i4>0</vt:i4>
      </vt:variant>
      <vt:variant>
        <vt:i4>5</vt:i4>
      </vt:variant>
      <vt:variant>
        <vt:lpwstr>mailto:Ric.Howard@health.gov.au</vt:lpwstr>
      </vt:variant>
      <vt:variant>
        <vt:lpwstr/>
      </vt:variant>
      <vt:variant>
        <vt:i4>7536724</vt:i4>
      </vt:variant>
      <vt:variant>
        <vt:i4>15</vt:i4>
      </vt:variant>
      <vt:variant>
        <vt:i4>0</vt:i4>
      </vt:variant>
      <vt:variant>
        <vt:i4>5</vt:i4>
      </vt:variant>
      <vt:variant>
        <vt:lpwstr>mailto:Natasha.Kelly@health.gov.au</vt:lpwstr>
      </vt:variant>
      <vt:variant>
        <vt:lpwstr/>
      </vt:variant>
      <vt:variant>
        <vt:i4>7536724</vt:i4>
      </vt:variant>
      <vt:variant>
        <vt:i4>12</vt:i4>
      </vt:variant>
      <vt:variant>
        <vt:i4>0</vt:i4>
      </vt:variant>
      <vt:variant>
        <vt:i4>5</vt:i4>
      </vt:variant>
      <vt:variant>
        <vt:lpwstr>mailto:Natasha.Kelly@health.gov.au</vt:lpwstr>
      </vt:variant>
      <vt:variant>
        <vt:lpwstr/>
      </vt:variant>
      <vt:variant>
        <vt:i4>6946897</vt:i4>
      </vt:variant>
      <vt:variant>
        <vt:i4>9</vt:i4>
      </vt:variant>
      <vt:variant>
        <vt:i4>0</vt:i4>
      </vt:variant>
      <vt:variant>
        <vt:i4>5</vt:i4>
      </vt:variant>
      <vt:variant>
        <vt:lpwstr>mailto:Angela.LUANGRATH@Health.gov.au</vt:lpwstr>
      </vt:variant>
      <vt:variant>
        <vt:lpwstr/>
      </vt:variant>
      <vt:variant>
        <vt:i4>7536724</vt:i4>
      </vt:variant>
      <vt:variant>
        <vt:i4>6</vt:i4>
      </vt:variant>
      <vt:variant>
        <vt:i4>0</vt:i4>
      </vt:variant>
      <vt:variant>
        <vt:i4>5</vt:i4>
      </vt:variant>
      <vt:variant>
        <vt:lpwstr>mailto:Natasha.Kelly@health.gov.au</vt:lpwstr>
      </vt:variant>
      <vt:variant>
        <vt:lpwstr/>
      </vt:variant>
      <vt:variant>
        <vt:i4>393252</vt:i4>
      </vt:variant>
      <vt:variant>
        <vt:i4>3</vt:i4>
      </vt:variant>
      <vt:variant>
        <vt:i4>0</vt:i4>
      </vt:variant>
      <vt:variant>
        <vt:i4>5</vt:i4>
      </vt:variant>
      <vt:variant>
        <vt:lpwstr>mailto:Carolyn.Hambley@health.gov.au</vt:lpwstr>
      </vt:variant>
      <vt:variant>
        <vt:lpwstr/>
      </vt:variant>
      <vt:variant>
        <vt:i4>7536724</vt:i4>
      </vt:variant>
      <vt:variant>
        <vt:i4>0</vt:i4>
      </vt:variant>
      <vt:variant>
        <vt:i4>0</vt:i4>
      </vt:variant>
      <vt:variant>
        <vt:i4>5</vt:i4>
      </vt:variant>
      <vt:variant>
        <vt:lpwstr>mailto:Natasha.Kelly@health.gov.au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2024-02-08T02:42:00Z</dcterms:created>
  <dcterms:modified xsi:type="dcterms:W3CDTF">2024-02-08T21:34:00Z</dcterms:modified>
  <cp:category/>
</cp:coreProperties>
</file>