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490FBB" w:rsidRDefault="006478E7" w:rsidP="00B9472E">
      <w:pPr>
        <w:tabs>
          <w:tab w:val="left" w:pos="2268"/>
        </w:tabs>
        <w:spacing w:before="120" w:after="120" w:line="312" w:lineRule="auto"/>
        <w:jc w:val="center"/>
      </w:pPr>
    </w:p>
    <w:p w14:paraId="50B6D781" w14:textId="7E6FC446"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9234DF">
        <w:rPr>
          <w:sz w:val="48"/>
          <w:szCs w:val="48"/>
        </w:rPr>
        <w:t>1743</w:t>
      </w:r>
    </w:p>
    <w:p w14:paraId="11765312" w14:textId="3ECEC62F" w:rsidR="006478E7" w:rsidRPr="00490FBB" w:rsidRDefault="5E5562B7" w:rsidP="2DFE3BCF">
      <w:pPr>
        <w:pStyle w:val="Heading10"/>
        <w:jc w:val="center"/>
        <w:rPr>
          <w:color w:val="548DD4"/>
          <w:sz w:val="48"/>
          <w:szCs w:val="48"/>
        </w:rPr>
      </w:pPr>
      <w:r w:rsidRPr="0CA6515C">
        <w:rPr>
          <w:color w:val="548DD4"/>
          <w:sz w:val="48"/>
          <w:szCs w:val="48"/>
        </w:rPr>
        <w:t xml:space="preserve">Optical coherence tomography </w:t>
      </w:r>
      <w:r w:rsidR="741AFD4B" w:rsidRPr="0CA6515C">
        <w:rPr>
          <w:color w:val="548DD4"/>
          <w:sz w:val="48"/>
          <w:szCs w:val="48"/>
        </w:rPr>
        <w:t xml:space="preserve">(OCT) </w:t>
      </w:r>
      <w:r w:rsidRPr="0CA6515C">
        <w:rPr>
          <w:color w:val="548DD4"/>
          <w:sz w:val="48"/>
          <w:szCs w:val="48"/>
        </w:rPr>
        <w:t>guided coronary stent insertion</w:t>
      </w:r>
      <w:r w:rsidR="1153AEF2" w:rsidRPr="0CA6515C">
        <w:rPr>
          <w:color w:val="548DD4"/>
          <w:sz w:val="48"/>
          <w:szCs w:val="48"/>
        </w:rPr>
        <w:t xml:space="preserve"> for patients eligible for coronary revascularisation</w:t>
      </w:r>
    </w:p>
    <w:p w14:paraId="23900CA0" w14:textId="3FC84762" w:rsidR="006478E7" w:rsidRPr="00490FBB" w:rsidRDefault="006478E7" w:rsidP="00BB0FFB">
      <w:pPr>
        <w:pStyle w:val="Heading1"/>
      </w:pPr>
      <w:r>
        <w:t>PICO Confirmation</w:t>
      </w:r>
      <w:r w:rsidR="00CC2491">
        <w:br w:type="page"/>
      </w:r>
    </w:p>
    <w:p w14:paraId="219312C8" w14:textId="77777777" w:rsidR="006478E7" w:rsidRPr="00D52956"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58357ACA" w:rsidR="00D52956" w:rsidRDefault="7E2A1EF6" w:rsidP="6306913B">
      <w:pPr>
        <w:pStyle w:val="TableHeading"/>
      </w:pPr>
      <w:bookmarkStart w:id="0" w:name="_Ref69732155"/>
      <w:bookmarkStart w:id="1" w:name="_Ref69732160"/>
      <w:r>
        <w:t>Table</w:t>
      </w:r>
      <w:r w:rsidR="551FB928">
        <w:t> </w:t>
      </w:r>
      <w:r>
        <w:fldChar w:fldCharType="begin"/>
      </w:r>
      <w:r>
        <w:instrText>SEQ Table \* ARABIC</w:instrText>
      </w:r>
      <w:r>
        <w:fldChar w:fldCharType="separate"/>
      </w:r>
      <w:r w:rsidR="00EF564A" w:rsidRPr="0CA6515C">
        <w:rPr>
          <w:noProof/>
        </w:rPr>
        <w:t>1</w:t>
      </w:r>
      <w:r>
        <w:fldChar w:fldCharType="end"/>
      </w:r>
      <w:bookmarkEnd w:id="1"/>
      <w:r>
        <w:tab/>
        <w:t xml:space="preserve">PICO for </w:t>
      </w:r>
      <w:r w:rsidR="009234DF">
        <w:t>optical coherence tomography (OCT)</w:t>
      </w:r>
      <w:r>
        <w:t xml:space="preserve"> in </w:t>
      </w:r>
      <w:r w:rsidR="009234DF">
        <w:t>guided coronary stent insertion</w:t>
      </w:r>
      <w:r>
        <w:t>: PICO Set 1</w:t>
      </w:r>
      <w:bookmarkEnd w:id="0"/>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10"/>
        <w:gridCol w:w="8156"/>
      </w:tblGrid>
      <w:tr w:rsidR="006478E7" w:rsidRPr="00490FBB" w14:paraId="2A509B30" w14:textId="77777777" w:rsidTr="707AF701">
        <w:trPr>
          <w:trHeight w:val="372"/>
          <w:tblHeader/>
        </w:trPr>
        <w:tc>
          <w:tcPr>
            <w:tcW w:w="737"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6306913B">
            <w:pPr>
              <w:pStyle w:val="Tabletext"/>
            </w:pPr>
            <w:bookmarkStart w:id="2" w:name="Title_Table1"/>
            <w:r>
              <w:t>Component</w:t>
            </w:r>
          </w:p>
        </w:tc>
        <w:tc>
          <w:tcPr>
            <w:tcW w:w="4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6306913B">
            <w:pPr>
              <w:pStyle w:val="Tabletext"/>
            </w:pPr>
            <w:r>
              <w:t>Description</w:t>
            </w:r>
          </w:p>
        </w:tc>
      </w:tr>
      <w:bookmarkEnd w:id="2"/>
      <w:tr w:rsidR="006478E7" w:rsidRPr="00490FBB" w14:paraId="78E0BB65" w14:textId="77777777" w:rsidTr="707AF701">
        <w:trPr>
          <w:trHeight w:val="300"/>
        </w:trPr>
        <w:tc>
          <w:tcPr>
            <w:tcW w:w="737"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718BD676" w:rsidP="6306913B">
            <w:pPr>
              <w:pStyle w:val="Tabletext"/>
              <w:rPr>
                <w:rFonts w:cs="Arial"/>
              </w:rPr>
            </w:pPr>
            <w:r w:rsidRPr="6306913B">
              <w:rPr>
                <w:rFonts w:cs="Arial"/>
              </w:rPr>
              <w:t>Population</w:t>
            </w:r>
          </w:p>
        </w:tc>
        <w:tc>
          <w:tcPr>
            <w:tcW w:w="4263" w:type="pct"/>
            <w:tcBorders>
              <w:top w:val="single" w:sz="4" w:space="0" w:color="auto"/>
              <w:left w:val="single" w:sz="4" w:space="0" w:color="auto"/>
              <w:bottom w:val="single" w:sz="4" w:space="0" w:color="auto"/>
              <w:right w:val="single" w:sz="4" w:space="0" w:color="auto"/>
            </w:tcBorders>
            <w:hideMark/>
          </w:tcPr>
          <w:p w14:paraId="0C88D6BD" w14:textId="34A18977" w:rsidR="00B86B67" w:rsidRPr="00E615FF" w:rsidRDefault="269A31EE" w:rsidP="0CA6515C">
            <w:pPr>
              <w:pStyle w:val="Tabletext"/>
              <w:rPr>
                <w:i/>
                <w:iCs/>
              </w:rPr>
            </w:pPr>
            <w:r w:rsidRPr="6155B472">
              <w:t>P</w:t>
            </w:r>
            <w:r w:rsidR="236CA2F0" w:rsidRPr="6155B472">
              <w:t xml:space="preserve">atients </w:t>
            </w:r>
            <w:r w:rsidRPr="6155B472">
              <w:t xml:space="preserve">with </w:t>
            </w:r>
            <w:r w:rsidR="061F98C1" w:rsidRPr="6155B472">
              <w:t xml:space="preserve">myocardial ischaemia </w:t>
            </w:r>
            <w:r w:rsidR="236CA2F0" w:rsidRPr="6155B472">
              <w:t>undergoing</w:t>
            </w:r>
            <w:r w:rsidR="236CA2F0" w:rsidRPr="0CA6515C">
              <w:rPr>
                <w:i/>
                <w:iCs/>
              </w:rPr>
              <w:t xml:space="preserve"> </w:t>
            </w:r>
            <w:r w:rsidR="236CA2F0">
              <w:t>i</w:t>
            </w:r>
            <w:r w:rsidR="7EC07966">
              <w:t>nvasive coronary angiogram</w:t>
            </w:r>
            <w:r w:rsidR="0FC0DA06">
              <w:t>,</w:t>
            </w:r>
            <w:r w:rsidR="7EC07966">
              <w:t xml:space="preserve"> percutaneous angioplasty </w:t>
            </w:r>
            <w:r w:rsidR="46714B8E" w:rsidRPr="6155B472">
              <w:t>and</w:t>
            </w:r>
            <w:r w:rsidR="46714B8E">
              <w:t xml:space="preserve"> </w:t>
            </w:r>
            <w:r w:rsidR="7EC07966">
              <w:t>transluminal insertion of stents with</w:t>
            </w:r>
            <w:r w:rsidR="5A82E1EC">
              <w:t xml:space="preserve"> </w:t>
            </w:r>
            <w:r w:rsidR="5A82E1EC" w:rsidRPr="6155B472">
              <w:rPr>
                <w:rStyle w:val="normaltextrun"/>
                <w:rFonts w:cs="Calibri"/>
                <w:shd w:val="clear" w:color="auto" w:fill="FFFFFF"/>
              </w:rPr>
              <w:t>at least one of the following</w:t>
            </w:r>
            <w:r w:rsidR="1A1A871F" w:rsidRPr="6155B472">
              <w:rPr>
                <w:rStyle w:val="normaltextrun"/>
                <w:rFonts w:cs="Calibri"/>
                <w:shd w:val="clear" w:color="auto" w:fill="FFFFFF"/>
              </w:rPr>
              <w:t xml:space="preserve"> lesion types or complexity</w:t>
            </w:r>
            <w:r w:rsidR="7EC07966" w:rsidRPr="00FE6F05">
              <w:t>:</w:t>
            </w:r>
          </w:p>
          <w:p w14:paraId="307436E5" w14:textId="16D30E47" w:rsidR="009234DF" w:rsidRDefault="535C32D4" w:rsidP="6306913B">
            <w:pPr>
              <w:pStyle w:val="Tabletext"/>
            </w:pPr>
            <w:r>
              <w:t>• Long or multiple lesions, defined as intended total stent length (continuous or separated) in any single target vessel</w:t>
            </w:r>
            <w:r w:rsidR="00B7712C">
              <w:t xml:space="preserve"> of</w:t>
            </w:r>
            <w:r>
              <w:t xml:space="preserve"> ≥28 mm</w:t>
            </w:r>
          </w:p>
          <w:p w14:paraId="749FF2AC" w14:textId="728C2E85" w:rsidR="009234DF" w:rsidRDefault="5E5562B7" w:rsidP="6306913B">
            <w:pPr>
              <w:pStyle w:val="Tabletext"/>
            </w:pPr>
            <w:r>
              <w:t xml:space="preserve">• </w:t>
            </w:r>
            <w:r w:rsidR="6C36757C">
              <w:t xml:space="preserve">Lesion located at a </w:t>
            </w:r>
            <w:r w:rsidR="7E666ED4">
              <w:t>b</w:t>
            </w:r>
            <w:r>
              <w:t>ifurcation and where the planned side branch is ≥ 2.5 mm in diameter by angiographic visual estimation</w:t>
            </w:r>
          </w:p>
          <w:p w14:paraId="48E921DA" w14:textId="1E4B1FA4" w:rsidR="009234DF" w:rsidRDefault="535C32D4" w:rsidP="6306913B">
            <w:pPr>
              <w:pStyle w:val="Tabletext"/>
            </w:pPr>
            <w:r>
              <w:t>• Angiographic severe calcification (defined as angiographically visible calcification on both sides of the vessel wall in the absence of cardiac motion)</w:t>
            </w:r>
          </w:p>
          <w:p w14:paraId="4A4FF7C2" w14:textId="7F43CC54" w:rsidR="006478E7" w:rsidRPr="00D52956" w:rsidRDefault="71F57AFC" w:rsidP="6306913B">
            <w:pPr>
              <w:pStyle w:val="Tabletext"/>
            </w:pPr>
            <w:r>
              <w:t>• Stent failure (including stent thrombosis</w:t>
            </w:r>
            <w:r w:rsidR="16EAEAA3">
              <w:t xml:space="preserve"> </w:t>
            </w:r>
            <w:r w:rsidR="6D4CAD72">
              <w:t>or</w:t>
            </w:r>
            <w:r>
              <w:t xml:space="preserve"> in-stent restenosis of diffuse or multi-focal pattern</w:t>
            </w:r>
            <w:r w:rsidR="06A218C1">
              <w:t>)</w:t>
            </w:r>
          </w:p>
        </w:tc>
      </w:tr>
      <w:tr w:rsidR="006478E7" w:rsidRPr="00490FBB" w14:paraId="654E13A9" w14:textId="77777777" w:rsidTr="707AF701">
        <w:trPr>
          <w:trHeight w:val="300"/>
        </w:trPr>
        <w:tc>
          <w:tcPr>
            <w:tcW w:w="737"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6306913B">
            <w:pPr>
              <w:pStyle w:val="Tabletext"/>
              <w:rPr>
                <w:rFonts w:cs="Arial"/>
              </w:rPr>
            </w:pPr>
            <w:r w:rsidRPr="6306913B">
              <w:rPr>
                <w:rFonts w:cs="Arial"/>
              </w:rPr>
              <w:t>Intervention</w:t>
            </w:r>
          </w:p>
        </w:tc>
        <w:tc>
          <w:tcPr>
            <w:tcW w:w="4263" w:type="pct"/>
            <w:tcBorders>
              <w:top w:val="single" w:sz="4" w:space="0" w:color="auto"/>
              <w:left w:val="single" w:sz="4" w:space="0" w:color="auto"/>
              <w:bottom w:val="single" w:sz="4" w:space="0" w:color="auto"/>
              <w:right w:val="single" w:sz="4" w:space="0" w:color="auto"/>
            </w:tcBorders>
            <w:hideMark/>
          </w:tcPr>
          <w:p w14:paraId="3E51DB12" w14:textId="08A5120B" w:rsidR="006478E7" w:rsidRPr="00D52956" w:rsidRDefault="6F1F8A6A" w:rsidP="6306913B">
            <w:pPr>
              <w:pStyle w:val="Tabletext"/>
            </w:pPr>
            <w:r>
              <w:t>Optical coherence tomography (OCT) guided coronary stent insertion as an adjunct to invasive coronary angiogram</w:t>
            </w:r>
            <w:r w:rsidR="00B0581A">
              <w:t xml:space="preserve"> and percutaneous angioplasty </w:t>
            </w:r>
            <w:r w:rsidR="00577D91">
              <w:t>for the</w:t>
            </w:r>
            <w:r w:rsidR="00B0581A">
              <w:t xml:space="preserve"> transluminal insertion of stents</w:t>
            </w:r>
            <w:r w:rsidR="16DA3FFF">
              <w:t xml:space="preserve"> (i.e. angiographic + OCT guided coronary stent insertion)</w:t>
            </w:r>
            <w:r w:rsidR="458CA125">
              <w:t xml:space="preserve"> performed</w:t>
            </w:r>
            <w:r w:rsidR="6E0FA1F9">
              <w:t xml:space="preserve"> by </w:t>
            </w:r>
            <w:r w:rsidR="7E99BF63">
              <w:t xml:space="preserve">trained </w:t>
            </w:r>
            <w:r w:rsidR="3E6143C6">
              <w:t>interventional cardiologists</w:t>
            </w:r>
            <w:r w:rsidR="458CA125">
              <w:t xml:space="preserve"> in the cathe</w:t>
            </w:r>
            <w:r w:rsidR="0A847DBF">
              <w:t>ter</w:t>
            </w:r>
            <w:r w:rsidR="458CA125">
              <w:t>isation laboratory</w:t>
            </w:r>
            <w:r>
              <w:t>.</w:t>
            </w:r>
          </w:p>
        </w:tc>
      </w:tr>
      <w:tr w:rsidR="006478E7" w:rsidRPr="00490FBB" w14:paraId="1F5647C3" w14:textId="77777777" w:rsidTr="707AF701">
        <w:trPr>
          <w:trHeight w:val="300"/>
        </w:trPr>
        <w:tc>
          <w:tcPr>
            <w:tcW w:w="737" w:type="pct"/>
            <w:tcBorders>
              <w:top w:val="single" w:sz="4" w:space="0" w:color="auto"/>
              <w:left w:val="single" w:sz="8" w:space="0" w:color="auto"/>
              <w:bottom w:val="single" w:sz="4" w:space="0" w:color="auto"/>
              <w:right w:val="single" w:sz="4" w:space="0" w:color="auto"/>
            </w:tcBorders>
            <w:hideMark/>
          </w:tcPr>
          <w:p w14:paraId="7F55173A" w14:textId="77777777" w:rsidR="006478E7" w:rsidRPr="00490FBB" w:rsidRDefault="006478E7" w:rsidP="6306913B">
            <w:pPr>
              <w:pStyle w:val="Tabletext"/>
              <w:rPr>
                <w:rFonts w:cs="Arial"/>
              </w:rPr>
            </w:pPr>
            <w:r w:rsidRPr="6306913B">
              <w:rPr>
                <w:rFonts w:cs="Arial"/>
              </w:rPr>
              <w:t>Comparator</w:t>
            </w:r>
            <w:r w:rsidR="4A6688C2" w:rsidRPr="6306913B">
              <w:rPr>
                <w:rFonts w:cs="Arial"/>
              </w:rPr>
              <w:t>/s</w:t>
            </w:r>
          </w:p>
        </w:tc>
        <w:tc>
          <w:tcPr>
            <w:tcW w:w="4263" w:type="pct"/>
            <w:tcBorders>
              <w:top w:val="single" w:sz="4" w:space="0" w:color="auto"/>
              <w:left w:val="single" w:sz="4" w:space="0" w:color="auto"/>
              <w:bottom w:val="single" w:sz="4" w:space="0" w:color="auto"/>
              <w:right w:val="single" w:sz="4" w:space="0" w:color="auto"/>
            </w:tcBorders>
            <w:hideMark/>
          </w:tcPr>
          <w:p w14:paraId="09546722" w14:textId="06AA8709" w:rsidR="006D0B66" w:rsidRDefault="418A260D" w:rsidP="0CA6515C">
            <w:pPr>
              <w:pStyle w:val="Tabletext"/>
            </w:pPr>
            <w:r>
              <w:t xml:space="preserve">Invasive coronary </w:t>
            </w:r>
            <w:r w:rsidR="009234DF">
              <w:t>angiogram</w:t>
            </w:r>
            <w:r w:rsidR="5F16AE87">
              <w:t xml:space="preserve"> </w:t>
            </w:r>
            <w:r w:rsidR="00B0581A">
              <w:t xml:space="preserve">and percutaneous angioplasty </w:t>
            </w:r>
            <w:r w:rsidR="007124F7">
              <w:t>for the</w:t>
            </w:r>
            <w:r w:rsidR="00B0581A">
              <w:t xml:space="preserve"> transluminal insertion of stents </w:t>
            </w:r>
            <w:r w:rsidR="5F16AE87">
              <w:t>alone</w:t>
            </w:r>
            <w:r w:rsidR="2ABA33B2" w:rsidRPr="707AF701">
              <w:rPr>
                <w:i/>
                <w:iCs/>
              </w:rPr>
              <w:t xml:space="preserve"> </w:t>
            </w:r>
            <w:r w:rsidR="4E5C7C25" w:rsidRPr="707AF701">
              <w:rPr>
                <w:i/>
                <w:iCs/>
              </w:rPr>
              <w:t>(</w:t>
            </w:r>
            <w:r w:rsidR="1CEC42FA">
              <w:t>i.e. coronary stent insertion</w:t>
            </w:r>
            <w:r w:rsidR="4E81C345">
              <w:t xml:space="preserve"> guided by angiography alone</w:t>
            </w:r>
            <w:r w:rsidR="1CEC42FA">
              <w:t>).</w:t>
            </w:r>
          </w:p>
          <w:p w14:paraId="7E690E4B" w14:textId="346DED53" w:rsidR="009234DF" w:rsidRPr="00470DF0" w:rsidRDefault="001E41DD" w:rsidP="0CA6515C">
            <w:pPr>
              <w:pStyle w:val="Tabletext"/>
            </w:pPr>
            <w:r>
              <w:t xml:space="preserve">For </w:t>
            </w:r>
            <w:r w:rsidR="008D2EE8">
              <w:t xml:space="preserve">the </w:t>
            </w:r>
            <w:r>
              <w:t>subpopulation</w:t>
            </w:r>
            <w:r w:rsidR="00680FB0">
              <w:t xml:space="preserve"> of patients with </w:t>
            </w:r>
            <w:r w:rsidR="007E3FFE">
              <w:t>long or multiple lesions</w:t>
            </w:r>
            <w:r w:rsidR="00A924B3">
              <w:t xml:space="preserve"> (total stent length ≥</w:t>
            </w:r>
            <w:r w:rsidR="001E5AC1">
              <w:t xml:space="preserve">28mm): </w:t>
            </w:r>
            <w:r w:rsidR="5E5562B7">
              <w:t>Intravascular ultrasound (IVUS)</w:t>
            </w:r>
            <w:r w:rsidR="14ADE285">
              <w:t xml:space="preserve"> </w:t>
            </w:r>
            <w:r w:rsidR="14ADE285" w:rsidRPr="00470DF0">
              <w:t>as an</w:t>
            </w:r>
            <w:r w:rsidR="14ADE285" w:rsidRPr="0CA6515C">
              <w:rPr>
                <w:i/>
                <w:iCs/>
              </w:rPr>
              <w:t xml:space="preserve"> </w:t>
            </w:r>
            <w:r w:rsidR="14ADE285" w:rsidRPr="00192B5E">
              <w:t>adjunct to invasive coronary angiogram and percutaneous angioplasty or transluminal insertion of stents</w:t>
            </w:r>
            <w:r w:rsidR="009D0458">
              <w:rPr>
                <w:i/>
                <w:iCs/>
              </w:rPr>
              <w:t xml:space="preserve"> </w:t>
            </w:r>
            <w:r w:rsidR="009D0458" w:rsidRPr="00192B5E">
              <w:t xml:space="preserve">(i.e. angiographic + </w:t>
            </w:r>
            <w:r w:rsidR="008F399B">
              <w:t>IVUS</w:t>
            </w:r>
            <w:r w:rsidR="009D0458" w:rsidRPr="00192B5E">
              <w:t xml:space="preserve"> guided coronary stent insertion)</w:t>
            </w:r>
            <w:r w:rsidR="009D0458" w:rsidRPr="009D0458">
              <w:rPr>
                <w:i/>
                <w:iCs/>
              </w:rPr>
              <w:t xml:space="preserve"> </w:t>
            </w:r>
          </w:p>
        </w:tc>
      </w:tr>
      <w:tr w:rsidR="006478E7" w:rsidRPr="00490FBB" w14:paraId="591B1D2D" w14:textId="77777777" w:rsidTr="707AF701">
        <w:trPr>
          <w:trHeight w:val="300"/>
        </w:trPr>
        <w:tc>
          <w:tcPr>
            <w:tcW w:w="737" w:type="pct"/>
            <w:tcBorders>
              <w:top w:val="single" w:sz="4" w:space="0" w:color="auto"/>
              <w:left w:val="single" w:sz="8" w:space="0" w:color="auto"/>
              <w:bottom w:val="single" w:sz="4" w:space="0" w:color="auto"/>
              <w:right w:val="single" w:sz="4" w:space="0" w:color="auto"/>
            </w:tcBorders>
            <w:hideMark/>
          </w:tcPr>
          <w:p w14:paraId="635F9D15" w14:textId="46A98B84" w:rsidR="006478E7" w:rsidRPr="00CD496E" w:rsidRDefault="0A008FC7" w:rsidP="0CA6515C">
            <w:pPr>
              <w:pStyle w:val="Tabletext"/>
              <w:rPr>
                <w:rFonts w:cs="Arial"/>
              </w:rPr>
            </w:pPr>
            <w:r w:rsidRPr="0CA6515C">
              <w:rPr>
                <w:rFonts w:cs="Arial"/>
              </w:rPr>
              <w:t>Outcomes</w:t>
            </w:r>
          </w:p>
        </w:tc>
        <w:tc>
          <w:tcPr>
            <w:tcW w:w="4263" w:type="pct"/>
            <w:tcBorders>
              <w:top w:val="single" w:sz="4" w:space="0" w:color="auto"/>
              <w:left w:val="single" w:sz="4" w:space="0" w:color="auto"/>
              <w:bottom w:val="single" w:sz="4" w:space="0" w:color="auto"/>
              <w:right w:val="single" w:sz="4" w:space="0" w:color="auto"/>
            </w:tcBorders>
            <w:hideMark/>
          </w:tcPr>
          <w:p w14:paraId="279E3C8B" w14:textId="4DB71B95" w:rsidR="009234DF" w:rsidRPr="00CD496E" w:rsidRDefault="004095E6" w:rsidP="0CA6515C">
            <w:pPr>
              <w:pStyle w:val="Tabletext"/>
              <w:rPr>
                <w:b/>
                <w:bCs/>
              </w:rPr>
            </w:pPr>
            <w:r w:rsidRPr="0CA6515C">
              <w:rPr>
                <w:b/>
                <w:bCs/>
              </w:rPr>
              <w:t>Effectiveness</w:t>
            </w:r>
          </w:p>
          <w:p w14:paraId="0DEE7364" w14:textId="205C2F8A" w:rsidR="009234DF" w:rsidRPr="00CD496E" w:rsidRDefault="009234DF" w:rsidP="53A382C7">
            <w:pPr>
              <w:pStyle w:val="Tabletext"/>
            </w:pPr>
            <w:r>
              <w:t>Target vessel failure [TVF], defined as the composite of: cardiac death, target vessel myocardial infarction, or ischemia-driven target vessel revascularisation.</w:t>
            </w:r>
          </w:p>
          <w:p w14:paraId="672FF06A" w14:textId="77777777" w:rsidR="009234DF" w:rsidRPr="00CD496E" w:rsidRDefault="009234DF" w:rsidP="0CA6515C">
            <w:pPr>
              <w:pStyle w:val="Tabletext"/>
            </w:pPr>
            <w:r>
              <w:t>All cause / cardiac mortality</w:t>
            </w:r>
          </w:p>
          <w:p w14:paraId="25CBD3B3" w14:textId="77777777" w:rsidR="009234DF" w:rsidRPr="00CD496E" w:rsidRDefault="009234DF" w:rsidP="0CA6515C">
            <w:pPr>
              <w:pStyle w:val="Tabletext"/>
            </w:pPr>
            <w:r>
              <w:t>Myocardial infarction</w:t>
            </w:r>
          </w:p>
          <w:p w14:paraId="1D559ED2" w14:textId="77777777" w:rsidR="009234DF" w:rsidRPr="00CD496E" w:rsidRDefault="009234DF" w:rsidP="0CA6515C">
            <w:pPr>
              <w:pStyle w:val="Tabletext"/>
            </w:pPr>
            <w:r>
              <w:t>Revascularisation</w:t>
            </w:r>
          </w:p>
          <w:p w14:paraId="5495CEF9" w14:textId="541EEED9" w:rsidR="009234DF" w:rsidRPr="00CD496E" w:rsidRDefault="009234DF" w:rsidP="00B67FBD">
            <w:pPr>
              <w:pStyle w:val="Tabletext"/>
            </w:pPr>
            <w:r>
              <w:t>Stent thrombosis</w:t>
            </w:r>
          </w:p>
          <w:p w14:paraId="3934A71E" w14:textId="1E736855" w:rsidR="00E82C2E" w:rsidRPr="00CD496E" w:rsidRDefault="00285119" w:rsidP="0CA6515C">
            <w:pPr>
              <w:pStyle w:val="Tabletext"/>
            </w:pPr>
            <w:r>
              <w:t xml:space="preserve">In-stent </w:t>
            </w:r>
            <w:r w:rsidR="001303F7">
              <w:t>restenosis</w:t>
            </w:r>
          </w:p>
          <w:p w14:paraId="2B68DDF4" w14:textId="3F958F78" w:rsidR="00E01349" w:rsidRPr="00CD496E" w:rsidRDefault="7EFDBA17" w:rsidP="0CA6515C">
            <w:pPr>
              <w:pStyle w:val="Tabletext"/>
            </w:pPr>
            <w:r>
              <w:t xml:space="preserve">Health-related quality </w:t>
            </w:r>
            <w:r w:rsidR="009234DF">
              <w:t>of life</w:t>
            </w:r>
            <w:r>
              <w:t xml:space="preserve"> e.g. SF-36</w:t>
            </w:r>
          </w:p>
          <w:p w14:paraId="4C6820AE" w14:textId="45AA715F" w:rsidR="183D5893" w:rsidRPr="00CD496E" w:rsidRDefault="183D5893" w:rsidP="53A382C7">
            <w:pPr>
              <w:pStyle w:val="Tabletext"/>
              <w:rPr>
                <w:b/>
                <w:bCs/>
              </w:rPr>
            </w:pPr>
            <w:r w:rsidRPr="0CA6515C">
              <w:rPr>
                <w:b/>
                <w:bCs/>
              </w:rPr>
              <w:t>Safety</w:t>
            </w:r>
          </w:p>
          <w:p w14:paraId="6B3B9944" w14:textId="2830398F" w:rsidR="23BC55FB" w:rsidRPr="00CD496E" w:rsidRDefault="23BC55FB" w:rsidP="53A382C7">
            <w:pPr>
              <w:pStyle w:val="Tabletext"/>
            </w:pPr>
            <w:r>
              <w:t>Procedural complications / adverse events</w:t>
            </w:r>
          </w:p>
          <w:p w14:paraId="5A85EC6C" w14:textId="182037E8" w:rsidR="4B421672" w:rsidRPr="00CD496E" w:rsidRDefault="4B421672" w:rsidP="53A382C7">
            <w:pPr>
              <w:pStyle w:val="Tabletext"/>
              <w:rPr>
                <w:b/>
                <w:bCs/>
              </w:rPr>
            </w:pPr>
            <w:r w:rsidRPr="0CA6515C">
              <w:rPr>
                <w:b/>
                <w:bCs/>
              </w:rPr>
              <w:t>Economic</w:t>
            </w:r>
          </w:p>
          <w:p w14:paraId="6E7D1175" w14:textId="77777777" w:rsidR="00CC6490" w:rsidRPr="00470DF0" w:rsidRDefault="7960FC37" w:rsidP="0CA6515C">
            <w:pPr>
              <w:pStyle w:val="Tabletext"/>
            </w:pPr>
            <w:r w:rsidRPr="00470DF0">
              <w:t>Cost of treatment</w:t>
            </w:r>
          </w:p>
          <w:p w14:paraId="6F9242D7" w14:textId="0D384D2E" w:rsidR="00CC6490" w:rsidRPr="00CD496E" w:rsidRDefault="7960FC37" w:rsidP="0CA6515C">
            <w:pPr>
              <w:pStyle w:val="Tabletext"/>
              <w:rPr>
                <w:i/>
                <w:iCs/>
              </w:rPr>
            </w:pPr>
            <w:r w:rsidRPr="00470DF0">
              <w:t>Cost of adverse events or complications</w:t>
            </w:r>
          </w:p>
        </w:tc>
      </w:tr>
      <w:tr w:rsidR="00BB1698" w:rsidRPr="00490FBB" w14:paraId="4A55FFDB" w14:textId="77777777" w:rsidTr="707AF701">
        <w:trPr>
          <w:trHeight w:val="300"/>
        </w:trPr>
        <w:tc>
          <w:tcPr>
            <w:tcW w:w="737" w:type="pct"/>
            <w:tcBorders>
              <w:top w:val="single" w:sz="4" w:space="0" w:color="auto"/>
              <w:left w:val="single" w:sz="8" w:space="0" w:color="auto"/>
              <w:bottom w:val="single" w:sz="8" w:space="0" w:color="auto"/>
              <w:right w:val="single" w:sz="4" w:space="0" w:color="auto"/>
            </w:tcBorders>
          </w:tcPr>
          <w:p w14:paraId="003B36EC" w14:textId="075AB63F" w:rsidR="00BB1698" w:rsidRPr="00490FBB" w:rsidRDefault="18A7B087" w:rsidP="0CA6515C">
            <w:pPr>
              <w:pStyle w:val="Tabletext"/>
              <w:rPr>
                <w:rFonts w:cs="Arial"/>
              </w:rPr>
            </w:pPr>
            <w:r w:rsidRPr="0CA6515C">
              <w:rPr>
                <w:rFonts w:cs="Arial"/>
              </w:rPr>
              <w:t>Assessment questions</w:t>
            </w:r>
          </w:p>
        </w:tc>
        <w:tc>
          <w:tcPr>
            <w:tcW w:w="4263" w:type="pct"/>
            <w:tcBorders>
              <w:top w:val="single" w:sz="4" w:space="0" w:color="auto"/>
              <w:left w:val="single" w:sz="4" w:space="0" w:color="auto"/>
              <w:bottom w:val="single" w:sz="4" w:space="0" w:color="auto"/>
              <w:right w:val="single" w:sz="4" w:space="0" w:color="auto"/>
            </w:tcBorders>
          </w:tcPr>
          <w:p w14:paraId="10F32F16" w14:textId="44885516" w:rsidR="00BB1698" w:rsidRPr="00A10B7D" w:rsidRDefault="18A7B087" w:rsidP="0CA6515C">
            <w:pPr>
              <w:pStyle w:val="Tabletext"/>
              <w:rPr>
                <w:color w:val="000000" w:themeColor="text1"/>
              </w:rPr>
            </w:pPr>
            <w:r w:rsidRPr="00A10B7D">
              <w:rPr>
                <w:color w:val="000000" w:themeColor="text1"/>
              </w:rPr>
              <w:t xml:space="preserve">What is the safety, effectiveness and cost-effectiveness of </w:t>
            </w:r>
            <w:r w:rsidR="00021083" w:rsidRPr="00A10B7D">
              <w:rPr>
                <w:color w:val="000000" w:themeColor="text1"/>
              </w:rPr>
              <w:t xml:space="preserve">OCT adjunct </w:t>
            </w:r>
            <w:r w:rsidR="004A71E0" w:rsidRPr="00A10B7D">
              <w:rPr>
                <w:color w:val="000000" w:themeColor="text1"/>
              </w:rPr>
              <w:t xml:space="preserve">to </w:t>
            </w:r>
            <w:r w:rsidR="00CC4097" w:rsidRPr="00A10B7D">
              <w:rPr>
                <w:color w:val="000000" w:themeColor="text1"/>
              </w:rPr>
              <w:t xml:space="preserve">invasive </w:t>
            </w:r>
            <w:r w:rsidR="0DF55EE8" w:rsidRPr="00A10B7D">
              <w:rPr>
                <w:color w:val="000000" w:themeColor="text1"/>
              </w:rPr>
              <w:t>c</w:t>
            </w:r>
            <w:r w:rsidR="0DF55EE8" w:rsidRPr="000A5E0A">
              <w:rPr>
                <w:color w:val="000000" w:themeColor="text1"/>
              </w:rPr>
              <w:t xml:space="preserve">oronary angiogram </w:t>
            </w:r>
            <w:r w:rsidRPr="00A10B7D">
              <w:rPr>
                <w:color w:val="000000" w:themeColor="text1"/>
              </w:rPr>
              <w:t xml:space="preserve">versus </w:t>
            </w:r>
            <w:r w:rsidR="009234DF" w:rsidRPr="00A10B7D">
              <w:rPr>
                <w:color w:val="000000" w:themeColor="text1"/>
              </w:rPr>
              <w:t>coronary angiogram</w:t>
            </w:r>
            <w:r w:rsidR="0DF55EE8" w:rsidRPr="00A10B7D">
              <w:rPr>
                <w:color w:val="000000" w:themeColor="text1"/>
              </w:rPr>
              <w:t xml:space="preserve"> </w:t>
            </w:r>
            <w:r w:rsidR="0DF55EE8" w:rsidRPr="000A5E0A">
              <w:rPr>
                <w:color w:val="000000" w:themeColor="text1"/>
              </w:rPr>
              <w:t>alone for the purpose of guiding stent insertion</w:t>
            </w:r>
            <w:r w:rsidRPr="00A10B7D">
              <w:rPr>
                <w:color w:val="000000" w:themeColor="text1"/>
              </w:rPr>
              <w:t xml:space="preserve"> in </w:t>
            </w:r>
            <w:r w:rsidR="009234DF" w:rsidRPr="00A10B7D">
              <w:rPr>
                <w:color w:val="000000" w:themeColor="text1"/>
              </w:rPr>
              <w:t>patients</w:t>
            </w:r>
            <w:r w:rsidR="0DF55EE8" w:rsidRPr="00A10B7D">
              <w:rPr>
                <w:color w:val="000000" w:themeColor="text1"/>
              </w:rPr>
              <w:t xml:space="preserve"> </w:t>
            </w:r>
            <w:r w:rsidR="0DF55EE8" w:rsidRPr="000A5E0A">
              <w:rPr>
                <w:color w:val="000000" w:themeColor="text1"/>
              </w:rPr>
              <w:t xml:space="preserve">with </w:t>
            </w:r>
            <w:r w:rsidR="13EBC2D2" w:rsidRPr="000A5E0A">
              <w:rPr>
                <w:color w:val="000000" w:themeColor="text1"/>
              </w:rPr>
              <w:t>myocardial ischaemia</w:t>
            </w:r>
            <w:r w:rsidR="371A7310" w:rsidRPr="000A5E0A">
              <w:rPr>
                <w:color w:val="000000" w:themeColor="text1"/>
              </w:rPr>
              <w:t xml:space="preserve"> </w:t>
            </w:r>
            <w:r w:rsidR="371A7310" w:rsidRPr="000A5E0A">
              <w:rPr>
                <w:rStyle w:val="normaltextrun"/>
                <w:rFonts w:cs="Calibri"/>
                <w:bdr w:val="none" w:sz="0" w:space="0" w:color="auto" w:frame="1"/>
              </w:rPr>
              <w:t>and prior stent failure or one of 3 documented lesion types (long/multiple, bifurcation, severe calcification)</w:t>
            </w:r>
            <w:r w:rsidRPr="00A10B7D">
              <w:rPr>
                <w:color w:val="000000" w:themeColor="text1"/>
              </w:rPr>
              <w:t>?</w:t>
            </w:r>
          </w:p>
          <w:p w14:paraId="7AB69A9A" w14:textId="12D4C3EF" w:rsidR="00973BDB" w:rsidRPr="00A10B7D" w:rsidRDefault="00973BDB" w:rsidP="0CA6515C">
            <w:pPr>
              <w:pStyle w:val="Tabletext"/>
              <w:rPr>
                <w:color w:val="000000" w:themeColor="text1"/>
              </w:rPr>
            </w:pPr>
            <w:r w:rsidRPr="00A10B7D">
              <w:rPr>
                <w:color w:val="000000" w:themeColor="text1"/>
              </w:rPr>
              <w:t xml:space="preserve">What is the safety, effectiveness and cost-effectiveness of OCT adjunct </w:t>
            </w:r>
            <w:r w:rsidR="004A71E0" w:rsidRPr="00A10B7D">
              <w:rPr>
                <w:color w:val="000000" w:themeColor="text1"/>
              </w:rPr>
              <w:t>to</w:t>
            </w:r>
            <w:r w:rsidRPr="00A10B7D">
              <w:rPr>
                <w:color w:val="000000" w:themeColor="text1"/>
              </w:rPr>
              <w:t xml:space="preserve"> </w:t>
            </w:r>
            <w:r w:rsidR="00CC4097" w:rsidRPr="00A10B7D">
              <w:rPr>
                <w:color w:val="000000" w:themeColor="text1"/>
              </w:rPr>
              <w:t xml:space="preserve">invasive </w:t>
            </w:r>
            <w:r w:rsidRPr="00A10B7D">
              <w:rPr>
                <w:color w:val="000000" w:themeColor="text1"/>
              </w:rPr>
              <w:t>c</w:t>
            </w:r>
            <w:r w:rsidRPr="000A5E0A">
              <w:rPr>
                <w:color w:val="000000" w:themeColor="text1"/>
              </w:rPr>
              <w:t xml:space="preserve">oronary angiogram </w:t>
            </w:r>
            <w:r w:rsidRPr="00A10B7D">
              <w:rPr>
                <w:color w:val="000000" w:themeColor="text1"/>
              </w:rPr>
              <w:t xml:space="preserve">versus IVUS adjunct </w:t>
            </w:r>
            <w:r w:rsidR="0004364D" w:rsidRPr="00A10B7D">
              <w:rPr>
                <w:color w:val="000000" w:themeColor="text1"/>
              </w:rPr>
              <w:t>to</w:t>
            </w:r>
            <w:r w:rsidR="00FF123A" w:rsidRPr="00A10B7D">
              <w:rPr>
                <w:color w:val="000000" w:themeColor="text1"/>
              </w:rPr>
              <w:t xml:space="preserve"> </w:t>
            </w:r>
            <w:r w:rsidR="00CC4097" w:rsidRPr="00A10B7D">
              <w:rPr>
                <w:color w:val="000000" w:themeColor="text1"/>
              </w:rPr>
              <w:t xml:space="preserve">invasive </w:t>
            </w:r>
            <w:r w:rsidRPr="00A10B7D">
              <w:rPr>
                <w:color w:val="000000" w:themeColor="text1"/>
              </w:rPr>
              <w:t xml:space="preserve">coronary angiogram </w:t>
            </w:r>
            <w:r w:rsidRPr="000A5E0A">
              <w:rPr>
                <w:color w:val="000000" w:themeColor="text1"/>
              </w:rPr>
              <w:t>for the purpose of guiding stent insertion</w:t>
            </w:r>
            <w:r w:rsidRPr="00A10B7D">
              <w:rPr>
                <w:color w:val="000000" w:themeColor="text1"/>
              </w:rPr>
              <w:t xml:space="preserve"> in patients </w:t>
            </w:r>
            <w:r w:rsidRPr="000A5E0A">
              <w:rPr>
                <w:color w:val="000000" w:themeColor="text1"/>
              </w:rPr>
              <w:t xml:space="preserve">with myocardial ischaemia </w:t>
            </w:r>
            <w:r w:rsidRPr="000A5E0A">
              <w:rPr>
                <w:rStyle w:val="normaltextrun"/>
                <w:rFonts w:cs="Calibri"/>
                <w:bdr w:val="none" w:sz="0" w:space="0" w:color="auto" w:frame="1"/>
              </w:rPr>
              <w:t>and long</w:t>
            </w:r>
            <w:r w:rsidR="00355199" w:rsidRPr="000A5E0A">
              <w:rPr>
                <w:rStyle w:val="normaltextrun"/>
                <w:rFonts w:cs="Calibri"/>
                <w:bdr w:val="none" w:sz="0" w:space="0" w:color="auto" w:frame="1"/>
              </w:rPr>
              <w:t xml:space="preserve"> or </w:t>
            </w:r>
            <w:r w:rsidRPr="000A5E0A">
              <w:rPr>
                <w:rStyle w:val="normaltextrun"/>
                <w:rFonts w:cs="Calibri"/>
                <w:bdr w:val="none" w:sz="0" w:space="0" w:color="auto" w:frame="1"/>
              </w:rPr>
              <w:t>multiple</w:t>
            </w:r>
            <w:r w:rsidR="0068793A" w:rsidRPr="000A5E0A">
              <w:rPr>
                <w:rStyle w:val="normaltextrun"/>
                <w:rFonts w:cs="Calibri"/>
                <w:bdr w:val="none" w:sz="0" w:space="0" w:color="auto" w:frame="1"/>
              </w:rPr>
              <w:t xml:space="preserve"> lesions</w:t>
            </w:r>
            <w:r w:rsidR="00544669" w:rsidRPr="000A5E0A">
              <w:rPr>
                <w:rStyle w:val="normaltextrun"/>
                <w:rFonts w:cs="Calibri"/>
                <w:bdr w:val="none" w:sz="0" w:space="0" w:color="auto" w:frame="1"/>
              </w:rPr>
              <w:t>?</w:t>
            </w:r>
          </w:p>
        </w:tc>
      </w:tr>
    </w:tbl>
    <w:p w14:paraId="5D5376EF" w14:textId="77777777" w:rsidR="006478E7" w:rsidRPr="00490FBB" w:rsidRDefault="006478E7" w:rsidP="00E01349">
      <w:r w:rsidRPr="00490FBB">
        <w:br w:type="page"/>
      </w:r>
    </w:p>
    <w:p w14:paraId="53297713" w14:textId="3F32290A" w:rsidR="00912660" w:rsidRDefault="00912660" w:rsidP="00713728">
      <w:pPr>
        <w:pStyle w:val="Heading2"/>
      </w:pPr>
      <w:r>
        <w:lastRenderedPageBreak/>
        <w:t>Purpose of application</w:t>
      </w:r>
    </w:p>
    <w:p w14:paraId="0E65AD1B" w14:textId="353956A4" w:rsidR="004C2C5E" w:rsidRDefault="14D73EB2" w:rsidP="7BAB13E7">
      <w:pPr>
        <w:spacing w:after="240"/>
      </w:pPr>
      <w:r>
        <w:t xml:space="preserve">An application requesting Medicare Benefits Schedule (MBS) listing of </w:t>
      </w:r>
      <w:r w:rsidR="7978F65F">
        <w:t xml:space="preserve">Optical </w:t>
      </w:r>
      <w:r w:rsidR="0F870BFC">
        <w:t>C</w:t>
      </w:r>
      <w:r w:rsidR="7978F65F">
        <w:t xml:space="preserve">oherence </w:t>
      </w:r>
      <w:r w:rsidR="6B58D19E">
        <w:t>T</w:t>
      </w:r>
      <w:r w:rsidR="7978F65F">
        <w:t>omography (</w:t>
      </w:r>
      <w:r w:rsidR="58B7D055">
        <w:t>OCT</w:t>
      </w:r>
      <w:r w:rsidR="7978F65F">
        <w:t>)</w:t>
      </w:r>
      <w:r>
        <w:t xml:space="preserve"> for </w:t>
      </w:r>
      <w:r w:rsidR="58B7D055">
        <w:t>coronary stent insertion</w:t>
      </w:r>
      <w:r>
        <w:t xml:space="preserve"> was received from </w:t>
      </w:r>
      <w:r w:rsidR="58B7D055">
        <w:t>ABBOTT MEDICAL AUSTRALIA PTY LTD.</w:t>
      </w:r>
      <w:r>
        <w:t xml:space="preserve"> by the Department of Health</w:t>
      </w:r>
      <w:r w:rsidR="00703AAE">
        <w:t xml:space="preserve"> and Aged Care</w:t>
      </w:r>
      <w:r>
        <w:t>.</w:t>
      </w:r>
    </w:p>
    <w:p w14:paraId="3A4AA117" w14:textId="3CE9E4CF" w:rsidR="003D2691" w:rsidRDefault="5392D021" w:rsidP="289F053C">
      <w:pPr>
        <w:spacing w:after="240"/>
        <w:rPr>
          <w:i/>
          <w:iCs/>
        </w:rPr>
      </w:pPr>
      <w:r>
        <w:t>The clinical claim provided by the applicant is that the use of OCT</w:t>
      </w:r>
      <w:r w:rsidR="00F66130">
        <w:t xml:space="preserve"> adjunct</w:t>
      </w:r>
      <w:r w:rsidR="00705B2A">
        <w:t xml:space="preserve"> to</w:t>
      </w:r>
      <w:r w:rsidR="00F66130">
        <w:t xml:space="preserve"> </w:t>
      </w:r>
      <w:r w:rsidR="0029431D">
        <w:t xml:space="preserve">invasive </w:t>
      </w:r>
      <w:r w:rsidR="00F66130">
        <w:t xml:space="preserve">coronary angiogram </w:t>
      </w:r>
      <w:r>
        <w:t>for the guidance of coronary stent insertion results in:</w:t>
      </w:r>
    </w:p>
    <w:p w14:paraId="07D85771" w14:textId="52D69A2C" w:rsidR="007F31C3" w:rsidRDefault="00B0581A" w:rsidP="007F31C3">
      <w:pPr>
        <w:pStyle w:val="ListParagraph"/>
        <w:numPr>
          <w:ilvl w:val="0"/>
          <w:numId w:val="18"/>
        </w:numPr>
        <w:spacing w:after="240"/>
      </w:pPr>
      <w:r>
        <w:t xml:space="preserve">Superior effectiveness and </w:t>
      </w:r>
      <w:r w:rsidR="007769E8">
        <w:t>non-</w:t>
      </w:r>
      <w:r>
        <w:t>inferior safety in comparison to i</w:t>
      </w:r>
      <w:r w:rsidRPr="00B0581A">
        <w:t>nvasive coronary angiogram</w:t>
      </w:r>
      <w:r>
        <w:t xml:space="preserve"> </w:t>
      </w:r>
      <w:r w:rsidRPr="00B0581A">
        <w:t>and percutaneous angioplasty or transluminal insertion of stents alone</w:t>
      </w:r>
    </w:p>
    <w:p w14:paraId="1F120AE1" w14:textId="675D8ADC" w:rsidR="00B0581A" w:rsidRDefault="00B0581A" w:rsidP="007F31C3">
      <w:pPr>
        <w:pStyle w:val="ListParagraph"/>
        <w:numPr>
          <w:ilvl w:val="0"/>
          <w:numId w:val="18"/>
        </w:numPr>
        <w:spacing w:after="240"/>
      </w:pPr>
      <w:r>
        <w:t xml:space="preserve">Non-inferior effectiveness and safety in comparison to </w:t>
      </w:r>
      <w:r w:rsidRPr="00B0581A">
        <w:t>IVUS</w:t>
      </w:r>
      <w:r>
        <w:t xml:space="preserve"> </w:t>
      </w:r>
      <w:r w:rsidRPr="00B0581A">
        <w:t>as an adjunct to invasive coronary angiogram and percutaneous angioplasty or transluminal insertion of stents</w:t>
      </w:r>
      <w:r w:rsidR="00DC30E5">
        <w:t xml:space="preserve"> in patient</w:t>
      </w:r>
      <w:r w:rsidR="0039350D">
        <w:t>s</w:t>
      </w:r>
      <w:r w:rsidR="00DC30E5">
        <w:t xml:space="preserve"> with long lesions</w:t>
      </w:r>
    </w:p>
    <w:p w14:paraId="4FC12E79" w14:textId="69101887" w:rsidR="006672BD" w:rsidRDefault="1ABC8A2F" w:rsidP="6306913B">
      <w:pPr>
        <w:spacing w:after="240"/>
      </w:pPr>
      <w:r>
        <w:t xml:space="preserve">The proposed listing is for OCT as an adjunct </w:t>
      </w:r>
      <w:r w:rsidR="2448DF19">
        <w:t>to</w:t>
      </w:r>
      <w:r>
        <w:t xml:space="preserve"> </w:t>
      </w:r>
      <w:r w:rsidR="759702FB">
        <w:t>coronary stent insertion</w:t>
      </w:r>
      <w:r w:rsidR="00AA5244">
        <w:t xml:space="preserve"> guided by angiography alone</w:t>
      </w:r>
      <w:r>
        <w:t xml:space="preserve">, it is expected that any OCT item used for the guidance of coronary stent insertion will be claimed concurrently with one of the twelve </w:t>
      </w:r>
      <w:r w:rsidR="00A61DB4">
        <w:t>percutaneous coronary interventions (PCI)</w:t>
      </w:r>
      <w:r>
        <w:t xml:space="preserve"> items which are currently listed on the MBS.</w:t>
      </w:r>
    </w:p>
    <w:p w14:paraId="18E66948" w14:textId="7D4BB595" w:rsidR="00D73332" w:rsidRPr="00FD4C65" w:rsidRDefault="5CF68AED" w:rsidP="00470DF0">
      <w:pPr>
        <w:pStyle w:val="Heading2"/>
        <w:spacing w:after="240"/>
        <w:rPr>
          <w:i/>
          <w:iCs/>
        </w:rPr>
      </w:pPr>
      <w:r>
        <w:t xml:space="preserve">PICO </w:t>
      </w:r>
      <w:r w:rsidR="45D30E8A">
        <w:t xml:space="preserve">criteria </w:t>
      </w:r>
    </w:p>
    <w:p w14:paraId="06B30611" w14:textId="77777777" w:rsidR="007D6B83" w:rsidRDefault="007D6B83" w:rsidP="007D6B83">
      <w:pPr>
        <w:pStyle w:val="Heading3"/>
      </w:pPr>
      <w:r>
        <w:t>Population</w:t>
      </w:r>
    </w:p>
    <w:p w14:paraId="6A79E5A8" w14:textId="7403D796" w:rsidR="009B1A01" w:rsidRDefault="009B1A01" w:rsidP="360B688C">
      <w:r>
        <w:t>The proposed population for OCT</w:t>
      </w:r>
      <w:r w:rsidR="00DE5FC7">
        <w:t xml:space="preserve"> </w:t>
      </w:r>
      <w:r w:rsidR="0021150C">
        <w:t>guided</w:t>
      </w:r>
      <w:r w:rsidR="00F7472E">
        <w:t xml:space="preserve"> coronary stent insertion is</w:t>
      </w:r>
      <w:r w:rsidR="7AF4DEDB">
        <w:t xml:space="preserve"> </w:t>
      </w:r>
      <w:r w:rsidR="7AF4DEDB" w:rsidRPr="000A5E0A">
        <w:t xml:space="preserve">patients with myocardial ischaemia undergoing </w:t>
      </w:r>
      <w:r w:rsidR="7AF4DEDB" w:rsidRPr="0045678C">
        <w:t>invasive</w:t>
      </w:r>
      <w:r w:rsidR="7AF4DEDB">
        <w:t xml:space="preserve"> coronary angiogram</w:t>
      </w:r>
      <w:r w:rsidR="0050160F">
        <w:t>,</w:t>
      </w:r>
      <w:r w:rsidR="7AF4DEDB">
        <w:t xml:space="preserve"> percutaneous angioplasty </w:t>
      </w:r>
      <w:r w:rsidR="7AF4DEDB" w:rsidRPr="000A5E0A">
        <w:t>and</w:t>
      </w:r>
      <w:r w:rsidR="7AF4DEDB" w:rsidRPr="0045678C">
        <w:t xml:space="preserve"> </w:t>
      </w:r>
      <w:r w:rsidR="7AF4DEDB">
        <w:t>transluminal insertion of stents with</w:t>
      </w:r>
      <w:r w:rsidR="00457220">
        <w:t xml:space="preserve"> </w:t>
      </w:r>
      <w:r w:rsidR="00457220" w:rsidRPr="000A5E0A">
        <w:rPr>
          <w:rStyle w:val="normaltextrun"/>
          <w:rFonts w:cs="Calibri"/>
          <w:shd w:val="clear" w:color="auto" w:fill="FFFFFF"/>
        </w:rPr>
        <w:t>at least one of the following lesion types or complexity</w:t>
      </w:r>
      <w:r w:rsidR="7AF4DEDB">
        <w:t>:</w:t>
      </w:r>
    </w:p>
    <w:p w14:paraId="62767EE4" w14:textId="3D7AE6D5" w:rsidR="009B1A01" w:rsidRDefault="7AF4DEDB" w:rsidP="009B1A01">
      <w:r>
        <w:t>• Long or multiple lesions, defined as intended total stent length (continuous or separated) in any single target vessel ≥28 mm</w:t>
      </w:r>
    </w:p>
    <w:p w14:paraId="25EB5A78" w14:textId="1B820C22" w:rsidR="009B1A01" w:rsidRDefault="749CF1B0" w:rsidP="009B1A01">
      <w:r>
        <w:t xml:space="preserve">• </w:t>
      </w:r>
      <w:r w:rsidR="3CD7636C">
        <w:t xml:space="preserve">Lesion located at a </w:t>
      </w:r>
      <w:r w:rsidR="154BFE48">
        <w:t>b</w:t>
      </w:r>
      <w:r>
        <w:t>ifurcation and where the planned side branch is ≥ 2.5 mm in diameter by angiographic visual estimation</w:t>
      </w:r>
    </w:p>
    <w:p w14:paraId="20FB90FA" w14:textId="1E4B1FA4" w:rsidR="009B1A01" w:rsidRDefault="7AF4DEDB" w:rsidP="009B1A01">
      <w:r>
        <w:t>• Angiographic severe calcification (defined as angiographically visible calcification on both sides of the vessel wall in the absence of cardiac motion)</w:t>
      </w:r>
    </w:p>
    <w:p w14:paraId="3BFE8688" w14:textId="571EEC93" w:rsidR="00F7472E" w:rsidRDefault="7AF4DEDB" w:rsidP="7BAB13E7">
      <w:r>
        <w:t xml:space="preserve">• Stent failure (including stent thrombosis </w:t>
      </w:r>
      <w:r w:rsidR="00574571">
        <w:t>or</w:t>
      </w:r>
      <w:r>
        <w:t xml:space="preserve"> in-stent restenosis of diffuse or multi-focal pattern)</w:t>
      </w:r>
    </w:p>
    <w:p w14:paraId="3CE449F0" w14:textId="417F04F0" w:rsidR="00E66D76" w:rsidRDefault="00E66D76" w:rsidP="7BAB13E7">
      <w:r>
        <w:t xml:space="preserve">The applicant confirmed that the initial patient population is limited only to patients who meet the eligibility criteria for the 12 MBS items used to claim stenting as part of </w:t>
      </w:r>
      <w:r w:rsidR="008E2209">
        <w:t xml:space="preserve">primary </w:t>
      </w:r>
      <w:r w:rsidR="00302CD3">
        <w:t>PCIs</w:t>
      </w:r>
      <w:r>
        <w:t xml:space="preserve">. This population is then further restricted based on </w:t>
      </w:r>
      <w:r w:rsidR="00443AFC">
        <w:t xml:space="preserve">whether </w:t>
      </w:r>
      <w:r>
        <w:t>patients meet one of the four lesion-specific or complexity criteria listed above.</w:t>
      </w:r>
    </w:p>
    <w:p w14:paraId="00ECFB3A" w14:textId="2DE2C0A5" w:rsidR="003C3D47" w:rsidRPr="00B0581A" w:rsidRDefault="00A92F48" w:rsidP="00843297">
      <w:pPr>
        <w:spacing w:after="120"/>
        <w:rPr>
          <w:u w:val="single"/>
        </w:rPr>
      </w:pPr>
      <w:r w:rsidRPr="0CA6515C">
        <w:rPr>
          <w:u w:val="single"/>
        </w:rPr>
        <w:t xml:space="preserve">Myocardial </w:t>
      </w:r>
      <w:r w:rsidR="00A346BA" w:rsidRPr="0CA6515C">
        <w:rPr>
          <w:u w:val="single"/>
        </w:rPr>
        <w:t>i</w:t>
      </w:r>
      <w:r w:rsidRPr="0CA6515C">
        <w:rPr>
          <w:u w:val="single"/>
        </w:rPr>
        <w:t>schaemia</w:t>
      </w:r>
    </w:p>
    <w:p w14:paraId="7C41B652" w14:textId="28988B88" w:rsidR="003C3D47" w:rsidRDefault="462F1ED5" w:rsidP="6155B472">
      <w:r>
        <w:t xml:space="preserve">Myocardial ischaemia is defined as </w:t>
      </w:r>
      <w:r w:rsidR="6D1E213A">
        <w:t xml:space="preserve">occurring when the delivery of oxygen (via oxygenated blood) to the heart </w:t>
      </w:r>
      <w:r w:rsidR="4A90F307">
        <w:t>mus</w:t>
      </w:r>
      <w:r w:rsidR="7D3502E9">
        <w:t>cle (myocardium)</w:t>
      </w:r>
      <w:r w:rsidR="6D1E213A">
        <w:t xml:space="preserve"> is not sufficient to meet the </w:t>
      </w:r>
      <w:r w:rsidR="16774D57">
        <w:t>myocardium</w:t>
      </w:r>
      <w:r w:rsidR="1650E680">
        <w:t>’s</w:t>
      </w:r>
      <w:r w:rsidR="56908170">
        <w:t xml:space="preserve"> </w:t>
      </w:r>
      <w:r w:rsidR="6D1E213A">
        <w:t xml:space="preserve">demand for </w:t>
      </w:r>
      <w:r w:rsidR="64B4D7C4">
        <w:t>oxygen (</w:t>
      </w:r>
      <w:r w:rsidR="549E3516">
        <w:t xml:space="preserve">Lake &amp; </w:t>
      </w:r>
      <w:r w:rsidR="549E3516">
        <w:lastRenderedPageBreak/>
        <w:t>Kingston</w:t>
      </w:r>
      <w:r w:rsidR="175ED5A8">
        <w:t>, 2020).</w:t>
      </w:r>
      <w:r w:rsidR="755BDF28">
        <w:t xml:space="preserve"> </w:t>
      </w:r>
      <w:r w:rsidR="1CB4B852">
        <w:t>T</w:t>
      </w:r>
      <w:r w:rsidR="4BF5609C">
        <w:t xml:space="preserve">he condition </w:t>
      </w:r>
      <w:r w:rsidR="63A9B9CA">
        <w:t xml:space="preserve">can be caused </w:t>
      </w:r>
      <w:r w:rsidR="63CF8BBE">
        <w:t>by coronary</w:t>
      </w:r>
      <w:r w:rsidR="4BF5609C">
        <w:t xml:space="preserve"> heart disease </w:t>
      </w:r>
      <w:r w:rsidR="75557760">
        <w:t xml:space="preserve">(CHD), </w:t>
      </w:r>
      <w:r w:rsidR="4BF5609C">
        <w:t>also known as ischaemic heart disease</w:t>
      </w:r>
      <w:r w:rsidR="75557760">
        <w:t xml:space="preserve">, however it can occur independently of CHD </w:t>
      </w:r>
      <w:r w:rsidRPr="0CA6515C">
        <w:rPr>
          <w:sz w:val="20"/>
          <w:szCs w:val="20"/>
        </w:rPr>
        <w:fldChar w:fldCharType="begin"/>
      </w:r>
      <w:r w:rsidRPr="0CA6515C">
        <w:rPr>
          <w:sz w:val="20"/>
          <w:szCs w:val="20"/>
        </w:rPr>
        <w:instrText xml:space="preserve"> ADDIN ZOTERO_ITEM CSL_CITATION {"citationID":"TR0EFnkS","properties":{"formattedCitation":"(Sedehi &amp; Cigarroa, 2018)","plainCitation":"(Sedehi &amp; Cigarroa, 2018)","noteIndex":0},"citationItems":[{"id":822,"uris":["http://zotero.org/users/local/AdfaV23w/items/XPVBFK2Y"],"itemData":{"id":822,"type":"chapter","container-title":"Chronic Coronary Artery Disease","ISBN":"978-0-323-42880-4","language":"en","note":"DOI: 10.1016/B978-0-323-42880-4.00006-6","page":"69-77","publisher":"Elsevier","source":"DOI.org (Crossref)","title":"Precipitants of Myocardial Ischemia","URL":"https://linkinghub.elsevier.com/retrieve/pii/B9780323428804000066","author":[{"family":"Sedehi","given":"Daniel"},{"family":"Cigarroa","given":"Joaquin E."}],"accessed":{"date-parts":[["2023",10,2]]},"issued":{"date-parts":[["2018"]]}}}],"schema":"https://github.com/citation-style-language/schema/raw/master/csl-citation.json"} </w:instrText>
      </w:r>
      <w:r w:rsidRPr="0CA6515C">
        <w:rPr>
          <w:sz w:val="20"/>
          <w:szCs w:val="20"/>
        </w:rPr>
        <w:fldChar w:fldCharType="separate"/>
      </w:r>
      <w:r w:rsidR="75557760" w:rsidRPr="0CA6515C">
        <w:rPr>
          <w:rFonts w:cs="Calibri"/>
        </w:rPr>
        <w:t>(Sedehi &amp; Cigarroa, 2018)</w:t>
      </w:r>
      <w:r w:rsidRPr="0CA6515C">
        <w:rPr>
          <w:sz w:val="20"/>
          <w:szCs w:val="20"/>
        </w:rPr>
        <w:fldChar w:fldCharType="end"/>
      </w:r>
      <w:r w:rsidR="63A9B9CA">
        <w:t>.</w:t>
      </w:r>
      <w:r w:rsidR="755BDF28">
        <w:t xml:space="preserve"> </w:t>
      </w:r>
      <w:r w:rsidR="7486EAB3">
        <w:t>CHD is characterised by</w:t>
      </w:r>
      <w:r w:rsidR="75557760">
        <w:t xml:space="preserve"> reduced blood flow</w:t>
      </w:r>
      <w:r w:rsidR="5C08552A">
        <w:t xml:space="preserve"> to the </w:t>
      </w:r>
      <w:r w:rsidR="2A52C81F">
        <w:t>myocardium</w:t>
      </w:r>
      <w:r w:rsidR="75557760">
        <w:t xml:space="preserve"> result</w:t>
      </w:r>
      <w:r w:rsidR="7486EAB3">
        <w:t>ing</w:t>
      </w:r>
      <w:r w:rsidR="75557760">
        <w:t xml:space="preserve"> from blockages in the coronary arteries</w:t>
      </w:r>
      <w:r w:rsidR="77DEBB93">
        <w:t xml:space="preserve"> caused by atherosclerosis.</w:t>
      </w:r>
      <w:r w:rsidR="75557760">
        <w:t xml:space="preserve"> </w:t>
      </w:r>
      <w:r w:rsidR="77DEBB93">
        <w:t>The reduced blood flow</w:t>
      </w:r>
      <w:r w:rsidR="75557760">
        <w:t xml:space="preserve"> can cause damage to the musc</w:t>
      </w:r>
      <w:r w:rsidR="1A0E4FFE">
        <w:t>ulature of the heart</w:t>
      </w:r>
      <w:r w:rsidR="75557760">
        <w:t xml:space="preserve"> and may also </w:t>
      </w:r>
      <w:r w:rsidR="15C8B29F">
        <w:t xml:space="preserve">produce serious arrhythmia </w:t>
      </w:r>
      <w:r w:rsidRPr="0CA6515C">
        <w:rPr>
          <w:sz w:val="20"/>
          <w:szCs w:val="20"/>
        </w:rPr>
        <w:fldChar w:fldCharType="begin"/>
      </w:r>
      <w:r w:rsidRPr="0CA6515C">
        <w:rPr>
          <w:sz w:val="20"/>
          <w:szCs w:val="20"/>
        </w:rPr>
        <w:instrText xml:space="preserve"> ADDIN ZOTERO_ITEM CSL_CITATION {"citationID":"6XkBNZlY","properties":{"formattedCitation":"(Ahmed, 2019)","plainCitation":"(Ahmed, 2019)","noteIndex":0},"citationItems":[{"id":823,"uris":["http://zotero.org/users/local/AdfaV23w/items/XD524RP6"],"itemData":{"id":823,"type":"chapter","container-title":"Pathophysiology of Ischemia Reperfusion Injury and Use of Fingolimod in Cardioprotection","ISBN":"978-0-12-818023-5","language":"en","note":"DOI: 10.1016/B978-0-12-818023-5.00002-9","page":"41-56","publisher":"Elsevier","source":"DOI.org (Crossref)","title":"Myocardial ischemia","URL":"https://linkinghub.elsevier.com/retrieve/pii/B9780128180235000029","author":[{"family":"Ahmed","given":"Naseer"}],"accessed":{"date-parts":[["2023",10,2]]},"issued":{"date-parts":[["2019"]]}}}],"schema":"https://github.com/citation-style-language/schema/raw/master/csl-citation.json"} </w:instrText>
      </w:r>
      <w:r w:rsidRPr="0CA6515C">
        <w:rPr>
          <w:sz w:val="20"/>
          <w:szCs w:val="20"/>
        </w:rPr>
        <w:fldChar w:fldCharType="separate"/>
      </w:r>
      <w:r w:rsidR="15C8B29F" w:rsidRPr="0CA6515C">
        <w:rPr>
          <w:rFonts w:cs="Calibri"/>
        </w:rPr>
        <w:t>(Ahmed, 2019)</w:t>
      </w:r>
      <w:r w:rsidRPr="0CA6515C">
        <w:rPr>
          <w:sz w:val="20"/>
          <w:szCs w:val="20"/>
        </w:rPr>
        <w:fldChar w:fldCharType="end"/>
      </w:r>
      <w:r w:rsidR="15C8B29F">
        <w:t>.</w:t>
      </w:r>
      <w:r w:rsidR="75557760">
        <w:t xml:space="preserve"> </w:t>
      </w:r>
      <w:r w:rsidR="755BDF28">
        <w:t>Patients with myocardial ischaemia have</w:t>
      </w:r>
      <w:r w:rsidR="2F262CC0">
        <w:t xml:space="preserve"> an</w:t>
      </w:r>
      <w:r w:rsidR="755BDF28">
        <w:t xml:space="preserve"> increased risk of experiencing acute coronary events including acute myocardial infarction, unstable angina, or death due to </w:t>
      </w:r>
      <w:r w:rsidR="07499515">
        <w:t>CHD</w:t>
      </w:r>
      <w:r w:rsidR="15C8B29F">
        <w:t xml:space="preserve"> </w:t>
      </w:r>
      <w:r w:rsidRPr="0CA6515C">
        <w:rPr>
          <w:sz w:val="20"/>
          <w:szCs w:val="20"/>
        </w:rPr>
        <w:fldChar w:fldCharType="begin"/>
      </w:r>
      <w:r w:rsidRPr="0CA6515C">
        <w:rPr>
          <w:sz w:val="20"/>
          <w:szCs w:val="20"/>
        </w:rPr>
        <w:instrText xml:space="preserve"> ADDIN ZOTERO_ITEM CSL_CITATION {"citationID":"L4QOp7zT","properties":{"formattedCitation":"(Australian Institute of Health and Welfare, 2023)","plainCitation":"(Australian Institute of Health and Welfare, 2023)","noteIndex":0},"citationItems":[{"id":817,"uris":["http://zotero.org/users/local/AdfaV23w/items/3KSNTNAS"],"itemData":{"id":817,"type":"webpage","abstract":"Heart, stroke and vascular disease: Australian facts provides key information for monitoring cardiovascular disease (CVD) in the Australian population, focussing on cardiovascular risk factors...","container-title":"Australian Institute of Health and Welfare","language":"en-AU","title":"Heart, stroke and vascular disease: Australian facts, All heart, stroke and vascular disease","title-short":"Heart, stroke and vascular disease","URL":"https://www.aihw.gov.au/reports/heart-stroke-vascular-diseases/hsvd-facts/contents/all-heart-stroke-and-vascular-disease","author":[{"literal":"Australian Institute of Health and Welfare"}],"accessed":{"date-parts":[["2023",4,24]]},"issued":{"date-parts":[["2023",2,9]]}}}],"schema":"https://github.com/citation-style-language/schema/raw/master/csl-citation.json"} </w:instrText>
      </w:r>
      <w:r w:rsidRPr="0CA6515C">
        <w:rPr>
          <w:sz w:val="20"/>
          <w:szCs w:val="20"/>
        </w:rPr>
        <w:fldChar w:fldCharType="separate"/>
      </w:r>
      <w:r w:rsidR="15C8B29F" w:rsidRPr="0CA6515C">
        <w:rPr>
          <w:rFonts w:cs="Calibri"/>
        </w:rPr>
        <w:t>(Australian Institute of Health and Welfare, 2023)</w:t>
      </w:r>
      <w:r w:rsidRPr="0CA6515C">
        <w:rPr>
          <w:sz w:val="20"/>
          <w:szCs w:val="20"/>
        </w:rPr>
        <w:fldChar w:fldCharType="end"/>
      </w:r>
      <w:r w:rsidR="15C8B29F">
        <w:t>.</w:t>
      </w:r>
      <w:r w:rsidR="42773C8E">
        <w:t xml:space="preserve"> Patients with myocardial ischaemia may present with symptoms of chest pain, shortness of breath, or fainting </w:t>
      </w:r>
      <w:r w:rsidRPr="0CA6515C">
        <w:rPr>
          <w:sz w:val="20"/>
          <w:szCs w:val="20"/>
        </w:rPr>
        <w:fldChar w:fldCharType="begin"/>
      </w:r>
      <w:r w:rsidRPr="0CA6515C">
        <w:rPr>
          <w:sz w:val="20"/>
          <w:szCs w:val="20"/>
        </w:rPr>
        <w:instrText xml:space="preserve"> ADDIN ZOTERO_ITEM CSL_CITATION {"citationID":"Gx4ObmjZ","properties":{"formattedCitation":"(Lake &amp; Kingston, 2020)","plainCitation":"(Lake &amp; Kingston, 2020)","noteIndex":0},"citationItems":[{"id":819,"uris":["http://zotero.org/users/local/AdfaV23w/items/VFN42434"],"itemData":{"id":819,"type":"article-journal","container-title":"Anaesthesia &amp; Intensive Care Medicine","DOI":"10.1016/j.mpaic.2020.03.006","ISSN":"14720299","issue":"6","journalAbbreviation":"Anaesthesia &amp; Intensive Care Medicine","language":"en","page":"269-274","source":"DOI.org (Crossref)","title":"Cardiovascular system: critical incidents","title-short":"Cardiovascular system","volume":"21","author":[{"family":"Lake","given":"Caroline M."},{"family":"Kingston","given":"Elise M."}],"issued":{"date-parts":[["2020",6]]}}}],"schema":"https://github.com/citation-style-language/schema/raw/master/csl-citation.json"} </w:instrText>
      </w:r>
      <w:r w:rsidRPr="0CA6515C">
        <w:rPr>
          <w:sz w:val="20"/>
          <w:szCs w:val="20"/>
        </w:rPr>
        <w:fldChar w:fldCharType="separate"/>
      </w:r>
      <w:r w:rsidR="42773C8E" w:rsidRPr="0CA6515C">
        <w:rPr>
          <w:rFonts w:cs="Calibri"/>
        </w:rPr>
        <w:t>(Lake &amp; Kingston, 2020)</w:t>
      </w:r>
      <w:r w:rsidRPr="0CA6515C">
        <w:rPr>
          <w:sz w:val="20"/>
          <w:szCs w:val="20"/>
        </w:rPr>
        <w:fldChar w:fldCharType="end"/>
      </w:r>
      <w:r w:rsidR="42773C8E">
        <w:t>.</w:t>
      </w:r>
    </w:p>
    <w:p w14:paraId="62031F78" w14:textId="7699C85B" w:rsidR="00390FA4" w:rsidRDefault="256AA264" w:rsidP="230F18B9">
      <w:pPr>
        <w:rPr>
          <w:rFonts w:cs="Calibri"/>
        </w:rPr>
      </w:pPr>
      <w:r>
        <w:t xml:space="preserve">The prognosis for patients with myocardial ischaemia </w:t>
      </w:r>
      <w:r w:rsidR="00114902">
        <w:t xml:space="preserve">caused by </w:t>
      </w:r>
      <w:r>
        <w:t xml:space="preserve">CHD in Australia has improved over the last two </w:t>
      </w:r>
      <w:r w:rsidR="5348D8D8">
        <w:t>decades, with</w:t>
      </w:r>
      <w:r>
        <w:t xml:space="preserve"> rates of acute coronary events decreasing by 59% between 2001 and 2020</w:t>
      </w:r>
      <w:r w:rsidR="315F8F97">
        <w:t xml:space="preserve">. </w:t>
      </w:r>
      <w:r>
        <w:t>Similarly, the number of hospitalisations due to CHD</w:t>
      </w:r>
      <w:r w:rsidR="0108ECAF">
        <w:t xml:space="preserve"> have reduced by 39%</w:t>
      </w:r>
      <w:r>
        <w:t xml:space="preserve"> between </w:t>
      </w:r>
      <w:r w:rsidR="1C76949B">
        <w:t xml:space="preserve">the years </w:t>
      </w:r>
      <w:r>
        <w:t>2000 and 2021.</w:t>
      </w:r>
      <w:r w:rsidR="16DF415C">
        <w:t xml:space="preserve"> </w:t>
      </w:r>
      <w:r w:rsidR="656FCDDA">
        <w:t xml:space="preserve">The </w:t>
      </w:r>
      <w:r w:rsidR="16DF415C">
        <w:t xml:space="preserve">CHD-related mortality rates in Australia </w:t>
      </w:r>
      <w:r w:rsidR="35851BDE">
        <w:t>have</w:t>
      </w:r>
      <w:r w:rsidR="21E8B499">
        <w:t xml:space="preserve"> </w:t>
      </w:r>
      <w:r w:rsidR="6AC23304">
        <w:t>been decreasing</w:t>
      </w:r>
      <w:r w:rsidR="21E8B499">
        <w:t xml:space="preserve"> since the </w:t>
      </w:r>
      <w:r w:rsidR="16DF415C">
        <w:t>late 1960’s. Between 1980 and 2021, mortality due to CHD ha</w:t>
      </w:r>
      <w:r w:rsidR="0DB72BBE">
        <w:t>s</w:t>
      </w:r>
      <w:r w:rsidR="16DF415C">
        <w:t xml:space="preserve"> reduced </w:t>
      </w:r>
      <w:r w:rsidR="00422CB9">
        <w:t xml:space="preserve">by </w:t>
      </w:r>
      <w:r w:rsidR="16DF415C">
        <w:t>44%, and the age-standardised mortality</w:t>
      </w:r>
      <w:r w:rsidR="6D64C0B1">
        <w:t xml:space="preserve"> rate has</w:t>
      </w:r>
      <w:r w:rsidR="16DF415C">
        <w:t xml:space="preserve"> declined by over 80%. </w:t>
      </w:r>
      <w:r w:rsidR="4F899417">
        <w:t>T</w:t>
      </w:r>
      <w:r w:rsidR="16DF415C">
        <w:t xml:space="preserve">hese observed decreases in </w:t>
      </w:r>
      <w:r w:rsidR="4F899417">
        <w:t>acute coronary events and</w:t>
      </w:r>
      <w:r w:rsidR="0ED25EDF">
        <w:t xml:space="preserve"> </w:t>
      </w:r>
      <w:r w:rsidR="66772BE1">
        <w:t xml:space="preserve">the </w:t>
      </w:r>
      <w:r w:rsidR="0ED25EDF">
        <w:t>CHD-related</w:t>
      </w:r>
      <w:r w:rsidR="4F899417">
        <w:t xml:space="preserve"> </w:t>
      </w:r>
      <w:r w:rsidR="16DF415C">
        <w:t>mortality</w:t>
      </w:r>
      <w:r w:rsidR="4F899417">
        <w:t xml:space="preserve"> </w:t>
      </w:r>
      <w:r w:rsidR="0ED25EDF">
        <w:t xml:space="preserve">rate </w:t>
      </w:r>
      <w:r w:rsidR="16DF415C">
        <w:t xml:space="preserve">have been attributed to reductions </w:t>
      </w:r>
      <w:r w:rsidR="10578021">
        <w:t>across the population in</w:t>
      </w:r>
      <w:r w:rsidR="16DF415C">
        <w:t xml:space="preserve"> levels of risk </w:t>
      </w:r>
      <w:r w:rsidR="7C33133E">
        <w:t>factors such</w:t>
      </w:r>
      <w:r w:rsidR="6FF713B9">
        <w:t xml:space="preserve"> as </w:t>
      </w:r>
      <w:r w:rsidR="400FAD6E">
        <w:t>tobacco smoking, high blood pressure</w:t>
      </w:r>
      <w:r w:rsidR="16DF415C">
        <w:t>,</w:t>
      </w:r>
      <w:r w:rsidR="72A1BA1E">
        <w:t xml:space="preserve"> and high </w:t>
      </w:r>
      <w:r w:rsidR="7D8844EE">
        <w:t>cholesterol</w:t>
      </w:r>
      <w:r w:rsidR="4EC72992">
        <w:t xml:space="preserve"> </w:t>
      </w:r>
      <w:r w:rsidR="6FF74764">
        <w:t>levels. In</w:t>
      </w:r>
      <w:r w:rsidR="11ED4931">
        <w:t xml:space="preserve"> addition</w:t>
      </w:r>
      <w:r w:rsidR="15B7127E">
        <w:t>,</w:t>
      </w:r>
      <w:r w:rsidR="28AD1DB6">
        <w:t xml:space="preserve"> decreased </w:t>
      </w:r>
      <w:r w:rsidR="54AD8371">
        <w:t xml:space="preserve">numbers of </w:t>
      </w:r>
      <w:r w:rsidR="28AD1DB6">
        <w:t>CHD-related events</w:t>
      </w:r>
      <w:r w:rsidR="159CB29F">
        <w:t xml:space="preserve"> have also been attributed to</w:t>
      </w:r>
      <w:r w:rsidR="15B7127E">
        <w:t xml:space="preserve"> </w:t>
      </w:r>
      <w:r w:rsidR="30850C69">
        <w:t>i</w:t>
      </w:r>
      <w:r w:rsidR="16DF415C">
        <w:t>mprovements in treatment options, including novel medical and surgical therapies</w:t>
      </w:r>
      <w:r w:rsidR="30850C69">
        <w:t xml:space="preserve"> and increased uptake of antithrombotic drugs and medications that lower blood pressure</w:t>
      </w:r>
      <w:r w:rsidR="28AD1DB6">
        <w:t xml:space="preserve"> and cholesterol</w:t>
      </w:r>
      <w:r w:rsidR="16DF415C">
        <w:t xml:space="preserve">. </w:t>
      </w:r>
      <w:r w:rsidRPr="0CA6515C">
        <w:rPr>
          <w:sz w:val="20"/>
          <w:szCs w:val="20"/>
        </w:rPr>
        <w:fldChar w:fldCharType="begin"/>
      </w:r>
      <w:r w:rsidRPr="0CA6515C">
        <w:rPr>
          <w:sz w:val="20"/>
          <w:szCs w:val="20"/>
        </w:rPr>
        <w:instrText xml:space="preserve"> ADDIN ZOTERO_ITEM CSL_CITATION {"citationID":"KfopcXjM","properties":{"formattedCitation":"(Australian Institute of Health and Welfare, 2023)","plainCitation":"(Australian Institute of Health and Welfare, 2023)","noteIndex":0},"citationItems":[{"id":817,"uris":["http://zotero.org/users/local/AdfaV23w/items/3KSNTNAS"],"itemData":{"id":817,"type":"webpage","abstract":"Heart, stroke and vascular disease: Australian facts provides key information for monitoring cardiovascular disease (CVD) in the Australian population, focussing on cardiovascular risk factors...","container-title":"Australian Institute of Health and Welfare","language":"en-AU","title":"Heart, stroke and vascular disease: Australian facts, All heart, stroke and vascular disease","title-short":"Heart, stroke and vascular disease","URL":"https://www.aihw.gov.au/reports/heart-stroke-vascular-diseases/hsvd-facts/contents/all-heart-stroke-and-vascular-disease","author":[{"literal":"Australian Institute of Health and Welfare"}],"accessed":{"date-parts":[["2023",4,24]]},"issued":{"date-parts":[["2023",2,9]]}}}],"schema":"https://github.com/citation-style-language/schema/raw/master/csl-citation.json"} </w:instrText>
      </w:r>
      <w:r w:rsidRPr="0CA6515C">
        <w:rPr>
          <w:sz w:val="20"/>
          <w:szCs w:val="20"/>
        </w:rPr>
        <w:fldChar w:fldCharType="separate"/>
      </w:r>
      <w:r w:rsidR="16DF415C" w:rsidRPr="0CA6515C">
        <w:rPr>
          <w:rFonts w:cs="Calibri"/>
        </w:rPr>
        <w:t>(Australian Institute of Health and Welfare, 2023)</w:t>
      </w:r>
      <w:r w:rsidRPr="0CA6515C">
        <w:rPr>
          <w:sz w:val="20"/>
          <w:szCs w:val="20"/>
        </w:rPr>
        <w:fldChar w:fldCharType="end"/>
      </w:r>
    </w:p>
    <w:p w14:paraId="4E0759F5" w14:textId="347C7187" w:rsidR="384675F5" w:rsidRDefault="63466E74" w:rsidP="00843297">
      <w:pPr>
        <w:spacing w:after="120"/>
        <w:rPr>
          <w:u w:val="single"/>
        </w:rPr>
      </w:pPr>
      <w:r w:rsidRPr="7BAB13E7">
        <w:rPr>
          <w:u w:val="single"/>
        </w:rPr>
        <w:t>Prevalence</w:t>
      </w:r>
    </w:p>
    <w:p w14:paraId="7890D80D" w14:textId="5E2F4A8E" w:rsidR="384675F5" w:rsidRDefault="63F66828" w:rsidP="7BAB13E7">
      <w:r>
        <w:t>It is estimated that 580,000</w:t>
      </w:r>
      <w:r w:rsidR="11177F37">
        <w:t xml:space="preserve"> (3.1%)</w:t>
      </w:r>
      <w:r>
        <w:t xml:space="preserve"> of the Australian adult population </w:t>
      </w:r>
      <w:r w:rsidR="2953057F">
        <w:t xml:space="preserve">have been diagnosed with CHD </w:t>
      </w:r>
      <w:r w:rsidRPr="6306913B">
        <w:rPr>
          <w:sz w:val="20"/>
          <w:szCs w:val="20"/>
        </w:rPr>
        <w:fldChar w:fldCharType="begin"/>
      </w:r>
      <w:r w:rsidRPr="6306913B">
        <w:rPr>
          <w:sz w:val="20"/>
          <w:szCs w:val="20"/>
        </w:rPr>
        <w:instrText xml:space="preserve"> ADDIN ZOTERO_ITEM CSL_CITATION {"citationID":"aDG1vVUq","properties":{"formattedCitation":"(Australian Institute of Health and Welfare, 2023)","plainCitation":"(Australian Institute of Health and Welfare, 2023)","noteIndex":0},"citationItems":[{"id":817,"uris":["http://zotero.org/users/local/AdfaV23w/items/3KSNTNAS"],"itemData":{"id":817,"type":"webpage","abstract":"Heart, stroke and vascular disease: Australian facts provides key information for monitoring cardiovascular disease (CVD) in the Australian population, focussing on cardiovascular risk factors...","container-title":"Australian Institute of Health and Welfare","language":"en-AU","title":"Heart, stroke and vascular disease: Australian facts, All heart, stroke and vascular disease","title-short":"Heart, stroke and vascular disease","URL":"https://www.aihw.gov.au/reports/heart-stroke-vascular-diseases/hsvd-facts/contents/all-heart-stroke-and-vascular-disease","author":[{"literal":"Australian Institute of Health and Welfare"}],"accessed":{"date-parts":[["2023",4,24]]},"issued":{"date-parts":[["2023",2,9]]}}}],"schema":"https://github.com/citation-style-language/schema/raw/master/csl-citation.json"} </w:instrText>
      </w:r>
      <w:r w:rsidRPr="6306913B">
        <w:rPr>
          <w:sz w:val="20"/>
          <w:szCs w:val="20"/>
        </w:rPr>
        <w:fldChar w:fldCharType="separate"/>
      </w:r>
      <w:r w:rsidRPr="6306913B">
        <w:rPr>
          <w:rFonts w:cs="Calibri"/>
        </w:rPr>
        <w:t>(Australian Institute of Health and Welfare, 2023)</w:t>
      </w:r>
      <w:r w:rsidRPr="6306913B">
        <w:rPr>
          <w:sz w:val="20"/>
          <w:szCs w:val="20"/>
        </w:rPr>
        <w:fldChar w:fldCharType="end"/>
      </w:r>
      <w:r>
        <w:t>.</w:t>
      </w:r>
    </w:p>
    <w:p w14:paraId="311E6E5A" w14:textId="3E19F339" w:rsidR="00A346BA" w:rsidRDefault="00A346BA" w:rsidP="00843297">
      <w:pPr>
        <w:spacing w:after="120"/>
        <w:rPr>
          <w:u w:val="single"/>
        </w:rPr>
      </w:pPr>
      <w:r w:rsidRPr="7BAB13E7">
        <w:rPr>
          <w:u w:val="single"/>
        </w:rPr>
        <w:t>At-risk populations</w:t>
      </w:r>
    </w:p>
    <w:p w14:paraId="43A7098E" w14:textId="0964D852" w:rsidR="00A346BA" w:rsidRPr="00A346BA" w:rsidRDefault="15C8B29F" w:rsidP="7BAB13E7">
      <w:r>
        <w:t xml:space="preserve">In the Australian population, </w:t>
      </w:r>
      <w:r w:rsidR="765D02C6">
        <w:t xml:space="preserve">the prevalence of </w:t>
      </w:r>
      <w:r>
        <w:t xml:space="preserve">CHD </w:t>
      </w:r>
      <w:r w:rsidR="765D02C6">
        <w:t xml:space="preserve">amongst men (3.8%) was estimated to be twice that of Australian women (1.9%). </w:t>
      </w:r>
      <w:r w:rsidR="64F90939">
        <w:t>However</w:t>
      </w:r>
      <w:r w:rsidR="6B850879">
        <w:t xml:space="preserve"> </w:t>
      </w:r>
      <w:r w:rsidR="30666C36">
        <w:t>due to</w:t>
      </w:r>
      <w:r w:rsidR="3DF7F47A">
        <w:t xml:space="preserve"> differences in pathophysiology, alongside</w:t>
      </w:r>
      <w:r w:rsidR="30666C36">
        <w:t xml:space="preserve"> </w:t>
      </w:r>
      <w:r w:rsidR="43475DF2">
        <w:t>unsubstantiated societal and clinical attitudes</w:t>
      </w:r>
      <w:r w:rsidR="3ABDC65B">
        <w:t xml:space="preserve">, </w:t>
      </w:r>
      <w:r w:rsidR="6B850879">
        <w:t>CHD remains under-diagnosed and under treated in women</w:t>
      </w:r>
      <w:r w:rsidR="710CAAF2" w:rsidRPr="0CA6515C">
        <w:rPr>
          <w:rFonts w:cs="Calibri"/>
        </w:rPr>
        <w:t xml:space="preserve"> (Keteepe-Arachi &amp; Sharma, 2017)</w:t>
      </w:r>
      <w:r w:rsidR="43080DA7">
        <w:t xml:space="preserve">. </w:t>
      </w:r>
      <w:r w:rsidR="765D02C6">
        <w:t xml:space="preserve">Age is a significant risk factor for CHD, occurring at a rate of 1.1% among those in the population aged 45-54 years and increasing to a rate of 14% in the 75 years and over age cohort. Indigenous Australians </w:t>
      </w:r>
      <w:r w:rsidR="2530F1D9">
        <w:t xml:space="preserve">are at </w:t>
      </w:r>
      <w:r w:rsidR="765D02C6">
        <w:t>greater risk of CHD compared with the non-Indigenous population</w:t>
      </w:r>
      <w:r w:rsidR="7452F279">
        <w:t xml:space="preserve">, recording a prevalence of 5.6%. Socio-economic status was also a factor influencing CHD risk, with adults who resided in areas categorised as being in the most socio-economically disadvantaged quintile having a 1.6-fold increase in CHD likelihood compared with those living in the least disadvantaged quintile. </w:t>
      </w:r>
      <w:r w:rsidR="3827A07B">
        <w:t xml:space="preserve">The risk of CHD was higher for men compared with women for those living in all but the least socio-economically disadvantaged quintile </w:t>
      </w:r>
      <w:r w:rsidRPr="0CA6515C">
        <w:rPr>
          <w:sz w:val="20"/>
          <w:szCs w:val="20"/>
        </w:rPr>
        <w:fldChar w:fldCharType="begin"/>
      </w:r>
      <w:r w:rsidRPr="0CA6515C">
        <w:rPr>
          <w:sz w:val="20"/>
          <w:szCs w:val="20"/>
        </w:rPr>
        <w:instrText xml:space="preserve"> ADDIN ZOTERO_ITEM CSL_CITATION {"citationID":"q6loXE7C","properties":{"formattedCitation":"(Australian Institute of Health and Welfare, 2023)","plainCitation":"(Australian Institute of Health and Welfare, 2023)","noteIndex":0},"citationItems":[{"id":817,"uris":["http://zotero.org/users/local/AdfaV23w/items/3KSNTNAS"],"itemData":{"id":817,"type":"webpage","abstract":"Heart, stroke and vascular disease: Australian facts provides key information for monitoring cardiovascular disease (CVD) in the Australian population, focussing on cardiovascular risk factors...","container-title":"Australian Institute of Health and Welfare","language":"en-AU","title":"Heart, stroke and vascular disease: Australian facts, All heart, stroke and vascular disease","title-short":"Heart, stroke and vascular disease","URL":"https://www.aihw.gov.au/reports/heart-stroke-vascular-diseases/hsvd-facts/contents/all-heart-stroke-and-vascular-disease","author":[{"literal":"Australian Institute of Health and Welfare"}],"accessed":{"date-parts":[["2023",4,24]]},"issued":{"date-parts":[["2023",2,9]]}}}],"schema":"https://github.com/citation-style-language/schema/raw/master/csl-citation.json"} </w:instrText>
      </w:r>
      <w:r w:rsidRPr="0CA6515C">
        <w:rPr>
          <w:sz w:val="20"/>
          <w:szCs w:val="20"/>
        </w:rPr>
        <w:fldChar w:fldCharType="separate"/>
      </w:r>
      <w:r w:rsidR="3827A07B" w:rsidRPr="0CA6515C">
        <w:rPr>
          <w:rFonts w:cs="Calibri"/>
        </w:rPr>
        <w:t>(Australian Institute of Health and Welfare, 2023)</w:t>
      </w:r>
      <w:r w:rsidRPr="0CA6515C">
        <w:rPr>
          <w:sz w:val="20"/>
          <w:szCs w:val="20"/>
        </w:rPr>
        <w:fldChar w:fldCharType="end"/>
      </w:r>
      <w:r w:rsidR="3827A07B">
        <w:t>.</w:t>
      </w:r>
    </w:p>
    <w:p w14:paraId="2DC77EC0" w14:textId="32C44903" w:rsidR="00A346BA" w:rsidRDefault="3744EA77" w:rsidP="00843297">
      <w:pPr>
        <w:spacing w:after="120"/>
        <w:rPr>
          <w:u w:val="single"/>
        </w:rPr>
      </w:pPr>
      <w:r w:rsidRPr="0CA6515C">
        <w:rPr>
          <w:u w:val="single"/>
        </w:rPr>
        <w:t>Population size</w:t>
      </w:r>
    </w:p>
    <w:p w14:paraId="4E38824F" w14:textId="7DF7CC44" w:rsidR="00990F34" w:rsidRDefault="2A0CAC03" w:rsidP="7BAB13E7">
      <w:r>
        <w:t xml:space="preserve">The </w:t>
      </w:r>
      <w:r w:rsidR="55F28E0C">
        <w:t xml:space="preserve">application </w:t>
      </w:r>
      <w:r w:rsidR="75134AA7">
        <w:t xml:space="preserve">reported </w:t>
      </w:r>
      <w:r>
        <w:t xml:space="preserve">that 21,401 procedures </w:t>
      </w:r>
      <w:r w:rsidR="55F28E0C">
        <w:t xml:space="preserve">that </w:t>
      </w:r>
      <w:r>
        <w:t xml:space="preserve">included coronary stent(s) insertion were claimed under </w:t>
      </w:r>
      <w:r w:rsidR="2CA98F4C">
        <w:t xml:space="preserve">12 individual </w:t>
      </w:r>
      <w:r>
        <w:t>MBS items in 2022</w:t>
      </w:r>
      <w:r w:rsidR="6C13AAB9">
        <w:t>,</w:t>
      </w:r>
      <w:r w:rsidR="00280B9A">
        <w:t xml:space="preserve"> </w:t>
      </w:r>
      <w:r w:rsidR="00740838">
        <w:t xml:space="preserve">detail </w:t>
      </w:r>
      <w:r w:rsidR="00AB6942">
        <w:t>of these items are</w:t>
      </w:r>
      <w:r w:rsidR="00740838">
        <w:t xml:space="preserve"> included in Table 4</w:t>
      </w:r>
      <w:r w:rsidR="00344F3F">
        <w:t>. Each item allows for the insertion of multiple stents into a specified coronary vascular territory.</w:t>
      </w:r>
      <w:r w:rsidR="6C13AAB9">
        <w:t xml:space="preserve"> </w:t>
      </w:r>
      <w:r w:rsidR="00344F3F">
        <w:t xml:space="preserve">See </w:t>
      </w:r>
      <w:r>
        <w:fldChar w:fldCharType="begin"/>
      </w:r>
      <w:r>
        <w:instrText xml:space="preserve"> REF _Ref149665218 \h </w:instrText>
      </w:r>
      <w:r>
        <w:fldChar w:fldCharType="separate"/>
      </w:r>
      <w:r w:rsidR="75912948">
        <w:t xml:space="preserve">Table </w:t>
      </w:r>
      <w:r w:rsidR="75912948" w:rsidRPr="0CA6515C">
        <w:rPr>
          <w:noProof/>
        </w:rPr>
        <w:t>2</w:t>
      </w:r>
      <w:r>
        <w:fldChar w:fldCharType="end"/>
      </w:r>
      <w:r w:rsidR="75912948">
        <w:t xml:space="preserve"> </w:t>
      </w:r>
      <w:r w:rsidR="65B48BD4">
        <w:t xml:space="preserve">for details of the utilisation </w:t>
      </w:r>
      <w:r w:rsidR="19FB47FE">
        <w:t>for</w:t>
      </w:r>
      <w:r w:rsidR="65B48BD4">
        <w:t xml:space="preserve"> each item</w:t>
      </w:r>
      <w:r>
        <w:t>.</w:t>
      </w:r>
      <w:r w:rsidR="7D35BCD8">
        <w:t xml:space="preserve"> </w:t>
      </w:r>
      <w:r w:rsidR="268D9214">
        <w:t>Only a subset of this overall patient population will meet the lesion-specific</w:t>
      </w:r>
      <w:r w:rsidR="55B90530">
        <w:t xml:space="preserve"> and complexity</w:t>
      </w:r>
      <w:r w:rsidR="268D9214">
        <w:t xml:space="preserve"> criteria outlined for OCT eligibility</w:t>
      </w:r>
      <w:r w:rsidR="3C8472A1">
        <w:t>. The</w:t>
      </w:r>
      <w:r w:rsidR="09C15026">
        <w:t xml:space="preserve"> applicant</w:t>
      </w:r>
      <w:r w:rsidR="73B012FB">
        <w:t xml:space="preserve"> provided modelling</w:t>
      </w:r>
      <w:r w:rsidR="09C15026">
        <w:t xml:space="preserve"> which estimated the </w:t>
      </w:r>
      <w:r w:rsidR="09C15026">
        <w:lastRenderedPageBreak/>
        <w:t xml:space="preserve">population meeting the proposed criteria </w:t>
      </w:r>
      <w:r w:rsidR="137D5933">
        <w:t xml:space="preserve">to </w:t>
      </w:r>
      <w:r w:rsidR="137D5933" w:rsidRPr="00247FE4">
        <w:t xml:space="preserve">be </w:t>
      </w:r>
      <w:r w:rsidR="09C15026" w:rsidRPr="00247FE4">
        <w:t>7,995</w:t>
      </w:r>
      <w:r w:rsidR="09C15026">
        <w:t xml:space="preserve"> peo</w:t>
      </w:r>
      <w:r w:rsidR="3D91C65A">
        <w:t xml:space="preserve">ple. </w:t>
      </w:r>
      <w:r w:rsidR="7D35BCD8">
        <w:t>They have also estimated that the uptake rate</w:t>
      </w:r>
      <w:r w:rsidR="08B271E1">
        <w:t xml:space="preserve"> of OCT if listed</w:t>
      </w:r>
      <w:r w:rsidR="7D35BCD8">
        <w:t xml:space="preserve"> will increase by </w:t>
      </w:r>
      <w:r w:rsidR="007A6E77">
        <w:t>REDACTED</w:t>
      </w:r>
      <w:r w:rsidR="007A6E77" w:rsidRPr="007A6E77" w:rsidDel="00B17F34">
        <w:t xml:space="preserve"> </w:t>
      </w:r>
      <w:r w:rsidR="2C5B693D">
        <w:t xml:space="preserve">in </w:t>
      </w:r>
      <w:r w:rsidR="7D35BCD8">
        <w:t xml:space="preserve">annual increments from </w:t>
      </w:r>
      <w:r w:rsidR="00046562">
        <w:t>REDACTED</w:t>
      </w:r>
      <w:r w:rsidR="7D35BCD8">
        <w:t xml:space="preserve"> in Year 1 to </w:t>
      </w:r>
      <w:r w:rsidR="00046562">
        <w:t>REDACTED</w:t>
      </w:r>
      <w:r w:rsidR="7D35BCD8">
        <w:t xml:space="preserve"> in Year </w:t>
      </w:r>
      <w:r w:rsidR="06D9E1FC">
        <w:t>4,</w:t>
      </w:r>
      <w:r w:rsidR="7D35BCD8">
        <w:t xml:space="preserve"> </w:t>
      </w:r>
      <w:r w:rsidR="665A34F2">
        <w:t>i</w:t>
      </w:r>
      <w:r w:rsidR="7D35BCD8">
        <w:t xml:space="preserve">ndicating that there would likely be </w:t>
      </w:r>
      <w:r w:rsidR="00046562">
        <w:t>REDACTED</w:t>
      </w:r>
      <w:r w:rsidR="7D35BCD8">
        <w:t xml:space="preserve"> people who would receive OCT guided</w:t>
      </w:r>
      <w:r w:rsidR="00125D37">
        <w:t xml:space="preserve"> </w:t>
      </w:r>
      <w:r w:rsidR="00503E9D">
        <w:t>coronary</w:t>
      </w:r>
      <w:r w:rsidR="7D35BCD8">
        <w:t xml:space="preserve"> stent insertion under the proposed listing in Year 1.</w:t>
      </w:r>
      <w:r w:rsidR="6F12CB13">
        <w:t xml:space="preserve"> It is uncertain how accurate these </w:t>
      </w:r>
      <w:r w:rsidR="0038783B">
        <w:t xml:space="preserve">indicative </w:t>
      </w:r>
      <w:r w:rsidR="6F12CB13">
        <w:t>estimates may be, and, in practice, may be dependent on the availability of OCT equipment as well as patients’ accessibility to OCT-trained cardiologists.</w:t>
      </w:r>
    </w:p>
    <w:p w14:paraId="0ABA4AC5" w14:textId="000C889B" w:rsidR="5B97F33C" w:rsidRDefault="008A4637" w:rsidP="4986923B">
      <w:pPr>
        <w:pStyle w:val="TableHeading"/>
        <w:rPr>
          <w:i/>
          <w:iCs/>
          <w:highlight w:val="green"/>
        </w:rPr>
      </w:pPr>
      <w:bookmarkStart w:id="3" w:name="_Ref149665218"/>
      <w:r>
        <w:t xml:space="preserve">Table </w:t>
      </w:r>
      <w:r>
        <w:fldChar w:fldCharType="begin"/>
      </w:r>
      <w:r>
        <w:instrText>SEQ Table \* ARABIC</w:instrText>
      </w:r>
      <w:r>
        <w:fldChar w:fldCharType="separate"/>
      </w:r>
      <w:r w:rsidR="00EF564A" w:rsidRPr="4986923B">
        <w:rPr>
          <w:noProof/>
        </w:rPr>
        <w:t>2</w:t>
      </w:r>
      <w:r>
        <w:fldChar w:fldCharType="end"/>
      </w:r>
      <w:bookmarkEnd w:id="3"/>
      <w:r>
        <w:t xml:space="preserve"> </w:t>
      </w:r>
      <w:r w:rsidR="64E47304">
        <w:t>Utilisation of MBS Items for Percutaneous Coronary Intervention</w:t>
      </w:r>
      <w:r w:rsidR="1AD0A2B1">
        <w:t xml:space="preserve"> (PCI)</w:t>
      </w:r>
      <w:r w:rsidR="64E47304">
        <w:t xml:space="preserve"> (2022)</w:t>
      </w:r>
    </w:p>
    <w:tbl>
      <w:tblPr>
        <w:tblStyle w:val="TableGrid"/>
        <w:tblW w:w="5000" w:type="pct"/>
        <w:tblInd w:w="0" w:type="dxa"/>
        <w:tblLook w:val="06A0" w:firstRow="1" w:lastRow="0" w:firstColumn="1" w:lastColumn="0" w:noHBand="1" w:noVBand="1"/>
      </w:tblPr>
      <w:tblGrid>
        <w:gridCol w:w="4175"/>
        <w:gridCol w:w="5396"/>
      </w:tblGrid>
      <w:tr w:rsidR="175A2C3C" w14:paraId="44541D15" w14:textId="77777777" w:rsidTr="00470DF0">
        <w:trPr>
          <w:trHeight w:val="300"/>
          <w:tblHeader/>
        </w:trPr>
        <w:tc>
          <w:tcPr>
            <w:tcW w:w="2181" w:type="pct"/>
          </w:tcPr>
          <w:p w14:paraId="4CF8E54A" w14:textId="6BF75ECC" w:rsidR="3626C183" w:rsidRPr="008729DF" w:rsidRDefault="09E5E2AC" w:rsidP="6306913B">
            <w:pPr>
              <w:pStyle w:val="Tabletext"/>
              <w:rPr>
                <w:b/>
                <w:bCs/>
              </w:rPr>
            </w:pPr>
            <w:r w:rsidRPr="6306913B">
              <w:rPr>
                <w:b/>
                <w:bCs/>
              </w:rPr>
              <w:t>Item Number</w:t>
            </w:r>
          </w:p>
        </w:tc>
        <w:tc>
          <w:tcPr>
            <w:tcW w:w="2819" w:type="pct"/>
          </w:tcPr>
          <w:p w14:paraId="2620D116" w14:textId="66886321" w:rsidR="3626C183" w:rsidRPr="008729DF" w:rsidRDefault="09E5E2AC" w:rsidP="6306913B">
            <w:pPr>
              <w:pStyle w:val="Tabletext"/>
              <w:rPr>
                <w:b/>
                <w:bCs/>
              </w:rPr>
            </w:pPr>
            <w:r w:rsidRPr="6306913B">
              <w:rPr>
                <w:b/>
                <w:bCs/>
              </w:rPr>
              <w:t>Services Claimed</w:t>
            </w:r>
          </w:p>
        </w:tc>
      </w:tr>
      <w:tr w:rsidR="175A2C3C" w14:paraId="04713B98" w14:textId="77777777" w:rsidTr="007B1590">
        <w:trPr>
          <w:trHeight w:val="300"/>
        </w:trPr>
        <w:tc>
          <w:tcPr>
            <w:tcW w:w="2181" w:type="pct"/>
          </w:tcPr>
          <w:p w14:paraId="44E49B2E" w14:textId="479A0004" w:rsidR="175A2C3C" w:rsidRDefault="09E5E2AC" w:rsidP="6306913B">
            <w:pPr>
              <w:pStyle w:val="Tabletext"/>
            </w:pPr>
            <w:r>
              <w:t>38307</w:t>
            </w:r>
          </w:p>
        </w:tc>
        <w:tc>
          <w:tcPr>
            <w:tcW w:w="2819" w:type="pct"/>
          </w:tcPr>
          <w:p w14:paraId="7AAF792B" w14:textId="03A63C82" w:rsidR="175A2C3C" w:rsidRDefault="09E5E2AC" w:rsidP="6306913B">
            <w:pPr>
              <w:pStyle w:val="Tabletext"/>
            </w:pPr>
            <w:r>
              <w:t>6,626</w:t>
            </w:r>
          </w:p>
        </w:tc>
      </w:tr>
      <w:tr w:rsidR="175A2C3C" w14:paraId="2C0BFED9" w14:textId="77777777" w:rsidTr="007B1590">
        <w:trPr>
          <w:trHeight w:val="300"/>
        </w:trPr>
        <w:tc>
          <w:tcPr>
            <w:tcW w:w="2181" w:type="pct"/>
          </w:tcPr>
          <w:p w14:paraId="56409BD0" w14:textId="6D016AA1" w:rsidR="175A2C3C" w:rsidRDefault="09E5E2AC" w:rsidP="6306913B">
            <w:pPr>
              <w:pStyle w:val="Tabletext"/>
            </w:pPr>
            <w:r>
              <w:t>38308</w:t>
            </w:r>
          </w:p>
        </w:tc>
        <w:tc>
          <w:tcPr>
            <w:tcW w:w="2819" w:type="pct"/>
          </w:tcPr>
          <w:p w14:paraId="20876519" w14:textId="3CB92188" w:rsidR="175A2C3C" w:rsidRDefault="09E5E2AC" w:rsidP="6306913B">
            <w:pPr>
              <w:pStyle w:val="Tabletext"/>
            </w:pPr>
            <w:r>
              <w:t>770</w:t>
            </w:r>
          </w:p>
        </w:tc>
      </w:tr>
      <w:tr w:rsidR="175A2C3C" w14:paraId="3E3B422D" w14:textId="77777777" w:rsidTr="007B1590">
        <w:trPr>
          <w:trHeight w:val="300"/>
        </w:trPr>
        <w:tc>
          <w:tcPr>
            <w:tcW w:w="2181" w:type="pct"/>
          </w:tcPr>
          <w:p w14:paraId="204F76AD" w14:textId="6D016AA1" w:rsidR="175A2C3C" w:rsidRDefault="09E5E2AC" w:rsidP="6306913B">
            <w:pPr>
              <w:pStyle w:val="Tabletext"/>
            </w:pPr>
            <w:r>
              <w:t>38310</w:t>
            </w:r>
          </w:p>
        </w:tc>
        <w:tc>
          <w:tcPr>
            <w:tcW w:w="2819" w:type="pct"/>
          </w:tcPr>
          <w:p w14:paraId="7A3E49F5" w14:textId="32D20662" w:rsidR="175A2C3C" w:rsidRDefault="09E5E2AC" w:rsidP="6306913B">
            <w:pPr>
              <w:pStyle w:val="Tabletext"/>
            </w:pPr>
            <w:r>
              <w:t>46</w:t>
            </w:r>
          </w:p>
        </w:tc>
      </w:tr>
      <w:tr w:rsidR="175A2C3C" w14:paraId="2E284E78" w14:textId="77777777" w:rsidTr="007B1590">
        <w:trPr>
          <w:trHeight w:val="300"/>
        </w:trPr>
        <w:tc>
          <w:tcPr>
            <w:tcW w:w="2181" w:type="pct"/>
          </w:tcPr>
          <w:p w14:paraId="342C2DDD" w14:textId="6D016AA1" w:rsidR="175A2C3C" w:rsidRDefault="09E5E2AC" w:rsidP="6306913B">
            <w:pPr>
              <w:pStyle w:val="Tabletext"/>
            </w:pPr>
            <w:r>
              <w:t>38311</w:t>
            </w:r>
          </w:p>
        </w:tc>
        <w:tc>
          <w:tcPr>
            <w:tcW w:w="2819" w:type="pct"/>
          </w:tcPr>
          <w:p w14:paraId="6DD6E847" w14:textId="6BC41A0C" w:rsidR="175A2C3C" w:rsidRDefault="09E5E2AC" w:rsidP="6306913B">
            <w:pPr>
              <w:pStyle w:val="Tabletext"/>
            </w:pPr>
            <w:r>
              <w:t>6,348</w:t>
            </w:r>
          </w:p>
        </w:tc>
      </w:tr>
      <w:tr w:rsidR="175A2C3C" w14:paraId="6CFF10F9" w14:textId="77777777" w:rsidTr="007B1590">
        <w:trPr>
          <w:trHeight w:val="300"/>
        </w:trPr>
        <w:tc>
          <w:tcPr>
            <w:tcW w:w="2181" w:type="pct"/>
          </w:tcPr>
          <w:p w14:paraId="2104DFF2" w14:textId="6D016AA1" w:rsidR="175A2C3C" w:rsidRDefault="09E5E2AC" w:rsidP="6306913B">
            <w:pPr>
              <w:pStyle w:val="Tabletext"/>
            </w:pPr>
            <w:r>
              <w:t>38313</w:t>
            </w:r>
          </w:p>
        </w:tc>
        <w:tc>
          <w:tcPr>
            <w:tcW w:w="2819" w:type="pct"/>
          </w:tcPr>
          <w:p w14:paraId="4CD2E200" w14:textId="79EBBEDE" w:rsidR="175A2C3C" w:rsidRDefault="09E5E2AC" w:rsidP="6306913B">
            <w:pPr>
              <w:pStyle w:val="Tabletext"/>
            </w:pPr>
            <w:r>
              <w:t>705</w:t>
            </w:r>
          </w:p>
        </w:tc>
      </w:tr>
      <w:tr w:rsidR="175A2C3C" w14:paraId="02EEAE81" w14:textId="77777777" w:rsidTr="007B1590">
        <w:trPr>
          <w:trHeight w:val="300"/>
        </w:trPr>
        <w:tc>
          <w:tcPr>
            <w:tcW w:w="2181" w:type="pct"/>
          </w:tcPr>
          <w:p w14:paraId="5D5F3061" w14:textId="6D016AA1" w:rsidR="175A2C3C" w:rsidRDefault="09E5E2AC" w:rsidP="6306913B">
            <w:pPr>
              <w:pStyle w:val="Tabletext"/>
            </w:pPr>
            <w:r>
              <w:t>38314</w:t>
            </w:r>
          </w:p>
        </w:tc>
        <w:tc>
          <w:tcPr>
            <w:tcW w:w="2819" w:type="pct"/>
          </w:tcPr>
          <w:p w14:paraId="0519382A" w14:textId="7A6B4F35" w:rsidR="175A2C3C" w:rsidRDefault="09E5E2AC" w:rsidP="6306913B">
            <w:pPr>
              <w:pStyle w:val="Tabletext"/>
            </w:pPr>
            <w:r>
              <w:t>31</w:t>
            </w:r>
          </w:p>
        </w:tc>
      </w:tr>
      <w:tr w:rsidR="175A2C3C" w14:paraId="6B53A50A" w14:textId="77777777" w:rsidTr="007B1590">
        <w:trPr>
          <w:trHeight w:val="300"/>
        </w:trPr>
        <w:tc>
          <w:tcPr>
            <w:tcW w:w="2181" w:type="pct"/>
          </w:tcPr>
          <w:p w14:paraId="5AB54006" w14:textId="6D016AA1" w:rsidR="175A2C3C" w:rsidRDefault="09E5E2AC" w:rsidP="6306913B">
            <w:pPr>
              <w:pStyle w:val="Tabletext"/>
            </w:pPr>
            <w:r>
              <w:t>38316</w:t>
            </w:r>
          </w:p>
        </w:tc>
        <w:tc>
          <w:tcPr>
            <w:tcW w:w="2819" w:type="pct"/>
          </w:tcPr>
          <w:p w14:paraId="5BE76208" w14:textId="64108004" w:rsidR="175A2C3C" w:rsidRDefault="09E5E2AC" w:rsidP="6306913B">
            <w:pPr>
              <w:pStyle w:val="Tabletext"/>
            </w:pPr>
            <w:r>
              <w:t>1,958</w:t>
            </w:r>
          </w:p>
        </w:tc>
      </w:tr>
      <w:tr w:rsidR="4BB6C078" w14:paraId="422F85BC" w14:textId="77777777" w:rsidTr="007B1590">
        <w:trPr>
          <w:trHeight w:val="300"/>
        </w:trPr>
        <w:tc>
          <w:tcPr>
            <w:tcW w:w="2181" w:type="pct"/>
          </w:tcPr>
          <w:p w14:paraId="6713956D" w14:textId="6D016AA1" w:rsidR="3626C183" w:rsidRDefault="09E5E2AC" w:rsidP="6306913B">
            <w:pPr>
              <w:pStyle w:val="Tabletext"/>
            </w:pPr>
            <w:r>
              <w:t>38317</w:t>
            </w:r>
          </w:p>
        </w:tc>
        <w:tc>
          <w:tcPr>
            <w:tcW w:w="2819" w:type="pct"/>
          </w:tcPr>
          <w:p w14:paraId="63BC5F9A" w14:textId="568EB737" w:rsidR="4BB6C078" w:rsidRDefault="09E5E2AC" w:rsidP="6306913B">
            <w:pPr>
              <w:pStyle w:val="Tabletext"/>
            </w:pPr>
            <w:r>
              <w:t>471</w:t>
            </w:r>
          </w:p>
        </w:tc>
      </w:tr>
      <w:tr w:rsidR="4BB6C078" w14:paraId="0FC03749" w14:textId="77777777" w:rsidTr="007B1590">
        <w:trPr>
          <w:trHeight w:val="300"/>
        </w:trPr>
        <w:tc>
          <w:tcPr>
            <w:tcW w:w="2181" w:type="pct"/>
          </w:tcPr>
          <w:p w14:paraId="635EF96F" w14:textId="46311E51" w:rsidR="3626C183" w:rsidRDefault="09E5E2AC" w:rsidP="6306913B">
            <w:pPr>
              <w:pStyle w:val="Tabletext"/>
            </w:pPr>
            <w:r>
              <w:t>38319</w:t>
            </w:r>
          </w:p>
        </w:tc>
        <w:tc>
          <w:tcPr>
            <w:tcW w:w="2819" w:type="pct"/>
          </w:tcPr>
          <w:p w14:paraId="03F5D9A0" w14:textId="70B8E139" w:rsidR="4BB6C078" w:rsidRDefault="09E5E2AC" w:rsidP="6306913B">
            <w:pPr>
              <w:pStyle w:val="Tabletext"/>
            </w:pPr>
            <w:r>
              <w:t>50</w:t>
            </w:r>
          </w:p>
        </w:tc>
      </w:tr>
      <w:tr w:rsidR="4BB6C078" w14:paraId="0A35C14B" w14:textId="77777777" w:rsidTr="007B1590">
        <w:trPr>
          <w:trHeight w:val="300"/>
        </w:trPr>
        <w:tc>
          <w:tcPr>
            <w:tcW w:w="2181" w:type="pct"/>
          </w:tcPr>
          <w:p w14:paraId="4D8EB3CA" w14:textId="6F5785E8" w:rsidR="4BB6C078" w:rsidRDefault="09E5E2AC" w:rsidP="6306913B">
            <w:pPr>
              <w:pStyle w:val="Tabletext"/>
            </w:pPr>
            <w:r>
              <w:t>38320</w:t>
            </w:r>
          </w:p>
        </w:tc>
        <w:tc>
          <w:tcPr>
            <w:tcW w:w="2819" w:type="pct"/>
          </w:tcPr>
          <w:p w14:paraId="4B352CAA" w14:textId="44E696DE" w:rsidR="4BB6C078" w:rsidRDefault="09E5E2AC" w:rsidP="6306913B">
            <w:pPr>
              <w:pStyle w:val="Tabletext"/>
            </w:pPr>
            <w:r>
              <w:t>3,552</w:t>
            </w:r>
          </w:p>
        </w:tc>
      </w:tr>
      <w:tr w:rsidR="4BB6C078" w14:paraId="4E6A53F4" w14:textId="77777777" w:rsidTr="007B1590">
        <w:trPr>
          <w:trHeight w:val="300"/>
        </w:trPr>
        <w:tc>
          <w:tcPr>
            <w:tcW w:w="2181" w:type="pct"/>
          </w:tcPr>
          <w:p w14:paraId="40250D64" w14:textId="4C8389E3" w:rsidR="4BB6C078" w:rsidRDefault="09E5E2AC" w:rsidP="6306913B">
            <w:pPr>
              <w:pStyle w:val="Tabletext"/>
            </w:pPr>
            <w:r>
              <w:t>38322</w:t>
            </w:r>
          </w:p>
        </w:tc>
        <w:tc>
          <w:tcPr>
            <w:tcW w:w="2819" w:type="pct"/>
          </w:tcPr>
          <w:p w14:paraId="241BC785" w14:textId="07E204AC" w:rsidR="4BB6C078" w:rsidRDefault="09E5E2AC" w:rsidP="6306913B">
            <w:pPr>
              <w:pStyle w:val="Tabletext"/>
            </w:pPr>
            <w:r>
              <w:t>769</w:t>
            </w:r>
          </w:p>
        </w:tc>
      </w:tr>
      <w:tr w:rsidR="4BB6C078" w14:paraId="69B1C01F" w14:textId="77777777" w:rsidTr="007B1590">
        <w:trPr>
          <w:trHeight w:val="300"/>
        </w:trPr>
        <w:tc>
          <w:tcPr>
            <w:tcW w:w="2181" w:type="pct"/>
          </w:tcPr>
          <w:p w14:paraId="4B74DE33" w14:textId="4CAB5049" w:rsidR="4BB6C078" w:rsidRDefault="09E5E2AC" w:rsidP="6306913B">
            <w:pPr>
              <w:pStyle w:val="Tabletext"/>
            </w:pPr>
            <w:r>
              <w:t>38323</w:t>
            </w:r>
          </w:p>
        </w:tc>
        <w:tc>
          <w:tcPr>
            <w:tcW w:w="2819" w:type="pct"/>
          </w:tcPr>
          <w:p w14:paraId="53791E45" w14:textId="13F7B235" w:rsidR="4BB6C078" w:rsidRDefault="09E5E2AC" w:rsidP="6306913B">
            <w:pPr>
              <w:pStyle w:val="Tabletext"/>
            </w:pPr>
            <w:r>
              <w:t>75</w:t>
            </w:r>
          </w:p>
        </w:tc>
      </w:tr>
      <w:tr w:rsidR="289F053C" w14:paraId="1326B4B3" w14:textId="77777777" w:rsidTr="007B1590">
        <w:trPr>
          <w:trHeight w:val="300"/>
        </w:trPr>
        <w:tc>
          <w:tcPr>
            <w:tcW w:w="2181" w:type="pct"/>
          </w:tcPr>
          <w:p w14:paraId="6FAA2DE3" w14:textId="0B879786" w:rsidR="695BA460" w:rsidRDefault="09E5E2AC" w:rsidP="6306913B">
            <w:pPr>
              <w:pStyle w:val="Tabletext"/>
            </w:pPr>
            <w:r>
              <w:t>Total</w:t>
            </w:r>
          </w:p>
        </w:tc>
        <w:tc>
          <w:tcPr>
            <w:tcW w:w="2819" w:type="pct"/>
          </w:tcPr>
          <w:p w14:paraId="6E65B32E" w14:textId="20F6C154" w:rsidR="695BA460" w:rsidRDefault="09E5E2AC" w:rsidP="6306913B">
            <w:pPr>
              <w:pStyle w:val="Tabletext"/>
            </w:pPr>
            <w:r>
              <w:t>21,401</w:t>
            </w:r>
          </w:p>
        </w:tc>
      </w:tr>
    </w:tbl>
    <w:p w14:paraId="3416EAAD" w14:textId="1CFA672D" w:rsidR="00A346BA" w:rsidRPr="00990F34" w:rsidRDefault="63D57EEC" w:rsidP="00843297">
      <w:pPr>
        <w:spacing w:before="240"/>
        <w:rPr>
          <w:u w:val="single"/>
        </w:rPr>
      </w:pPr>
      <w:r w:rsidRPr="289F053C">
        <w:rPr>
          <w:u w:val="single"/>
        </w:rPr>
        <w:t xml:space="preserve">Current </w:t>
      </w:r>
      <w:r w:rsidR="758433DD" w:rsidRPr="289F053C">
        <w:rPr>
          <w:u w:val="single"/>
        </w:rPr>
        <w:t>practice</w:t>
      </w:r>
    </w:p>
    <w:p w14:paraId="2CC7737A" w14:textId="3B87D316" w:rsidR="009A4EA6" w:rsidRDefault="004B6DB7" w:rsidP="6155B472">
      <w:r>
        <w:t xml:space="preserve">According to </w:t>
      </w:r>
      <w:r w:rsidR="3BFABB24">
        <w:t>clinical expert advice,</w:t>
      </w:r>
      <w:r w:rsidR="7C038E69">
        <w:t xml:space="preserve"> t</w:t>
      </w:r>
      <w:r w:rsidR="20A3C7D6">
        <w:t>here are currently</w:t>
      </w:r>
      <w:r w:rsidR="24BA7D8F">
        <w:t xml:space="preserve"> no Australian-specific guidelines for intracoronary imaging</w:t>
      </w:r>
      <w:r w:rsidR="6899D8B7">
        <w:t xml:space="preserve"> </w:t>
      </w:r>
      <w:r w:rsidR="2FE826CA">
        <w:t xml:space="preserve">with </w:t>
      </w:r>
      <w:r w:rsidR="3AF3E320">
        <w:t>regard</w:t>
      </w:r>
      <w:r w:rsidR="2FE826CA">
        <w:t>s</w:t>
      </w:r>
      <w:r w:rsidR="3AF3E320">
        <w:t xml:space="preserve"> </w:t>
      </w:r>
      <w:r w:rsidR="2FE826CA">
        <w:t xml:space="preserve">to </w:t>
      </w:r>
      <w:r w:rsidR="3AF3E320">
        <w:t xml:space="preserve">the </w:t>
      </w:r>
      <w:r w:rsidR="24BA7D8F">
        <w:t>guid</w:t>
      </w:r>
      <w:r w:rsidR="5C61BAC8">
        <w:t>ance of</w:t>
      </w:r>
      <w:r w:rsidR="24BA7D8F">
        <w:t xml:space="preserve"> stent placement. </w:t>
      </w:r>
      <w:r w:rsidR="017381D9">
        <w:t xml:space="preserve">However, The Cardiac Society of Australia and New Zealand (CSANZ) have endorsed </w:t>
      </w:r>
      <w:r w:rsidR="39860DCC">
        <w:t xml:space="preserve">a consensus statement from the European Association of Percutaneous Cardiovascular Interventions </w:t>
      </w:r>
      <w:r w:rsidR="470DB35F">
        <w:t>(Räber et al., 2018)</w:t>
      </w:r>
      <w:r w:rsidR="5D8F51BF">
        <w:t xml:space="preserve"> until they are able to produce their own guidelines</w:t>
      </w:r>
      <w:r w:rsidR="470DB35F">
        <w:t xml:space="preserve">. </w:t>
      </w:r>
      <w:r w:rsidR="0576474D">
        <w:t xml:space="preserve">Presently, coronary angiography </w:t>
      </w:r>
      <w:r w:rsidR="1C7E7FF8">
        <w:t xml:space="preserve">is </w:t>
      </w:r>
      <w:r w:rsidR="0576474D">
        <w:t>the most commonly used technique to visually evaluate the coronary arter</w:t>
      </w:r>
      <w:r w:rsidR="47F7893C">
        <w:t>ies</w:t>
      </w:r>
      <w:r w:rsidR="0576474D">
        <w:t xml:space="preserve"> and guide</w:t>
      </w:r>
      <w:r w:rsidR="314DBE7F">
        <w:t xml:space="preserve"> </w:t>
      </w:r>
      <w:r w:rsidR="0576474D">
        <w:t xml:space="preserve">PCI for patients with CHD. Coronary angiography is an invasive diagnostic imaging technique which allows visualisation of the coronary circulation </w:t>
      </w:r>
      <w:r w:rsidRPr="41F4DB8F">
        <w:rPr>
          <w:sz w:val="20"/>
          <w:szCs w:val="20"/>
        </w:rPr>
        <w:fldChar w:fldCharType="begin"/>
      </w:r>
      <w:r w:rsidRPr="41F4DB8F">
        <w:rPr>
          <w:sz w:val="20"/>
          <w:szCs w:val="20"/>
        </w:rPr>
        <w:instrText xml:space="preserve"> ADDIN ZOTERO_ITEM CSL_CITATION {"citationID":"btaT1utg","properties":{"formattedCitation":"(Mendirichaga et al., 2018)","plainCitation":"(Mendirichaga et al., 2018)","noteIndex":0},"citationItems":[{"id":824,"uris":["http://zotero.org/users/local/AdfaV23w/items/FWZMTDFW"],"itemData":{"id":824,"type":"chapter","abstract":"Coronary and intracardiac thrombi represent a major cause of morbidity and mortality worldwide and in the United States. Imaging plays an important role in the evaluation of cardiovascular thrombus. Coronary angiography remains the modality of choice for the identification of a thrombus-containing lesion in the coronary circulation. However, more sensitive modalities, including intravascular ultrasound and optical coherence tomography, can be used in specific situations. Echocardiography remains the mainstay imaging modality for the evaluation of intracardiac thrombus. Complementary modalities, including cardiac computed tomography angiography and cardiac magnetic resonance imaging, have gained significant clinical relevance in recent times and are used in particular scenarios. Selecting the appropriate imaging modality is crucial for the identification, prognosis, and treatment of a patient with a cardiovascular thrombus.","container-title":"Cardiovascular Thrombus","ISBN":"978-0-12-812615-8","note":"DOI: 10.1016/B978-0-12-812615-8.00007-7","page":"99-113","publisher":"Academic Press","source":"ScienceDirect","title":"Chapter 7 - Imaging Modalities for Detection and Treatment of Cardiovascular Thrombus","URL":"https://www.sciencedirect.com/science/article/pii/B9780128126158000077","author":[{"family":"Mendirichaga","given":"Rodrigo"},{"family":"Fishman","given":"Joel E."},{"family":"Martinez","given":"Claudia A."}],"editor":[{"family":"Topaz","given":"On"}],"accessed":{"date-parts":[["2023",10,2]]},"issued":{"date-parts":[["2018",1,1]]}}}],"schema":"https://github.com/citation-style-language/schema/raw/master/csl-citation.json"} </w:instrText>
      </w:r>
      <w:r w:rsidRPr="41F4DB8F">
        <w:rPr>
          <w:sz w:val="20"/>
          <w:szCs w:val="20"/>
        </w:rPr>
        <w:fldChar w:fldCharType="separate"/>
      </w:r>
      <w:r w:rsidR="0576474D" w:rsidRPr="41F4DB8F">
        <w:rPr>
          <w:rFonts w:cs="Calibri"/>
        </w:rPr>
        <w:t>(Mendirichaga et al., 2018)</w:t>
      </w:r>
      <w:r w:rsidRPr="41F4DB8F">
        <w:rPr>
          <w:sz w:val="20"/>
          <w:szCs w:val="20"/>
        </w:rPr>
        <w:fldChar w:fldCharType="end"/>
      </w:r>
      <w:r w:rsidR="0576474D">
        <w:t xml:space="preserve">. </w:t>
      </w:r>
      <w:r w:rsidR="1A255F59">
        <w:t>Although it is considered the gold-standard of imaging the coronary</w:t>
      </w:r>
      <w:r w:rsidR="3639440B">
        <w:t xml:space="preserve"> </w:t>
      </w:r>
      <w:r>
        <w:t>arteries</w:t>
      </w:r>
      <w:r w:rsidR="0576474D">
        <w:t>, th</w:t>
      </w:r>
      <w:r w:rsidR="1A255F59">
        <w:t>e</w:t>
      </w:r>
      <w:r w:rsidR="0576474D">
        <w:t xml:space="preserve"> technique is limited to rendering only a two-dimensional image and </w:t>
      </w:r>
      <w:r w:rsidR="1A255F59">
        <w:t xml:space="preserve">may be subject to variability </w:t>
      </w:r>
      <w:r w:rsidR="48321F63">
        <w:t xml:space="preserve">in interpretation </w:t>
      </w:r>
      <w:r w:rsidR="1A255F59">
        <w:t xml:space="preserve">between practitioners </w:t>
      </w:r>
      <w:r w:rsidRPr="41F4DB8F">
        <w:rPr>
          <w:sz w:val="20"/>
          <w:szCs w:val="20"/>
        </w:rPr>
        <w:fldChar w:fldCharType="begin"/>
      </w:r>
      <w:r w:rsidRPr="41F4DB8F">
        <w:rPr>
          <w:sz w:val="20"/>
          <w:szCs w:val="20"/>
        </w:rPr>
        <w:instrText xml:space="preserve"> ADDIN ZOTERO_ITEM CSL_CITATION {"citationID":"nFE68FV5","properties":{"formattedCitation":"(Mariathas et al., 2022; Mendirichaga et al., 2018)","plainCitation":"(Mariathas et al., 2022; Mendirichaga et al., 2018)","noteIndex":0},"citationItems":[{"id":827,"uris":["http://zotero.org/users/local/AdfaV23w/items/FQ3Z3GLX"],"itemData":{"id":827,"type":"chapter","abstract":"Developments in the use of intracoronary imaging, with particular emphasis on the detection and evaluation/quantification of calcium, combined with an expanding armamentarium of adjunctive tools to modify calcific lesions offer exciting times for the interventional cardiologist. Most importantly, it provides hope for patients with complex coronary disease that they can return to normal life with lesser risk of future events or need for repeat revascularization. Debate regarding algorithms of treatment will continue and instead we would urge the interventional community to adopt a new philosophy of interventional treatment. Delineating the disease that we are treating, ensuring effective preparation and device selection, before utilizing an image-guided approach to optimization will ensure the best results for our patients in the future.","container-title":"Debulking in Cardiovascular Interventions and Revascularization Strategies","ISBN":"978-0-12-821451-0","note":"DOI: 10.1016/B978-0-12-821451-0.00039-2","page":"101-132","publisher":"Academic Press","source":"ScienceDirect","title":"Chapter 5 - Percutaneous coronary interventions in calcified coronary lesions: imaging, tools, and outcomes","title-short":"Chapter 5 - Percutaneous coronary interventions in calcified coronary lesions","URL":"https://www.sciencedirect.com/science/article/pii/B9780128214510000392","author":[{"family":"Mariathas","given":"Mark"},{"family":"Johnson","given":"Thomas"},{"family":"O'Kane","given":"Peter"}],"editor":[{"family":"Topaz","given":"On"}],"accessed":{"date-parts":[["2023",10,2]]},"issued":{"date-parts":[["2022",1,1]]}}},{"id":824,"uris":["http://zotero.org/users/local/AdfaV23w/items/FWZMTDFW"],"itemData":{"id":824,"type":"chapter","abstract":"Coronary and intracardiac thrombi represent a major cause of morbidity and mortality worldwide and in the United States. Imaging plays an important role in the evaluation of cardiovascular thrombus. Coronary angiography remains the modality of choice for the identification of a thrombus-containing lesion in the coronary circulation. However, more sensitive modalities, including intravascular ultrasound and optical coherence tomography, can be used in specific situations. Echocardiography remains the mainstay imaging modality for the evaluation of intracardiac thrombus. Complementary modalities, including cardiac computed tomography angiography and cardiac magnetic resonance imaging, have gained significant clinical relevance in recent times and are used in particular scenarios. Selecting the appropriate imaging modality is crucial for the identification, prognosis, and treatment of a patient with a cardiovascular thrombus.","container-title":"Cardiovascular Thrombus","ISBN":"978-0-12-812615-8","note":"DOI: 10.1016/B978-0-12-812615-8.00007-7","page":"99-113","publisher":"Academic Press","source":"ScienceDirect","title":"Chapter 7 - Imaging Modalities for Detection and Treatment of Cardiovascular Thrombus","URL":"https://www.sciencedirect.com/science/article/pii/B9780128126158000077","author":[{"family":"Mendirichaga","given":"Rodrigo"},{"family":"Fishman","given":"Joel E."},{"family":"Martinez","given":"Claudia A."}],"editor":[{"family":"Topaz","given":"On"}],"accessed":{"date-parts":[["2023",10,2]]},"issued":{"date-parts":[["2018",1,1]]}}}],"schema":"https://github.com/citation-style-language/schema/raw/master/csl-citation.json"} </w:instrText>
      </w:r>
      <w:r w:rsidRPr="41F4DB8F">
        <w:rPr>
          <w:sz w:val="20"/>
          <w:szCs w:val="20"/>
        </w:rPr>
        <w:fldChar w:fldCharType="separate"/>
      </w:r>
      <w:r w:rsidR="1A255F59" w:rsidRPr="41F4DB8F">
        <w:rPr>
          <w:rFonts w:cs="Calibri"/>
        </w:rPr>
        <w:t>(Mariathas et al., 2022; Mendirichaga et al., 2018)</w:t>
      </w:r>
      <w:r w:rsidRPr="41F4DB8F">
        <w:rPr>
          <w:sz w:val="20"/>
          <w:szCs w:val="20"/>
        </w:rPr>
        <w:fldChar w:fldCharType="end"/>
      </w:r>
      <w:r w:rsidR="1A255F59">
        <w:t xml:space="preserve">. Alternative options for imaging the coronary anatomy include </w:t>
      </w:r>
      <w:r w:rsidR="6D1D00A3">
        <w:t xml:space="preserve">the addition of </w:t>
      </w:r>
      <w:r w:rsidR="1A255F59">
        <w:t>OCT</w:t>
      </w:r>
      <w:r w:rsidR="6D1D00A3">
        <w:t xml:space="preserve"> as an adjunct</w:t>
      </w:r>
      <w:r w:rsidR="33C06AC8">
        <w:t xml:space="preserve"> to coronary </w:t>
      </w:r>
      <w:r w:rsidR="25378A25">
        <w:t>angiography</w:t>
      </w:r>
      <w:r w:rsidR="1A255F59">
        <w:t xml:space="preserve"> (see </w:t>
      </w:r>
      <w:r w:rsidR="1A255F59" w:rsidRPr="41F4DB8F">
        <w:rPr>
          <w:i/>
          <w:iCs/>
        </w:rPr>
        <w:t>Intervention</w:t>
      </w:r>
      <w:r w:rsidR="1A255F59">
        <w:t>) and intravascular ultrasound (IVUS)</w:t>
      </w:r>
      <w:r w:rsidR="7D3CC314">
        <w:t>, which the applicant has nominated as a comparator</w:t>
      </w:r>
      <w:r w:rsidR="5FD17494">
        <w:t xml:space="preserve"> for the subpopulation of patients with long or multiple lesions,</w:t>
      </w:r>
      <w:r w:rsidR="119FF351">
        <w:t xml:space="preserve"> defined as intended total stent length (continuous or separated) in any single target vessel </w:t>
      </w:r>
      <w:r w:rsidR="008F4BB8">
        <w:t>of</w:t>
      </w:r>
      <w:r w:rsidR="119FF351">
        <w:t xml:space="preserve"> </w:t>
      </w:r>
      <w:r w:rsidR="119FF351" w:rsidRPr="41F4DB8F">
        <w:rPr>
          <w:rFonts w:cs="Calibri"/>
        </w:rPr>
        <w:t>≥28mm</w:t>
      </w:r>
      <w:r w:rsidR="7D3CC314">
        <w:t>.</w:t>
      </w:r>
    </w:p>
    <w:p w14:paraId="45476D2B" w14:textId="36D5DA8A" w:rsidR="00A346BA" w:rsidRDefault="007F944C" w:rsidP="00843297">
      <w:pPr>
        <w:spacing w:after="120"/>
        <w:rPr>
          <w:u w:val="single"/>
        </w:rPr>
      </w:pPr>
      <w:r w:rsidRPr="0CA6515C">
        <w:rPr>
          <w:u w:val="single"/>
        </w:rPr>
        <w:t>The population proposed for OCT use</w:t>
      </w:r>
    </w:p>
    <w:p w14:paraId="6ABF0B49" w14:textId="627F10FD" w:rsidR="005F2D77" w:rsidRDefault="526548D6" w:rsidP="00207D9A">
      <w:pPr>
        <w:autoSpaceDE w:val="0"/>
        <w:autoSpaceDN w:val="0"/>
        <w:adjustRightInd w:val="0"/>
        <w:spacing w:after="0" w:line="240" w:lineRule="auto"/>
      </w:pPr>
      <w:r>
        <w:t xml:space="preserve">The application cited a combination of expert advice and the eligibility criteria of the ILUMIEN IV trial </w:t>
      </w:r>
      <w:r w:rsidR="15317C3D">
        <w:t xml:space="preserve">(Ali et al. 2021) </w:t>
      </w:r>
      <w:r>
        <w:t xml:space="preserve">as providing the underlying rationale </w:t>
      </w:r>
      <w:r w:rsidR="551B5F7B">
        <w:t xml:space="preserve">for </w:t>
      </w:r>
      <w:r>
        <w:t>this proposed population.</w:t>
      </w:r>
      <w:r w:rsidR="005F2D77">
        <w:t xml:space="preserve"> There are some differences in the wording of the bifurcation lesion, with the trial stating that it must be intended to be treated with 2 planned stents (see </w:t>
      </w:r>
      <w:r>
        <w:fldChar w:fldCharType="begin"/>
      </w:r>
      <w:r>
        <w:instrText xml:space="preserve"> REF _Ref149665256 \h  \* MERGEFORMAT </w:instrText>
      </w:r>
      <w:r>
        <w:fldChar w:fldCharType="separate"/>
      </w:r>
      <w:r w:rsidR="005F2D77">
        <w:t xml:space="preserve">Table </w:t>
      </w:r>
      <w:r w:rsidR="005F2D77" w:rsidRPr="0CA6515C">
        <w:rPr>
          <w:noProof/>
        </w:rPr>
        <w:t>3</w:t>
      </w:r>
      <w:r>
        <w:fldChar w:fldCharType="end"/>
      </w:r>
      <w:r w:rsidR="005F2D77">
        <w:t xml:space="preserve"> below).</w:t>
      </w:r>
    </w:p>
    <w:p w14:paraId="31E06EF2" w14:textId="77777777" w:rsidR="00A115E7" w:rsidRDefault="00A115E7" w:rsidP="00470DF0">
      <w:pPr>
        <w:pStyle w:val="ListParagraph"/>
        <w:autoSpaceDE w:val="0"/>
        <w:autoSpaceDN w:val="0"/>
        <w:adjustRightInd w:val="0"/>
        <w:spacing w:after="0" w:line="240" w:lineRule="auto"/>
      </w:pPr>
    </w:p>
    <w:p w14:paraId="4B74787A" w14:textId="47905CD6" w:rsidR="000E66E5" w:rsidRPr="00470DF0" w:rsidRDefault="000E66E5" w:rsidP="0CA6515C">
      <w:pPr>
        <w:autoSpaceDE w:val="0"/>
        <w:autoSpaceDN w:val="0"/>
        <w:adjustRightInd w:val="0"/>
        <w:spacing w:after="0" w:line="240" w:lineRule="auto"/>
      </w:pPr>
      <w:r w:rsidRPr="00470DF0">
        <w:t>The proposed population includes the criteria “stent failure…” that is broader than the criteria used in the ILUMIEN trial. The clinical roundtable convened by the applicant with 5 interventional cardiologists argued that “There is an unequivocally high clinical need for OCT in patients with stent failure. The roundtable advised that stent failure be used, rather than the ILUMIEN IV criterion ‘in-stent restenosis of diffuse or multifocal pattern’, to allow use of OCT in stent thrombosis (consistent with European Association of Percutaneous Cardiovascular Interventions (EAPCI) guidelines ‘Clinical use of intracoronary imaging. Part 1: guidance and optimization of coronary interventions’ European Hearth Journal. 2018. 39:3281–3300)”. The ILUMIEN trial will inform the effectiveness of OCT in a narrower population than the more broadly defined stent failure population.</w:t>
      </w:r>
    </w:p>
    <w:p w14:paraId="1DCEB280" w14:textId="5FADBD6F" w:rsidR="00165375" w:rsidRDefault="00165375" w:rsidP="0CA6515C">
      <w:pPr>
        <w:autoSpaceDE w:val="0"/>
        <w:autoSpaceDN w:val="0"/>
        <w:adjustRightInd w:val="0"/>
        <w:spacing w:after="0" w:line="240" w:lineRule="auto"/>
      </w:pPr>
    </w:p>
    <w:p w14:paraId="6B1BB003" w14:textId="59137B0A" w:rsidR="008729DF" w:rsidRPr="00680256" w:rsidRDefault="000D6313" w:rsidP="0DEF07FE">
      <w:pPr>
        <w:autoSpaceDE w:val="0"/>
        <w:autoSpaceDN w:val="0"/>
        <w:adjustRightInd w:val="0"/>
        <w:spacing w:after="0" w:line="240" w:lineRule="auto"/>
        <w:rPr>
          <w:rFonts w:cs="Calibri"/>
          <w:i/>
          <w:iCs/>
        </w:rPr>
      </w:pPr>
      <w:r w:rsidRPr="00680256">
        <w:rPr>
          <w:rFonts w:cs="Calibri"/>
          <w:i/>
          <w:iCs/>
        </w:rPr>
        <w:t>PASC queried the inclusion of stent thrombosis in the eligible population for OCT use under the proposed indication of stent failure. The applicant’s clinical expert indicated that the prevalence of stent thrombosis is likely reduced for patients using OCT versus coronary angiography alone for stent insertion. The applicant’s clinical expert also acknowledged the difficulty of conducting a randomised trial in this patient population due to stent thrombosis being a rare event and typically occurring in an emergency setting. PASC considered that the inclusion of this patient subgroup may be supported by observational evidence.</w:t>
      </w:r>
      <w:r w:rsidR="00AD766B" w:rsidRPr="00680256">
        <w:rPr>
          <w:rFonts w:cs="Calibri"/>
          <w:i/>
          <w:iCs/>
        </w:rPr>
        <w:t xml:space="preserve"> </w:t>
      </w:r>
    </w:p>
    <w:p w14:paraId="5BF16732" w14:textId="77777777" w:rsidR="006B722B" w:rsidRPr="00680256" w:rsidRDefault="006B722B" w:rsidP="289F053C">
      <w:pPr>
        <w:autoSpaceDE w:val="0"/>
        <w:autoSpaceDN w:val="0"/>
        <w:adjustRightInd w:val="0"/>
        <w:spacing w:after="0" w:line="240" w:lineRule="auto"/>
        <w:rPr>
          <w:rFonts w:cs="Calibri"/>
          <w:i/>
          <w:iCs/>
          <w:sz w:val="24"/>
          <w:szCs w:val="24"/>
          <w:highlight w:val="green"/>
        </w:rPr>
      </w:pPr>
    </w:p>
    <w:p w14:paraId="36A364A9" w14:textId="167ED095" w:rsidR="006B722B" w:rsidRPr="00B96D45" w:rsidRDefault="008A4637" w:rsidP="6306913B">
      <w:pPr>
        <w:pStyle w:val="TableHeading"/>
      </w:pPr>
      <w:bookmarkStart w:id="4" w:name="_Ref149665256"/>
      <w:r>
        <w:t xml:space="preserve">Table </w:t>
      </w:r>
      <w:r>
        <w:fldChar w:fldCharType="begin"/>
      </w:r>
      <w:r>
        <w:instrText>SEQ Table \* ARABIC</w:instrText>
      </w:r>
      <w:r>
        <w:fldChar w:fldCharType="separate"/>
      </w:r>
      <w:r w:rsidR="00EF564A" w:rsidRPr="6306913B">
        <w:rPr>
          <w:noProof/>
        </w:rPr>
        <w:t>3</w:t>
      </w:r>
      <w:r>
        <w:fldChar w:fldCharType="end"/>
      </w:r>
      <w:bookmarkEnd w:id="4"/>
      <w:r w:rsidR="4AC07E9A">
        <w:t>.</w:t>
      </w:r>
      <w:r w:rsidR="6A7F3178">
        <w:t xml:space="preserve"> Comparison of OCT criteria for use in the application and the ILUMIEN trial</w:t>
      </w:r>
    </w:p>
    <w:tbl>
      <w:tblPr>
        <w:tblStyle w:val="TableGrid"/>
        <w:tblW w:w="5000" w:type="pct"/>
        <w:tblInd w:w="0" w:type="dxa"/>
        <w:tblLook w:val="04A0" w:firstRow="1" w:lastRow="0" w:firstColumn="1" w:lastColumn="0" w:noHBand="0" w:noVBand="1"/>
      </w:tblPr>
      <w:tblGrid>
        <w:gridCol w:w="4785"/>
        <w:gridCol w:w="4786"/>
      </w:tblGrid>
      <w:tr w:rsidR="00FA6FEE" w:rsidRPr="00430A97" w14:paraId="6410CC05" w14:textId="77777777" w:rsidTr="0CA6515C">
        <w:trPr>
          <w:trHeight w:val="300"/>
        </w:trPr>
        <w:tc>
          <w:tcPr>
            <w:tcW w:w="2500" w:type="pct"/>
          </w:tcPr>
          <w:p w14:paraId="6071794F" w14:textId="102C06C5" w:rsidR="00FA6FEE" w:rsidRPr="00430A97" w:rsidRDefault="4DAF0657" w:rsidP="006B722B">
            <w:pPr>
              <w:pStyle w:val="TableHeading"/>
            </w:pPr>
            <w:r>
              <w:t xml:space="preserve">Proposed </w:t>
            </w:r>
            <w:r w:rsidR="76093F5D">
              <w:t>indications</w:t>
            </w:r>
            <w:r>
              <w:t xml:space="preserve"> for OCT use</w:t>
            </w:r>
          </w:p>
        </w:tc>
        <w:tc>
          <w:tcPr>
            <w:tcW w:w="2500" w:type="pct"/>
          </w:tcPr>
          <w:p w14:paraId="7C47A84F" w14:textId="3AFFAB5F" w:rsidR="00FA6FEE" w:rsidRPr="00430A97" w:rsidRDefault="4DAF0657" w:rsidP="006B722B">
            <w:pPr>
              <w:pStyle w:val="TableHeading"/>
            </w:pPr>
            <w:r>
              <w:t>ILUMIEN t</w:t>
            </w:r>
            <w:r w:rsidR="78E40A9B">
              <w:t>rial protocol inclusion criteria</w:t>
            </w:r>
          </w:p>
        </w:tc>
      </w:tr>
      <w:tr w:rsidR="00FA6FEE" w:rsidRPr="00430A97" w14:paraId="3432850E" w14:textId="77777777" w:rsidTr="0CA6515C">
        <w:trPr>
          <w:trHeight w:val="300"/>
        </w:trPr>
        <w:tc>
          <w:tcPr>
            <w:tcW w:w="2500" w:type="pct"/>
          </w:tcPr>
          <w:p w14:paraId="736FB641" w14:textId="644EA488" w:rsidR="00FA6FEE" w:rsidRPr="00430A97" w:rsidRDefault="78E40A9B" w:rsidP="008729DF">
            <w:pPr>
              <w:pStyle w:val="Tabletext"/>
              <w:rPr>
                <w:rFonts w:cs="Calibri"/>
              </w:rPr>
            </w:pPr>
            <w:r>
              <w:t xml:space="preserve">Long or multiple lesions defined as intended total stent length (continuous or separated) in any single target vessel </w:t>
            </w:r>
            <w:r w:rsidRPr="289F053C">
              <w:rPr>
                <w:rFonts w:cs="Calibri"/>
              </w:rPr>
              <w:t>≥28mm</w:t>
            </w:r>
          </w:p>
        </w:tc>
        <w:tc>
          <w:tcPr>
            <w:tcW w:w="2500" w:type="pct"/>
          </w:tcPr>
          <w:p w14:paraId="1FAFBEAC" w14:textId="595E434D" w:rsidR="00FA6FEE" w:rsidRPr="00430A97" w:rsidRDefault="78E40A9B" w:rsidP="008729DF">
            <w:pPr>
              <w:pStyle w:val="Tabletext"/>
              <w:rPr>
                <w:rFonts w:cs="Calibri"/>
              </w:rPr>
            </w:pPr>
            <w:r>
              <w:t xml:space="preserve">Long or multiple lesions defined as intended total stent length (continuous or separated) in any single target vessel </w:t>
            </w:r>
            <w:r w:rsidRPr="289F053C">
              <w:rPr>
                <w:rFonts w:cs="Calibri"/>
              </w:rPr>
              <w:t>≥28mm</w:t>
            </w:r>
          </w:p>
        </w:tc>
      </w:tr>
      <w:tr w:rsidR="00FA6FEE" w:rsidRPr="00430A97" w14:paraId="2F293932" w14:textId="77777777" w:rsidTr="0CA6515C">
        <w:trPr>
          <w:trHeight w:val="300"/>
        </w:trPr>
        <w:tc>
          <w:tcPr>
            <w:tcW w:w="2500" w:type="pct"/>
          </w:tcPr>
          <w:p w14:paraId="11274940" w14:textId="01088CF4" w:rsidR="00FA6FEE" w:rsidRPr="00430A97" w:rsidRDefault="38A1FA76" w:rsidP="008729DF">
            <w:pPr>
              <w:pStyle w:val="Tabletext"/>
              <w:rPr>
                <w:rFonts w:cs="Calibri"/>
              </w:rPr>
            </w:pPr>
            <w:r w:rsidRPr="0CA6515C">
              <w:rPr>
                <w:rFonts w:cs="Calibri"/>
              </w:rPr>
              <w:t>Lesion located at a b</w:t>
            </w:r>
            <w:r w:rsidR="71656F3A" w:rsidRPr="0CA6515C">
              <w:rPr>
                <w:rFonts w:cs="Calibri"/>
              </w:rPr>
              <w:t>ifurcation and where the planned side branch is ≥2.5mm in diameter by angiographic visual estimation</w:t>
            </w:r>
          </w:p>
        </w:tc>
        <w:tc>
          <w:tcPr>
            <w:tcW w:w="2500" w:type="pct"/>
          </w:tcPr>
          <w:p w14:paraId="2B31C397" w14:textId="555694EE" w:rsidR="00FA6FEE" w:rsidRPr="00430A97" w:rsidRDefault="0B99FAE4" w:rsidP="008729DF">
            <w:pPr>
              <w:pStyle w:val="Tabletext"/>
              <w:rPr>
                <w:rFonts w:cs="Calibri"/>
              </w:rPr>
            </w:pPr>
            <w:r w:rsidRPr="0CA6515C">
              <w:rPr>
                <w:rFonts w:cs="Calibri"/>
              </w:rPr>
              <w:t>Bifurcation intended to be treated with 2 planned stents, where the planned side branch is ≥2.5mm in diameter by angiographic visual estimation</w:t>
            </w:r>
          </w:p>
        </w:tc>
      </w:tr>
      <w:tr w:rsidR="00FA6FEE" w:rsidRPr="00430A97" w14:paraId="010A71C7" w14:textId="77777777" w:rsidTr="0CA6515C">
        <w:trPr>
          <w:trHeight w:val="300"/>
        </w:trPr>
        <w:tc>
          <w:tcPr>
            <w:tcW w:w="2500" w:type="pct"/>
          </w:tcPr>
          <w:p w14:paraId="5B83F5A0" w14:textId="4625EC44" w:rsidR="00FA6FEE" w:rsidRPr="00430A97" w:rsidRDefault="0B99FAE4" w:rsidP="008729DF">
            <w:pPr>
              <w:pStyle w:val="Tabletext"/>
              <w:rPr>
                <w:rFonts w:cs="Calibri"/>
              </w:rPr>
            </w:pPr>
            <w:r w:rsidRPr="289F053C">
              <w:rPr>
                <w:rFonts w:cs="Calibri"/>
              </w:rPr>
              <w:t>Angiographic severe calcification (defined as angiographically visible calcification on both sides of the vessel wall in the absence of cardiac motion)</w:t>
            </w:r>
          </w:p>
        </w:tc>
        <w:tc>
          <w:tcPr>
            <w:tcW w:w="2500" w:type="pct"/>
          </w:tcPr>
          <w:p w14:paraId="7072D962" w14:textId="3166CDB4" w:rsidR="00FA6FEE" w:rsidRPr="00430A97" w:rsidRDefault="2C46ACBE" w:rsidP="008729DF">
            <w:pPr>
              <w:pStyle w:val="Tabletext"/>
              <w:rPr>
                <w:rFonts w:cs="Calibri"/>
              </w:rPr>
            </w:pPr>
            <w:r w:rsidRPr="289F053C">
              <w:rPr>
                <w:rFonts w:cs="Calibri"/>
              </w:rPr>
              <w:t>Angiographic severe calcification (defined as angiographically visible calcification on both sides of the vessel wall in the absence of cardiac motion)</w:t>
            </w:r>
          </w:p>
        </w:tc>
      </w:tr>
      <w:tr w:rsidR="002D43A7" w:rsidRPr="00430A97" w14:paraId="20B8904B" w14:textId="77777777" w:rsidTr="0CA6515C">
        <w:trPr>
          <w:trHeight w:val="300"/>
        </w:trPr>
        <w:tc>
          <w:tcPr>
            <w:tcW w:w="2500" w:type="pct"/>
          </w:tcPr>
          <w:p w14:paraId="250318F7" w14:textId="03EAECCA" w:rsidR="002D43A7" w:rsidRPr="009D1D49" w:rsidRDefault="7A628046" w:rsidP="6306913B">
            <w:pPr>
              <w:pStyle w:val="Tabletext"/>
              <w:rPr>
                <w:rFonts w:cs="Calibri"/>
              </w:rPr>
            </w:pPr>
            <w:r w:rsidRPr="0CA6515C">
              <w:rPr>
                <w:rFonts w:cs="Calibri"/>
              </w:rPr>
              <w:t xml:space="preserve">Stent failure including stent thrombosis </w:t>
            </w:r>
            <w:r w:rsidR="007F3496" w:rsidRPr="0CA6515C">
              <w:rPr>
                <w:rFonts w:cs="Calibri"/>
              </w:rPr>
              <w:t>or</w:t>
            </w:r>
            <w:r w:rsidRPr="0CA6515C">
              <w:rPr>
                <w:rFonts w:cs="Calibri"/>
              </w:rPr>
              <w:t xml:space="preserve"> in-stent restenosis of diffuse or multi-focal pattern</w:t>
            </w:r>
          </w:p>
        </w:tc>
        <w:tc>
          <w:tcPr>
            <w:tcW w:w="2500" w:type="pct"/>
          </w:tcPr>
          <w:p w14:paraId="02E18504" w14:textId="79798101" w:rsidR="002D43A7" w:rsidRPr="009D1D49" w:rsidRDefault="69A198A8" w:rsidP="008729DF">
            <w:pPr>
              <w:pStyle w:val="Tabletext"/>
              <w:rPr>
                <w:rFonts w:cs="Calibri"/>
              </w:rPr>
            </w:pPr>
            <w:r w:rsidRPr="0CA6515C">
              <w:rPr>
                <w:rFonts w:cs="Calibri"/>
              </w:rPr>
              <w:t>Diffuse o</w:t>
            </w:r>
            <w:r w:rsidR="005A4E5D" w:rsidRPr="0CA6515C">
              <w:rPr>
                <w:rFonts w:cs="Calibri"/>
              </w:rPr>
              <w:t>r</w:t>
            </w:r>
            <w:r w:rsidRPr="0CA6515C">
              <w:rPr>
                <w:rFonts w:cs="Calibri"/>
              </w:rPr>
              <w:t xml:space="preserve"> multi-focal pattern</w:t>
            </w:r>
            <w:r w:rsidRPr="0CA6515C">
              <w:rPr>
                <w:rFonts w:cs="Calibri"/>
                <w:i/>
                <w:iCs/>
              </w:rPr>
              <w:t xml:space="preserve"> </w:t>
            </w:r>
            <w:r w:rsidRPr="00470DF0">
              <w:rPr>
                <w:rFonts w:cs="Calibri"/>
              </w:rPr>
              <w:t>i</w:t>
            </w:r>
            <w:r w:rsidR="1A29FB52" w:rsidRPr="0CA6515C">
              <w:rPr>
                <w:rFonts w:cs="Calibri"/>
              </w:rPr>
              <w:t>n-</w:t>
            </w:r>
            <w:r w:rsidRPr="0CA6515C">
              <w:rPr>
                <w:rFonts w:cs="Calibri"/>
              </w:rPr>
              <w:t>stent re</w:t>
            </w:r>
            <w:r w:rsidR="1A29FB52" w:rsidRPr="0CA6515C">
              <w:rPr>
                <w:rFonts w:cs="Calibri"/>
              </w:rPr>
              <w:t>stenosis at or within the existing stent margin(s).</w:t>
            </w:r>
          </w:p>
        </w:tc>
      </w:tr>
    </w:tbl>
    <w:p w14:paraId="6D6234F7" w14:textId="77777777" w:rsidR="005C3595" w:rsidRDefault="005C3595" w:rsidP="7BAB13E7"/>
    <w:p w14:paraId="650BA90D" w14:textId="5B492A09" w:rsidR="00657717" w:rsidRPr="004B6F15" w:rsidRDefault="2DF94A5E" w:rsidP="006B722B">
      <w:pPr>
        <w:pStyle w:val="ListParagraph"/>
        <w:numPr>
          <w:ilvl w:val="0"/>
          <w:numId w:val="24"/>
        </w:numPr>
      </w:pPr>
      <w:r>
        <w:t>Target lesion(s) must be located in a native coronary artery with a visually estimated or quantitatively assessed %</w:t>
      </w:r>
      <w:r w:rsidR="0D06E524">
        <w:t>Diameter Stenosis (</w:t>
      </w:r>
      <w:r>
        <w:t>DS</w:t>
      </w:r>
      <w:r w:rsidR="17DB2F2F">
        <w:t>)</w:t>
      </w:r>
      <w:r>
        <w:t xml:space="preserve"> of ≥70% or ≥50% respectively, plus one or more of the following:</w:t>
      </w:r>
    </w:p>
    <w:p w14:paraId="2B46EC85" w14:textId="3FFBBC23" w:rsidR="00657717" w:rsidRPr="004B6F15" w:rsidRDefault="4051578B" w:rsidP="006B722B">
      <w:pPr>
        <w:pStyle w:val="ListParagraph"/>
        <w:numPr>
          <w:ilvl w:val="1"/>
          <w:numId w:val="24"/>
        </w:numPr>
      </w:pPr>
      <w:r>
        <w:t>An abnormal functional test (e.g., invasive physiological lesion assessment, stress test) signifying ischemia in the distribution of the target lesion(s) or</w:t>
      </w:r>
    </w:p>
    <w:p w14:paraId="5AEC7578" w14:textId="62C16083" w:rsidR="00657717" w:rsidRPr="004B6F15" w:rsidRDefault="4051578B" w:rsidP="006B722B">
      <w:pPr>
        <w:pStyle w:val="ListParagraph"/>
        <w:numPr>
          <w:ilvl w:val="1"/>
          <w:numId w:val="24"/>
        </w:numPr>
      </w:pPr>
      <w:r>
        <w:t>Biomarker positive acute coronary syndromes suggestive of plaque disruption or thrombus</w:t>
      </w:r>
    </w:p>
    <w:p w14:paraId="4B08C5B6" w14:textId="35A3FF59" w:rsidR="00657717" w:rsidRPr="004B6F15" w:rsidRDefault="4051578B" w:rsidP="006B722B">
      <w:pPr>
        <w:pStyle w:val="ListParagraph"/>
        <w:numPr>
          <w:ilvl w:val="0"/>
          <w:numId w:val="24"/>
        </w:numPr>
      </w:pPr>
      <w:r>
        <w:t>Target lesion(s) must be located in a native coronary artery with reference vessel diameter by visual estimation of ≥2.50 and ≤3.5 mm.</w:t>
      </w:r>
    </w:p>
    <w:p w14:paraId="4A736708" w14:textId="4A24607D" w:rsidR="00657717" w:rsidRPr="004B6F15" w:rsidRDefault="4051578B" w:rsidP="006B722B">
      <w:pPr>
        <w:pStyle w:val="ListParagraph"/>
        <w:numPr>
          <w:ilvl w:val="0"/>
          <w:numId w:val="24"/>
        </w:numPr>
      </w:pPr>
      <w:r>
        <w:t>Maximum 2 target lesions in any single vessel and in maximum 2 separate target vessels (including branches) can be included.</w:t>
      </w:r>
    </w:p>
    <w:p w14:paraId="758E99AE" w14:textId="3E522A73" w:rsidR="2DF94A5E" w:rsidRPr="004B6F15" w:rsidRDefault="2DF94A5E" w:rsidP="6155B472">
      <w:pPr>
        <w:pStyle w:val="ListParagraph"/>
        <w:numPr>
          <w:ilvl w:val="0"/>
          <w:numId w:val="24"/>
        </w:numPr>
      </w:pPr>
      <w:r>
        <w:t>Target lesions are amenable to OCT-guided PCI (i.e., no lesion-specific angiographic exclusion criteria are present</w:t>
      </w:r>
    </w:p>
    <w:p w14:paraId="6AF7C6A6" w14:textId="1E0A3DDD" w:rsidR="47D92B2C" w:rsidRPr="00680256" w:rsidRDefault="000D6313" w:rsidP="0CA6515C">
      <w:pPr>
        <w:rPr>
          <w:rFonts w:cs="Calibri"/>
          <w:i/>
          <w:iCs/>
        </w:rPr>
      </w:pPr>
      <w:r w:rsidRPr="00680256">
        <w:rPr>
          <w:rFonts w:cs="Calibri"/>
          <w:i/>
          <w:iCs/>
        </w:rPr>
        <w:t>PASC confirmed that OCT is suitable to be used in patients with stable angina with documented ischaemia (along with patients with acute coronary syndrome or high risk CT findings) based on the 24% of patients in the ILUMIEN IV trial who had non-ST-elevation myocardial infarctions (NSTEMIs).</w:t>
      </w:r>
    </w:p>
    <w:p w14:paraId="0ADE78AC" w14:textId="749F2A92" w:rsidR="008E3F66" w:rsidRPr="008E3F66" w:rsidRDefault="008E3F66" w:rsidP="0CA6515C">
      <w:pPr>
        <w:rPr>
          <w:u w:val="single"/>
        </w:rPr>
      </w:pPr>
      <w:r w:rsidRPr="00862908">
        <w:rPr>
          <w:rFonts w:asciiTheme="minorHAnsi" w:hAnsiTheme="minorHAnsi" w:cstheme="minorHAnsi"/>
          <w:i/>
        </w:rPr>
        <w:lastRenderedPageBreak/>
        <w:t>PASC advised that the assessment of vessel lesion type, and therefore eligibility for the service, should be based on angiogram findings rather than OCT findings. The applicant confirmed that even though OCT is now used routinely prior to PCI, the proposed MBS item for OCT would only be billed if the patient had at least one of the four eligible lesion types.</w:t>
      </w:r>
    </w:p>
    <w:p w14:paraId="5E379D5F" w14:textId="7DE37D05" w:rsidR="00A346BA" w:rsidRDefault="63D57EEC" w:rsidP="00843297">
      <w:pPr>
        <w:spacing w:after="120"/>
        <w:rPr>
          <w:u w:val="single"/>
        </w:rPr>
      </w:pPr>
      <w:r w:rsidRPr="289F053C">
        <w:rPr>
          <w:u w:val="single"/>
        </w:rPr>
        <w:t>Unsuitable patients</w:t>
      </w:r>
    </w:p>
    <w:p w14:paraId="69B34907" w14:textId="5B9C277C" w:rsidR="0034762C" w:rsidRPr="000B69A1" w:rsidRDefault="675755CA" w:rsidP="230F18B9">
      <w:r>
        <w:t>The application has not indicated any patient/demographic group for whom this intervention is not appropriate for.</w:t>
      </w:r>
      <w:r w:rsidR="1D41D454">
        <w:t xml:space="preserve"> The ILUMIEN </w:t>
      </w:r>
      <w:r w:rsidR="1F7E5E7F">
        <w:t xml:space="preserve">IV </w:t>
      </w:r>
      <w:r w:rsidR="1D41D454">
        <w:t xml:space="preserve">trial excluded patients with </w:t>
      </w:r>
      <w:r w:rsidR="4DE7035D">
        <w:t>chronic</w:t>
      </w:r>
      <w:r w:rsidR="1DD1D53A">
        <w:t xml:space="preserve"> kidney disease (</w:t>
      </w:r>
      <w:r w:rsidR="358F2D1D">
        <w:t xml:space="preserve">defined as </w:t>
      </w:r>
      <w:r w:rsidR="1DD1D53A">
        <w:t>creatinine clearance ≤30 ml/min/1.73 m</w:t>
      </w:r>
      <w:r w:rsidR="1DD1D53A" w:rsidRPr="0CA6515C">
        <w:rPr>
          <w:vertAlign w:val="superscript"/>
        </w:rPr>
        <w:t>2</w:t>
      </w:r>
      <w:r w:rsidR="1DD1D53A">
        <w:t xml:space="preserve">) and </w:t>
      </w:r>
      <w:r w:rsidR="1A31CB6D">
        <w:t xml:space="preserve">who </w:t>
      </w:r>
      <w:r w:rsidR="57C11440">
        <w:t xml:space="preserve">were </w:t>
      </w:r>
      <w:r w:rsidR="1DD1D53A">
        <w:t>not on dialysis</w:t>
      </w:r>
      <w:r w:rsidR="7212C318">
        <w:t>, patients who experienced ST-segment myocardial infarction within 24 hours of symptom onset</w:t>
      </w:r>
      <w:r w:rsidR="0B315044">
        <w:t xml:space="preserve"> were also excluded</w:t>
      </w:r>
      <w:r w:rsidR="6D43BC37">
        <w:t>.</w:t>
      </w:r>
    </w:p>
    <w:p w14:paraId="605BDFD3" w14:textId="3C8E56D0" w:rsidR="00A16443" w:rsidRDefault="000D6313" w:rsidP="0CA6515C">
      <w:pPr>
        <w:rPr>
          <w:i/>
          <w:iCs/>
        </w:rPr>
      </w:pPr>
      <w:r w:rsidRPr="00264280">
        <w:rPr>
          <w:rFonts w:asciiTheme="minorHAnsi" w:hAnsiTheme="minorHAnsi" w:cstheme="minorHAnsi"/>
          <w:i/>
        </w:rPr>
        <w:t xml:space="preserve">PASC queried whether patients with significant kidney disease or who were at risk of dialysis should be specifically excluded from OCT eligibility due to the use of contrast </w:t>
      </w:r>
      <w:r w:rsidRPr="00231FD9">
        <w:rPr>
          <w:rFonts w:asciiTheme="minorHAnsi" w:hAnsiTheme="minorHAnsi" w:cstheme="minorHAnsi"/>
          <w:i/>
        </w:rPr>
        <w:t xml:space="preserve">dye </w:t>
      </w:r>
      <w:r w:rsidRPr="00264280">
        <w:rPr>
          <w:rFonts w:asciiTheme="minorHAnsi" w:hAnsiTheme="minorHAnsi" w:cstheme="minorHAnsi"/>
          <w:i/>
        </w:rPr>
        <w:t>during the procedure</w:t>
      </w:r>
      <w:r>
        <w:rPr>
          <w:rFonts w:asciiTheme="minorHAnsi" w:hAnsiTheme="minorHAnsi" w:cstheme="minorHAnsi"/>
          <w:i/>
        </w:rPr>
        <w:t>, which can be harmful to the kidneys</w:t>
      </w:r>
      <w:r w:rsidRPr="007C0E3F">
        <w:rPr>
          <w:rFonts w:asciiTheme="minorHAnsi" w:hAnsiTheme="minorHAnsi" w:cstheme="minorHAnsi"/>
          <w:i/>
        </w:rPr>
        <w:t>.</w:t>
      </w:r>
      <w:r w:rsidRPr="00673FA1">
        <w:rPr>
          <w:rFonts w:asciiTheme="minorHAnsi" w:hAnsiTheme="minorHAnsi" w:cstheme="minorHAnsi"/>
          <w:i/>
        </w:rPr>
        <w:t xml:space="preserve"> The applicant</w:t>
      </w:r>
      <w:r>
        <w:rPr>
          <w:rFonts w:asciiTheme="minorHAnsi" w:hAnsiTheme="minorHAnsi" w:cstheme="minorHAnsi"/>
          <w:i/>
        </w:rPr>
        <w:t>’s clinical</w:t>
      </w:r>
      <w:r w:rsidRPr="00673FA1">
        <w:rPr>
          <w:rFonts w:asciiTheme="minorHAnsi" w:hAnsiTheme="minorHAnsi" w:cstheme="minorHAnsi"/>
          <w:i/>
        </w:rPr>
        <w:t xml:space="preserve"> expert clarified that the same amount of contrast would be used for OCT as is currently used for coronary angiography</w:t>
      </w:r>
      <w:r>
        <w:rPr>
          <w:rFonts w:asciiTheme="minorHAnsi" w:hAnsiTheme="minorHAnsi" w:cstheme="minorHAnsi"/>
          <w:i/>
        </w:rPr>
        <w:t>. The applicant’s clinical expert also noted</w:t>
      </w:r>
      <w:r w:rsidRPr="00673FA1">
        <w:rPr>
          <w:rFonts w:asciiTheme="minorHAnsi" w:hAnsiTheme="minorHAnsi" w:cstheme="minorHAnsi"/>
          <w:i/>
        </w:rPr>
        <w:t xml:space="preserve"> that IVUS allows for the use of a 50/50 solution of saline and contrast, allowing reduced exposure</w:t>
      </w:r>
      <w:r>
        <w:rPr>
          <w:rFonts w:asciiTheme="minorHAnsi" w:hAnsiTheme="minorHAnsi" w:cstheme="minorHAnsi"/>
          <w:i/>
        </w:rPr>
        <w:t xml:space="preserve"> to the contrast, and so would be the preferred option for patients with chronic kidney disease</w:t>
      </w:r>
      <w:r w:rsidRPr="00673FA1">
        <w:rPr>
          <w:rFonts w:asciiTheme="minorHAnsi" w:hAnsiTheme="minorHAnsi" w:cstheme="minorHAnsi"/>
          <w:i/>
        </w:rPr>
        <w:t xml:space="preserve">. PASC resolved that there was no need to exclude patients with chronic kidney disease from the population </w:t>
      </w:r>
      <w:r>
        <w:rPr>
          <w:rFonts w:asciiTheme="minorHAnsi" w:hAnsiTheme="minorHAnsi" w:cstheme="minorHAnsi"/>
          <w:i/>
        </w:rPr>
        <w:t>as</w:t>
      </w:r>
      <w:r w:rsidRPr="00673FA1">
        <w:rPr>
          <w:rFonts w:asciiTheme="minorHAnsi" w:hAnsiTheme="minorHAnsi" w:cstheme="minorHAnsi"/>
          <w:i/>
        </w:rPr>
        <w:t xml:space="preserve"> IVUS would be preferred for such patients.</w:t>
      </w:r>
    </w:p>
    <w:p w14:paraId="0E38780D" w14:textId="77777777" w:rsidR="007A66C8" w:rsidRPr="008F1532" w:rsidRDefault="007A66C8" w:rsidP="00713728">
      <w:pPr>
        <w:pStyle w:val="Heading3"/>
      </w:pPr>
      <w:r w:rsidRPr="008F1532">
        <w:t>Intervention</w:t>
      </w:r>
    </w:p>
    <w:p w14:paraId="5D76B3E0" w14:textId="0C827819" w:rsidR="4AB52841" w:rsidRDefault="4AB52841" w:rsidP="7BAB13E7">
      <w:pPr>
        <w:rPr>
          <w:rFonts w:cs="Calibri"/>
          <w:lang w:val="en-GB"/>
        </w:rPr>
      </w:pPr>
      <w:r w:rsidRPr="0CA6515C">
        <w:rPr>
          <w:rFonts w:cs="Calibri"/>
          <w:lang w:val="en-GB"/>
        </w:rPr>
        <w:t>OCT is an imaging technique which allows for three-dimensional cross-sectional images of body tissue to be developed (Warger et al., 2014). The mechanism used to obtain images with OCT is similar to that used in ultrasound, however light is used instead of sound, allowing for improved spatial resolution and increased imaging speed in comparison (Lamirel, 2014). Initially, OCT had been developed to image the eye and continues to be utilised for the diagnosis of ocular diseases such as age-related macular degeneration. More recently, the technology has been adapted for use in other parts of the anatomy including for intracoronary imaging (Warger et al., 2014).</w:t>
      </w:r>
    </w:p>
    <w:p w14:paraId="343FB933" w14:textId="2B059FA0" w:rsidR="00C42339" w:rsidRDefault="22AF319C" w:rsidP="7BAB13E7">
      <w:pPr>
        <w:rPr>
          <w:rFonts w:cs="Calibri"/>
          <w:lang w:val="en-GB"/>
        </w:rPr>
      </w:pPr>
      <w:r w:rsidRPr="0CA6515C">
        <w:rPr>
          <w:rFonts w:cs="Calibri"/>
          <w:lang w:val="en-GB"/>
        </w:rPr>
        <w:t xml:space="preserve">The use of OCT for intracoronary imaging is considered to have multiple therapeutic applications including evaluating plaque morphology, identifying thrombus, and optimising stent size and placement (Kayani &amp; Levine, 2018). The application has indicated that OCT </w:t>
      </w:r>
      <w:r w:rsidR="6B300F4A" w:rsidRPr="0CA6515C">
        <w:rPr>
          <w:rFonts w:cs="Calibri"/>
          <w:lang w:val="en-GB"/>
        </w:rPr>
        <w:t xml:space="preserve">is </w:t>
      </w:r>
      <w:r w:rsidRPr="0CA6515C">
        <w:rPr>
          <w:rFonts w:cs="Calibri"/>
          <w:lang w:val="en-GB"/>
        </w:rPr>
        <w:t xml:space="preserve">to be used in tandem with an invasive coronary angiogram. </w:t>
      </w:r>
    </w:p>
    <w:p w14:paraId="215BC5AC" w14:textId="46A8C19C" w:rsidR="4AB52841" w:rsidRDefault="4AB52841" w:rsidP="7BAB13E7">
      <w:pPr>
        <w:rPr>
          <w:rFonts w:cs="Calibri"/>
          <w:lang w:val="en-GB"/>
        </w:rPr>
      </w:pPr>
      <w:r w:rsidRPr="0CA6515C">
        <w:rPr>
          <w:rFonts w:cs="Calibri"/>
          <w:lang w:val="en-GB"/>
        </w:rPr>
        <w:t xml:space="preserve">A coronary angiogram consists of an x-ray which is able to visualise the coronary arteries following the injection of radioactive dye (Healthdirect Australia, 2022). Angiography can be used to diagnose coronary artery disease by the visual estimation of the stenosis (narrowing) of the artery (Fearon, 2018). As noted previously, compared with OCT, coronary angiography is limited to two-dimensional </w:t>
      </w:r>
      <w:r w:rsidR="79CF9AE1" w:rsidRPr="0CA6515C">
        <w:rPr>
          <w:rFonts w:cs="Calibri"/>
          <w:lang w:val="en-GB"/>
        </w:rPr>
        <w:t>imagery (</w:t>
      </w:r>
      <w:r w:rsidRPr="0CA6515C">
        <w:rPr>
          <w:rFonts w:cs="Calibri"/>
          <w:lang w:val="en-GB"/>
        </w:rPr>
        <w:t>Mariathas et al., 2022; Mendirichaga et al., 2018). The specific technology that is the subject of this application enables both intracoronary OCT and coronary angiography to occur simultaneously.</w:t>
      </w:r>
    </w:p>
    <w:p w14:paraId="7A7CBC08" w14:textId="1EBDF12C" w:rsidR="4AB52841" w:rsidRDefault="22AF319C" w:rsidP="7BAB13E7">
      <w:pPr>
        <w:rPr>
          <w:rFonts w:cs="Calibri"/>
          <w:lang w:val="en-GB"/>
        </w:rPr>
      </w:pPr>
      <w:r w:rsidRPr="0CA6515C">
        <w:rPr>
          <w:rFonts w:cs="Calibri"/>
          <w:lang w:val="en-GB"/>
        </w:rPr>
        <w:t xml:space="preserve">The device consists of the computerised OPTIS system and a specialised imaging catheter with an insertable length of 135cm and a diameter of 2.7 Fr (see figure 1 &amp; 2 of the application for images). The device uses near infra-red light to produce three-dimensional cross-sectional scans of the interior of the </w:t>
      </w:r>
      <w:r w:rsidRPr="0CA6515C">
        <w:rPr>
          <w:rFonts w:cs="Calibri"/>
          <w:lang w:val="en-GB"/>
        </w:rPr>
        <w:lastRenderedPageBreak/>
        <w:t>artery. There have been no limitations stipulated regarding the frequency of use for this technology by the applicant.</w:t>
      </w:r>
    </w:p>
    <w:p w14:paraId="61365BCA" w14:textId="2B47D45B" w:rsidR="4AB52841" w:rsidRPr="00680256" w:rsidRDefault="008E761A" w:rsidP="0DEF07FE">
      <w:pPr>
        <w:rPr>
          <w:rFonts w:cs="Calibri"/>
          <w:i/>
          <w:iCs/>
          <w:lang w:val="en-GB"/>
        </w:rPr>
      </w:pPr>
      <w:r w:rsidRPr="00680256">
        <w:rPr>
          <w:rFonts w:cs="Calibri"/>
          <w:i/>
          <w:iCs/>
        </w:rPr>
        <w:t>PASC noted that there does not appear to be any data which suggests the repeat use of OCT has negative implications for patient safety and considered no need for separate items for repeat procedures.</w:t>
      </w:r>
      <w:r w:rsidR="1A0E0591" w:rsidRPr="00680256">
        <w:rPr>
          <w:rFonts w:cs="Calibri"/>
          <w:i/>
          <w:iCs/>
          <w:lang w:val="en-GB"/>
        </w:rPr>
        <w:t xml:space="preserve"> </w:t>
      </w:r>
    </w:p>
    <w:p w14:paraId="7BF9013F" w14:textId="7B9A55D0" w:rsidR="00C4764E" w:rsidRDefault="4AB52841" w:rsidP="0CA6515C">
      <w:pPr>
        <w:rPr>
          <w:rFonts w:cs="Calibri"/>
          <w:lang w:val="en-GB"/>
        </w:rPr>
      </w:pPr>
      <w:r w:rsidRPr="0CA6515C">
        <w:rPr>
          <w:rFonts w:cs="Calibri"/>
          <w:lang w:val="en-GB"/>
        </w:rPr>
        <w:t>The applicant indicated that the use of the proposed technology for the guidance of stent insertion during PCI should occur as an inpatient procedure at a public or private hospital. The application has also stated that coronary imaging with OCT and angiography would occur in the catheterisation laboratory, which would also be the setting for PCI procedures.</w:t>
      </w:r>
    </w:p>
    <w:p w14:paraId="2BCFCC65" w14:textId="4DA0899A" w:rsidR="0E4AE1CB" w:rsidRPr="00680256" w:rsidRDefault="00345A6C" w:rsidP="0DEF07FE">
      <w:pPr>
        <w:rPr>
          <w:rFonts w:cs="Calibri"/>
          <w:lang w:val="en-GB"/>
        </w:rPr>
      </w:pPr>
      <w:r w:rsidRPr="00680256">
        <w:rPr>
          <w:rFonts w:cs="Calibri"/>
          <w:lang w:val="en-GB"/>
        </w:rPr>
        <w:t>I</w:t>
      </w:r>
      <w:r w:rsidR="00A86A03" w:rsidRPr="00680256">
        <w:rPr>
          <w:rFonts w:cs="Calibri"/>
          <w:lang w:val="en-GB"/>
        </w:rPr>
        <w:t>n</w:t>
      </w:r>
      <w:r w:rsidR="17F0A1A5" w:rsidRPr="00680256">
        <w:rPr>
          <w:rFonts w:cs="Calibri"/>
          <w:lang w:val="en-GB"/>
        </w:rPr>
        <w:t xml:space="preserve"> the application it is also mentioned that the procedure could also be used in an emergency setting or as an elective procedure. </w:t>
      </w:r>
      <w:r w:rsidR="00680256" w:rsidRPr="00680256">
        <w:rPr>
          <w:rFonts w:cs="Calibri"/>
          <w:lang w:val="en-GB"/>
        </w:rPr>
        <w:t>However,</w:t>
      </w:r>
      <w:r w:rsidRPr="00680256">
        <w:rPr>
          <w:rFonts w:cs="Calibri"/>
          <w:lang w:val="en-GB"/>
        </w:rPr>
        <w:t xml:space="preserve"> a</w:t>
      </w:r>
      <w:r w:rsidR="0E4AE1CB" w:rsidRPr="00680256">
        <w:rPr>
          <w:rFonts w:cs="Calibri"/>
          <w:lang w:val="en-GB"/>
        </w:rPr>
        <w:t xml:space="preserve">s a 75% rebate is supported for this service, </w:t>
      </w:r>
      <w:r w:rsidR="0DC6AFA9" w:rsidRPr="00680256">
        <w:rPr>
          <w:rFonts w:cs="Calibri"/>
          <w:lang w:val="en-GB"/>
        </w:rPr>
        <w:t>it is implied that this should be</w:t>
      </w:r>
      <w:r w:rsidR="0E4AE1CB" w:rsidRPr="00680256">
        <w:rPr>
          <w:rFonts w:cs="Calibri"/>
          <w:lang w:val="en-GB"/>
        </w:rPr>
        <w:t xml:space="preserve"> an in</w:t>
      </w:r>
      <w:r w:rsidR="43B2444F" w:rsidRPr="00680256">
        <w:rPr>
          <w:rFonts w:cs="Calibri"/>
          <w:lang w:val="en-GB"/>
        </w:rPr>
        <w:t>-</w:t>
      </w:r>
      <w:r w:rsidR="0E4AE1CB" w:rsidRPr="00680256">
        <w:rPr>
          <w:rFonts w:cs="Calibri"/>
          <w:lang w:val="en-GB"/>
        </w:rPr>
        <w:t>hospital service only</w:t>
      </w:r>
      <w:r w:rsidR="1F75FC65" w:rsidRPr="00680256">
        <w:rPr>
          <w:rFonts w:cs="Calibri"/>
          <w:lang w:val="en-GB"/>
        </w:rPr>
        <w:t>.</w:t>
      </w:r>
    </w:p>
    <w:p w14:paraId="476E0367" w14:textId="57D98B9F" w:rsidR="4AB52841" w:rsidRPr="00680256" w:rsidRDefault="24E8191C" w:rsidP="7BAB13E7">
      <w:pPr>
        <w:rPr>
          <w:rFonts w:cs="Calibri"/>
          <w:lang w:val="en-GB"/>
        </w:rPr>
      </w:pPr>
      <w:r w:rsidRPr="0CA6515C">
        <w:rPr>
          <w:rFonts w:cs="Calibri"/>
          <w:lang w:val="en-GB"/>
        </w:rPr>
        <w:t>T</w:t>
      </w:r>
      <w:r w:rsidR="22AF319C" w:rsidRPr="0CA6515C">
        <w:rPr>
          <w:rFonts w:cs="Calibri"/>
          <w:lang w:val="en-GB"/>
        </w:rPr>
        <w:t xml:space="preserve">he application </w:t>
      </w:r>
      <w:r w:rsidRPr="0CA6515C">
        <w:rPr>
          <w:rFonts w:cs="Calibri"/>
          <w:lang w:val="en-GB"/>
        </w:rPr>
        <w:t xml:space="preserve">indicated </w:t>
      </w:r>
      <w:r w:rsidR="22AF319C" w:rsidRPr="0CA6515C">
        <w:rPr>
          <w:rFonts w:cs="Calibri"/>
          <w:lang w:val="en-GB"/>
        </w:rPr>
        <w:t xml:space="preserve">that specific training and accreditation will be required for practitioners who wish to administer this therapeutic technology. However, the application suggests that the intended criteria for such practitioners (referred to as trained OCT cardiologists) is yet to be determined. </w:t>
      </w:r>
      <w:r w:rsidR="7B65D3F1" w:rsidRPr="0CA6515C">
        <w:rPr>
          <w:rFonts w:cs="Calibri"/>
          <w:lang w:val="en-GB"/>
        </w:rPr>
        <w:t>I</w:t>
      </w:r>
      <w:r w:rsidR="22AF319C" w:rsidRPr="0CA6515C">
        <w:rPr>
          <w:rFonts w:cs="Calibri"/>
          <w:lang w:val="en-GB"/>
        </w:rPr>
        <w:t xml:space="preserve">t is unclear </w:t>
      </w:r>
      <w:r w:rsidR="7D584B25" w:rsidRPr="0CA6515C">
        <w:rPr>
          <w:rFonts w:cs="Calibri"/>
          <w:lang w:val="en-GB"/>
        </w:rPr>
        <w:t>how many</w:t>
      </w:r>
      <w:r w:rsidR="22AF319C" w:rsidRPr="0CA6515C">
        <w:rPr>
          <w:rFonts w:cs="Calibri"/>
          <w:lang w:val="en-GB"/>
        </w:rPr>
        <w:t xml:space="preserve"> trained OCT cardiologists </w:t>
      </w:r>
      <w:r w:rsidR="7D584B25" w:rsidRPr="0CA6515C">
        <w:rPr>
          <w:rFonts w:cs="Calibri"/>
          <w:lang w:val="en-GB"/>
        </w:rPr>
        <w:t>are</w:t>
      </w:r>
      <w:r w:rsidR="22AF319C" w:rsidRPr="0CA6515C">
        <w:rPr>
          <w:rFonts w:cs="Calibri"/>
          <w:lang w:val="en-GB"/>
        </w:rPr>
        <w:t xml:space="preserve"> in Australia, the application indicated that a shortage of such </w:t>
      </w:r>
      <w:r w:rsidR="22AF319C" w:rsidRPr="00680256">
        <w:rPr>
          <w:rFonts w:cs="Calibri"/>
          <w:lang w:val="en-GB"/>
        </w:rPr>
        <w:t>cardiologists may limit the accessibility of the therapy to some patients.</w:t>
      </w:r>
    </w:p>
    <w:p w14:paraId="34C1D037" w14:textId="070268C8" w:rsidR="4AB52841" w:rsidRPr="00680256" w:rsidRDefault="008E761A" w:rsidP="707AF701">
      <w:pPr>
        <w:rPr>
          <w:rFonts w:cs="Calibri"/>
          <w:i/>
          <w:iCs/>
          <w:highlight w:val="green"/>
          <w:lang w:val="en-GB"/>
        </w:rPr>
      </w:pPr>
      <w:r w:rsidRPr="00680256">
        <w:rPr>
          <w:rFonts w:cs="Calibri"/>
          <w:i/>
          <w:iCs/>
        </w:rPr>
        <w:t>PASC considered it appropriate the</w:t>
      </w:r>
      <w:r w:rsidR="00B32093" w:rsidRPr="00680256">
        <w:rPr>
          <w:rFonts w:cs="Calibri"/>
          <w:i/>
          <w:iCs/>
        </w:rPr>
        <w:t xml:space="preserve"> existing</w:t>
      </w:r>
      <w:r w:rsidRPr="00680256">
        <w:rPr>
          <w:rFonts w:cs="Calibri"/>
          <w:i/>
          <w:iCs/>
        </w:rPr>
        <w:t xml:space="preserve"> CSANZ committee</w:t>
      </w:r>
      <w:r w:rsidR="00D30E27" w:rsidRPr="00680256">
        <w:rPr>
          <w:rFonts w:cs="Calibri"/>
          <w:i/>
          <w:iCs/>
        </w:rPr>
        <w:t xml:space="preserve"> be</w:t>
      </w:r>
      <w:r w:rsidRPr="00680256">
        <w:rPr>
          <w:rFonts w:cs="Calibri"/>
          <w:i/>
          <w:iCs/>
        </w:rPr>
        <w:t xml:space="preserve"> responsible for outlining and clarifying the necessary accreditation and training. PASC noted that due to capacity issues CSANZ may not be able to provide guidance documents prior to implementation.</w:t>
      </w:r>
    </w:p>
    <w:p w14:paraId="2F782B33" w14:textId="0091515C" w:rsidR="4AB52841" w:rsidRDefault="22AF319C" w:rsidP="7BAB13E7">
      <w:pPr>
        <w:rPr>
          <w:rFonts w:cs="Calibri"/>
          <w:lang w:val="en-GB"/>
        </w:rPr>
      </w:pPr>
      <w:r w:rsidRPr="0CA6515C">
        <w:rPr>
          <w:rFonts w:cs="Calibri"/>
          <w:lang w:val="en-GB"/>
        </w:rPr>
        <w:t xml:space="preserve">The </w:t>
      </w:r>
      <w:r w:rsidR="350052C0" w:rsidRPr="0CA6515C">
        <w:rPr>
          <w:rFonts w:cs="Calibri"/>
          <w:lang w:val="en-GB"/>
        </w:rPr>
        <w:t xml:space="preserve">required OCT </w:t>
      </w:r>
      <w:r w:rsidRPr="0CA6515C">
        <w:rPr>
          <w:rFonts w:cs="Calibri"/>
          <w:lang w:val="en-GB"/>
        </w:rPr>
        <w:t>infrastructure includes a catheterisation laboratory, and the OCT system itself</w:t>
      </w:r>
      <w:r w:rsidR="571A86D8" w:rsidRPr="0CA6515C">
        <w:rPr>
          <w:rFonts w:cs="Calibri"/>
          <w:i/>
          <w:iCs/>
          <w:lang w:val="en-GB"/>
        </w:rPr>
        <w:t xml:space="preserve"> </w:t>
      </w:r>
      <w:r w:rsidR="571A86D8" w:rsidRPr="000A5E0A">
        <w:rPr>
          <w:rFonts w:cs="Calibri"/>
          <w:lang w:val="en-GB"/>
        </w:rPr>
        <w:t>including software</w:t>
      </w:r>
      <w:r w:rsidRPr="0045678C">
        <w:rPr>
          <w:rFonts w:cs="Calibri"/>
          <w:lang w:val="en-GB"/>
        </w:rPr>
        <w:t>.</w:t>
      </w:r>
      <w:r w:rsidRPr="0CA6515C">
        <w:rPr>
          <w:rFonts w:cs="Calibri"/>
          <w:lang w:val="en-GB"/>
        </w:rPr>
        <w:t xml:space="preserve"> The application indicated that there are </w:t>
      </w:r>
      <w:r w:rsidR="00046562" w:rsidRPr="00247FE4">
        <w:t>REDACTED</w:t>
      </w:r>
      <w:r w:rsidRPr="00247FE4">
        <w:rPr>
          <w:rFonts w:cs="Calibri"/>
          <w:lang w:val="en-GB"/>
        </w:rPr>
        <w:t xml:space="preserve"> OCT systems</w:t>
      </w:r>
      <w:r w:rsidRPr="0CA6515C">
        <w:rPr>
          <w:rFonts w:cs="Calibri"/>
          <w:lang w:val="en-GB"/>
        </w:rPr>
        <w:t xml:space="preserve"> used across private hospitals in Australia, serving </w:t>
      </w:r>
      <w:r w:rsidR="00046562">
        <w:t>REDACTED</w:t>
      </w:r>
      <w:r w:rsidR="64676567" w:rsidRPr="00247FE4">
        <w:rPr>
          <w:rFonts w:cs="Calibri"/>
          <w:lang w:val="en-GB"/>
        </w:rPr>
        <w:t>%</w:t>
      </w:r>
      <w:r w:rsidRPr="0CA6515C">
        <w:rPr>
          <w:rFonts w:cs="Calibri"/>
          <w:lang w:val="en-GB"/>
        </w:rPr>
        <w:t xml:space="preserve"> of the nation’s total </w:t>
      </w:r>
      <w:r w:rsidR="2FCFB3AA" w:rsidRPr="0CA6515C">
        <w:rPr>
          <w:rFonts w:cs="Calibri"/>
          <w:lang w:val="en-GB"/>
        </w:rPr>
        <w:t>private hospitals</w:t>
      </w:r>
      <w:r w:rsidRPr="0CA6515C">
        <w:rPr>
          <w:rFonts w:cs="Calibri"/>
          <w:lang w:val="en-GB"/>
        </w:rPr>
        <w:t>. This suggests that the majority of hospitals in Australia (both public and private) are presently ill-equipped to carry out OCT</w:t>
      </w:r>
      <w:r w:rsidR="00DE5FC7">
        <w:rPr>
          <w:rFonts w:cs="Calibri"/>
          <w:lang w:val="en-GB"/>
        </w:rPr>
        <w:t xml:space="preserve"> </w:t>
      </w:r>
      <w:r w:rsidRPr="0CA6515C">
        <w:rPr>
          <w:rFonts w:cs="Calibri"/>
          <w:lang w:val="en-GB"/>
        </w:rPr>
        <w:t xml:space="preserve">guided coronary stent insertion procedures and further proliferation of OCT systems </w:t>
      </w:r>
      <w:r w:rsidR="55AF4B3B" w:rsidRPr="0CA6515C">
        <w:rPr>
          <w:rFonts w:cs="Calibri"/>
          <w:lang w:val="en-GB"/>
        </w:rPr>
        <w:t xml:space="preserve">would be </w:t>
      </w:r>
      <w:r w:rsidRPr="0CA6515C">
        <w:rPr>
          <w:rFonts w:cs="Calibri"/>
          <w:lang w:val="en-GB"/>
        </w:rPr>
        <w:t xml:space="preserve">required to </w:t>
      </w:r>
      <w:r w:rsidR="55AF4B3B" w:rsidRPr="0CA6515C">
        <w:rPr>
          <w:rFonts w:cs="Calibri"/>
          <w:lang w:val="en-GB"/>
        </w:rPr>
        <w:t>support the adoption of this technique</w:t>
      </w:r>
      <w:r w:rsidRPr="0CA6515C">
        <w:rPr>
          <w:rFonts w:cs="Calibri"/>
          <w:lang w:val="en-GB"/>
        </w:rPr>
        <w:t>. Presently, there are no government subsidies provided for the use of this technology within Australia’s public healthcare system.</w:t>
      </w:r>
    </w:p>
    <w:p w14:paraId="665B0675" w14:textId="5FDFCB88" w:rsidR="007A66C8" w:rsidRPr="008F1532" w:rsidRDefault="007A66C8" w:rsidP="00713728">
      <w:pPr>
        <w:pStyle w:val="Heading3"/>
      </w:pPr>
      <w:r w:rsidRPr="008F1532">
        <w:t>Comparator</w:t>
      </w:r>
      <w:r w:rsidR="007D6B83">
        <w:t>(</w:t>
      </w:r>
      <w:r w:rsidR="008F1532">
        <w:t>s</w:t>
      </w:r>
      <w:r w:rsidR="007D6B83">
        <w:t>)</w:t>
      </w:r>
    </w:p>
    <w:p w14:paraId="6AFDD960" w14:textId="6AA7D8EA" w:rsidR="000C104A" w:rsidRPr="00470DF0" w:rsidRDefault="000C104A" w:rsidP="00843297">
      <w:pPr>
        <w:spacing w:after="120"/>
        <w:rPr>
          <w:u w:val="single"/>
        </w:rPr>
      </w:pPr>
      <w:r>
        <w:rPr>
          <w:u w:val="single"/>
        </w:rPr>
        <w:t>Coronary angiography</w:t>
      </w:r>
    </w:p>
    <w:p w14:paraId="5BABE217" w14:textId="58CB2724" w:rsidR="289F053C" w:rsidRPr="003241C1" w:rsidRDefault="6B8268B8" w:rsidP="289F053C">
      <w:pPr>
        <w:rPr>
          <w:rFonts w:cs="Calibri"/>
          <w:lang w:val="en-GB"/>
        </w:rPr>
      </w:pPr>
      <w:r w:rsidRPr="0CA6515C">
        <w:rPr>
          <w:rFonts w:cs="Calibri"/>
          <w:lang w:val="en-GB"/>
        </w:rPr>
        <w:t xml:space="preserve">The comparator nominated by the applicant is the use of a coronary angiogram </w:t>
      </w:r>
      <w:r w:rsidR="00AA1248" w:rsidRPr="0CA6515C">
        <w:rPr>
          <w:rFonts w:cs="Calibri"/>
          <w:lang w:val="en-GB"/>
        </w:rPr>
        <w:t xml:space="preserve">alone </w:t>
      </w:r>
      <w:r w:rsidRPr="0CA6515C">
        <w:rPr>
          <w:rFonts w:cs="Calibri"/>
          <w:lang w:val="en-GB"/>
        </w:rPr>
        <w:t xml:space="preserve">to guide the insertion of intracoronary stents. As described above, this entails the use of an x-ray which is able to visualise the coronary arteries following the injection of </w:t>
      </w:r>
      <w:r w:rsidR="00A82304" w:rsidRPr="0CA6515C">
        <w:rPr>
          <w:rFonts w:cs="Calibri"/>
          <w:lang w:val="en-GB"/>
        </w:rPr>
        <w:t>an</w:t>
      </w:r>
      <w:r w:rsidRPr="0CA6515C">
        <w:rPr>
          <w:rFonts w:cs="Calibri"/>
          <w:lang w:val="en-GB"/>
        </w:rPr>
        <w:t xml:space="preserve"> </w:t>
      </w:r>
      <w:r w:rsidR="00823F14" w:rsidRPr="0CA6515C">
        <w:rPr>
          <w:rFonts w:cs="Calibri"/>
          <w:lang w:val="en-GB"/>
        </w:rPr>
        <w:t>iodinated</w:t>
      </w:r>
      <w:r w:rsidRPr="0CA6515C">
        <w:rPr>
          <w:rFonts w:cs="Calibri"/>
          <w:lang w:val="en-GB"/>
        </w:rPr>
        <w:t xml:space="preserve"> contrast medium. This procedure represents current clinical practice for the insertion of coronary stents and the applicant has indicated that it will continue to be used as an adjunct to OCT should the application be successful. </w:t>
      </w:r>
      <w:r w:rsidR="0013003A">
        <w:rPr>
          <w:rFonts w:cs="Calibri"/>
          <w:lang w:val="en-GB"/>
        </w:rPr>
        <w:t>PCI</w:t>
      </w:r>
      <w:r w:rsidRPr="0CA6515C">
        <w:rPr>
          <w:rFonts w:cs="Calibri"/>
          <w:lang w:val="en-GB"/>
        </w:rPr>
        <w:t xml:space="preserve"> for the purposes of guiding the transluminal insertion of stents is currently listed on the MBS under 12 individual items. These items were tabulated by the applicant and organised by patient clinical indication, time since previous coronary angiography, and number of coronary vascular territories involved.</w:t>
      </w:r>
    </w:p>
    <w:p w14:paraId="7EBE16C8" w14:textId="29BAAFF7" w:rsidR="06EE29BE" w:rsidRPr="008A4637" w:rsidRDefault="008A4637" w:rsidP="6306913B">
      <w:pPr>
        <w:pStyle w:val="TableHeading"/>
      </w:pPr>
      <w:r>
        <w:lastRenderedPageBreak/>
        <w:t xml:space="preserve">Table </w:t>
      </w:r>
      <w:r>
        <w:fldChar w:fldCharType="begin"/>
      </w:r>
      <w:r>
        <w:instrText>SEQ Table \* ARABIC</w:instrText>
      </w:r>
      <w:r>
        <w:fldChar w:fldCharType="separate"/>
      </w:r>
      <w:r w:rsidR="00EF564A" w:rsidRPr="0CA6515C">
        <w:rPr>
          <w:noProof/>
        </w:rPr>
        <w:t>4</w:t>
      </w:r>
      <w:r>
        <w:fldChar w:fldCharType="end"/>
      </w:r>
      <w:r>
        <w:t xml:space="preserve"> </w:t>
      </w:r>
      <w:r w:rsidR="6B8268B8">
        <w:t xml:space="preserve">MBS item pertaining to PCI with coronary stent insertion  </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65"/>
        <w:gridCol w:w="1366"/>
        <w:gridCol w:w="1366"/>
        <w:gridCol w:w="1368"/>
        <w:gridCol w:w="1366"/>
        <w:gridCol w:w="1366"/>
        <w:gridCol w:w="1368"/>
      </w:tblGrid>
      <w:tr w:rsidR="289F053C" w14:paraId="65FF4E3B" w14:textId="77777777" w:rsidTr="0CA6515C">
        <w:trPr>
          <w:trHeight w:val="300"/>
          <w:tblHeader/>
        </w:trPr>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14B7B3F0" w14:textId="6E1563BF"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b/>
                <w:bCs/>
                <w:color w:val="000000" w:themeColor="text1"/>
                <w:sz w:val="19"/>
                <w:szCs w:val="19"/>
              </w:rPr>
              <w:t>Timing of coronary angiography</w:t>
            </w:r>
            <w:r w:rsidRPr="289F053C">
              <w:rPr>
                <w:rFonts w:ascii="Arial Narrow" w:eastAsia="Arial Narrow" w:hAnsi="Arial Narrow" w:cs="Arial Narrow"/>
                <w:color w:val="000000" w:themeColor="text1"/>
                <w:sz w:val="19"/>
                <w:szCs w:val="19"/>
              </w:rPr>
              <w:t xml:space="preserve"> </w:t>
            </w:r>
          </w:p>
        </w:tc>
        <w:tc>
          <w:tcPr>
            <w:tcW w:w="2143" w:type="pct"/>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8DD9C80" w14:textId="0503C5A0" w:rsidR="289F053C" w:rsidRDefault="289F053C" w:rsidP="289F053C">
            <w:pPr>
              <w:spacing w:after="0"/>
              <w:rPr>
                <w:rFonts w:ascii="Arial Narrow" w:eastAsia="Arial Narrow" w:hAnsi="Arial Narrow" w:cs="Arial Narrow"/>
                <w:color w:val="000000" w:themeColor="text1"/>
                <w:sz w:val="19"/>
                <w:szCs w:val="19"/>
              </w:rPr>
            </w:pPr>
            <w:r w:rsidRPr="0CA6515C">
              <w:rPr>
                <w:rFonts w:ascii="Arial Narrow" w:eastAsia="Arial Narrow" w:hAnsi="Arial Narrow" w:cs="Arial Narrow"/>
                <w:b/>
                <w:bCs/>
                <w:color w:val="000000" w:themeColor="text1"/>
                <w:sz w:val="19"/>
                <w:szCs w:val="19"/>
              </w:rPr>
              <w:t>Acute coronary syndrome (ACS) or high-risk CT findings (‘selective coronary angiography’)</w:t>
            </w:r>
            <w:r w:rsidRPr="0CA6515C">
              <w:rPr>
                <w:rFonts w:ascii="Arial Narrow" w:eastAsia="Arial Narrow" w:hAnsi="Arial Narrow" w:cs="Arial Narrow"/>
                <w:color w:val="000000" w:themeColor="text1"/>
                <w:sz w:val="19"/>
                <w:szCs w:val="19"/>
              </w:rPr>
              <w:t xml:space="preserve"> </w:t>
            </w:r>
          </w:p>
        </w:tc>
        <w:tc>
          <w:tcPr>
            <w:tcW w:w="2143" w:type="pct"/>
            <w:gridSpan w:val="3"/>
            <w:tcBorders>
              <w:top w:val="single" w:sz="6" w:space="0" w:color="auto"/>
              <w:left w:val="nil"/>
              <w:bottom w:val="single" w:sz="6" w:space="0" w:color="auto"/>
              <w:right w:val="single" w:sz="6" w:space="0" w:color="auto"/>
            </w:tcBorders>
            <w:tcMar>
              <w:left w:w="105" w:type="dxa"/>
              <w:right w:w="105" w:type="dxa"/>
            </w:tcMar>
          </w:tcPr>
          <w:p w14:paraId="725BD7FA" w14:textId="69626056"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b/>
                <w:bCs/>
                <w:color w:val="000000" w:themeColor="text1"/>
                <w:sz w:val="19"/>
                <w:szCs w:val="19"/>
              </w:rPr>
              <w:t>Stable angina with documented ischemia</w:t>
            </w:r>
            <w:r w:rsidRPr="289F053C">
              <w:rPr>
                <w:rFonts w:ascii="Arial Narrow" w:eastAsia="Arial Narrow" w:hAnsi="Arial Narrow" w:cs="Arial Narrow"/>
                <w:color w:val="000000" w:themeColor="text1"/>
                <w:sz w:val="19"/>
                <w:szCs w:val="19"/>
              </w:rPr>
              <w:t xml:space="preserve"> </w:t>
            </w:r>
          </w:p>
        </w:tc>
      </w:tr>
      <w:tr w:rsidR="289F053C" w14:paraId="7F6D97C9" w14:textId="77777777" w:rsidTr="0CA6515C">
        <w:trPr>
          <w:trHeight w:val="300"/>
        </w:trPr>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7C4E519B" w14:textId="6B8CFD83"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Invasive coronary angiography has not been completed in the previous 3 months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022D2126" w14:textId="34A720C0"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1 coronary vascular territory </w:t>
            </w:r>
          </w:p>
        </w:tc>
        <w:tc>
          <w:tcPr>
            <w:tcW w:w="714" w:type="pct"/>
            <w:tcBorders>
              <w:top w:val="nil"/>
              <w:left w:val="single" w:sz="6" w:space="0" w:color="auto"/>
              <w:bottom w:val="single" w:sz="6" w:space="0" w:color="auto"/>
              <w:right w:val="single" w:sz="6" w:space="0" w:color="auto"/>
            </w:tcBorders>
            <w:tcMar>
              <w:left w:w="105" w:type="dxa"/>
              <w:right w:w="105" w:type="dxa"/>
            </w:tcMar>
          </w:tcPr>
          <w:p w14:paraId="13B7A274" w14:textId="069BDD54"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2 coronary vascular territories </w:t>
            </w:r>
          </w:p>
        </w:tc>
        <w:tc>
          <w:tcPr>
            <w:tcW w:w="714" w:type="pct"/>
            <w:tcBorders>
              <w:top w:val="nil"/>
              <w:left w:val="single" w:sz="6" w:space="0" w:color="auto"/>
              <w:bottom w:val="single" w:sz="6" w:space="0" w:color="auto"/>
              <w:right w:val="single" w:sz="6" w:space="0" w:color="auto"/>
            </w:tcBorders>
            <w:tcMar>
              <w:left w:w="105" w:type="dxa"/>
              <w:right w:w="105" w:type="dxa"/>
            </w:tcMar>
          </w:tcPr>
          <w:p w14:paraId="7A5BA513" w14:textId="0D2B8121"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 coronary vascular territories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7866BBBF" w14:textId="33F74CE9"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1 coronary vascular territory </w:t>
            </w:r>
          </w:p>
        </w:tc>
        <w:tc>
          <w:tcPr>
            <w:tcW w:w="714" w:type="pct"/>
            <w:tcBorders>
              <w:top w:val="nil"/>
              <w:left w:val="single" w:sz="6" w:space="0" w:color="auto"/>
              <w:bottom w:val="single" w:sz="6" w:space="0" w:color="auto"/>
              <w:right w:val="single" w:sz="6" w:space="0" w:color="auto"/>
            </w:tcBorders>
            <w:tcMar>
              <w:left w:w="105" w:type="dxa"/>
              <w:right w:w="105" w:type="dxa"/>
            </w:tcMar>
          </w:tcPr>
          <w:p w14:paraId="0E8AE9C0" w14:textId="1E656301"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2 coronary vascular territories </w:t>
            </w:r>
          </w:p>
        </w:tc>
        <w:tc>
          <w:tcPr>
            <w:tcW w:w="714" w:type="pct"/>
            <w:tcBorders>
              <w:top w:val="nil"/>
              <w:left w:val="single" w:sz="6" w:space="0" w:color="auto"/>
              <w:bottom w:val="single" w:sz="6" w:space="0" w:color="auto"/>
              <w:right w:val="single" w:sz="6" w:space="0" w:color="auto"/>
            </w:tcBorders>
            <w:tcMar>
              <w:left w:w="105" w:type="dxa"/>
              <w:right w:w="105" w:type="dxa"/>
            </w:tcMar>
          </w:tcPr>
          <w:p w14:paraId="54C908A8" w14:textId="3BB441C5"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 coronary vascular territories </w:t>
            </w:r>
          </w:p>
        </w:tc>
      </w:tr>
      <w:tr w:rsidR="289F053C" w14:paraId="3EF4C849" w14:textId="77777777" w:rsidTr="0CA6515C">
        <w:trPr>
          <w:trHeight w:val="300"/>
        </w:trPr>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4CC92185" w14:textId="690B3B6E"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MBS item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7F2AF31B" w14:textId="2474D298"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38307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6195BAD7" w14:textId="6D3D8775"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38308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0221E9B9" w14:textId="4F3B7EAB"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38310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711D70C6" w14:textId="31000ECE"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38311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38AC9D15" w14:textId="414464F8"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38313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6B4AFF56" w14:textId="3AB25728"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38314 </w:t>
            </w:r>
          </w:p>
        </w:tc>
      </w:tr>
      <w:tr w:rsidR="289F053C" w14:paraId="7214A767" w14:textId="77777777" w:rsidTr="0CA6515C">
        <w:trPr>
          <w:trHeight w:val="300"/>
        </w:trPr>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627E197A" w14:textId="48F69402"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Invasive coronary angiography has been completed in the previous 3 months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3AD38F77" w14:textId="79A1CB14"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1 coronary vascular territory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5737527A" w14:textId="740A7C85"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2 coronary vascular territories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17DE27CE" w14:textId="2CC803FE"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 coronary vascular territories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62BEFB3F" w14:textId="32719CE8"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1 coronary vascular territory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697DF61C" w14:textId="31600683"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2 coronary vascular territories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51D364D7" w14:textId="45231513"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 coronary vascular territories </w:t>
            </w:r>
          </w:p>
        </w:tc>
      </w:tr>
      <w:tr w:rsidR="289F053C" w14:paraId="117949BC" w14:textId="77777777" w:rsidTr="0CA6515C">
        <w:trPr>
          <w:trHeight w:val="300"/>
        </w:trPr>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7995EE1D" w14:textId="547627A5"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MBS item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39C117DE" w14:textId="19297870"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38316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76C5F94E" w14:textId="32897629"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38317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7E4788C1" w14:textId="55B72A91"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38319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1F0B54AF" w14:textId="7585D20A"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38320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3C5B25C6" w14:textId="061A4780"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 xml:space="preserve">38322 </w:t>
            </w:r>
          </w:p>
        </w:tc>
        <w:tc>
          <w:tcPr>
            <w:tcW w:w="714" w:type="pct"/>
            <w:tcBorders>
              <w:top w:val="single" w:sz="6" w:space="0" w:color="auto"/>
              <w:left w:val="single" w:sz="6" w:space="0" w:color="auto"/>
              <w:bottom w:val="single" w:sz="6" w:space="0" w:color="auto"/>
              <w:right w:val="single" w:sz="6" w:space="0" w:color="auto"/>
            </w:tcBorders>
            <w:tcMar>
              <w:left w:w="105" w:type="dxa"/>
              <w:right w:w="105" w:type="dxa"/>
            </w:tcMar>
          </w:tcPr>
          <w:p w14:paraId="7FF56E5A" w14:textId="67B1E611" w:rsidR="289F053C" w:rsidRDefault="289F053C" w:rsidP="289F053C">
            <w:pPr>
              <w:spacing w:after="0"/>
              <w:rPr>
                <w:rFonts w:ascii="Arial Narrow" w:eastAsia="Arial Narrow" w:hAnsi="Arial Narrow" w:cs="Arial Narrow"/>
                <w:color w:val="000000" w:themeColor="text1"/>
                <w:sz w:val="19"/>
                <w:szCs w:val="19"/>
              </w:rPr>
            </w:pPr>
            <w:r w:rsidRPr="289F053C">
              <w:rPr>
                <w:rFonts w:ascii="Arial Narrow" w:eastAsia="Arial Narrow" w:hAnsi="Arial Narrow" w:cs="Arial Narrow"/>
                <w:color w:val="000000" w:themeColor="text1"/>
                <w:sz w:val="19"/>
                <w:szCs w:val="19"/>
              </w:rPr>
              <w:t>38323</w:t>
            </w:r>
          </w:p>
        </w:tc>
      </w:tr>
    </w:tbl>
    <w:p w14:paraId="6954D9F2" w14:textId="2E703F5E" w:rsidR="003241C1" w:rsidRPr="00843297" w:rsidRDefault="6B8268B8" w:rsidP="289F053C">
      <w:pPr>
        <w:spacing w:after="0"/>
        <w:rPr>
          <w:rFonts w:ascii="Arial Narrow" w:eastAsia="Arial Narrow" w:hAnsi="Arial Narrow" w:cs="Arial Narrow"/>
          <w:sz w:val="18"/>
          <w:szCs w:val="18"/>
          <w:lang w:val="en-US"/>
        </w:rPr>
      </w:pPr>
      <w:r w:rsidRPr="6306913B">
        <w:rPr>
          <w:rFonts w:ascii="Arial Narrow" w:eastAsia="Arial Narrow" w:hAnsi="Arial Narrow" w:cs="Arial Narrow"/>
          <w:sz w:val="18"/>
          <w:szCs w:val="18"/>
          <w:lang w:val="en-US"/>
        </w:rPr>
        <w:t>CT</w:t>
      </w:r>
      <w:r w:rsidR="628E2F37" w:rsidRPr="6306913B">
        <w:rPr>
          <w:rFonts w:ascii="Arial Narrow" w:eastAsia="Arial Narrow" w:hAnsi="Arial Narrow" w:cs="Arial Narrow"/>
          <w:sz w:val="18"/>
          <w:szCs w:val="18"/>
          <w:lang w:val="en-US"/>
        </w:rPr>
        <w:t xml:space="preserve"> =</w:t>
      </w:r>
      <w:r w:rsidRPr="6306913B">
        <w:rPr>
          <w:rFonts w:ascii="Arial Narrow" w:eastAsia="Arial Narrow" w:hAnsi="Arial Narrow" w:cs="Arial Narrow"/>
          <w:sz w:val="18"/>
          <w:szCs w:val="18"/>
          <w:lang w:val="en-US"/>
        </w:rPr>
        <w:t xml:space="preserve"> computed tomography</w:t>
      </w:r>
      <w:r w:rsidR="7A91C886" w:rsidRPr="6306913B">
        <w:rPr>
          <w:rFonts w:ascii="Arial Narrow" w:eastAsia="Arial Narrow" w:hAnsi="Arial Narrow" w:cs="Arial Narrow"/>
          <w:sz w:val="18"/>
          <w:szCs w:val="18"/>
          <w:lang w:val="en-US"/>
        </w:rPr>
        <w:t>,</w:t>
      </w:r>
      <w:r w:rsidRPr="6306913B">
        <w:rPr>
          <w:rFonts w:ascii="Arial Narrow" w:eastAsia="Arial Narrow" w:hAnsi="Arial Narrow" w:cs="Arial Narrow"/>
          <w:sz w:val="18"/>
          <w:szCs w:val="18"/>
          <w:lang w:val="en-US"/>
        </w:rPr>
        <w:t xml:space="preserve"> MBS </w:t>
      </w:r>
      <w:r w:rsidR="71CF29F6" w:rsidRPr="6306913B">
        <w:rPr>
          <w:rFonts w:ascii="Arial Narrow" w:eastAsia="Arial Narrow" w:hAnsi="Arial Narrow" w:cs="Arial Narrow"/>
          <w:sz w:val="18"/>
          <w:szCs w:val="18"/>
          <w:lang w:val="en-US"/>
        </w:rPr>
        <w:t xml:space="preserve">= </w:t>
      </w:r>
      <w:r w:rsidRPr="6306913B">
        <w:rPr>
          <w:rFonts w:ascii="Arial Narrow" w:eastAsia="Arial Narrow" w:hAnsi="Arial Narrow" w:cs="Arial Narrow"/>
          <w:sz w:val="18"/>
          <w:szCs w:val="18"/>
          <w:lang w:val="en-US"/>
        </w:rPr>
        <w:t>Medicare Benefits Schedule</w:t>
      </w:r>
      <w:r w:rsidR="68ED99A8" w:rsidRPr="6306913B">
        <w:rPr>
          <w:rFonts w:ascii="Arial Narrow" w:eastAsia="Arial Narrow" w:hAnsi="Arial Narrow" w:cs="Arial Narrow"/>
          <w:sz w:val="18"/>
          <w:szCs w:val="18"/>
          <w:lang w:val="en-US"/>
        </w:rPr>
        <w:t>,</w:t>
      </w:r>
      <w:r w:rsidRPr="6306913B">
        <w:rPr>
          <w:rFonts w:ascii="Arial Narrow" w:eastAsia="Arial Narrow" w:hAnsi="Arial Narrow" w:cs="Arial Narrow"/>
          <w:sz w:val="18"/>
          <w:szCs w:val="18"/>
          <w:lang w:val="en-US"/>
        </w:rPr>
        <w:t xml:space="preserve"> PCI</w:t>
      </w:r>
      <w:r w:rsidR="2928F65E" w:rsidRPr="6306913B">
        <w:rPr>
          <w:rFonts w:ascii="Arial Narrow" w:eastAsia="Arial Narrow" w:hAnsi="Arial Narrow" w:cs="Arial Narrow"/>
          <w:sz w:val="18"/>
          <w:szCs w:val="18"/>
          <w:lang w:val="en-US"/>
        </w:rPr>
        <w:t xml:space="preserve"> =</w:t>
      </w:r>
      <w:r w:rsidRPr="6306913B">
        <w:rPr>
          <w:rFonts w:ascii="Arial Narrow" w:eastAsia="Arial Narrow" w:hAnsi="Arial Narrow" w:cs="Arial Narrow"/>
          <w:sz w:val="18"/>
          <w:szCs w:val="18"/>
          <w:lang w:val="en-US"/>
        </w:rPr>
        <w:t xml:space="preserve"> percutaneous coronary intervention.</w:t>
      </w:r>
      <w:r>
        <w:br/>
      </w:r>
      <w:r w:rsidRPr="6306913B">
        <w:rPr>
          <w:rFonts w:ascii="Arial Narrow" w:eastAsia="Arial Narrow" w:hAnsi="Arial Narrow" w:cs="Arial Narrow"/>
          <w:sz w:val="18"/>
          <w:szCs w:val="18"/>
          <w:lang w:val="en-US"/>
        </w:rPr>
        <w:t>Source: Table 2 of the application</w:t>
      </w:r>
    </w:p>
    <w:p w14:paraId="7B7EE3E6" w14:textId="1F6E663C" w:rsidR="06EE29BE" w:rsidRPr="00843297" w:rsidRDefault="2181C0D3" w:rsidP="00843297">
      <w:pPr>
        <w:spacing w:before="240" w:after="120"/>
        <w:rPr>
          <w:u w:val="single"/>
        </w:rPr>
      </w:pPr>
      <w:r w:rsidRPr="00843297">
        <w:rPr>
          <w:u w:val="single"/>
        </w:rPr>
        <w:t>Intrav</w:t>
      </w:r>
      <w:r w:rsidR="0DE81822" w:rsidRPr="00843297">
        <w:rPr>
          <w:u w:val="single"/>
        </w:rPr>
        <w:t>ascula</w:t>
      </w:r>
      <w:r w:rsidR="3AF92C62" w:rsidRPr="00843297">
        <w:rPr>
          <w:u w:val="single"/>
        </w:rPr>
        <w:t>r</w:t>
      </w:r>
      <w:r w:rsidRPr="00843297">
        <w:rPr>
          <w:u w:val="single"/>
        </w:rPr>
        <w:t xml:space="preserve"> Ultrasound</w:t>
      </w:r>
    </w:p>
    <w:p w14:paraId="582D11C1" w14:textId="5A41B057" w:rsidR="06EE29BE" w:rsidRDefault="300930A8" w:rsidP="0CA6515C">
      <w:pPr>
        <w:rPr>
          <w:rFonts w:cs="Calibri"/>
          <w:i/>
          <w:iCs/>
          <w:highlight w:val="green"/>
          <w:lang w:val="en-GB"/>
        </w:rPr>
      </w:pPr>
      <w:r w:rsidRPr="0CA6515C">
        <w:rPr>
          <w:rFonts w:cs="Calibri"/>
          <w:lang w:val="en-GB"/>
        </w:rPr>
        <w:t>Intrav</w:t>
      </w:r>
      <w:r w:rsidR="3AF92C62" w:rsidRPr="0CA6515C">
        <w:rPr>
          <w:rFonts w:cs="Calibri"/>
          <w:lang w:val="en-GB"/>
        </w:rPr>
        <w:t>ascular</w:t>
      </w:r>
      <w:r w:rsidRPr="0CA6515C">
        <w:rPr>
          <w:rFonts w:cs="Calibri"/>
          <w:lang w:val="en-GB"/>
        </w:rPr>
        <w:t xml:space="preserve"> Ultrasound (IVUS) has also been nominated as a near-market comparator.</w:t>
      </w:r>
      <w:r w:rsidR="38A987B8" w:rsidRPr="0CA6515C">
        <w:rPr>
          <w:rFonts w:cs="Calibri"/>
          <w:lang w:val="en-GB"/>
        </w:rPr>
        <w:t xml:space="preserve"> IVUS has been </w:t>
      </w:r>
      <w:r w:rsidR="7099170B" w:rsidRPr="0CA6515C">
        <w:rPr>
          <w:rFonts w:cs="Calibri"/>
          <w:lang w:val="en-GB"/>
        </w:rPr>
        <w:t>supported</w:t>
      </w:r>
      <w:r w:rsidR="38A987B8" w:rsidRPr="0CA6515C">
        <w:rPr>
          <w:rFonts w:cs="Calibri"/>
          <w:lang w:val="en-GB"/>
        </w:rPr>
        <w:t xml:space="preserve"> by MSAC </w:t>
      </w:r>
      <w:r w:rsidR="7099170B" w:rsidRPr="0CA6515C">
        <w:rPr>
          <w:rFonts w:cs="Calibri"/>
          <w:lang w:val="en-GB"/>
        </w:rPr>
        <w:t xml:space="preserve">for MBS listing </w:t>
      </w:r>
      <w:r w:rsidR="38A987B8" w:rsidRPr="0CA6515C">
        <w:rPr>
          <w:rFonts w:cs="Calibri"/>
          <w:lang w:val="en-GB"/>
        </w:rPr>
        <w:t>but the relevant</w:t>
      </w:r>
      <w:r w:rsidR="02FB2B07" w:rsidRPr="0CA6515C">
        <w:rPr>
          <w:rFonts w:cs="Calibri"/>
          <w:lang w:val="en-GB"/>
        </w:rPr>
        <w:t xml:space="preserve"> item has not yet been published.</w:t>
      </w:r>
      <w:r w:rsidRPr="0CA6515C">
        <w:rPr>
          <w:rFonts w:cs="Calibri"/>
          <w:lang w:val="en-GB"/>
        </w:rPr>
        <w:t xml:space="preserve"> IVUS utilises ultrasound signals to produce two-dimensional images of the arterial lumen and outer wall (Athanasiou et al., 2017). The technology makes use of a catheter with an ultrasound transducer located in the tip to emit ultrasound waves (Athanasiou et al., 2017). IVUS enable</w:t>
      </w:r>
      <w:r w:rsidR="1526C295" w:rsidRPr="0CA6515C">
        <w:rPr>
          <w:rFonts w:cs="Calibri"/>
          <w:lang w:val="en-GB"/>
        </w:rPr>
        <w:t>s</w:t>
      </w:r>
      <w:r w:rsidRPr="0CA6515C">
        <w:rPr>
          <w:rFonts w:cs="Calibri"/>
          <w:lang w:val="en-GB"/>
        </w:rPr>
        <w:t xml:space="preserve"> the visualisation of atherosclerotic plaque, allowing for the characterisation of different plaque types (Athanasiou et al., 2017).</w:t>
      </w:r>
      <w:r w:rsidR="432CA74D" w:rsidRPr="0CA6515C">
        <w:rPr>
          <w:rFonts w:cs="Calibri"/>
          <w:lang w:val="en-GB"/>
        </w:rPr>
        <w:t xml:space="preserve"> </w:t>
      </w:r>
      <w:r w:rsidR="14EEC731" w:rsidRPr="0CA6515C">
        <w:rPr>
          <w:rFonts w:cs="Calibri"/>
        </w:rPr>
        <w:t>During the PICO process, the applicant clarified that IVUS as an adjunct to invasive coronary angiogram and percutaneous angioplasty or transluminal insertion of stents was the intended comparator for OCT as an adjunct to invasive coronary angiogram and percutaneous angioplasty or transluminal insertion of stents rather than IVUS alone.</w:t>
      </w:r>
    </w:p>
    <w:p w14:paraId="1B112F0A" w14:textId="4BF7783A" w:rsidR="001E5972" w:rsidRDefault="11CE7B7E" w:rsidP="3D846BBE">
      <w:pPr>
        <w:rPr>
          <w:rFonts w:cs="Calibri"/>
          <w:lang w:val="en-GB"/>
        </w:rPr>
      </w:pPr>
      <w:r w:rsidRPr="0CA6515C">
        <w:rPr>
          <w:rFonts w:cs="Calibri"/>
          <w:lang w:val="en-GB"/>
        </w:rPr>
        <w:t>The proposed MBS restriction for IVUS is included below</w:t>
      </w:r>
      <w:r w:rsidR="2181C0D3" w:rsidRPr="0CA6515C">
        <w:rPr>
          <w:rFonts w:cs="Calibri"/>
          <w:lang w:val="en-GB"/>
        </w:rPr>
        <w:t>. It is noted that IVUS only represents a comparator to OCT in</w:t>
      </w:r>
      <w:r w:rsidR="5F50E263" w:rsidRPr="0CA6515C">
        <w:rPr>
          <w:rFonts w:cs="Calibri"/>
          <w:lang w:val="en-GB"/>
        </w:rPr>
        <w:t xml:space="preserve"> 1 of the 4 proposed </w:t>
      </w:r>
      <w:r w:rsidR="2929F068" w:rsidRPr="0CA6515C">
        <w:rPr>
          <w:rFonts w:cs="Calibri"/>
          <w:lang w:val="en-GB"/>
        </w:rPr>
        <w:t>OCT patient</w:t>
      </w:r>
      <w:r w:rsidR="2181C0D3" w:rsidRPr="0CA6515C">
        <w:rPr>
          <w:rFonts w:cs="Calibri"/>
          <w:lang w:val="en-GB"/>
        </w:rPr>
        <w:t xml:space="preserve"> population</w:t>
      </w:r>
      <w:r w:rsidR="5F50E263" w:rsidRPr="0CA6515C">
        <w:rPr>
          <w:rFonts w:cs="Calibri"/>
          <w:lang w:val="en-GB"/>
        </w:rPr>
        <w:t>s</w:t>
      </w:r>
      <w:r w:rsidR="2F769F4C" w:rsidRPr="0CA6515C">
        <w:rPr>
          <w:rFonts w:cs="Calibri"/>
          <w:lang w:val="en-GB"/>
        </w:rPr>
        <w:t xml:space="preserve"> – </w:t>
      </w:r>
      <w:r w:rsidR="5F50E263" w:rsidRPr="0CA6515C">
        <w:rPr>
          <w:rFonts w:cs="Calibri"/>
          <w:lang w:val="en-GB"/>
        </w:rPr>
        <w:t>the</w:t>
      </w:r>
      <w:r w:rsidR="2F769F4C" w:rsidRPr="0CA6515C">
        <w:rPr>
          <w:rFonts w:cs="Calibri"/>
          <w:lang w:val="en-GB"/>
        </w:rPr>
        <w:t xml:space="preserve"> </w:t>
      </w:r>
      <w:r w:rsidR="2181C0D3" w:rsidRPr="0CA6515C">
        <w:rPr>
          <w:rFonts w:cs="Calibri"/>
          <w:lang w:val="en-GB"/>
        </w:rPr>
        <w:t xml:space="preserve">subgroup who have lesions with </w:t>
      </w:r>
      <w:r w:rsidR="0049301E">
        <w:rPr>
          <w:rFonts w:cs="Calibri"/>
          <w:lang w:val="en-GB"/>
        </w:rPr>
        <w:t xml:space="preserve">intended stent </w:t>
      </w:r>
      <w:r w:rsidR="2181C0D3" w:rsidRPr="0CA6515C">
        <w:rPr>
          <w:rFonts w:cs="Calibri"/>
          <w:lang w:val="en-GB"/>
        </w:rPr>
        <w:t xml:space="preserve">length </w:t>
      </w:r>
      <w:r w:rsidR="0049301E">
        <w:rPr>
          <w:rFonts w:cs="Calibri"/>
          <w:lang w:val="en-GB"/>
        </w:rPr>
        <w:t>of</w:t>
      </w:r>
      <w:r w:rsidR="2181C0D3" w:rsidRPr="0CA6515C">
        <w:rPr>
          <w:rFonts w:cs="Calibri"/>
          <w:lang w:val="en-GB"/>
        </w:rPr>
        <w:t xml:space="preserve"> ≥28mm. The proposed listing for IVUS indicates that it is also an eligible treatment option for guiding insertion of stents targeting lesions in the left main coronary artery, a patient group for whom OCT has not been requested for </w:t>
      </w:r>
      <w:r w:rsidR="7C3E4B25" w:rsidRPr="0CA6515C">
        <w:rPr>
          <w:rFonts w:cs="Calibri"/>
          <w:lang w:val="en-GB"/>
        </w:rPr>
        <w:t xml:space="preserve">MBS </w:t>
      </w:r>
      <w:r w:rsidR="2181C0D3" w:rsidRPr="0CA6515C">
        <w:rPr>
          <w:rFonts w:cs="Calibri"/>
          <w:lang w:val="en-GB"/>
        </w:rPr>
        <w:t xml:space="preserve">listing. </w:t>
      </w:r>
      <w:r w:rsidR="693DB8F2" w:rsidRPr="000A5E0A">
        <w:rPr>
          <w:rFonts w:cs="Calibri"/>
          <w:lang w:val="en-GB"/>
        </w:rPr>
        <w:t>This is consistent with the RENOVATE trial where the majority of left main lesions were supported by IVUS. The PICO for OCT additionally includes stent failure</w:t>
      </w:r>
      <w:r w:rsidR="48902BFB" w:rsidRPr="000A5E0A">
        <w:rPr>
          <w:rFonts w:cs="Calibri"/>
          <w:lang w:val="en-GB"/>
        </w:rPr>
        <w:t>, bifurcation and severe calcification</w:t>
      </w:r>
      <w:r w:rsidR="693DB8F2" w:rsidRPr="000A5E0A">
        <w:rPr>
          <w:rFonts w:cs="Calibri"/>
          <w:lang w:val="en-GB"/>
        </w:rPr>
        <w:t xml:space="preserve"> which </w:t>
      </w:r>
      <w:r w:rsidR="1FACDB46" w:rsidRPr="000A5E0A">
        <w:rPr>
          <w:rFonts w:cs="Calibri"/>
          <w:lang w:val="en-GB"/>
        </w:rPr>
        <w:t xml:space="preserve">are </w:t>
      </w:r>
      <w:r w:rsidR="693DB8F2" w:rsidRPr="000A5E0A">
        <w:rPr>
          <w:rFonts w:cs="Calibri"/>
          <w:lang w:val="en-GB"/>
        </w:rPr>
        <w:t>not included for IVUS.</w:t>
      </w:r>
      <w:r w:rsidR="693DB8F2" w:rsidRPr="0CA6515C">
        <w:rPr>
          <w:rFonts w:cs="Calibri"/>
          <w:i/>
          <w:iCs/>
          <w:lang w:val="en-GB"/>
        </w:rPr>
        <w:t xml:space="preserve"> </w:t>
      </w:r>
      <w:r w:rsidR="693DB8F2" w:rsidRPr="0CA6515C">
        <w:rPr>
          <w:rFonts w:cs="Calibri"/>
          <w:lang w:val="en-GB"/>
        </w:rPr>
        <w:t xml:space="preserve"> </w:t>
      </w:r>
      <w:r w:rsidR="2181C0D3" w:rsidRPr="0CA6515C">
        <w:rPr>
          <w:rFonts w:cs="Calibri"/>
          <w:lang w:val="en-GB"/>
        </w:rPr>
        <w:t>The proposed MBS listing for IVUS is described below.</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61"/>
      </w:tblGrid>
      <w:tr w:rsidR="3D846BBE" w14:paraId="43C32D54" w14:textId="77777777" w:rsidTr="001862D2">
        <w:trPr>
          <w:trHeight w:val="300"/>
          <w:tblHeader/>
        </w:trPr>
        <w:tc>
          <w:tcPr>
            <w:tcW w:w="5000" w:type="pct"/>
            <w:tcBorders>
              <w:top w:val="single" w:sz="8" w:space="0" w:color="auto"/>
              <w:left w:val="single" w:sz="8" w:space="0" w:color="auto"/>
              <w:bottom w:val="single" w:sz="8" w:space="0" w:color="auto"/>
              <w:right w:val="single" w:sz="8" w:space="0" w:color="auto"/>
            </w:tcBorders>
          </w:tcPr>
          <w:p w14:paraId="61F93963" w14:textId="2C7141DD"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lastRenderedPageBreak/>
              <w:t xml:space="preserve">MBS XXXXX </w:t>
            </w:r>
          </w:p>
          <w:p w14:paraId="4FA6CA24" w14:textId="5F14C4A6" w:rsidR="3D846BBE" w:rsidRDefault="3F5AE117" w:rsidP="3D846BBE">
            <w:pPr>
              <w:spacing w:after="0"/>
              <w:rPr>
                <w:rFonts w:ascii="Arial Narrow" w:eastAsia="Arial Narrow" w:hAnsi="Arial Narrow" w:cs="Arial Narrow"/>
                <w:sz w:val="19"/>
                <w:szCs w:val="19"/>
              </w:rPr>
            </w:pPr>
            <w:r w:rsidRPr="0CA6515C">
              <w:rPr>
                <w:rFonts w:ascii="Arial Narrow" w:eastAsia="Arial Narrow" w:hAnsi="Arial Narrow" w:cs="Arial Narrow"/>
                <w:sz w:val="19"/>
                <w:szCs w:val="19"/>
              </w:rPr>
              <w:t xml:space="preserve">Use of Intravascular Ultrasound (IVUS) during transluminal insertion of stents, to optimise procedural strategy, appropriate stent size and assessment of stent apposition for patients documented with: </w:t>
            </w:r>
          </w:p>
          <w:p w14:paraId="11F1A2D1" w14:textId="09B17B94"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a) Left main coronary artery lesions; or </w:t>
            </w:r>
          </w:p>
          <w:p w14:paraId="7E5CD068" w14:textId="45CD027B" w:rsidR="3D846BBE" w:rsidRDefault="3F5AE117" w:rsidP="3D846BBE">
            <w:pPr>
              <w:spacing w:after="0"/>
              <w:rPr>
                <w:rFonts w:ascii="Arial Narrow" w:eastAsia="Arial Narrow" w:hAnsi="Arial Narrow" w:cs="Arial Narrow"/>
                <w:sz w:val="19"/>
                <w:szCs w:val="19"/>
              </w:rPr>
            </w:pPr>
            <w:r w:rsidRPr="0CA6515C">
              <w:rPr>
                <w:rFonts w:ascii="Arial Narrow" w:eastAsia="Arial Narrow" w:hAnsi="Arial Narrow" w:cs="Arial Narrow"/>
                <w:sz w:val="19"/>
                <w:szCs w:val="19"/>
              </w:rPr>
              <w:t xml:space="preserve">b) Other lesion locations with lesion length ≥28mm. </w:t>
            </w:r>
          </w:p>
          <w:p w14:paraId="58A26A7A" w14:textId="366700C5"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Being a service associated with items 38307, 38308, 38310, 38311, 38313, 38314, 38316, 38317, 38319, 38320, 38322, 38323. </w:t>
            </w:r>
          </w:p>
          <w:p w14:paraId="66A38F31" w14:textId="3DA3E5B7"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Service is claimable once in a single episode of care (for one or more lesions). </w:t>
            </w:r>
          </w:p>
          <w:p w14:paraId="10B440F0" w14:textId="4DFE4DC7"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Multiple Operation Rule </w:t>
            </w:r>
          </w:p>
          <w:p w14:paraId="3EE59173" w14:textId="186E15F6"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(Anaes.) </w:t>
            </w:r>
          </w:p>
          <w:p w14:paraId="0F610CE9" w14:textId="12317C62"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Fee: $488.70 Benefit: 75% = $366.550 85% = $415.40 </w:t>
            </w:r>
          </w:p>
          <w:p w14:paraId="217D3F89" w14:textId="43C89A41"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[Relevant explanatory notes] </w:t>
            </w:r>
          </w:p>
          <w:p w14:paraId="02C882BC" w14:textId="50C785F0"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Fee only payable when the service is provided in association with insertion of coronary stent/s (items 38307, 38308, 38310, 38311, 38313, 38314, 38316, 38317, 38319, 38320, 38322, 38323). </w:t>
            </w:r>
          </w:p>
        </w:tc>
      </w:tr>
      <w:tr w:rsidR="3D846BBE" w14:paraId="3F53D0B7" w14:textId="77777777" w:rsidTr="001862D2">
        <w:trPr>
          <w:trHeight w:val="300"/>
          <w:tblHeader/>
        </w:trPr>
        <w:tc>
          <w:tcPr>
            <w:tcW w:w="5000" w:type="pct"/>
            <w:tcBorders>
              <w:top w:val="single" w:sz="8" w:space="0" w:color="auto"/>
              <w:left w:val="single" w:sz="8" w:space="0" w:color="auto"/>
              <w:bottom w:val="single" w:sz="8" w:space="0" w:color="auto"/>
              <w:right w:val="single" w:sz="8" w:space="0" w:color="auto"/>
            </w:tcBorders>
          </w:tcPr>
          <w:p w14:paraId="535FB367" w14:textId="1EB41381"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TN.8.XX </w:t>
            </w:r>
          </w:p>
        </w:tc>
      </w:tr>
      <w:tr w:rsidR="3D846BBE" w14:paraId="68DDD128" w14:textId="77777777" w:rsidTr="001862D2">
        <w:trPr>
          <w:trHeight w:val="300"/>
          <w:tblHeader/>
        </w:trPr>
        <w:tc>
          <w:tcPr>
            <w:tcW w:w="5000" w:type="pct"/>
            <w:tcBorders>
              <w:top w:val="single" w:sz="8" w:space="0" w:color="auto"/>
              <w:left w:val="single" w:sz="8" w:space="0" w:color="auto"/>
              <w:bottom w:val="single" w:sz="8" w:space="0" w:color="auto"/>
              <w:right w:val="single" w:sz="8" w:space="0" w:color="auto"/>
            </w:tcBorders>
          </w:tcPr>
          <w:p w14:paraId="3ABA11E3" w14:textId="6C7F93B4"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b/>
                <w:bCs/>
                <w:sz w:val="19"/>
                <w:szCs w:val="19"/>
              </w:rPr>
              <w:t>Acute Coronary Syndromes (ACS – items 38307, 38308, 38310, 38316, 38317, 38319)</w:t>
            </w:r>
            <w:r w:rsidRPr="5B292A92">
              <w:rPr>
                <w:rFonts w:ascii="Arial Narrow" w:eastAsia="Arial Narrow" w:hAnsi="Arial Narrow" w:cs="Arial Narrow"/>
                <w:sz w:val="19"/>
                <w:szCs w:val="19"/>
              </w:rPr>
              <w:t xml:space="preserve"> </w:t>
            </w:r>
          </w:p>
          <w:p w14:paraId="68426F33" w14:textId="68E3F0B0"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Item XXXXX (IVUS) can only be claimed in association with items 38307, 38308, 38310, 38316, 38317 or 38319 if; </w:t>
            </w:r>
          </w:p>
          <w:p w14:paraId="5B01E5D2" w14:textId="1E4AE088"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The patient meets one or more of the indications in subclause 2 of explanatory note TR.8.2; and </w:t>
            </w:r>
          </w:p>
          <w:p w14:paraId="3F12BCA3" w14:textId="63917BC7"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The patient meets one of the indications listed in item XXXXX for the lesion being treated. </w:t>
            </w:r>
          </w:p>
          <w:p w14:paraId="1709286A" w14:textId="02EC39BA"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b/>
                <w:bCs/>
                <w:sz w:val="19"/>
                <w:szCs w:val="19"/>
              </w:rPr>
              <w:t>Stable Coronary Syndromes (items 38311, 38313, 38314, 38320, 38322, 38323)</w:t>
            </w:r>
            <w:r w:rsidRPr="5B292A92">
              <w:rPr>
                <w:rFonts w:ascii="Arial Narrow" w:eastAsia="Arial Narrow" w:hAnsi="Arial Narrow" w:cs="Arial Narrow"/>
                <w:sz w:val="19"/>
                <w:szCs w:val="19"/>
              </w:rPr>
              <w:t xml:space="preserve"> </w:t>
            </w:r>
          </w:p>
          <w:p w14:paraId="6FDD7C6E" w14:textId="62F70661"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Item XXXXX (IVUS) can only be claimed in association with items 38311, 38313, 38314, 38320, 38322, 38323 if; </w:t>
            </w:r>
          </w:p>
          <w:p w14:paraId="4B2124CD" w14:textId="3B976E16"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The patient meets the requirements of Clause 5.10.17C referenced in explanatory note TR.8.4; and </w:t>
            </w:r>
          </w:p>
          <w:p w14:paraId="6A4F54E4" w14:textId="5127C143" w:rsidR="3D846BBE" w:rsidRDefault="3F5AE117" w:rsidP="3D846BBE">
            <w:pPr>
              <w:spacing w:after="0"/>
              <w:rPr>
                <w:rFonts w:ascii="Arial Narrow" w:eastAsia="Arial Narrow" w:hAnsi="Arial Narrow" w:cs="Arial Narrow"/>
                <w:sz w:val="19"/>
                <w:szCs w:val="19"/>
              </w:rPr>
            </w:pPr>
            <w:r w:rsidRPr="5B292A92">
              <w:rPr>
                <w:rFonts w:ascii="Arial Narrow" w:eastAsia="Arial Narrow" w:hAnsi="Arial Narrow" w:cs="Arial Narrow"/>
                <w:sz w:val="19"/>
                <w:szCs w:val="19"/>
              </w:rPr>
              <w:t xml:space="preserve">The patient meets one of the indications listed in item XXXXX for the lesion being treated </w:t>
            </w:r>
          </w:p>
        </w:tc>
      </w:tr>
    </w:tbl>
    <w:p w14:paraId="14AC638D" w14:textId="3854E481" w:rsidR="06EE29BE" w:rsidRDefault="06EE29BE" w:rsidP="3D846BBE">
      <w:pPr>
        <w:spacing w:after="0"/>
        <w:rPr>
          <w:rFonts w:ascii="Arial Narrow" w:eastAsia="Arial Narrow" w:hAnsi="Arial Narrow" w:cs="Arial Narrow"/>
          <w:sz w:val="18"/>
          <w:szCs w:val="18"/>
          <w:lang w:val="en-US"/>
        </w:rPr>
      </w:pPr>
      <w:r w:rsidRPr="6306913B">
        <w:rPr>
          <w:rFonts w:ascii="Arial Narrow" w:eastAsia="Arial Narrow" w:hAnsi="Arial Narrow" w:cs="Arial Narrow"/>
          <w:sz w:val="18"/>
          <w:szCs w:val="18"/>
          <w:lang w:val="en-US"/>
        </w:rPr>
        <w:t>Source: Public Summary Document Application 1354.1</w:t>
      </w:r>
    </w:p>
    <w:p w14:paraId="38EBF23F" w14:textId="0B5C8126" w:rsidR="008E761A" w:rsidRDefault="00371A9D" w:rsidP="008E761A">
      <w:pPr>
        <w:autoSpaceDE w:val="0"/>
        <w:autoSpaceDN w:val="0"/>
        <w:adjustRightInd w:val="0"/>
        <w:spacing w:line="23" w:lineRule="atLeast"/>
        <w:rPr>
          <w:rFonts w:asciiTheme="minorHAnsi" w:hAnsiTheme="minorHAnsi" w:cstheme="minorHAnsi"/>
          <w:i/>
        </w:rPr>
      </w:pPr>
      <w:r>
        <w:rPr>
          <w:rFonts w:asciiTheme="minorHAnsi" w:hAnsiTheme="minorHAnsi" w:cstheme="minorHAnsi"/>
          <w:i/>
        </w:rPr>
        <w:br/>
      </w:r>
      <w:r w:rsidR="008E761A">
        <w:rPr>
          <w:rFonts w:asciiTheme="minorHAnsi" w:hAnsiTheme="minorHAnsi" w:cstheme="minorHAnsi"/>
          <w:i/>
        </w:rPr>
        <w:t xml:space="preserve">PASC noted clinical expert advice that it would be very unlikely for a patient with lesions length </w:t>
      </w:r>
      <w:r w:rsidR="008E761A">
        <w:rPr>
          <w:rFonts w:cs="Calibri"/>
          <w:i/>
        </w:rPr>
        <w:t>≥</w:t>
      </w:r>
      <w:r w:rsidR="008E761A">
        <w:rPr>
          <w:rFonts w:asciiTheme="minorHAnsi" w:hAnsiTheme="minorHAnsi" w:cstheme="minorHAnsi"/>
          <w:i/>
        </w:rPr>
        <w:t>28mm to receive both OCT and IVUS within the one procedure.</w:t>
      </w:r>
      <w:r w:rsidR="008E761A">
        <w:rPr>
          <w:rFonts w:asciiTheme="minorHAnsi" w:hAnsiTheme="minorHAnsi" w:cstheme="minorHAnsi"/>
          <w:i/>
          <w:iCs/>
        </w:rPr>
        <w:t xml:space="preserve"> The choice between IVUS and OCT for patients </w:t>
      </w:r>
      <w:r w:rsidR="008E761A">
        <w:rPr>
          <w:rFonts w:asciiTheme="minorHAnsi" w:hAnsiTheme="minorHAnsi" w:cstheme="minorHAnsi"/>
          <w:i/>
        </w:rPr>
        <w:t xml:space="preserve">who have lesions with length </w:t>
      </w:r>
      <w:r w:rsidR="008E761A">
        <w:rPr>
          <w:rFonts w:cs="Calibri"/>
          <w:i/>
        </w:rPr>
        <w:t>≥</w:t>
      </w:r>
      <w:r w:rsidR="008E761A">
        <w:rPr>
          <w:rFonts w:asciiTheme="minorHAnsi" w:hAnsiTheme="minorHAnsi" w:cstheme="minorHAnsi"/>
          <w:i/>
        </w:rPr>
        <w:t>28mm would likely be influenced by clinician discretion, access to resources, clinician expertise, or whether patients have advanced chronic kidney disease (and therefore they would be more suitable for IVUS).</w:t>
      </w:r>
    </w:p>
    <w:p w14:paraId="7386CB35" w14:textId="2EDFB00E" w:rsidR="31B49272" w:rsidRPr="00371A9D" w:rsidRDefault="00CF0C7B" w:rsidP="00371A9D">
      <w:pPr>
        <w:autoSpaceDE w:val="0"/>
        <w:autoSpaceDN w:val="0"/>
        <w:adjustRightInd w:val="0"/>
        <w:spacing w:line="23" w:lineRule="atLeast"/>
        <w:rPr>
          <w:rFonts w:asciiTheme="minorHAnsi" w:hAnsiTheme="minorHAnsi" w:cstheme="minorHAnsi"/>
          <w:i/>
        </w:rPr>
      </w:pPr>
      <w:r>
        <w:rPr>
          <w:rFonts w:asciiTheme="minorHAnsi" w:hAnsiTheme="minorHAnsi" w:cstheme="minorHAnsi"/>
          <w:i/>
          <w:iCs/>
        </w:rPr>
        <w:t>PASC considered the comparator was appropriate as described in the PICO summary.</w:t>
      </w:r>
    </w:p>
    <w:p w14:paraId="29C1EA87" w14:textId="44DB88E1" w:rsidR="007A66C8" w:rsidRPr="008F1532" w:rsidRDefault="52C448B2" w:rsidP="00470DF0">
      <w:pPr>
        <w:pStyle w:val="Heading3"/>
        <w:rPr>
          <w:rFonts w:cs="Calibri"/>
          <w:highlight w:val="green"/>
        </w:rPr>
      </w:pPr>
      <w:r>
        <w:t xml:space="preserve">Outcomes </w:t>
      </w:r>
    </w:p>
    <w:p w14:paraId="5BC65135" w14:textId="1160CBD2" w:rsidR="00831873" w:rsidRDefault="00831873" w:rsidP="00843297">
      <w:pPr>
        <w:spacing w:after="120"/>
        <w:rPr>
          <w:rFonts w:cs="Calibri"/>
          <w:u w:val="single"/>
          <w:lang w:val="en-GB"/>
        </w:rPr>
      </w:pPr>
      <w:r w:rsidRPr="230F18B9">
        <w:rPr>
          <w:rFonts w:cs="Calibri"/>
          <w:u w:val="single"/>
          <w:lang w:val="en-GB"/>
        </w:rPr>
        <w:t>Safety</w:t>
      </w:r>
    </w:p>
    <w:p w14:paraId="243A177B" w14:textId="29491E1C" w:rsidR="00590F4A" w:rsidRPr="00856CBE" w:rsidRDefault="008C6C8C" w:rsidP="230F18B9">
      <w:pPr>
        <w:pStyle w:val="ListParagraph"/>
        <w:numPr>
          <w:ilvl w:val="0"/>
          <w:numId w:val="19"/>
        </w:numPr>
        <w:rPr>
          <w:rFonts w:cs="Calibri"/>
          <w:lang w:val="en-GB"/>
        </w:rPr>
      </w:pPr>
      <w:r w:rsidRPr="6306913B">
        <w:rPr>
          <w:rFonts w:cs="Calibri"/>
          <w:lang w:val="en-GB"/>
        </w:rPr>
        <w:t>Procedural complications</w:t>
      </w:r>
    </w:p>
    <w:p w14:paraId="3CC6A874" w14:textId="00E9A2F4" w:rsidR="00831873" w:rsidRDefault="376887A0" w:rsidP="230F18B9">
      <w:pPr>
        <w:pStyle w:val="ListParagraph"/>
        <w:numPr>
          <w:ilvl w:val="0"/>
          <w:numId w:val="19"/>
        </w:numPr>
        <w:rPr>
          <w:rFonts w:cs="Calibri"/>
          <w:lang w:val="en-GB"/>
        </w:rPr>
      </w:pPr>
      <w:r w:rsidRPr="6306913B">
        <w:rPr>
          <w:rFonts w:cs="Calibri"/>
          <w:lang w:val="en-GB"/>
        </w:rPr>
        <w:t>Adverse events</w:t>
      </w:r>
    </w:p>
    <w:p w14:paraId="2C37ED24" w14:textId="293A58FA" w:rsidR="00BE5C74" w:rsidRPr="000A5E0A" w:rsidRDefault="3B6220B1" w:rsidP="6306913B">
      <w:pPr>
        <w:pStyle w:val="ListParagraph"/>
        <w:numPr>
          <w:ilvl w:val="0"/>
          <w:numId w:val="19"/>
        </w:numPr>
        <w:rPr>
          <w:rFonts w:cs="Calibri"/>
          <w:lang w:val="en-GB"/>
        </w:rPr>
      </w:pPr>
      <w:r w:rsidRPr="000A5E0A">
        <w:rPr>
          <w:rFonts w:cs="Calibri"/>
          <w:lang w:val="en-GB"/>
        </w:rPr>
        <w:t>Serious adverse events</w:t>
      </w:r>
    </w:p>
    <w:p w14:paraId="3FD2A6DA" w14:textId="20B54A2C" w:rsidR="00D73332" w:rsidRPr="00490FBB" w:rsidRDefault="376887A0" w:rsidP="00843297">
      <w:pPr>
        <w:spacing w:after="120"/>
        <w:rPr>
          <w:rFonts w:cs="Calibri"/>
          <w:u w:val="single"/>
          <w:lang w:val="en-GB"/>
        </w:rPr>
      </w:pPr>
      <w:r w:rsidRPr="230F18B9">
        <w:rPr>
          <w:rFonts w:cs="Calibri"/>
          <w:u w:val="single"/>
          <w:lang w:val="en-GB"/>
        </w:rPr>
        <w:t>Effectiveness</w:t>
      </w:r>
    </w:p>
    <w:p w14:paraId="2A23129A" w14:textId="264D55D3" w:rsidR="00D73332" w:rsidRPr="00490FBB" w:rsidRDefault="0E4C263C" w:rsidP="7BAB13E7">
      <w:pPr>
        <w:pStyle w:val="ListParagraph"/>
        <w:numPr>
          <w:ilvl w:val="0"/>
          <w:numId w:val="21"/>
        </w:numPr>
        <w:spacing w:after="0"/>
        <w:rPr>
          <w:rFonts w:cs="Calibri"/>
          <w:lang w:val="en-GB"/>
        </w:rPr>
      </w:pPr>
      <w:r w:rsidRPr="0CA6515C">
        <w:rPr>
          <w:rFonts w:cs="Calibri"/>
          <w:lang w:val="en-GB"/>
        </w:rPr>
        <w:t xml:space="preserve">Target vessel failure – </w:t>
      </w:r>
      <w:r w:rsidR="0042195A" w:rsidRPr="0CA6515C">
        <w:rPr>
          <w:rFonts w:cs="Calibri"/>
          <w:lang w:val="en-GB"/>
        </w:rPr>
        <w:t>composite of</w:t>
      </w:r>
      <w:r w:rsidRPr="0CA6515C">
        <w:rPr>
          <w:rFonts w:cs="Calibri"/>
          <w:lang w:val="en-GB"/>
        </w:rPr>
        <w:t xml:space="preserve"> cardiac death, target vessel myocardial ischaemia, or ischaemia-driven target vessel revascularisation</w:t>
      </w:r>
    </w:p>
    <w:p w14:paraId="0DFEFC96" w14:textId="560D3029" w:rsidR="00C20D70" w:rsidRPr="00C20D70" w:rsidRDefault="7B2F790E" w:rsidP="00C20D70">
      <w:pPr>
        <w:pStyle w:val="ListParagraph"/>
        <w:numPr>
          <w:ilvl w:val="0"/>
          <w:numId w:val="21"/>
        </w:numPr>
        <w:spacing w:after="0"/>
        <w:rPr>
          <w:rFonts w:cs="Calibri"/>
          <w:lang w:val="en-GB"/>
        </w:rPr>
      </w:pPr>
      <w:r w:rsidRPr="289F053C">
        <w:rPr>
          <w:rFonts w:cs="Calibri"/>
          <w:lang w:val="en-GB"/>
        </w:rPr>
        <w:t>Mortality</w:t>
      </w:r>
      <w:r w:rsidR="354C5526" w:rsidRPr="289F053C">
        <w:rPr>
          <w:rFonts w:cs="Calibri"/>
          <w:lang w:val="en-GB"/>
        </w:rPr>
        <w:t>-</w:t>
      </w:r>
      <w:r w:rsidR="354C5526" w:rsidRPr="289F053C">
        <w:rPr>
          <w:rFonts w:cs="Calibri"/>
          <w:i/>
          <w:iCs/>
          <w:lang w:val="en-GB"/>
        </w:rPr>
        <w:t xml:space="preserve"> </w:t>
      </w:r>
      <w:r w:rsidR="354C5526" w:rsidRPr="000A5E0A">
        <w:rPr>
          <w:rFonts w:cs="Calibri"/>
          <w:lang w:val="en-GB"/>
        </w:rPr>
        <w:t>all cause and cardiac specific</w:t>
      </w:r>
    </w:p>
    <w:p w14:paraId="35405C5B" w14:textId="3AB90B5D" w:rsidR="00D73332" w:rsidRPr="00490FBB" w:rsidRDefault="0E4C263C" w:rsidP="7BAB13E7">
      <w:pPr>
        <w:pStyle w:val="ListParagraph"/>
        <w:numPr>
          <w:ilvl w:val="0"/>
          <w:numId w:val="21"/>
        </w:numPr>
        <w:spacing w:after="0"/>
        <w:rPr>
          <w:rFonts w:cs="Calibri"/>
          <w:lang w:val="en-GB"/>
        </w:rPr>
      </w:pPr>
      <w:r w:rsidRPr="7BAB13E7">
        <w:rPr>
          <w:rFonts w:cs="Calibri"/>
          <w:lang w:val="en-GB"/>
        </w:rPr>
        <w:t>Myocardial infarction</w:t>
      </w:r>
    </w:p>
    <w:p w14:paraId="14A3FB2A" w14:textId="48FF5617" w:rsidR="00D73332" w:rsidRPr="00490FBB" w:rsidRDefault="0E4C263C" w:rsidP="7BAB13E7">
      <w:pPr>
        <w:pStyle w:val="ListParagraph"/>
        <w:numPr>
          <w:ilvl w:val="0"/>
          <w:numId w:val="21"/>
        </w:numPr>
        <w:spacing w:after="0"/>
        <w:rPr>
          <w:rFonts w:cs="Calibri"/>
          <w:lang w:val="en-GB"/>
        </w:rPr>
      </w:pPr>
      <w:r w:rsidRPr="7BAB13E7">
        <w:rPr>
          <w:rFonts w:cs="Calibri"/>
          <w:lang w:val="en-GB"/>
        </w:rPr>
        <w:t>Revascularisation</w:t>
      </w:r>
    </w:p>
    <w:p w14:paraId="1AB59FAA" w14:textId="46296808" w:rsidR="00D73332" w:rsidRPr="00490FBB" w:rsidRDefault="0E4C263C" w:rsidP="7BAB13E7">
      <w:pPr>
        <w:pStyle w:val="ListParagraph"/>
        <w:numPr>
          <w:ilvl w:val="0"/>
          <w:numId w:val="21"/>
        </w:numPr>
        <w:spacing w:after="0"/>
        <w:rPr>
          <w:rFonts w:cs="Calibri"/>
          <w:lang w:val="en-GB"/>
        </w:rPr>
      </w:pPr>
      <w:r w:rsidRPr="0CA6515C">
        <w:rPr>
          <w:rFonts w:cs="Calibri"/>
          <w:lang w:val="en-GB"/>
        </w:rPr>
        <w:t>Stent thrombosis</w:t>
      </w:r>
    </w:p>
    <w:p w14:paraId="3E239190" w14:textId="5E7B375B" w:rsidR="00522C99" w:rsidRPr="00490FBB" w:rsidRDefault="5281C19B" w:rsidP="7BAB13E7">
      <w:pPr>
        <w:pStyle w:val="ListParagraph"/>
        <w:numPr>
          <w:ilvl w:val="0"/>
          <w:numId w:val="21"/>
        </w:numPr>
        <w:spacing w:after="0"/>
        <w:rPr>
          <w:rFonts w:cs="Calibri"/>
          <w:lang w:val="en-GB"/>
        </w:rPr>
      </w:pPr>
      <w:r w:rsidRPr="0CA6515C">
        <w:rPr>
          <w:rFonts w:cs="Calibri"/>
          <w:lang w:val="en-GB"/>
        </w:rPr>
        <w:t>I</w:t>
      </w:r>
      <w:r w:rsidR="0AE33AEC" w:rsidRPr="0CA6515C">
        <w:rPr>
          <w:rFonts w:cs="Calibri"/>
          <w:lang w:val="en-GB"/>
        </w:rPr>
        <w:t xml:space="preserve">n-stent </w:t>
      </w:r>
      <w:r w:rsidR="5141795B" w:rsidRPr="0CA6515C">
        <w:rPr>
          <w:rFonts w:cs="Calibri"/>
          <w:lang w:val="en-GB"/>
        </w:rPr>
        <w:t>restenosis</w:t>
      </w:r>
    </w:p>
    <w:p w14:paraId="4EF1EC6F" w14:textId="6844BCB2" w:rsidR="00CF0C7B" w:rsidRPr="00CF0C7B" w:rsidRDefault="22D12CC0" w:rsidP="00CF0C7B">
      <w:pPr>
        <w:pStyle w:val="ListParagraph"/>
        <w:numPr>
          <w:ilvl w:val="0"/>
          <w:numId w:val="21"/>
        </w:numPr>
        <w:spacing w:after="0"/>
        <w:rPr>
          <w:rFonts w:cs="Calibri"/>
          <w:lang w:val="en-GB"/>
        </w:rPr>
      </w:pPr>
      <w:r w:rsidRPr="000A5E0A">
        <w:rPr>
          <w:rFonts w:cs="Calibri"/>
          <w:lang w:val="en-GB"/>
        </w:rPr>
        <w:t>Health-Related</w:t>
      </w:r>
      <w:r w:rsidRPr="0CA6515C">
        <w:rPr>
          <w:rFonts w:cs="Calibri"/>
          <w:lang w:val="en-GB"/>
        </w:rPr>
        <w:t xml:space="preserve"> </w:t>
      </w:r>
      <w:r w:rsidR="15A5C4FE" w:rsidRPr="0CA6515C">
        <w:rPr>
          <w:rFonts w:cs="Calibri"/>
          <w:lang w:val="en-GB"/>
        </w:rPr>
        <w:t>Quality of Life (</w:t>
      </w:r>
      <w:r w:rsidR="44ABAEB5" w:rsidRPr="0CA6515C">
        <w:rPr>
          <w:rFonts w:cs="Calibri"/>
          <w:lang w:val="en-GB"/>
        </w:rPr>
        <w:t>HR</w:t>
      </w:r>
      <w:r w:rsidR="15A5C4FE" w:rsidRPr="0CA6515C">
        <w:rPr>
          <w:rFonts w:cs="Calibri"/>
          <w:lang w:val="en-GB"/>
        </w:rPr>
        <w:t>QoL)</w:t>
      </w:r>
      <w:r w:rsidRPr="0CA6515C">
        <w:rPr>
          <w:rFonts w:cs="Calibri"/>
          <w:lang w:val="en-GB"/>
        </w:rPr>
        <w:t xml:space="preserve"> </w:t>
      </w:r>
      <w:r w:rsidRPr="0CA6515C">
        <w:rPr>
          <w:rFonts w:cs="Calibri"/>
          <w:i/>
          <w:iCs/>
          <w:lang w:val="en-GB"/>
        </w:rPr>
        <w:t>(</w:t>
      </w:r>
      <w:r w:rsidR="309B5D83" w:rsidRPr="0CA6515C">
        <w:rPr>
          <w:rFonts w:cs="Calibri"/>
          <w:i/>
          <w:iCs/>
          <w:lang w:val="en-GB"/>
        </w:rPr>
        <w:t xml:space="preserve">e.g. </w:t>
      </w:r>
      <w:r w:rsidR="60C00571" w:rsidRPr="0CA6515C">
        <w:rPr>
          <w:rFonts w:cs="Calibri"/>
          <w:i/>
          <w:iCs/>
          <w:lang w:val="en-GB"/>
        </w:rPr>
        <w:t>Short Form (</w:t>
      </w:r>
      <w:r w:rsidR="309B5D83" w:rsidRPr="0CA6515C">
        <w:rPr>
          <w:rFonts w:cs="Calibri"/>
          <w:i/>
          <w:iCs/>
          <w:lang w:val="en-GB"/>
        </w:rPr>
        <w:t>SF</w:t>
      </w:r>
      <w:r w:rsidR="36C465FE" w:rsidRPr="0CA6515C">
        <w:rPr>
          <w:rFonts w:cs="Calibri"/>
          <w:i/>
          <w:iCs/>
          <w:lang w:val="en-GB"/>
        </w:rPr>
        <w:t>)</w:t>
      </w:r>
      <w:r w:rsidR="309B5D83" w:rsidRPr="0CA6515C">
        <w:rPr>
          <w:rFonts w:cs="Calibri"/>
          <w:i/>
          <w:iCs/>
          <w:lang w:val="en-GB"/>
        </w:rPr>
        <w:t xml:space="preserve">-36, </w:t>
      </w:r>
      <w:r w:rsidR="470687F5" w:rsidRPr="0CA6515C">
        <w:rPr>
          <w:rFonts w:cs="Calibri"/>
          <w:i/>
          <w:iCs/>
          <w:lang w:val="en-GB"/>
        </w:rPr>
        <w:t>EuroQoL (</w:t>
      </w:r>
      <w:r w:rsidR="309B5D83" w:rsidRPr="0CA6515C">
        <w:rPr>
          <w:rFonts w:cs="Calibri"/>
          <w:i/>
          <w:iCs/>
          <w:lang w:val="en-GB"/>
        </w:rPr>
        <w:t>EQ</w:t>
      </w:r>
      <w:r w:rsidR="01E7845F" w:rsidRPr="0CA6515C">
        <w:rPr>
          <w:rFonts w:cs="Calibri"/>
          <w:i/>
          <w:iCs/>
          <w:lang w:val="en-GB"/>
        </w:rPr>
        <w:t>)</w:t>
      </w:r>
      <w:r w:rsidR="309B5D83" w:rsidRPr="0CA6515C">
        <w:rPr>
          <w:rFonts w:cs="Calibri"/>
          <w:i/>
          <w:iCs/>
          <w:lang w:val="en-GB"/>
        </w:rPr>
        <w:t>-5D)</w:t>
      </w:r>
    </w:p>
    <w:p w14:paraId="24B235B5" w14:textId="77777777" w:rsidR="006A4F7C" w:rsidRDefault="006A4F7C" w:rsidP="006A4F7C">
      <w:pPr>
        <w:spacing w:after="0"/>
        <w:ind w:left="360"/>
        <w:rPr>
          <w:rFonts w:cs="Calibri"/>
          <w:lang w:val="en-GB"/>
        </w:rPr>
      </w:pPr>
    </w:p>
    <w:p w14:paraId="3EEB23FD" w14:textId="65DB2C90" w:rsidR="00CF0C7B" w:rsidRPr="00BB6CF2" w:rsidRDefault="00CF0C7B" w:rsidP="00BB6CF2">
      <w:pPr>
        <w:spacing w:after="0"/>
        <w:ind w:left="360"/>
        <w:rPr>
          <w:rFonts w:asciiTheme="minorHAnsi" w:hAnsiTheme="minorHAnsi" w:cstheme="minorHAnsi"/>
          <w:i/>
          <w:iCs/>
        </w:rPr>
      </w:pPr>
      <w:r>
        <w:rPr>
          <w:rFonts w:asciiTheme="minorHAnsi" w:hAnsiTheme="minorHAnsi" w:cstheme="minorHAnsi"/>
          <w:i/>
          <w:iCs/>
        </w:rPr>
        <w:lastRenderedPageBreak/>
        <w:t>PASC considered that the outcomes defined in the PICO document were appropriate but noted a lack of data within the clinical evidence pertaining to quality of life.</w:t>
      </w:r>
    </w:p>
    <w:p w14:paraId="2088E281" w14:textId="7FD2F776" w:rsidR="001B30D6" w:rsidRDefault="1AC81C00" w:rsidP="00BB6CF2">
      <w:pPr>
        <w:pStyle w:val="Heading2"/>
        <w:spacing w:after="0"/>
      </w:pPr>
      <w:r>
        <w:t>Clinical management algorithms</w:t>
      </w:r>
    </w:p>
    <w:p w14:paraId="5B6C53E4" w14:textId="77777777" w:rsidR="00BB6CF2" w:rsidRPr="00BB6CF2" w:rsidRDefault="00BB6CF2" w:rsidP="00BB6CF2">
      <w:pPr>
        <w:rPr>
          <w:lang w:val="en-GB"/>
        </w:rPr>
      </w:pPr>
    </w:p>
    <w:p w14:paraId="73FF3535" w14:textId="79ED4284" w:rsidR="15FBFD07" w:rsidRPr="00BB6CF2" w:rsidRDefault="419EEC1B" w:rsidP="00BB6CF2">
      <w:pPr>
        <w:rPr>
          <w:lang w:val="en-GB"/>
        </w:rPr>
      </w:pPr>
      <w:r w:rsidRPr="230F18B9">
        <w:rPr>
          <w:lang w:val="en-GB"/>
        </w:rPr>
        <w:t xml:space="preserve">The management algorithm provided by the applicant to reflect current clinical guidelines is presented in </w:t>
      </w:r>
      <w:r w:rsidR="00953E55">
        <w:rPr>
          <w:lang w:val="en-GB"/>
        </w:rPr>
        <w:t>Figure 1</w:t>
      </w:r>
      <w:r w:rsidRPr="230F18B9">
        <w:rPr>
          <w:lang w:val="en-GB"/>
        </w:rPr>
        <w:t>. The applicant noted that this algorithm was based on the algorithm presented in Application 1354.1 for the use of IVUS to guide PCI. Both the current clinical management algorithm (</w:t>
      </w:r>
      <w:r w:rsidR="00953E55">
        <w:rPr>
          <w:lang w:val="en-GB"/>
        </w:rPr>
        <w:t>Figure 1</w:t>
      </w:r>
      <w:r w:rsidRPr="230F18B9">
        <w:rPr>
          <w:lang w:val="en-GB"/>
        </w:rPr>
        <w:t>) and the proposed clinical management algorithm (</w:t>
      </w:r>
      <w:r w:rsidRPr="0CA6515C">
        <w:rPr>
          <w:lang w:val="en-GB"/>
        </w:rPr>
        <w:fldChar w:fldCharType="begin"/>
      </w:r>
      <w:r w:rsidRPr="0CA6515C">
        <w:rPr>
          <w:lang w:val="en-GB"/>
        </w:rPr>
        <w:instrText xml:space="preserve"> REF _Ref149665551 \h </w:instrText>
      </w:r>
      <w:r w:rsidR="00E92610">
        <w:rPr>
          <w:lang w:val="en-GB"/>
        </w:rPr>
        <w:instrText xml:space="preserve"> \* MERGEFORMAT </w:instrText>
      </w:r>
      <w:r w:rsidRPr="0CA6515C">
        <w:rPr>
          <w:lang w:val="en-GB"/>
        </w:rPr>
      </w:r>
      <w:r w:rsidRPr="0CA6515C">
        <w:rPr>
          <w:lang w:val="en-GB"/>
        </w:rPr>
        <w:fldChar w:fldCharType="separate"/>
      </w:r>
      <w:r w:rsidR="00953E55">
        <w:t xml:space="preserve">Figure </w:t>
      </w:r>
      <w:r w:rsidR="00953E55">
        <w:rPr>
          <w:noProof/>
        </w:rPr>
        <w:t>2</w:t>
      </w:r>
      <w:r w:rsidRPr="0CA6515C">
        <w:rPr>
          <w:lang w:val="en-GB"/>
        </w:rPr>
        <w:fldChar w:fldCharType="end"/>
      </w:r>
      <w:r w:rsidRPr="230F18B9">
        <w:rPr>
          <w:lang w:val="en-GB"/>
        </w:rPr>
        <w:t xml:space="preserve">) have included IVUS </w:t>
      </w:r>
      <w:r w:rsidR="00033D65">
        <w:rPr>
          <w:lang w:val="en-GB"/>
        </w:rPr>
        <w:t xml:space="preserve">as a </w:t>
      </w:r>
      <w:r w:rsidR="009473D7">
        <w:rPr>
          <w:lang w:val="en-GB"/>
        </w:rPr>
        <w:t>comparator in subpopulation with lesion length ≥ 28mm</w:t>
      </w:r>
      <w:r w:rsidRPr="230F18B9">
        <w:rPr>
          <w:lang w:val="en-GB"/>
        </w:rPr>
        <w:t xml:space="preserve"> in anticipation of its listing on the MBS.</w:t>
      </w:r>
    </w:p>
    <w:p w14:paraId="2E7E312C" w14:textId="0A2F6E93" w:rsidR="007B5597" w:rsidRDefault="007B5597" w:rsidP="00C63303">
      <w:pPr>
        <w:pStyle w:val="TableHeading"/>
      </w:pPr>
      <w:r>
        <w:t xml:space="preserve">Figure </w:t>
      </w:r>
      <w:r w:rsidR="00953E55">
        <w:fldChar w:fldCharType="begin"/>
      </w:r>
      <w:r w:rsidR="00953E55">
        <w:instrText xml:space="preserve"> SEQ Figure \* ARABIC </w:instrText>
      </w:r>
      <w:r w:rsidR="00953E55">
        <w:fldChar w:fldCharType="separate"/>
      </w:r>
      <w:r w:rsidR="00953E55">
        <w:rPr>
          <w:noProof/>
        </w:rPr>
        <w:t>1</w:t>
      </w:r>
      <w:r w:rsidR="00953E55">
        <w:rPr>
          <w:noProof/>
        </w:rPr>
        <w:fldChar w:fldCharType="end"/>
      </w:r>
      <w:r>
        <w:t xml:space="preserve"> </w:t>
      </w:r>
      <w:r w:rsidRPr="00407F17">
        <w:t>Current clinical management algorithm</w:t>
      </w:r>
    </w:p>
    <w:p w14:paraId="09953A70" w14:textId="77777777" w:rsidR="00EA39A9" w:rsidRDefault="00EA39A9" w:rsidP="00C63303">
      <w:pPr>
        <w:pStyle w:val="TableHeading"/>
      </w:pPr>
    </w:p>
    <w:p w14:paraId="7C7396A6" w14:textId="01783D20" w:rsidR="6EA08E40" w:rsidRDefault="00C63303" w:rsidP="00B9472E">
      <w:pPr>
        <w:pStyle w:val="TableHeading"/>
      </w:pPr>
      <w:r>
        <w:rPr>
          <w:noProof/>
        </w:rPr>
        <w:drawing>
          <wp:inline distT="0" distB="0" distL="0" distR="0" wp14:anchorId="7CCDA506" wp14:editId="630F24C7">
            <wp:extent cx="5486453" cy="3203202"/>
            <wp:effectExtent l="0" t="0" r="0" b="0"/>
            <wp:docPr id="8" name="Picture 8" descr="Figure 1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Current clinical management algorithm"/>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53" cy="3203202"/>
                    </a:xfrm>
                    <a:prstGeom prst="rect">
                      <a:avLst/>
                    </a:prstGeom>
                  </pic:spPr>
                </pic:pic>
              </a:graphicData>
            </a:graphic>
          </wp:inline>
        </w:drawing>
      </w:r>
    </w:p>
    <w:p w14:paraId="360935DD" w14:textId="2A938E75" w:rsidR="419EEC1B" w:rsidRDefault="486E6C4B" w:rsidP="289F053C">
      <w:pPr>
        <w:pStyle w:val="Tablenotes"/>
      </w:pPr>
      <w:r>
        <w:t>AG = Coronary angiogram, IVUS = Intravenous ultrasound, LM = Left main, PCI = Percuta</w:t>
      </w:r>
      <w:r w:rsidR="703048FF">
        <w:t>neous coronary intervention</w:t>
      </w:r>
    </w:p>
    <w:p w14:paraId="5709C746" w14:textId="3437940F" w:rsidR="419EEC1B" w:rsidRDefault="419EEC1B" w:rsidP="1CDF7A69">
      <w:pPr>
        <w:spacing w:before="120" w:after="160" w:line="257" w:lineRule="auto"/>
        <w:rPr>
          <w:rFonts w:cs="Calibri"/>
          <w:lang w:val="en-GB"/>
        </w:rPr>
      </w:pPr>
      <w:r>
        <w:br/>
      </w:r>
      <w:r w:rsidR="6ED4E33F" w:rsidRPr="41F4DB8F">
        <w:rPr>
          <w:rFonts w:cs="Calibri"/>
          <w:lang w:val="en-GB"/>
        </w:rPr>
        <w:t xml:space="preserve">As outlined above, IVUS only represents a viable comparator to OCT for patients with </w:t>
      </w:r>
      <w:r w:rsidR="005A1544" w:rsidRPr="41F4DB8F">
        <w:rPr>
          <w:rFonts w:cs="Calibri"/>
          <w:lang w:val="en-GB"/>
        </w:rPr>
        <w:t>intended</w:t>
      </w:r>
      <w:r w:rsidR="39029CDD" w:rsidRPr="41F4DB8F">
        <w:rPr>
          <w:rFonts w:cs="Calibri"/>
          <w:lang w:val="en-GB"/>
        </w:rPr>
        <w:t xml:space="preserve"> </w:t>
      </w:r>
      <w:r w:rsidR="006C5EE5" w:rsidRPr="41F4DB8F">
        <w:rPr>
          <w:rFonts w:cs="Calibri"/>
          <w:lang w:val="en-GB"/>
        </w:rPr>
        <w:t xml:space="preserve">stent </w:t>
      </w:r>
      <w:r w:rsidR="6ED4E33F" w:rsidRPr="41F4DB8F">
        <w:rPr>
          <w:rFonts w:cs="Calibri"/>
          <w:lang w:val="en-GB"/>
        </w:rPr>
        <w:t xml:space="preserve">length </w:t>
      </w:r>
      <w:r w:rsidR="006C5EE5" w:rsidRPr="41F4DB8F">
        <w:rPr>
          <w:rFonts w:cs="Calibri"/>
          <w:lang w:val="en-GB"/>
        </w:rPr>
        <w:t xml:space="preserve">of </w:t>
      </w:r>
      <w:r w:rsidR="6ED4E33F" w:rsidRPr="41F4DB8F">
        <w:rPr>
          <w:rFonts w:cs="Calibri"/>
          <w:lang w:val="en-GB"/>
        </w:rPr>
        <w:t xml:space="preserve">≥28mm. Patients with lesions associated with the left main coronary artery may also be eligible for IVUS, however, in this application, OCT has not been nominated for this patient subgroup. The current clinical management algorithm also reflects that coronary angiography remains the </w:t>
      </w:r>
      <w:r w:rsidR="653178AC" w:rsidRPr="41F4DB8F">
        <w:rPr>
          <w:rFonts w:cs="Calibri"/>
          <w:lang w:val="en-GB"/>
        </w:rPr>
        <w:t xml:space="preserve">currently used </w:t>
      </w:r>
      <w:r w:rsidR="6ED4E33F" w:rsidRPr="41F4DB8F">
        <w:rPr>
          <w:rFonts w:cs="Calibri"/>
          <w:lang w:val="en-GB"/>
        </w:rPr>
        <w:t>guidance technology for all other patients requiring coronary stent insertion.</w:t>
      </w:r>
    </w:p>
    <w:p w14:paraId="6233FAAF" w14:textId="28BA50CD" w:rsidR="419EEC1B" w:rsidRDefault="039F1B54" w:rsidP="6306913B">
      <w:pPr>
        <w:pStyle w:val="TableHeading"/>
        <w:rPr>
          <w:rFonts w:eastAsia="Franklin Gothic Medium"/>
        </w:rPr>
      </w:pPr>
      <w:bookmarkStart w:id="5" w:name="_Ref149665551"/>
      <w:r>
        <w:lastRenderedPageBreak/>
        <w:t xml:space="preserve">Figure </w:t>
      </w:r>
      <w:r w:rsidR="00953E55">
        <w:fldChar w:fldCharType="begin"/>
      </w:r>
      <w:r w:rsidR="00953E55">
        <w:instrText xml:space="preserve"> SEQ Figure \* </w:instrText>
      </w:r>
      <w:r w:rsidR="00953E55">
        <w:instrText xml:space="preserve">ARABIC </w:instrText>
      </w:r>
      <w:r w:rsidR="00953E55">
        <w:fldChar w:fldCharType="separate"/>
      </w:r>
      <w:r w:rsidR="007B5597">
        <w:rPr>
          <w:noProof/>
        </w:rPr>
        <w:t>2</w:t>
      </w:r>
      <w:r w:rsidR="00953E55">
        <w:rPr>
          <w:noProof/>
        </w:rPr>
        <w:fldChar w:fldCharType="end"/>
      </w:r>
      <w:bookmarkEnd w:id="5"/>
      <w:r w:rsidR="39303876" w:rsidRPr="0CA6515C">
        <w:rPr>
          <w:rFonts w:eastAsia="Franklin Gothic Medium"/>
        </w:rPr>
        <w:t xml:space="preserve"> Proposed clinical management algorithm with OCT included</w:t>
      </w:r>
    </w:p>
    <w:p w14:paraId="4C6FFB77" w14:textId="77777777" w:rsidR="00EA39A9" w:rsidRPr="00B47BEA" w:rsidRDefault="00EA39A9" w:rsidP="6306913B">
      <w:pPr>
        <w:pStyle w:val="TableHeading"/>
      </w:pPr>
    </w:p>
    <w:p w14:paraId="4CEFDD11" w14:textId="40ACB41F" w:rsidR="3D5FEF58" w:rsidRDefault="3D5FEF58" w:rsidP="00B9472E">
      <w:pPr>
        <w:pStyle w:val="TableHeading"/>
      </w:pPr>
      <w:r>
        <w:rPr>
          <w:noProof/>
        </w:rPr>
        <w:drawing>
          <wp:inline distT="0" distB="0" distL="0" distR="0" wp14:anchorId="00116C13" wp14:editId="707568C7">
            <wp:extent cx="6214754" cy="2990850"/>
            <wp:effectExtent l="0" t="0" r="0" b="0"/>
            <wp:docPr id="786279203" name="Picture 786279203" descr="Figure 2 Proposed clinical management algorithm with OC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79203" name="Picture 786279203" descr="Figure 2 Proposed clinical management algorithm with OCT included"/>
                    <pic:cNvPicPr/>
                  </pic:nvPicPr>
                  <pic:blipFill>
                    <a:blip r:embed="rId9">
                      <a:extLst>
                        <a:ext uri="{28A0092B-C50C-407E-A947-70E740481C1C}">
                          <a14:useLocalDpi xmlns:a14="http://schemas.microsoft.com/office/drawing/2010/main" val="0"/>
                        </a:ext>
                      </a:extLst>
                    </a:blip>
                    <a:stretch>
                      <a:fillRect/>
                    </a:stretch>
                  </pic:blipFill>
                  <pic:spPr>
                    <a:xfrm>
                      <a:off x="0" y="0"/>
                      <a:ext cx="6214754" cy="2990850"/>
                    </a:xfrm>
                    <a:prstGeom prst="rect">
                      <a:avLst/>
                    </a:prstGeom>
                  </pic:spPr>
                </pic:pic>
              </a:graphicData>
            </a:graphic>
          </wp:inline>
        </w:drawing>
      </w:r>
    </w:p>
    <w:p w14:paraId="1A668E78" w14:textId="10D267DF" w:rsidR="419EEC1B" w:rsidRDefault="7E25F67A" w:rsidP="289F053C">
      <w:pPr>
        <w:pStyle w:val="Tablenotes"/>
      </w:pPr>
      <w:r>
        <w:t>AG = Coronary angiogram, IVUS = Intravenous ultrasound, LM = Left main, OCT = Optical coherence tomography, PCI = Percutaneous coronary intervention</w:t>
      </w:r>
    </w:p>
    <w:p w14:paraId="6E96D0D1" w14:textId="6B759D2B" w:rsidR="419EEC1B" w:rsidRDefault="493CCC54" w:rsidP="6155B472">
      <w:pPr>
        <w:spacing w:before="120" w:after="160" w:line="257" w:lineRule="auto"/>
        <w:rPr>
          <w:rFonts w:cs="Calibri"/>
          <w:lang w:val="en-GB"/>
        </w:rPr>
      </w:pPr>
      <w:r w:rsidRPr="0CA6515C">
        <w:rPr>
          <w:rFonts w:cs="Calibri"/>
        </w:rPr>
        <w:t xml:space="preserve">The proposed clinical management algorithm included in the application presents OCT as an adjunct to coronary angiography as a treatment option for patients requiring coronary stent insertion. For patients who have </w:t>
      </w:r>
      <w:r w:rsidR="002B1DE5">
        <w:rPr>
          <w:rFonts w:cs="Calibri"/>
        </w:rPr>
        <w:t>intended stent length of</w:t>
      </w:r>
      <w:r w:rsidRPr="0CA6515C">
        <w:rPr>
          <w:rFonts w:cs="Calibri"/>
        </w:rPr>
        <w:t xml:space="preserve"> </w:t>
      </w:r>
      <w:r w:rsidRPr="0CA6515C">
        <w:rPr>
          <w:rFonts w:cs="Calibri"/>
          <w:lang w:val="en-GB"/>
        </w:rPr>
        <w:t xml:space="preserve">≥28mm in length, both </w:t>
      </w:r>
      <w:r w:rsidR="02C9DF10">
        <w:t>coronary stent insertion</w:t>
      </w:r>
      <w:r>
        <w:t xml:space="preserve"> </w:t>
      </w:r>
      <w:r w:rsidR="00CF46F8">
        <w:t>guided by angiography alone</w:t>
      </w:r>
      <w:r w:rsidRPr="0CA6515C">
        <w:rPr>
          <w:rFonts w:cs="Calibri"/>
          <w:lang w:val="en-GB"/>
        </w:rPr>
        <w:t xml:space="preserve"> and IVUS plus coronary angiography represent comparators to OCT with coronary angiography as an adjunct. However, patients who have any or a combination of multiple lesions, bifurcation, severe calcification, or stent failure are proposed to have OCT and adjunct coronary angiography or </w:t>
      </w:r>
      <w:r w:rsidR="1359169C">
        <w:t>coronary stent insertion</w:t>
      </w:r>
      <w:r>
        <w:t xml:space="preserve"> </w:t>
      </w:r>
      <w:r w:rsidR="00CF46F8">
        <w:t>guided by angiography alone</w:t>
      </w:r>
      <w:r w:rsidRPr="0CA6515C">
        <w:rPr>
          <w:rFonts w:cs="Calibri"/>
          <w:lang w:val="en-GB"/>
        </w:rPr>
        <w:t xml:space="preserve"> as their treatment options. The use of OCT occurs in the final line of intervention and as such is not expected to displace the use of other therapies/technologies in </w:t>
      </w:r>
      <w:r w:rsidR="47B745F3" w:rsidRPr="0CA6515C">
        <w:rPr>
          <w:rFonts w:cs="Calibri"/>
          <w:lang w:val="en-GB"/>
        </w:rPr>
        <w:t xml:space="preserve">other </w:t>
      </w:r>
      <w:r w:rsidRPr="0CA6515C">
        <w:rPr>
          <w:rFonts w:cs="Calibri"/>
          <w:lang w:val="en-GB"/>
        </w:rPr>
        <w:t xml:space="preserve">lines of treatment. In the proposed clinical management algorithm OCT will compete with the use of IVUS for patients with </w:t>
      </w:r>
      <w:r w:rsidR="00B62453">
        <w:rPr>
          <w:rFonts w:cs="Calibri"/>
          <w:lang w:val="en-GB"/>
        </w:rPr>
        <w:t xml:space="preserve">intended stent </w:t>
      </w:r>
      <w:r w:rsidRPr="0CA6515C">
        <w:rPr>
          <w:rFonts w:cs="Calibri"/>
          <w:lang w:val="en-GB"/>
        </w:rPr>
        <w:t xml:space="preserve">length </w:t>
      </w:r>
      <w:r w:rsidR="00B62453">
        <w:rPr>
          <w:rFonts w:cs="Calibri"/>
          <w:lang w:val="en-GB"/>
        </w:rPr>
        <w:t>of</w:t>
      </w:r>
      <w:r w:rsidRPr="0CA6515C">
        <w:rPr>
          <w:rFonts w:cs="Calibri"/>
          <w:lang w:val="en-GB"/>
        </w:rPr>
        <w:t xml:space="preserve"> ≥28mm.</w:t>
      </w:r>
    </w:p>
    <w:p w14:paraId="08213EB2" w14:textId="193EDABC" w:rsidR="006A4F7C" w:rsidRPr="00586696" w:rsidRDefault="0DAB5DB1" w:rsidP="0CA6515C">
      <w:pPr>
        <w:spacing w:before="120" w:after="160" w:line="257" w:lineRule="auto"/>
        <w:rPr>
          <w:rFonts w:cs="Calibri"/>
          <w:i/>
          <w:iCs/>
          <w:lang w:val="en-GB"/>
        </w:rPr>
      </w:pPr>
      <w:r w:rsidRPr="0CA6515C">
        <w:rPr>
          <w:rFonts w:cs="Calibri"/>
          <w:i/>
          <w:iCs/>
          <w:lang w:val="en-GB"/>
        </w:rPr>
        <w:t>The cli</w:t>
      </w:r>
      <w:r w:rsidR="5B619C99" w:rsidRPr="0CA6515C">
        <w:rPr>
          <w:rFonts w:cs="Calibri"/>
          <w:i/>
          <w:iCs/>
          <w:lang w:val="en-GB"/>
        </w:rPr>
        <w:t>n</w:t>
      </w:r>
      <w:r w:rsidRPr="0CA6515C">
        <w:rPr>
          <w:rFonts w:cs="Calibri"/>
          <w:i/>
          <w:iCs/>
          <w:lang w:val="en-GB"/>
        </w:rPr>
        <w:t xml:space="preserve">ical algorithm </w:t>
      </w:r>
      <w:r w:rsidR="00655EBC" w:rsidRPr="0CA6515C">
        <w:rPr>
          <w:rFonts w:cs="Calibri"/>
          <w:i/>
          <w:iCs/>
          <w:lang w:val="en-GB"/>
        </w:rPr>
        <w:t>does not specifically</w:t>
      </w:r>
      <w:r w:rsidRPr="0CA6515C">
        <w:rPr>
          <w:rFonts w:cs="Calibri"/>
          <w:i/>
          <w:iCs/>
          <w:lang w:val="en-GB"/>
        </w:rPr>
        <w:t xml:space="preserve"> </w:t>
      </w:r>
      <w:r w:rsidR="742A010F" w:rsidRPr="0CA6515C">
        <w:rPr>
          <w:rFonts w:cs="Calibri"/>
          <w:i/>
          <w:iCs/>
          <w:lang w:val="en-GB"/>
        </w:rPr>
        <w:t>mention patients</w:t>
      </w:r>
      <w:r w:rsidR="008F44ED" w:rsidRPr="0CA6515C">
        <w:rPr>
          <w:rFonts w:cs="Calibri"/>
          <w:i/>
          <w:iCs/>
          <w:lang w:val="en-GB"/>
        </w:rPr>
        <w:t xml:space="preserve"> with </w:t>
      </w:r>
      <w:r w:rsidR="00261767" w:rsidRPr="0CA6515C">
        <w:rPr>
          <w:rFonts w:cs="Calibri"/>
          <w:i/>
          <w:iCs/>
          <w:lang w:val="en-GB"/>
        </w:rPr>
        <w:t>other</w:t>
      </w:r>
      <w:r w:rsidRPr="0CA6515C">
        <w:rPr>
          <w:rFonts w:cs="Calibri"/>
          <w:i/>
          <w:iCs/>
          <w:lang w:val="en-GB"/>
        </w:rPr>
        <w:t xml:space="preserve"> </w:t>
      </w:r>
      <w:r w:rsidR="005825B6" w:rsidRPr="0CA6515C">
        <w:rPr>
          <w:rFonts w:cs="Calibri"/>
          <w:i/>
          <w:iCs/>
          <w:lang w:val="en-GB"/>
        </w:rPr>
        <w:t xml:space="preserve">clinical </w:t>
      </w:r>
      <w:r w:rsidR="74FD0953" w:rsidRPr="0CA6515C">
        <w:rPr>
          <w:rFonts w:cs="Calibri"/>
          <w:i/>
          <w:iCs/>
          <w:lang w:val="en-GB"/>
        </w:rPr>
        <w:t>presentations included</w:t>
      </w:r>
      <w:r w:rsidR="57C1B7EE" w:rsidRPr="0CA6515C">
        <w:rPr>
          <w:rFonts w:cs="Calibri"/>
          <w:i/>
          <w:iCs/>
          <w:lang w:val="en-GB"/>
        </w:rPr>
        <w:t xml:space="preserve"> in the ILUMIEN trial such as patients at high clinical risk</w:t>
      </w:r>
      <w:r w:rsidR="3F563D41" w:rsidRPr="0CA6515C">
        <w:rPr>
          <w:rFonts w:cs="Calibri"/>
          <w:i/>
          <w:iCs/>
          <w:lang w:val="en-GB"/>
        </w:rPr>
        <w:t xml:space="preserve"> </w:t>
      </w:r>
      <w:r w:rsidR="003E5E03" w:rsidRPr="0CA6515C">
        <w:rPr>
          <w:rFonts w:cs="Calibri"/>
          <w:i/>
          <w:iCs/>
          <w:lang w:val="en-GB"/>
        </w:rPr>
        <w:t xml:space="preserve">due </w:t>
      </w:r>
      <w:r w:rsidR="39CDBEE8" w:rsidRPr="0CA6515C">
        <w:rPr>
          <w:rFonts w:cs="Calibri"/>
          <w:i/>
          <w:iCs/>
          <w:lang w:val="en-GB"/>
        </w:rPr>
        <w:t>to medicated</w:t>
      </w:r>
      <w:r w:rsidR="3F563D41" w:rsidRPr="0CA6515C">
        <w:rPr>
          <w:rFonts w:cs="Calibri"/>
          <w:i/>
          <w:iCs/>
          <w:lang w:val="en-GB"/>
        </w:rPr>
        <w:t xml:space="preserve"> </w:t>
      </w:r>
      <w:r w:rsidR="753DC041" w:rsidRPr="0CA6515C">
        <w:rPr>
          <w:rFonts w:cs="Calibri"/>
          <w:i/>
          <w:iCs/>
          <w:lang w:val="en-GB"/>
        </w:rPr>
        <w:t>diabetes</w:t>
      </w:r>
      <w:r w:rsidR="3F563D41" w:rsidRPr="0CA6515C">
        <w:rPr>
          <w:rFonts w:cs="Calibri"/>
          <w:i/>
          <w:iCs/>
          <w:lang w:val="en-GB"/>
        </w:rPr>
        <w:t xml:space="preserve"> mellitus, </w:t>
      </w:r>
      <w:r w:rsidR="5CB79BE6" w:rsidRPr="0CA6515C">
        <w:rPr>
          <w:rFonts w:cs="Calibri"/>
          <w:i/>
          <w:iCs/>
          <w:lang w:val="en-GB"/>
        </w:rPr>
        <w:t xml:space="preserve">and other complex lesions such as </w:t>
      </w:r>
      <w:r w:rsidR="51B8D3E3" w:rsidRPr="0CA6515C">
        <w:rPr>
          <w:rFonts w:cs="Calibri"/>
          <w:i/>
          <w:iCs/>
          <w:lang w:val="en-GB"/>
        </w:rPr>
        <w:t>NSTEMI (non-ST elevation myocardial infarction)</w:t>
      </w:r>
      <w:r w:rsidR="3F563D41" w:rsidRPr="0CA6515C">
        <w:rPr>
          <w:rFonts w:cs="Calibri"/>
          <w:i/>
          <w:iCs/>
          <w:lang w:val="en-GB"/>
        </w:rPr>
        <w:t xml:space="preserve">, </w:t>
      </w:r>
      <w:r w:rsidR="5CB79BE6" w:rsidRPr="0CA6515C">
        <w:rPr>
          <w:rFonts w:cs="Calibri"/>
          <w:i/>
          <w:iCs/>
          <w:lang w:val="en-GB"/>
        </w:rPr>
        <w:t>and c</w:t>
      </w:r>
      <w:r w:rsidR="179470FC" w:rsidRPr="0CA6515C">
        <w:rPr>
          <w:rFonts w:cs="Calibri"/>
          <w:i/>
          <w:iCs/>
          <w:lang w:val="en-GB"/>
        </w:rPr>
        <w:t>hronic total occlusion</w:t>
      </w:r>
      <w:r w:rsidR="5CB79BE6" w:rsidRPr="0CA6515C">
        <w:rPr>
          <w:rFonts w:cs="Calibri"/>
          <w:i/>
          <w:iCs/>
          <w:lang w:val="en-GB"/>
        </w:rPr>
        <w:t xml:space="preserve">. It is assumed that these </w:t>
      </w:r>
      <w:r w:rsidR="00A52BF5" w:rsidRPr="0CA6515C">
        <w:rPr>
          <w:rFonts w:cs="Calibri"/>
          <w:i/>
          <w:iCs/>
          <w:lang w:val="en-GB"/>
        </w:rPr>
        <w:t>patients</w:t>
      </w:r>
      <w:r w:rsidR="5CB79BE6" w:rsidRPr="0CA6515C">
        <w:rPr>
          <w:rFonts w:cs="Calibri"/>
          <w:i/>
          <w:iCs/>
          <w:lang w:val="en-GB"/>
        </w:rPr>
        <w:t xml:space="preserve"> will be treated with stent insertion with angiographic guidance</w:t>
      </w:r>
      <w:r w:rsidR="5B619C99" w:rsidRPr="0CA6515C">
        <w:rPr>
          <w:rFonts w:cs="Calibri"/>
          <w:i/>
          <w:iCs/>
          <w:lang w:val="en-GB"/>
        </w:rPr>
        <w:t xml:space="preserve"> under current and proposed algorithms</w:t>
      </w:r>
      <w:r w:rsidR="5CB79BE6" w:rsidRPr="0CA6515C">
        <w:rPr>
          <w:rFonts w:cs="Calibri"/>
          <w:i/>
          <w:iCs/>
          <w:lang w:val="en-GB"/>
        </w:rPr>
        <w:t xml:space="preserve">. </w:t>
      </w:r>
    </w:p>
    <w:p w14:paraId="2BDE22B9" w14:textId="77777777" w:rsidR="00D73332" w:rsidRDefault="00D73332" w:rsidP="00713728">
      <w:pPr>
        <w:pStyle w:val="Heading2"/>
        <w:rPr>
          <w:b/>
          <w:bCs/>
          <w:i/>
        </w:rPr>
      </w:pPr>
      <w:r w:rsidRPr="00490FBB">
        <w:t>Proposed economic evaluation</w:t>
      </w:r>
    </w:p>
    <w:p w14:paraId="74211528" w14:textId="19EA936C" w:rsidR="000939E0" w:rsidRPr="00490FBB" w:rsidRDefault="7CF34205" w:rsidP="1CDF7A69">
      <w:pPr>
        <w:rPr>
          <w:rFonts w:cs="Calibri"/>
        </w:rPr>
      </w:pPr>
      <w:r w:rsidRPr="289F053C">
        <w:rPr>
          <w:rFonts w:cs="Calibri"/>
        </w:rPr>
        <w:t xml:space="preserve">The clinical claims are summarised by </w:t>
      </w:r>
      <w:r w:rsidRPr="289F053C">
        <w:rPr>
          <w:rFonts w:cs="Calibri"/>
          <w:color w:val="000000" w:themeColor="text1"/>
        </w:rPr>
        <w:t xml:space="preserve">comparator in </w:t>
      </w:r>
      <w:r w:rsidRPr="6306913B">
        <w:rPr>
          <w:rFonts w:cs="Calibri"/>
          <w:color w:val="000000" w:themeColor="text1"/>
        </w:rPr>
        <w:fldChar w:fldCharType="begin"/>
      </w:r>
      <w:r w:rsidRPr="6306913B">
        <w:rPr>
          <w:rFonts w:cs="Calibri"/>
          <w:color w:val="000000" w:themeColor="text1"/>
        </w:rPr>
        <w:instrText xml:space="preserve"> REF _Ref149665324 \h </w:instrText>
      </w:r>
      <w:r w:rsidRPr="6306913B">
        <w:rPr>
          <w:rFonts w:cs="Calibri"/>
          <w:color w:val="000000" w:themeColor="text1"/>
        </w:rPr>
      </w:r>
      <w:r w:rsidRPr="6306913B">
        <w:rPr>
          <w:rFonts w:cs="Calibri"/>
          <w:color w:val="000000" w:themeColor="text1"/>
        </w:rPr>
        <w:fldChar w:fldCharType="separate"/>
      </w:r>
      <w:r w:rsidR="008A4637">
        <w:t xml:space="preserve">Table </w:t>
      </w:r>
      <w:r w:rsidR="008A4637">
        <w:rPr>
          <w:noProof/>
        </w:rPr>
        <w:t>5</w:t>
      </w:r>
      <w:r w:rsidRPr="6306913B">
        <w:rPr>
          <w:rFonts w:cs="Calibri"/>
          <w:color w:val="000000" w:themeColor="text1"/>
        </w:rPr>
        <w:fldChar w:fldCharType="end"/>
      </w:r>
      <w:r w:rsidR="008A4637">
        <w:rPr>
          <w:rFonts w:cs="Calibri"/>
          <w:color w:val="000000" w:themeColor="text1"/>
        </w:rPr>
        <w:t xml:space="preserve"> </w:t>
      </w:r>
      <w:r w:rsidRPr="289F053C">
        <w:rPr>
          <w:rFonts w:cs="Calibri"/>
          <w:color w:val="000000" w:themeColor="text1"/>
        </w:rPr>
        <w:t xml:space="preserve">along </w:t>
      </w:r>
      <w:r w:rsidRPr="289F053C">
        <w:rPr>
          <w:rFonts w:cs="Calibri"/>
        </w:rPr>
        <w:t>with recommended economic evaluation method.</w:t>
      </w:r>
    </w:p>
    <w:p w14:paraId="2E86E5A3" w14:textId="5B69DDB3" w:rsidR="000939E0" w:rsidRPr="008A4637" w:rsidRDefault="008A4637" w:rsidP="6306913B">
      <w:pPr>
        <w:pStyle w:val="TableHeading"/>
      </w:pPr>
      <w:bookmarkStart w:id="6" w:name="_Ref149665324"/>
      <w:r>
        <w:t xml:space="preserve">Table </w:t>
      </w:r>
      <w:r>
        <w:fldChar w:fldCharType="begin"/>
      </w:r>
      <w:r>
        <w:instrText>SEQ Table \* ARABIC</w:instrText>
      </w:r>
      <w:r>
        <w:fldChar w:fldCharType="separate"/>
      </w:r>
      <w:r w:rsidR="00EF564A" w:rsidRPr="6306913B">
        <w:rPr>
          <w:noProof/>
        </w:rPr>
        <w:t>5</w:t>
      </w:r>
      <w:r>
        <w:fldChar w:fldCharType="end"/>
      </w:r>
      <w:bookmarkEnd w:id="6"/>
      <w:r>
        <w:t xml:space="preserve"> </w:t>
      </w:r>
      <w:r w:rsidR="7CF34205" w:rsidRPr="6306913B">
        <w:rPr>
          <w:rFonts w:eastAsia="Arial Narrow"/>
        </w:rPr>
        <w:t xml:space="preserve">Summary of clinical claims for </w:t>
      </w:r>
      <w:r w:rsidR="0FDD4E1D" w:rsidRPr="6306913B">
        <w:rPr>
          <w:rFonts w:eastAsia="Arial Narrow"/>
        </w:rPr>
        <w:t xml:space="preserve">OCT </w:t>
      </w:r>
      <w:r w:rsidR="7CF34205" w:rsidRPr="6306913B">
        <w:rPr>
          <w:rFonts w:eastAsia="Arial Narrow"/>
        </w:rPr>
        <w:t xml:space="preserve">by comparator and recommended economic evaluation method. </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91"/>
        <w:gridCol w:w="2390"/>
        <w:gridCol w:w="2390"/>
        <w:gridCol w:w="2390"/>
      </w:tblGrid>
      <w:tr w:rsidR="1CDF7A69" w14:paraId="6994F3F5" w14:textId="77777777" w:rsidTr="0CA6515C">
        <w:trPr>
          <w:trHeight w:val="300"/>
          <w:tblHeader/>
        </w:trPr>
        <w:tc>
          <w:tcPr>
            <w:tcW w:w="1250" w:type="pct"/>
            <w:tcBorders>
              <w:top w:val="single" w:sz="8" w:space="0" w:color="auto"/>
              <w:left w:val="single" w:sz="8" w:space="0" w:color="auto"/>
              <w:bottom w:val="single" w:sz="8" w:space="0" w:color="auto"/>
              <w:right w:val="single" w:sz="8" w:space="0" w:color="auto"/>
            </w:tcBorders>
          </w:tcPr>
          <w:p w14:paraId="57498047" w14:textId="520EC6D7" w:rsidR="1CDF7A69" w:rsidRPr="00B47BEA" w:rsidRDefault="2B09691B" w:rsidP="6306913B">
            <w:pPr>
              <w:pStyle w:val="TableText0"/>
              <w:rPr>
                <w:b/>
                <w:bCs/>
              </w:rPr>
            </w:pPr>
            <w:r w:rsidRPr="6306913B">
              <w:rPr>
                <w:b/>
                <w:bCs/>
              </w:rPr>
              <w:t xml:space="preserve">Comparator </w:t>
            </w:r>
          </w:p>
        </w:tc>
        <w:tc>
          <w:tcPr>
            <w:tcW w:w="1250" w:type="pct"/>
            <w:tcBorders>
              <w:top w:val="single" w:sz="8" w:space="0" w:color="auto"/>
              <w:left w:val="single" w:sz="8" w:space="0" w:color="auto"/>
              <w:bottom w:val="single" w:sz="8" w:space="0" w:color="auto"/>
              <w:right w:val="single" w:sz="8" w:space="0" w:color="auto"/>
            </w:tcBorders>
          </w:tcPr>
          <w:p w14:paraId="071ACDB7" w14:textId="205F09DC" w:rsidR="1CDF7A69" w:rsidRPr="00B47BEA" w:rsidRDefault="2B09691B" w:rsidP="6306913B">
            <w:pPr>
              <w:pStyle w:val="TableText0"/>
              <w:rPr>
                <w:b/>
                <w:bCs/>
              </w:rPr>
            </w:pPr>
            <w:r w:rsidRPr="6306913B">
              <w:rPr>
                <w:b/>
                <w:bCs/>
              </w:rPr>
              <w:t xml:space="preserve">Clinical effectiveness claim </w:t>
            </w:r>
          </w:p>
        </w:tc>
        <w:tc>
          <w:tcPr>
            <w:tcW w:w="1250" w:type="pct"/>
            <w:tcBorders>
              <w:top w:val="single" w:sz="8" w:space="0" w:color="auto"/>
              <w:left w:val="single" w:sz="8" w:space="0" w:color="auto"/>
              <w:bottom w:val="single" w:sz="8" w:space="0" w:color="auto"/>
              <w:right w:val="single" w:sz="8" w:space="0" w:color="auto"/>
            </w:tcBorders>
          </w:tcPr>
          <w:p w14:paraId="0F9994C3" w14:textId="1E818CF2" w:rsidR="1CDF7A69" w:rsidRPr="00B47BEA" w:rsidRDefault="2B09691B" w:rsidP="6306913B">
            <w:pPr>
              <w:pStyle w:val="TableText0"/>
              <w:rPr>
                <w:b/>
                <w:bCs/>
              </w:rPr>
            </w:pPr>
            <w:r w:rsidRPr="6306913B">
              <w:rPr>
                <w:b/>
                <w:bCs/>
              </w:rPr>
              <w:t xml:space="preserve">Safety claim </w:t>
            </w:r>
          </w:p>
        </w:tc>
        <w:tc>
          <w:tcPr>
            <w:tcW w:w="1250" w:type="pct"/>
            <w:tcBorders>
              <w:top w:val="single" w:sz="8" w:space="0" w:color="auto"/>
              <w:left w:val="single" w:sz="8" w:space="0" w:color="auto"/>
              <w:bottom w:val="single" w:sz="8" w:space="0" w:color="auto"/>
              <w:right w:val="single" w:sz="8" w:space="0" w:color="auto"/>
            </w:tcBorders>
          </w:tcPr>
          <w:p w14:paraId="3B36B86F" w14:textId="40890A7D" w:rsidR="1CDF7A69" w:rsidRPr="00B47BEA" w:rsidRDefault="2B09691B" w:rsidP="6306913B">
            <w:pPr>
              <w:pStyle w:val="TableText0"/>
              <w:rPr>
                <w:b/>
                <w:bCs/>
              </w:rPr>
            </w:pPr>
            <w:r w:rsidRPr="6306913B">
              <w:rPr>
                <w:b/>
                <w:bCs/>
              </w:rPr>
              <w:t xml:space="preserve">Recommended economic evaluation </w:t>
            </w:r>
          </w:p>
        </w:tc>
      </w:tr>
      <w:tr w:rsidR="1CDF7A69" w14:paraId="6339CC55" w14:textId="77777777" w:rsidTr="0CA6515C">
        <w:trPr>
          <w:trHeight w:val="300"/>
          <w:tblHeader/>
        </w:trPr>
        <w:tc>
          <w:tcPr>
            <w:tcW w:w="1250" w:type="pct"/>
            <w:tcBorders>
              <w:top w:val="single" w:sz="8" w:space="0" w:color="auto"/>
              <w:left w:val="single" w:sz="8" w:space="0" w:color="auto"/>
              <w:bottom w:val="single" w:sz="8" w:space="0" w:color="auto"/>
              <w:right w:val="single" w:sz="8" w:space="0" w:color="auto"/>
            </w:tcBorders>
          </w:tcPr>
          <w:p w14:paraId="411CF09A" w14:textId="1A1B5FA1" w:rsidR="1CDF7A69" w:rsidRPr="00B47BEA" w:rsidRDefault="2B09691B" w:rsidP="6306913B">
            <w:pPr>
              <w:pStyle w:val="TableText0"/>
            </w:pPr>
            <w:r>
              <w:t xml:space="preserve">Coronary </w:t>
            </w:r>
            <w:r w:rsidR="003623F0">
              <w:t>a</w:t>
            </w:r>
            <w:r>
              <w:t>ngiogram</w:t>
            </w:r>
            <w:r w:rsidR="00BF154A">
              <w:t xml:space="preserve"> alone</w:t>
            </w:r>
          </w:p>
        </w:tc>
        <w:tc>
          <w:tcPr>
            <w:tcW w:w="1250" w:type="pct"/>
            <w:tcBorders>
              <w:top w:val="single" w:sz="8" w:space="0" w:color="auto"/>
              <w:left w:val="single" w:sz="8" w:space="0" w:color="auto"/>
              <w:bottom w:val="single" w:sz="8" w:space="0" w:color="auto"/>
              <w:right w:val="single" w:sz="8" w:space="0" w:color="auto"/>
            </w:tcBorders>
          </w:tcPr>
          <w:p w14:paraId="50FFC6E0" w14:textId="3F3219D2" w:rsidR="1CDF7A69" w:rsidRPr="00B47BEA" w:rsidRDefault="2B09691B" w:rsidP="6306913B">
            <w:pPr>
              <w:pStyle w:val="TableText0"/>
            </w:pPr>
            <w:r>
              <w:t xml:space="preserve">OCT superior </w:t>
            </w:r>
          </w:p>
        </w:tc>
        <w:tc>
          <w:tcPr>
            <w:tcW w:w="1250" w:type="pct"/>
            <w:tcBorders>
              <w:top w:val="single" w:sz="8" w:space="0" w:color="auto"/>
              <w:left w:val="single" w:sz="8" w:space="0" w:color="auto"/>
              <w:bottom w:val="single" w:sz="8" w:space="0" w:color="auto"/>
              <w:right w:val="single" w:sz="8" w:space="0" w:color="auto"/>
            </w:tcBorders>
          </w:tcPr>
          <w:p w14:paraId="29A626AD" w14:textId="42C2E0B5" w:rsidR="1CDF7A69" w:rsidRPr="00B47BEA" w:rsidRDefault="2B09691B" w:rsidP="6306913B">
            <w:pPr>
              <w:pStyle w:val="TableText0"/>
            </w:pPr>
            <w:r>
              <w:t xml:space="preserve">OCT </w:t>
            </w:r>
            <w:r w:rsidR="003467D2">
              <w:t>non-</w:t>
            </w:r>
            <w:r>
              <w:t xml:space="preserve">inferior </w:t>
            </w:r>
          </w:p>
        </w:tc>
        <w:tc>
          <w:tcPr>
            <w:tcW w:w="1250" w:type="pct"/>
            <w:tcBorders>
              <w:top w:val="single" w:sz="8" w:space="0" w:color="auto"/>
              <w:left w:val="single" w:sz="8" w:space="0" w:color="auto"/>
              <w:bottom w:val="single" w:sz="8" w:space="0" w:color="auto"/>
              <w:right w:val="single" w:sz="8" w:space="0" w:color="auto"/>
            </w:tcBorders>
          </w:tcPr>
          <w:p w14:paraId="33BD0140" w14:textId="2DD74CE4" w:rsidR="1CDF7A69" w:rsidRPr="00B47BEA" w:rsidRDefault="2B09691B" w:rsidP="6306913B">
            <w:pPr>
              <w:pStyle w:val="TableText0"/>
            </w:pPr>
            <w:r>
              <w:t xml:space="preserve">CUA </w:t>
            </w:r>
          </w:p>
        </w:tc>
      </w:tr>
      <w:tr w:rsidR="1CDF7A69" w14:paraId="3EBD9F68" w14:textId="77777777" w:rsidTr="0CA6515C">
        <w:trPr>
          <w:trHeight w:val="300"/>
          <w:tblHeader/>
        </w:trPr>
        <w:tc>
          <w:tcPr>
            <w:tcW w:w="1250" w:type="pct"/>
            <w:tcBorders>
              <w:top w:val="single" w:sz="8" w:space="0" w:color="auto"/>
              <w:left w:val="single" w:sz="8" w:space="0" w:color="auto"/>
              <w:bottom w:val="single" w:sz="8" w:space="0" w:color="auto"/>
              <w:right w:val="single" w:sz="8" w:space="0" w:color="auto"/>
            </w:tcBorders>
          </w:tcPr>
          <w:p w14:paraId="40594A0F" w14:textId="3BC8FB47" w:rsidR="1CDF7A69" w:rsidRPr="00B47BEA" w:rsidRDefault="2B09691B" w:rsidP="6306913B">
            <w:pPr>
              <w:pStyle w:val="TableText0"/>
            </w:pPr>
            <w:r>
              <w:t>IVUS</w:t>
            </w:r>
            <w:r w:rsidR="00BF154A">
              <w:t xml:space="preserve"> + </w:t>
            </w:r>
            <w:r w:rsidR="003623F0">
              <w:t>coronary angiogram</w:t>
            </w:r>
          </w:p>
        </w:tc>
        <w:tc>
          <w:tcPr>
            <w:tcW w:w="1250" w:type="pct"/>
            <w:tcBorders>
              <w:top w:val="single" w:sz="8" w:space="0" w:color="auto"/>
              <w:left w:val="single" w:sz="8" w:space="0" w:color="auto"/>
              <w:bottom w:val="single" w:sz="8" w:space="0" w:color="auto"/>
              <w:right w:val="single" w:sz="8" w:space="0" w:color="auto"/>
            </w:tcBorders>
          </w:tcPr>
          <w:p w14:paraId="6C3D6D18" w14:textId="7DE798B2" w:rsidR="1CDF7A69" w:rsidRPr="00B47BEA" w:rsidRDefault="00B0581A" w:rsidP="00B47BEA">
            <w:pPr>
              <w:pStyle w:val="TableText0"/>
            </w:pPr>
            <w:r w:rsidRPr="00B47BEA">
              <w:t>OCT non-inferior</w:t>
            </w:r>
          </w:p>
        </w:tc>
        <w:tc>
          <w:tcPr>
            <w:tcW w:w="1250" w:type="pct"/>
            <w:tcBorders>
              <w:top w:val="single" w:sz="8" w:space="0" w:color="auto"/>
              <w:left w:val="single" w:sz="8" w:space="0" w:color="auto"/>
              <w:bottom w:val="single" w:sz="8" w:space="0" w:color="auto"/>
              <w:right w:val="single" w:sz="8" w:space="0" w:color="auto"/>
            </w:tcBorders>
          </w:tcPr>
          <w:p w14:paraId="0EA03196" w14:textId="063D3A59" w:rsidR="1CDF7A69" w:rsidRPr="00B47BEA" w:rsidRDefault="00B0581A" w:rsidP="00B47BEA">
            <w:pPr>
              <w:pStyle w:val="TableText0"/>
            </w:pPr>
            <w:r w:rsidRPr="00B47BEA">
              <w:t>OCT non-inferior</w:t>
            </w:r>
          </w:p>
        </w:tc>
        <w:tc>
          <w:tcPr>
            <w:tcW w:w="1250" w:type="pct"/>
            <w:tcBorders>
              <w:top w:val="single" w:sz="8" w:space="0" w:color="auto"/>
              <w:left w:val="single" w:sz="8" w:space="0" w:color="auto"/>
              <w:bottom w:val="single" w:sz="8" w:space="0" w:color="auto"/>
              <w:right w:val="single" w:sz="8" w:space="0" w:color="auto"/>
            </w:tcBorders>
          </w:tcPr>
          <w:p w14:paraId="7F11AF3A" w14:textId="77252DEE" w:rsidR="1CDF7A69" w:rsidRPr="00B47BEA" w:rsidRDefault="00B0581A" w:rsidP="00B47BEA">
            <w:pPr>
              <w:pStyle w:val="TableText0"/>
            </w:pPr>
            <w:r w:rsidRPr="00B47BEA">
              <w:t>CMA</w:t>
            </w:r>
          </w:p>
        </w:tc>
      </w:tr>
    </w:tbl>
    <w:p w14:paraId="6A0E0B78" w14:textId="24BF25AE" w:rsidR="000939E0" w:rsidRPr="00490FBB" w:rsidRDefault="2320AA69" w:rsidP="1CDF7A69">
      <w:pPr>
        <w:jc w:val="both"/>
        <w:rPr>
          <w:rFonts w:ascii="Arial Narrow" w:eastAsia="Arial Narrow" w:hAnsi="Arial Narrow" w:cs="Arial Narrow"/>
          <w:sz w:val="18"/>
          <w:szCs w:val="18"/>
        </w:rPr>
      </w:pPr>
      <w:r w:rsidRPr="1CDF7A69">
        <w:rPr>
          <w:rFonts w:ascii="Arial Narrow" w:eastAsia="Arial Narrow" w:hAnsi="Arial Narrow" w:cs="Arial Narrow"/>
          <w:sz w:val="18"/>
          <w:szCs w:val="18"/>
        </w:rPr>
        <w:t>CUA= cost utility analysis; IVUS= intravenous ultrasound; OCT= optical coherence tomography</w:t>
      </w:r>
    </w:p>
    <w:p w14:paraId="1CB42893" w14:textId="1C68BF4F" w:rsidR="000939E0" w:rsidRPr="00490FBB" w:rsidRDefault="585B6362" w:rsidP="6155B472">
      <w:pPr>
        <w:spacing w:before="120" w:after="160" w:line="257" w:lineRule="auto"/>
        <w:rPr>
          <w:rFonts w:cs="Calibri"/>
        </w:rPr>
      </w:pPr>
      <w:r w:rsidRPr="0CA6515C">
        <w:rPr>
          <w:rFonts w:cs="Calibri"/>
        </w:rPr>
        <w:lastRenderedPageBreak/>
        <w:t xml:space="preserve">For the comparison </w:t>
      </w:r>
      <w:r w:rsidR="45E10D4E" w:rsidRPr="0CA6515C">
        <w:rPr>
          <w:rFonts w:cs="Calibri"/>
        </w:rPr>
        <w:t xml:space="preserve">with </w:t>
      </w:r>
      <w:r w:rsidR="30613C01">
        <w:t>coronary stent insertion</w:t>
      </w:r>
      <w:r>
        <w:t xml:space="preserve"> </w:t>
      </w:r>
      <w:r w:rsidR="00CF46F8">
        <w:t xml:space="preserve">guided by </w:t>
      </w:r>
      <w:r w:rsidR="00874D28">
        <w:t>angiography alone</w:t>
      </w:r>
      <w:r w:rsidRPr="0CA6515C">
        <w:rPr>
          <w:rFonts w:cs="Calibri"/>
        </w:rPr>
        <w:t xml:space="preserve"> </w:t>
      </w:r>
      <w:r w:rsidR="6FAA46FB" w:rsidRPr="0CA6515C">
        <w:rPr>
          <w:rFonts w:cs="Calibri"/>
        </w:rPr>
        <w:t>there is a</w:t>
      </w:r>
      <w:r w:rsidR="567CFDAC" w:rsidRPr="0CA6515C">
        <w:rPr>
          <w:rFonts w:cs="Calibri"/>
        </w:rPr>
        <w:t xml:space="preserve"> </w:t>
      </w:r>
      <w:r w:rsidRPr="0CA6515C">
        <w:rPr>
          <w:rFonts w:cs="Calibri"/>
        </w:rPr>
        <w:t>potential</w:t>
      </w:r>
      <w:r w:rsidR="567CFDAC" w:rsidRPr="0CA6515C">
        <w:rPr>
          <w:rFonts w:cs="Calibri"/>
        </w:rPr>
        <w:t xml:space="preserve"> impact on health-related quality of life, </w:t>
      </w:r>
      <w:r w:rsidRPr="0CA6515C">
        <w:rPr>
          <w:rFonts w:cs="Calibri"/>
        </w:rPr>
        <w:t xml:space="preserve">therefore </w:t>
      </w:r>
      <w:r w:rsidR="567CFDAC" w:rsidRPr="0CA6515C">
        <w:rPr>
          <w:rFonts w:cs="Calibri"/>
        </w:rPr>
        <w:t>the MSAC guidelines suggest a cost utility</w:t>
      </w:r>
      <w:r w:rsidRPr="0CA6515C">
        <w:rPr>
          <w:rFonts w:cs="Calibri"/>
        </w:rPr>
        <w:t xml:space="preserve"> (CUA)</w:t>
      </w:r>
      <w:r w:rsidR="567CFDAC" w:rsidRPr="0CA6515C">
        <w:rPr>
          <w:rFonts w:cs="Calibri"/>
        </w:rPr>
        <w:t xml:space="preserve"> analysis rather than</w:t>
      </w:r>
      <w:r w:rsidRPr="0CA6515C">
        <w:rPr>
          <w:rFonts w:cs="Calibri"/>
        </w:rPr>
        <w:t xml:space="preserve"> a cost-</w:t>
      </w:r>
      <w:r w:rsidR="2581C7F4" w:rsidRPr="0CA6515C">
        <w:rPr>
          <w:rFonts w:cs="Calibri"/>
        </w:rPr>
        <w:t>effectiveness</w:t>
      </w:r>
      <w:r w:rsidRPr="0CA6515C">
        <w:rPr>
          <w:rFonts w:cs="Calibri"/>
        </w:rPr>
        <w:t xml:space="preserve"> analysis (CEA) </w:t>
      </w:r>
      <w:r w:rsidR="00746359">
        <w:rPr>
          <w:rFonts w:cs="Calibri"/>
        </w:rPr>
        <w:t>as the</w:t>
      </w:r>
      <w:r w:rsidRPr="0CA6515C">
        <w:rPr>
          <w:rFonts w:cs="Calibri"/>
        </w:rPr>
        <w:t xml:space="preserve"> preferred </w:t>
      </w:r>
      <w:r w:rsidR="00746359">
        <w:rPr>
          <w:rFonts w:cs="Calibri"/>
        </w:rPr>
        <w:t>method</w:t>
      </w:r>
      <w:r w:rsidR="001A13D3">
        <w:rPr>
          <w:rFonts w:cs="Calibri"/>
        </w:rPr>
        <w:t xml:space="preserve"> </w:t>
      </w:r>
      <w:r w:rsidRPr="0CA6515C">
        <w:rPr>
          <w:rFonts w:cs="Calibri"/>
        </w:rPr>
        <w:t xml:space="preserve">for the economic evaluation. </w:t>
      </w:r>
    </w:p>
    <w:p w14:paraId="5AC33B8F" w14:textId="04756C9F" w:rsidR="000939E0" w:rsidRPr="00490FBB" w:rsidRDefault="008A4637" w:rsidP="1CDF7A69">
      <w:pPr>
        <w:spacing w:before="120" w:after="160" w:line="257" w:lineRule="auto"/>
        <w:rPr>
          <w:rFonts w:cs="Calibri"/>
          <w:lang w:val="en-GB"/>
        </w:rPr>
      </w:pPr>
      <w:r w:rsidRPr="6306913B">
        <w:rPr>
          <w:rFonts w:cs="Calibri"/>
          <w:lang w:val="en-GB"/>
        </w:rPr>
        <w:fldChar w:fldCharType="begin"/>
      </w:r>
      <w:r w:rsidRPr="6306913B">
        <w:rPr>
          <w:rFonts w:cs="Calibri"/>
          <w:lang w:val="en-GB"/>
        </w:rPr>
        <w:instrText xml:space="preserve"> REF _Ref54260209 \h </w:instrText>
      </w:r>
      <w:r w:rsidRPr="6306913B">
        <w:rPr>
          <w:rFonts w:cs="Calibri"/>
          <w:lang w:val="en-GB"/>
        </w:rPr>
      </w:r>
      <w:r w:rsidRPr="6306913B">
        <w:rPr>
          <w:rFonts w:cs="Calibri"/>
          <w:lang w:val="en-GB"/>
        </w:rPr>
        <w:fldChar w:fldCharType="separate"/>
      </w:r>
      <w:r>
        <w:t xml:space="preserve">Table </w:t>
      </w:r>
      <w:r>
        <w:rPr>
          <w:noProof/>
        </w:rPr>
        <w:t>6</w:t>
      </w:r>
      <w:r w:rsidRPr="6306913B">
        <w:rPr>
          <w:rFonts w:cs="Calibri"/>
          <w:lang w:val="en-GB"/>
        </w:rPr>
        <w:fldChar w:fldCharType="end"/>
      </w:r>
      <w:r>
        <w:rPr>
          <w:rFonts w:cs="Calibri"/>
          <w:lang w:val="en-GB"/>
        </w:rPr>
        <w:t xml:space="preserve"> </w:t>
      </w:r>
      <w:r w:rsidR="7846E52C" w:rsidRPr="289F053C">
        <w:rPr>
          <w:rFonts w:cs="Calibri"/>
          <w:lang w:val="en-GB"/>
        </w:rPr>
        <w:t>provides a guide for determining which type of economic evaluation is appropriate.</w:t>
      </w:r>
    </w:p>
    <w:p w14:paraId="6DAB2DBD" w14:textId="151DBA46" w:rsidR="000939E0" w:rsidRPr="00490FBB" w:rsidRDefault="2C4D0167" w:rsidP="6306913B">
      <w:pPr>
        <w:pStyle w:val="TableHeading"/>
      </w:pPr>
      <w:bookmarkStart w:id="7" w:name="_Ref54260209"/>
      <w:bookmarkStart w:id="8" w:name="_Toc423450289"/>
      <w:r>
        <w:t>Table</w:t>
      </w:r>
      <w:r w:rsidR="1820BCF9">
        <w:t xml:space="preserve"> </w:t>
      </w:r>
      <w:r>
        <w:fldChar w:fldCharType="begin"/>
      </w:r>
      <w:r>
        <w:instrText>SEQ Table \* ARABIC</w:instrText>
      </w:r>
      <w:r>
        <w:fldChar w:fldCharType="separate"/>
      </w:r>
      <w:r w:rsidR="00EF564A" w:rsidRPr="0CA6515C">
        <w:rPr>
          <w:noProof/>
        </w:rPr>
        <w:t>6</w:t>
      </w:r>
      <w:r>
        <w:fldChar w:fldCharType="end"/>
      </w:r>
      <w:bookmarkEnd w:id="7"/>
      <w:r w:rsidR="00DF0236">
        <w:t xml:space="preserve"> </w:t>
      </w:r>
      <w:r w:rsidR="263831B0">
        <w:t>Classification of</w:t>
      </w:r>
      <w:r>
        <w:t xml:space="preserve"> comparative effectiveness and safety of the proposed intervention</w:t>
      </w:r>
      <w:r w:rsidR="263831B0">
        <w:t>,</w:t>
      </w:r>
      <w:r>
        <w:t xml:space="preserve"> compared with </w:t>
      </w:r>
      <w:r w:rsidR="35A9362D">
        <w:t>likely</w:t>
      </w:r>
      <w:r w:rsidR="78672C09">
        <w:t xml:space="preserve"> comparators</w:t>
      </w:r>
      <w:r w:rsidR="263831B0">
        <w:t>,</w:t>
      </w:r>
      <w:r>
        <w:t xml:space="preserve"> and guide to the suitable type of economic evaluation</w:t>
      </w:r>
      <w:bookmarkEnd w:id="8"/>
    </w:p>
    <w:tbl>
      <w:tblPr>
        <w:tblW w:w="5000" w:type="pct"/>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65"/>
        <w:gridCol w:w="1954"/>
        <w:gridCol w:w="2286"/>
        <w:gridCol w:w="1794"/>
        <w:gridCol w:w="1472"/>
      </w:tblGrid>
      <w:tr w:rsidR="00686EED" w:rsidRPr="00490FBB" w14:paraId="5238F44C" w14:textId="77777777" w:rsidTr="0CA6515C">
        <w:trPr>
          <w:cantSplit/>
          <w:trHeight w:val="300"/>
          <w:tblHeader/>
        </w:trPr>
        <w:tc>
          <w:tcPr>
            <w:tcW w:w="1079" w:type="pct"/>
            <w:vMerge w:val="restart"/>
            <w:tcBorders>
              <w:top w:val="single" w:sz="4" w:space="0" w:color="auto"/>
              <w:left w:val="single" w:sz="4" w:space="0" w:color="auto"/>
              <w:bottom w:val="single" w:sz="4" w:space="0" w:color="auto"/>
              <w:right w:val="single" w:sz="4" w:space="0" w:color="auto"/>
            </w:tcBorders>
          </w:tcPr>
          <w:p w14:paraId="5B06A6EA" w14:textId="730AFFCD" w:rsidR="00686EED" w:rsidRPr="00B47BEA" w:rsidRDefault="41E9B27B" w:rsidP="6306913B">
            <w:pPr>
              <w:pStyle w:val="TableText0"/>
              <w:rPr>
                <w:b/>
                <w:bCs/>
              </w:rPr>
            </w:pPr>
            <w:bookmarkStart w:id="9" w:name="Title_Table2"/>
            <w:r w:rsidRPr="6306913B">
              <w:rPr>
                <w:b/>
                <w:bCs/>
              </w:rPr>
              <w:t>Comparative safety</w:t>
            </w:r>
            <w:r w:rsidRPr="6306913B">
              <w:rPr>
                <w:b/>
                <w:bCs/>
                <w:color w:val="FFFFFF" w:themeColor="background1"/>
              </w:rPr>
              <w:t>-</w:t>
            </w:r>
          </w:p>
        </w:tc>
        <w:tc>
          <w:tcPr>
            <w:tcW w:w="7506" w:type="dxa"/>
            <w:gridSpan w:val="4"/>
            <w:tcBorders>
              <w:top w:val="single" w:sz="4" w:space="0" w:color="auto"/>
              <w:left w:val="single" w:sz="4" w:space="0" w:color="auto"/>
              <w:bottom w:val="single" w:sz="4" w:space="0" w:color="auto"/>
              <w:right w:val="single" w:sz="4" w:space="0" w:color="auto"/>
            </w:tcBorders>
          </w:tcPr>
          <w:p w14:paraId="6881FC43" w14:textId="19465133" w:rsidR="41E9B27B" w:rsidRDefault="41E9B27B" w:rsidP="6306913B">
            <w:pPr>
              <w:pStyle w:val="TableText0"/>
              <w:rPr>
                <w:b/>
                <w:bCs/>
              </w:rPr>
            </w:pPr>
            <w:r w:rsidRPr="6306913B">
              <w:rPr>
                <w:b/>
                <w:bCs/>
              </w:rPr>
              <w:t>Comparative effectiveness</w:t>
            </w:r>
          </w:p>
        </w:tc>
      </w:tr>
      <w:bookmarkEnd w:id="9"/>
      <w:tr w:rsidR="00686EED" w:rsidRPr="00490FBB" w14:paraId="78A8F3F1" w14:textId="77777777" w:rsidTr="00784A4C">
        <w:trPr>
          <w:cantSplit/>
          <w:trHeight w:val="300"/>
          <w:tblHeader/>
        </w:trPr>
        <w:tc>
          <w:tcPr>
            <w:tcW w:w="1079" w:type="pct"/>
            <w:vMerge/>
            <w:tcBorders>
              <w:left w:val="single" w:sz="4" w:space="0" w:color="auto"/>
            </w:tcBorders>
          </w:tcPr>
          <w:p w14:paraId="6E00D947" w14:textId="57BEC7DE" w:rsidR="00686EED" w:rsidRPr="00F66090" w:rsidRDefault="00686EED" w:rsidP="00470DF0">
            <w:pPr>
              <w:pStyle w:val="TableText0"/>
              <w:rPr>
                <w:bCs/>
              </w:rPr>
            </w:pPr>
          </w:p>
        </w:tc>
        <w:tc>
          <w:tcPr>
            <w:tcW w:w="1021" w:type="pct"/>
            <w:tcBorders>
              <w:left w:val="single" w:sz="4" w:space="0" w:color="auto"/>
              <w:bottom w:val="single" w:sz="4" w:space="0" w:color="auto"/>
              <w:right w:val="single" w:sz="4" w:space="0" w:color="auto"/>
            </w:tcBorders>
          </w:tcPr>
          <w:p w14:paraId="319C788C" w14:textId="77777777" w:rsidR="00686EED" w:rsidRPr="00B47BEA" w:rsidRDefault="41E9B27B" w:rsidP="6306913B">
            <w:pPr>
              <w:pStyle w:val="TableText0"/>
              <w:rPr>
                <w:b/>
                <w:bCs/>
              </w:rPr>
            </w:pPr>
            <w:r w:rsidRPr="6306913B">
              <w:rPr>
                <w:b/>
                <w:bCs/>
              </w:rPr>
              <w:t>Inferior</w:t>
            </w:r>
          </w:p>
        </w:tc>
        <w:tc>
          <w:tcPr>
            <w:tcW w:w="1194" w:type="pct"/>
            <w:tcBorders>
              <w:top w:val="single" w:sz="4" w:space="0" w:color="auto"/>
              <w:left w:val="single" w:sz="4" w:space="0" w:color="auto"/>
              <w:bottom w:val="single" w:sz="4" w:space="0" w:color="auto"/>
              <w:right w:val="single" w:sz="4" w:space="0" w:color="auto"/>
            </w:tcBorders>
          </w:tcPr>
          <w:p w14:paraId="5AC96128" w14:textId="77777777" w:rsidR="00686EED" w:rsidRPr="00B47BEA" w:rsidRDefault="41E9B27B" w:rsidP="6306913B">
            <w:pPr>
              <w:pStyle w:val="TableText0"/>
              <w:rPr>
                <w:b/>
                <w:bCs/>
              </w:rPr>
            </w:pPr>
            <w:r w:rsidRPr="6306913B">
              <w:rPr>
                <w:b/>
                <w:bCs/>
              </w:rPr>
              <w:t>Uncertain</w:t>
            </w:r>
            <w:r w:rsidRPr="6306913B">
              <w:rPr>
                <w:b/>
                <w:bCs/>
                <w:vertAlign w:val="superscript"/>
              </w:rPr>
              <w:t>a</w:t>
            </w:r>
          </w:p>
        </w:tc>
        <w:tc>
          <w:tcPr>
            <w:tcW w:w="937" w:type="pct"/>
            <w:tcBorders>
              <w:top w:val="single" w:sz="4" w:space="0" w:color="auto"/>
              <w:left w:val="single" w:sz="4" w:space="0" w:color="auto"/>
              <w:bottom w:val="single" w:sz="4" w:space="0" w:color="auto"/>
              <w:right w:val="single" w:sz="4" w:space="0" w:color="auto"/>
            </w:tcBorders>
          </w:tcPr>
          <w:p w14:paraId="7AA1349D" w14:textId="4BA1ADFE" w:rsidR="00686EED" w:rsidRPr="00B47BEA" w:rsidRDefault="41E9B27B" w:rsidP="6306913B">
            <w:pPr>
              <w:pStyle w:val="TableText0"/>
              <w:rPr>
                <w:b/>
                <w:bCs/>
              </w:rPr>
            </w:pPr>
            <w:r w:rsidRPr="6306913B">
              <w:rPr>
                <w:b/>
                <w:bCs/>
              </w:rPr>
              <w:t>Noninferior</w:t>
            </w:r>
            <w:r w:rsidRPr="6306913B">
              <w:rPr>
                <w:b/>
                <w:bCs/>
                <w:vertAlign w:val="superscript"/>
              </w:rPr>
              <w:t>b</w:t>
            </w:r>
          </w:p>
        </w:tc>
        <w:tc>
          <w:tcPr>
            <w:tcW w:w="769" w:type="pct"/>
            <w:tcBorders>
              <w:top w:val="single" w:sz="4" w:space="0" w:color="auto"/>
              <w:left w:val="single" w:sz="4" w:space="0" w:color="auto"/>
              <w:bottom w:val="single" w:sz="4" w:space="0" w:color="auto"/>
              <w:right w:val="single" w:sz="4" w:space="0" w:color="auto"/>
            </w:tcBorders>
          </w:tcPr>
          <w:p w14:paraId="156C5942" w14:textId="77777777" w:rsidR="00686EED" w:rsidRPr="00B47BEA" w:rsidRDefault="41E9B27B" w:rsidP="6306913B">
            <w:pPr>
              <w:pStyle w:val="TableText0"/>
              <w:rPr>
                <w:b/>
                <w:bCs/>
              </w:rPr>
            </w:pPr>
            <w:r w:rsidRPr="6306913B">
              <w:rPr>
                <w:b/>
                <w:bCs/>
              </w:rPr>
              <w:t>Superior</w:t>
            </w:r>
          </w:p>
        </w:tc>
      </w:tr>
      <w:tr w:rsidR="000939E0" w:rsidRPr="00490FBB" w14:paraId="1E111DC3" w14:textId="77777777" w:rsidTr="00D00ED0">
        <w:trPr>
          <w:trHeight w:val="300"/>
        </w:trPr>
        <w:tc>
          <w:tcPr>
            <w:tcW w:w="1079" w:type="pct"/>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6306913B">
            <w:pPr>
              <w:pStyle w:val="TableText0"/>
            </w:pPr>
            <w:r>
              <w:t>Inferior</w:t>
            </w:r>
          </w:p>
        </w:tc>
        <w:tc>
          <w:tcPr>
            <w:tcW w:w="1021" w:type="pct"/>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6306913B">
            <w:pPr>
              <w:pStyle w:val="TableText0"/>
            </w:pPr>
            <w:r>
              <w:t>Health forgone: need other supportive factors</w:t>
            </w:r>
          </w:p>
        </w:tc>
        <w:tc>
          <w:tcPr>
            <w:tcW w:w="1194" w:type="pct"/>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6306913B">
            <w:pPr>
              <w:pStyle w:val="TableText0"/>
            </w:pPr>
            <w:r>
              <w:t>Health forgone possible: need other supportive factors</w:t>
            </w:r>
          </w:p>
        </w:tc>
        <w:tc>
          <w:tcPr>
            <w:tcW w:w="937" w:type="pct"/>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6306913B">
            <w:pPr>
              <w:pStyle w:val="TableText0"/>
            </w:pPr>
            <w:r>
              <w:t>Health forgone: need other supportive factors</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18C6CF73" w14:textId="77777777" w:rsidR="000939E0" w:rsidRPr="00490FBB" w:rsidRDefault="000939E0" w:rsidP="6306913B">
            <w:pPr>
              <w:pStyle w:val="TableText0"/>
            </w:pPr>
            <w:r>
              <w:t>? Likely CUA</w:t>
            </w:r>
          </w:p>
        </w:tc>
      </w:tr>
      <w:tr w:rsidR="000939E0" w:rsidRPr="00490FBB" w14:paraId="463C2753" w14:textId="77777777" w:rsidTr="0CA6515C">
        <w:trPr>
          <w:trHeight w:val="300"/>
        </w:trPr>
        <w:tc>
          <w:tcPr>
            <w:tcW w:w="1079" w:type="pct"/>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6306913B">
            <w:pPr>
              <w:pStyle w:val="TableText0"/>
              <w:rPr>
                <w:vertAlign w:val="superscript"/>
              </w:rPr>
            </w:pPr>
            <w:r>
              <w:t>Uncertain</w:t>
            </w:r>
            <w:r w:rsidRPr="6306913B">
              <w:rPr>
                <w:vertAlign w:val="superscript"/>
              </w:rPr>
              <w:t>a</w:t>
            </w:r>
          </w:p>
        </w:tc>
        <w:tc>
          <w:tcPr>
            <w:tcW w:w="1021" w:type="pct"/>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6306913B">
            <w:pPr>
              <w:pStyle w:val="TableText0"/>
            </w:pPr>
            <w:r>
              <w:t>Health forgone possible: need other supportive factors</w:t>
            </w:r>
          </w:p>
        </w:tc>
        <w:tc>
          <w:tcPr>
            <w:tcW w:w="1194" w:type="pct"/>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6306913B">
            <w:pPr>
              <w:pStyle w:val="TableText0"/>
            </w:pPr>
            <w:r>
              <w:t>?</w:t>
            </w:r>
          </w:p>
        </w:tc>
        <w:tc>
          <w:tcPr>
            <w:tcW w:w="937" w:type="pct"/>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6306913B">
            <w:pPr>
              <w:pStyle w:val="TableText0"/>
            </w:pPr>
            <w:r>
              <w:t>?</w:t>
            </w:r>
          </w:p>
        </w:tc>
        <w:tc>
          <w:tcPr>
            <w:tcW w:w="769" w:type="pct"/>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6306913B">
            <w:pPr>
              <w:pStyle w:val="TableText0"/>
            </w:pPr>
            <w:r>
              <w:t>? Likely CEA/CUA</w:t>
            </w:r>
          </w:p>
        </w:tc>
      </w:tr>
      <w:tr w:rsidR="000939E0" w:rsidRPr="00490FBB" w14:paraId="47335FF9" w14:textId="77777777" w:rsidTr="00D00ED0">
        <w:trPr>
          <w:trHeight w:val="300"/>
        </w:trPr>
        <w:tc>
          <w:tcPr>
            <w:tcW w:w="1079" w:type="pct"/>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6306913B">
            <w:pPr>
              <w:pStyle w:val="TableText0"/>
              <w:rPr>
                <w:vertAlign w:val="superscript"/>
              </w:rPr>
            </w:pPr>
            <w:r>
              <w:t>Noninferior</w:t>
            </w:r>
            <w:r w:rsidRPr="6306913B">
              <w:rPr>
                <w:vertAlign w:val="superscript"/>
              </w:rPr>
              <w:t>b</w:t>
            </w:r>
          </w:p>
        </w:tc>
        <w:tc>
          <w:tcPr>
            <w:tcW w:w="1021" w:type="pct"/>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6306913B">
            <w:pPr>
              <w:pStyle w:val="TableText0"/>
            </w:pPr>
            <w:r>
              <w:t>Health forgone: need other supportive factors</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43D9B9E4" w14:textId="77777777" w:rsidR="000939E0" w:rsidRPr="00490FBB" w:rsidRDefault="000939E0" w:rsidP="6306913B">
            <w:pPr>
              <w:pStyle w:val="TableText0"/>
            </w:pPr>
            <w:r>
              <w:t>?</w:t>
            </w:r>
          </w:p>
        </w:tc>
        <w:tc>
          <w:tcPr>
            <w:tcW w:w="937" w:type="pct"/>
            <w:tcBorders>
              <w:top w:val="single" w:sz="4" w:space="0" w:color="auto"/>
              <w:left w:val="single" w:sz="4" w:space="0" w:color="auto"/>
              <w:bottom w:val="single" w:sz="4" w:space="0" w:color="auto"/>
              <w:right w:val="single" w:sz="4" w:space="0" w:color="auto"/>
            </w:tcBorders>
            <w:shd w:val="clear" w:color="auto" w:fill="00B050"/>
            <w:vAlign w:val="center"/>
          </w:tcPr>
          <w:p w14:paraId="12BD2E22" w14:textId="77777777" w:rsidR="000939E0" w:rsidRPr="00490FBB" w:rsidRDefault="000939E0" w:rsidP="6306913B">
            <w:pPr>
              <w:pStyle w:val="TableText0"/>
            </w:pPr>
            <w:r>
              <w:t>CMA</w:t>
            </w:r>
          </w:p>
        </w:tc>
        <w:tc>
          <w:tcPr>
            <w:tcW w:w="769" w:type="pct"/>
            <w:tcBorders>
              <w:top w:val="single" w:sz="4" w:space="0" w:color="auto"/>
              <w:left w:val="single" w:sz="4" w:space="0" w:color="auto"/>
              <w:bottom w:val="single" w:sz="4" w:space="0" w:color="auto"/>
              <w:right w:val="single" w:sz="4" w:space="0" w:color="auto"/>
            </w:tcBorders>
            <w:shd w:val="clear" w:color="auto" w:fill="FFFF00"/>
            <w:vAlign w:val="center"/>
          </w:tcPr>
          <w:p w14:paraId="7E9F7AB5" w14:textId="77777777" w:rsidR="000939E0" w:rsidRPr="00490FBB" w:rsidRDefault="000939E0" w:rsidP="6306913B">
            <w:pPr>
              <w:pStyle w:val="TableText0"/>
            </w:pPr>
            <w:r>
              <w:t>CEA/CUA</w:t>
            </w:r>
          </w:p>
        </w:tc>
      </w:tr>
      <w:tr w:rsidR="000939E0" w:rsidRPr="00490FBB" w14:paraId="41AB5715" w14:textId="77777777" w:rsidTr="0CA6515C">
        <w:trPr>
          <w:trHeight w:val="300"/>
        </w:trPr>
        <w:tc>
          <w:tcPr>
            <w:tcW w:w="1079" w:type="pct"/>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6306913B">
            <w:pPr>
              <w:pStyle w:val="TableText0"/>
            </w:pPr>
            <w:r>
              <w:t>Superior</w:t>
            </w:r>
          </w:p>
        </w:tc>
        <w:tc>
          <w:tcPr>
            <w:tcW w:w="1021" w:type="pct"/>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6306913B">
            <w:pPr>
              <w:pStyle w:val="TableText0"/>
            </w:pPr>
            <w:r>
              <w:t>? Likely CUA</w:t>
            </w:r>
          </w:p>
        </w:tc>
        <w:tc>
          <w:tcPr>
            <w:tcW w:w="1194" w:type="pct"/>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6306913B">
            <w:pPr>
              <w:pStyle w:val="TableText0"/>
            </w:pPr>
            <w:r>
              <w:t>? Likely CEA/CUA</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6306913B">
            <w:pPr>
              <w:pStyle w:val="TableText0"/>
            </w:pPr>
            <w:r>
              <w:t>CEA/CUA</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6306913B">
            <w:pPr>
              <w:pStyle w:val="TableText0"/>
            </w:pPr>
            <w:r>
              <w:t>CEA/CUA</w:t>
            </w:r>
          </w:p>
        </w:tc>
      </w:tr>
    </w:tbl>
    <w:p w14:paraId="6538A3FB" w14:textId="61AFEFF5" w:rsidR="000939E0" w:rsidRPr="00490FBB" w:rsidRDefault="000939E0" w:rsidP="00C40CC4">
      <w:pPr>
        <w:pStyle w:val="Tablenotes"/>
        <w:keepNext/>
        <w:spacing w:before="120"/>
        <w:contextualSpacing/>
      </w:pPr>
      <w:r>
        <w:t>CEA=cost-effectiveness analysis</w:t>
      </w:r>
      <w:r w:rsidR="4B620CA0">
        <w:t>,</w:t>
      </w:r>
      <w:r>
        <w:t xml:space="preserve"> CMA=cost-minimisation analysis</w:t>
      </w:r>
      <w:r w:rsidR="6E22AE02">
        <w:t xml:space="preserve">, </w:t>
      </w:r>
      <w:r>
        <w:t>CUA=cost-utility analysis</w:t>
      </w:r>
      <w:r w:rsidR="437DF4E1">
        <w:t>.</w:t>
      </w:r>
    </w:p>
    <w:p w14:paraId="48F7CED7" w14:textId="77777777" w:rsidR="000939E0" w:rsidRPr="00490FBB" w:rsidRDefault="000939E0" w:rsidP="00C40CC4">
      <w:pPr>
        <w:pStyle w:val="Tablenotes"/>
        <w:keepNext/>
        <w:contextualSpacing/>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contextualSpacing/>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Default="579EBC15" w:rsidP="1CDF7A69">
      <w:pPr>
        <w:pStyle w:val="Tablenotes"/>
        <w:contextualSpacing/>
      </w:pPr>
      <w:r w:rsidRPr="0CA6515C">
        <w:rPr>
          <w:vertAlign w:val="superscript"/>
        </w:rPr>
        <w:t>b</w:t>
      </w:r>
      <w:r>
        <w:t> An adequate assessment of ‘noninferiority’ is the preferred basis for demonstrating equivalence</w:t>
      </w:r>
    </w:p>
    <w:p w14:paraId="22F77858" w14:textId="25C5FB15" w:rsidR="004B4C3E" w:rsidRPr="00490FBB" w:rsidRDefault="151D436A" w:rsidP="1CDF7A69">
      <w:pPr>
        <w:pStyle w:val="Tablenotes"/>
        <w:contextualSpacing/>
      </w:pPr>
      <w:r w:rsidRPr="0CA6515C">
        <w:rPr>
          <w:highlight w:val="yellow"/>
        </w:rPr>
        <w:t>Yellow shading</w:t>
      </w:r>
      <w:r>
        <w:t xml:space="preserve"> indicates OCT vs coronary angiography</w:t>
      </w:r>
    </w:p>
    <w:p w14:paraId="39D70B6E" w14:textId="49D73E48" w:rsidR="151D436A" w:rsidRDefault="151D436A" w:rsidP="1CDF7A69">
      <w:pPr>
        <w:pStyle w:val="Tablenotes"/>
        <w:contextualSpacing/>
      </w:pPr>
      <w:r w:rsidRPr="00CC5DA8">
        <w:rPr>
          <w:highlight w:val="green"/>
          <w:shd w:val="clear" w:color="auto" w:fill="00B050"/>
        </w:rPr>
        <w:t>Green shading</w:t>
      </w:r>
      <w:r>
        <w:t xml:space="preserve"> indicates OCT vs IVUS</w:t>
      </w:r>
    </w:p>
    <w:p w14:paraId="02D1560C" w14:textId="4D1E9AB7" w:rsidR="000905F0" w:rsidRDefault="459A32A5" w:rsidP="0CA6515C">
      <w:pPr>
        <w:rPr>
          <w:rFonts w:cs="Calibri"/>
          <w:lang w:val="en-GB"/>
        </w:rPr>
      </w:pPr>
      <w:r w:rsidRPr="0CA6515C">
        <w:rPr>
          <w:rFonts w:cs="Calibri"/>
          <w:lang w:val="en-GB"/>
        </w:rPr>
        <w:t>The</w:t>
      </w:r>
      <w:r w:rsidR="47C63984" w:rsidRPr="0CA6515C">
        <w:rPr>
          <w:rFonts w:cs="Calibri"/>
          <w:lang w:val="en-GB"/>
        </w:rPr>
        <w:t>re are</w:t>
      </w:r>
      <w:r w:rsidRPr="0CA6515C">
        <w:rPr>
          <w:rFonts w:cs="Calibri"/>
          <w:lang w:val="en-GB"/>
        </w:rPr>
        <w:t xml:space="preserve"> six published trials compiled by the applicant </w:t>
      </w:r>
      <w:r w:rsidR="0927CD62" w:rsidRPr="0CA6515C">
        <w:rPr>
          <w:rFonts w:cs="Calibri"/>
          <w:lang w:val="en-GB"/>
        </w:rPr>
        <w:t xml:space="preserve">to </w:t>
      </w:r>
      <w:r w:rsidRPr="0CA6515C">
        <w:rPr>
          <w:rFonts w:cs="Calibri"/>
          <w:lang w:val="en-GB"/>
        </w:rPr>
        <w:t xml:space="preserve">support the claim of superior effectiveness of OCT vs </w:t>
      </w:r>
      <w:r w:rsidR="7CDC8E9E">
        <w:t>coronary stent insertion</w:t>
      </w:r>
      <w:r>
        <w:t xml:space="preserve"> </w:t>
      </w:r>
      <w:r w:rsidR="00802C5B">
        <w:t>guided by angiography alone</w:t>
      </w:r>
      <w:r w:rsidRPr="0CA6515C">
        <w:rPr>
          <w:rFonts w:cs="Calibri"/>
          <w:lang w:val="en-GB"/>
        </w:rPr>
        <w:t xml:space="preserve"> and a claim of non-inferior effectiveness between OCT + coronary angiography vs IVUS + coronary angiography. </w:t>
      </w:r>
      <w:r w:rsidR="5EF7E377" w:rsidRPr="00470DF0">
        <w:rPr>
          <w:rFonts w:cs="Calibri"/>
          <w:lang w:val="en-GB"/>
        </w:rPr>
        <w:fldChar w:fldCharType="begin"/>
      </w:r>
      <w:r w:rsidR="5EF7E377" w:rsidRPr="00470DF0">
        <w:rPr>
          <w:rFonts w:cs="Calibri"/>
          <w:lang w:val="en-GB"/>
        </w:rPr>
        <w:instrText xml:space="preserve"> REF _Ref149665395 \h </w:instrText>
      </w:r>
      <w:r w:rsidR="008A4637" w:rsidRPr="00470DF0">
        <w:rPr>
          <w:rFonts w:cs="Calibri"/>
          <w:lang w:val="en-GB"/>
        </w:rPr>
        <w:instrText xml:space="preserve"> \* MERGEFORMAT </w:instrText>
      </w:r>
      <w:r w:rsidR="5EF7E377" w:rsidRPr="00470DF0">
        <w:rPr>
          <w:rFonts w:cs="Calibri"/>
          <w:lang w:val="en-GB"/>
        </w:rPr>
      </w:r>
      <w:r w:rsidR="5EF7E377" w:rsidRPr="00470DF0">
        <w:rPr>
          <w:rFonts w:cs="Calibri"/>
          <w:lang w:val="en-GB"/>
        </w:rPr>
        <w:fldChar w:fldCharType="separate"/>
      </w:r>
      <w:r w:rsidR="75912948" w:rsidRPr="00470DF0">
        <w:t>Table 7</w:t>
      </w:r>
      <w:r w:rsidR="5EF7E377" w:rsidRPr="00470DF0">
        <w:rPr>
          <w:rFonts w:cs="Calibri"/>
          <w:lang w:val="en-GB"/>
        </w:rPr>
        <w:fldChar w:fldCharType="end"/>
      </w:r>
      <w:r w:rsidR="75912948" w:rsidRPr="00470DF0">
        <w:rPr>
          <w:rFonts w:cs="Calibri"/>
          <w:lang w:val="en-GB"/>
        </w:rPr>
        <w:t xml:space="preserve"> </w:t>
      </w:r>
      <w:r w:rsidR="5EF7E377" w:rsidRPr="00470DF0">
        <w:rPr>
          <w:rFonts w:cs="Calibri"/>
          <w:lang w:val="en-GB"/>
        </w:rPr>
        <w:t xml:space="preserve">below provides </w:t>
      </w:r>
      <w:r w:rsidR="05B67DDE" w:rsidRPr="00470DF0">
        <w:rPr>
          <w:rFonts w:cs="Calibri"/>
          <w:lang w:val="en-GB"/>
        </w:rPr>
        <w:t>a summary</w:t>
      </w:r>
      <w:r w:rsidR="5EF7E377" w:rsidRPr="00470DF0">
        <w:rPr>
          <w:rFonts w:cs="Calibri"/>
          <w:lang w:val="en-GB"/>
        </w:rPr>
        <w:t xml:space="preserve"> of how the trials are likely to cover the two comparators and the </w:t>
      </w:r>
      <w:r w:rsidR="3036BA17" w:rsidRPr="00470DF0">
        <w:rPr>
          <w:rFonts w:cs="Calibri"/>
          <w:lang w:val="en-GB"/>
        </w:rPr>
        <w:t>four</w:t>
      </w:r>
      <w:r w:rsidR="7F830C0C" w:rsidRPr="00470DF0">
        <w:rPr>
          <w:rFonts w:cs="Calibri"/>
          <w:lang w:val="en-GB"/>
        </w:rPr>
        <w:t xml:space="preserve"> specific </w:t>
      </w:r>
      <w:r w:rsidR="5625A906" w:rsidRPr="00470DF0">
        <w:rPr>
          <w:rFonts w:cs="Calibri"/>
          <w:lang w:val="en-GB"/>
        </w:rPr>
        <w:t xml:space="preserve">components </w:t>
      </w:r>
      <w:r w:rsidR="7F830C0C" w:rsidRPr="00470DF0">
        <w:rPr>
          <w:rFonts w:cs="Calibri"/>
          <w:lang w:val="en-GB"/>
        </w:rPr>
        <w:t>of the indication.</w:t>
      </w:r>
      <w:r w:rsidR="6B8878A3" w:rsidRPr="00470DF0">
        <w:rPr>
          <w:rFonts w:cs="Calibri"/>
          <w:lang w:val="en-GB"/>
        </w:rPr>
        <w:t xml:space="preserve"> Coronary angiogram was included as a comparator </w:t>
      </w:r>
      <w:r w:rsidR="1E29CA4E" w:rsidRPr="00470DF0">
        <w:rPr>
          <w:rFonts w:cs="Calibri"/>
          <w:lang w:val="en-GB"/>
        </w:rPr>
        <w:t>in 5</w:t>
      </w:r>
      <w:r w:rsidR="4FEFB623" w:rsidRPr="00470DF0">
        <w:rPr>
          <w:rFonts w:cs="Calibri"/>
          <w:lang w:val="en-GB"/>
        </w:rPr>
        <w:t xml:space="preserve"> out of </w:t>
      </w:r>
      <w:r w:rsidR="6B8878A3" w:rsidRPr="00470DF0">
        <w:rPr>
          <w:rFonts w:cs="Calibri"/>
          <w:lang w:val="en-GB"/>
        </w:rPr>
        <w:t>6 trials with IVUS included in 3</w:t>
      </w:r>
      <w:r w:rsidR="4FEFB623" w:rsidRPr="00470DF0">
        <w:rPr>
          <w:rFonts w:cs="Calibri"/>
          <w:lang w:val="en-GB"/>
        </w:rPr>
        <w:t xml:space="preserve"> out of </w:t>
      </w:r>
      <w:r w:rsidR="6B8878A3" w:rsidRPr="00470DF0">
        <w:rPr>
          <w:rFonts w:cs="Calibri"/>
          <w:lang w:val="en-GB"/>
        </w:rPr>
        <w:t>6 trials. 3</w:t>
      </w:r>
      <w:r w:rsidR="4FEFB623" w:rsidRPr="00470DF0">
        <w:rPr>
          <w:rFonts w:cs="Calibri"/>
          <w:lang w:val="en-GB"/>
        </w:rPr>
        <w:t xml:space="preserve"> out of </w:t>
      </w:r>
      <w:r w:rsidR="6B8878A3" w:rsidRPr="00470DF0">
        <w:rPr>
          <w:rFonts w:cs="Calibri"/>
          <w:lang w:val="en-GB"/>
        </w:rPr>
        <w:t>6 trials provide</w:t>
      </w:r>
      <w:r w:rsidR="22FC7542" w:rsidRPr="00470DF0">
        <w:rPr>
          <w:rFonts w:cs="Calibri"/>
          <w:lang w:val="en-GB"/>
        </w:rPr>
        <w:t>d</w:t>
      </w:r>
      <w:r w:rsidR="6B8878A3" w:rsidRPr="00470DF0">
        <w:rPr>
          <w:rFonts w:cs="Calibri"/>
          <w:lang w:val="en-GB"/>
        </w:rPr>
        <w:t xml:space="preserve"> intermediate outcomes and were not powered for clinical events. </w:t>
      </w:r>
      <w:r w:rsidR="7F992999" w:rsidRPr="00470DF0">
        <w:rPr>
          <w:rFonts w:cs="Calibri"/>
          <w:lang w:val="en-GB"/>
        </w:rPr>
        <w:t>In terms of coverage of the proposed OCT indication</w:t>
      </w:r>
      <w:r w:rsidR="6FFD57AF" w:rsidRPr="00470DF0">
        <w:rPr>
          <w:rFonts w:cs="Calibri"/>
          <w:lang w:val="en-GB"/>
        </w:rPr>
        <w:t>,</w:t>
      </w:r>
      <w:r w:rsidR="6ED52EE4" w:rsidRPr="00470DF0">
        <w:rPr>
          <w:rFonts w:cs="Calibri"/>
          <w:lang w:val="en-GB"/>
        </w:rPr>
        <w:t xml:space="preserve"> some aspects were explicitly excluded in some trials</w:t>
      </w:r>
      <w:r w:rsidR="7F992999" w:rsidRPr="00470DF0">
        <w:rPr>
          <w:rFonts w:cs="Calibri"/>
          <w:lang w:val="en-GB"/>
        </w:rPr>
        <w:t>: l</w:t>
      </w:r>
      <w:r w:rsidR="51A337B3" w:rsidRPr="00470DF0">
        <w:rPr>
          <w:rFonts w:cs="Calibri"/>
          <w:lang w:val="en-GB"/>
        </w:rPr>
        <w:t xml:space="preserve">ong or multiple lesions </w:t>
      </w:r>
      <w:r w:rsidR="3AEA7E5C" w:rsidRPr="00470DF0">
        <w:rPr>
          <w:rFonts w:cs="Calibri"/>
          <w:lang w:val="en-GB"/>
        </w:rPr>
        <w:t>are covered</w:t>
      </w:r>
      <w:r w:rsidR="51A337B3" w:rsidRPr="00470DF0">
        <w:rPr>
          <w:rFonts w:cs="Calibri"/>
          <w:lang w:val="en-GB"/>
        </w:rPr>
        <w:t xml:space="preserve"> in all trials, bifurcation in </w:t>
      </w:r>
      <w:r w:rsidR="7F992999" w:rsidRPr="00470DF0">
        <w:rPr>
          <w:rFonts w:cs="Calibri"/>
          <w:lang w:val="en-GB"/>
        </w:rPr>
        <w:t>3</w:t>
      </w:r>
      <w:r w:rsidR="0F58E8D6" w:rsidRPr="00470DF0">
        <w:rPr>
          <w:rFonts w:cs="Calibri"/>
          <w:lang w:val="en-GB"/>
        </w:rPr>
        <w:t xml:space="preserve"> out of </w:t>
      </w:r>
      <w:r w:rsidR="7F992999" w:rsidRPr="00470DF0">
        <w:rPr>
          <w:rFonts w:cs="Calibri"/>
          <w:lang w:val="en-GB"/>
        </w:rPr>
        <w:t>6 trials, and calcification in 2</w:t>
      </w:r>
      <w:r w:rsidR="0F58E8D6" w:rsidRPr="00470DF0">
        <w:rPr>
          <w:rFonts w:cs="Calibri"/>
          <w:lang w:val="en-GB"/>
        </w:rPr>
        <w:t xml:space="preserve"> out of </w:t>
      </w:r>
      <w:r w:rsidR="7F992999" w:rsidRPr="00470DF0">
        <w:rPr>
          <w:rFonts w:cs="Calibri"/>
          <w:lang w:val="en-GB"/>
        </w:rPr>
        <w:t xml:space="preserve">6 trials. Stent failure </w:t>
      </w:r>
      <w:r w:rsidR="0040298C">
        <w:rPr>
          <w:rFonts w:cs="Calibri"/>
          <w:lang w:val="en-GB"/>
        </w:rPr>
        <w:t xml:space="preserve">with regards to </w:t>
      </w:r>
      <w:r w:rsidR="22D51EE3" w:rsidRPr="00470DF0">
        <w:rPr>
          <w:rFonts w:cs="Calibri"/>
          <w:lang w:val="en-GB"/>
        </w:rPr>
        <w:t xml:space="preserve">at least one component of </w:t>
      </w:r>
      <w:r w:rsidR="7F992999" w:rsidRPr="00470DF0">
        <w:rPr>
          <w:rFonts w:cs="Calibri"/>
          <w:lang w:val="en-GB"/>
        </w:rPr>
        <w:t>the PICO definition</w:t>
      </w:r>
      <w:r w:rsidR="00C53D72">
        <w:rPr>
          <w:rFonts w:cs="Calibri"/>
          <w:lang w:val="en-GB"/>
        </w:rPr>
        <w:t xml:space="preserve"> (i</w:t>
      </w:r>
      <w:r w:rsidR="642080A1">
        <w:rPr>
          <w:rFonts w:cs="Calibri"/>
          <w:lang w:val="en-GB"/>
        </w:rPr>
        <w:t>.</w:t>
      </w:r>
      <w:r w:rsidR="00C53D72">
        <w:rPr>
          <w:rFonts w:cs="Calibri"/>
          <w:lang w:val="en-GB"/>
        </w:rPr>
        <w:t>e. either “stent thrombosis” or “in-stent restenosis”</w:t>
      </w:r>
      <w:r w:rsidR="008A46F7">
        <w:rPr>
          <w:rFonts w:cs="Calibri"/>
          <w:lang w:val="en-GB"/>
        </w:rPr>
        <w:t>)</w:t>
      </w:r>
      <w:r w:rsidR="7F992999" w:rsidRPr="00470DF0">
        <w:rPr>
          <w:rFonts w:cs="Calibri"/>
          <w:lang w:val="en-GB"/>
        </w:rPr>
        <w:t xml:space="preserve"> </w:t>
      </w:r>
      <w:r w:rsidR="131FA54E" w:rsidRPr="00470DF0">
        <w:rPr>
          <w:rFonts w:cs="Calibri"/>
          <w:lang w:val="en-GB"/>
        </w:rPr>
        <w:t xml:space="preserve">has been </w:t>
      </w:r>
      <w:r w:rsidR="7F992999" w:rsidRPr="00470DF0">
        <w:rPr>
          <w:rFonts w:cs="Calibri"/>
          <w:lang w:val="en-GB"/>
        </w:rPr>
        <w:t>covered in 2</w:t>
      </w:r>
      <w:r w:rsidR="0F58E8D6" w:rsidRPr="00470DF0">
        <w:rPr>
          <w:rFonts w:cs="Calibri"/>
          <w:lang w:val="en-GB"/>
        </w:rPr>
        <w:t xml:space="preserve"> out of </w:t>
      </w:r>
      <w:r w:rsidR="7F992999" w:rsidRPr="00470DF0">
        <w:rPr>
          <w:rFonts w:cs="Calibri"/>
          <w:lang w:val="en-GB"/>
        </w:rPr>
        <w:t xml:space="preserve">6 trials. </w:t>
      </w:r>
    </w:p>
    <w:p w14:paraId="056BC886" w14:textId="416955B9" w:rsidR="00C00DCB" w:rsidRDefault="00C00DCB" w:rsidP="00C00DCB">
      <w:pPr>
        <w:rPr>
          <w:rFonts w:cs="Calibri"/>
          <w:lang w:val="en-GB"/>
        </w:rPr>
      </w:pPr>
      <w:r w:rsidRPr="00470DF0">
        <w:rPr>
          <w:rFonts w:cs="Calibri"/>
          <w:lang w:val="en-GB"/>
        </w:rPr>
        <w:t xml:space="preserve">Some of the trial evidence explicitly included only de novo patients which reduces the generalisability of these results for patients requiring repeat procedures. Some trials defined patient inclusion by a certain number of vessels or lesions. If a certain number of vessels or lesions is deemed more appropriate eligibility criteria for OCT this may have implications for alignment with existing MBS items for </w:t>
      </w:r>
      <w:r w:rsidR="000B7483">
        <w:rPr>
          <w:rFonts w:cs="Calibri"/>
          <w:lang w:val="en-GB"/>
        </w:rPr>
        <w:t>PCI</w:t>
      </w:r>
      <w:r w:rsidRPr="00470DF0">
        <w:rPr>
          <w:rFonts w:cs="Calibri"/>
          <w:lang w:val="en-GB"/>
        </w:rPr>
        <w:t xml:space="preserve"> where each MBS item specifies 1,2 or 3 vessel territories. </w:t>
      </w:r>
    </w:p>
    <w:p w14:paraId="75B3B9F7" w14:textId="77B1F448" w:rsidR="00C00DCB" w:rsidRPr="00470DF0" w:rsidRDefault="000A65B3" w:rsidP="00C00DCB">
      <w:pPr>
        <w:rPr>
          <w:rFonts w:cs="Calibri"/>
          <w:lang w:val="en-GB"/>
        </w:rPr>
      </w:pPr>
      <w:r>
        <w:rPr>
          <w:rFonts w:asciiTheme="minorHAnsi" w:hAnsiTheme="minorHAnsi" w:cstheme="minorHAnsi"/>
          <w:i/>
          <w:iCs/>
        </w:rPr>
        <w:t>PASC noted that calcification as an indication for the intervention was not comprehensively covered in the literature, however, there was no evidence to suggest that this should be excluded.</w:t>
      </w:r>
      <w:r w:rsidR="00B75F6B">
        <w:rPr>
          <w:rFonts w:asciiTheme="minorHAnsi" w:hAnsiTheme="minorHAnsi" w:cstheme="minorHAnsi"/>
          <w:i/>
          <w:iCs/>
        </w:rPr>
        <w:t xml:space="preserve"> </w:t>
      </w:r>
      <w:r w:rsidR="00E50B0F">
        <w:rPr>
          <w:rFonts w:asciiTheme="minorHAnsi" w:hAnsiTheme="minorHAnsi" w:cstheme="minorHAnsi"/>
          <w:i/>
          <w:iCs/>
        </w:rPr>
        <w:t>PASC noted that the</w:t>
      </w:r>
      <w:r w:rsidR="00E50B0F" w:rsidRPr="00E50B0F">
        <w:rPr>
          <w:rFonts w:asciiTheme="minorHAnsi" w:hAnsiTheme="minorHAnsi" w:cstheme="minorHAnsi"/>
          <w:i/>
          <w:iCs/>
        </w:rPr>
        <w:t xml:space="preserve"> ILUMIEN IV, OCTOBER and OCTIVUS trial have been published since the lodg</w:t>
      </w:r>
      <w:r w:rsidR="00E50B0F">
        <w:rPr>
          <w:rFonts w:asciiTheme="minorHAnsi" w:hAnsiTheme="minorHAnsi" w:cstheme="minorHAnsi"/>
          <w:i/>
          <w:iCs/>
        </w:rPr>
        <w:t>e</w:t>
      </w:r>
      <w:r w:rsidR="00E50B0F" w:rsidRPr="00E50B0F">
        <w:rPr>
          <w:rFonts w:asciiTheme="minorHAnsi" w:hAnsiTheme="minorHAnsi" w:cstheme="minorHAnsi"/>
          <w:i/>
          <w:iCs/>
        </w:rPr>
        <w:t>ment of the application</w:t>
      </w:r>
      <w:r w:rsidR="00E50B0F">
        <w:rPr>
          <w:rFonts w:asciiTheme="minorHAnsi" w:hAnsiTheme="minorHAnsi" w:cstheme="minorHAnsi"/>
          <w:i/>
          <w:iCs/>
        </w:rPr>
        <w:t xml:space="preserve">. </w:t>
      </w:r>
      <w:r w:rsidR="00E50B0F" w:rsidRPr="00E50B0F">
        <w:rPr>
          <w:rFonts w:asciiTheme="minorHAnsi" w:hAnsiTheme="minorHAnsi" w:cstheme="minorHAnsi"/>
          <w:i/>
          <w:iCs/>
        </w:rPr>
        <w:t xml:space="preserve">These trials include a </w:t>
      </w:r>
      <w:r w:rsidR="00E50B0F" w:rsidRPr="0039350D">
        <w:rPr>
          <w:rFonts w:asciiTheme="minorHAnsi" w:hAnsiTheme="minorHAnsi" w:cstheme="minorHAnsi"/>
        </w:rPr>
        <w:t>prior</w:t>
      </w:r>
      <w:r w:rsidR="0039350D">
        <w:rPr>
          <w:rFonts w:asciiTheme="minorHAnsi" w:hAnsiTheme="minorHAnsi" w:cstheme="minorHAnsi"/>
        </w:rPr>
        <w:t>i</w:t>
      </w:r>
      <w:r w:rsidR="00E50B0F" w:rsidRPr="00E50B0F">
        <w:rPr>
          <w:rFonts w:asciiTheme="minorHAnsi" w:hAnsiTheme="minorHAnsi" w:cstheme="minorHAnsi"/>
          <w:i/>
          <w:iCs/>
        </w:rPr>
        <w:t xml:space="preserve"> subgroups of the proposed </w:t>
      </w:r>
      <w:r w:rsidR="00E50B0F">
        <w:rPr>
          <w:rFonts w:asciiTheme="minorHAnsi" w:hAnsiTheme="minorHAnsi" w:cstheme="minorHAnsi"/>
          <w:i/>
          <w:iCs/>
        </w:rPr>
        <w:t>sub</w:t>
      </w:r>
      <w:r w:rsidR="00E50B0F" w:rsidRPr="00E50B0F">
        <w:rPr>
          <w:rFonts w:asciiTheme="minorHAnsi" w:hAnsiTheme="minorHAnsi" w:cstheme="minorHAnsi"/>
          <w:i/>
          <w:iCs/>
        </w:rPr>
        <w:t xml:space="preserve">populations for OCT vs AG or vs IVUS (long lesions), see </w:t>
      </w:r>
      <w:r w:rsidR="00E50B0F">
        <w:rPr>
          <w:rFonts w:asciiTheme="minorHAnsi" w:hAnsiTheme="minorHAnsi" w:cstheme="minorHAnsi"/>
          <w:i/>
          <w:iCs/>
        </w:rPr>
        <w:fldChar w:fldCharType="begin"/>
      </w:r>
      <w:r w:rsidR="00E50B0F">
        <w:rPr>
          <w:rFonts w:asciiTheme="minorHAnsi" w:hAnsiTheme="minorHAnsi" w:cstheme="minorHAnsi"/>
          <w:i/>
          <w:iCs/>
        </w:rPr>
        <w:instrText xml:space="preserve"> REF _Ref157762579 \h </w:instrText>
      </w:r>
      <w:r w:rsidR="00E50B0F">
        <w:rPr>
          <w:rFonts w:asciiTheme="minorHAnsi" w:hAnsiTheme="minorHAnsi" w:cstheme="minorHAnsi"/>
          <w:i/>
          <w:iCs/>
        </w:rPr>
      </w:r>
      <w:r w:rsidR="00E50B0F">
        <w:rPr>
          <w:rFonts w:asciiTheme="minorHAnsi" w:hAnsiTheme="minorHAnsi" w:cstheme="minorHAnsi"/>
          <w:i/>
          <w:iCs/>
        </w:rPr>
        <w:fldChar w:fldCharType="separate"/>
      </w:r>
      <w:r w:rsidR="00E50B0F">
        <w:t xml:space="preserve">Table </w:t>
      </w:r>
      <w:r w:rsidR="00E50B0F">
        <w:rPr>
          <w:noProof/>
        </w:rPr>
        <w:t>8</w:t>
      </w:r>
      <w:r w:rsidR="00E50B0F">
        <w:rPr>
          <w:rFonts w:asciiTheme="minorHAnsi" w:hAnsiTheme="minorHAnsi" w:cstheme="minorHAnsi"/>
          <w:i/>
          <w:iCs/>
        </w:rPr>
        <w:fldChar w:fldCharType="end"/>
      </w:r>
      <w:r w:rsidR="00E50B0F">
        <w:rPr>
          <w:rFonts w:asciiTheme="minorHAnsi" w:hAnsiTheme="minorHAnsi" w:cstheme="minorHAnsi"/>
          <w:i/>
          <w:iCs/>
        </w:rPr>
        <w:t>.</w:t>
      </w:r>
    </w:p>
    <w:p w14:paraId="704FCFF0" w14:textId="6A81822C" w:rsidR="00C00DCB" w:rsidRPr="00470DF0" w:rsidRDefault="00C00DCB" w:rsidP="00C00DCB">
      <w:pPr>
        <w:rPr>
          <w:rFonts w:cs="Calibri"/>
          <w:lang w:val="en-GB"/>
        </w:rPr>
        <w:sectPr w:rsidR="00C00DCB" w:rsidRPr="00470DF0" w:rsidSect="005674AC">
          <w:headerReference w:type="default" r:id="rId10"/>
          <w:footerReference w:type="even" r:id="rId11"/>
          <w:footerReference w:type="default" r:id="rId12"/>
          <w:pgSz w:w="11906" w:h="16838"/>
          <w:pgMar w:top="682" w:right="1134" w:bottom="1021" w:left="1191" w:header="709" w:footer="709" w:gutter="0"/>
          <w:cols w:space="708"/>
          <w:docGrid w:linePitch="360"/>
        </w:sectPr>
      </w:pPr>
    </w:p>
    <w:p w14:paraId="13C40714" w14:textId="77777777" w:rsidR="00C00DCB" w:rsidRPr="00470DF0" w:rsidRDefault="00C00DCB" w:rsidP="0CA6515C">
      <w:pPr>
        <w:rPr>
          <w:rFonts w:cs="Calibri"/>
          <w:lang w:val="en-GB"/>
        </w:rPr>
      </w:pPr>
    </w:p>
    <w:p w14:paraId="6D66C92E" w14:textId="7B48D3E9" w:rsidR="001E2C3A" w:rsidRPr="009C4211" w:rsidRDefault="008A4637" w:rsidP="00B47BEA">
      <w:pPr>
        <w:pStyle w:val="TableHeading"/>
      </w:pPr>
      <w:bookmarkStart w:id="10" w:name="_Ref149665395"/>
      <w:r>
        <w:t xml:space="preserve">Table </w:t>
      </w:r>
      <w:r>
        <w:fldChar w:fldCharType="begin"/>
      </w:r>
      <w:r>
        <w:instrText>SEQ Table \* ARABIC</w:instrText>
      </w:r>
      <w:r>
        <w:fldChar w:fldCharType="separate"/>
      </w:r>
      <w:r w:rsidR="00EF564A" w:rsidRPr="6306913B">
        <w:rPr>
          <w:noProof/>
        </w:rPr>
        <w:t>7</w:t>
      </w:r>
      <w:r>
        <w:fldChar w:fldCharType="end"/>
      </w:r>
      <w:bookmarkEnd w:id="10"/>
      <w:r>
        <w:t xml:space="preserve"> </w:t>
      </w:r>
      <w:r w:rsidR="50868B3D">
        <w:t>Characteristics of published trials comparing OCT with coronary angiography and/or IVUS</w:t>
      </w:r>
    </w:p>
    <w:tbl>
      <w:tblPr>
        <w:tblStyle w:val="TableGrid"/>
        <w:tblW w:w="4294" w:type="pct"/>
        <w:tblInd w:w="0" w:type="dxa"/>
        <w:tblLook w:val="04A0" w:firstRow="1" w:lastRow="0" w:firstColumn="1" w:lastColumn="0" w:noHBand="0" w:noVBand="1"/>
      </w:tblPr>
      <w:tblGrid>
        <w:gridCol w:w="1373"/>
        <w:gridCol w:w="644"/>
        <w:gridCol w:w="1265"/>
        <w:gridCol w:w="644"/>
        <w:gridCol w:w="1860"/>
        <w:gridCol w:w="2234"/>
        <w:gridCol w:w="2956"/>
        <w:gridCol w:w="2013"/>
      </w:tblGrid>
      <w:tr w:rsidR="009B7800" w14:paraId="04ACDC70" w14:textId="7410B9E0" w:rsidTr="00470DF0">
        <w:trPr>
          <w:trHeight w:val="300"/>
        </w:trPr>
        <w:tc>
          <w:tcPr>
            <w:tcW w:w="528" w:type="pct"/>
          </w:tcPr>
          <w:p w14:paraId="4D9BB725" w14:textId="320586C9" w:rsidR="009B7800" w:rsidRPr="001E5972" w:rsidRDefault="009B7800" w:rsidP="6306913B">
            <w:pPr>
              <w:pStyle w:val="TableText0"/>
              <w:rPr>
                <w:b/>
                <w:bCs/>
                <w:lang w:val="en-GB"/>
              </w:rPr>
            </w:pPr>
            <w:r w:rsidRPr="6306913B">
              <w:rPr>
                <w:b/>
                <w:bCs/>
                <w:lang w:val="en-GB"/>
              </w:rPr>
              <w:t>Study</w:t>
            </w:r>
          </w:p>
        </w:tc>
        <w:tc>
          <w:tcPr>
            <w:tcW w:w="248" w:type="pct"/>
          </w:tcPr>
          <w:p w14:paraId="46968574" w14:textId="4F776D53" w:rsidR="009B7800" w:rsidRPr="001E5972" w:rsidRDefault="009B7800" w:rsidP="6306913B">
            <w:pPr>
              <w:pStyle w:val="TableText0"/>
              <w:rPr>
                <w:b/>
                <w:bCs/>
                <w:lang w:val="en-GB"/>
              </w:rPr>
            </w:pPr>
            <w:r w:rsidRPr="6306913B">
              <w:rPr>
                <w:b/>
                <w:bCs/>
                <w:lang w:val="en-GB"/>
              </w:rPr>
              <w:t>OCT (n)</w:t>
            </w:r>
          </w:p>
        </w:tc>
        <w:tc>
          <w:tcPr>
            <w:tcW w:w="487" w:type="pct"/>
          </w:tcPr>
          <w:p w14:paraId="69CDD723" w14:textId="17BB7C88" w:rsidR="009B7800" w:rsidRPr="001E5972" w:rsidRDefault="009B7800" w:rsidP="6306913B">
            <w:pPr>
              <w:pStyle w:val="TableText0"/>
              <w:rPr>
                <w:b/>
                <w:bCs/>
                <w:lang w:val="en-GB"/>
              </w:rPr>
            </w:pPr>
            <w:r w:rsidRPr="6306913B">
              <w:rPr>
                <w:b/>
                <w:bCs/>
                <w:lang w:val="en-GB"/>
              </w:rPr>
              <w:t>Coronary angiogram alone (n)</w:t>
            </w:r>
          </w:p>
        </w:tc>
        <w:tc>
          <w:tcPr>
            <w:tcW w:w="248" w:type="pct"/>
          </w:tcPr>
          <w:p w14:paraId="18C34B9C" w14:textId="61A2FCD9" w:rsidR="009B7800" w:rsidRPr="001E5972" w:rsidRDefault="009B7800" w:rsidP="6306913B">
            <w:pPr>
              <w:pStyle w:val="TableText0"/>
              <w:rPr>
                <w:b/>
                <w:bCs/>
                <w:lang w:val="en-GB"/>
              </w:rPr>
            </w:pPr>
            <w:r w:rsidRPr="6306913B">
              <w:rPr>
                <w:b/>
                <w:bCs/>
                <w:lang w:val="en-GB"/>
              </w:rPr>
              <w:t>IVUS (n)</w:t>
            </w:r>
          </w:p>
        </w:tc>
        <w:tc>
          <w:tcPr>
            <w:tcW w:w="716" w:type="pct"/>
          </w:tcPr>
          <w:p w14:paraId="173856BF" w14:textId="538861B1" w:rsidR="009B7800" w:rsidRPr="001E5972" w:rsidRDefault="009B7800" w:rsidP="6306913B">
            <w:pPr>
              <w:pStyle w:val="TableText0"/>
              <w:rPr>
                <w:b/>
                <w:bCs/>
                <w:lang w:val="en-GB"/>
              </w:rPr>
            </w:pPr>
            <w:r w:rsidRPr="6306913B">
              <w:rPr>
                <w:b/>
                <w:bCs/>
              </w:rPr>
              <w:t>Long or multiple lesions defined as intended total stent length in any single target vessel ≥28mm</w:t>
            </w:r>
          </w:p>
        </w:tc>
        <w:tc>
          <w:tcPr>
            <w:tcW w:w="860" w:type="pct"/>
          </w:tcPr>
          <w:p w14:paraId="6764A444" w14:textId="5F2DAF1A" w:rsidR="009B7800" w:rsidRPr="001E5972" w:rsidRDefault="009B7800" w:rsidP="6306913B">
            <w:pPr>
              <w:pStyle w:val="TableText0"/>
              <w:rPr>
                <w:b/>
                <w:bCs/>
                <w:lang w:val="en-GB"/>
              </w:rPr>
            </w:pPr>
            <w:r w:rsidRPr="6306913B">
              <w:rPr>
                <w:b/>
                <w:bCs/>
              </w:rPr>
              <w:t>Bifurcation and where the planned side branch is ≥2.5mm in diameter by angiographic visual estimation</w:t>
            </w:r>
          </w:p>
        </w:tc>
        <w:tc>
          <w:tcPr>
            <w:tcW w:w="1138" w:type="pct"/>
          </w:tcPr>
          <w:p w14:paraId="1AFEBE77" w14:textId="745F5FB3" w:rsidR="009B7800" w:rsidRPr="001E5972" w:rsidRDefault="009B7800" w:rsidP="6306913B">
            <w:pPr>
              <w:pStyle w:val="TableText0"/>
              <w:rPr>
                <w:b/>
                <w:bCs/>
                <w:lang w:val="en-GB"/>
              </w:rPr>
            </w:pPr>
            <w:r w:rsidRPr="6306913B">
              <w:rPr>
                <w:b/>
                <w:bCs/>
              </w:rPr>
              <w:t>Angiographic severe calcification (defined as angiographically visible calcification on both sides of the vessel wall in the absence of cardiac motion)</w:t>
            </w:r>
          </w:p>
        </w:tc>
        <w:tc>
          <w:tcPr>
            <w:tcW w:w="776" w:type="pct"/>
          </w:tcPr>
          <w:p w14:paraId="6996C272" w14:textId="77777777" w:rsidR="009B7800" w:rsidRPr="001E5972" w:rsidRDefault="009B7800" w:rsidP="6306913B">
            <w:pPr>
              <w:pStyle w:val="TableText0"/>
              <w:rPr>
                <w:b/>
                <w:bCs/>
              </w:rPr>
            </w:pPr>
            <w:r w:rsidRPr="6306913B">
              <w:rPr>
                <w:b/>
                <w:bCs/>
              </w:rPr>
              <w:t>Stent failure including stent thrombosis, in-stent restenosis of diffuse or multi-focal pattern</w:t>
            </w:r>
          </w:p>
          <w:p w14:paraId="39DD9513" w14:textId="77777777" w:rsidR="009B7800" w:rsidRPr="001E5972" w:rsidRDefault="009B7800" w:rsidP="6306913B">
            <w:pPr>
              <w:pStyle w:val="TableText0"/>
              <w:rPr>
                <w:b/>
                <w:bCs/>
              </w:rPr>
            </w:pPr>
          </w:p>
        </w:tc>
      </w:tr>
      <w:tr w:rsidR="009B7800" w14:paraId="22F0B960" w14:textId="6D2F9970" w:rsidTr="00470DF0">
        <w:trPr>
          <w:trHeight w:val="300"/>
        </w:trPr>
        <w:tc>
          <w:tcPr>
            <w:tcW w:w="528" w:type="pct"/>
          </w:tcPr>
          <w:p w14:paraId="331A38C5" w14:textId="77777777" w:rsidR="009B7800" w:rsidRDefault="009B7800" w:rsidP="6306913B">
            <w:pPr>
              <w:pStyle w:val="TableText0"/>
              <w:rPr>
                <w:lang w:val="en-GB"/>
              </w:rPr>
            </w:pPr>
            <w:r w:rsidRPr="6306913B">
              <w:rPr>
                <w:lang w:val="en-GB"/>
              </w:rPr>
              <w:t>ILUMIEN III (RCT)</w:t>
            </w:r>
          </w:p>
          <w:p w14:paraId="769162B1" w14:textId="5D9DD7D7" w:rsidR="009B7800" w:rsidRDefault="009B7800" w:rsidP="6306913B">
            <w:pPr>
              <w:pStyle w:val="TableText0"/>
              <w:rPr>
                <w:lang w:val="en-GB"/>
              </w:rPr>
            </w:pPr>
            <w:r w:rsidRPr="6306913B">
              <w:rPr>
                <w:lang w:val="en-GB"/>
              </w:rPr>
              <w:t>Czech Republic</w:t>
            </w:r>
          </w:p>
        </w:tc>
        <w:tc>
          <w:tcPr>
            <w:tcW w:w="248" w:type="pct"/>
          </w:tcPr>
          <w:p w14:paraId="0273F97A" w14:textId="05B5772E" w:rsidR="009B7800" w:rsidRDefault="009B7800" w:rsidP="6306913B">
            <w:pPr>
              <w:pStyle w:val="TableText0"/>
              <w:rPr>
                <w:lang w:val="en-GB"/>
              </w:rPr>
            </w:pPr>
            <w:r w:rsidRPr="6306913B">
              <w:rPr>
                <w:lang w:val="en-GB"/>
              </w:rPr>
              <w:t>Yes (158)</w:t>
            </w:r>
          </w:p>
          <w:p w14:paraId="6930AB2C" w14:textId="66D08289" w:rsidR="009B7800" w:rsidRDefault="009B7800" w:rsidP="6306913B">
            <w:pPr>
              <w:pStyle w:val="TableText0"/>
              <w:rPr>
                <w:lang w:val="en-GB"/>
              </w:rPr>
            </w:pPr>
          </w:p>
        </w:tc>
        <w:tc>
          <w:tcPr>
            <w:tcW w:w="487" w:type="pct"/>
          </w:tcPr>
          <w:p w14:paraId="42840E5F" w14:textId="3CA5D7D7" w:rsidR="009B7800" w:rsidRDefault="009B7800" w:rsidP="6306913B">
            <w:pPr>
              <w:pStyle w:val="TableText0"/>
              <w:rPr>
                <w:lang w:val="en-GB"/>
              </w:rPr>
            </w:pPr>
            <w:r w:rsidRPr="6306913B">
              <w:rPr>
                <w:lang w:val="en-GB"/>
              </w:rPr>
              <w:t>Yes (146)</w:t>
            </w:r>
          </w:p>
        </w:tc>
        <w:tc>
          <w:tcPr>
            <w:tcW w:w="248" w:type="pct"/>
          </w:tcPr>
          <w:p w14:paraId="5F2825E8" w14:textId="47A25D26" w:rsidR="009B7800" w:rsidRDefault="009B7800" w:rsidP="6306913B">
            <w:pPr>
              <w:pStyle w:val="TableText0"/>
              <w:rPr>
                <w:lang w:val="en-GB"/>
              </w:rPr>
            </w:pPr>
            <w:r w:rsidRPr="6306913B">
              <w:rPr>
                <w:lang w:val="en-GB"/>
              </w:rPr>
              <w:t>Yes (146)</w:t>
            </w:r>
          </w:p>
        </w:tc>
        <w:tc>
          <w:tcPr>
            <w:tcW w:w="716" w:type="pct"/>
          </w:tcPr>
          <w:p w14:paraId="2243157E" w14:textId="31DCCF18" w:rsidR="009B7800" w:rsidRPr="00146F42" w:rsidRDefault="009B7800" w:rsidP="6306913B">
            <w:pPr>
              <w:pStyle w:val="TableText0"/>
              <w:rPr>
                <w:sz w:val="24"/>
                <w:szCs w:val="24"/>
              </w:rPr>
            </w:pPr>
            <w:r>
              <w:t>Yes</w:t>
            </w:r>
          </w:p>
        </w:tc>
        <w:tc>
          <w:tcPr>
            <w:tcW w:w="860" w:type="pct"/>
          </w:tcPr>
          <w:p w14:paraId="029C3EF2" w14:textId="4B0E5A92" w:rsidR="009B7800" w:rsidRDefault="009B7800" w:rsidP="6306913B">
            <w:pPr>
              <w:pStyle w:val="TableText0"/>
              <w:rPr>
                <w:lang w:val="en-GB"/>
              </w:rPr>
            </w:pPr>
            <w:r w:rsidRPr="6306913B">
              <w:rPr>
                <w:lang w:val="en-GB"/>
              </w:rPr>
              <w:t>Yes</w:t>
            </w:r>
          </w:p>
        </w:tc>
        <w:tc>
          <w:tcPr>
            <w:tcW w:w="1138" w:type="pct"/>
          </w:tcPr>
          <w:p w14:paraId="3F2777EC" w14:textId="6A6AFDB3" w:rsidR="009B7800" w:rsidRDefault="009B7800" w:rsidP="6306913B">
            <w:pPr>
              <w:pStyle w:val="TableText0"/>
              <w:rPr>
                <w:lang w:val="en-GB"/>
              </w:rPr>
            </w:pPr>
            <w:r w:rsidRPr="6306913B">
              <w:rPr>
                <w:lang w:val="en-GB"/>
              </w:rPr>
              <w:t>Yes</w:t>
            </w:r>
          </w:p>
        </w:tc>
        <w:tc>
          <w:tcPr>
            <w:tcW w:w="776" w:type="pct"/>
          </w:tcPr>
          <w:p w14:paraId="68306071" w14:textId="157D5F9C" w:rsidR="009B7800" w:rsidRDefault="009B7800" w:rsidP="6306913B">
            <w:pPr>
              <w:pStyle w:val="TableText0"/>
              <w:rPr>
                <w:lang w:val="en-GB"/>
              </w:rPr>
            </w:pPr>
            <w:r w:rsidRPr="6306913B">
              <w:rPr>
                <w:lang w:val="en-GB"/>
              </w:rPr>
              <w:t>Partial</w:t>
            </w:r>
          </w:p>
        </w:tc>
      </w:tr>
      <w:tr w:rsidR="009B7800" w14:paraId="38FED757" w14:textId="44AE3641" w:rsidTr="00470DF0">
        <w:trPr>
          <w:trHeight w:val="300"/>
        </w:trPr>
        <w:tc>
          <w:tcPr>
            <w:tcW w:w="528" w:type="pct"/>
          </w:tcPr>
          <w:p w14:paraId="0804680D" w14:textId="58B0E388" w:rsidR="009B7800" w:rsidRDefault="009B7800" w:rsidP="6306913B">
            <w:pPr>
              <w:pStyle w:val="TableText0"/>
              <w:rPr>
                <w:lang w:val="en-GB"/>
              </w:rPr>
            </w:pPr>
            <w:r w:rsidRPr="6306913B">
              <w:rPr>
                <w:lang w:val="en-GB"/>
              </w:rPr>
              <w:t>OPINION (non-inferiority RCT) Japan</w:t>
            </w:r>
          </w:p>
        </w:tc>
        <w:tc>
          <w:tcPr>
            <w:tcW w:w="248" w:type="pct"/>
          </w:tcPr>
          <w:p w14:paraId="3D7E209C" w14:textId="1BA8A17D" w:rsidR="009B7800" w:rsidRDefault="009B7800" w:rsidP="6306913B">
            <w:pPr>
              <w:pStyle w:val="TableText0"/>
              <w:rPr>
                <w:lang w:val="en-GB"/>
              </w:rPr>
            </w:pPr>
            <w:r w:rsidRPr="6306913B">
              <w:rPr>
                <w:lang w:val="en-GB"/>
              </w:rPr>
              <w:t>Yes (414)</w:t>
            </w:r>
          </w:p>
        </w:tc>
        <w:tc>
          <w:tcPr>
            <w:tcW w:w="487" w:type="pct"/>
          </w:tcPr>
          <w:p w14:paraId="2C187BD6" w14:textId="0F5399CD" w:rsidR="009B7800" w:rsidRDefault="009B7800" w:rsidP="6306913B">
            <w:pPr>
              <w:pStyle w:val="TableText0"/>
              <w:rPr>
                <w:lang w:val="en-GB"/>
              </w:rPr>
            </w:pPr>
            <w:r w:rsidRPr="6306913B">
              <w:rPr>
                <w:lang w:val="en-GB"/>
              </w:rPr>
              <w:t>-</w:t>
            </w:r>
          </w:p>
        </w:tc>
        <w:tc>
          <w:tcPr>
            <w:tcW w:w="248" w:type="pct"/>
          </w:tcPr>
          <w:p w14:paraId="425394A9" w14:textId="398DDBCE" w:rsidR="009B7800" w:rsidRDefault="009B7800" w:rsidP="6306913B">
            <w:pPr>
              <w:pStyle w:val="TableText0"/>
              <w:rPr>
                <w:lang w:val="en-GB"/>
              </w:rPr>
            </w:pPr>
            <w:r w:rsidRPr="6306913B">
              <w:rPr>
                <w:lang w:val="en-GB"/>
              </w:rPr>
              <w:t>Yes (415)</w:t>
            </w:r>
          </w:p>
        </w:tc>
        <w:tc>
          <w:tcPr>
            <w:tcW w:w="716" w:type="pct"/>
          </w:tcPr>
          <w:p w14:paraId="1B7B0205" w14:textId="468413D4" w:rsidR="009B7800" w:rsidRDefault="009B7800" w:rsidP="6306913B">
            <w:pPr>
              <w:pStyle w:val="TableText0"/>
              <w:rPr>
                <w:lang w:val="en-GB"/>
              </w:rPr>
            </w:pPr>
            <w:r w:rsidRPr="6306913B">
              <w:rPr>
                <w:lang w:val="en-GB"/>
              </w:rPr>
              <w:t>Yes</w:t>
            </w:r>
          </w:p>
        </w:tc>
        <w:tc>
          <w:tcPr>
            <w:tcW w:w="860" w:type="pct"/>
          </w:tcPr>
          <w:p w14:paraId="59093F80" w14:textId="258994EF" w:rsidR="009B7800" w:rsidRDefault="009B7800" w:rsidP="6306913B">
            <w:pPr>
              <w:pStyle w:val="TableText0"/>
              <w:rPr>
                <w:lang w:val="en-GB"/>
              </w:rPr>
            </w:pPr>
            <w:r w:rsidRPr="6306913B">
              <w:rPr>
                <w:lang w:val="en-GB"/>
              </w:rPr>
              <w:t>Yes</w:t>
            </w:r>
          </w:p>
        </w:tc>
        <w:tc>
          <w:tcPr>
            <w:tcW w:w="1138" w:type="pct"/>
          </w:tcPr>
          <w:p w14:paraId="52D5E87E" w14:textId="5AAC602B" w:rsidR="009B7800" w:rsidRDefault="009B7800" w:rsidP="6306913B">
            <w:pPr>
              <w:pStyle w:val="TableText0"/>
              <w:rPr>
                <w:lang w:val="en-GB"/>
              </w:rPr>
            </w:pPr>
            <w:r w:rsidRPr="6306913B">
              <w:rPr>
                <w:lang w:val="en-GB"/>
              </w:rPr>
              <w:t>-</w:t>
            </w:r>
          </w:p>
        </w:tc>
        <w:tc>
          <w:tcPr>
            <w:tcW w:w="776" w:type="pct"/>
          </w:tcPr>
          <w:p w14:paraId="7344FF30" w14:textId="2CB9C082" w:rsidR="009B7800" w:rsidRDefault="009B7800" w:rsidP="6306913B">
            <w:pPr>
              <w:pStyle w:val="TableText0"/>
              <w:rPr>
                <w:lang w:val="en-GB"/>
              </w:rPr>
            </w:pPr>
            <w:r w:rsidRPr="6306913B">
              <w:rPr>
                <w:lang w:val="en-GB"/>
              </w:rPr>
              <w:t>Excluded</w:t>
            </w:r>
          </w:p>
        </w:tc>
      </w:tr>
      <w:tr w:rsidR="009B7800" w14:paraId="4ADCDD36" w14:textId="42FE77E1" w:rsidTr="00470DF0">
        <w:trPr>
          <w:trHeight w:val="300"/>
        </w:trPr>
        <w:tc>
          <w:tcPr>
            <w:tcW w:w="528" w:type="pct"/>
          </w:tcPr>
          <w:p w14:paraId="2397E4AC" w14:textId="2D686763" w:rsidR="009B7800" w:rsidRDefault="009B7800" w:rsidP="6306913B">
            <w:pPr>
              <w:pStyle w:val="TableText0"/>
              <w:rPr>
                <w:lang w:val="en-GB"/>
              </w:rPr>
            </w:pPr>
            <w:r w:rsidRPr="6306913B">
              <w:rPr>
                <w:lang w:val="en-GB"/>
              </w:rPr>
              <w:t>DOCTORS (RCT) France</w:t>
            </w:r>
          </w:p>
        </w:tc>
        <w:tc>
          <w:tcPr>
            <w:tcW w:w="248" w:type="pct"/>
          </w:tcPr>
          <w:p w14:paraId="657EDF67" w14:textId="3FDEB8AB" w:rsidR="009B7800" w:rsidRDefault="009B7800" w:rsidP="6306913B">
            <w:pPr>
              <w:pStyle w:val="TableText0"/>
              <w:rPr>
                <w:lang w:val="en-GB"/>
              </w:rPr>
            </w:pPr>
            <w:r w:rsidRPr="6306913B">
              <w:rPr>
                <w:lang w:val="en-GB"/>
              </w:rPr>
              <w:t>Yes (12)</w:t>
            </w:r>
          </w:p>
        </w:tc>
        <w:tc>
          <w:tcPr>
            <w:tcW w:w="487" w:type="pct"/>
          </w:tcPr>
          <w:p w14:paraId="152C5994" w14:textId="00D2420A" w:rsidR="009B7800" w:rsidRDefault="009B7800" w:rsidP="6306913B">
            <w:pPr>
              <w:pStyle w:val="TableText0"/>
              <w:rPr>
                <w:lang w:val="en-GB"/>
              </w:rPr>
            </w:pPr>
            <w:r w:rsidRPr="6306913B">
              <w:rPr>
                <w:lang w:val="en-GB"/>
              </w:rPr>
              <w:t>Yes (120)</w:t>
            </w:r>
          </w:p>
        </w:tc>
        <w:tc>
          <w:tcPr>
            <w:tcW w:w="248" w:type="pct"/>
          </w:tcPr>
          <w:p w14:paraId="617533FE" w14:textId="037B6F3C" w:rsidR="009B7800" w:rsidRDefault="009B7800" w:rsidP="6306913B">
            <w:pPr>
              <w:pStyle w:val="TableText0"/>
              <w:rPr>
                <w:lang w:val="en-GB"/>
              </w:rPr>
            </w:pPr>
            <w:r w:rsidRPr="6306913B">
              <w:rPr>
                <w:lang w:val="en-GB"/>
              </w:rPr>
              <w:t>-</w:t>
            </w:r>
          </w:p>
        </w:tc>
        <w:tc>
          <w:tcPr>
            <w:tcW w:w="716" w:type="pct"/>
          </w:tcPr>
          <w:p w14:paraId="68587E13" w14:textId="701ED127" w:rsidR="009B7800" w:rsidRDefault="009B7800" w:rsidP="6306913B">
            <w:pPr>
              <w:pStyle w:val="TableText0"/>
              <w:rPr>
                <w:lang w:val="en-GB"/>
              </w:rPr>
            </w:pPr>
            <w:r w:rsidRPr="6306913B">
              <w:rPr>
                <w:lang w:val="en-GB"/>
              </w:rPr>
              <w:t>Partial (single)</w:t>
            </w:r>
          </w:p>
        </w:tc>
        <w:tc>
          <w:tcPr>
            <w:tcW w:w="860" w:type="pct"/>
          </w:tcPr>
          <w:p w14:paraId="25E980D6" w14:textId="0109F782" w:rsidR="009B7800" w:rsidRDefault="009B7800" w:rsidP="6306913B">
            <w:pPr>
              <w:pStyle w:val="TableText0"/>
              <w:rPr>
                <w:lang w:val="en-GB"/>
              </w:rPr>
            </w:pPr>
            <w:r w:rsidRPr="6306913B">
              <w:rPr>
                <w:lang w:val="en-GB"/>
              </w:rPr>
              <w:t>-</w:t>
            </w:r>
          </w:p>
        </w:tc>
        <w:tc>
          <w:tcPr>
            <w:tcW w:w="1138" w:type="pct"/>
          </w:tcPr>
          <w:p w14:paraId="0A0054BB" w14:textId="003AFD2A" w:rsidR="009B7800" w:rsidRDefault="009B7800" w:rsidP="6306913B">
            <w:pPr>
              <w:pStyle w:val="TableText0"/>
              <w:rPr>
                <w:lang w:val="en-GB"/>
              </w:rPr>
            </w:pPr>
            <w:r w:rsidRPr="6306913B">
              <w:rPr>
                <w:lang w:val="en-GB"/>
              </w:rPr>
              <w:t>Excluded</w:t>
            </w:r>
          </w:p>
        </w:tc>
        <w:tc>
          <w:tcPr>
            <w:tcW w:w="776" w:type="pct"/>
          </w:tcPr>
          <w:p w14:paraId="49BF4C3F" w14:textId="17BBDC29" w:rsidR="009B7800" w:rsidRDefault="009B7800" w:rsidP="6306913B">
            <w:pPr>
              <w:pStyle w:val="TableText0"/>
              <w:rPr>
                <w:lang w:val="en-GB"/>
              </w:rPr>
            </w:pPr>
            <w:r w:rsidRPr="6306913B">
              <w:rPr>
                <w:lang w:val="en-GB"/>
              </w:rPr>
              <w:t>Excluded</w:t>
            </w:r>
          </w:p>
        </w:tc>
      </w:tr>
      <w:tr w:rsidR="009B7800" w14:paraId="7A7F391D" w14:textId="45F5BC89" w:rsidTr="00470DF0">
        <w:trPr>
          <w:trHeight w:val="300"/>
        </w:trPr>
        <w:tc>
          <w:tcPr>
            <w:tcW w:w="528" w:type="pct"/>
          </w:tcPr>
          <w:p w14:paraId="161F2FAB" w14:textId="7C0CDA8C" w:rsidR="009B7800" w:rsidRDefault="009B7800" w:rsidP="6306913B">
            <w:pPr>
              <w:pStyle w:val="TableText0"/>
              <w:rPr>
                <w:lang w:val="en-GB"/>
              </w:rPr>
            </w:pPr>
            <w:r w:rsidRPr="6306913B">
              <w:rPr>
                <w:lang w:val="en-GB"/>
              </w:rPr>
              <w:t>OCTACS (RCT) Denmark</w:t>
            </w:r>
          </w:p>
        </w:tc>
        <w:tc>
          <w:tcPr>
            <w:tcW w:w="248" w:type="pct"/>
          </w:tcPr>
          <w:p w14:paraId="467AC19C" w14:textId="41B8C4DF" w:rsidR="009B7800" w:rsidRDefault="009B7800" w:rsidP="6306913B">
            <w:pPr>
              <w:pStyle w:val="TableText0"/>
              <w:rPr>
                <w:lang w:val="en-GB"/>
              </w:rPr>
            </w:pPr>
            <w:r w:rsidRPr="6306913B">
              <w:rPr>
                <w:lang w:val="en-GB"/>
              </w:rPr>
              <w:t>Yes (50)</w:t>
            </w:r>
          </w:p>
        </w:tc>
        <w:tc>
          <w:tcPr>
            <w:tcW w:w="487" w:type="pct"/>
          </w:tcPr>
          <w:p w14:paraId="45747ECC" w14:textId="367B3CDB" w:rsidR="009B7800" w:rsidRDefault="009B7800" w:rsidP="6306913B">
            <w:pPr>
              <w:pStyle w:val="TableText0"/>
              <w:rPr>
                <w:lang w:val="en-GB"/>
              </w:rPr>
            </w:pPr>
            <w:r w:rsidRPr="6306913B">
              <w:rPr>
                <w:lang w:val="en-GB"/>
              </w:rPr>
              <w:t>Yes (50)</w:t>
            </w:r>
          </w:p>
        </w:tc>
        <w:tc>
          <w:tcPr>
            <w:tcW w:w="248" w:type="pct"/>
          </w:tcPr>
          <w:p w14:paraId="2131437C" w14:textId="68BDA1EC" w:rsidR="009B7800" w:rsidRDefault="009B7800" w:rsidP="6306913B">
            <w:pPr>
              <w:pStyle w:val="TableText0"/>
              <w:rPr>
                <w:lang w:val="en-GB"/>
              </w:rPr>
            </w:pPr>
            <w:r w:rsidRPr="6306913B">
              <w:rPr>
                <w:lang w:val="en-GB"/>
              </w:rPr>
              <w:t>-</w:t>
            </w:r>
          </w:p>
        </w:tc>
        <w:tc>
          <w:tcPr>
            <w:tcW w:w="716" w:type="pct"/>
          </w:tcPr>
          <w:p w14:paraId="79F6AAAF" w14:textId="038081CE" w:rsidR="009B7800" w:rsidRDefault="009B7800" w:rsidP="6306913B">
            <w:pPr>
              <w:pStyle w:val="TableText0"/>
              <w:rPr>
                <w:lang w:val="en-GB"/>
              </w:rPr>
            </w:pPr>
            <w:r w:rsidRPr="6306913B">
              <w:rPr>
                <w:lang w:val="en-GB"/>
              </w:rPr>
              <w:t>Yes</w:t>
            </w:r>
          </w:p>
        </w:tc>
        <w:tc>
          <w:tcPr>
            <w:tcW w:w="860" w:type="pct"/>
          </w:tcPr>
          <w:p w14:paraId="06FEF616" w14:textId="40E0CCA7" w:rsidR="009B7800" w:rsidRDefault="009B7800" w:rsidP="6306913B">
            <w:pPr>
              <w:pStyle w:val="TableText0"/>
              <w:rPr>
                <w:lang w:val="en-GB"/>
              </w:rPr>
            </w:pPr>
            <w:r w:rsidRPr="6306913B">
              <w:rPr>
                <w:lang w:val="en-GB"/>
              </w:rPr>
              <w:t>Excluded</w:t>
            </w:r>
          </w:p>
        </w:tc>
        <w:tc>
          <w:tcPr>
            <w:tcW w:w="1138" w:type="pct"/>
          </w:tcPr>
          <w:p w14:paraId="7E335CDD" w14:textId="39374430" w:rsidR="009B7800" w:rsidRDefault="009B7800" w:rsidP="6306913B">
            <w:pPr>
              <w:pStyle w:val="TableText0"/>
              <w:rPr>
                <w:lang w:val="en-GB"/>
              </w:rPr>
            </w:pPr>
            <w:r w:rsidRPr="6306913B">
              <w:rPr>
                <w:lang w:val="en-GB"/>
              </w:rPr>
              <w:t>-</w:t>
            </w:r>
          </w:p>
        </w:tc>
        <w:tc>
          <w:tcPr>
            <w:tcW w:w="776" w:type="pct"/>
          </w:tcPr>
          <w:p w14:paraId="137E974E" w14:textId="4D1AAB46" w:rsidR="009B7800" w:rsidRDefault="009B7800" w:rsidP="6306913B">
            <w:pPr>
              <w:pStyle w:val="TableText0"/>
              <w:rPr>
                <w:lang w:val="en-GB"/>
              </w:rPr>
            </w:pPr>
            <w:r w:rsidRPr="6306913B">
              <w:rPr>
                <w:lang w:val="en-GB"/>
              </w:rPr>
              <w:t>Excluded</w:t>
            </w:r>
          </w:p>
        </w:tc>
      </w:tr>
      <w:tr w:rsidR="009B7800" w14:paraId="2310BB16" w14:textId="77777777" w:rsidTr="00470DF0">
        <w:trPr>
          <w:trHeight w:val="300"/>
        </w:trPr>
        <w:tc>
          <w:tcPr>
            <w:tcW w:w="528" w:type="pct"/>
          </w:tcPr>
          <w:p w14:paraId="6E272E15" w14:textId="77777777" w:rsidR="009B7800" w:rsidRDefault="009B7800" w:rsidP="6306913B">
            <w:pPr>
              <w:pStyle w:val="TableText0"/>
              <w:rPr>
                <w:lang w:val="en-GB"/>
              </w:rPr>
            </w:pPr>
            <w:r w:rsidRPr="6306913B">
              <w:rPr>
                <w:lang w:val="en-GB"/>
              </w:rPr>
              <w:t>ROBUST (RCT)</w:t>
            </w:r>
          </w:p>
          <w:p w14:paraId="60FA3782" w14:textId="16301065" w:rsidR="009B7800" w:rsidRDefault="009B7800" w:rsidP="6306913B">
            <w:pPr>
              <w:pStyle w:val="TableText0"/>
              <w:rPr>
                <w:lang w:val="en-GB"/>
              </w:rPr>
            </w:pPr>
            <w:r w:rsidRPr="6306913B">
              <w:rPr>
                <w:lang w:val="en-GB"/>
              </w:rPr>
              <w:t>Czech Republic</w:t>
            </w:r>
          </w:p>
        </w:tc>
        <w:tc>
          <w:tcPr>
            <w:tcW w:w="248" w:type="pct"/>
          </w:tcPr>
          <w:p w14:paraId="7A305036" w14:textId="44E2B20D" w:rsidR="009B7800" w:rsidRDefault="009B7800" w:rsidP="6306913B">
            <w:pPr>
              <w:pStyle w:val="TableText0"/>
              <w:rPr>
                <w:lang w:val="en-GB"/>
              </w:rPr>
            </w:pPr>
            <w:r w:rsidRPr="6306913B">
              <w:rPr>
                <w:lang w:val="en-GB"/>
              </w:rPr>
              <w:t>Yes (105)</w:t>
            </w:r>
          </w:p>
        </w:tc>
        <w:tc>
          <w:tcPr>
            <w:tcW w:w="487" w:type="pct"/>
          </w:tcPr>
          <w:p w14:paraId="2A822D97" w14:textId="26377214" w:rsidR="009B7800" w:rsidRDefault="009B7800" w:rsidP="6306913B">
            <w:pPr>
              <w:pStyle w:val="TableText0"/>
              <w:rPr>
                <w:lang w:val="en-GB"/>
              </w:rPr>
            </w:pPr>
            <w:r w:rsidRPr="6306913B">
              <w:rPr>
                <w:lang w:val="en-GB"/>
              </w:rPr>
              <w:t>Yes (96)</w:t>
            </w:r>
          </w:p>
        </w:tc>
        <w:tc>
          <w:tcPr>
            <w:tcW w:w="248" w:type="pct"/>
          </w:tcPr>
          <w:p w14:paraId="5F1BCB00" w14:textId="06F748D9" w:rsidR="009B7800" w:rsidRDefault="009B7800" w:rsidP="6306913B">
            <w:pPr>
              <w:pStyle w:val="TableText0"/>
              <w:rPr>
                <w:lang w:val="en-GB"/>
              </w:rPr>
            </w:pPr>
            <w:r w:rsidRPr="6306913B">
              <w:rPr>
                <w:lang w:val="en-GB"/>
              </w:rPr>
              <w:t>-</w:t>
            </w:r>
          </w:p>
        </w:tc>
        <w:tc>
          <w:tcPr>
            <w:tcW w:w="716" w:type="pct"/>
          </w:tcPr>
          <w:p w14:paraId="4847B456" w14:textId="616B1CC8" w:rsidR="009B7800" w:rsidRDefault="009B7800" w:rsidP="6306913B">
            <w:pPr>
              <w:pStyle w:val="TableText0"/>
              <w:rPr>
                <w:lang w:val="en-GB"/>
              </w:rPr>
            </w:pPr>
            <w:r w:rsidRPr="6306913B">
              <w:rPr>
                <w:lang w:val="en-GB"/>
              </w:rPr>
              <w:t>Yes</w:t>
            </w:r>
          </w:p>
        </w:tc>
        <w:tc>
          <w:tcPr>
            <w:tcW w:w="860" w:type="pct"/>
          </w:tcPr>
          <w:p w14:paraId="01DE3252" w14:textId="11A3DABF" w:rsidR="009B7800" w:rsidRDefault="009B7800" w:rsidP="6306913B">
            <w:pPr>
              <w:pStyle w:val="TableText0"/>
              <w:rPr>
                <w:lang w:val="en-GB"/>
              </w:rPr>
            </w:pPr>
            <w:r w:rsidRPr="6306913B">
              <w:rPr>
                <w:lang w:val="en-GB"/>
              </w:rPr>
              <w:t>-</w:t>
            </w:r>
          </w:p>
        </w:tc>
        <w:tc>
          <w:tcPr>
            <w:tcW w:w="1138" w:type="pct"/>
          </w:tcPr>
          <w:p w14:paraId="443D168E" w14:textId="2870C5B0" w:rsidR="009B7800" w:rsidRDefault="009B7800" w:rsidP="6306913B">
            <w:pPr>
              <w:pStyle w:val="TableText0"/>
              <w:rPr>
                <w:lang w:val="en-GB"/>
              </w:rPr>
            </w:pPr>
            <w:r w:rsidRPr="6306913B">
              <w:rPr>
                <w:lang w:val="en-GB"/>
              </w:rPr>
              <w:t>-</w:t>
            </w:r>
          </w:p>
        </w:tc>
        <w:tc>
          <w:tcPr>
            <w:tcW w:w="776" w:type="pct"/>
          </w:tcPr>
          <w:p w14:paraId="76972A37" w14:textId="30942AE3" w:rsidR="009B7800" w:rsidRDefault="009B7800" w:rsidP="6306913B">
            <w:pPr>
              <w:pStyle w:val="TableText0"/>
              <w:rPr>
                <w:lang w:val="en-GB"/>
              </w:rPr>
            </w:pPr>
            <w:r w:rsidRPr="6306913B">
              <w:rPr>
                <w:lang w:val="en-GB"/>
              </w:rPr>
              <w:t>-</w:t>
            </w:r>
          </w:p>
        </w:tc>
      </w:tr>
      <w:tr w:rsidR="009B7800" w14:paraId="7961CB56" w14:textId="77777777" w:rsidTr="00470DF0">
        <w:trPr>
          <w:trHeight w:val="300"/>
        </w:trPr>
        <w:tc>
          <w:tcPr>
            <w:tcW w:w="528" w:type="pct"/>
          </w:tcPr>
          <w:p w14:paraId="7B849B5E" w14:textId="77777777" w:rsidR="009B7800" w:rsidRDefault="009B7800" w:rsidP="6306913B">
            <w:pPr>
              <w:pStyle w:val="TableText0"/>
              <w:rPr>
                <w:lang w:val="en-GB"/>
              </w:rPr>
            </w:pPr>
            <w:r w:rsidRPr="6306913B">
              <w:rPr>
                <w:lang w:val="en-GB"/>
              </w:rPr>
              <w:t>RENOVATE (RCT)</w:t>
            </w:r>
          </w:p>
          <w:p w14:paraId="57C20273" w14:textId="51032B3A" w:rsidR="009B7800" w:rsidRDefault="009B7800" w:rsidP="6306913B">
            <w:pPr>
              <w:pStyle w:val="TableText0"/>
              <w:rPr>
                <w:lang w:val="en-GB"/>
              </w:rPr>
            </w:pPr>
            <w:r w:rsidRPr="6306913B">
              <w:rPr>
                <w:lang w:val="en-GB"/>
              </w:rPr>
              <w:t>South Korea</w:t>
            </w:r>
          </w:p>
        </w:tc>
        <w:tc>
          <w:tcPr>
            <w:tcW w:w="248" w:type="pct"/>
          </w:tcPr>
          <w:p w14:paraId="48E4D3D0" w14:textId="2063073B" w:rsidR="009B7800" w:rsidRDefault="009B7800" w:rsidP="6306913B">
            <w:pPr>
              <w:pStyle w:val="TableText0"/>
              <w:rPr>
                <w:lang w:val="en-GB"/>
              </w:rPr>
            </w:pPr>
            <w:r w:rsidRPr="6306913B">
              <w:rPr>
                <w:lang w:val="en-GB"/>
              </w:rPr>
              <w:t>Yes (278)</w:t>
            </w:r>
          </w:p>
        </w:tc>
        <w:tc>
          <w:tcPr>
            <w:tcW w:w="487" w:type="pct"/>
          </w:tcPr>
          <w:p w14:paraId="0D9EAAD5" w14:textId="1FF3D563" w:rsidR="009B7800" w:rsidRDefault="009B7800" w:rsidP="6306913B">
            <w:pPr>
              <w:pStyle w:val="TableText0"/>
              <w:rPr>
                <w:lang w:val="en-GB"/>
              </w:rPr>
            </w:pPr>
            <w:r w:rsidRPr="6306913B">
              <w:rPr>
                <w:lang w:val="en-GB"/>
              </w:rPr>
              <w:t>Yes (534)</w:t>
            </w:r>
          </w:p>
        </w:tc>
        <w:tc>
          <w:tcPr>
            <w:tcW w:w="248" w:type="pct"/>
          </w:tcPr>
          <w:p w14:paraId="1B0C5FCF" w14:textId="5CB5DFBD" w:rsidR="009B7800" w:rsidRDefault="009B7800" w:rsidP="6306913B">
            <w:pPr>
              <w:pStyle w:val="TableText0"/>
              <w:rPr>
                <w:lang w:val="en-GB"/>
              </w:rPr>
            </w:pPr>
            <w:r w:rsidRPr="6306913B">
              <w:rPr>
                <w:lang w:val="en-GB"/>
              </w:rPr>
              <w:t>Yes (813)</w:t>
            </w:r>
          </w:p>
        </w:tc>
        <w:tc>
          <w:tcPr>
            <w:tcW w:w="716" w:type="pct"/>
          </w:tcPr>
          <w:p w14:paraId="44C4450B" w14:textId="4705EC8D" w:rsidR="009B7800" w:rsidRDefault="009B7800" w:rsidP="6306913B">
            <w:pPr>
              <w:pStyle w:val="TableText0"/>
              <w:rPr>
                <w:lang w:val="en-GB"/>
              </w:rPr>
            </w:pPr>
            <w:r w:rsidRPr="6306913B">
              <w:rPr>
                <w:lang w:val="en-GB"/>
              </w:rPr>
              <w:t>Yes</w:t>
            </w:r>
          </w:p>
        </w:tc>
        <w:tc>
          <w:tcPr>
            <w:tcW w:w="860" w:type="pct"/>
          </w:tcPr>
          <w:p w14:paraId="38997D5B" w14:textId="31677A97" w:rsidR="009B7800" w:rsidRDefault="009B7800" w:rsidP="6306913B">
            <w:pPr>
              <w:pStyle w:val="TableText0"/>
              <w:rPr>
                <w:lang w:val="en-GB"/>
              </w:rPr>
            </w:pPr>
            <w:r w:rsidRPr="6306913B">
              <w:rPr>
                <w:lang w:val="en-GB"/>
              </w:rPr>
              <w:t>Yes</w:t>
            </w:r>
          </w:p>
        </w:tc>
        <w:tc>
          <w:tcPr>
            <w:tcW w:w="1138" w:type="pct"/>
          </w:tcPr>
          <w:p w14:paraId="736AD509" w14:textId="5FDC5706" w:rsidR="009B7800" w:rsidRDefault="009B7800" w:rsidP="6306913B">
            <w:pPr>
              <w:pStyle w:val="TableText0"/>
              <w:rPr>
                <w:lang w:val="en-GB"/>
              </w:rPr>
            </w:pPr>
            <w:r w:rsidRPr="6306913B">
              <w:rPr>
                <w:lang w:val="en-GB"/>
              </w:rPr>
              <w:t>Yes</w:t>
            </w:r>
          </w:p>
        </w:tc>
        <w:tc>
          <w:tcPr>
            <w:tcW w:w="776" w:type="pct"/>
          </w:tcPr>
          <w:p w14:paraId="647BB753" w14:textId="74B02BF4" w:rsidR="009B7800" w:rsidRDefault="009B7800" w:rsidP="6306913B">
            <w:pPr>
              <w:pStyle w:val="TableText0"/>
              <w:rPr>
                <w:lang w:val="en-GB"/>
              </w:rPr>
            </w:pPr>
            <w:r w:rsidRPr="6306913B">
              <w:rPr>
                <w:lang w:val="en-GB"/>
              </w:rPr>
              <w:t>Partial (in stent stenosis)</w:t>
            </w:r>
          </w:p>
        </w:tc>
      </w:tr>
    </w:tbl>
    <w:p w14:paraId="3C32BE20" w14:textId="77777777" w:rsidR="000905F0" w:rsidRDefault="572AB622" w:rsidP="289F053C">
      <w:pPr>
        <w:pStyle w:val="Tablenotes"/>
        <w:rPr>
          <w:lang w:val="en-GB"/>
        </w:rPr>
      </w:pPr>
      <w:r w:rsidRPr="6306913B">
        <w:rPr>
          <w:lang w:val="en-GB"/>
        </w:rPr>
        <w:t>IVUS = Intravenous ultrasound, OCT = Optical coherence tomography, RCT = Randomised controlled trial</w:t>
      </w:r>
      <w:r w:rsidR="3C96ACD8" w:rsidRPr="6306913B">
        <w:rPr>
          <w:lang w:val="en-GB"/>
        </w:rPr>
        <w:t>.</w:t>
      </w:r>
    </w:p>
    <w:p w14:paraId="4D9842AB" w14:textId="77777777" w:rsidR="00820A17" w:rsidRDefault="00820A17" w:rsidP="289F053C">
      <w:pPr>
        <w:pStyle w:val="Tablenotes"/>
        <w:rPr>
          <w:lang w:val="en-GB"/>
        </w:rPr>
      </w:pPr>
    </w:p>
    <w:p w14:paraId="274A4669" w14:textId="59A4589C" w:rsidR="000905F0" w:rsidRDefault="000905F0" w:rsidP="289F053C">
      <w:pPr>
        <w:pStyle w:val="Tablenotes"/>
        <w:rPr>
          <w:lang w:val="en-GB"/>
        </w:rPr>
        <w:sectPr w:rsidR="000905F0" w:rsidSect="005674AC">
          <w:headerReference w:type="default" r:id="rId13"/>
          <w:pgSz w:w="16838" w:h="11906" w:orient="landscape"/>
          <w:pgMar w:top="1191" w:right="682" w:bottom="1134" w:left="1021" w:header="709" w:footer="709" w:gutter="0"/>
          <w:cols w:space="708"/>
          <w:docGrid w:linePitch="360"/>
        </w:sectPr>
      </w:pPr>
    </w:p>
    <w:p w14:paraId="471F85E0" w14:textId="117F696A" w:rsidR="00C136A1" w:rsidRDefault="00C136A1" w:rsidP="00FF6DF6">
      <w:pPr>
        <w:pStyle w:val="Caption"/>
        <w:spacing w:before="0"/>
      </w:pPr>
      <w:bookmarkStart w:id="11" w:name="_Ref157762579"/>
      <w:r>
        <w:lastRenderedPageBreak/>
        <w:t xml:space="preserve">Table </w:t>
      </w:r>
      <w:r>
        <w:fldChar w:fldCharType="begin"/>
      </w:r>
      <w:r>
        <w:instrText xml:space="preserve"> SEQ Table \* ARABIC </w:instrText>
      </w:r>
      <w:r>
        <w:fldChar w:fldCharType="separate"/>
      </w:r>
      <w:r>
        <w:rPr>
          <w:noProof/>
        </w:rPr>
        <w:t>8</w:t>
      </w:r>
      <w:r>
        <w:fldChar w:fldCharType="end"/>
      </w:r>
      <w:bookmarkEnd w:id="11"/>
      <w:r>
        <w:t xml:space="preserve"> Pivotal studies published after the application by subpopulation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1477"/>
        <w:gridCol w:w="1917"/>
        <w:gridCol w:w="1917"/>
        <w:gridCol w:w="1917"/>
      </w:tblGrid>
      <w:tr w:rsidR="00820A17" w:rsidRPr="00820A17" w14:paraId="35B21C41" w14:textId="77777777" w:rsidTr="00820A17">
        <w:trPr>
          <w:trHeight w:val="300"/>
        </w:trPr>
        <w:tc>
          <w:tcPr>
            <w:tcW w:w="1222" w:type="pct"/>
            <w:tcBorders>
              <w:top w:val="single" w:sz="6" w:space="0" w:color="auto"/>
              <w:left w:val="single" w:sz="6" w:space="0" w:color="auto"/>
              <w:bottom w:val="single" w:sz="6" w:space="0" w:color="auto"/>
              <w:right w:val="single" w:sz="6" w:space="0" w:color="auto"/>
            </w:tcBorders>
            <w:shd w:val="clear" w:color="auto" w:fill="auto"/>
            <w:hideMark/>
          </w:tcPr>
          <w:p w14:paraId="4D5EFCAE" w14:textId="77777777" w:rsidR="00820A17" w:rsidRPr="00820A17" w:rsidRDefault="00820A17" w:rsidP="00820A17">
            <w:pPr>
              <w:pStyle w:val="TableHeading"/>
              <w:rPr>
                <w:rFonts w:eastAsiaTheme="majorEastAsia"/>
              </w:rPr>
            </w:pPr>
            <w:r w:rsidRPr="00820A17">
              <w:rPr>
                <w:rFonts w:eastAsiaTheme="majorEastAsia"/>
              </w:rPr>
              <w:t>Trial  </w:t>
            </w:r>
          </w:p>
        </w:tc>
        <w:tc>
          <w:tcPr>
            <w:tcW w:w="772" w:type="pct"/>
            <w:tcBorders>
              <w:top w:val="single" w:sz="6" w:space="0" w:color="auto"/>
              <w:left w:val="single" w:sz="6" w:space="0" w:color="auto"/>
              <w:bottom w:val="single" w:sz="6" w:space="0" w:color="auto"/>
              <w:right w:val="single" w:sz="6" w:space="0" w:color="auto"/>
            </w:tcBorders>
            <w:shd w:val="clear" w:color="auto" w:fill="auto"/>
            <w:hideMark/>
          </w:tcPr>
          <w:p w14:paraId="5010783A" w14:textId="77777777" w:rsidR="00820A17" w:rsidRPr="00820A17" w:rsidRDefault="00820A17" w:rsidP="00820A17">
            <w:pPr>
              <w:pStyle w:val="TableHeading"/>
              <w:rPr>
                <w:rFonts w:eastAsiaTheme="majorEastAsia"/>
              </w:rPr>
            </w:pPr>
            <w:r w:rsidRPr="00820A17">
              <w:rPr>
                <w:rFonts w:eastAsiaTheme="majorEastAsia"/>
              </w:rPr>
              <w:t>Bifurcation </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22E11AD2" w14:textId="77777777" w:rsidR="00820A17" w:rsidRPr="00820A17" w:rsidRDefault="00820A17" w:rsidP="00820A17">
            <w:pPr>
              <w:pStyle w:val="TableHeading"/>
              <w:rPr>
                <w:rFonts w:eastAsiaTheme="majorEastAsia"/>
              </w:rPr>
            </w:pPr>
            <w:r w:rsidRPr="00820A17">
              <w:rPr>
                <w:rFonts w:eastAsiaTheme="majorEastAsia"/>
              </w:rPr>
              <w:t>Severe calcification </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30CEA449" w14:textId="77777777" w:rsidR="00820A17" w:rsidRPr="00820A17" w:rsidRDefault="00820A17" w:rsidP="00820A17">
            <w:pPr>
              <w:pStyle w:val="TableHeading"/>
              <w:rPr>
                <w:rFonts w:eastAsiaTheme="majorEastAsia"/>
              </w:rPr>
            </w:pPr>
            <w:r w:rsidRPr="00820A17">
              <w:rPr>
                <w:rFonts w:eastAsiaTheme="majorEastAsia"/>
              </w:rPr>
              <w:t>Stent failure </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02814EA1" w14:textId="77777777" w:rsidR="00820A17" w:rsidRPr="00820A17" w:rsidRDefault="00820A17" w:rsidP="00820A17">
            <w:pPr>
              <w:pStyle w:val="TableHeading"/>
              <w:rPr>
                <w:rFonts w:eastAsiaTheme="majorEastAsia"/>
              </w:rPr>
            </w:pPr>
            <w:r w:rsidRPr="00820A17">
              <w:rPr>
                <w:rFonts w:eastAsiaTheme="majorEastAsia"/>
              </w:rPr>
              <w:t>Long lesion </w:t>
            </w:r>
          </w:p>
        </w:tc>
      </w:tr>
      <w:tr w:rsidR="00820A17" w:rsidRPr="00820A17" w14:paraId="44B1BB62" w14:textId="77777777" w:rsidTr="00820A17">
        <w:trPr>
          <w:trHeight w:val="300"/>
        </w:trPr>
        <w:tc>
          <w:tcPr>
            <w:tcW w:w="1222" w:type="pct"/>
            <w:tcBorders>
              <w:top w:val="single" w:sz="6" w:space="0" w:color="auto"/>
              <w:left w:val="single" w:sz="6" w:space="0" w:color="auto"/>
              <w:bottom w:val="single" w:sz="6" w:space="0" w:color="auto"/>
              <w:right w:val="single" w:sz="6" w:space="0" w:color="auto"/>
            </w:tcBorders>
            <w:shd w:val="clear" w:color="auto" w:fill="FFFFFF"/>
            <w:hideMark/>
          </w:tcPr>
          <w:p w14:paraId="0CF2B213" w14:textId="77777777" w:rsidR="00820A17" w:rsidRPr="00820A17" w:rsidRDefault="00820A17" w:rsidP="00820A17">
            <w:pPr>
              <w:pStyle w:val="TableText0"/>
            </w:pPr>
            <w:r w:rsidRPr="00820A17">
              <w:t>Comparator </w:t>
            </w:r>
          </w:p>
        </w:tc>
        <w:tc>
          <w:tcPr>
            <w:tcW w:w="772" w:type="pct"/>
            <w:tcBorders>
              <w:top w:val="single" w:sz="6" w:space="0" w:color="auto"/>
              <w:left w:val="single" w:sz="6" w:space="0" w:color="auto"/>
              <w:bottom w:val="single" w:sz="6" w:space="0" w:color="auto"/>
              <w:right w:val="single" w:sz="6" w:space="0" w:color="auto"/>
            </w:tcBorders>
            <w:shd w:val="clear" w:color="auto" w:fill="FFFFFF"/>
            <w:hideMark/>
          </w:tcPr>
          <w:p w14:paraId="55A63FD1" w14:textId="77777777" w:rsidR="00820A17" w:rsidRPr="00820A17" w:rsidRDefault="00820A17" w:rsidP="00820A17">
            <w:pPr>
              <w:pStyle w:val="TableText0"/>
            </w:pPr>
            <w:r w:rsidRPr="00820A17">
              <w:t>AG alone </w:t>
            </w:r>
          </w:p>
        </w:tc>
        <w:tc>
          <w:tcPr>
            <w:tcW w:w="1002" w:type="pct"/>
            <w:tcBorders>
              <w:top w:val="single" w:sz="6" w:space="0" w:color="auto"/>
              <w:left w:val="single" w:sz="6" w:space="0" w:color="auto"/>
              <w:bottom w:val="single" w:sz="6" w:space="0" w:color="auto"/>
              <w:right w:val="single" w:sz="6" w:space="0" w:color="auto"/>
            </w:tcBorders>
            <w:shd w:val="clear" w:color="auto" w:fill="FFFFFF"/>
            <w:hideMark/>
          </w:tcPr>
          <w:p w14:paraId="65EB289D" w14:textId="77777777" w:rsidR="00820A17" w:rsidRPr="00820A17" w:rsidRDefault="00820A17" w:rsidP="00820A17">
            <w:pPr>
              <w:pStyle w:val="TableText0"/>
            </w:pPr>
            <w:r w:rsidRPr="00820A17">
              <w:t>AG alone </w:t>
            </w:r>
          </w:p>
        </w:tc>
        <w:tc>
          <w:tcPr>
            <w:tcW w:w="1002" w:type="pct"/>
            <w:tcBorders>
              <w:top w:val="single" w:sz="6" w:space="0" w:color="auto"/>
              <w:left w:val="single" w:sz="6" w:space="0" w:color="auto"/>
              <w:bottom w:val="single" w:sz="6" w:space="0" w:color="auto"/>
              <w:right w:val="single" w:sz="6" w:space="0" w:color="auto"/>
            </w:tcBorders>
            <w:shd w:val="clear" w:color="auto" w:fill="FFFFFF"/>
            <w:hideMark/>
          </w:tcPr>
          <w:p w14:paraId="0981FA43" w14:textId="77777777" w:rsidR="00820A17" w:rsidRPr="00820A17" w:rsidRDefault="00820A17" w:rsidP="00820A17">
            <w:pPr>
              <w:pStyle w:val="TableText0"/>
            </w:pPr>
            <w:r w:rsidRPr="00820A17">
              <w:t>AG alone </w:t>
            </w:r>
          </w:p>
        </w:tc>
        <w:tc>
          <w:tcPr>
            <w:tcW w:w="1002" w:type="pct"/>
            <w:tcBorders>
              <w:top w:val="single" w:sz="6" w:space="0" w:color="auto"/>
              <w:left w:val="single" w:sz="6" w:space="0" w:color="auto"/>
              <w:bottom w:val="single" w:sz="6" w:space="0" w:color="auto"/>
              <w:right w:val="single" w:sz="6" w:space="0" w:color="auto"/>
            </w:tcBorders>
            <w:shd w:val="clear" w:color="auto" w:fill="FFFFFF"/>
            <w:hideMark/>
          </w:tcPr>
          <w:p w14:paraId="5A6A8D0B" w14:textId="77777777" w:rsidR="00820A17" w:rsidRPr="00820A17" w:rsidRDefault="00820A17" w:rsidP="00820A17">
            <w:pPr>
              <w:pStyle w:val="TableText0"/>
            </w:pPr>
            <w:r w:rsidRPr="00820A17">
              <w:t>IVUS + AG  </w:t>
            </w:r>
          </w:p>
        </w:tc>
      </w:tr>
      <w:tr w:rsidR="00820A17" w:rsidRPr="00820A17" w14:paraId="3297CA99" w14:textId="77777777" w:rsidTr="00820A17">
        <w:trPr>
          <w:trHeight w:val="300"/>
        </w:trPr>
        <w:tc>
          <w:tcPr>
            <w:tcW w:w="1222" w:type="pct"/>
            <w:tcBorders>
              <w:top w:val="single" w:sz="6" w:space="0" w:color="auto"/>
              <w:left w:val="single" w:sz="6" w:space="0" w:color="auto"/>
              <w:bottom w:val="single" w:sz="6" w:space="0" w:color="auto"/>
              <w:right w:val="nil"/>
            </w:tcBorders>
            <w:shd w:val="clear" w:color="auto" w:fill="auto"/>
            <w:hideMark/>
          </w:tcPr>
          <w:p w14:paraId="716E7704" w14:textId="77777777" w:rsidR="00820A17" w:rsidRPr="00C136A1" w:rsidRDefault="00820A17" w:rsidP="00820A17">
            <w:pPr>
              <w:pStyle w:val="TableText0"/>
              <w:rPr>
                <w:b/>
                <w:bCs/>
              </w:rPr>
            </w:pPr>
            <w:r w:rsidRPr="00C136A1">
              <w:rPr>
                <w:b/>
                <w:bCs/>
              </w:rPr>
              <w:t>Pivotal evidence </w:t>
            </w:r>
          </w:p>
        </w:tc>
        <w:tc>
          <w:tcPr>
            <w:tcW w:w="772" w:type="pct"/>
            <w:tcBorders>
              <w:top w:val="single" w:sz="6" w:space="0" w:color="auto"/>
              <w:left w:val="nil"/>
              <w:bottom w:val="single" w:sz="6" w:space="0" w:color="auto"/>
              <w:right w:val="nil"/>
            </w:tcBorders>
            <w:shd w:val="clear" w:color="auto" w:fill="auto"/>
            <w:hideMark/>
          </w:tcPr>
          <w:p w14:paraId="35D8BB2E" w14:textId="77777777" w:rsidR="00820A17" w:rsidRPr="00820A17" w:rsidRDefault="00820A17" w:rsidP="00820A17">
            <w:pPr>
              <w:pStyle w:val="TableText0"/>
            </w:pPr>
            <w:r w:rsidRPr="00820A17">
              <w:t> </w:t>
            </w:r>
          </w:p>
        </w:tc>
        <w:tc>
          <w:tcPr>
            <w:tcW w:w="1002" w:type="pct"/>
            <w:tcBorders>
              <w:top w:val="single" w:sz="6" w:space="0" w:color="auto"/>
              <w:left w:val="nil"/>
              <w:bottom w:val="single" w:sz="6" w:space="0" w:color="auto"/>
              <w:right w:val="nil"/>
            </w:tcBorders>
            <w:shd w:val="clear" w:color="auto" w:fill="auto"/>
            <w:hideMark/>
          </w:tcPr>
          <w:p w14:paraId="5691AEBF" w14:textId="77777777" w:rsidR="00820A17" w:rsidRPr="00820A17" w:rsidRDefault="00820A17" w:rsidP="00820A17">
            <w:pPr>
              <w:pStyle w:val="TableText0"/>
            </w:pPr>
            <w:r w:rsidRPr="00820A17">
              <w:t> </w:t>
            </w:r>
          </w:p>
        </w:tc>
        <w:tc>
          <w:tcPr>
            <w:tcW w:w="1002" w:type="pct"/>
            <w:tcBorders>
              <w:top w:val="single" w:sz="6" w:space="0" w:color="auto"/>
              <w:left w:val="nil"/>
              <w:bottom w:val="single" w:sz="6" w:space="0" w:color="auto"/>
              <w:right w:val="nil"/>
            </w:tcBorders>
            <w:shd w:val="clear" w:color="auto" w:fill="auto"/>
            <w:hideMark/>
          </w:tcPr>
          <w:p w14:paraId="2DE9C9D4" w14:textId="77777777" w:rsidR="00820A17" w:rsidRPr="00820A17" w:rsidRDefault="00820A17" w:rsidP="00820A17">
            <w:pPr>
              <w:pStyle w:val="TableText0"/>
            </w:pPr>
            <w:r w:rsidRPr="00820A17">
              <w:t> </w:t>
            </w:r>
          </w:p>
        </w:tc>
        <w:tc>
          <w:tcPr>
            <w:tcW w:w="1002" w:type="pct"/>
            <w:tcBorders>
              <w:top w:val="single" w:sz="6" w:space="0" w:color="auto"/>
              <w:left w:val="nil"/>
              <w:bottom w:val="single" w:sz="6" w:space="0" w:color="auto"/>
              <w:right w:val="nil"/>
            </w:tcBorders>
            <w:shd w:val="clear" w:color="auto" w:fill="auto"/>
            <w:hideMark/>
          </w:tcPr>
          <w:p w14:paraId="7CF087D4" w14:textId="77777777" w:rsidR="00820A17" w:rsidRPr="00820A17" w:rsidRDefault="00820A17" w:rsidP="00820A17">
            <w:pPr>
              <w:pStyle w:val="TableText0"/>
            </w:pPr>
            <w:r w:rsidRPr="00820A17">
              <w:t> </w:t>
            </w:r>
          </w:p>
        </w:tc>
      </w:tr>
      <w:tr w:rsidR="00820A17" w:rsidRPr="00820A17" w14:paraId="33D79235" w14:textId="77777777" w:rsidTr="00820A17">
        <w:trPr>
          <w:trHeight w:val="300"/>
        </w:trPr>
        <w:tc>
          <w:tcPr>
            <w:tcW w:w="1222" w:type="pct"/>
            <w:tcBorders>
              <w:top w:val="single" w:sz="6" w:space="0" w:color="auto"/>
              <w:left w:val="single" w:sz="6" w:space="0" w:color="auto"/>
              <w:bottom w:val="single" w:sz="6" w:space="0" w:color="auto"/>
              <w:right w:val="single" w:sz="6" w:space="0" w:color="auto"/>
            </w:tcBorders>
            <w:shd w:val="clear" w:color="auto" w:fill="auto"/>
            <w:hideMark/>
          </w:tcPr>
          <w:p w14:paraId="04442FB8" w14:textId="77777777" w:rsidR="00820A17" w:rsidRPr="00820A17" w:rsidRDefault="00820A17" w:rsidP="00820A17">
            <w:pPr>
              <w:pStyle w:val="TableText0"/>
            </w:pPr>
            <w:r w:rsidRPr="00820A17">
              <w:t>OCTOBER (RTC) Europe </w:t>
            </w:r>
          </w:p>
        </w:tc>
        <w:tc>
          <w:tcPr>
            <w:tcW w:w="772" w:type="pct"/>
            <w:tcBorders>
              <w:top w:val="single" w:sz="6" w:space="0" w:color="auto"/>
              <w:left w:val="single" w:sz="6" w:space="0" w:color="auto"/>
              <w:bottom w:val="single" w:sz="6" w:space="0" w:color="auto"/>
              <w:right w:val="single" w:sz="6" w:space="0" w:color="auto"/>
            </w:tcBorders>
            <w:shd w:val="clear" w:color="auto" w:fill="auto"/>
            <w:hideMark/>
          </w:tcPr>
          <w:p w14:paraId="46E75B0B" w14:textId="634693E0" w:rsidR="00820A17" w:rsidRPr="00820A17" w:rsidRDefault="00C136A1" w:rsidP="00820A17">
            <w:pPr>
              <w:pStyle w:val="TableText0"/>
            </w:pPr>
            <w:r>
              <w:t>Yes</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349C8D7D" w14:textId="77777777" w:rsidR="00820A17" w:rsidRPr="00820A17" w:rsidRDefault="00820A17" w:rsidP="00820A17">
            <w:pPr>
              <w:pStyle w:val="TableText0"/>
            </w:pPr>
            <w:r w:rsidRPr="00820A17">
              <w:t>– </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74ECBBBD" w14:textId="77777777" w:rsidR="00820A17" w:rsidRPr="00820A17" w:rsidRDefault="00820A17" w:rsidP="00820A17">
            <w:pPr>
              <w:pStyle w:val="TableText0"/>
            </w:pPr>
            <w:r w:rsidRPr="00820A17">
              <w:t>– </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38EB3EDE" w14:textId="77777777" w:rsidR="00820A17" w:rsidRPr="00820A17" w:rsidRDefault="00820A17" w:rsidP="00820A17">
            <w:pPr>
              <w:pStyle w:val="TableText0"/>
            </w:pPr>
            <w:r w:rsidRPr="00820A17">
              <w:t>– </w:t>
            </w:r>
          </w:p>
        </w:tc>
      </w:tr>
      <w:tr w:rsidR="00820A17" w:rsidRPr="00820A17" w14:paraId="35FDD30B" w14:textId="77777777" w:rsidTr="00820A17">
        <w:trPr>
          <w:trHeight w:val="300"/>
        </w:trPr>
        <w:tc>
          <w:tcPr>
            <w:tcW w:w="1222" w:type="pct"/>
            <w:tcBorders>
              <w:top w:val="single" w:sz="6" w:space="0" w:color="auto"/>
              <w:left w:val="single" w:sz="6" w:space="0" w:color="auto"/>
              <w:bottom w:val="single" w:sz="6" w:space="0" w:color="auto"/>
              <w:right w:val="single" w:sz="6" w:space="0" w:color="auto"/>
            </w:tcBorders>
            <w:shd w:val="clear" w:color="auto" w:fill="auto"/>
            <w:hideMark/>
          </w:tcPr>
          <w:p w14:paraId="7010C0A3" w14:textId="77777777" w:rsidR="00820A17" w:rsidRPr="00820A17" w:rsidRDefault="00820A17" w:rsidP="00820A17">
            <w:pPr>
              <w:pStyle w:val="TableText0"/>
            </w:pPr>
            <w:r w:rsidRPr="00820A17">
              <w:t>ILUMIEN IV </w:t>
            </w:r>
          </w:p>
        </w:tc>
        <w:tc>
          <w:tcPr>
            <w:tcW w:w="772" w:type="pct"/>
            <w:tcBorders>
              <w:top w:val="single" w:sz="6" w:space="0" w:color="auto"/>
              <w:left w:val="single" w:sz="6" w:space="0" w:color="auto"/>
              <w:bottom w:val="single" w:sz="6" w:space="0" w:color="auto"/>
              <w:right w:val="single" w:sz="6" w:space="0" w:color="auto"/>
            </w:tcBorders>
            <w:shd w:val="clear" w:color="auto" w:fill="auto"/>
            <w:hideMark/>
          </w:tcPr>
          <w:p w14:paraId="4DBB0EB2" w14:textId="31BE523A" w:rsidR="00820A17" w:rsidRPr="00820A17" w:rsidRDefault="00C136A1" w:rsidP="00820A17">
            <w:pPr>
              <w:pStyle w:val="TableText0"/>
            </w:pPr>
            <w:r>
              <w:t>Yes</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1C2FA8A5" w14:textId="5BA9FA1F" w:rsidR="00820A17" w:rsidRPr="00820A17" w:rsidRDefault="00C136A1" w:rsidP="00820A17">
            <w:pPr>
              <w:pStyle w:val="TableText0"/>
            </w:pPr>
            <w:r>
              <w:t>Yes</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6B657D95" w14:textId="5B73C66A" w:rsidR="00820A17" w:rsidRPr="00820A17" w:rsidRDefault="00C136A1" w:rsidP="00820A17">
            <w:pPr>
              <w:pStyle w:val="TableText0"/>
            </w:pPr>
            <w:r>
              <w:t>Yes</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2F8FAD73" w14:textId="77777777" w:rsidR="00820A17" w:rsidRPr="00820A17" w:rsidRDefault="00820A17" w:rsidP="00820A17">
            <w:pPr>
              <w:pStyle w:val="TableText0"/>
            </w:pPr>
            <w:r w:rsidRPr="00820A17">
              <w:t>– </w:t>
            </w:r>
          </w:p>
        </w:tc>
      </w:tr>
      <w:tr w:rsidR="00820A17" w:rsidRPr="00820A17" w14:paraId="35C17CD6" w14:textId="77777777" w:rsidTr="00820A17">
        <w:trPr>
          <w:trHeight w:val="300"/>
        </w:trPr>
        <w:tc>
          <w:tcPr>
            <w:tcW w:w="1222" w:type="pct"/>
            <w:tcBorders>
              <w:top w:val="single" w:sz="6" w:space="0" w:color="auto"/>
              <w:left w:val="single" w:sz="6" w:space="0" w:color="auto"/>
              <w:bottom w:val="single" w:sz="6" w:space="0" w:color="auto"/>
              <w:right w:val="single" w:sz="6" w:space="0" w:color="auto"/>
            </w:tcBorders>
            <w:shd w:val="clear" w:color="auto" w:fill="auto"/>
            <w:hideMark/>
          </w:tcPr>
          <w:p w14:paraId="659624A9" w14:textId="77777777" w:rsidR="00820A17" w:rsidRPr="00820A17" w:rsidRDefault="00820A17" w:rsidP="00820A17">
            <w:pPr>
              <w:pStyle w:val="TableText0"/>
            </w:pPr>
            <w:r w:rsidRPr="00820A17">
              <w:t>OCTIVUS  </w:t>
            </w:r>
          </w:p>
        </w:tc>
        <w:tc>
          <w:tcPr>
            <w:tcW w:w="772" w:type="pct"/>
            <w:tcBorders>
              <w:top w:val="single" w:sz="6" w:space="0" w:color="auto"/>
              <w:left w:val="single" w:sz="6" w:space="0" w:color="auto"/>
              <w:bottom w:val="single" w:sz="6" w:space="0" w:color="auto"/>
              <w:right w:val="single" w:sz="6" w:space="0" w:color="auto"/>
            </w:tcBorders>
            <w:shd w:val="clear" w:color="auto" w:fill="auto"/>
            <w:hideMark/>
          </w:tcPr>
          <w:p w14:paraId="4C09552A" w14:textId="77777777" w:rsidR="00820A17" w:rsidRPr="00820A17" w:rsidRDefault="00820A17" w:rsidP="00820A17">
            <w:pPr>
              <w:pStyle w:val="TableText0"/>
            </w:pPr>
            <w:r w:rsidRPr="00820A17">
              <w:t>– </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1D150A12" w14:textId="77777777" w:rsidR="00820A17" w:rsidRPr="00820A17" w:rsidRDefault="00820A17" w:rsidP="00820A17">
            <w:pPr>
              <w:pStyle w:val="TableText0"/>
            </w:pPr>
            <w:r w:rsidRPr="00820A17">
              <w:t>– </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4B3017E6" w14:textId="77777777" w:rsidR="00820A17" w:rsidRPr="00820A17" w:rsidRDefault="00820A17" w:rsidP="00820A17">
            <w:pPr>
              <w:pStyle w:val="TableText0"/>
            </w:pPr>
            <w:r w:rsidRPr="00820A17">
              <w:t>– </w:t>
            </w:r>
          </w:p>
        </w:tc>
        <w:tc>
          <w:tcPr>
            <w:tcW w:w="1002" w:type="pct"/>
            <w:tcBorders>
              <w:top w:val="single" w:sz="6" w:space="0" w:color="auto"/>
              <w:left w:val="single" w:sz="6" w:space="0" w:color="auto"/>
              <w:bottom w:val="single" w:sz="6" w:space="0" w:color="auto"/>
              <w:right w:val="single" w:sz="6" w:space="0" w:color="auto"/>
            </w:tcBorders>
            <w:shd w:val="clear" w:color="auto" w:fill="auto"/>
            <w:hideMark/>
          </w:tcPr>
          <w:p w14:paraId="0F11B7B6" w14:textId="1DB32464" w:rsidR="00820A17" w:rsidRPr="00820A17" w:rsidRDefault="00C136A1" w:rsidP="00820A17">
            <w:pPr>
              <w:pStyle w:val="TableText0"/>
            </w:pPr>
            <w:r>
              <w:t>Yes</w:t>
            </w:r>
          </w:p>
        </w:tc>
      </w:tr>
    </w:tbl>
    <w:p w14:paraId="42E335AC" w14:textId="363CD9CE" w:rsidR="00BB3541" w:rsidRPr="002620BB" w:rsidRDefault="00BB3541" w:rsidP="00CE6BDE">
      <w:pPr>
        <w:pStyle w:val="Tablenotes"/>
        <w:contextualSpacing/>
      </w:pPr>
      <w:r w:rsidRPr="002620BB">
        <w:t>IVUS = Intravenous ultrasound</w:t>
      </w:r>
      <w:r w:rsidR="00681718" w:rsidRPr="002620BB">
        <w:t>.</w:t>
      </w:r>
    </w:p>
    <w:p w14:paraId="55C170AF" w14:textId="5C4A3855" w:rsidR="00681718" w:rsidRDefault="00681718" w:rsidP="002620BB">
      <w:pPr>
        <w:pStyle w:val="Tablenotes"/>
        <w:contextualSpacing/>
      </w:pPr>
      <w:r w:rsidRPr="002620BB">
        <w:t xml:space="preserve">Table provided by applicant </w:t>
      </w:r>
      <w:r w:rsidR="006F18B8" w:rsidRPr="002620BB">
        <w:t>prior</w:t>
      </w:r>
      <w:r w:rsidR="000020E8" w:rsidRPr="002620BB">
        <w:t xml:space="preserve"> to PASC </w:t>
      </w:r>
      <w:r w:rsidR="00033E57" w:rsidRPr="002620BB">
        <w:t xml:space="preserve">demonstrating pivotal studies </w:t>
      </w:r>
      <w:r w:rsidR="00CE6BDE" w:rsidRPr="002620BB">
        <w:t>by lesion complexity.</w:t>
      </w:r>
    </w:p>
    <w:p w14:paraId="23CB57A4" w14:textId="72793DA6" w:rsidR="0039350D" w:rsidRDefault="0039350D" w:rsidP="002620BB">
      <w:pPr>
        <w:pStyle w:val="Tablenotes"/>
        <w:contextualSpacing/>
      </w:pPr>
      <w:r w:rsidRPr="6306913B">
        <w:rPr>
          <w:rFonts w:eastAsia="Arial Narrow" w:cs="Arial Narrow"/>
          <w:szCs w:val="18"/>
          <w:lang w:val="en-US"/>
        </w:rPr>
        <w:t xml:space="preserve">Source: </w:t>
      </w:r>
      <w:r>
        <w:rPr>
          <w:rFonts w:eastAsia="Arial Narrow" w:cs="Arial Narrow"/>
          <w:szCs w:val="18"/>
          <w:lang w:val="en-US"/>
        </w:rPr>
        <w:t xml:space="preserve"> Lee 2023 Renovate, Ali 2023 Ilumien, Holm 2023 October, Kang 2023 Octivus</w:t>
      </w:r>
    </w:p>
    <w:p w14:paraId="396AA86E" w14:textId="77777777" w:rsidR="0039350D" w:rsidRDefault="0039350D" w:rsidP="002620BB">
      <w:pPr>
        <w:pStyle w:val="Tablenotes"/>
        <w:contextualSpacing/>
      </w:pPr>
    </w:p>
    <w:p w14:paraId="047E4738" w14:textId="4459C4E4" w:rsidR="00D73332" w:rsidRPr="00DE762F" w:rsidRDefault="00D73332" w:rsidP="00DE762F">
      <w:pPr>
        <w:pStyle w:val="Heading2"/>
      </w:pPr>
      <w:r w:rsidRPr="00DE762F">
        <w:t>Propos</w:t>
      </w:r>
      <w:r w:rsidR="000D1FCF" w:rsidRPr="00DE762F">
        <w:t>al for public funding</w:t>
      </w:r>
    </w:p>
    <w:p w14:paraId="35AE5185" w14:textId="7516B1F2" w:rsidR="002F3E40" w:rsidRDefault="01A145FD" w:rsidP="1CDF7A69">
      <w:pPr>
        <w:rPr>
          <w:rFonts w:cs="Calibri"/>
          <w:lang w:val="en-GB"/>
        </w:rPr>
      </w:pPr>
      <w:r w:rsidRPr="1CDF7A69">
        <w:rPr>
          <w:rFonts w:cs="Calibri"/>
          <w:lang w:val="en-GB"/>
        </w:rPr>
        <w:t>The applicant has proposed funding for the use of OCT to guide coronary stent insertion under category 3 as a therapeutic procedure. Both the catheter and OCT system have been included on the Australian Register of Therapeutic Goods (ARTG).</w:t>
      </w:r>
    </w:p>
    <w:tbl>
      <w:tblPr>
        <w:tblStyle w:val="TableGrid"/>
        <w:tblW w:w="5000" w:type="pct"/>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571"/>
      </w:tblGrid>
      <w:tr w:rsidR="002F3E40" w:rsidRPr="00D2670B" w14:paraId="4034848D" w14:textId="77777777" w:rsidTr="0CA6515C">
        <w:trPr>
          <w:cantSplit/>
          <w:trHeight w:val="300"/>
          <w:tblHeader/>
        </w:trPr>
        <w:tc>
          <w:tcPr>
            <w:tcW w:w="5000" w:type="pct"/>
            <w:tcBorders>
              <w:top w:val="single" w:sz="4" w:space="0" w:color="auto"/>
              <w:left w:val="single" w:sz="4" w:space="0" w:color="auto"/>
              <w:bottom w:val="single" w:sz="4" w:space="0" w:color="auto"/>
              <w:right w:val="single" w:sz="4" w:space="0" w:color="auto"/>
            </w:tcBorders>
            <w:hideMark/>
          </w:tcPr>
          <w:p w14:paraId="171FF631" w14:textId="6D79D742" w:rsidR="002F3E40" w:rsidRPr="00DE762F" w:rsidRDefault="5F04DA74" w:rsidP="5B292A92">
            <w:pPr>
              <w:spacing w:before="40" w:after="40" w:line="240" w:lineRule="auto"/>
              <w:rPr>
                <w:rFonts w:cs="Calibri"/>
                <w:szCs w:val="24"/>
              </w:rPr>
            </w:pPr>
            <w:r w:rsidRPr="5B292A92">
              <w:rPr>
                <w:rFonts w:ascii="Arial Narrow" w:eastAsia="Arial Narrow" w:hAnsi="Arial Narrow" w:cs="Arial Narrow"/>
                <w:sz w:val="20"/>
                <w:szCs w:val="20"/>
                <w:lang w:val="en-GB"/>
              </w:rPr>
              <w:t xml:space="preserve"> Category </w:t>
            </w:r>
            <w:r w:rsidRPr="5B292A92">
              <w:rPr>
                <w:rFonts w:cs="Calibri"/>
                <w:sz w:val="22"/>
                <w:lang w:val="en-GB"/>
              </w:rPr>
              <w:t xml:space="preserve">(3) – </w:t>
            </w:r>
            <w:r w:rsidRPr="5B292A92">
              <w:rPr>
                <w:rFonts w:ascii="Arial Narrow" w:eastAsia="Arial Narrow" w:hAnsi="Arial Narrow" w:cs="Arial Narrow"/>
                <w:sz w:val="20"/>
                <w:szCs w:val="20"/>
                <w:lang w:val="en-GB"/>
              </w:rPr>
              <w:t>Therapeutic procedures</w:t>
            </w:r>
            <w:r w:rsidRPr="5B292A92">
              <w:rPr>
                <w:rFonts w:cs="Calibri"/>
                <w:sz w:val="22"/>
                <w:lang w:val="en-GB"/>
              </w:rPr>
              <w:t>)</w:t>
            </w:r>
          </w:p>
        </w:tc>
      </w:tr>
      <w:tr w:rsidR="002F3E40" w:rsidRPr="005771DC" w14:paraId="028C0CFB" w14:textId="77777777" w:rsidTr="0CA6515C">
        <w:trPr>
          <w:cantSplit/>
          <w:trHeight w:val="300"/>
          <w:tblHeader/>
        </w:trPr>
        <w:tc>
          <w:tcPr>
            <w:tcW w:w="5000" w:type="pct"/>
            <w:tcBorders>
              <w:top w:val="single" w:sz="4" w:space="0" w:color="auto"/>
              <w:left w:val="single" w:sz="4" w:space="0" w:color="auto"/>
              <w:bottom w:val="single" w:sz="4" w:space="0" w:color="auto"/>
              <w:right w:val="single" w:sz="4" w:space="0" w:color="auto"/>
            </w:tcBorders>
          </w:tcPr>
          <w:p w14:paraId="4CADA8E0" w14:textId="71BD496A" w:rsidR="002F3E40" w:rsidRPr="00DE762F" w:rsidRDefault="4B12BFE5" w:rsidP="1CDF7A69">
            <w:pPr>
              <w:spacing w:before="120" w:after="120" w:line="240" w:lineRule="auto"/>
              <w:rPr>
                <w:rFonts w:ascii="Arial Narrow" w:eastAsia="Arial Narrow" w:hAnsi="Arial Narrow" w:cs="Arial Narrow"/>
                <w:sz w:val="20"/>
                <w:szCs w:val="20"/>
                <w:lang w:val="en-GB"/>
              </w:rPr>
            </w:pPr>
            <w:r w:rsidRPr="5B292A92">
              <w:rPr>
                <w:rFonts w:ascii="Arial Narrow" w:eastAsia="Arial Narrow" w:hAnsi="Arial Narrow" w:cs="Arial Narrow"/>
                <w:sz w:val="20"/>
                <w:szCs w:val="20"/>
                <w:lang w:val="en-GB"/>
              </w:rPr>
              <w:t xml:space="preserve"> MBS item *XXXX</w:t>
            </w:r>
          </w:p>
          <w:p w14:paraId="068BCB40" w14:textId="2EDDC0A1" w:rsidR="002F3E40" w:rsidRPr="00DE762F" w:rsidRDefault="4B12BFE5" w:rsidP="1CDF7A69">
            <w:pPr>
              <w:spacing w:before="120" w:after="120" w:line="240" w:lineRule="auto"/>
              <w:rPr>
                <w:rFonts w:ascii="Arial Narrow" w:eastAsia="Arial Narrow" w:hAnsi="Arial Narrow" w:cs="Arial Narrow"/>
                <w:sz w:val="20"/>
                <w:szCs w:val="20"/>
                <w:lang w:val="en-GB"/>
              </w:rPr>
            </w:pPr>
            <w:r w:rsidRPr="5B292A92">
              <w:rPr>
                <w:rFonts w:ascii="Arial Narrow" w:eastAsia="Arial Narrow" w:hAnsi="Arial Narrow" w:cs="Arial Narrow"/>
                <w:sz w:val="20"/>
                <w:szCs w:val="20"/>
                <w:lang w:val="en-GB"/>
              </w:rPr>
              <w:t>Optical Coherence Tomography</w:t>
            </w:r>
          </w:p>
          <w:p w14:paraId="381D6E4C" w14:textId="63937268" w:rsidR="002F3E40" w:rsidRPr="00DE762F" w:rsidRDefault="6A7FF222" w:rsidP="5B292A92">
            <w:pPr>
              <w:pStyle w:val="TableText0"/>
              <w:rPr>
                <w:rFonts w:eastAsia="Arial Narrow" w:cs="Arial Narrow"/>
              </w:rPr>
            </w:pPr>
            <w:r>
              <w:t xml:space="preserve">Use of optical coherence tomography (OCT) during transluminal insertion of stents, to optimise procedural strategy, appropriate stent size and assessment of stent apposition for patients with: </w:t>
            </w:r>
          </w:p>
          <w:p w14:paraId="05B789FD" w14:textId="0C0DBA58" w:rsidR="002F3E40" w:rsidRPr="00DE762F" w:rsidRDefault="6A7FF222" w:rsidP="1CDF7A69">
            <w:pPr>
              <w:pStyle w:val="Tabletext"/>
              <w:rPr>
                <w:rFonts w:eastAsia="Arial Narrow" w:cs="Arial Narrow"/>
              </w:rPr>
            </w:pPr>
            <w:r w:rsidRPr="0CA6515C">
              <w:rPr>
                <w:rFonts w:eastAsia="Arial Narrow" w:cs="Arial Narrow"/>
              </w:rPr>
              <w:t xml:space="preserve">Long or multiple lesions, defined as intended total stent length (continuous or separated) in any single target vessel ≥28 mm), or  </w:t>
            </w:r>
          </w:p>
          <w:p w14:paraId="7AB6635C" w14:textId="62548E1A" w:rsidR="002F3E40" w:rsidRPr="00DE762F" w:rsidRDefault="192CFD8A" w:rsidP="1CDF7A69">
            <w:pPr>
              <w:pStyle w:val="Tabletext"/>
              <w:rPr>
                <w:rFonts w:eastAsia="Arial Narrow" w:cs="Arial Narrow"/>
              </w:rPr>
            </w:pPr>
            <w:r w:rsidRPr="0CA6515C">
              <w:rPr>
                <w:rFonts w:eastAsia="Arial Narrow" w:cs="Arial Narrow"/>
              </w:rPr>
              <w:t xml:space="preserve">Lesion located at a </w:t>
            </w:r>
            <w:r w:rsidR="11792594" w:rsidRPr="0CA6515C">
              <w:rPr>
                <w:rFonts w:eastAsia="Arial Narrow" w:cs="Arial Narrow"/>
              </w:rPr>
              <w:t>b</w:t>
            </w:r>
            <w:r w:rsidR="6A7FF222" w:rsidRPr="0CA6515C">
              <w:rPr>
                <w:rFonts w:eastAsia="Arial Narrow" w:cs="Arial Narrow"/>
              </w:rPr>
              <w:t xml:space="preserve">ifurcation and where the planned side branch is ≥ 2.5 mm in diameter by angiographic visual estimation, or </w:t>
            </w:r>
          </w:p>
          <w:p w14:paraId="2CCFEAE8" w14:textId="21EDB41E" w:rsidR="002F3E40" w:rsidRPr="00DE762F" w:rsidRDefault="4B12BFE5" w:rsidP="1CDF7A69">
            <w:pPr>
              <w:pStyle w:val="Tabletext"/>
              <w:rPr>
                <w:rFonts w:eastAsia="Arial Narrow" w:cs="Arial Narrow"/>
              </w:rPr>
            </w:pPr>
            <w:r w:rsidRPr="5B292A92">
              <w:rPr>
                <w:rFonts w:eastAsia="Arial Narrow" w:cs="Arial Narrow"/>
              </w:rPr>
              <w:t xml:space="preserve">Angiographic severe calcification (defined as angiographically visible calcification on both sides of the vessel wall in the absence of cardiac motion), or </w:t>
            </w:r>
          </w:p>
          <w:p w14:paraId="4DB7BB6A" w14:textId="123DD1CB" w:rsidR="002F3E40" w:rsidRPr="00DE762F" w:rsidRDefault="4B12BFE5" w:rsidP="1CDF7A69">
            <w:pPr>
              <w:pStyle w:val="Tabletext"/>
              <w:rPr>
                <w:rFonts w:eastAsia="Arial Narrow" w:cs="Arial Narrow"/>
              </w:rPr>
            </w:pPr>
            <w:r w:rsidRPr="5B292A92">
              <w:rPr>
                <w:rFonts w:eastAsia="Arial Narrow" w:cs="Arial Narrow"/>
              </w:rPr>
              <w:t xml:space="preserve">Stent failure (including stent thrombosis, in-stent restenosis of diffuse or multi-focal pattern). </w:t>
            </w:r>
          </w:p>
          <w:p w14:paraId="2EC7B07E" w14:textId="16AFE21F" w:rsidR="002F3E40" w:rsidRPr="00DE762F" w:rsidRDefault="4B12BFE5" w:rsidP="1CDF7A69">
            <w:pPr>
              <w:pStyle w:val="Tabletext"/>
              <w:rPr>
                <w:rFonts w:eastAsia="Arial Narrow" w:cs="Arial Narrow"/>
              </w:rPr>
            </w:pPr>
            <w:r w:rsidRPr="5B292A92">
              <w:rPr>
                <w:rFonts w:eastAsia="Arial Narrow" w:cs="Arial Narrow"/>
              </w:rPr>
              <w:t xml:space="preserve">Being a service associated with items 38307, 38308, 38310, 38311, 38313, 38314, 38316, 38317, 38319, 38320, 38322, 38323. </w:t>
            </w:r>
          </w:p>
          <w:p w14:paraId="649B28B3" w14:textId="424890CA" w:rsidR="002F3E40" w:rsidRPr="00DE762F" w:rsidRDefault="4B12BFE5" w:rsidP="1CDF7A69">
            <w:pPr>
              <w:pStyle w:val="Tabletext"/>
              <w:rPr>
                <w:rFonts w:eastAsia="Arial Narrow" w:cs="Arial Narrow"/>
              </w:rPr>
            </w:pPr>
            <w:r w:rsidRPr="5B292A92">
              <w:rPr>
                <w:rFonts w:eastAsia="Arial Narrow" w:cs="Arial Narrow"/>
              </w:rPr>
              <w:t xml:space="preserve">Service is claimable once in a single episode of care (for one or more lesions).  </w:t>
            </w:r>
          </w:p>
          <w:p w14:paraId="5379CBCB" w14:textId="6D6A84DD" w:rsidR="002F3E40" w:rsidRPr="00DE762F" w:rsidRDefault="3169CD43" w:rsidP="1CDF7A69">
            <w:pPr>
              <w:spacing w:before="120" w:after="120" w:line="240" w:lineRule="auto"/>
              <w:rPr>
                <w:rFonts w:ascii="Arial Narrow" w:eastAsia="Arial Narrow" w:hAnsi="Arial Narrow" w:cs="Arial Narrow"/>
                <w:sz w:val="20"/>
                <w:szCs w:val="20"/>
              </w:rPr>
            </w:pPr>
            <w:r w:rsidRPr="0CA6515C">
              <w:rPr>
                <w:rFonts w:ascii="Arial Narrow" w:eastAsia="Arial Narrow" w:hAnsi="Arial Narrow" w:cs="Arial Narrow"/>
                <w:color w:val="000000" w:themeColor="text1"/>
                <w:sz w:val="20"/>
                <w:szCs w:val="20"/>
                <w:lang w:val="en-GB"/>
              </w:rPr>
              <w:t xml:space="preserve">Fee only payable when the service is provided in association with insertion of coronary stent/s (items 38307, 38308, 38310, 38311, 38313, 38314, 38316, 38317, 38319, 38320, 38322, 38323). </w:t>
            </w:r>
            <w:r w:rsidRPr="0CA6515C">
              <w:rPr>
                <w:rFonts w:ascii="Arial Narrow" w:eastAsia="Arial Narrow" w:hAnsi="Arial Narrow" w:cs="Arial Narrow"/>
                <w:sz w:val="20"/>
                <w:szCs w:val="20"/>
              </w:rPr>
              <w:t xml:space="preserve"> </w:t>
            </w:r>
            <w:r w:rsidR="628B79EF" w:rsidRPr="0CA6515C">
              <w:rPr>
                <w:rFonts w:ascii="Arial Narrow" w:eastAsia="Arial Narrow" w:hAnsi="Arial Narrow" w:cs="Arial Narrow"/>
                <w:sz w:val="20"/>
                <w:szCs w:val="20"/>
              </w:rPr>
              <w:t>(H)</w:t>
            </w:r>
          </w:p>
        </w:tc>
      </w:tr>
      <w:tr w:rsidR="00D2670B" w:rsidRPr="005771DC" w14:paraId="4130676A" w14:textId="77777777" w:rsidTr="0CA6515C">
        <w:trPr>
          <w:cantSplit/>
          <w:trHeight w:val="300"/>
          <w:tblHeader/>
        </w:trPr>
        <w:tc>
          <w:tcPr>
            <w:tcW w:w="5000" w:type="pct"/>
            <w:tcBorders>
              <w:top w:val="single" w:sz="4" w:space="0" w:color="auto"/>
              <w:left w:val="single" w:sz="4" w:space="0" w:color="auto"/>
              <w:bottom w:val="single" w:sz="4" w:space="0" w:color="auto"/>
              <w:right w:val="single" w:sz="4" w:space="0" w:color="auto"/>
            </w:tcBorders>
            <w:vAlign w:val="center"/>
          </w:tcPr>
          <w:p w14:paraId="56A2DE20" w14:textId="18045198" w:rsidR="00D2670B" w:rsidRPr="00DE762F" w:rsidRDefault="250F7766" w:rsidP="1CDF7A69">
            <w:pPr>
              <w:spacing w:before="40" w:after="40" w:line="240" w:lineRule="auto"/>
              <w:rPr>
                <w:rFonts w:ascii="Arial Narrow" w:hAnsi="Arial Narrow"/>
                <w:sz w:val="20"/>
                <w:szCs w:val="20"/>
              </w:rPr>
            </w:pPr>
            <w:r w:rsidRPr="5B292A92">
              <w:rPr>
                <w:rFonts w:ascii="Arial Narrow" w:hAnsi="Arial Narrow"/>
                <w:sz w:val="20"/>
                <w:szCs w:val="20"/>
              </w:rPr>
              <w:t xml:space="preserve">Fee: </w:t>
            </w:r>
            <w:r w:rsidR="449BF395" w:rsidRPr="5B292A92">
              <w:rPr>
                <w:rFonts w:ascii="Arial Narrow" w:hAnsi="Arial Narrow"/>
                <w:sz w:val="20"/>
                <w:szCs w:val="20"/>
              </w:rPr>
              <w:t>$496.50</w:t>
            </w:r>
          </w:p>
        </w:tc>
      </w:tr>
    </w:tbl>
    <w:p w14:paraId="61E19386" w14:textId="1E5A221C" w:rsidR="1CDF7A69" w:rsidRDefault="1CDF7A69" w:rsidP="00FF6DF6">
      <w:pPr>
        <w:spacing w:after="120"/>
        <w:rPr>
          <w:rFonts w:cs="Calibri"/>
          <w:lang w:val="en-GB"/>
        </w:rPr>
      </w:pPr>
    </w:p>
    <w:p w14:paraId="0CC9100F" w14:textId="570398D6" w:rsidR="00C7523E" w:rsidRPr="00680256" w:rsidRDefault="00C7523E" w:rsidP="1CDF7A69">
      <w:pPr>
        <w:rPr>
          <w:rFonts w:cs="Calibri"/>
          <w:lang w:val="en-GB"/>
        </w:rPr>
      </w:pPr>
      <w:r w:rsidRPr="00680256">
        <w:rPr>
          <w:rFonts w:cs="Calibri"/>
          <w:i/>
          <w:iCs/>
        </w:rPr>
        <w:t>PASC agreed to remove myocardial ischaemia from the item descriptor as it is a requirement of PCI and therefore does not require specifying in the MBS listing for OCT.</w:t>
      </w:r>
    </w:p>
    <w:p w14:paraId="5FC9A5AE" w14:textId="6C77A61B" w:rsidR="000B08B4" w:rsidRPr="00680256" w:rsidRDefault="1341705C" w:rsidP="1CDF7A69">
      <w:pPr>
        <w:rPr>
          <w:rFonts w:cs="Calibri"/>
          <w:lang w:val="en-GB"/>
        </w:rPr>
      </w:pPr>
      <w:r w:rsidRPr="00680256">
        <w:rPr>
          <w:rFonts w:cs="Calibri"/>
          <w:lang w:val="en-GB"/>
        </w:rPr>
        <w:t xml:space="preserve">The applicant has justified their proposed fee using the existing MBS item 38241 as a benchmark, which was used to form the basis of the proposed item for the comparator IVUS (Ratified PICO 1354.1). </w:t>
      </w:r>
      <w:r w:rsidR="00756EC2" w:rsidRPr="00680256">
        <w:rPr>
          <w:rFonts w:cs="Calibri"/>
          <w:lang w:val="en-GB"/>
        </w:rPr>
        <w:t>Th</w:t>
      </w:r>
      <w:r w:rsidR="0053230B" w:rsidRPr="00680256">
        <w:rPr>
          <w:rFonts w:cs="Calibri"/>
          <w:lang w:val="en-GB"/>
        </w:rPr>
        <w:t>is basis was further supported by</w:t>
      </w:r>
      <w:r w:rsidR="00756EC2" w:rsidRPr="00680256">
        <w:rPr>
          <w:rFonts w:cs="Calibri"/>
          <w:lang w:val="en-GB"/>
        </w:rPr>
        <w:t xml:space="preserve"> </w:t>
      </w:r>
      <w:r w:rsidR="00832CA0" w:rsidRPr="00680256">
        <w:rPr>
          <w:rFonts w:cs="Calibri"/>
          <w:lang w:val="en-GB"/>
        </w:rPr>
        <w:t>e</w:t>
      </w:r>
      <w:r w:rsidR="0097544A" w:rsidRPr="00680256">
        <w:rPr>
          <w:rFonts w:cs="Calibri"/>
          <w:lang w:val="en-GB"/>
        </w:rPr>
        <w:t xml:space="preserve">xpert opinion </w:t>
      </w:r>
      <w:r w:rsidR="0053230B" w:rsidRPr="00680256">
        <w:rPr>
          <w:rFonts w:cs="Calibri"/>
          <w:lang w:val="en-GB"/>
        </w:rPr>
        <w:t xml:space="preserve">consulted </w:t>
      </w:r>
      <w:r w:rsidR="004B2F84" w:rsidRPr="00680256">
        <w:rPr>
          <w:rFonts w:cs="Calibri"/>
          <w:lang w:val="en-GB"/>
        </w:rPr>
        <w:t>in preparing the</w:t>
      </w:r>
      <w:r w:rsidR="0053230B" w:rsidRPr="00680256">
        <w:rPr>
          <w:rFonts w:cs="Calibri"/>
          <w:lang w:val="en-GB"/>
        </w:rPr>
        <w:t xml:space="preserve"> application which</w:t>
      </w:r>
      <w:r w:rsidR="0097544A" w:rsidRPr="00680256">
        <w:rPr>
          <w:rFonts w:cs="Calibri"/>
          <w:lang w:val="en-GB"/>
        </w:rPr>
        <w:t xml:space="preserve"> </w:t>
      </w:r>
      <w:r w:rsidR="007B6913" w:rsidRPr="00680256">
        <w:rPr>
          <w:rFonts w:cs="Calibri"/>
          <w:lang w:val="en-GB"/>
        </w:rPr>
        <w:t>noted</w:t>
      </w:r>
      <w:r w:rsidR="00A56FE9" w:rsidRPr="00680256">
        <w:rPr>
          <w:rFonts w:cs="Calibri"/>
          <w:lang w:val="en-GB"/>
        </w:rPr>
        <w:t xml:space="preserve"> that the duration of the procedure, the complexity, and the resources used of OCT to be similar to that of IVUS (and hence pressure wire</w:t>
      </w:r>
      <w:r w:rsidR="0053230B" w:rsidRPr="00680256">
        <w:rPr>
          <w:rFonts w:cs="Calibri"/>
          <w:lang w:val="en-GB"/>
        </w:rPr>
        <w:t xml:space="preserve"> [i.e. </w:t>
      </w:r>
      <w:r w:rsidR="00C6695B" w:rsidRPr="00680256">
        <w:rPr>
          <w:rFonts w:cs="Calibri"/>
          <w:lang w:val="en-GB"/>
        </w:rPr>
        <w:t xml:space="preserve">MBS item </w:t>
      </w:r>
      <w:r w:rsidR="00826B55" w:rsidRPr="00680256">
        <w:rPr>
          <w:rFonts w:cs="Calibri"/>
          <w:lang w:val="en-GB"/>
        </w:rPr>
        <w:t>38241</w:t>
      </w:r>
      <w:r w:rsidR="0053230B" w:rsidRPr="00680256">
        <w:rPr>
          <w:rFonts w:cs="Calibri"/>
          <w:lang w:val="en-GB"/>
        </w:rPr>
        <w:t>]</w:t>
      </w:r>
      <w:r w:rsidR="00A56FE9" w:rsidRPr="00680256">
        <w:rPr>
          <w:rFonts w:cs="Calibri"/>
          <w:lang w:val="en-GB"/>
        </w:rPr>
        <w:t>)</w:t>
      </w:r>
      <w:r w:rsidR="00B80B1D" w:rsidRPr="00680256">
        <w:rPr>
          <w:rFonts w:cs="Calibri"/>
          <w:lang w:val="en-GB"/>
        </w:rPr>
        <w:t>.</w:t>
      </w:r>
    </w:p>
    <w:p w14:paraId="773452B9" w14:textId="38D7ED9D" w:rsidR="00A542D5" w:rsidRDefault="00A542D5" w:rsidP="1CDF7A69">
      <w:pPr>
        <w:rPr>
          <w:rFonts w:cs="Calibri"/>
          <w:lang w:val="en-GB"/>
        </w:rPr>
      </w:pPr>
      <w:r w:rsidRPr="00F56B96">
        <w:rPr>
          <w:rFonts w:asciiTheme="minorHAnsi" w:hAnsiTheme="minorHAnsi" w:cstheme="minorHAnsi"/>
          <w:i/>
        </w:rPr>
        <w:t>PASC queried whether the additional eligibility criteria of the ILUMIEN trial should be considered in the proposed MBS listing, particularly the limitation of stent insertion to 2 target vessels. The applicant</w:t>
      </w:r>
      <w:r w:rsidRPr="00F716F8">
        <w:rPr>
          <w:rFonts w:asciiTheme="minorHAnsi" w:hAnsiTheme="minorHAnsi" w:cstheme="minorHAnsi"/>
          <w:i/>
        </w:rPr>
        <w:t>’s clinical</w:t>
      </w:r>
      <w:r w:rsidRPr="00F56B96">
        <w:rPr>
          <w:rFonts w:asciiTheme="minorHAnsi" w:hAnsiTheme="minorHAnsi" w:cstheme="minorHAnsi"/>
          <w:i/>
        </w:rPr>
        <w:t xml:space="preserve"> expert suggested that this limitation in the trial was arbitrary and used only as part of the study </w:t>
      </w:r>
      <w:r w:rsidRPr="00F56B96">
        <w:rPr>
          <w:rFonts w:asciiTheme="minorHAnsi" w:hAnsiTheme="minorHAnsi" w:cstheme="minorHAnsi"/>
          <w:i/>
        </w:rPr>
        <w:lastRenderedPageBreak/>
        <w:t xml:space="preserve">design. PASC </w:t>
      </w:r>
      <w:r w:rsidRPr="00F716F8">
        <w:rPr>
          <w:rFonts w:asciiTheme="minorHAnsi" w:hAnsiTheme="minorHAnsi" w:cstheme="minorHAnsi"/>
          <w:i/>
        </w:rPr>
        <w:t xml:space="preserve">noted there was no theoretical reason to limit the proposed intervention to 2 vessels per procedure, and </w:t>
      </w:r>
      <w:r w:rsidRPr="00F56B96">
        <w:rPr>
          <w:rFonts w:asciiTheme="minorHAnsi" w:hAnsiTheme="minorHAnsi" w:cstheme="minorHAnsi"/>
          <w:i/>
        </w:rPr>
        <w:t xml:space="preserve">also noted that such a limitation may incentivise some practitioners to </w:t>
      </w:r>
      <w:r w:rsidRPr="00F716F8">
        <w:rPr>
          <w:rFonts w:asciiTheme="minorHAnsi" w:hAnsiTheme="minorHAnsi" w:cstheme="minorHAnsi"/>
          <w:i/>
        </w:rPr>
        <w:t xml:space="preserve">perform multiple </w:t>
      </w:r>
      <w:r w:rsidRPr="00F56B96">
        <w:rPr>
          <w:rFonts w:asciiTheme="minorHAnsi" w:hAnsiTheme="minorHAnsi" w:cstheme="minorHAnsi"/>
          <w:i/>
        </w:rPr>
        <w:t>procedures in order to receive additional fees</w:t>
      </w:r>
      <w:r>
        <w:rPr>
          <w:rFonts w:asciiTheme="minorHAnsi" w:hAnsiTheme="minorHAnsi" w:cstheme="minorHAnsi"/>
          <w:i/>
        </w:rPr>
        <w:t>. However, PASC considered that a multi-disciplinary team should be consulted if 3 vessels require intervention because there are potential risks involved with increasing the duration of the procedure.</w:t>
      </w:r>
    </w:p>
    <w:p w14:paraId="507231FF" w14:textId="5B6CA87E" w:rsidR="00F07290" w:rsidRDefault="1341705C" w:rsidP="0CA6515C">
      <w:pPr>
        <w:rPr>
          <w:rFonts w:cs="Calibri"/>
          <w:lang w:val="en-GB"/>
        </w:rPr>
      </w:pPr>
      <w:r w:rsidRPr="4986923B">
        <w:rPr>
          <w:rFonts w:cs="Calibri"/>
          <w:lang w:val="en-GB"/>
        </w:rPr>
        <w:t xml:space="preserve">As OCT is an adjunct of coronary angiography, the fee charged will be subject to the multiple operation rule. The multiple operation rule states that if two or more operations are performed on one patient on a single occasion, the given fee is equal to 100% of the item with the greatest schedule fee, plus 50% for the item with the second greatest schedule fee, and 25% for any other item. Using the fee proposed by the applicant, the cost of OCT will always be less than the fees listed for the 12 </w:t>
      </w:r>
      <w:r w:rsidR="006B3F34">
        <w:rPr>
          <w:rFonts w:cs="Calibri"/>
          <w:lang w:val="en-GB"/>
        </w:rPr>
        <w:t>PCI</w:t>
      </w:r>
      <w:r w:rsidRPr="4986923B">
        <w:rPr>
          <w:rFonts w:cs="Calibri"/>
          <w:lang w:val="en-GB"/>
        </w:rPr>
        <w:t xml:space="preserve"> items. And as these are adjunct therapies, under the multiple operation rule, OCT will either be performed at 50% or 25% of its scheduled cost, reducing the fee to $248.25 or $124.13 respectively.</w:t>
      </w:r>
    </w:p>
    <w:p w14:paraId="548D8EDD" w14:textId="77777777" w:rsidR="00032C0B" w:rsidRDefault="00A542D5" w:rsidP="00A542D5">
      <w:pPr>
        <w:rPr>
          <w:rFonts w:asciiTheme="minorHAnsi" w:hAnsiTheme="minorHAnsi" w:cstheme="minorBidi"/>
          <w:i/>
          <w:iCs/>
        </w:rPr>
      </w:pPr>
      <w:r w:rsidRPr="21942DAD">
        <w:rPr>
          <w:rFonts w:asciiTheme="minorHAnsi" w:hAnsiTheme="minorHAnsi" w:cstheme="minorBidi"/>
          <w:i/>
        </w:rPr>
        <w:t xml:space="preserve">PASC considered that OCT is suitable for adjunctive use across the 12 MBS item numbers for percutaneous coronary intervention (PCI). PASC considered that it was up to clinical judgement for clinicians to </w:t>
      </w:r>
      <w:r w:rsidRPr="6E9F7BE3">
        <w:rPr>
          <w:rFonts w:asciiTheme="minorHAnsi" w:hAnsiTheme="minorHAnsi" w:cstheme="minorBidi"/>
          <w:i/>
          <w:iCs/>
        </w:rPr>
        <w:t>firstly apply</w:t>
      </w:r>
      <w:r w:rsidRPr="21942DAD">
        <w:rPr>
          <w:rFonts w:asciiTheme="minorHAnsi" w:hAnsiTheme="minorHAnsi" w:cstheme="minorBidi"/>
          <w:i/>
        </w:rPr>
        <w:t xml:space="preserve"> </w:t>
      </w:r>
      <w:r w:rsidRPr="3C100CA3">
        <w:rPr>
          <w:rFonts w:asciiTheme="minorHAnsi" w:hAnsiTheme="minorHAnsi" w:cstheme="minorBidi"/>
          <w:i/>
          <w:iCs/>
        </w:rPr>
        <w:t xml:space="preserve">the correct PCI </w:t>
      </w:r>
      <w:r w:rsidRPr="64C54327">
        <w:rPr>
          <w:rFonts w:asciiTheme="minorHAnsi" w:hAnsiTheme="minorHAnsi" w:cstheme="minorBidi"/>
          <w:i/>
          <w:iCs/>
        </w:rPr>
        <w:t xml:space="preserve">item </w:t>
      </w:r>
      <w:r w:rsidRPr="54FB6B5F">
        <w:rPr>
          <w:rFonts w:asciiTheme="minorHAnsi" w:hAnsiTheme="minorHAnsi" w:cstheme="minorBidi"/>
          <w:i/>
          <w:iCs/>
        </w:rPr>
        <w:t xml:space="preserve">number </w:t>
      </w:r>
      <w:r w:rsidRPr="0D83FAC9">
        <w:rPr>
          <w:rFonts w:asciiTheme="minorHAnsi" w:hAnsiTheme="minorHAnsi" w:cstheme="minorBidi"/>
          <w:i/>
          <w:iCs/>
        </w:rPr>
        <w:t xml:space="preserve">and then </w:t>
      </w:r>
      <w:r w:rsidRPr="60EE4BCB">
        <w:rPr>
          <w:rFonts w:asciiTheme="minorHAnsi" w:hAnsiTheme="minorHAnsi" w:cstheme="minorBidi"/>
          <w:i/>
          <w:iCs/>
        </w:rPr>
        <w:t>apply</w:t>
      </w:r>
      <w:r w:rsidRPr="084AAFA5">
        <w:rPr>
          <w:rFonts w:asciiTheme="minorHAnsi" w:hAnsiTheme="minorHAnsi" w:cstheme="minorBidi"/>
          <w:i/>
          <w:iCs/>
        </w:rPr>
        <w:t xml:space="preserve"> </w:t>
      </w:r>
      <w:r w:rsidRPr="0D83FAC9">
        <w:rPr>
          <w:rFonts w:asciiTheme="minorHAnsi" w:hAnsiTheme="minorHAnsi" w:cstheme="minorBidi"/>
          <w:i/>
          <w:iCs/>
        </w:rPr>
        <w:t>the</w:t>
      </w:r>
      <w:r w:rsidRPr="21942DAD">
        <w:rPr>
          <w:rFonts w:asciiTheme="minorHAnsi" w:hAnsiTheme="minorHAnsi" w:cstheme="minorBidi"/>
          <w:i/>
        </w:rPr>
        <w:t xml:space="preserve"> proposed item number for OCT </w:t>
      </w:r>
      <w:r w:rsidRPr="1CF0E235">
        <w:rPr>
          <w:rFonts w:asciiTheme="minorHAnsi" w:hAnsiTheme="minorHAnsi" w:cstheme="minorBidi"/>
          <w:i/>
          <w:iCs/>
        </w:rPr>
        <w:t>(</w:t>
      </w:r>
      <w:r w:rsidRPr="25D6F357">
        <w:rPr>
          <w:rFonts w:asciiTheme="minorHAnsi" w:hAnsiTheme="minorHAnsi" w:cstheme="minorBidi"/>
          <w:i/>
          <w:iCs/>
        </w:rPr>
        <w:t xml:space="preserve">if the </w:t>
      </w:r>
      <w:r w:rsidRPr="6961D104">
        <w:rPr>
          <w:rFonts w:asciiTheme="minorHAnsi" w:hAnsiTheme="minorHAnsi" w:cstheme="minorBidi"/>
          <w:i/>
          <w:iCs/>
        </w:rPr>
        <w:t xml:space="preserve">target lesion/s </w:t>
      </w:r>
      <w:r w:rsidRPr="145D1162">
        <w:rPr>
          <w:rFonts w:asciiTheme="minorHAnsi" w:hAnsiTheme="minorHAnsi" w:cstheme="minorBidi"/>
          <w:i/>
          <w:iCs/>
        </w:rPr>
        <w:t xml:space="preserve">meet the OCT </w:t>
      </w:r>
      <w:r w:rsidRPr="355AA540">
        <w:rPr>
          <w:rFonts w:asciiTheme="minorHAnsi" w:hAnsiTheme="minorHAnsi" w:cstheme="minorBidi"/>
          <w:i/>
          <w:iCs/>
        </w:rPr>
        <w:t xml:space="preserve">criteria) </w:t>
      </w:r>
      <w:r w:rsidRPr="68036FAE">
        <w:rPr>
          <w:rFonts w:asciiTheme="minorHAnsi" w:hAnsiTheme="minorHAnsi" w:cstheme="minorBidi"/>
          <w:i/>
          <w:iCs/>
        </w:rPr>
        <w:t>as an adjunct service.</w:t>
      </w:r>
    </w:p>
    <w:p w14:paraId="20A80D69" w14:textId="19C7092B" w:rsidR="246B9B5E" w:rsidRDefault="754FF553" w:rsidP="00A542D5">
      <w:pPr>
        <w:rPr>
          <w:rFonts w:cs="Calibri"/>
          <w:lang w:val="en-GB"/>
        </w:rPr>
      </w:pPr>
      <w:r w:rsidRPr="0CA6515C">
        <w:rPr>
          <w:rFonts w:cs="Calibri"/>
          <w:lang w:val="en-GB"/>
        </w:rPr>
        <w:t xml:space="preserve">Additionally, the applicant has indicated that the imaging catheter has a cost of </w:t>
      </w:r>
      <w:r w:rsidR="008E1344">
        <w:t>REDACTED</w:t>
      </w:r>
      <w:r w:rsidRPr="0CA6515C">
        <w:rPr>
          <w:rFonts w:cs="Calibri"/>
          <w:lang w:val="en-GB"/>
        </w:rPr>
        <w:t xml:space="preserve">. </w:t>
      </w:r>
      <w:r w:rsidR="02E0298A" w:rsidRPr="0CA6515C">
        <w:rPr>
          <w:rFonts w:cs="Calibri"/>
          <w:lang w:val="en-GB"/>
        </w:rPr>
        <w:t xml:space="preserve">During the </w:t>
      </w:r>
      <w:r w:rsidR="4B9415F1" w:rsidRPr="0CA6515C">
        <w:rPr>
          <w:rFonts w:cs="Calibri"/>
          <w:lang w:val="en-GB"/>
        </w:rPr>
        <w:t>PICO process</w:t>
      </w:r>
      <w:r w:rsidR="02E0298A" w:rsidRPr="0CA6515C">
        <w:rPr>
          <w:rFonts w:cs="Calibri"/>
          <w:lang w:val="en-GB"/>
        </w:rPr>
        <w:t xml:space="preserve"> the applicant clarified that the catheter is single use per patient only. </w:t>
      </w:r>
      <w:r w:rsidR="002C0A2D" w:rsidRPr="7B803AE0">
        <w:rPr>
          <w:rFonts w:cs="Calibri"/>
          <w:lang w:val="en-GB"/>
        </w:rPr>
        <w:t>In the pre-PASC</w:t>
      </w:r>
      <w:r w:rsidR="003855CF" w:rsidRPr="7B803AE0">
        <w:rPr>
          <w:rFonts w:cs="Calibri"/>
          <w:lang w:val="en-GB"/>
        </w:rPr>
        <w:t xml:space="preserve"> period </w:t>
      </w:r>
      <w:r w:rsidR="008C5C9E" w:rsidRPr="7B803AE0">
        <w:rPr>
          <w:rFonts w:cs="Calibri"/>
          <w:lang w:val="en-GB"/>
        </w:rPr>
        <w:t>t</w:t>
      </w:r>
      <w:r w:rsidRPr="7B803AE0">
        <w:rPr>
          <w:rFonts w:cs="Calibri"/>
          <w:lang w:val="en-GB"/>
        </w:rPr>
        <w:t>he</w:t>
      </w:r>
      <w:r w:rsidRPr="0CA6515C">
        <w:rPr>
          <w:rFonts w:cs="Calibri"/>
          <w:lang w:val="en-GB"/>
        </w:rPr>
        <w:t xml:space="preserve"> </w:t>
      </w:r>
      <w:r w:rsidR="00A25DD5" w:rsidRPr="7B803AE0">
        <w:rPr>
          <w:rFonts w:cs="Calibri"/>
          <w:lang w:val="en-GB"/>
        </w:rPr>
        <w:t>department</w:t>
      </w:r>
      <w:r w:rsidR="00732BFD" w:rsidRPr="7B803AE0">
        <w:rPr>
          <w:rFonts w:cs="Calibri"/>
          <w:lang w:val="en-GB"/>
        </w:rPr>
        <w:t xml:space="preserve"> </w:t>
      </w:r>
      <w:r w:rsidR="002C0A2D" w:rsidRPr="7B803AE0">
        <w:rPr>
          <w:rFonts w:cs="Calibri"/>
          <w:lang w:val="en-GB"/>
        </w:rPr>
        <w:t>advised</w:t>
      </w:r>
      <w:r w:rsidR="00732BFD" w:rsidRPr="0CA6515C">
        <w:rPr>
          <w:rFonts w:cs="Calibri"/>
          <w:lang w:val="en-GB"/>
        </w:rPr>
        <w:t xml:space="preserve"> </w:t>
      </w:r>
      <w:r w:rsidRPr="0CA6515C">
        <w:rPr>
          <w:rFonts w:cs="Calibri"/>
          <w:lang w:val="en-GB"/>
        </w:rPr>
        <w:t xml:space="preserve">that this </w:t>
      </w:r>
      <w:r w:rsidR="009A635F">
        <w:rPr>
          <w:rFonts w:cs="Calibri"/>
          <w:lang w:val="en-GB"/>
        </w:rPr>
        <w:t>cost</w:t>
      </w:r>
      <w:r w:rsidR="009A635F" w:rsidRPr="0CA6515C">
        <w:rPr>
          <w:rFonts w:cs="Calibri"/>
          <w:lang w:val="en-GB"/>
        </w:rPr>
        <w:t xml:space="preserve"> </w:t>
      </w:r>
      <w:r w:rsidR="008C5C9E" w:rsidRPr="7B803AE0">
        <w:rPr>
          <w:rFonts w:cs="Calibri"/>
          <w:lang w:val="en-GB"/>
        </w:rPr>
        <w:t xml:space="preserve">will not </w:t>
      </w:r>
      <w:r w:rsidRPr="0CA6515C">
        <w:rPr>
          <w:rFonts w:cs="Calibri"/>
          <w:lang w:val="en-GB"/>
        </w:rPr>
        <w:t>be covered under the Prescribed List of Medical Devices and Human Tissue Products</w:t>
      </w:r>
      <w:r w:rsidR="009A635F">
        <w:rPr>
          <w:rFonts w:cs="Calibri"/>
          <w:lang w:val="en-GB"/>
        </w:rPr>
        <w:t xml:space="preserve"> (i.e.</w:t>
      </w:r>
      <w:r w:rsidR="00843297">
        <w:rPr>
          <w:rFonts w:cs="Calibri"/>
          <w:lang w:val="en-GB"/>
        </w:rPr>
        <w:t>,</w:t>
      </w:r>
      <w:r w:rsidR="009A635F">
        <w:rPr>
          <w:rFonts w:cs="Calibri"/>
          <w:lang w:val="en-GB"/>
        </w:rPr>
        <w:t xml:space="preserve"> </w:t>
      </w:r>
      <w:r w:rsidR="00616AB6" w:rsidRPr="7B803AE0">
        <w:rPr>
          <w:rFonts w:cs="Calibri"/>
          <w:lang w:val="en-GB"/>
        </w:rPr>
        <w:t>does not fit</w:t>
      </w:r>
      <w:r w:rsidR="009A635F" w:rsidRPr="7B803AE0">
        <w:rPr>
          <w:rFonts w:cs="Calibri"/>
          <w:lang w:val="en-GB"/>
        </w:rPr>
        <w:t xml:space="preserve"> the </w:t>
      </w:r>
      <w:r w:rsidR="00616AB6" w:rsidRPr="7B803AE0">
        <w:rPr>
          <w:rFonts w:cs="Calibri"/>
          <w:lang w:val="en-GB"/>
        </w:rPr>
        <w:t>criteria for the Prescribed List</w:t>
      </w:r>
      <w:r w:rsidR="009A635F" w:rsidRPr="7B803AE0">
        <w:rPr>
          <w:rFonts w:cs="Calibri"/>
          <w:lang w:val="en-GB"/>
        </w:rPr>
        <w:t>)</w:t>
      </w:r>
      <w:r w:rsidR="001B6E9C" w:rsidRPr="7B803AE0">
        <w:rPr>
          <w:rFonts w:cs="Calibri"/>
          <w:lang w:val="en-GB"/>
        </w:rPr>
        <w:t>, which may have implications for out</w:t>
      </w:r>
      <w:r w:rsidR="00843297">
        <w:rPr>
          <w:rFonts w:cs="Calibri"/>
          <w:lang w:val="en-GB"/>
        </w:rPr>
        <w:t>-</w:t>
      </w:r>
      <w:r w:rsidR="001B6E9C" w:rsidRPr="7B803AE0">
        <w:rPr>
          <w:rFonts w:cs="Calibri"/>
          <w:lang w:val="en-GB"/>
        </w:rPr>
        <w:t>of</w:t>
      </w:r>
      <w:r w:rsidR="00843297">
        <w:rPr>
          <w:rFonts w:cs="Calibri"/>
          <w:lang w:val="en-GB"/>
        </w:rPr>
        <w:t>-</w:t>
      </w:r>
      <w:r w:rsidR="001B6E9C" w:rsidRPr="7B803AE0">
        <w:rPr>
          <w:rFonts w:cs="Calibri"/>
          <w:lang w:val="en-GB"/>
        </w:rPr>
        <w:t>pocket costs for patients</w:t>
      </w:r>
      <w:r w:rsidRPr="7B803AE0">
        <w:rPr>
          <w:rFonts w:cs="Calibri"/>
          <w:lang w:val="en-GB"/>
        </w:rPr>
        <w:t xml:space="preserve">. </w:t>
      </w:r>
    </w:p>
    <w:p w14:paraId="1C9E9445" w14:textId="142D38D5" w:rsidR="00C7523E" w:rsidRDefault="00C7523E" w:rsidP="00032C0B">
      <w:pPr>
        <w:rPr>
          <w:rFonts w:cs="Calibri"/>
          <w:lang w:val="en-GB"/>
        </w:rPr>
      </w:pPr>
      <w:r w:rsidRPr="00264280">
        <w:rPr>
          <w:rFonts w:asciiTheme="minorHAnsi" w:hAnsiTheme="minorHAnsi" w:cstheme="minorHAnsi"/>
          <w:i/>
        </w:rPr>
        <w:t>PASC</w:t>
      </w:r>
      <w:r w:rsidRPr="00264280">
        <w:rPr>
          <w:rFonts w:asciiTheme="minorHAnsi" w:hAnsiTheme="minorHAnsi" w:cstheme="minorHAnsi"/>
          <w:i/>
          <w:iCs/>
        </w:rPr>
        <w:t xml:space="preserve"> </w:t>
      </w:r>
      <w:r>
        <w:rPr>
          <w:rFonts w:asciiTheme="minorHAnsi" w:hAnsiTheme="minorHAnsi" w:cstheme="minorHAnsi"/>
          <w:i/>
          <w:iCs/>
        </w:rPr>
        <w:t>noted issues of equity and access due to the cost of the imaging catheter which was not considered likely to be eligible for listing on the Prescribed list of medical devices and human tissue products, and therefore may become an out of pocket expense for patients.</w:t>
      </w:r>
    </w:p>
    <w:p w14:paraId="62338695" w14:textId="4B830F42" w:rsidR="00D37A3F" w:rsidRPr="00D37A3F" w:rsidRDefault="7660AF9A" w:rsidP="1CDF7A69">
      <w:pPr>
        <w:pStyle w:val="Heading2"/>
        <w:rPr>
          <w:color w:val="538135" w:themeColor="accent6" w:themeShade="BF"/>
        </w:rPr>
      </w:pPr>
      <w:r>
        <w:t xml:space="preserve">Summary of public consultation </w:t>
      </w:r>
      <w:r w:rsidR="5C8BE857">
        <w:t>input</w:t>
      </w:r>
    </w:p>
    <w:p w14:paraId="7EF170AB" w14:textId="34BC0462" w:rsidR="00CC1667" w:rsidRPr="000A5E0A" w:rsidRDefault="00CC1667" w:rsidP="707AF701">
      <w:pPr>
        <w:spacing w:after="120"/>
      </w:pPr>
      <w:r w:rsidRPr="000A5E0A">
        <w:t xml:space="preserve">PASC noted and welcomed consultation input from 2 organisations and 8 individuals, all of whom were health professionals </w:t>
      </w:r>
      <w:r w:rsidRPr="000A5E0A">
        <w:rPr>
          <w:sz w:val="20"/>
          <w:szCs w:val="20"/>
        </w:rPr>
        <w:t>–</w:t>
      </w:r>
      <w:r w:rsidRPr="000A5E0A">
        <w:t xml:space="preserve"> mostly interventional cardiologists.  The 2 organisations that submitted input were: </w:t>
      </w:r>
    </w:p>
    <w:p w14:paraId="0F7C3C3F" w14:textId="77777777" w:rsidR="00CC1667" w:rsidRDefault="00CC1667" w:rsidP="00CC1667">
      <w:pPr>
        <w:pStyle w:val="ListParagraph"/>
        <w:numPr>
          <w:ilvl w:val="0"/>
          <w:numId w:val="26"/>
        </w:numPr>
        <w:spacing w:after="120" w:line="259" w:lineRule="auto"/>
      </w:pPr>
      <w:r>
        <w:t>Hearts4hearts</w:t>
      </w:r>
    </w:p>
    <w:p w14:paraId="2C1FF48F" w14:textId="77777777" w:rsidR="00CC1667" w:rsidRPr="004067D3" w:rsidRDefault="00CC1667" w:rsidP="00CC1667">
      <w:pPr>
        <w:pStyle w:val="ListParagraph"/>
        <w:numPr>
          <w:ilvl w:val="0"/>
          <w:numId w:val="26"/>
        </w:numPr>
        <w:spacing w:after="120" w:line="259" w:lineRule="auto"/>
        <w:ind w:left="714" w:hanging="357"/>
        <w:rPr>
          <w:b/>
          <w:bCs/>
        </w:rPr>
      </w:pPr>
      <w:r>
        <w:t>Boston Scientific</w:t>
      </w:r>
    </w:p>
    <w:p w14:paraId="60F5EA37" w14:textId="77777777" w:rsidR="00CC1667" w:rsidRDefault="00CC1667" w:rsidP="00CC1667">
      <w:pPr>
        <w:rPr>
          <w:color w:val="5B9BD5" w:themeColor="accent1"/>
        </w:rPr>
      </w:pPr>
      <w:r>
        <w:t>The consultation feedback received was mostly supportive of public funding for</w:t>
      </w:r>
      <w:r w:rsidRPr="004067D3">
        <w:t xml:space="preserve"> </w:t>
      </w:r>
      <w:r>
        <w:t>o</w:t>
      </w:r>
      <w:r w:rsidRPr="00816049">
        <w:t>ptical coherence tomography (OCT) guided coronary stent insertion for patients eligible for coronary revascularisation</w:t>
      </w:r>
      <w:r>
        <w:t xml:space="preserve">. </w:t>
      </w:r>
    </w:p>
    <w:p w14:paraId="552718C5" w14:textId="77777777" w:rsidR="00CC1667" w:rsidRDefault="00CC1667" w:rsidP="00CC1667">
      <w:pPr>
        <w:rPr>
          <w:b/>
          <w:bCs/>
        </w:rPr>
      </w:pPr>
      <w:r w:rsidRPr="00C50417">
        <w:rPr>
          <w:b/>
          <w:bCs/>
        </w:rPr>
        <w:t>Clinical need and public health significance</w:t>
      </w:r>
    </w:p>
    <w:p w14:paraId="57EE20C5" w14:textId="77777777" w:rsidR="00CC1667" w:rsidRDefault="00CC1667" w:rsidP="00CC1667">
      <w:r>
        <w:t>The main benefits of public funding received in the consultation feedback included improved patient care, clinical benefits from improved stent procedure outcomes, fewer repeat procedures, reduced risk of complications improving the safety and efficacy of the procedure, improved workflow for clinicians and reduced procedural times. Hearts4heart strongly supported the listing of OCT as a life-saving procedure for patients as it addresses a significant unmet need.</w:t>
      </w:r>
    </w:p>
    <w:p w14:paraId="656C1249" w14:textId="77777777" w:rsidR="00CC1667" w:rsidRDefault="00CC1667" w:rsidP="00CC1667">
      <w:r>
        <w:lastRenderedPageBreak/>
        <w:t>The main disadvantages of public funding received in the consultation feedback was the potential for increased radiographic contrast use and the cost of purchasing OCT equipment.</w:t>
      </w:r>
    </w:p>
    <w:p w14:paraId="7E0669DC" w14:textId="77777777" w:rsidR="00CC1667" w:rsidRDefault="00CC1667" w:rsidP="00CC1667">
      <w:pPr>
        <w:rPr>
          <w:b/>
          <w:bCs/>
        </w:rPr>
      </w:pPr>
      <w:r w:rsidRPr="00C50417">
        <w:rPr>
          <w:b/>
          <w:bCs/>
        </w:rPr>
        <w:t>Indication(s) for the proposed medical service and clinical claim</w:t>
      </w:r>
    </w:p>
    <w:p w14:paraId="571819FA" w14:textId="77777777" w:rsidR="00CC1667" w:rsidRPr="00B87302" w:rsidRDefault="00CC1667" w:rsidP="00CC1667">
      <w:r>
        <w:t xml:space="preserve">With the exception of Boston Scientific, the consultation feedback strongly agreed with the proposed populations and noted that the four patient criteria listed in the application as the patient populations to benefit most from the use of OCT. </w:t>
      </w:r>
      <w:r w:rsidRPr="00ED770F">
        <w:t xml:space="preserve">Boston Scientific </w:t>
      </w:r>
      <w:r w:rsidRPr="00677490">
        <w:t xml:space="preserve">(a supplier of </w:t>
      </w:r>
      <w:r>
        <w:t xml:space="preserve">intravascular ultrasound </w:t>
      </w:r>
      <w:r w:rsidRPr="00677490">
        <w:t xml:space="preserve">(IVUS) products) </w:t>
      </w:r>
      <w:r w:rsidRPr="00ED770F">
        <w:t xml:space="preserve">questioned </w:t>
      </w:r>
      <w:r>
        <w:t xml:space="preserve">the proposed populations </w:t>
      </w:r>
      <w:r w:rsidRPr="00677490">
        <w:t xml:space="preserve">due to concerns with the clinical evidence. </w:t>
      </w:r>
      <w:r>
        <w:t>One individual stated there is a case for use of OCT guidance of proximal left anterior descending (LAD) artery as it is the number two in hierarchy of vessel compromise and appears more prone to restenosis.</w:t>
      </w:r>
    </w:p>
    <w:p w14:paraId="52A96BCD" w14:textId="77777777" w:rsidR="00CC1667" w:rsidRDefault="00CC1667" w:rsidP="00CC1667">
      <w:r w:rsidRPr="00B76CA2">
        <w:t>The consultation feedback agree</w:t>
      </w:r>
      <w:r>
        <w:t>d</w:t>
      </w:r>
      <w:r w:rsidRPr="00B76CA2">
        <w:t xml:space="preserve"> </w:t>
      </w:r>
      <w:r>
        <w:t xml:space="preserve">with the proposed comparators. It was noted that the comparator is fluoroscopic guidance of percutaneous coronary intervention (PCI) is the standard of care and several individuals stated that IVUS was an appropriate secondary comparator in a subgroup of patients with long lesions. One individual stated that unlike IVUS, OCT can assess the depth of calcification and Hearts4heart stated that OCT provides better image resolution than IVUS, can determine vascular dimensions with a greater degree of accuracy than IVUS, and provides image acquisition that is faster than IVUS. </w:t>
      </w:r>
      <w:r w:rsidRPr="00ED770F">
        <w:t>Boston Scientific stated that OCT imaging often fails to demonstrate the media and that high definition (HD) IVUS has the advantage of much deeper tissue penetration and will often outline all the features of the vessel that are pertinent to subsequent treatment.</w:t>
      </w:r>
    </w:p>
    <w:p w14:paraId="48998B76" w14:textId="77777777" w:rsidR="00CC1667" w:rsidRDefault="00CC1667" w:rsidP="00CC1667">
      <w:r>
        <w:t>With the exception of Boston Scientific, the consultation feedback agreed with</w:t>
      </w:r>
      <w:r w:rsidRPr="00E76884">
        <w:rPr>
          <w:b/>
          <w:bCs/>
        </w:rPr>
        <w:t xml:space="preserve"> </w:t>
      </w:r>
      <w:r>
        <w:t xml:space="preserve">the clinical claim. Most of the individuals referred to the wealth of robust data including metanalysis and randomised controlled trials as the basis of the clinical claim. </w:t>
      </w:r>
      <w:r w:rsidRPr="00ED770F">
        <w:t>Boston Scientific stated that there has been a considerable shift in available evidence, much of which raises questions around how applicable OCT is as a technology in the patient populations as outlined in the application.</w:t>
      </w:r>
      <w:r w:rsidRPr="00756830">
        <w:t xml:space="preserve"> Boston Scientific</w:t>
      </w:r>
      <w:r>
        <w:t xml:space="preserve"> provided comment from a clinical expert outlining the limitations of the clinical evidence for OCT </w:t>
      </w:r>
      <w:r w:rsidRPr="00756830">
        <w:t>guided coronary stent insertion</w:t>
      </w:r>
      <w:r>
        <w:t xml:space="preserve"> and the variable outcomes in clinical studies compared with IVUS. </w:t>
      </w:r>
    </w:p>
    <w:p w14:paraId="45880E99" w14:textId="77777777" w:rsidR="00CC1667" w:rsidRDefault="00CC1667" w:rsidP="00CC1667">
      <w:pPr>
        <w:rPr>
          <w:b/>
          <w:bCs/>
        </w:rPr>
      </w:pPr>
      <w:r w:rsidRPr="00E76884">
        <w:rPr>
          <w:b/>
          <w:bCs/>
        </w:rPr>
        <w:t>Cost information for the proposed medical service</w:t>
      </w:r>
    </w:p>
    <w:p w14:paraId="0FA4F088" w14:textId="77777777" w:rsidR="00CC1667" w:rsidRDefault="00CC1667" w:rsidP="00CC1667">
      <w:r>
        <w:t xml:space="preserve">The consultation feedback ranged from disagreeing to strongly agreeing with the proposed service descriptor. Most of the consultation feedback stated that the item descriptor is in line with current clinical practice. </w:t>
      </w:r>
      <w:r w:rsidRPr="00ED770F">
        <w:t xml:space="preserve">Boston </w:t>
      </w:r>
      <w:r w:rsidRPr="003B24F7">
        <w:t xml:space="preserve">Scientific </w:t>
      </w:r>
      <w:r w:rsidRPr="00CF6AF8">
        <w:t xml:space="preserve">appeared to </w:t>
      </w:r>
      <w:r w:rsidRPr="003B24F7">
        <w:t>disagree</w:t>
      </w:r>
      <w:r w:rsidRPr="00ED770F">
        <w:t xml:space="preserve"> with the patient criteria in the proposed service descriptor.</w:t>
      </w:r>
    </w:p>
    <w:p w14:paraId="45AC48EE" w14:textId="77777777" w:rsidR="00CC1667" w:rsidRDefault="00CC1667" w:rsidP="00CC1667">
      <w:r>
        <w:t>The consultation feedback ranged from agreeing to strongly agreeing with the proposed service fee with most individuals stating it is in line with physiology and IVUS which is to be listed on the MBS in 2024. Two individuals noted that imaging requires an increased skill set and that the fee should reflect the complexity and time of the procedure and the cost of purchasing OCT equipment.</w:t>
      </w:r>
    </w:p>
    <w:p w14:paraId="7D769CC9" w14:textId="77777777" w:rsidR="00CC1667" w:rsidRPr="00E76884" w:rsidRDefault="00CC1667" w:rsidP="00CC1667">
      <w:pPr>
        <w:rPr>
          <w:color w:val="5B9BD5" w:themeColor="accent1"/>
        </w:rPr>
      </w:pPr>
      <w:r w:rsidRPr="00C50417">
        <w:rPr>
          <w:b/>
          <w:bCs/>
        </w:rPr>
        <w:t xml:space="preserve">Additional comments </w:t>
      </w:r>
    </w:p>
    <w:p w14:paraId="4A69D26A" w14:textId="77777777" w:rsidR="00CC1667" w:rsidRPr="00D811C1" w:rsidRDefault="00CC1667" w:rsidP="00CC1667">
      <w:pPr>
        <w:rPr>
          <w:b/>
          <w:bCs/>
        </w:rPr>
      </w:pPr>
      <w:r>
        <w:t xml:space="preserve">One of the individuals is a specialist working in coronary intervention in a regional centre and stated that the use of OCT allows assessment of lesions to rule out major or life-threatening complications, and whether they can proceed to PCI or need to transfer the patient to a higher acuity centre which is two </w:t>
      </w:r>
      <w:r>
        <w:lastRenderedPageBreak/>
        <w:t>hours away. The individual stated that restrictions in using this technology is impacting on patient care and that public funding of OCT will address an unmet need to improve the equity of care between public versus private and metro compared to regional care.</w:t>
      </w:r>
    </w:p>
    <w:p w14:paraId="58BA0F0A" w14:textId="77777777" w:rsidR="00CC1667" w:rsidRDefault="00CC1667" w:rsidP="00CC1667">
      <w:pPr>
        <w:rPr>
          <w:b/>
          <w:bCs/>
        </w:rPr>
      </w:pPr>
      <w:r w:rsidRPr="00D811C1">
        <w:rPr>
          <w:b/>
          <w:bCs/>
        </w:rPr>
        <w:t>Consumer Feedback</w:t>
      </w:r>
    </w:p>
    <w:p w14:paraId="25D36BE2" w14:textId="74DFC700" w:rsidR="00B806CE" w:rsidRPr="00CC1667" w:rsidRDefault="00CC1667" w:rsidP="00CC1667">
      <w:r w:rsidRPr="00677490">
        <w:t>Hearts4heart</w:t>
      </w:r>
      <w:r>
        <w:t xml:space="preserve"> shared a patient journey where a patient had two separate admissions and stent procedures, and had OCT been used during the initial stent placement the second admission and procedure may not have been needed.</w:t>
      </w:r>
    </w:p>
    <w:p w14:paraId="6DBEDE70" w14:textId="4F402247" w:rsidR="00D37A3F" w:rsidRPr="006B6E4F" w:rsidRDefault="006F00E0" w:rsidP="00371A9D">
      <w:pPr>
        <w:rPr>
          <w:i/>
          <w:iCs/>
        </w:rPr>
      </w:pPr>
      <w:r>
        <w:rPr>
          <w:i/>
          <w:iCs/>
        </w:rPr>
        <w:t>PASC noted concerns from</w:t>
      </w:r>
      <w:r w:rsidR="00F1100D" w:rsidRPr="006B6E4F">
        <w:rPr>
          <w:i/>
          <w:iCs/>
        </w:rPr>
        <w:t xml:space="preserve"> Boston Scientific, the supplier of IVUS, over the limited evidence supporting OCT use as well as the use of extra dye required.</w:t>
      </w:r>
      <w:r w:rsidR="000C5FB3">
        <w:rPr>
          <w:i/>
          <w:iCs/>
        </w:rPr>
        <w:t xml:space="preserve"> </w:t>
      </w:r>
      <w:r w:rsidR="000C5FB3" w:rsidRPr="01A3496D">
        <w:rPr>
          <w:i/>
          <w:iCs/>
        </w:rPr>
        <w:t>The applicant</w:t>
      </w:r>
      <w:r w:rsidR="046E3691" w:rsidRPr="01A3496D">
        <w:rPr>
          <w:i/>
          <w:iCs/>
        </w:rPr>
        <w:t xml:space="preserve">’s </w:t>
      </w:r>
      <w:r w:rsidR="046E3691" w:rsidRPr="55F0058E">
        <w:rPr>
          <w:i/>
          <w:iCs/>
        </w:rPr>
        <w:t xml:space="preserve">clinical </w:t>
      </w:r>
      <w:r w:rsidR="046E3691" w:rsidRPr="06838347">
        <w:rPr>
          <w:i/>
          <w:iCs/>
        </w:rPr>
        <w:t>expert</w:t>
      </w:r>
      <w:r w:rsidR="004C2F53">
        <w:rPr>
          <w:i/>
          <w:iCs/>
        </w:rPr>
        <w:t xml:space="preserve"> </w:t>
      </w:r>
      <w:r w:rsidR="000C5FB3">
        <w:rPr>
          <w:i/>
          <w:iCs/>
        </w:rPr>
        <w:t xml:space="preserve">stated that additional contrast </w:t>
      </w:r>
      <w:r w:rsidR="00CD574A">
        <w:rPr>
          <w:i/>
          <w:iCs/>
        </w:rPr>
        <w:t>use was not born</w:t>
      </w:r>
      <w:r w:rsidR="00C90A5C">
        <w:rPr>
          <w:i/>
          <w:iCs/>
        </w:rPr>
        <w:t>e</w:t>
      </w:r>
      <w:r w:rsidR="00CD574A">
        <w:rPr>
          <w:i/>
          <w:iCs/>
        </w:rPr>
        <w:t xml:space="preserve"> out in practice</w:t>
      </w:r>
      <w:r w:rsidR="00D92D9E">
        <w:rPr>
          <w:i/>
          <w:iCs/>
        </w:rPr>
        <w:t xml:space="preserve"> due to </w:t>
      </w:r>
      <w:r w:rsidR="00CE56F8">
        <w:rPr>
          <w:i/>
          <w:iCs/>
        </w:rPr>
        <w:t xml:space="preserve">the </w:t>
      </w:r>
      <w:r w:rsidR="00D92D9E">
        <w:rPr>
          <w:i/>
          <w:iCs/>
        </w:rPr>
        <w:t xml:space="preserve">reducing need for additional angiography. </w:t>
      </w:r>
    </w:p>
    <w:p w14:paraId="4E68667F" w14:textId="77777777" w:rsidR="00D37A3F" w:rsidRPr="00D37A3F" w:rsidRDefault="00D37A3F" w:rsidP="00713728">
      <w:pPr>
        <w:pStyle w:val="Heading2"/>
      </w:pPr>
      <w:r w:rsidRPr="00D37A3F">
        <w:t>Next steps</w:t>
      </w:r>
    </w:p>
    <w:p w14:paraId="3BEA6E4B" w14:textId="67C3FDEF" w:rsidR="002431B5" w:rsidRDefault="003744A4" w:rsidP="00371A9D">
      <w:pPr>
        <w:rPr>
          <w:i/>
          <w:iCs/>
        </w:rPr>
      </w:pPr>
      <w:r w:rsidRPr="006B6E4F">
        <w:rPr>
          <w:i/>
          <w:iCs/>
        </w:rPr>
        <w:t>PASC noted the applicant has elected to progress its application as an ADAR (Applicant Developed Assessment Report).</w:t>
      </w:r>
    </w:p>
    <w:p w14:paraId="2ED9E863" w14:textId="0F3B7E69" w:rsidR="002431B5" w:rsidRPr="00D37A3F" w:rsidRDefault="002431B5" w:rsidP="002431B5">
      <w:pPr>
        <w:pStyle w:val="Heading2"/>
      </w:pPr>
      <w:r>
        <w:t xml:space="preserve">Applicant </w:t>
      </w:r>
      <w:r w:rsidR="00592335">
        <w:t>C</w:t>
      </w:r>
      <w:r>
        <w:t>omments on Ratified PICO</w:t>
      </w:r>
    </w:p>
    <w:p w14:paraId="414A6D53" w14:textId="163EF296" w:rsidR="006A4F7C" w:rsidRPr="002620BB" w:rsidRDefault="008F7FD2" w:rsidP="00E01349">
      <w:pPr>
        <w:pStyle w:val="Instructionaltext"/>
        <w:rPr>
          <w:color w:val="auto"/>
        </w:rPr>
      </w:pPr>
      <w:r w:rsidRPr="002620BB">
        <w:rPr>
          <w:color w:val="auto"/>
        </w:rPr>
        <w:t>The applicant had no comment.</w:t>
      </w:r>
    </w:p>
    <w:p w14:paraId="537112BF" w14:textId="77777777" w:rsidR="006A4F7C" w:rsidRDefault="006A4F7C">
      <w:pPr>
        <w:spacing w:after="160" w:line="259" w:lineRule="auto"/>
        <w:rPr>
          <w:rFonts w:ascii="Franklin Gothic Medium" w:eastAsiaTheme="majorEastAsia" w:hAnsi="Franklin Gothic Medium" w:cstheme="majorBidi"/>
          <w:color w:val="000000" w:themeColor="text1"/>
          <w:sz w:val="32"/>
          <w:szCs w:val="26"/>
        </w:rPr>
      </w:pPr>
      <w:r>
        <w:br w:type="page"/>
      </w:r>
    </w:p>
    <w:p w14:paraId="73A2A9C9" w14:textId="2AD89FA4" w:rsidR="006478E7" w:rsidRDefault="0594FDB1" w:rsidP="00713728">
      <w:pPr>
        <w:pStyle w:val="Heading2"/>
      </w:pPr>
      <w:r>
        <w:lastRenderedPageBreak/>
        <w:t>References</w:t>
      </w:r>
    </w:p>
    <w:p w14:paraId="0C4AA284" w14:textId="77777777" w:rsidR="009450E1" w:rsidRPr="00CE034A" w:rsidRDefault="009450E1" w:rsidP="009450E1">
      <w:pPr>
        <w:spacing w:line="240" w:lineRule="auto"/>
        <w:ind w:left="482" w:hanging="482"/>
        <w:rPr>
          <w:rFonts w:asciiTheme="minorHAnsi" w:hAnsiTheme="minorHAnsi" w:cstheme="minorHAnsi"/>
        </w:rPr>
      </w:pPr>
      <w:r w:rsidRPr="00CE034A">
        <w:rPr>
          <w:rFonts w:asciiTheme="minorHAnsi" w:hAnsiTheme="minorHAnsi" w:cstheme="minorHAnsi"/>
        </w:rPr>
        <w:t xml:space="preserve">Ahmed, N. (2019). Myocardial ischemia. In </w:t>
      </w:r>
      <w:r w:rsidRPr="00CE034A">
        <w:rPr>
          <w:rFonts w:asciiTheme="minorHAnsi" w:hAnsiTheme="minorHAnsi" w:cstheme="minorHAnsi"/>
          <w:i/>
          <w:iCs/>
        </w:rPr>
        <w:t>Pathophysiology of Ischemia Reperfusion Injury and Use of Fingolimod in Cardioprotection</w:t>
      </w:r>
      <w:r w:rsidRPr="00CE034A">
        <w:rPr>
          <w:rFonts w:asciiTheme="minorHAnsi" w:hAnsiTheme="minorHAnsi" w:cstheme="minorHAnsi"/>
        </w:rPr>
        <w:t xml:space="preserve"> (pp. 41–56). Elsevier. </w:t>
      </w:r>
      <w:hyperlink r:id="rId14" w:history="1">
        <w:r w:rsidRPr="00CE034A">
          <w:rPr>
            <w:rStyle w:val="Hyperlink"/>
            <w:rFonts w:asciiTheme="minorHAnsi" w:hAnsiTheme="minorHAnsi" w:cstheme="minorHAnsi"/>
          </w:rPr>
          <w:t>https://doi.org/10.1016/B978-0-12-818023-5.00002-9</w:t>
        </w:r>
      </w:hyperlink>
      <w:r w:rsidRPr="00CE034A">
        <w:rPr>
          <w:rFonts w:asciiTheme="minorHAnsi" w:hAnsiTheme="minorHAnsi" w:cstheme="minorHAnsi"/>
        </w:rPr>
        <w:t xml:space="preserve"> </w:t>
      </w:r>
    </w:p>
    <w:p w14:paraId="264954E8" w14:textId="77777777" w:rsidR="009450E1" w:rsidRPr="00CE034A" w:rsidRDefault="009450E1" w:rsidP="009450E1">
      <w:pPr>
        <w:spacing w:line="240" w:lineRule="auto"/>
        <w:ind w:left="480" w:hanging="480"/>
        <w:rPr>
          <w:rFonts w:asciiTheme="minorHAnsi" w:hAnsiTheme="minorHAnsi" w:cstheme="minorHAnsi"/>
        </w:rPr>
      </w:pPr>
      <w:r w:rsidRPr="00CE034A">
        <w:rPr>
          <w:rFonts w:asciiTheme="minorHAnsi" w:hAnsiTheme="minorHAnsi" w:cstheme="minorHAnsi"/>
          <w:shd w:val="clear" w:color="auto" w:fill="FFFFFF"/>
        </w:rPr>
        <w:t>Ali, Z. A., Landmesser, U., Maehara, A., Matsumura, M., Shlofmitz, R. A., Guagliumi, G., Price, M. J., Hill, J. M., Akasaka, T., Prati, F., Bezerra, H. G., Wijns, W., Leistner, D., Canova, P., Alfonso, F., Fabbiocchi, F., Dogan, O., McGreevy, R. J., McNutt, R. W., Nie, H., … ILUMIEN IV Investigators (2023). Optical Coherence Tomography-Guided versus Angiography-Guided PCI. </w:t>
      </w:r>
      <w:r w:rsidRPr="00CE034A">
        <w:rPr>
          <w:rFonts w:asciiTheme="minorHAnsi" w:hAnsiTheme="minorHAnsi" w:cstheme="minorHAnsi"/>
          <w:i/>
          <w:iCs/>
          <w:shd w:val="clear" w:color="auto" w:fill="FFFFFF"/>
        </w:rPr>
        <w:t>The New England journal of medicine</w:t>
      </w:r>
      <w:r w:rsidRPr="00CE034A">
        <w:rPr>
          <w:rFonts w:asciiTheme="minorHAnsi" w:hAnsiTheme="minorHAnsi" w:cstheme="minorHAnsi"/>
          <w:shd w:val="clear" w:color="auto" w:fill="FFFFFF"/>
        </w:rPr>
        <w:t>, </w:t>
      </w:r>
      <w:r w:rsidRPr="00CE034A">
        <w:rPr>
          <w:rFonts w:asciiTheme="minorHAnsi" w:hAnsiTheme="minorHAnsi" w:cstheme="minorHAnsi"/>
          <w:i/>
          <w:iCs/>
          <w:shd w:val="clear" w:color="auto" w:fill="FFFFFF"/>
        </w:rPr>
        <w:t>389</w:t>
      </w:r>
      <w:r w:rsidRPr="00CE034A">
        <w:rPr>
          <w:rFonts w:asciiTheme="minorHAnsi" w:hAnsiTheme="minorHAnsi" w:cstheme="minorHAnsi"/>
          <w:shd w:val="clear" w:color="auto" w:fill="FFFFFF"/>
        </w:rPr>
        <w:t xml:space="preserve">(16), 1466–1476. </w:t>
      </w:r>
      <w:hyperlink r:id="rId15" w:history="1">
        <w:r w:rsidRPr="00CE034A">
          <w:rPr>
            <w:rStyle w:val="Hyperlink"/>
            <w:rFonts w:asciiTheme="minorHAnsi" w:hAnsiTheme="minorHAnsi" w:cstheme="minorHAnsi"/>
            <w:shd w:val="clear" w:color="auto" w:fill="FFFFFF"/>
          </w:rPr>
          <w:t>https://doi.org/10.1056/NEJMoa2305861</w:t>
        </w:r>
      </w:hyperlink>
      <w:r w:rsidRPr="00CE034A">
        <w:rPr>
          <w:rFonts w:asciiTheme="minorHAnsi" w:hAnsiTheme="minorHAnsi" w:cstheme="minorHAnsi"/>
          <w:color w:val="212121"/>
          <w:shd w:val="clear" w:color="auto" w:fill="FFFFFF"/>
        </w:rPr>
        <w:t xml:space="preserve"> </w:t>
      </w:r>
    </w:p>
    <w:p w14:paraId="664B0F89" w14:textId="77777777" w:rsidR="009450E1" w:rsidRPr="00CE034A" w:rsidRDefault="009450E1" w:rsidP="009450E1">
      <w:pPr>
        <w:spacing w:line="240" w:lineRule="auto"/>
        <w:ind w:left="482" w:hanging="482"/>
        <w:rPr>
          <w:rFonts w:asciiTheme="minorHAnsi" w:eastAsia="Times New Roman" w:hAnsiTheme="minorHAnsi" w:cstheme="minorHAnsi"/>
        </w:rPr>
      </w:pPr>
      <w:r w:rsidRPr="00CE034A">
        <w:rPr>
          <w:rFonts w:asciiTheme="minorHAnsi" w:hAnsiTheme="minorHAnsi" w:cstheme="minorHAnsi"/>
        </w:rPr>
        <w:t xml:space="preserve">Ali, Z., Landmesser, U., Karimi Galougahi, K., Maehara, A., Matsumura, M., Shlofmitz, R., Guagliumi, G., Price, M., Hill, J., Akasaka, T., Prati, F., Bezerra, H., Wijns, W., Mintz, G., Ben-Yehuda, O., McGreevy, R., Zhang, Z., Rapoza, R., West, N., &amp; Stone, G. (2021). Optical coherence tomography-guided coronary stent implantation compared to angiography: A multicentre randomised trial in PCI – design and rationale of ILUMIEN IV: OPTIMAL PCI. </w:t>
      </w:r>
      <w:r w:rsidRPr="00CE034A">
        <w:rPr>
          <w:rFonts w:asciiTheme="minorHAnsi" w:hAnsiTheme="minorHAnsi" w:cstheme="minorHAnsi"/>
          <w:i/>
          <w:iCs/>
        </w:rPr>
        <w:t>EuroIntervention</w:t>
      </w:r>
      <w:r w:rsidRPr="00CE034A">
        <w:rPr>
          <w:rFonts w:asciiTheme="minorHAnsi" w:hAnsiTheme="minorHAnsi" w:cstheme="minorHAnsi"/>
        </w:rPr>
        <w:t xml:space="preserve">, </w:t>
      </w:r>
      <w:r w:rsidRPr="00CE034A">
        <w:rPr>
          <w:rFonts w:asciiTheme="minorHAnsi" w:hAnsiTheme="minorHAnsi" w:cstheme="minorHAnsi"/>
          <w:i/>
          <w:iCs/>
        </w:rPr>
        <w:t>16</w:t>
      </w:r>
      <w:r w:rsidRPr="00CE034A">
        <w:rPr>
          <w:rFonts w:asciiTheme="minorHAnsi" w:hAnsiTheme="minorHAnsi" w:cstheme="minorHAnsi"/>
        </w:rPr>
        <w:t xml:space="preserve">(13), 1092–1099. </w:t>
      </w:r>
      <w:hyperlink r:id="rId16" w:history="1">
        <w:r w:rsidRPr="00CE034A">
          <w:rPr>
            <w:rStyle w:val="Hyperlink"/>
            <w:rFonts w:asciiTheme="minorHAnsi" w:hAnsiTheme="minorHAnsi" w:cstheme="minorHAnsi"/>
          </w:rPr>
          <w:t>https://doi.org/10.4244/EIJ-D-20-00501</w:t>
        </w:r>
      </w:hyperlink>
    </w:p>
    <w:p w14:paraId="689FF101" w14:textId="77777777" w:rsidR="009450E1" w:rsidRPr="00CE034A" w:rsidRDefault="009450E1" w:rsidP="009450E1">
      <w:pPr>
        <w:spacing w:line="240" w:lineRule="auto"/>
        <w:ind w:left="482" w:hanging="482"/>
        <w:rPr>
          <w:rFonts w:asciiTheme="minorHAnsi" w:hAnsiTheme="minorHAnsi" w:cstheme="minorHAnsi"/>
        </w:rPr>
      </w:pPr>
      <w:r w:rsidRPr="00CE034A">
        <w:rPr>
          <w:rFonts w:asciiTheme="minorHAnsi" w:hAnsiTheme="minorHAnsi" w:cstheme="minorHAnsi"/>
        </w:rPr>
        <w:t xml:space="preserve">Athanasiou, L. S., Fotiadis, D. I., &amp; Michalis, L. K. (2017). 2—Principles of Coronary Imaging Techniques. In L. S. Athanasiou, D. I. Fotiadis, &amp; L. K. Michalis (Eds.), </w:t>
      </w:r>
      <w:r w:rsidRPr="00CE034A">
        <w:rPr>
          <w:rFonts w:asciiTheme="minorHAnsi" w:hAnsiTheme="minorHAnsi" w:cstheme="minorHAnsi"/>
          <w:i/>
          <w:iCs/>
        </w:rPr>
        <w:t>Atherosclerotic Plaque Characterization Methods Based on Coronary Imaging</w:t>
      </w:r>
      <w:r w:rsidRPr="00CE034A">
        <w:rPr>
          <w:rFonts w:asciiTheme="minorHAnsi" w:hAnsiTheme="minorHAnsi" w:cstheme="minorHAnsi"/>
        </w:rPr>
        <w:t xml:space="preserve"> (pp. 23–47). Academic Press. </w:t>
      </w:r>
      <w:hyperlink r:id="rId17" w:history="1">
        <w:r w:rsidRPr="00CE034A">
          <w:rPr>
            <w:rStyle w:val="Hyperlink"/>
            <w:rFonts w:asciiTheme="minorHAnsi" w:hAnsiTheme="minorHAnsi" w:cstheme="minorHAnsi"/>
          </w:rPr>
          <w:t>https://doi.org/10.1016/B978-0-12-804734-7.00002-6</w:t>
        </w:r>
      </w:hyperlink>
    </w:p>
    <w:p w14:paraId="5AEDA554" w14:textId="77777777" w:rsidR="009450E1" w:rsidRPr="00CE034A" w:rsidRDefault="009450E1" w:rsidP="009450E1">
      <w:pPr>
        <w:spacing w:line="240" w:lineRule="auto"/>
        <w:ind w:left="482" w:hanging="482"/>
        <w:rPr>
          <w:rStyle w:val="Hyperlink"/>
          <w:rFonts w:asciiTheme="minorHAnsi" w:hAnsiTheme="minorHAnsi" w:cstheme="minorHAnsi"/>
        </w:rPr>
      </w:pPr>
      <w:r w:rsidRPr="00CE034A">
        <w:rPr>
          <w:rFonts w:asciiTheme="minorHAnsi" w:hAnsiTheme="minorHAnsi" w:cstheme="minorHAnsi"/>
        </w:rPr>
        <w:t xml:space="preserve">Australian Institute of Health and Welfare. (2023, June 30). </w:t>
      </w:r>
      <w:r w:rsidRPr="00CE034A">
        <w:rPr>
          <w:rFonts w:asciiTheme="minorHAnsi" w:hAnsiTheme="minorHAnsi" w:cstheme="minorHAnsi"/>
          <w:i/>
          <w:iCs/>
        </w:rPr>
        <w:t>Heart, stroke and vascular disease: Australian facts, Coronary heart disease</w:t>
      </w:r>
      <w:r w:rsidRPr="00CE034A">
        <w:rPr>
          <w:rFonts w:asciiTheme="minorHAnsi" w:hAnsiTheme="minorHAnsi" w:cstheme="minorHAnsi"/>
        </w:rPr>
        <w:t xml:space="preserve">. Australian Institute of Health and Welfare. </w:t>
      </w:r>
      <w:hyperlink r:id="rId18" w:history="1">
        <w:r w:rsidRPr="00CE034A">
          <w:rPr>
            <w:rStyle w:val="Hyperlink"/>
            <w:rFonts w:asciiTheme="minorHAnsi" w:hAnsiTheme="minorHAnsi" w:cstheme="minorHAnsi"/>
          </w:rPr>
          <w:t>https://www.aihw.gov.au/reports/heart-stroke-vascular-diseases/hsvd-facts/contents/all-heart-stroke-and-vascular-disease/coronary-heart-disease</w:t>
        </w:r>
      </w:hyperlink>
    </w:p>
    <w:p w14:paraId="69EC6BEB" w14:textId="77777777" w:rsidR="009450E1" w:rsidRPr="00CE034A" w:rsidRDefault="009450E1" w:rsidP="009450E1">
      <w:pPr>
        <w:spacing w:line="240" w:lineRule="auto"/>
        <w:ind w:left="480" w:hanging="480"/>
        <w:rPr>
          <w:rFonts w:asciiTheme="minorHAnsi" w:hAnsiTheme="minorHAnsi" w:cstheme="minorHAnsi"/>
        </w:rPr>
      </w:pPr>
      <w:r w:rsidRPr="00CE034A">
        <w:rPr>
          <w:rFonts w:asciiTheme="minorHAnsi" w:hAnsiTheme="minorHAnsi" w:cstheme="minorHAnsi"/>
        </w:rPr>
        <w:t xml:space="preserve">Fearon, W. F. (2018). 14—Invasive Testing. In J. A. de Lemos &amp; T. Omland (Eds.), </w:t>
      </w:r>
      <w:r w:rsidRPr="00CE034A">
        <w:rPr>
          <w:rFonts w:asciiTheme="minorHAnsi" w:hAnsiTheme="minorHAnsi" w:cstheme="minorHAnsi"/>
          <w:i/>
          <w:iCs/>
        </w:rPr>
        <w:t>Chronic Coronary Artery Disease</w:t>
      </w:r>
      <w:r w:rsidRPr="00CE034A">
        <w:rPr>
          <w:rFonts w:asciiTheme="minorHAnsi" w:hAnsiTheme="minorHAnsi" w:cstheme="minorHAnsi"/>
        </w:rPr>
        <w:t xml:space="preserve"> (pp. 194–203). Elsevier. </w:t>
      </w:r>
      <w:hyperlink r:id="rId19" w:history="1">
        <w:r w:rsidRPr="00CE034A">
          <w:rPr>
            <w:rStyle w:val="Hyperlink"/>
            <w:rFonts w:asciiTheme="minorHAnsi" w:hAnsiTheme="minorHAnsi" w:cstheme="minorHAnsi"/>
          </w:rPr>
          <w:t>https://doi.org/10.1016/B978-0-323-42880-4.00014-5</w:t>
        </w:r>
      </w:hyperlink>
    </w:p>
    <w:p w14:paraId="2DF4FF7F" w14:textId="77777777" w:rsidR="009450E1" w:rsidRPr="00CE034A" w:rsidRDefault="009450E1" w:rsidP="009450E1">
      <w:pPr>
        <w:spacing w:line="240" w:lineRule="auto"/>
        <w:ind w:left="480" w:hanging="480"/>
        <w:rPr>
          <w:rFonts w:asciiTheme="minorHAnsi" w:hAnsiTheme="minorHAnsi" w:cstheme="minorHAnsi"/>
          <w:color w:val="0000FF"/>
          <w:u w:val="single"/>
        </w:rPr>
      </w:pPr>
      <w:r w:rsidRPr="00CE034A">
        <w:rPr>
          <w:rFonts w:asciiTheme="minorHAnsi" w:hAnsiTheme="minorHAnsi" w:cstheme="minorHAnsi"/>
        </w:rPr>
        <w:t xml:space="preserve">Healthdirect Australia. (2022, September 28). </w:t>
      </w:r>
      <w:r w:rsidRPr="00CE034A">
        <w:rPr>
          <w:rFonts w:asciiTheme="minorHAnsi" w:hAnsiTheme="minorHAnsi" w:cstheme="minorHAnsi"/>
          <w:i/>
          <w:iCs/>
        </w:rPr>
        <w:t>Coronary angiogram</w:t>
      </w:r>
      <w:r w:rsidRPr="00CE034A">
        <w:rPr>
          <w:rFonts w:asciiTheme="minorHAnsi" w:hAnsiTheme="minorHAnsi" w:cstheme="minorHAnsi"/>
        </w:rPr>
        <w:t xml:space="preserve"> [Text/html]. Healthdirect Australia. </w:t>
      </w:r>
      <w:hyperlink r:id="rId20" w:history="1">
        <w:r w:rsidRPr="00CE034A">
          <w:rPr>
            <w:rStyle w:val="Hyperlink"/>
            <w:rFonts w:asciiTheme="minorHAnsi" w:hAnsiTheme="minorHAnsi" w:cstheme="minorHAnsi"/>
          </w:rPr>
          <w:t>https://www.healthdirect.gov.au/coronary-angiogram</w:t>
        </w:r>
      </w:hyperlink>
    </w:p>
    <w:p w14:paraId="2AFA7EE8" w14:textId="77777777" w:rsidR="009450E1" w:rsidRPr="00CE034A" w:rsidRDefault="009450E1" w:rsidP="009450E1">
      <w:pPr>
        <w:spacing w:line="240" w:lineRule="auto"/>
        <w:ind w:left="480" w:hanging="480"/>
        <w:rPr>
          <w:rFonts w:asciiTheme="minorHAnsi" w:hAnsiTheme="minorHAnsi" w:cstheme="minorHAnsi"/>
        </w:rPr>
      </w:pPr>
      <w:r w:rsidRPr="00CE034A">
        <w:rPr>
          <w:rFonts w:asciiTheme="minorHAnsi" w:hAnsiTheme="minorHAnsi" w:cstheme="minorHAnsi"/>
          <w:shd w:val="clear" w:color="auto" w:fill="FFFFFF"/>
        </w:rPr>
        <w:t>Holm, N. R., Andreasen, L. N., Neghabat, O., Laanmets, P., Kumsars, I., Bennett, J., Olsen, N. T., Odenstedt, J., Hoffmann, P., Dens, J., Chowdhary, S., O'Kane, P., Bülow Rasmussen, S. H., Heigert, M., Havndrup, O., Van Kuijk, J. P., Biscaglia, S., Mogensen, L. J. H., Henareh, L., Burzotta, F., … OCTOBER Trial Group (2023). OCT or Angiography Guidance for PCI in Complex Bifurcation Lesions. </w:t>
      </w:r>
      <w:r w:rsidRPr="00CE034A">
        <w:rPr>
          <w:rFonts w:asciiTheme="minorHAnsi" w:hAnsiTheme="minorHAnsi" w:cstheme="minorHAnsi"/>
          <w:i/>
          <w:iCs/>
          <w:shd w:val="clear" w:color="auto" w:fill="FFFFFF"/>
        </w:rPr>
        <w:t>The New England journal of medicine</w:t>
      </w:r>
      <w:r w:rsidRPr="00CE034A">
        <w:rPr>
          <w:rFonts w:asciiTheme="minorHAnsi" w:hAnsiTheme="minorHAnsi" w:cstheme="minorHAnsi"/>
          <w:shd w:val="clear" w:color="auto" w:fill="FFFFFF"/>
        </w:rPr>
        <w:t>, </w:t>
      </w:r>
      <w:r w:rsidRPr="00CE034A">
        <w:rPr>
          <w:rFonts w:asciiTheme="minorHAnsi" w:hAnsiTheme="minorHAnsi" w:cstheme="minorHAnsi"/>
          <w:i/>
          <w:iCs/>
          <w:shd w:val="clear" w:color="auto" w:fill="FFFFFF"/>
        </w:rPr>
        <w:t>389</w:t>
      </w:r>
      <w:r w:rsidRPr="00CE034A">
        <w:rPr>
          <w:rFonts w:asciiTheme="minorHAnsi" w:hAnsiTheme="minorHAnsi" w:cstheme="minorHAnsi"/>
          <w:shd w:val="clear" w:color="auto" w:fill="FFFFFF"/>
        </w:rPr>
        <w:t xml:space="preserve">(16), 1477–1487. </w:t>
      </w:r>
      <w:hyperlink r:id="rId21" w:history="1">
        <w:r w:rsidRPr="00CE034A">
          <w:rPr>
            <w:rStyle w:val="Hyperlink"/>
            <w:rFonts w:asciiTheme="minorHAnsi" w:hAnsiTheme="minorHAnsi" w:cstheme="minorHAnsi"/>
            <w:shd w:val="clear" w:color="auto" w:fill="FFFFFF"/>
          </w:rPr>
          <w:t>https://doi.org/10.1056/NEJMoa2307770</w:t>
        </w:r>
      </w:hyperlink>
      <w:r w:rsidRPr="00CE034A">
        <w:rPr>
          <w:rFonts w:asciiTheme="minorHAnsi" w:hAnsiTheme="minorHAnsi" w:cstheme="minorHAnsi"/>
          <w:color w:val="212121"/>
          <w:shd w:val="clear" w:color="auto" w:fill="FFFFFF"/>
        </w:rPr>
        <w:t xml:space="preserve"> </w:t>
      </w:r>
    </w:p>
    <w:p w14:paraId="66E366F7" w14:textId="77777777" w:rsidR="009450E1" w:rsidRPr="00CE034A" w:rsidRDefault="009450E1" w:rsidP="009450E1">
      <w:pPr>
        <w:spacing w:line="240" w:lineRule="auto"/>
        <w:ind w:left="482" w:hanging="482"/>
        <w:rPr>
          <w:rFonts w:asciiTheme="minorHAnsi" w:hAnsiTheme="minorHAnsi" w:cstheme="minorHAnsi"/>
        </w:rPr>
      </w:pPr>
      <w:r w:rsidRPr="00CE034A">
        <w:rPr>
          <w:rFonts w:asciiTheme="minorHAnsi" w:hAnsiTheme="minorHAnsi" w:cstheme="minorHAnsi"/>
          <w:shd w:val="clear" w:color="auto" w:fill="FFFFFF"/>
        </w:rPr>
        <w:t>Kang, D. Y., Ahn, J. M., Yun, S. C., Hur, S. H., Cho, Y. K., Lee, C. H., Hong, S. J., Lim, S., Kim, S. W., Won, H., Oh, J. H., Choe, J. C., Hong, Y. J., Yoon, Y. H., Kim, H., Choi, Y., Lee, J., Yoon, Y. W., Kim, S. J., Bae, J. H., … OCTIVUS Investigators (2023). Optical Coherence Tomography-Guided or Intravascular Ultrasound-Guided Percutaneous Coronary Intervention: The OCTIVUS Randomized Clinical Trial. </w:t>
      </w:r>
      <w:r w:rsidRPr="00CE034A">
        <w:rPr>
          <w:rFonts w:asciiTheme="minorHAnsi" w:hAnsiTheme="minorHAnsi" w:cstheme="minorHAnsi"/>
          <w:i/>
          <w:iCs/>
          <w:shd w:val="clear" w:color="auto" w:fill="FFFFFF"/>
        </w:rPr>
        <w:t>Circulation</w:t>
      </w:r>
      <w:r w:rsidRPr="00CE034A">
        <w:rPr>
          <w:rFonts w:asciiTheme="minorHAnsi" w:hAnsiTheme="minorHAnsi" w:cstheme="minorHAnsi"/>
          <w:shd w:val="clear" w:color="auto" w:fill="FFFFFF"/>
        </w:rPr>
        <w:t>, </w:t>
      </w:r>
      <w:r w:rsidRPr="00CE034A">
        <w:rPr>
          <w:rFonts w:asciiTheme="minorHAnsi" w:hAnsiTheme="minorHAnsi" w:cstheme="minorHAnsi"/>
          <w:i/>
          <w:iCs/>
          <w:shd w:val="clear" w:color="auto" w:fill="FFFFFF"/>
        </w:rPr>
        <w:t>148</w:t>
      </w:r>
      <w:r w:rsidRPr="00CE034A">
        <w:rPr>
          <w:rFonts w:asciiTheme="minorHAnsi" w:hAnsiTheme="minorHAnsi" w:cstheme="minorHAnsi"/>
          <w:shd w:val="clear" w:color="auto" w:fill="FFFFFF"/>
        </w:rPr>
        <w:t>(16), 1195–1206.</w:t>
      </w:r>
      <w:r w:rsidRPr="00CE034A">
        <w:rPr>
          <w:rFonts w:asciiTheme="minorHAnsi" w:hAnsiTheme="minorHAnsi" w:cstheme="minorHAnsi"/>
          <w:color w:val="212121"/>
          <w:shd w:val="clear" w:color="auto" w:fill="FFFFFF"/>
        </w:rPr>
        <w:t xml:space="preserve"> </w:t>
      </w:r>
      <w:hyperlink r:id="rId22" w:history="1">
        <w:r w:rsidRPr="00CE034A">
          <w:rPr>
            <w:rStyle w:val="Hyperlink"/>
            <w:rFonts w:asciiTheme="minorHAnsi" w:hAnsiTheme="minorHAnsi" w:cstheme="minorHAnsi"/>
            <w:shd w:val="clear" w:color="auto" w:fill="FFFFFF"/>
          </w:rPr>
          <w:t>https://doi.org/10.1161/CIRCULATIONAHA.123.066429</w:t>
        </w:r>
      </w:hyperlink>
      <w:r w:rsidRPr="00CE034A">
        <w:rPr>
          <w:rFonts w:asciiTheme="minorHAnsi" w:hAnsiTheme="minorHAnsi" w:cstheme="minorHAnsi"/>
          <w:color w:val="212121"/>
          <w:shd w:val="clear" w:color="auto" w:fill="FFFFFF"/>
        </w:rPr>
        <w:t xml:space="preserve"> </w:t>
      </w:r>
    </w:p>
    <w:p w14:paraId="3CF20605" w14:textId="77777777" w:rsidR="009450E1" w:rsidRPr="00CE034A" w:rsidRDefault="009450E1" w:rsidP="009450E1">
      <w:pPr>
        <w:spacing w:line="240" w:lineRule="auto"/>
        <w:ind w:left="480" w:hanging="480"/>
        <w:rPr>
          <w:rFonts w:asciiTheme="minorHAnsi" w:hAnsiTheme="minorHAnsi" w:cstheme="minorHAnsi"/>
        </w:rPr>
      </w:pPr>
      <w:r w:rsidRPr="00CE034A">
        <w:rPr>
          <w:rFonts w:asciiTheme="minorHAnsi" w:hAnsiTheme="minorHAnsi" w:cstheme="minorHAnsi"/>
        </w:rPr>
        <w:t xml:space="preserve">Kayani, W. T., &amp; Levine, G. N. (2018). Chapter 13—Coronary Angiography and Intracoronary Imaging and Physiologic Assessment. In G. N. Levine (Ed.), </w:t>
      </w:r>
      <w:r w:rsidRPr="00CE034A">
        <w:rPr>
          <w:rFonts w:asciiTheme="minorHAnsi" w:hAnsiTheme="minorHAnsi" w:cstheme="minorHAnsi"/>
          <w:i/>
          <w:iCs/>
        </w:rPr>
        <w:t>Cardiology Secrets (Fifth Edition)</w:t>
      </w:r>
      <w:r w:rsidRPr="00CE034A">
        <w:rPr>
          <w:rFonts w:asciiTheme="minorHAnsi" w:hAnsiTheme="minorHAnsi" w:cstheme="minorHAnsi"/>
        </w:rPr>
        <w:t xml:space="preserve"> (pp. 111–121). Elsevier. </w:t>
      </w:r>
      <w:hyperlink r:id="rId23" w:history="1">
        <w:r w:rsidRPr="00CE034A">
          <w:rPr>
            <w:rStyle w:val="Hyperlink"/>
            <w:rFonts w:asciiTheme="minorHAnsi" w:hAnsiTheme="minorHAnsi" w:cstheme="minorHAnsi"/>
          </w:rPr>
          <w:t>https://doi.org/10.1016/B978-0-323-47870-0.00013-1</w:t>
        </w:r>
      </w:hyperlink>
    </w:p>
    <w:p w14:paraId="2BDDC40F" w14:textId="77777777" w:rsidR="009450E1" w:rsidRPr="00CE034A" w:rsidRDefault="009450E1" w:rsidP="009450E1">
      <w:pPr>
        <w:spacing w:line="240" w:lineRule="auto"/>
        <w:ind w:left="480" w:hanging="480"/>
        <w:rPr>
          <w:rFonts w:asciiTheme="minorHAnsi" w:hAnsiTheme="minorHAnsi" w:cstheme="minorHAnsi"/>
        </w:rPr>
      </w:pPr>
      <w:r w:rsidRPr="00CE034A">
        <w:rPr>
          <w:rFonts w:asciiTheme="minorHAnsi" w:hAnsiTheme="minorHAnsi" w:cstheme="minorHAnsi"/>
        </w:rPr>
        <w:t xml:space="preserve">Keteepe-Arachi, T., &amp; Sharma, S. (2017). Cardiovascular Disease in Women: Understanding Symptoms and Risk Factors. </w:t>
      </w:r>
      <w:r w:rsidRPr="00CE034A">
        <w:rPr>
          <w:rFonts w:asciiTheme="minorHAnsi" w:hAnsiTheme="minorHAnsi" w:cstheme="minorHAnsi"/>
          <w:i/>
          <w:iCs/>
        </w:rPr>
        <w:t>European Cardiology Review</w:t>
      </w:r>
      <w:r w:rsidRPr="00CE034A">
        <w:rPr>
          <w:rFonts w:asciiTheme="minorHAnsi" w:hAnsiTheme="minorHAnsi" w:cstheme="minorHAnsi"/>
        </w:rPr>
        <w:t xml:space="preserve">, </w:t>
      </w:r>
      <w:r w:rsidRPr="00CE034A">
        <w:rPr>
          <w:rFonts w:asciiTheme="minorHAnsi" w:hAnsiTheme="minorHAnsi" w:cstheme="minorHAnsi"/>
          <w:i/>
          <w:iCs/>
        </w:rPr>
        <w:t>12</w:t>
      </w:r>
      <w:r w:rsidRPr="00CE034A">
        <w:rPr>
          <w:rFonts w:asciiTheme="minorHAnsi" w:hAnsiTheme="minorHAnsi" w:cstheme="minorHAnsi"/>
        </w:rPr>
        <w:t xml:space="preserve">(1), 10–13. </w:t>
      </w:r>
      <w:hyperlink r:id="rId24" w:history="1">
        <w:r w:rsidRPr="00CE034A">
          <w:rPr>
            <w:rStyle w:val="Hyperlink"/>
            <w:rFonts w:asciiTheme="minorHAnsi" w:hAnsiTheme="minorHAnsi" w:cstheme="minorHAnsi"/>
          </w:rPr>
          <w:t>https://doi.org/10.15420/ecr.2016:32:1</w:t>
        </w:r>
      </w:hyperlink>
    </w:p>
    <w:p w14:paraId="75B74FE8" w14:textId="77777777" w:rsidR="009450E1" w:rsidRPr="00CE034A" w:rsidRDefault="009450E1" w:rsidP="009450E1">
      <w:pPr>
        <w:spacing w:line="240" w:lineRule="auto"/>
        <w:ind w:left="480" w:hanging="480"/>
        <w:rPr>
          <w:rFonts w:asciiTheme="minorHAnsi" w:hAnsiTheme="minorHAnsi" w:cstheme="minorHAnsi"/>
        </w:rPr>
      </w:pPr>
      <w:r w:rsidRPr="00CE034A">
        <w:rPr>
          <w:rFonts w:asciiTheme="minorHAnsi" w:hAnsiTheme="minorHAnsi" w:cstheme="minorHAnsi"/>
        </w:rPr>
        <w:lastRenderedPageBreak/>
        <w:t xml:space="preserve">Lake, C. M., &amp; Kingston, E. M. (2020). Cardiovascular system: Critical incidents. </w:t>
      </w:r>
      <w:r w:rsidRPr="00CE034A">
        <w:rPr>
          <w:rFonts w:asciiTheme="minorHAnsi" w:hAnsiTheme="minorHAnsi" w:cstheme="minorHAnsi"/>
          <w:i/>
          <w:iCs/>
        </w:rPr>
        <w:t>Anaesthesia &amp; Intensive Care Medicine</w:t>
      </w:r>
      <w:r w:rsidRPr="00CE034A">
        <w:rPr>
          <w:rFonts w:asciiTheme="minorHAnsi" w:hAnsiTheme="minorHAnsi" w:cstheme="minorHAnsi"/>
        </w:rPr>
        <w:t xml:space="preserve">, </w:t>
      </w:r>
      <w:r w:rsidRPr="00CE034A">
        <w:rPr>
          <w:rFonts w:asciiTheme="minorHAnsi" w:hAnsiTheme="minorHAnsi" w:cstheme="minorHAnsi"/>
          <w:i/>
          <w:iCs/>
        </w:rPr>
        <w:t>21</w:t>
      </w:r>
      <w:r w:rsidRPr="00CE034A">
        <w:rPr>
          <w:rFonts w:asciiTheme="minorHAnsi" w:hAnsiTheme="minorHAnsi" w:cstheme="minorHAnsi"/>
        </w:rPr>
        <w:t xml:space="preserve">(6), 269–274. </w:t>
      </w:r>
      <w:hyperlink r:id="rId25" w:history="1">
        <w:r w:rsidRPr="00CE034A">
          <w:rPr>
            <w:rStyle w:val="Hyperlink"/>
            <w:rFonts w:asciiTheme="minorHAnsi" w:hAnsiTheme="minorHAnsi" w:cstheme="minorHAnsi"/>
          </w:rPr>
          <w:t>https://doi.org/10.1016/j.mpaic.2020.03.006</w:t>
        </w:r>
      </w:hyperlink>
    </w:p>
    <w:p w14:paraId="14817D08" w14:textId="77777777" w:rsidR="009450E1" w:rsidRPr="00CE034A" w:rsidRDefault="009450E1" w:rsidP="009450E1">
      <w:pPr>
        <w:spacing w:line="240" w:lineRule="auto"/>
        <w:ind w:left="480" w:hanging="480"/>
        <w:rPr>
          <w:rFonts w:asciiTheme="minorHAnsi" w:hAnsiTheme="minorHAnsi" w:cstheme="minorHAnsi"/>
        </w:rPr>
      </w:pPr>
      <w:r w:rsidRPr="00CE034A">
        <w:rPr>
          <w:rFonts w:asciiTheme="minorHAnsi" w:hAnsiTheme="minorHAnsi" w:cstheme="minorHAnsi"/>
        </w:rPr>
        <w:t xml:space="preserve">Lamirel, C. (2014). Optical Coherence Tomography. In M. J. Aminoff &amp; R. B. Daroff (Eds.), </w:t>
      </w:r>
      <w:r w:rsidRPr="00CE034A">
        <w:rPr>
          <w:rFonts w:asciiTheme="minorHAnsi" w:hAnsiTheme="minorHAnsi" w:cstheme="minorHAnsi"/>
          <w:i/>
          <w:iCs/>
        </w:rPr>
        <w:t>Encyclopedia of the Neurological Sciences (Second Edition)</w:t>
      </w:r>
      <w:r w:rsidRPr="00CE034A">
        <w:rPr>
          <w:rFonts w:asciiTheme="minorHAnsi" w:hAnsiTheme="minorHAnsi" w:cstheme="minorHAnsi"/>
        </w:rPr>
        <w:t xml:space="preserve"> (pp. 660–668). Academic Press. </w:t>
      </w:r>
      <w:hyperlink r:id="rId26" w:history="1">
        <w:r w:rsidRPr="00CE034A">
          <w:rPr>
            <w:rStyle w:val="Hyperlink"/>
            <w:rFonts w:asciiTheme="minorHAnsi" w:hAnsiTheme="minorHAnsi" w:cstheme="minorHAnsi"/>
          </w:rPr>
          <w:t>https://doi.org/10.1016/B978-0-12-385157-4.00171-8</w:t>
        </w:r>
      </w:hyperlink>
    </w:p>
    <w:p w14:paraId="46A65839" w14:textId="77777777" w:rsidR="009450E1" w:rsidRPr="00CE034A" w:rsidRDefault="009450E1" w:rsidP="009450E1">
      <w:pPr>
        <w:spacing w:line="240" w:lineRule="auto"/>
        <w:ind w:left="480" w:hanging="480"/>
        <w:rPr>
          <w:rFonts w:asciiTheme="minorHAnsi" w:hAnsiTheme="minorHAnsi" w:cstheme="minorHAnsi"/>
          <w:color w:val="4472C4" w:themeColor="accent5"/>
        </w:rPr>
      </w:pPr>
      <w:r w:rsidRPr="00CE034A">
        <w:rPr>
          <w:rFonts w:asciiTheme="minorHAnsi" w:hAnsiTheme="minorHAnsi" w:cstheme="minorHAnsi"/>
          <w:shd w:val="clear" w:color="auto" w:fill="FFFFFF"/>
        </w:rPr>
        <w:t>Lee, J. M., Choi, K. H., Song, Y. B., Lee, J. Y., Lee, S. J., Lee, S. Y., Kim, S. M., Yun, K. H., Cho, J. Y., Kim, C. J., Ahn, H. S., Nam, C. W., Yoon, H. J., Park, Y. H., Lee, W. S., Jeong, J. O., Song, P. S., Doh, J. H., Jo, S. H., Yoon, C. H., … RENOVATE-COMPLEX-PCI Investigators (2023). Intravascular Imaging-Guided or Angiography-Guided Complex PCI. </w:t>
      </w:r>
      <w:r w:rsidRPr="00CE034A">
        <w:rPr>
          <w:rFonts w:asciiTheme="minorHAnsi" w:hAnsiTheme="minorHAnsi" w:cstheme="minorHAnsi"/>
          <w:i/>
          <w:iCs/>
          <w:shd w:val="clear" w:color="auto" w:fill="FFFFFF"/>
        </w:rPr>
        <w:t>The New England journal of medicine</w:t>
      </w:r>
      <w:r w:rsidRPr="00CE034A">
        <w:rPr>
          <w:rFonts w:asciiTheme="minorHAnsi" w:hAnsiTheme="minorHAnsi" w:cstheme="minorHAnsi"/>
          <w:shd w:val="clear" w:color="auto" w:fill="FFFFFF"/>
        </w:rPr>
        <w:t>, </w:t>
      </w:r>
      <w:r w:rsidRPr="00CE034A">
        <w:rPr>
          <w:rFonts w:asciiTheme="minorHAnsi" w:hAnsiTheme="minorHAnsi" w:cstheme="minorHAnsi"/>
          <w:i/>
          <w:iCs/>
          <w:shd w:val="clear" w:color="auto" w:fill="FFFFFF"/>
        </w:rPr>
        <w:t>388</w:t>
      </w:r>
      <w:r w:rsidRPr="00CE034A">
        <w:rPr>
          <w:rFonts w:asciiTheme="minorHAnsi" w:hAnsiTheme="minorHAnsi" w:cstheme="minorHAnsi"/>
          <w:shd w:val="clear" w:color="auto" w:fill="FFFFFF"/>
        </w:rPr>
        <w:t xml:space="preserve">(18), 1668–1679. </w:t>
      </w:r>
      <w:hyperlink r:id="rId27" w:history="1">
        <w:r w:rsidRPr="00CE034A">
          <w:rPr>
            <w:rStyle w:val="Hyperlink"/>
            <w:rFonts w:asciiTheme="minorHAnsi" w:hAnsiTheme="minorHAnsi" w:cstheme="minorHAnsi"/>
            <w:shd w:val="clear" w:color="auto" w:fill="FFFFFF"/>
          </w:rPr>
          <w:t>https://doi.org/10.1056/NEJMoa2216607</w:t>
        </w:r>
      </w:hyperlink>
      <w:r w:rsidRPr="00CE034A">
        <w:rPr>
          <w:rFonts w:asciiTheme="minorHAnsi" w:hAnsiTheme="minorHAnsi" w:cstheme="minorHAnsi"/>
          <w:color w:val="212121"/>
          <w:shd w:val="clear" w:color="auto" w:fill="FFFFFF"/>
        </w:rPr>
        <w:t xml:space="preserve"> </w:t>
      </w:r>
    </w:p>
    <w:p w14:paraId="76936503" w14:textId="77777777" w:rsidR="009450E1" w:rsidRPr="00CE034A" w:rsidRDefault="009450E1" w:rsidP="009450E1">
      <w:pPr>
        <w:spacing w:line="240" w:lineRule="auto"/>
        <w:ind w:left="480" w:hanging="480"/>
        <w:rPr>
          <w:rFonts w:asciiTheme="minorHAnsi" w:hAnsiTheme="minorHAnsi" w:cstheme="minorHAnsi"/>
        </w:rPr>
      </w:pPr>
      <w:r w:rsidRPr="00CE034A">
        <w:rPr>
          <w:rFonts w:asciiTheme="minorHAnsi" w:hAnsiTheme="minorHAnsi" w:cstheme="minorHAnsi"/>
        </w:rPr>
        <w:t xml:space="preserve">Mariathas, M., Johnson, T., &amp; O’Kane, P. (2022). Chapter 5 - Percutaneous coronary interventions in calcified coronary lesions: Imaging, tools, and outcomes. In O. Topaz (Ed.), </w:t>
      </w:r>
      <w:r w:rsidRPr="00CE034A">
        <w:rPr>
          <w:rFonts w:asciiTheme="minorHAnsi" w:hAnsiTheme="minorHAnsi" w:cstheme="minorHAnsi"/>
          <w:i/>
          <w:iCs/>
        </w:rPr>
        <w:t>Debulking in Cardiovascular Interventions and Revascularization Strategies</w:t>
      </w:r>
      <w:r w:rsidRPr="00CE034A">
        <w:rPr>
          <w:rFonts w:asciiTheme="minorHAnsi" w:hAnsiTheme="minorHAnsi" w:cstheme="minorHAnsi"/>
        </w:rPr>
        <w:t xml:space="preserve"> (pp. 101–132). Academic Press. </w:t>
      </w:r>
      <w:hyperlink r:id="rId28" w:history="1">
        <w:r w:rsidRPr="00CE034A">
          <w:rPr>
            <w:rStyle w:val="Hyperlink"/>
            <w:rFonts w:asciiTheme="minorHAnsi" w:hAnsiTheme="minorHAnsi" w:cstheme="minorHAnsi"/>
          </w:rPr>
          <w:t>https://doi.org/10.1016/B978-0-12-821451-0.00039-2</w:t>
        </w:r>
      </w:hyperlink>
    </w:p>
    <w:p w14:paraId="0F9709EC" w14:textId="77777777" w:rsidR="009450E1" w:rsidRPr="00CE034A" w:rsidRDefault="009450E1" w:rsidP="009450E1">
      <w:pPr>
        <w:spacing w:line="240" w:lineRule="auto"/>
        <w:ind w:left="480" w:hanging="480"/>
        <w:rPr>
          <w:rStyle w:val="Hyperlink"/>
          <w:rFonts w:asciiTheme="minorHAnsi" w:hAnsiTheme="minorHAnsi" w:cstheme="minorHAnsi"/>
        </w:rPr>
      </w:pPr>
      <w:r w:rsidRPr="00CE034A">
        <w:rPr>
          <w:rFonts w:asciiTheme="minorHAnsi" w:hAnsiTheme="minorHAnsi" w:cstheme="minorHAnsi"/>
        </w:rPr>
        <w:t xml:space="preserve">Mendirichaga, R., Fishman, J. E., &amp; Martinez, C. A. (2018). Chapter 7—Imaging Modalities for Detection and Treatment of Cardiovascular Thrombus. In O. Topaz (Ed.), </w:t>
      </w:r>
      <w:r w:rsidRPr="00CE034A">
        <w:rPr>
          <w:rFonts w:asciiTheme="minorHAnsi" w:hAnsiTheme="minorHAnsi" w:cstheme="minorHAnsi"/>
          <w:i/>
          <w:iCs/>
        </w:rPr>
        <w:t>Cardiovascular Thrombus</w:t>
      </w:r>
      <w:r w:rsidRPr="00CE034A">
        <w:rPr>
          <w:rFonts w:asciiTheme="minorHAnsi" w:hAnsiTheme="minorHAnsi" w:cstheme="minorHAnsi"/>
        </w:rPr>
        <w:t xml:space="preserve"> (pp. 99–113). Academic Press. </w:t>
      </w:r>
      <w:hyperlink r:id="rId29">
        <w:r w:rsidRPr="00CE034A">
          <w:rPr>
            <w:rStyle w:val="Hyperlink"/>
            <w:rFonts w:asciiTheme="minorHAnsi" w:hAnsiTheme="minorHAnsi" w:cstheme="minorHAnsi"/>
          </w:rPr>
          <w:t>https://doi.org/10.1016/B978-0-12-812615-8.00007-7</w:t>
        </w:r>
      </w:hyperlink>
    </w:p>
    <w:p w14:paraId="30645084" w14:textId="77777777" w:rsidR="009450E1" w:rsidRPr="00CE034A" w:rsidRDefault="009450E1" w:rsidP="009450E1">
      <w:pPr>
        <w:spacing w:line="240" w:lineRule="auto"/>
        <w:ind w:left="480" w:hanging="480"/>
        <w:rPr>
          <w:rStyle w:val="Hyperlink"/>
          <w:rFonts w:asciiTheme="minorHAnsi" w:eastAsiaTheme="minorEastAsia" w:hAnsiTheme="minorHAnsi" w:cstheme="minorHAnsi"/>
        </w:rPr>
      </w:pPr>
      <w:r w:rsidRPr="00CE034A">
        <w:rPr>
          <w:rFonts w:asciiTheme="minorHAnsi" w:eastAsiaTheme="minorEastAsia" w:hAnsiTheme="minorHAnsi" w:cstheme="minorHAnsi"/>
          <w:lang w:val="it-IT"/>
        </w:rPr>
        <w:t xml:space="preserve">Räber, L., Mintz, G. S., Koskinas, K. C., Johnson, T. W., Holm, N. R., Onuma, Y., Radu, M. D., Joner, M., Yu, B., Jia, H., Meneveau, N., de la Torre Hernandez, J. M., Escaned, J., Hill, J., Prati, F., Colombo, A., di Mario, C., Regar, E., Capodanno, D., Wijns, W., … ESC Scientific Document Group (2018). Clinical use of intracoronary imaging. Part 1: guidance and optimization of coronary interventions. An expert consensus document of the European Association of Percutaneous Cardiovascular Interventions. </w:t>
      </w:r>
      <w:r w:rsidRPr="00CE034A">
        <w:rPr>
          <w:rFonts w:asciiTheme="minorHAnsi" w:eastAsiaTheme="minorEastAsia" w:hAnsiTheme="minorHAnsi" w:cstheme="minorHAnsi"/>
          <w:i/>
          <w:iCs/>
          <w:lang w:val="it-IT"/>
        </w:rPr>
        <w:t>European heart journal</w:t>
      </w:r>
      <w:r w:rsidRPr="00CE034A">
        <w:rPr>
          <w:rFonts w:asciiTheme="minorHAnsi" w:eastAsiaTheme="minorEastAsia" w:hAnsiTheme="minorHAnsi" w:cstheme="minorHAnsi"/>
          <w:lang w:val="it-IT"/>
        </w:rPr>
        <w:t xml:space="preserve">, </w:t>
      </w:r>
      <w:r w:rsidRPr="00CE034A">
        <w:rPr>
          <w:rFonts w:asciiTheme="minorHAnsi" w:eastAsiaTheme="minorEastAsia" w:hAnsiTheme="minorHAnsi" w:cstheme="minorHAnsi"/>
          <w:i/>
          <w:iCs/>
          <w:lang w:val="it-IT"/>
        </w:rPr>
        <w:t>39</w:t>
      </w:r>
      <w:r w:rsidRPr="00CE034A">
        <w:rPr>
          <w:rFonts w:asciiTheme="minorHAnsi" w:eastAsiaTheme="minorEastAsia" w:hAnsiTheme="minorHAnsi" w:cstheme="minorHAnsi"/>
          <w:lang w:val="it-IT"/>
        </w:rPr>
        <w:t>(35), 3281–3300.</w:t>
      </w:r>
      <w:r w:rsidRPr="00CE034A">
        <w:rPr>
          <w:rFonts w:asciiTheme="minorHAnsi" w:eastAsiaTheme="minorEastAsia" w:hAnsiTheme="minorHAnsi" w:cstheme="minorHAnsi"/>
          <w:color w:val="212121"/>
          <w:lang w:val="it-IT"/>
        </w:rPr>
        <w:t xml:space="preserve"> </w:t>
      </w:r>
      <w:hyperlink r:id="rId30" w:history="1">
        <w:r w:rsidRPr="00CE034A">
          <w:rPr>
            <w:rStyle w:val="Hyperlink"/>
            <w:rFonts w:asciiTheme="minorHAnsi" w:hAnsiTheme="minorHAnsi" w:cstheme="minorHAnsi"/>
            <w:lang w:val="it-IT"/>
          </w:rPr>
          <w:t>https://doi.org/10.1093/eurheartj/ehy285</w:t>
        </w:r>
      </w:hyperlink>
    </w:p>
    <w:p w14:paraId="1371B11F" w14:textId="77777777" w:rsidR="009450E1" w:rsidRPr="00CE034A" w:rsidRDefault="009450E1" w:rsidP="009450E1">
      <w:pPr>
        <w:spacing w:line="240" w:lineRule="auto"/>
        <w:ind w:left="480" w:hanging="480"/>
        <w:rPr>
          <w:rStyle w:val="Hyperlink"/>
          <w:rFonts w:asciiTheme="minorHAnsi" w:hAnsiTheme="minorHAnsi" w:cstheme="minorHAnsi"/>
        </w:rPr>
      </w:pPr>
      <w:r w:rsidRPr="00CE034A">
        <w:rPr>
          <w:rFonts w:asciiTheme="minorHAnsi" w:hAnsiTheme="minorHAnsi" w:cstheme="minorHAnsi"/>
          <w:lang w:val="it-IT"/>
        </w:rPr>
        <w:t xml:space="preserve">Sedehi, D., &amp; Cigarroa, J. E. (2018). </w:t>
      </w:r>
      <w:r w:rsidRPr="00CE034A">
        <w:rPr>
          <w:rFonts w:asciiTheme="minorHAnsi" w:hAnsiTheme="minorHAnsi" w:cstheme="minorHAnsi"/>
        </w:rPr>
        <w:t xml:space="preserve">Precipitants of Myocardial Ischemia. In </w:t>
      </w:r>
      <w:r w:rsidRPr="00CE034A">
        <w:rPr>
          <w:rFonts w:asciiTheme="minorHAnsi" w:hAnsiTheme="minorHAnsi" w:cstheme="minorHAnsi"/>
          <w:i/>
          <w:iCs/>
        </w:rPr>
        <w:t>Chronic Coronary Artery Disease</w:t>
      </w:r>
      <w:r w:rsidRPr="00CE034A">
        <w:rPr>
          <w:rFonts w:asciiTheme="minorHAnsi" w:hAnsiTheme="minorHAnsi" w:cstheme="minorHAnsi"/>
        </w:rPr>
        <w:t xml:space="preserve"> (pp. 69–77). Elsevier. </w:t>
      </w:r>
      <w:hyperlink r:id="rId31">
        <w:r w:rsidRPr="00CE034A">
          <w:rPr>
            <w:rStyle w:val="Hyperlink"/>
            <w:rFonts w:asciiTheme="minorHAnsi" w:hAnsiTheme="minorHAnsi" w:cstheme="minorHAnsi"/>
          </w:rPr>
          <w:t>https://doi.org/10.1016/B978-0-323-42880-4.00006-6</w:t>
        </w:r>
      </w:hyperlink>
    </w:p>
    <w:p w14:paraId="0BA4AB96" w14:textId="77777777" w:rsidR="009450E1" w:rsidRPr="00CE034A" w:rsidRDefault="009450E1" w:rsidP="009450E1">
      <w:pPr>
        <w:spacing w:line="240" w:lineRule="auto"/>
        <w:ind w:left="480" w:hanging="480"/>
        <w:rPr>
          <w:rStyle w:val="Hyperlink"/>
          <w:rFonts w:asciiTheme="minorHAnsi" w:hAnsiTheme="minorHAnsi" w:cstheme="minorHAnsi"/>
        </w:rPr>
      </w:pPr>
      <w:r w:rsidRPr="00CE034A">
        <w:rPr>
          <w:rFonts w:asciiTheme="minorHAnsi" w:hAnsiTheme="minorHAnsi" w:cstheme="minorHAnsi"/>
        </w:rPr>
        <w:t xml:space="preserve">Warger, W. C., Gora, M. J., Unglert, C. I., Bouma, B. E., &amp; Tearney, G. J. (2014). Optical Coherence Tomography. In L. M. McManus &amp; R. N. Mitchell (Eds.), </w:t>
      </w:r>
      <w:r w:rsidRPr="00CE034A">
        <w:rPr>
          <w:rFonts w:asciiTheme="minorHAnsi" w:hAnsiTheme="minorHAnsi" w:cstheme="minorHAnsi"/>
          <w:i/>
          <w:iCs/>
        </w:rPr>
        <w:t>Pathobiology of Human Disease</w:t>
      </w:r>
      <w:r w:rsidRPr="00CE034A">
        <w:rPr>
          <w:rFonts w:asciiTheme="minorHAnsi" w:hAnsiTheme="minorHAnsi" w:cstheme="minorHAnsi"/>
        </w:rPr>
        <w:t xml:space="preserve"> (pp. 3859–3889). Academic Press. </w:t>
      </w:r>
      <w:hyperlink r:id="rId32" w:history="1">
        <w:r w:rsidRPr="00CE034A">
          <w:rPr>
            <w:rStyle w:val="Hyperlink"/>
            <w:rFonts w:asciiTheme="minorHAnsi" w:hAnsiTheme="minorHAnsi" w:cstheme="minorHAnsi"/>
          </w:rPr>
          <w:t>https://doi.org/10.1016/B978-0-12-386456-7.07602-4</w:t>
        </w:r>
      </w:hyperlink>
    </w:p>
    <w:p w14:paraId="11458B54" w14:textId="5C3F87D3" w:rsidR="00B0581A" w:rsidRPr="00B0581A" w:rsidRDefault="00B0581A" w:rsidP="00F172D7">
      <w:pPr>
        <w:spacing w:line="240" w:lineRule="auto"/>
        <w:ind w:left="480" w:hanging="480"/>
      </w:pPr>
    </w:p>
    <w:sectPr w:rsidR="00B0581A" w:rsidRPr="00B0581A" w:rsidSect="005674AC">
      <w:headerReference w:type="default" r:id="rId33"/>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55CA" w14:textId="77777777" w:rsidR="003E5517" w:rsidRDefault="003E5517" w:rsidP="0016315C">
      <w:pPr>
        <w:spacing w:after="0" w:line="240" w:lineRule="auto"/>
      </w:pPr>
      <w:r>
        <w:separator/>
      </w:r>
    </w:p>
  </w:endnote>
  <w:endnote w:type="continuationSeparator" w:id="0">
    <w:p w14:paraId="376F1A0D" w14:textId="77777777" w:rsidR="003E5517" w:rsidRDefault="003E5517" w:rsidP="0016315C">
      <w:pPr>
        <w:spacing w:after="0" w:line="240" w:lineRule="auto"/>
      </w:pPr>
      <w:r>
        <w:continuationSeparator/>
      </w:r>
    </w:p>
  </w:endnote>
  <w:endnote w:type="continuationNotice" w:id="1">
    <w:p w14:paraId="1488685E" w14:textId="77777777" w:rsidR="003E5517" w:rsidRDefault="003E5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C968" w14:textId="77777777" w:rsidR="00C00DCB" w:rsidRDefault="00C00DCB">
    <w:pPr>
      <w:pStyle w:val="Footer"/>
      <w:framePr w:wrap="none" w:vAnchor="text" w:hAnchor="margin" w:xAlign="right" w:y="1"/>
      <w:rPr>
        <w:rStyle w:val="PageNumber"/>
      </w:rPr>
    </w:pPr>
    <w:r w:rsidRPr="5B292A92">
      <w:rPr>
        <w:rStyle w:val="PageNumber"/>
      </w:rPr>
      <w:fldChar w:fldCharType="begin"/>
    </w:r>
    <w:r w:rsidRPr="5B292A92">
      <w:rPr>
        <w:rStyle w:val="PageNumber"/>
      </w:rPr>
      <w:instrText xml:space="preserve"> PAGE </w:instrText>
    </w:r>
    <w:r w:rsidRPr="5B292A92">
      <w:rPr>
        <w:rStyle w:val="PageNumber"/>
      </w:rPr>
      <w:fldChar w:fldCharType="end"/>
    </w:r>
  </w:p>
  <w:p w14:paraId="0F818ACD" w14:textId="77777777" w:rsidR="00C00DCB" w:rsidRDefault="00C00DCB"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970191"/>
      <w:docPartObj>
        <w:docPartGallery w:val="Page Numbers (Bottom of Page)"/>
        <w:docPartUnique/>
      </w:docPartObj>
    </w:sdtPr>
    <w:sdtEndPr>
      <w:rPr>
        <w:rStyle w:val="PageNumber"/>
      </w:rPr>
    </w:sdtEndPr>
    <w:sdtContent>
      <w:p w14:paraId="34A0D039" w14:textId="77777777" w:rsidR="00C00DCB" w:rsidRDefault="00C00DCB">
        <w:pPr>
          <w:pStyle w:val="Footer"/>
          <w:framePr w:wrap="none" w:vAnchor="text" w:hAnchor="margin" w:xAlign="right" w:y="1"/>
          <w:rPr>
            <w:rStyle w:val="PageNumber"/>
          </w:rPr>
        </w:pPr>
        <w:r w:rsidRPr="5B292A92">
          <w:rPr>
            <w:rStyle w:val="PageNumber"/>
          </w:rPr>
          <w:fldChar w:fldCharType="begin"/>
        </w:r>
        <w:r w:rsidRPr="5B292A92">
          <w:rPr>
            <w:rStyle w:val="PageNumber"/>
          </w:rPr>
          <w:instrText xml:space="preserve"> PAGE </w:instrText>
        </w:r>
        <w:r w:rsidRPr="5B292A92">
          <w:rPr>
            <w:rStyle w:val="PageNumber"/>
          </w:rPr>
          <w:fldChar w:fldCharType="separate"/>
        </w:r>
        <w:r w:rsidRPr="5B292A92">
          <w:rPr>
            <w:rStyle w:val="PageNumber"/>
            <w:noProof/>
          </w:rPr>
          <w:t>1</w:t>
        </w:r>
        <w:r w:rsidRPr="5B292A92">
          <w:rPr>
            <w:rStyle w:val="PageNumber"/>
          </w:rPr>
          <w:fldChar w:fldCharType="end"/>
        </w:r>
      </w:p>
    </w:sdtContent>
  </w:sdt>
  <w:p w14:paraId="1860E0C5" w14:textId="5BB390C5" w:rsidR="00C00DCB" w:rsidRPr="00685355" w:rsidRDefault="7A76AEEA" w:rsidP="00BB0FFB">
    <w:pPr>
      <w:jc w:val="center"/>
    </w:pPr>
    <w:r>
      <w:t>Ratified PICO Confirmation – December 2023 PASC Meeting</w:t>
    </w:r>
    <w:r w:rsidR="00CC2491">
      <w:br/>
    </w:r>
    <w:r>
      <w:t>Application 1743 – Optical coherence tomography (OCT) guided coronary stent insertion for patients eligible for coronary revascularisation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699F" w14:textId="77777777" w:rsidR="003E5517" w:rsidRDefault="003E5517" w:rsidP="0016315C">
      <w:pPr>
        <w:spacing w:after="0" w:line="240" w:lineRule="auto"/>
      </w:pPr>
      <w:r>
        <w:separator/>
      </w:r>
    </w:p>
  </w:footnote>
  <w:footnote w:type="continuationSeparator" w:id="0">
    <w:p w14:paraId="0BE57319" w14:textId="77777777" w:rsidR="003E5517" w:rsidRDefault="003E5517" w:rsidP="0016315C">
      <w:pPr>
        <w:spacing w:after="0" w:line="240" w:lineRule="auto"/>
      </w:pPr>
      <w:r>
        <w:continuationSeparator/>
      </w:r>
    </w:p>
  </w:footnote>
  <w:footnote w:type="continuationNotice" w:id="1">
    <w:p w14:paraId="69724780" w14:textId="77777777" w:rsidR="003E5517" w:rsidRDefault="003E55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00C00DCB" w14:paraId="3FE47200" w14:textId="77777777">
      <w:trPr>
        <w:trHeight w:val="300"/>
      </w:trPr>
      <w:tc>
        <w:tcPr>
          <w:tcW w:w="3190" w:type="dxa"/>
        </w:tcPr>
        <w:p w14:paraId="2148EE09" w14:textId="77777777" w:rsidR="00C00DCB" w:rsidRDefault="00C00DCB">
          <w:pPr>
            <w:pStyle w:val="Header"/>
            <w:ind w:left="-115"/>
          </w:pPr>
        </w:p>
      </w:tc>
      <w:tc>
        <w:tcPr>
          <w:tcW w:w="3190" w:type="dxa"/>
        </w:tcPr>
        <w:p w14:paraId="05E0897E" w14:textId="77777777" w:rsidR="00C00DCB" w:rsidRDefault="00C00DCB">
          <w:pPr>
            <w:pStyle w:val="Header"/>
            <w:jc w:val="center"/>
          </w:pPr>
        </w:p>
      </w:tc>
      <w:tc>
        <w:tcPr>
          <w:tcW w:w="3190" w:type="dxa"/>
        </w:tcPr>
        <w:p w14:paraId="12075F6C" w14:textId="77777777" w:rsidR="00C00DCB" w:rsidRDefault="00C00DCB">
          <w:pPr>
            <w:pStyle w:val="Header"/>
            <w:ind w:right="-115"/>
            <w:jc w:val="right"/>
          </w:pPr>
        </w:p>
      </w:tc>
    </w:tr>
  </w:tbl>
  <w:p w14:paraId="39F63395" w14:textId="77777777" w:rsidR="00C00DCB" w:rsidRDefault="00C00DCB" w:rsidP="00252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0EF94BD8" w14:paraId="4BD8B681" w14:textId="77777777" w:rsidTr="00470DF0">
      <w:trPr>
        <w:trHeight w:val="300"/>
      </w:trPr>
      <w:tc>
        <w:tcPr>
          <w:tcW w:w="5045" w:type="dxa"/>
        </w:tcPr>
        <w:p w14:paraId="0AB4CDB2" w14:textId="0CC8B49C" w:rsidR="0EF94BD8" w:rsidRDefault="0EF94BD8" w:rsidP="00470DF0">
          <w:pPr>
            <w:pStyle w:val="Header"/>
            <w:ind w:left="-115"/>
          </w:pPr>
        </w:p>
      </w:tc>
      <w:tc>
        <w:tcPr>
          <w:tcW w:w="5045" w:type="dxa"/>
        </w:tcPr>
        <w:p w14:paraId="07C8A876" w14:textId="5DD10AD7" w:rsidR="0EF94BD8" w:rsidRDefault="0EF94BD8" w:rsidP="00470DF0">
          <w:pPr>
            <w:pStyle w:val="Header"/>
            <w:jc w:val="center"/>
          </w:pPr>
        </w:p>
      </w:tc>
      <w:tc>
        <w:tcPr>
          <w:tcW w:w="5045" w:type="dxa"/>
        </w:tcPr>
        <w:p w14:paraId="6E35FB91" w14:textId="7FBDC7D5" w:rsidR="0EF94BD8" w:rsidRDefault="0EF94BD8" w:rsidP="00470DF0">
          <w:pPr>
            <w:pStyle w:val="Header"/>
            <w:ind w:right="-115"/>
            <w:jc w:val="right"/>
          </w:pPr>
        </w:p>
      </w:tc>
    </w:tr>
  </w:tbl>
  <w:p w14:paraId="110FE5A6" w14:textId="38803A2B" w:rsidR="0EF94BD8" w:rsidRDefault="0EF94BD8" w:rsidP="00252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0EF94BD8" w14:paraId="5EE042DE" w14:textId="77777777" w:rsidTr="00470DF0">
      <w:trPr>
        <w:trHeight w:val="300"/>
      </w:trPr>
      <w:tc>
        <w:tcPr>
          <w:tcW w:w="3190" w:type="dxa"/>
        </w:tcPr>
        <w:p w14:paraId="1B25CA99" w14:textId="1CFD58B3" w:rsidR="0EF94BD8" w:rsidRDefault="0EF94BD8" w:rsidP="00470DF0">
          <w:pPr>
            <w:pStyle w:val="Header"/>
            <w:ind w:left="-115"/>
          </w:pPr>
        </w:p>
      </w:tc>
      <w:tc>
        <w:tcPr>
          <w:tcW w:w="3190" w:type="dxa"/>
        </w:tcPr>
        <w:p w14:paraId="5D2D1089" w14:textId="60168870" w:rsidR="0EF94BD8" w:rsidRDefault="0EF94BD8" w:rsidP="00470DF0">
          <w:pPr>
            <w:pStyle w:val="Header"/>
            <w:jc w:val="center"/>
          </w:pPr>
        </w:p>
      </w:tc>
      <w:tc>
        <w:tcPr>
          <w:tcW w:w="3190" w:type="dxa"/>
        </w:tcPr>
        <w:p w14:paraId="73F42FE4" w14:textId="5EE2386A" w:rsidR="0EF94BD8" w:rsidRDefault="0EF94BD8" w:rsidP="00470DF0">
          <w:pPr>
            <w:pStyle w:val="Header"/>
            <w:ind w:right="-115"/>
            <w:jc w:val="right"/>
          </w:pPr>
        </w:p>
      </w:tc>
    </w:tr>
  </w:tbl>
  <w:p w14:paraId="58BAACE9" w14:textId="09AB9948" w:rsidR="0EF94BD8" w:rsidRDefault="0EF94BD8" w:rsidP="002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6BC8"/>
    <w:multiLevelType w:val="hybridMultilevel"/>
    <w:tmpl w:val="03C62A30"/>
    <w:lvl w:ilvl="0" w:tplc="0C09000F">
      <w:start w:val="1"/>
      <w:numFmt w:val="decimal"/>
      <w:lvlText w:val="%1."/>
      <w:lvlJc w:val="left"/>
      <w:pPr>
        <w:ind w:left="720" w:hanging="360"/>
      </w:pPr>
      <w:rPr>
        <w:rFonts w:hint="default"/>
      </w:rPr>
    </w:lvl>
    <w:lvl w:ilvl="1" w:tplc="CD665F3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E92DF"/>
    <w:multiLevelType w:val="hybridMultilevel"/>
    <w:tmpl w:val="31C25E30"/>
    <w:lvl w:ilvl="0" w:tplc="AF82A3B0">
      <w:start w:val="4"/>
      <w:numFmt w:val="decimal"/>
      <w:lvlText w:val="%1."/>
      <w:lvlJc w:val="left"/>
      <w:pPr>
        <w:ind w:left="720" w:hanging="360"/>
      </w:pPr>
    </w:lvl>
    <w:lvl w:ilvl="1" w:tplc="4238E446">
      <w:start w:val="1"/>
      <w:numFmt w:val="lowerLetter"/>
      <w:lvlText w:val="%2."/>
      <w:lvlJc w:val="left"/>
      <w:pPr>
        <w:ind w:left="1440" w:hanging="360"/>
      </w:pPr>
    </w:lvl>
    <w:lvl w:ilvl="2" w:tplc="D3586826">
      <w:start w:val="1"/>
      <w:numFmt w:val="lowerRoman"/>
      <w:lvlText w:val="%3."/>
      <w:lvlJc w:val="right"/>
      <w:pPr>
        <w:ind w:left="2160" w:hanging="180"/>
      </w:pPr>
    </w:lvl>
    <w:lvl w:ilvl="3" w:tplc="E04ED5F0">
      <w:start w:val="1"/>
      <w:numFmt w:val="decimal"/>
      <w:lvlText w:val="%4."/>
      <w:lvlJc w:val="left"/>
      <w:pPr>
        <w:ind w:left="2880" w:hanging="360"/>
      </w:pPr>
    </w:lvl>
    <w:lvl w:ilvl="4" w:tplc="FEF492BC">
      <w:start w:val="1"/>
      <w:numFmt w:val="lowerLetter"/>
      <w:lvlText w:val="%5."/>
      <w:lvlJc w:val="left"/>
      <w:pPr>
        <w:ind w:left="3600" w:hanging="360"/>
      </w:pPr>
    </w:lvl>
    <w:lvl w:ilvl="5" w:tplc="CDDAD6F8">
      <w:start w:val="1"/>
      <w:numFmt w:val="lowerRoman"/>
      <w:lvlText w:val="%6."/>
      <w:lvlJc w:val="right"/>
      <w:pPr>
        <w:ind w:left="4320" w:hanging="180"/>
      </w:pPr>
    </w:lvl>
    <w:lvl w:ilvl="6" w:tplc="6A584EFC">
      <w:start w:val="1"/>
      <w:numFmt w:val="decimal"/>
      <w:lvlText w:val="%7."/>
      <w:lvlJc w:val="left"/>
      <w:pPr>
        <w:ind w:left="5040" w:hanging="360"/>
      </w:pPr>
    </w:lvl>
    <w:lvl w:ilvl="7" w:tplc="9E06C0AE">
      <w:start w:val="1"/>
      <w:numFmt w:val="lowerLetter"/>
      <w:lvlText w:val="%8."/>
      <w:lvlJc w:val="left"/>
      <w:pPr>
        <w:ind w:left="5760" w:hanging="360"/>
      </w:pPr>
    </w:lvl>
    <w:lvl w:ilvl="8" w:tplc="617689F0">
      <w:start w:val="1"/>
      <w:numFmt w:val="lowerRoman"/>
      <w:lvlText w:val="%9."/>
      <w:lvlJc w:val="right"/>
      <w:pPr>
        <w:ind w:left="6480" w:hanging="180"/>
      </w:p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4B33BAF"/>
    <w:multiLevelType w:val="hybridMultilevel"/>
    <w:tmpl w:val="D9763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BB87F"/>
    <w:multiLevelType w:val="hybridMultilevel"/>
    <w:tmpl w:val="D038975C"/>
    <w:lvl w:ilvl="0" w:tplc="102022C2">
      <w:start w:val="1"/>
      <w:numFmt w:val="bullet"/>
      <w:lvlText w:val="·"/>
      <w:lvlJc w:val="left"/>
      <w:pPr>
        <w:ind w:left="720" w:hanging="360"/>
      </w:pPr>
      <w:rPr>
        <w:rFonts w:ascii="Symbol" w:hAnsi="Symbol" w:hint="default"/>
      </w:rPr>
    </w:lvl>
    <w:lvl w:ilvl="1" w:tplc="F7D07692">
      <w:start w:val="1"/>
      <w:numFmt w:val="bullet"/>
      <w:lvlText w:val="o"/>
      <w:lvlJc w:val="left"/>
      <w:pPr>
        <w:ind w:left="1440" w:hanging="360"/>
      </w:pPr>
      <w:rPr>
        <w:rFonts w:ascii="Courier New" w:hAnsi="Courier New" w:hint="default"/>
      </w:rPr>
    </w:lvl>
    <w:lvl w:ilvl="2" w:tplc="4A040D98">
      <w:start w:val="1"/>
      <w:numFmt w:val="bullet"/>
      <w:lvlText w:val=""/>
      <w:lvlJc w:val="left"/>
      <w:pPr>
        <w:ind w:left="2160" w:hanging="360"/>
      </w:pPr>
      <w:rPr>
        <w:rFonts w:ascii="Wingdings" w:hAnsi="Wingdings" w:hint="default"/>
      </w:rPr>
    </w:lvl>
    <w:lvl w:ilvl="3" w:tplc="BC661038">
      <w:start w:val="1"/>
      <w:numFmt w:val="bullet"/>
      <w:lvlText w:val=""/>
      <w:lvlJc w:val="left"/>
      <w:pPr>
        <w:ind w:left="2880" w:hanging="360"/>
      </w:pPr>
      <w:rPr>
        <w:rFonts w:ascii="Symbol" w:hAnsi="Symbol" w:hint="default"/>
      </w:rPr>
    </w:lvl>
    <w:lvl w:ilvl="4" w:tplc="A2D2BBDE">
      <w:start w:val="1"/>
      <w:numFmt w:val="bullet"/>
      <w:lvlText w:val="o"/>
      <w:lvlJc w:val="left"/>
      <w:pPr>
        <w:ind w:left="3600" w:hanging="360"/>
      </w:pPr>
      <w:rPr>
        <w:rFonts w:ascii="Courier New" w:hAnsi="Courier New" w:hint="default"/>
      </w:rPr>
    </w:lvl>
    <w:lvl w:ilvl="5" w:tplc="B0869F78">
      <w:start w:val="1"/>
      <w:numFmt w:val="bullet"/>
      <w:lvlText w:val=""/>
      <w:lvlJc w:val="left"/>
      <w:pPr>
        <w:ind w:left="4320" w:hanging="360"/>
      </w:pPr>
      <w:rPr>
        <w:rFonts w:ascii="Wingdings" w:hAnsi="Wingdings" w:hint="default"/>
      </w:rPr>
    </w:lvl>
    <w:lvl w:ilvl="6" w:tplc="6C14B84C">
      <w:start w:val="1"/>
      <w:numFmt w:val="bullet"/>
      <w:lvlText w:val=""/>
      <w:lvlJc w:val="left"/>
      <w:pPr>
        <w:ind w:left="5040" w:hanging="360"/>
      </w:pPr>
      <w:rPr>
        <w:rFonts w:ascii="Symbol" w:hAnsi="Symbol" w:hint="default"/>
      </w:rPr>
    </w:lvl>
    <w:lvl w:ilvl="7" w:tplc="B198A962">
      <w:start w:val="1"/>
      <w:numFmt w:val="bullet"/>
      <w:lvlText w:val="o"/>
      <w:lvlJc w:val="left"/>
      <w:pPr>
        <w:ind w:left="5760" w:hanging="360"/>
      </w:pPr>
      <w:rPr>
        <w:rFonts w:ascii="Courier New" w:hAnsi="Courier New" w:hint="default"/>
      </w:rPr>
    </w:lvl>
    <w:lvl w:ilvl="8" w:tplc="BE96142E">
      <w:start w:val="1"/>
      <w:numFmt w:val="bullet"/>
      <w:lvlText w:val=""/>
      <w:lvlJc w:val="left"/>
      <w:pPr>
        <w:ind w:left="6480" w:hanging="360"/>
      </w:pPr>
      <w:rPr>
        <w:rFonts w:ascii="Wingdings" w:hAnsi="Wingdings" w:hint="default"/>
      </w:rPr>
    </w:lvl>
  </w:abstractNum>
  <w:abstractNum w:abstractNumId="5"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F650B"/>
    <w:multiLevelType w:val="hybridMultilevel"/>
    <w:tmpl w:val="3F1C9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3D9A0"/>
    <w:multiLevelType w:val="hybridMultilevel"/>
    <w:tmpl w:val="630650C6"/>
    <w:lvl w:ilvl="0" w:tplc="486CE282">
      <w:start w:val="6"/>
      <w:numFmt w:val="decimal"/>
      <w:lvlText w:val="%1."/>
      <w:lvlJc w:val="left"/>
      <w:pPr>
        <w:ind w:left="720" w:hanging="360"/>
      </w:pPr>
    </w:lvl>
    <w:lvl w:ilvl="1" w:tplc="193EC084">
      <w:start w:val="1"/>
      <w:numFmt w:val="lowerLetter"/>
      <w:lvlText w:val="%2."/>
      <w:lvlJc w:val="left"/>
      <w:pPr>
        <w:ind w:left="1440" w:hanging="360"/>
      </w:pPr>
    </w:lvl>
    <w:lvl w:ilvl="2" w:tplc="2B2A426C">
      <w:start w:val="1"/>
      <w:numFmt w:val="lowerRoman"/>
      <w:lvlText w:val="%3."/>
      <w:lvlJc w:val="right"/>
      <w:pPr>
        <w:ind w:left="2160" w:hanging="180"/>
      </w:pPr>
    </w:lvl>
    <w:lvl w:ilvl="3" w:tplc="BD002564">
      <w:start w:val="1"/>
      <w:numFmt w:val="decimal"/>
      <w:lvlText w:val="%4."/>
      <w:lvlJc w:val="left"/>
      <w:pPr>
        <w:ind w:left="2880" w:hanging="360"/>
      </w:pPr>
    </w:lvl>
    <w:lvl w:ilvl="4" w:tplc="C5DAE9DC">
      <w:start w:val="1"/>
      <w:numFmt w:val="lowerLetter"/>
      <w:lvlText w:val="%5."/>
      <w:lvlJc w:val="left"/>
      <w:pPr>
        <w:ind w:left="3600" w:hanging="360"/>
      </w:pPr>
    </w:lvl>
    <w:lvl w:ilvl="5" w:tplc="37BCA76C">
      <w:start w:val="1"/>
      <w:numFmt w:val="lowerRoman"/>
      <w:lvlText w:val="%6."/>
      <w:lvlJc w:val="right"/>
      <w:pPr>
        <w:ind w:left="4320" w:hanging="180"/>
      </w:pPr>
    </w:lvl>
    <w:lvl w:ilvl="6" w:tplc="5E5A2984">
      <w:start w:val="1"/>
      <w:numFmt w:val="decimal"/>
      <w:lvlText w:val="%7."/>
      <w:lvlJc w:val="left"/>
      <w:pPr>
        <w:ind w:left="5040" w:hanging="360"/>
      </w:pPr>
    </w:lvl>
    <w:lvl w:ilvl="7" w:tplc="139A4712">
      <w:start w:val="1"/>
      <w:numFmt w:val="lowerLetter"/>
      <w:lvlText w:val="%8."/>
      <w:lvlJc w:val="left"/>
      <w:pPr>
        <w:ind w:left="5760" w:hanging="360"/>
      </w:pPr>
    </w:lvl>
    <w:lvl w:ilvl="8" w:tplc="0C7083CA">
      <w:start w:val="1"/>
      <w:numFmt w:val="lowerRoman"/>
      <w:lvlText w:val="%9."/>
      <w:lvlJc w:val="right"/>
      <w:pPr>
        <w:ind w:left="6480" w:hanging="180"/>
      </w:pPr>
    </w:lvl>
  </w:abstractNum>
  <w:abstractNum w:abstractNumId="9" w15:restartNumberingAfterBreak="0">
    <w:nsid w:val="2CCE1BC9"/>
    <w:multiLevelType w:val="hybridMultilevel"/>
    <w:tmpl w:val="936AD9D4"/>
    <w:lvl w:ilvl="0" w:tplc="57EEA2F8">
      <w:start w:val="5"/>
      <w:numFmt w:val="decimal"/>
      <w:lvlText w:val="%1."/>
      <w:lvlJc w:val="left"/>
      <w:pPr>
        <w:ind w:left="720" w:hanging="360"/>
      </w:pPr>
    </w:lvl>
    <w:lvl w:ilvl="1" w:tplc="A5809154">
      <w:start w:val="1"/>
      <w:numFmt w:val="lowerLetter"/>
      <w:lvlText w:val="%2."/>
      <w:lvlJc w:val="left"/>
      <w:pPr>
        <w:ind w:left="1440" w:hanging="360"/>
      </w:pPr>
    </w:lvl>
    <w:lvl w:ilvl="2" w:tplc="BAB6678A">
      <w:start w:val="1"/>
      <w:numFmt w:val="lowerRoman"/>
      <w:lvlText w:val="%3."/>
      <w:lvlJc w:val="right"/>
      <w:pPr>
        <w:ind w:left="2160" w:hanging="180"/>
      </w:pPr>
    </w:lvl>
    <w:lvl w:ilvl="3" w:tplc="747C133C">
      <w:start w:val="1"/>
      <w:numFmt w:val="decimal"/>
      <w:lvlText w:val="%4."/>
      <w:lvlJc w:val="left"/>
      <w:pPr>
        <w:ind w:left="2880" w:hanging="360"/>
      </w:pPr>
    </w:lvl>
    <w:lvl w:ilvl="4" w:tplc="5E7048EE">
      <w:start w:val="1"/>
      <w:numFmt w:val="lowerLetter"/>
      <w:lvlText w:val="%5."/>
      <w:lvlJc w:val="left"/>
      <w:pPr>
        <w:ind w:left="3600" w:hanging="360"/>
      </w:pPr>
    </w:lvl>
    <w:lvl w:ilvl="5" w:tplc="5114F12A">
      <w:start w:val="1"/>
      <w:numFmt w:val="lowerRoman"/>
      <w:lvlText w:val="%6."/>
      <w:lvlJc w:val="right"/>
      <w:pPr>
        <w:ind w:left="4320" w:hanging="180"/>
      </w:pPr>
    </w:lvl>
    <w:lvl w:ilvl="6" w:tplc="704CAB34">
      <w:start w:val="1"/>
      <w:numFmt w:val="decimal"/>
      <w:lvlText w:val="%7."/>
      <w:lvlJc w:val="left"/>
      <w:pPr>
        <w:ind w:left="5040" w:hanging="360"/>
      </w:pPr>
    </w:lvl>
    <w:lvl w:ilvl="7" w:tplc="7D628D54">
      <w:start w:val="1"/>
      <w:numFmt w:val="lowerLetter"/>
      <w:lvlText w:val="%8."/>
      <w:lvlJc w:val="left"/>
      <w:pPr>
        <w:ind w:left="5760" w:hanging="360"/>
      </w:pPr>
    </w:lvl>
    <w:lvl w:ilvl="8" w:tplc="67E4F7EE">
      <w:start w:val="1"/>
      <w:numFmt w:val="lowerRoman"/>
      <w:lvlText w:val="%9."/>
      <w:lvlJc w:val="right"/>
      <w:pPr>
        <w:ind w:left="6480" w:hanging="180"/>
      </w:pPr>
    </w:lvl>
  </w:abstractNum>
  <w:abstractNum w:abstractNumId="10" w15:restartNumberingAfterBreak="0">
    <w:nsid w:val="30C7CD52"/>
    <w:multiLevelType w:val="hybridMultilevel"/>
    <w:tmpl w:val="6BD894C2"/>
    <w:lvl w:ilvl="0" w:tplc="4252B37A">
      <w:start w:val="1"/>
      <w:numFmt w:val="decimal"/>
      <w:lvlText w:val="%1."/>
      <w:lvlJc w:val="left"/>
      <w:pPr>
        <w:ind w:left="720" w:hanging="360"/>
      </w:pPr>
    </w:lvl>
    <w:lvl w:ilvl="1" w:tplc="078015FA">
      <w:start w:val="1"/>
      <w:numFmt w:val="lowerLetter"/>
      <w:lvlText w:val="%2."/>
      <w:lvlJc w:val="left"/>
      <w:pPr>
        <w:ind w:left="1440" w:hanging="360"/>
      </w:pPr>
    </w:lvl>
    <w:lvl w:ilvl="2" w:tplc="5B8A470C">
      <w:start w:val="1"/>
      <w:numFmt w:val="lowerRoman"/>
      <w:lvlText w:val="%3."/>
      <w:lvlJc w:val="right"/>
      <w:pPr>
        <w:ind w:left="2160" w:hanging="180"/>
      </w:pPr>
    </w:lvl>
    <w:lvl w:ilvl="3" w:tplc="E5D23C60">
      <w:start w:val="1"/>
      <w:numFmt w:val="decimal"/>
      <w:lvlText w:val="%4."/>
      <w:lvlJc w:val="left"/>
      <w:pPr>
        <w:ind w:left="2880" w:hanging="360"/>
      </w:pPr>
    </w:lvl>
    <w:lvl w:ilvl="4" w:tplc="945C19E0">
      <w:start w:val="1"/>
      <w:numFmt w:val="lowerLetter"/>
      <w:lvlText w:val="%5."/>
      <w:lvlJc w:val="left"/>
      <w:pPr>
        <w:ind w:left="3600" w:hanging="360"/>
      </w:pPr>
    </w:lvl>
    <w:lvl w:ilvl="5" w:tplc="29DC3ED0">
      <w:start w:val="1"/>
      <w:numFmt w:val="lowerRoman"/>
      <w:lvlText w:val="%6."/>
      <w:lvlJc w:val="right"/>
      <w:pPr>
        <w:ind w:left="4320" w:hanging="180"/>
      </w:pPr>
    </w:lvl>
    <w:lvl w:ilvl="6" w:tplc="2C424EEC">
      <w:start w:val="1"/>
      <w:numFmt w:val="decimal"/>
      <w:lvlText w:val="%7."/>
      <w:lvlJc w:val="left"/>
      <w:pPr>
        <w:ind w:left="5040" w:hanging="360"/>
      </w:pPr>
    </w:lvl>
    <w:lvl w:ilvl="7" w:tplc="3DDA5776">
      <w:start w:val="1"/>
      <w:numFmt w:val="lowerLetter"/>
      <w:lvlText w:val="%8."/>
      <w:lvlJc w:val="left"/>
      <w:pPr>
        <w:ind w:left="5760" w:hanging="360"/>
      </w:pPr>
    </w:lvl>
    <w:lvl w:ilvl="8" w:tplc="E1A62A74">
      <w:start w:val="1"/>
      <w:numFmt w:val="lowerRoman"/>
      <w:lvlText w:val="%9."/>
      <w:lvlJc w:val="right"/>
      <w:pPr>
        <w:ind w:left="6480" w:hanging="180"/>
      </w:pPr>
    </w:lvl>
  </w:abstractNum>
  <w:abstractNum w:abstractNumId="11" w15:restartNumberingAfterBreak="0">
    <w:nsid w:val="325A5C58"/>
    <w:multiLevelType w:val="hybridMultilevel"/>
    <w:tmpl w:val="E8FA6B7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D589E"/>
    <w:multiLevelType w:val="hybridMultilevel"/>
    <w:tmpl w:val="53B26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C3AFA"/>
    <w:multiLevelType w:val="hybridMultilevel"/>
    <w:tmpl w:val="985A28D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B18A657"/>
    <w:multiLevelType w:val="hybridMultilevel"/>
    <w:tmpl w:val="43F0DEFE"/>
    <w:lvl w:ilvl="0" w:tplc="644E692E">
      <w:start w:val="3"/>
      <w:numFmt w:val="decimal"/>
      <w:lvlText w:val="%1."/>
      <w:lvlJc w:val="left"/>
      <w:pPr>
        <w:ind w:left="720" w:hanging="360"/>
      </w:pPr>
    </w:lvl>
    <w:lvl w:ilvl="1" w:tplc="875EC096">
      <w:start w:val="1"/>
      <w:numFmt w:val="lowerLetter"/>
      <w:lvlText w:val="%2."/>
      <w:lvlJc w:val="left"/>
      <w:pPr>
        <w:ind w:left="1440" w:hanging="360"/>
      </w:pPr>
    </w:lvl>
    <w:lvl w:ilvl="2" w:tplc="E1E814E4">
      <w:start w:val="1"/>
      <w:numFmt w:val="lowerRoman"/>
      <w:lvlText w:val="%3."/>
      <w:lvlJc w:val="right"/>
      <w:pPr>
        <w:ind w:left="2160" w:hanging="180"/>
      </w:pPr>
    </w:lvl>
    <w:lvl w:ilvl="3" w:tplc="F556A984">
      <w:start w:val="1"/>
      <w:numFmt w:val="decimal"/>
      <w:lvlText w:val="%4."/>
      <w:lvlJc w:val="left"/>
      <w:pPr>
        <w:ind w:left="2880" w:hanging="360"/>
      </w:pPr>
    </w:lvl>
    <w:lvl w:ilvl="4" w:tplc="D228D6C4">
      <w:start w:val="1"/>
      <w:numFmt w:val="lowerLetter"/>
      <w:lvlText w:val="%5."/>
      <w:lvlJc w:val="left"/>
      <w:pPr>
        <w:ind w:left="3600" w:hanging="360"/>
      </w:pPr>
    </w:lvl>
    <w:lvl w:ilvl="5" w:tplc="D99CF30C">
      <w:start w:val="1"/>
      <w:numFmt w:val="lowerRoman"/>
      <w:lvlText w:val="%6."/>
      <w:lvlJc w:val="right"/>
      <w:pPr>
        <w:ind w:left="4320" w:hanging="180"/>
      </w:pPr>
    </w:lvl>
    <w:lvl w:ilvl="6" w:tplc="A82A05EE">
      <w:start w:val="1"/>
      <w:numFmt w:val="decimal"/>
      <w:lvlText w:val="%7."/>
      <w:lvlJc w:val="left"/>
      <w:pPr>
        <w:ind w:left="5040" w:hanging="360"/>
      </w:pPr>
    </w:lvl>
    <w:lvl w:ilvl="7" w:tplc="DB6A1502">
      <w:start w:val="1"/>
      <w:numFmt w:val="lowerLetter"/>
      <w:lvlText w:val="%8."/>
      <w:lvlJc w:val="left"/>
      <w:pPr>
        <w:ind w:left="5760" w:hanging="360"/>
      </w:pPr>
    </w:lvl>
    <w:lvl w:ilvl="8" w:tplc="4036B060">
      <w:start w:val="1"/>
      <w:numFmt w:val="lowerRoman"/>
      <w:lvlText w:val="%9."/>
      <w:lvlJc w:val="right"/>
      <w:pPr>
        <w:ind w:left="6480" w:hanging="180"/>
      </w:pPr>
    </w:lvl>
  </w:abstractNum>
  <w:abstractNum w:abstractNumId="15" w15:restartNumberingAfterBreak="0">
    <w:nsid w:val="3B556439"/>
    <w:multiLevelType w:val="hybridMultilevel"/>
    <w:tmpl w:val="53DEC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095746"/>
    <w:multiLevelType w:val="hybridMultilevel"/>
    <w:tmpl w:val="28BC0FC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4FF0110"/>
    <w:multiLevelType w:val="hybridMultilevel"/>
    <w:tmpl w:val="DBA873F8"/>
    <w:lvl w:ilvl="0" w:tplc="FFFFFFFF">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8" w15:restartNumberingAfterBreak="0">
    <w:nsid w:val="57A48E48"/>
    <w:multiLevelType w:val="hybridMultilevel"/>
    <w:tmpl w:val="983CC664"/>
    <w:lvl w:ilvl="0" w:tplc="5F36006C">
      <w:start w:val="2"/>
      <w:numFmt w:val="decimal"/>
      <w:lvlText w:val="%1."/>
      <w:lvlJc w:val="left"/>
      <w:pPr>
        <w:ind w:left="720" w:hanging="360"/>
      </w:pPr>
    </w:lvl>
    <w:lvl w:ilvl="1" w:tplc="74042B92">
      <w:start w:val="1"/>
      <w:numFmt w:val="lowerLetter"/>
      <w:lvlText w:val="%2."/>
      <w:lvlJc w:val="left"/>
      <w:pPr>
        <w:ind w:left="1440" w:hanging="360"/>
      </w:pPr>
    </w:lvl>
    <w:lvl w:ilvl="2" w:tplc="EC6A2FA6">
      <w:start w:val="1"/>
      <w:numFmt w:val="lowerRoman"/>
      <w:lvlText w:val="%3."/>
      <w:lvlJc w:val="right"/>
      <w:pPr>
        <w:ind w:left="2160" w:hanging="180"/>
      </w:pPr>
    </w:lvl>
    <w:lvl w:ilvl="3" w:tplc="425E8B82">
      <w:start w:val="1"/>
      <w:numFmt w:val="decimal"/>
      <w:lvlText w:val="%4."/>
      <w:lvlJc w:val="left"/>
      <w:pPr>
        <w:ind w:left="2880" w:hanging="360"/>
      </w:pPr>
    </w:lvl>
    <w:lvl w:ilvl="4" w:tplc="A362527E">
      <w:start w:val="1"/>
      <w:numFmt w:val="lowerLetter"/>
      <w:lvlText w:val="%5."/>
      <w:lvlJc w:val="left"/>
      <w:pPr>
        <w:ind w:left="3600" w:hanging="360"/>
      </w:pPr>
    </w:lvl>
    <w:lvl w:ilvl="5" w:tplc="02142BA4">
      <w:start w:val="1"/>
      <w:numFmt w:val="lowerRoman"/>
      <w:lvlText w:val="%6."/>
      <w:lvlJc w:val="right"/>
      <w:pPr>
        <w:ind w:left="4320" w:hanging="180"/>
      </w:pPr>
    </w:lvl>
    <w:lvl w:ilvl="6" w:tplc="78586438">
      <w:start w:val="1"/>
      <w:numFmt w:val="decimal"/>
      <w:lvlText w:val="%7."/>
      <w:lvlJc w:val="left"/>
      <w:pPr>
        <w:ind w:left="5040" w:hanging="360"/>
      </w:pPr>
    </w:lvl>
    <w:lvl w:ilvl="7" w:tplc="3A56615E">
      <w:start w:val="1"/>
      <w:numFmt w:val="lowerLetter"/>
      <w:lvlText w:val="%8."/>
      <w:lvlJc w:val="left"/>
      <w:pPr>
        <w:ind w:left="5760" w:hanging="360"/>
      </w:pPr>
    </w:lvl>
    <w:lvl w:ilvl="8" w:tplc="BF42C15E">
      <w:start w:val="1"/>
      <w:numFmt w:val="lowerRoman"/>
      <w:lvlText w:val="%9."/>
      <w:lvlJc w:val="right"/>
      <w:pPr>
        <w:ind w:left="6480" w:hanging="180"/>
      </w:pPr>
    </w:lvl>
  </w:abstractNum>
  <w:abstractNum w:abstractNumId="19"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93FC5F4"/>
    <w:multiLevelType w:val="hybridMultilevel"/>
    <w:tmpl w:val="E08046B4"/>
    <w:lvl w:ilvl="0" w:tplc="F738D962">
      <w:start w:val="7"/>
      <w:numFmt w:val="decimal"/>
      <w:lvlText w:val="%1."/>
      <w:lvlJc w:val="left"/>
      <w:pPr>
        <w:ind w:left="720" w:hanging="360"/>
      </w:pPr>
    </w:lvl>
    <w:lvl w:ilvl="1" w:tplc="34923F44">
      <w:start w:val="1"/>
      <w:numFmt w:val="lowerLetter"/>
      <w:lvlText w:val="%2."/>
      <w:lvlJc w:val="left"/>
      <w:pPr>
        <w:ind w:left="1440" w:hanging="360"/>
      </w:pPr>
    </w:lvl>
    <w:lvl w:ilvl="2" w:tplc="859E619E">
      <w:start w:val="1"/>
      <w:numFmt w:val="lowerRoman"/>
      <w:lvlText w:val="%3."/>
      <w:lvlJc w:val="right"/>
      <w:pPr>
        <w:ind w:left="2160" w:hanging="180"/>
      </w:pPr>
    </w:lvl>
    <w:lvl w:ilvl="3" w:tplc="6D6C4BC6">
      <w:start w:val="1"/>
      <w:numFmt w:val="decimal"/>
      <w:lvlText w:val="%4."/>
      <w:lvlJc w:val="left"/>
      <w:pPr>
        <w:ind w:left="2880" w:hanging="360"/>
      </w:pPr>
    </w:lvl>
    <w:lvl w:ilvl="4" w:tplc="751AF53A">
      <w:start w:val="1"/>
      <w:numFmt w:val="lowerLetter"/>
      <w:lvlText w:val="%5."/>
      <w:lvlJc w:val="left"/>
      <w:pPr>
        <w:ind w:left="3600" w:hanging="360"/>
      </w:pPr>
    </w:lvl>
    <w:lvl w:ilvl="5" w:tplc="4C76C0F0">
      <w:start w:val="1"/>
      <w:numFmt w:val="lowerRoman"/>
      <w:lvlText w:val="%6."/>
      <w:lvlJc w:val="right"/>
      <w:pPr>
        <w:ind w:left="4320" w:hanging="180"/>
      </w:pPr>
    </w:lvl>
    <w:lvl w:ilvl="6" w:tplc="5C4AEC16">
      <w:start w:val="1"/>
      <w:numFmt w:val="decimal"/>
      <w:lvlText w:val="%7."/>
      <w:lvlJc w:val="left"/>
      <w:pPr>
        <w:ind w:left="5040" w:hanging="360"/>
      </w:pPr>
    </w:lvl>
    <w:lvl w:ilvl="7" w:tplc="96129860">
      <w:start w:val="1"/>
      <w:numFmt w:val="lowerLetter"/>
      <w:lvlText w:val="%8."/>
      <w:lvlJc w:val="left"/>
      <w:pPr>
        <w:ind w:left="5760" w:hanging="360"/>
      </w:pPr>
    </w:lvl>
    <w:lvl w:ilvl="8" w:tplc="3F1EE0CC">
      <w:start w:val="1"/>
      <w:numFmt w:val="lowerRoman"/>
      <w:lvlText w:val="%9."/>
      <w:lvlJc w:val="right"/>
      <w:pPr>
        <w:ind w:left="6480" w:hanging="180"/>
      </w:pPr>
    </w:lvl>
  </w:abstractNum>
  <w:abstractNum w:abstractNumId="22" w15:restartNumberingAfterBreak="0">
    <w:nsid w:val="6C0F7107"/>
    <w:multiLevelType w:val="hybridMultilevel"/>
    <w:tmpl w:val="C6007E06"/>
    <w:lvl w:ilvl="0" w:tplc="4A16A31E">
      <w:start w:val="1"/>
      <w:numFmt w:val="bullet"/>
      <w:lvlText w:val="·"/>
      <w:lvlJc w:val="left"/>
      <w:pPr>
        <w:ind w:left="720" w:hanging="360"/>
      </w:pPr>
      <w:rPr>
        <w:rFonts w:ascii="Symbol" w:hAnsi="Symbol" w:hint="default"/>
      </w:rPr>
    </w:lvl>
    <w:lvl w:ilvl="1" w:tplc="4D74A982">
      <w:start w:val="1"/>
      <w:numFmt w:val="bullet"/>
      <w:lvlText w:val="o"/>
      <w:lvlJc w:val="left"/>
      <w:pPr>
        <w:ind w:left="1440" w:hanging="360"/>
      </w:pPr>
      <w:rPr>
        <w:rFonts w:ascii="Courier New" w:hAnsi="Courier New" w:hint="default"/>
      </w:rPr>
    </w:lvl>
    <w:lvl w:ilvl="2" w:tplc="6CBCE964">
      <w:start w:val="1"/>
      <w:numFmt w:val="bullet"/>
      <w:lvlText w:val=""/>
      <w:lvlJc w:val="left"/>
      <w:pPr>
        <w:ind w:left="2160" w:hanging="360"/>
      </w:pPr>
      <w:rPr>
        <w:rFonts w:ascii="Wingdings" w:hAnsi="Wingdings" w:hint="default"/>
      </w:rPr>
    </w:lvl>
    <w:lvl w:ilvl="3" w:tplc="3A9839BE">
      <w:start w:val="1"/>
      <w:numFmt w:val="bullet"/>
      <w:lvlText w:val=""/>
      <w:lvlJc w:val="left"/>
      <w:pPr>
        <w:ind w:left="2880" w:hanging="360"/>
      </w:pPr>
      <w:rPr>
        <w:rFonts w:ascii="Symbol" w:hAnsi="Symbol" w:hint="default"/>
      </w:rPr>
    </w:lvl>
    <w:lvl w:ilvl="4" w:tplc="C22455E0">
      <w:start w:val="1"/>
      <w:numFmt w:val="bullet"/>
      <w:lvlText w:val="o"/>
      <w:lvlJc w:val="left"/>
      <w:pPr>
        <w:ind w:left="3600" w:hanging="360"/>
      </w:pPr>
      <w:rPr>
        <w:rFonts w:ascii="Courier New" w:hAnsi="Courier New" w:hint="default"/>
      </w:rPr>
    </w:lvl>
    <w:lvl w:ilvl="5" w:tplc="DAB4E8F2">
      <w:start w:val="1"/>
      <w:numFmt w:val="bullet"/>
      <w:lvlText w:val=""/>
      <w:lvlJc w:val="left"/>
      <w:pPr>
        <w:ind w:left="4320" w:hanging="360"/>
      </w:pPr>
      <w:rPr>
        <w:rFonts w:ascii="Wingdings" w:hAnsi="Wingdings" w:hint="default"/>
      </w:rPr>
    </w:lvl>
    <w:lvl w:ilvl="6" w:tplc="10061698">
      <w:start w:val="1"/>
      <w:numFmt w:val="bullet"/>
      <w:lvlText w:val=""/>
      <w:lvlJc w:val="left"/>
      <w:pPr>
        <w:ind w:left="5040" w:hanging="360"/>
      </w:pPr>
      <w:rPr>
        <w:rFonts w:ascii="Symbol" w:hAnsi="Symbol" w:hint="default"/>
      </w:rPr>
    </w:lvl>
    <w:lvl w:ilvl="7" w:tplc="02D87150">
      <w:start w:val="1"/>
      <w:numFmt w:val="bullet"/>
      <w:lvlText w:val="o"/>
      <w:lvlJc w:val="left"/>
      <w:pPr>
        <w:ind w:left="5760" w:hanging="360"/>
      </w:pPr>
      <w:rPr>
        <w:rFonts w:ascii="Courier New" w:hAnsi="Courier New" w:hint="default"/>
      </w:rPr>
    </w:lvl>
    <w:lvl w:ilvl="8" w:tplc="A5A2E716">
      <w:start w:val="1"/>
      <w:numFmt w:val="bullet"/>
      <w:lvlText w:val=""/>
      <w:lvlJc w:val="left"/>
      <w:pPr>
        <w:ind w:left="6480" w:hanging="360"/>
      </w:pPr>
      <w:rPr>
        <w:rFonts w:ascii="Wingdings" w:hAnsi="Wingdings" w:hint="default"/>
      </w:rPr>
    </w:lvl>
  </w:abstractNum>
  <w:abstractNum w:abstractNumId="23" w15:restartNumberingAfterBreak="0">
    <w:nsid w:val="724A40C0"/>
    <w:multiLevelType w:val="hybridMultilevel"/>
    <w:tmpl w:val="E186897C"/>
    <w:lvl w:ilvl="0" w:tplc="1B7227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1CD66F"/>
    <w:multiLevelType w:val="hybridMultilevel"/>
    <w:tmpl w:val="59FEDFA8"/>
    <w:lvl w:ilvl="0" w:tplc="F2788F4A">
      <w:start w:val="1"/>
      <w:numFmt w:val="bullet"/>
      <w:lvlText w:val="·"/>
      <w:lvlJc w:val="left"/>
      <w:pPr>
        <w:ind w:left="720" w:hanging="360"/>
      </w:pPr>
      <w:rPr>
        <w:rFonts w:ascii="Symbol" w:hAnsi="Symbol" w:hint="default"/>
      </w:rPr>
    </w:lvl>
    <w:lvl w:ilvl="1" w:tplc="7FEE6AF8">
      <w:start w:val="1"/>
      <w:numFmt w:val="bullet"/>
      <w:lvlText w:val="o"/>
      <w:lvlJc w:val="left"/>
      <w:pPr>
        <w:ind w:left="1440" w:hanging="360"/>
      </w:pPr>
      <w:rPr>
        <w:rFonts w:ascii="Courier New" w:hAnsi="Courier New" w:hint="default"/>
      </w:rPr>
    </w:lvl>
    <w:lvl w:ilvl="2" w:tplc="09B4A09A">
      <w:start w:val="1"/>
      <w:numFmt w:val="bullet"/>
      <w:lvlText w:val=""/>
      <w:lvlJc w:val="left"/>
      <w:pPr>
        <w:ind w:left="2160" w:hanging="360"/>
      </w:pPr>
      <w:rPr>
        <w:rFonts w:ascii="Wingdings" w:hAnsi="Wingdings" w:hint="default"/>
      </w:rPr>
    </w:lvl>
    <w:lvl w:ilvl="3" w:tplc="DE0E3AE4">
      <w:start w:val="1"/>
      <w:numFmt w:val="bullet"/>
      <w:lvlText w:val=""/>
      <w:lvlJc w:val="left"/>
      <w:pPr>
        <w:ind w:left="2880" w:hanging="360"/>
      </w:pPr>
      <w:rPr>
        <w:rFonts w:ascii="Symbol" w:hAnsi="Symbol" w:hint="default"/>
      </w:rPr>
    </w:lvl>
    <w:lvl w:ilvl="4" w:tplc="ABB8650A">
      <w:start w:val="1"/>
      <w:numFmt w:val="bullet"/>
      <w:lvlText w:val="o"/>
      <w:lvlJc w:val="left"/>
      <w:pPr>
        <w:ind w:left="3600" w:hanging="360"/>
      </w:pPr>
      <w:rPr>
        <w:rFonts w:ascii="Courier New" w:hAnsi="Courier New" w:hint="default"/>
      </w:rPr>
    </w:lvl>
    <w:lvl w:ilvl="5" w:tplc="B66CE7B0">
      <w:start w:val="1"/>
      <w:numFmt w:val="bullet"/>
      <w:lvlText w:val=""/>
      <w:lvlJc w:val="left"/>
      <w:pPr>
        <w:ind w:left="4320" w:hanging="360"/>
      </w:pPr>
      <w:rPr>
        <w:rFonts w:ascii="Wingdings" w:hAnsi="Wingdings" w:hint="default"/>
      </w:rPr>
    </w:lvl>
    <w:lvl w:ilvl="6" w:tplc="F08259CE">
      <w:start w:val="1"/>
      <w:numFmt w:val="bullet"/>
      <w:lvlText w:val=""/>
      <w:lvlJc w:val="left"/>
      <w:pPr>
        <w:ind w:left="5040" w:hanging="360"/>
      </w:pPr>
      <w:rPr>
        <w:rFonts w:ascii="Symbol" w:hAnsi="Symbol" w:hint="default"/>
      </w:rPr>
    </w:lvl>
    <w:lvl w:ilvl="7" w:tplc="88C2F17A">
      <w:start w:val="1"/>
      <w:numFmt w:val="bullet"/>
      <w:lvlText w:val="o"/>
      <w:lvlJc w:val="left"/>
      <w:pPr>
        <w:ind w:left="5760" w:hanging="360"/>
      </w:pPr>
      <w:rPr>
        <w:rFonts w:ascii="Courier New" w:hAnsi="Courier New" w:hint="default"/>
      </w:rPr>
    </w:lvl>
    <w:lvl w:ilvl="8" w:tplc="5FEAF000">
      <w:start w:val="1"/>
      <w:numFmt w:val="bullet"/>
      <w:lvlText w:val=""/>
      <w:lvlJc w:val="left"/>
      <w:pPr>
        <w:ind w:left="6480" w:hanging="360"/>
      </w:pPr>
      <w:rPr>
        <w:rFonts w:ascii="Wingdings" w:hAnsi="Wingdings" w:hint="default"/>
      </w:rPr>
    </w:lvl>
  </w:abstractNum>
  <w:abstractNum w:abstractNumId="25" w15:restartNumberingAfterBreak="0">
    <w:nsid w:val="77F5220E"/>
    <w:multiLevelType w:val="hybridMultilevel"/>
    <w:tmpl w:val="BE044E8E"/>
    <w:lvl w:ilvl="0" w:tplc="00120740">
      <w:start w:val="1"/>
      <w:numFmt w:val="bullet"/>
      <w:lvlText w:val="·"/>
      <w:lvlJc w:val="left"/>
      <w:pPr>
        <w:ind w:left="720" w:hanging="360"/>
      </w:pPr>
      <w:rPr>
        <w:rFonts w:ascii="Symbol" w:hAnsi="Symbol" w:hint="default"/>
      </w:rPr>
    </w:lvl>
    <w:lvl w:ilvl="1" w:tplc="6562C644">
      <w:start w:val="1"/>
      <w:numFmt w:val="bullet"/>
      <w:lvlText w:val="o"/>
      <w:lvlJc w:val="left"/>
      <w:pPr>
        <w:ind w:left="1440" w:hanging="360"/>
      </w:pPr>
      <w:rPr>
        <w:rFonts w:ascii="Courier New" w:hAnsi="Courier New" w:hint="default"/>
      </w:rPr>
    </w:lvl>
    <w:lvl w:ilvl="2" w:tplc="A25C4ADC">
      <w:start w:val="1"/>
      <w:numFmt w:val="bullet"/>
      <w:lvlText w:val=""/>
      <w:lvlJc w:val="left"/>
      <w:pPr>
        <w:ind w:left="2160" w:hanging="360"/>
      </w:pPr>
      <w:rPr>
        <w:rFonts w:ascii="Wingdings" w:hAnsi="Wingdings" w:hint="default"/>
      </w:rPr>
    </w:lvl>
    <w:lvl w:ilvl="3" w:tplc="3EA6D02E">
      <w:start w:val="1"/>
      <w:numFmt w:val="bullet"/>
      <w:lvlText w:val=""/>
      <w:lvlJc w:val="left"/>
      <w:pPr>
        <w:ind w:left="2880" w:hanging="360"/>
      </w:pPr>
      <w:rPr>
        <w:rFonts w:ascii="Symbol" w:hAnsi="Symbol" w:hint="default"/>
      </w:rPr>
    </w:lvl>
    <w:lvl w:ilvl="4" w:tplc="F44E0A10">
      <w:start w:val="1"/>
      <w:numFmt w:val="bullet"/>
      <w:lvlText w:val="o"/>
      <w:lvlJc w:val="left"/>
      <w:pPr>
        <w:ind w:left="3600" w:hanging="360"/>
      </w:pPr>
      <w:rPr>
        <w:rFonts w:ascii="Courier New" w:hAnsi="Courier New" w:hint="default"/>
      </w:rPr>
    </w:lvl>
    <w:lvl w:ilvl="5" w:tplc="553A09BA">
      <w:start w:val="1"/>
      <w:numFmt w:val="bullet"/>
      <w:lvlText w:val=""/>
      <w:lvlJc w:val="left"/>
      <w:pPr>
        <w:ind w:left="4320" w:hanging="360"/>
      </w:pPr>
      <w:rPr>
        <w:rFonts w:ascii="Wingdings" w:hAnsi="Wingdings" w:hint="default"/>
      </w:rPr>
    </w:lvl>
    <w:lvl w:ilvl="6" w:tplc="6F3EF604">
      <w:start w:val="1"/>
      <w:numFmt w:val="bullet"/>
      <w:lvlText w:val=""/>
      <w:lvlJc w:val="left"/>
      <w:pPr>
        <w:ind w:left="5040" w:hanging="360"/>
      </w:pPr>
      <w:rPr>
        <w:rFonts w:ascii="Symbol" w:hAnsi="Symbol" w:hint="default"/>
      </w:rPr>
    </w:lvl>
    <w:lvl w:ilvl="7" w:tplc="A3F696A2">
      <w:start w:val="1"/>
      <w:numFmt w:val="bullet"/>
      <w:lvlText w:val="o"/>
      <w:lvlJc w:val="left"/>
      <w:pPr>
        <w:ind w:left="5760" w:hanging="360"/>
      </w:pPr>
      <w:rPr>
        <w:rFonts w:ascii="Courier New" w:hAnsi="Courier New" w:hint="default"/>
      </w:rPr>
    </w:lvl>
    <w:lvl w:ilvl="8" w:tplc="31C85410">
      <w:start w:val="1"/>
      <w:numFmt w:val="bullet"/>
      <w:lvlText w:val=""/>
      <w:lvlJc w:val="left"/>
      <w:pPr>
        <w:ind w:left="6480" w:hanging="360"/>
      </w:pPr>
      <w:rPr>
        <w:rFonts w:ascii="Wingdings" w:hAnsi="Wingdings" w:hint="default"/>
      </w:rPr>
    </w:lvl>
  </w:abstractNum>
  <w:num w:numId="1" w16cid:durableId="1968506071">
    <w:abstractNumId w:val="24"/>
  </w:num>
  <w:num w:numId="2" w16cid:durableId="1833909734">
    <w:abstractNumId w:val="25"/>
  </w:num>
  <w:num w:numId="3" w16cid:durableId="1490755205">
    <w:abstractNumId w:val="22"/>
  </w:num>
  <w:num w:numId="4" w16cid:durableId="1434327285">
    <w:abstractNumId w:val="4"/>
  </w:num>
  <w:num w:numId="5" w16cid:durableId="1270702778">
    <w:abstractNumId w:val="21"/>
  </w:num>
  <w:num w:numId="6" w16cid:durableId="2015447848">
    <w:abstractNumId w:val="8"/>
  </w:num>
  <w:num w:numId="7" w16cid:durableId="997655767">
    <w:abstractNumId w:val="9"/>
  </w:num>
  <w:num w:numId="8" w16cid:durableId="68965968">
    <w:abstractNumId w:val="1"/>
  </w:num>
  <w:num w:numId="9" w16cid:durableId="165481642">
    <w:abstractNumId w:val="14"/>
  </w:num>
  <w:num w:numId="10" w16cid:durableId="1084259648">
    <w:abstractNumId w:val="18"/>
  </w:num>
  <w:num w:numId="11" w16cid:durableId="59791966">
    <w:abstractNumId w:val="10"/>
  </w:num>
  <w:num w:numId="12" w16cid:durableId="1987777873">
    <w:abstractNumId w:val="2"/>
  </w:num>
  <w:num w:numId="13" w16cid:durableId="1320622696">
    <w:abstractNumId w:val="19"/>
  </w:num>
  <w:num w:numId="14" w16cid:durableId="1046873056">
    <w:abstractNumId w:val="17"/>
  </w:num>
  <w:num w:numId="15" w16cid:durableId="1731921148">
    <w:abstractNumId w:val="6"/>
  </w:num>
  <w:num w:numId="16" w16cid:durableId="833952001">
    <w:abstractNumId w:val="20"/>
  </w:num>
  <w:num w:numId="17" w16cid:durableId="1474061936">
    <w:abstractNumId w:val="11"/>
  </w:num>
  <w:num w:numId="18" w16cid:durableId="256599464">
    <w:abstractNumId w:val="12"/>
  </w:num>
  <w:num w:numId="19" w16cid:durableId="375548289">
    <w:abstractNumId w:val="15"/>
  </w:num>
  <w:num w:numId="20" w16cid:durableId="1455949724">
    <w:abstractNumId w:val="23"/>
  </w:num>
  <w:num w:numId="21" w16cid:durableId="1293706989">
    <w:abstractNumId w:val="13"/>
  </w:num>
  <w:num w:numId="22" w16cid:durableId="158742395">
    <w:abstractNumId w:val="7"/>
  </w:num>
  <w:num w:numId="23" w16cid:durableId="1808741792">
    <w:abstractNumId w:val="0"/>
  </w:num>
  <w:num w:numId="24" w16cid:durableId="1312252851">
    <w:abstractNumId w:val="3"/>
  </w:num>
  <w:num w:numId="25" w16cid:durableId="1917011762">
    <w:abstractNumId w:val="16"/>
  </w:num>
  <w:num w:numId="26" w16cid:durableId="1426265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29E"/>
    <w:rsid w:val="0000052C"/>
    <w:rsid w:val="00000970"/>
    <w:rsid w:val="000014C9"/>
    <w:rsid w:val="00001AB9"/>
    <w:rsid w:val="000020E8"/>
    <w:rsid w:val="00002BB1"/>
    <w:rsid w:val="00003807"/>
    <w:rsid w:val="000073AA"/>
    <w:rsid w:val="00007516"/>
    <w:rsid w:val="000105F6"/>
    <w:rsid w:val="00010904"/>
    <w:rsid w:val="000121EB"/>
    <w:rsid w:val="00012433"/>
    <w:rsid w:val="00012EDB"/>
    <w:rsid w:val="000146DA"/>
    <w:rsid w:val="00015F76"/>
    <w:rsid w:val="00016040"/>
    <w:rsid w:val="00020405"/>
    <w:rsid w:val="00021083"/>
    <w:rsid w:val="000213AF"/>
    <w:rsid w:val="0002356E"/>
    <w:rsid w:val="00027DEF"/>
    <w:rsid w:val="00027F5C"/>
    <w:rsid w:val="0002D33C"/>
    <w:rsid w:val="0003076B"/>
    <w:rsid w:val="00030CF4"/>
    <w:rsid w:val="00030FDD"/>
    <w:rsid w:val="00031594"/>
    <w:rsid w:val="00032C0B"/>
    <w:rsid w:val="00032FF0"/>
    <w:rsid w:val="00033285"/>
    <w:rsid w:val="00033D65"/>
    <w:rsid w:val="00033E57"/>
    <w:rsid w:val="0003403D"/>
    <w:rsid w:val="0003569B"/>
    <w:rsid w:val="0003658D"/>
    <w:rsid w:val="0003683A"/>
    <w:rsid w:val="00036EF6"/>
    <w:rsid w:val="00040CF6"/>
    <w:rsid w:val="00042153"/>
    <w:rsid w:val="0004229A"/>
    <w:rsid w:val="0004314F"/>
    <w:rsid w:val="0004364D"/>
    <w:rsid w:val="000456F3"/>
    <w:rsid w:val="00045B00"/>
    <w:rsid w:val="00046562"/>
    <w:rsid w:val="00046842"/>
    <w:rsid w:val="00047DEB"/>
    <w:rsid w:val="000538E5"/>
    <w:rsid w:val="000540D2"/>
    <w:rsid w:val="0005452E"/>
    <w:rsid w:val="00054A13"/>
    <w:rsid w:val="00055166"/>
    <w:rsid w:val="00055272"/>
    <w:rsid w:val="000556C9"/>
    <w:rsid w:val="00055D26"/>
    <w:rsid w:val="0005696C"/>
    <w:rsid w:val="00056D0B"/>
    <w:rsid w:val="000570AB"/>
    <w:rsid w:val="0005754A"/>
    <w:rsid w:val="000577DE"/>
    <w:rsid w:val="00057A11"/>
    <w:rsid w:val="00057D62"/>
    <w:rsid w:val="000618A8"/>
    <w:rsid w:val="00061FC8"/>
    <w:rsid w:val="00063640"/>
    <w:rsid w:val="0006439C"/>
    <w:rsid w:val="0006452E"/>
    <w:rsid w:val="00064A20"/>
    <w:rsid w:val="00064F4E"/>
    <w:rsid w:val="00065DDF"/>
    <w:rsid w:val="00067770"/>
    <w:rsid w:val="00067F97"/>
    <w:rsid w:val="00070FD4"/>
    <w:rsid w:val="00072CCC"/>
    <w:rsid w:val="00072FD0"/>
    <w:rsid w:val="000737F8"/>
    <w:rsid w:val="00074DD3"/>
    <w:rsid w:val="00075195"/>
    <w:rsid w:val="00076C5C"/>
    <w:rsid w:val="0008095F"/>
    <w:rsid w:val="00080C22"/>
    <w:rsid w:val="00080D91"/>
    <w:rsid w:val="00080E46"/>
    <w:rsid w:val="00081048"/>
    <w:rsid w:val="00081118"/>
    <w:rsid w:val="000819E0"/>
    <w:rsid w:val="00081B75"/>
    <w:rsid w:val="00082117"/>
    <w:rsid w:val="00082A49"/>
    <w:rsid w:val="00083B53"/>
    <w:rsid w:val="00083F40"/>
    <w:rsid w:val="000852A7"/>
    <w:rsid w:val="000856A0"/>
    <w:rsid w:val="0008770B"/>
    <w:rsid w:val="000905F0"/>
    <w:rsid w:val="000931B1"/>
    <w:rsid w:val="000934ED"/>
    <w:rsid w:val="0009398B"/>
    <w:rsid w:val="000939A4"/>
    <w:rsid w:val="000939E0"/>
    <w:rsid w:val="00093E1E"/>
    <w:rsid w:val="00094072"/>
    <w:rsid w:val="00094ABB"/>
    <w:rsid w:val="00094C43"/>
    <w:rsid w:val="00094D4A"/>
    <w:rsid w:val="00094E2F"/>
    <w:rsid w:val="00095C54"/>
    <w:rsid w:val="000962E4"/>
    <w:rsid w:val="00096E06"/>
    <w:rsid w:val="0009745D"/>
    <w:rsid w:val="0009751B"/>
    <w:rsid w:val="00097D3D"/>
    <w:rsid w:val="00097E0D"/>
    <w:rsid w:val="000A1D89"/>
    <w:rsid w:val="000A2AC9"/>
    <w:rsid w:val="000A3242"/>
    <w:rsid w:val="000A4237"/>
    <w:rsid w:val="000A4CEC"/>
    <w:rsid w:val="000A4E0C"/>
    <w:rsid w:val="000A5787"/>
    <w:rsid w:val="000A591A"/>
    <w:rsid w:val="000A5E0A"/>
    <w:rsid w:val="000A5EDA"/>
    <w:rsid w:val="000A627D"/>
    <w:rsid w:val="000A65B3"/>
    <w:rsid w:val="000A6FA1"/>
    <w:rsid w:val="000B08B4"/>
    <w:rsid w:val="000B100C"/>
    <w:rsid w:val="000B423A"/>
    <w:rsid w:val="000B547D"/>
    <w:rsid w:val="000B5621"/>
    <w:rsid w:val="000B5C1D"/>
    <w:rsid w:val="000B69A1"/>
    <w:rsid w:val="000B740B"/>
    <w:rsid w:val="000B7483"/>
    <w:rsid w:val="000B77FC"/>
    <w:rsid w:val="000B7F12"/>
    <w:rsid w:val="000C027A"/>
    <w:rsid w:val="000C104A"/>
    <w:rsid w:val="000C20C2"/>
    <w:rsid w:val="000C2538"/>
    <w:rsid w:val="000C2AFE"/>
    <w:rsid w:val="000C4E70"/>
    <w:rsid w:val="000C4FEC"/>
    <w:rsid w:val="000C506F"/>
    <w:rsid w:val="000C517E"/>
    <w:rsid w:val="000C5FB3"/>
    <w:rsid w:val="000C6916"/>
    <w:rsid w:val="000C6EBF"/>
    <w:rsid w:val="000C6EE5"/>
    <w:rsid w:val="000C792F"/>
    <w:rsid w:val="000C7CB0"/>
    <w:rsid w:val="000C7DE2"/>
    <w:rsid w:val="000D03FE"/>
    <w:rsid w:val="000D0731"/>
    <w:rsid w:val="000D1C3C"/>
    <w:rsid w:val="000D1C43"/>
    <w:rsid w:val="000D1D41"/>
    <w:rsid w:val="000D1FCF"/>
    <w:rsid w:val="000D2346"/>
    <w:rsid w:val="000D400B"/>
    <w:rsid w:val="000D440E"/>
    <w:rsid w:val="000D6313"/>
    <w:rsid w:val="000D638F"/>
    <w:rsid w:val="000D703F"/>
    <w:rsid w:val="000E1B21"/>
    <w:rsid w:val="000E27DA"/>
    <w:rsid w:val="000E2D09"/>
    <w:rsid w:val="000E2F9D"/>
    <w:rsid w:val="000E30B8"/>
    <w:rsid w:val="000E315B"/>
    <w:rsid w:val="000E348C"/>
    <w:rsid w:val="000E4130"/>
    <w:rsid w:val="000E4235"/>
    <w:rsid w:val="000E55CE"/>
    <w:rsid w:val="000E5F37"/>
    <w:rsid w:val="000E623D"/>
    <w:rsid w:val="000E66E5"/>
    <w:rsid w:val="000E6C1A"/>
    <w:rsid w:val="000E7C59"/>
    <w:rsid w:val="000F02B5"/>
    <w:rsid w:val="000F0544"/>
    <w:rsid w:val="000F13D7"/>
    <w:rsid w:val="000F1BA3"/>
    <w:rsid w:val="000F23BF"/>
    <w:rsid w:val="000F260E"/>
    <w:rsid w:val="000F266E"/>
    <w:rsid w:val="000F2DCB"/>
    <w:rsid w:val="000F2E37"/>
    <w:rsid w:val="000F2F4F"/>
    <w:rsid w:val="000F3F8C"/>
    <w:rsid w:val="000F4484"/>
    <w:rsid w:val="000F4899"/>
    <w:rsid w:val="000F4A7B"/>
    <w:rsid w:val="000F5545"/>
    <w:rsid w:val="000F563E"/>
    <w:rsid w:val="000F6443"/>
    <w:rsid w:val="000F6AF7"/>
    <w:rsid w:val="000F74C2"/>
    <w:rsid w:val="000F79AA"/>
    <w:rsid w:val="000F7C35"/>
    <w:rsid w:val="00100588"/>
    <w:rsid w:val="001006F2"/>
    <w:rsid w:val="00101509"/>
    <w:rsid w:val="001015C3"/>
    <w:rsid w:val="00101F81"/>
    <w:rsid w:val="00103F8B"/>
    <w:rsid w:val="001049FA"/>
    <w:rsid w:val="00104A47"/>
    <w:rsid w:val="001054D1"/>
    <w:rsid w:val="00105893"/>
    <w:rsid w:val="00105E53"/>
    <w:rsid w:val="0010760C"/>
    <w:rsid w:val="0010768E"/>
    <w:rsid w:val="001078DF"/>
    <w:rsid w:val="001100FA"/>
    <w:rsid w:val="001118D9"/>
    <w:rsid w:val="00113E94"/>
    <w:rsid w:val="00114104"/>
    <w:rsid w:val="00114902"/>
    <w:rsid w:val="001149BC"/>
    <w:rsid w:val="00114EA8"/>
    <w:rsid w:val="0011523C"/>
    <w:rsid w:val="001158B0"/>
    <w:rsid w:val="00116104"/>
    <w:rsid w:val="00117FE1"/>
    <w:rsid w:val="001202F9"/>
    <w:rsid w:val="0012060B"/>
    <w:rsid w:val="00120F8A"/>
    <w:rsid w:val="00121EE6"/>
    <w:rsid w:val="0012215F"/>
    <w:rsid w:val="00123619"/>
    <w:rsid w:val="00123AF6"/>
    <w:rsid w:val="0012474A"/>
    <w:rsid w:val="001249CB"/>
    <w:rsid w:val="00125D37"/>
    <w:rsid w:val="0013003A"/>
    <w:rsid w:val="001303F7"/>
    <w:rsid w:val="00130C3A"/>
    <w:rsid w:val="00130F08"/>
    <w:rsid w:val="001319EE"/>
    <w:rsid w:val="00133AAB"/>
    <w:rsid w:val="00133BE3"/>
    <w:rsid w:val="00133CBC"/>
    <w:rsid w:val="001349A6"/>
    <w:rsid w:val="00134BFC"/>
    <w:rsid w:val="0013605C"/>
    <w:rsid w:val="001364A4"/>
    <w:rsid w:val="00136815"/>
    <w:rsid w:val="00136CB6"/>
    <w:rsid w:val="001403FF"/>
    <w:rsid w:val="001408BB"/>
    <w:rsid w:val="00140AAA"/>
    <w:rsid w:val="00140FA8"/>
    <w:rsid w:val="00141EAC"/>
    <w:rsid w:val="0014262E"/>
    <w:rsid w:val="0014318F"/>
    <w:rsid w:val="00143391"/>
    <w:rsid w:val="001433E9"/>
    <w:rsid w:val="001448CD"/>
    <w:rsid w:val="00144BCD"/>
    <w:rsid w:val="00144F8C"/>
    <w:rsid w:val="001456E4"/>
    <w:rsid w:val="0014698B"/>
    <w:rsid w:val="00146F42"/>
    <w:rsid w:val="00147699"/>
    <w:rsid w:val="00150D4C"/>
    <w:rsid w:val="00151448"/>
    <w:rsid w:val="00151502"/>
    <w:rsid w:val="001516A8"/>
    <w:rsid w:val="0015425B"/>
    <w:rsid w:val="00154ADB"/>
    <w:rsid w:val="00154EEF"/>
    <w:rsid w:val="0015508C"/>
    <w:rsid w:val="001559A4"/>
    <w:rsid w:val="0015610B"/>
    <w:rsid w:val="001577C3"/>
    <w:rsid w:val="00161453"/>
    <w:rsid w:val="00161727"/>
    <w:rsid w:val="00162C6A"/>
    <w:rsid w:val="0016315C"/>
    <w:rsid w:val="00164494"/>
    <w:rsid w:val="0016527C"/>
    <w:rsid w:val="00165375"/>
    <w:rsid w:val="001659A9"/>
    <w:rsid w:val="00165B22"/>
    <w:rsid w:val="00165D3C"/>
    <w:rsid w:val="00165D6A"/>
    <w:rsid w:val="00166717"/>
    <w:rsid w:val="00166E8B"/>
    <w:rsid w:val="00167A5C"/>
    <w:rsid w:val="0017080E"/>
    <w:rsid w:val="00170F55"/>
    <w:rsid w:val="0017263A"/>
    <w:rsid w:val="00172B4A"/>
    <w:rsid w:val="00173763"/>
    <w:rsid w:val="00173850"/>
    <w:rsid w:val="00174FD4"/>
    <w:rsid w:val="00175F45"/>
    <w:rsid w:val="001767C6"/>
    <w:rsid w:val="00176949"/>
    <w:rsid w:val="00176EBD"/>
    <w:rsid w:val="00177BEC"/>
    <w:rsid w:val="00182AC4"/>
    <w:rsid w:val="00183265"/>
    <w:rsid w:val="0018352C"/>
    <w:rsid w:val="00183C60"/>
    <w:rsid w:val="0018420E"/>
    <w:rsid w:val="001849EE"/>
    <w:rsid w:val="001850E2"/>
    <w:rsid w:val="001862D2"/>
    <w:rsid w:val="00187960"/>
    <w:rsid w:val="001906DA"/>
    <w:rsid w:val="00191225"/>
    <w:rsid w:val="0019160D"/>
    <w:rsid w:val="0019268D"/>
    <w:rsid w:val="00192B5E"/>
    <w:rsid w:val="0019385A"/>
    <w:rsid w:val="00193A7F"/>
    <w:rsid w:val="00193F5A"/>
    <w:rsid w:val="0019499C"/>
    <w:rsid w:val="00194C6F"/>
    <w:rsid w:val="00194DB8"/>
    <w:rsid w:val="001966FC"/>
    <w:rsid w:val="00196705"/>
    <w:rsid w:val="0019678B"/>
    <w:rsid w:val="0019697E"/>
    <w:rsid w:val="00196DB5"/>
    <w:rsid w:val="0019751A"/>
    <w:rsid w:val="001A0679"/>
    <w:rsid w:val="001A1227"/>
    <w:rsid w:val="001A13D3"/>
    <w:rsid w:val="001A16AE"/>
    <w:rsid w:val="001A16D1"/>
    <w:rsid w:val="001A17D0"/>
    <w:rsid w:val="001A3093"/>
    <w:rsid w:val="001A4A0A"/>
    <w:rsid w:val="001A5D2F"/>
    <w:rsid w:val="001A6231"/>
    <w:rsid w:val="001A7B0F"/>
    <w:rsid w:val="001A7C74"/>
    <w:rsid w:val="001B20B6"/>
    <w:rsid w:val="001B2971"/>
    <w:rsid w:val="001B2CD1"/>
    <w:rsid w:val="001B30D6"/>
    <w:rsid w:val="001B365C"/>
    <w:rsid w:val="001B3FC9"/>
    <w:rsid w:val="001B42C7"/>
    <w:rsid w:val="001B4333"/>
    <w:rsid w:val="001B43B4"/>
    <w:rsid w:val="001B490C"/>
    <w:rsid w:val="001B491F"/>
    <w:rsid w:val="001B5544"/>
    <w:rsid w:val="001B6323"/>
    <w:rsid w:val="001B667E"/>
    <w:rsid w:val="001B6E9C"/>
    <w:rsid w:val="001B7114"/>
    <w:rsid w:val="001B7746"/>
    <w:rsid w:val="001B7F41"/>
    <w:rsid w:val="001C03FD"/>
    <w:rsid w:val="001C0771"/>
    <w:rsid w:val="001C08F6"/>
    <w:rsid w:val="001C1657"/>
    <w:rsid w:val="001C1B8A"/>
    <w:rsid w:val="001C393B"/>
    <w:rsid w:val="001C3A44"/>
    <w:rsid w:val="001C4937"/>
    <w:rsid w:val="001C5B34"/>
    <w:rsid w:val="001C61CB"/>
    <w:rsid w:val="001C7034"/>
    <w:rsid w:val="001C7133"/>
    <w:rsid w:val="001C79A8"/>
    <w:rsid w:val="001C7EEB"/>
    <w:rsid w:val="001D01F9"/>
    <w:rsid w:val="001D0502"/>
    <w:rsid w:val="001D05D6"/>
    <w:rsid w:val="001D05DE"/>
    <w:rsid w:val="001D1682"/>
    <w:rsid w:val="001D16F6"/>
    <w:rsid w:val="001D247E"/>
    <w:rsid w:val="001D26BD"/>
    <w:rsid w:val="001D2CB5"/>
    <w:rsid w:val="001D2D88"/>
    <w:rsid w:val="001D49C0"/>
    <w:rsid w:val="001D5AA8"/>
    <w:rsid w:val="001E1536"/>
    <w:rsid w:val="001E1B75"/>
    <w:rsid w:val="001E1BF7"/>
    <w:rsid w:val="001E2738"/>
    <w:rsid w:val="001E2C3A"/>
    <w:rsid w:val="001E41DD"/>
    <w:rsid w:val="001E4448"/>
    <w:rsid w:val="001E474D"/>
    <w:rsid w:val="001E4A97"/>
    <w:rsid w:val="001E4AD8"/>
    <w:rsid w:val="001E4EF2"/>
    <w:rsid w:val="001E5972"/>
    <w:rsid w:val="001E5AC1"/>
    <w:rsid w:val="001E5F9C"/>
    <w:rsid w:val="001E6703"/>
    <w:rsid w:val="001F1551"/>
    <w:rsid w:val="001F2145"/>
    <w:rsid w:val="001F2515"/>
    <w:rsid w:val="001F3B0A"/>
    <w:rsid w:val="001F3C5A"/>
    <w:rsid w:val="001F3EA5"/>
    <w:rsid w:val="001F423C"/>
    <w:rsid w:val="001F4B4F"/>
    <w:rsid w:val="001F54BD"/>
    <w:rsid w:val="001F5CBE"/>
    <w:rsid w:val="001F710F"/>
    <w:rsid w:val="00200144"/>
    <w:rsid w:val="00200A9B"/>
    <w:rsid w:val="00202B36"/>
    <w:rsid w:val="002042AD"/>
    <w:rsid w:val="00204E16"/>
    <w:rsid w:val="00206790"/>
    <w:rsid w:val="00207B7E"/>
    <w:rsid w:val="00207CC0"/>
    <w:rsid w:val="00207D9A"/>
    <w:rsid w:val="00210AF3"/>
    <w:rsid w:val="00210BA4"/>
    <w:rsid w:val="0021150C"/>
    <w:rsid w:val="002120F3"/>
    <w:rsid w:val="00212267"/>
    <w:rsid w:val="00215684"/>
    <w:rsid w:val="00216BE0"/>
    <w:rsid w:val="00216E88"/>
    <w:rsid w:val="00217CC2"/>
    <w:rsid w:val="0022011C"/>
    <w:rsid w:val="00220653"/>
    <w:rsid w:val="00220C61"/>
    <w:rsid w:val="002211BE"/>
    <w:rsid w:val="00221868"/>
    <w:rsid w:val="00222061"/>
    <w:rsid w:val="00222A8A"/>
    <w:rsid w:val="00222D7F"/>
    <w:rsid w:val="0022377B"/>
    <w:rsid w:val="00224A96"/>
    <w:rsid w:val="00224CA4"/>
    <w:rsid w:val="00225AF0"/>
    <w:rsid w:val="00225C9D"/>
    <w:rsid w:val="00225E27"/>
    <w:rsid w:val="002261BB"/>
    <w:rsid w:val="002262D8"/>
    <w:rsid w:val="0022699D"/>
    <w:rsid w:val="00231FD9"/>
    <w:rsid w:val="00232709"/>
    <w:rsid w:val="002330B4"/>
    <w:rsid w:val="002347A0"/>
    <w:rsid w:val="00235155"/>
    <w:rsid w:val="002351A5"/>
    <w:rsid w:val="00235577"/>
    <w:rsid w:val="00235700"/>
    <w:rsid w:val="00235B21"/>
    <w:rsid w:val="00235BAD"/>
    <w:rsid w:val="00235E0A"/>
    <w:rsid w:val="00236DED"/>
    <w:rsid w:val="00240BD3"/>
    <w:rsid w:val="00240F8A"/>
    <w:rsid w:val="002410AF"/>
    <w:rsid w:val="00241460"/>
    <w:rsid w:val="00241A97"/>
    <w:rsid w:val="00242051"/>
    <w:rsid w:val="00242338"/>
    <w:rsid w:val="002431A5"/>
    <w:rsid w:val="002431B5"/>
    <w:rsid w:val="002438FC"/>
    <w:rsid w:val="00244438"/>
    <w:rsid w:val="00244F4E"/>
    <w:rsid w:val="002476AA"/>
    <w:rsid w:val="00247DEC"/>
    <w:rsid w:val="00247FE4"/>
    <w:rsid w:val="0025102C"/>
    <w:rsid w:val="00251534"/>
    <w:rsid w:val="002515A9"/>
    <w:rsid w:val="002517C7"/>
    <w:rsid w:val="00251800"/>
    <w:rsid w:val="002521A3"/>
    <w:rsid w:val="002538F5"/>
    <w:rsid w:val="00253D2A"/>
    <w:rsid w:val="00253EE2"/>
    <w:rsid w:val="002556B8"/>
    <w:rsid w:val="002557BE"/>
    <w:rsid w:val="00256308"/>
    <w:rsid w:val="00256324"/>
    <w:rsid w:val="00257747"/>
    <w:rsid w:val="00260625"/>
    <w:rsid w:val="0026083A"/>
    <w:rsid w:val="00261767"/>
    <w:rsid w:val="00261CF1"/>
    <w:rsid w:val="00261E80"/>
    <w:rsid w:val="00261F9D"/>
    <w:rsid w:val="002620BB"/>
    <w:rsid w:val="00262111"/>
    <w:rsid w:val="00262ECA"/>
    <w:rsid w:val="0026344F"/>
    <w:rsid w:val="00263813"/>
    <w:rsid w:val="00263FEA"/>
    <w:rsid w:val="00264130"/>
    <w:rsid w:val="00264149"/>
    <w:rsid w:val="00264B2D"/>
    <w:rsid w:val="00264FFF"/>
    <w:rsid w:val="00265D3B"/>
    <w:rsid w:val="0026743F"/>
    <w:rsid w:val="002675CA"/>
    <w:rsid w:val="00267771"/>
    <w:rsid w:val="00267995"/>
    <w:rsid w:val="00267E16"/>
    <w:rsid w:val="0026A85A"/>
    <w:rsid w:val="00270034"/>
    <w:rsid w:val="0027059D"/>
    <w:rsid w:val="0027170F"/>
    <w:rsid w:val="002717A1"/>
    <w:rsid w:val="00271F12"/>
    <w:rsid w:val="002724CD"/>
    <w:rsid w:val="00273CB1"/>
    <w:rsid w:val="00273ECC"/>
    <w:rsid w:val="00275267"/>
    <w:rsid w:val="0027552A"/>
    <w:rsid w:val="00275CA7"/>
    <w:rsid w:val="00275E1D"/>
    <w:rsid w:val="0027705B"/>
    <w:rsid w:val="00277711"/>
    <w:rsid w:val="002777E9"/>
    <w:rsid w:val="002800E6"/>
    <w:rsid w:val="00280B9A"/>
    <w:rsid w:val="00280E7B"/>
    <w:rsid w:val="00281674"/>
    <w:rsid w:val="00282904"/>
    <w:rsid w:val="0028372C"/>
    <w:rsid w:val="00283815"/>
    <w:rsid w:val="00283D21"/>
    <w:rsid w:val="002848F8"/>
    <w:rsid w:val="002850B3"/>
    <w:rsid w:val="00285119"/>
    <w:rsid w:val="00285B41"/>
    <w:rsid w:val="00286670"/>
    <w:rsid w:val="00286735"/>
    <w:rsid w:val="00287125"/>
    <w:rsid w:val="00287D25"/>
    <w:rsid w:val="00290306"/>
    <w:rsid w:val="002916EC"/>
    <w:rsid w:val="0029179E"/>
    <w:rsid w:val="00291BA5"/>
    <w:rsid w:val="0029431D"/>
    <w:rsid w:val="002957D1"/>
    <w:rsid w:val="00295A47"/>
    <w:rsid w:val="00295C2B"/>
    <w:rsid w:val="00295D9E"/>
    <w:rsid w:val="002973FD"/>
    <w:rsid w:val="00297434"/>
    <w:rsid w:val="00297CCB"/>
    <w:rsid w:val="002A0179"/>
    <w:rsid w:val="002A0531"/>
    <w:rsid w:val="002A0EC3"/>
    <w:rsid w:val="002A142B"/>
    <w:rsid w:val="002A16CB"/>
    <w:rsid w:val="002A2ABF"/>
    <w:rsid w:val="002A38A2"/>
    <w:rsid w:val="002A494C"/>
    <w:rsid w:val="002A57E9"/>
    <w:rsid w:val="002A587D"/>
    <w:rsid w:val="002A5FDD"/>
    <w:rsid w:val="002A7C52"/>
    <w:rsid w:val="002B103E"/>
    <w:rsid w:val="002B15B7"/>
    <w:rsid w:val="002B15CA"/>
    <w:rsid w:val="002B1DE5"/>
    <w:rsid w:val="002B23BD"/>
    <w:rsid w:val="002B420A"/>
    <w:rsid w:val="002B4A65"/>
    <w:rsid w:val="002B4B3F"/>
    <w:rsid w:val="002B50CC"/>
    <w:rsid w:val="002B5EF1"/>
    <w:rsid w:val="002B6759"/>
    <w:rsid w:val="002B766A"/>
    <w:rsid w:val="002C098D"/>
    <w:rsid w:val="002C0A2D"/>
    <w:rsid w:val="002C0D53"/>
    <w:rsid w:val="002C14B5"/>
    <w:rsid w:val="002C2273"/>
    <w:rsid w:val="002C35AD"/>
    <w:rsid w:val="002C39F3"/>
    <w:rsid w:val="002C433A"/>
    <w:rsid w:val="002C455C"/>
    <w:rsid w:val="002C4C7B"/>
    <w:rsid w:val="002C4CA6"/>
    <w:rsid w:val="002C5CF3"/>
    <w:rsid w:val="002C5D20"/>
    <w:rsid w:val="002C64D4"/>
    <w:rsid w:val="002C7EB9"/>
    <w:rsid w:val="002D0054"/>
    <w:rsid w:val="002D0568"/>
    <w:rsid w:val="002D0E8B"/>
    <w:rsid w:val="002D3653"/>
    <w:rsid w:val="002D4069"/>
    <w:rsid w:val="002D43A7"/>
    <w:rsid w:val="002D4E2E"/>
    <w:rsid w:val="002D5B2C"/>
    <w:rsid w:val="002D5CD6"/>
    <w:rsid w:val="002D5D59"/>
    <w:rsid w:val="002D5FCE"/>
    <w:rsid w:val="002D69A3"/>
    <w:rsid w:val="002D6E9C"/>
    <w:rsid w:val="002D73E2"/>
    <w:rsid w:val="002E2F0A"/>
    <w:rsid w:val="002E53C1"/>
    <w:rsid w:val="002E5DD8"/>
    <w:rsid w:val="002E6193"/>
    <w:rsid w:val="002E7323"/>
    <w:rsid w:val="002F09B1"/>
    <w:rsid w:val="002F0D3A"/>
    <w:rsid w:val="002F1E8D"/>
    <w:rsid w:val="002F2424"/>
    <w:rsid w:val="002F2D00"/>
    <w:rsid w:val="002F356E"/>
    <w:rsid w:val="002F35A5"/>
    <w:rsid w:val="002F39F2"/>
    <w:rsid w:val="002F3A4E"/>
    <w:rsid w:val="002F3E40"/>
    <w:rsid w:val="002F4120"/>
    <w:rsid w:val="002F424A"/>
    <w:rsid w:val="002F5984"/>
    <w:rsid w:val="002F5B7A"/>
    <w:rsid w:val="003008E5"/>
    <w:rsid w:val="00300AE4"/>
    <w:rsid w:val="003014AB"/>
    <w:rsid w:val="00301566"/>
    <w:rsid w:val="00301A32"/>
    <w:rsid w:val="00301B08"/>
    <w:rsid w:val="003029AC"/>
    <w:rsid w:val="00302CD3"/>
    <w:rsid w:val="003041E4"/>
    <w:rsid w:val="00304A52"/>
    <w:rsid w:val="00305B0D"/>
    <w:rsid w:val="00310084"/>
    <w:rsid w:val="00310F79"/>
    <w:rsid w:val="003118BA"/>
    <w:rsid w:val="00312A26"/>
    <w:rsid w:val="00312C18"/>
    <w:rsid w:val="003147F8"/>
    <w:rsid w:val="00316AF3"/>
    <w:rsid w:val="00316C39"/>
    <w:rsid w:val="00317377"/>
    <w:rsid w:val="00322051"/>
    <w:rsid w:val="003228D5"/>
    <w:rsid w:val="00322915"/>
    <w:rsid w:val="00322CF2"/>
    <w:rsid w:val="0032384D"/>
    <w:rsid w:val="003241C1"/>
    <w:rsid w:val="00324779"/>
    <w:rsid w:val="00324C99"/>
    <w:rsid w:val="00324EF8"/>
    <w:rsid w:val="003253D2"/>
    <w:rsid w:val="003267C4"/>
    <w:rsid w:val="0032696B"/>
    <w:rsid w:val="0032739C"/>
    <w:rsid w:val="0032785A"/>
    <w:rsid w:val="00330A8B"/>
    <w:rsid w:val="00331336"/>
    <w:rsid w:val="0033193D"/>
    <w:rsid w:val="003322C6"/>
    <w:rsid w:val="00332736"/>
    <w:rsid w:val="0033293A"/>
    <w:rsid w:val="003329CF"/>
    <w:rsid w:val="00332ABB"/>
    <w:rsid w:val="00333AE9"/>
    <w:rsid w:val="0033407A"/>
    <w:rsid w:val="00335C89"/>
    <w:rsid w:val="00335FAB"/>
    <w:rsid w:val="00336445"/>
    <w:rsid w:val="00337488"/>
    <w:rsid w:val="00337D02"/>
    <w:rsid w:val="00340AAC"/>
    <w:rsid w:val="00342F4F"/>
    <w:rsid w:val="003434B6"/>
    <w:rsid w:val="00343CD9"/>
    <w:rsid w:val="00344895"/>
    <w:rsid w:val="00344F3F"/>
    <w:rsid w:val="00344F6E"/>
    <w:rsid w:val="00345104"/>
    <w:rsid w:val="003459E1"/>
    <w:rsid w:val="00345A6C"/>
    <w:rsid w:val="003467D2"/>
    <w:rsid w:val="0034704A"/>
    <w:rsid w:val="00347542"/>
    <w:rsid w:val="0034762C"/>
    <w:rsid w:val="00347B70"/>
    <w:rsid w:val="00347C10"/>
    <w:rsid w:val="00347F66"/>
    <w:rsid w:val="00347F68"/>
    <w:rsid w:val="003507B7"/>
    <w:rsid w:val="003520F7"/>
    <w:rsid w:val="00352374"/>
    <w:rsid w:val="0035251D"/>
    <w:rsid w:val="003525B3"/>
    <w:rsid w:val="00352CF1"/>
    <w:rsid w:val="00352E61"/>
    <w:rsid w:val="003540AD"/>
    <w:rsid w:val="0035437E"/>
    <w:rsid w:val="00355199"/>
    <w:rsid w:val="003551B9"/>
    <w:rsid w:val="0035531A"/>
    <w:rsid w:val="003559A4"/>
    <w:rsid w:val="00355DC7"/>
    <w:rsid w:val="00356CEA"/>
    <w:rsid w:val="0035719C"/>
    <w:rsid w:val="00357226"/>
    <w:rsid w:val="00357F37"/>
    <w:rsid w:val="00360AAE"/>
    <w:rsid w:val="00360CBC"/>
    <w:rsid w:val="00360DE6"/>
    <w:rsid w:val="00361C09"/>
    <w:rsid w:val="00361E01"/>
    <w:rsid w:val="003623F0"/>
    <w:rsid w:val="003624E3"/>
    <w:rsid w:val="00362823"/>
    <w:rsid w:val="00363F5D"/>
    <w:rsid w:val="003657B5"/>
    <w:rsid w:val="003671FA"/>
    <w:rsid w:val="00371A9D"/>
    <w:rsid w:val="00372642"/>
    <w:rsid w:val="003744A4"/>
    <w:rsid w:val="0037461C"/>
    <w:rsid w:val="003748DA"/>
    <w:rsid w:val="00374C96"/>
    <w:rsid w:val="003750B2"/>
    <w:rsid w:val="00375152"/>
    <w:rsid w:val="00375A85"/>
    <w:rsid w:val="00375E1F"/>
    <w:rsid w:val="00376B97"/>
    <w:rsid w:val="00377B14"/>
    <w:rsid w:val="00377CED"/>
    <w:rsid w:val="00380382"/>
    <w:rsid w:val="003806C4"/>
    <w:rsid w:val="00380DAD"/>
    <w:rsid w:val="00381B5F"/>
    <w:rsid w:val="00381CD7"/>
    <w:rsid w:val="003824AA"/>
    <w:rsid w:val="00383B43"/>
    <w:rsid w:val="00384102"/>
    <w:rsid w:val="00384AB4"/>
    <w:rsid w:val="00384E6A"/>
    <w:rsid w:val="003855CF"/>
    <w:rsid w:val="00385EAE"/>
    <w:rsid w:val="00386864"/>
    <w:rsid w:val="003875F3"/>
    <w:rsid w:val="0038783B"/>
    <w:rsid w:val="00390CC2"/>
    <w:rsid w:val="00390F57"/>
    <w:rsid w:val="00390FA4"/>
    <w:rsid w:val="00391083"/>
    <w:rsid w:val="003911B9"/>
    <w:rsid w:val="00391839"/>
    <w:rsid w:val="00391F43"/>
    <w:rsid w:val="00392D98"/>
    <w:rsid w:val="0039350D"/>
    <w:rsid w:val="00393D40"/>
    <w:rsid w:val="0039435B"/>
    <w:rsid w:val="003953F6"/>
    <w:rsid w:val="00395F75"/>
    <w:rsid w:val="003964E6"/>
    <w:rsid w:val="003A08E5"/>
    <w:rsid w:val="003A0C16"/>
    <w:rsid w:val="003A159F"/>
    <w:rsid w:val="003A17DD"/>
    <w:rsid w:val="003A2BC8"/>
    <w:rsid w:val="003A2F19"/>
    <w:rsid w:val="003A417B"/>
    <w:rsid w:val="003A4470"/>
    <w:rsid w:val="003A4BA4"/>
    <w:rsid w:val="003A5C2F"/>
    <w:rsid w:val="003A71FD"/>
    <w:rsid w:val="003B060C"/>
    <w:rsid w:val="003B114E"/>
    <w:rsid w:val="003B401D"/>
    <w:rsid w:val="003B568A"/>
    <w:rsid w:val="003B680A"/>
    <w:rsid w:val="003B681F"/>
    <w:rsid w:val="003B69C5"/>
    <w:rsid w:val="003B6EA2"/>
    <w:rsid w:val="003B73D5"/>
    <w:rsid w:val="003B77DD"/>
    <w:rsid w:val="003B7D14"/>
    <w:rsid w:val="003B7EA6"/>
    <w:rsid w:val="003C1C8B"/>
    <w:rsid w:val="003C1CCE"/>
    <w:rsid w:val="003C321F"/>
    <w:rsid w:val="003C3D47"/>
    <w:rsid w:val="003C406A"/>
    <w:rsid w:val="003C4274"/>
    <w:rsid w:val="003C42ED"/>
    <w:rsid w:val="003C44A3"/>
    <w:rsid w:val="003C4A69"/>
    <w:rsid w:val="003C55AE"/>
    <w:rsid w:val="003C5A80"/>
    <w:rsid w:val="003C6259"/>
    <w:rsid w:val="003C7229"/>
    <w:rsid w:val="003D0585"/>
    <w:rsid w:val="003D097F"/>
    <w:rsid w:val="003D1910"/>
    <w:rsid w:val="003D1BAD"/>
    <w:rsid w:val="003D1C8B"/>
    <w:rsid w:val="003D2691"/>
    <w:rsid w:val="003D4779"/>
    <w:rsid w:val="003D4C1F"/>
    <w:rsid w:val="003D5EFB"/>
    <w:rsid w:val="003D615D"/>
    <w:rsid w:val="003D73D0"/>
    <w:rsid w:val="003E0464"/>
    <w:rsid w:val="003E0B1A"/>
    <w:rsid w:val="003E1129"/>
    <w:rsid w:val="003E3E43"/>
    <w:rsid w:val="003E4F4F"/>
    <w:rsid w:val="003E5517"/>
    <w:rsid w:val="003E57EA"/>
    <w:rsid w:val="003E5DDB"/>
    <w:rsid w:val="003E5E03"/>
    <w:rsid w:val="003E6213"/>
    <w:rsid w:val="003E6B95"/>
    <w:rsid w:val="003E7BDF"/>
    <w:rsid w:val="003E7C63"/>
    <w:rsid w:val="003F0375"/>
    <w:rsid w:val="003F0A39"/>
    <w:rsid w:val="003F0FA8"/>
    <w:rsid w:val="003F15D4"/>
    <w:rsid w:val="003F1A74"/>
    <w:rsid w:val="003F1C58"/>
    <w:rsid w:val="003F2DD1"/>
    <w:rsid w:val="003F303A"/>
    <w:rsid w:val="003F312B"/>
    <w:rsid w:val="003F3402"/>
    <w:rsid w:val="003F4545"/>
    <w:rsid w:val="003F49AE"/>
    <w:rsid w:val="003F4A5D"/>
    <w:rsid w:val="003F4DC4"/>
    <w:rsid w:val="003F5315"/>
    <w:rsid w:val="003F6577"/>
    <w:rsid w:val="003F668F"/>
    <w:rsid w:val="003F6968"/>
    <w:rsid w:val="003F6AB3"/>
    <w:rsid w:val="003F6EBD"/>
    <w:rsid w:val="00400055"/>
    <w:rsid w:val="0040298C"/>
    <w:rsid w:val="00402EDA"/>
    <w:rsid w:val="00402F30"/>
    <w:rsid w:val="0040517A"/>
    <w:rsid w:val="00405647"/>
    <w:rsid w:val="0040605E"/>
    <w:rsid w:val="0040647F"/>
    <w:rsid w:val="00406EC4"/>
    <w:rsid w:val="00406F2A"/>
    <w:rsid w:val="00407088"/>
    <w:rsid w:val="00407B9A"/>
    <w:rsid w:val="00407D53"/>
    <w:rsid w:val="004095E6"/>
    <w:rsid w:val="004104EF"/>
    <w:rsid w:val="00411519"/>
    <w:rsid w:val="004118A7"/>
    <w:rsid w:val="00412286"/>
    <w:rsid w:val="00412531"/>
    <w:rsid w:val="00412856"/>
    <w:rsid w:val="00413ECA"/>
    <w:rsid w:val="00414D2D"/>
    <w:rsid w:val="00414ED5"/>
    <w:rsid w:val="004158FB"/>
    <w:rsid w:val="0041692A"/>
    <w:rsid w:val="0041717D"/>
    <w:rsid w:val="00417B07"/>
    <w:rsid w:val="00417F1F"/>
    <w:rsid w:val="0042195A"/>
    <w:rsid w:val="00421BC7"/>
    <w:rsid w:val="00422CB9"/>
    <w:rsid w:val="00423619"/>
    <w:rsid w:val="00423F4B"/>
    <w:rsid w:val="00424A04"/>
    <w:rsid w:val="00430A97"/>
    <w:rsid w:val="004310BE"/>
    <w:rsid w:val="00431342"/>
    <w:rsid w:val="0043173A"/>
    <w:rsid w:val="00431797"/>
    <w:rsid w:val="00431799"/>
    <w:rsid w:val="00434836"/>
    <w:rsid w:val="00434DD2"/>
    <w:rsid w:val="00434DFC"/>
    <w:rsid w:val="00434F60"/>
    <w:rsid w:val="004352E4"/>
    <w:rsid w:val="0043643E"/>
    <w:rsid w:val="00437310"/>
    <w:rsid w:val="00440EAA"/>
    <w:rsid w:val="00440F48"/>
    <w:rsid w:val="004414BA"/>
    <w:rsid w:val="00441694"/>
    <w:rsid w:val="00441D41"/>
    <w:rsid w:val="0044369E"/>
    <w:rsid w:val="00443AFC"/>
    <w:rsid w:val="00444859"/>
    <w:rsid w:val="00444E22"/>
    <w:rsid w:val="00444FF3"/>
    <w:rsid w:val="00445BAC"/>
    <w:rsid w:val="004469A3"/>
    <w:rsid w:val="00446F4C"/>
    <w:rsid w:val="0044766E"/>
    <w:rsid w:val="00447671"/>
    <w:rsid w:val="0044787D"/>
    <w:rsid w:val="00452A4F"/>
    <w:rsid w:val="00452C42"/>
    <w:rsid w:val="00452DB4"/>
    <w:rsid w:val="00452E06"/>
    <w:rsid w:val="00453A47"/>
    <w:rsid w:val="00454789"/>
    <w:rsid w:val="00454800"/>
    <w:rsid w:val="004551DF"/>
    <w:rsid w:val="00455691"/>
    <w:rsid w:val="00456167"/>
    <w:rsid w:val="004561F5"/>
    <w:rsid w:val="0045678C"/>
    <w:rsid w:val="00457220"/>
    <w:rsid w:val="004574E0"/>
    <w:rsid w:val="00457819"/>
    <w:rsid w:val="004604CA"/>
    <w:rsid w:val="00460660"/>
    <w:rsid w:val="00460E05"/>
    <w:rsid w:val="00460F72"/>
    <w:rsid w:val="00462C7C"/>
    <w:rsid w:val="0046316B"/>
    <w:rsid w:val="004633C5"/>
    <w:rsid w:val="0046374E"/>
    <w:rsid w:val="004642A9"/>
    <w:rsid w:val="00464507"/>
    <w:rsid w:val="0046492D"/>
    <w:rsid w:val="00464E37"/>
    <w:rsid w:val="0046624A"/>
    <w:rsid w:val="00467046"/>
    <w:rsid w:val="00470DF0"/>
    <w:rsid w:val="004717B9"/>
    <w:rsid w:val="00472BC7"/>
    <w:rsid w:val="00473593"/>
    <w:rsid w:val="00473F9C"/>
    <w:rsid w:val="00475247"/>
    <w:rsid w:val="00475615"/>
    <w:rsid w:val="0047695C"/>
    <w:rsid w:val="004778D4"/>
    <w:rsid w:val="0047792C"/>
    <w:rsid w:val="00477E2D"/>
    <w:rsid w:val="00480916"/>
    <w:rsid w:val="00481536"/>
    <w:rsid w:val="00481686"/>
    <w:rsid w:val="00481FFF"/>
    <w:rsid w:val="00483445"/>
    <w:rsid w:val="00483E9A"/>
    <w:rsid w:val="00485D3D"/>
    <w:rsid w:val="00485E8C"/>
    <w:rsid w:val="00485FCB"/>
    <w:rsid w:val="00487287"/>
    <w:rsid w:val="004879E2"/>
    <w:rsid w:val="004879F4"/>
    <w:rsid w:val="00490FBB"/>
    <w:rsid w:val="0049109E"/>
    <w:rsid w:val="0049143F"/>
    <w:rsid w:val="00491A96"/>
    <w:rsid w:val="00491BFA"/>
    <w:rsid w:val="00492E8A"/>
    <w:rsid w:val="0049301E"/>
    <w:rsid w:val="0049303C"/>
    <w:rsid w:val="00493539"/>
    <w:rsid w:val="00493656"/>
    <w:rsid w:val="00494003"/>
    <w:rsid w:val="0049417E"/>
    <w:rsid w:val="004943CF"/>
    <w:rsid w:val="004947CF"/>
    <w:rsid w:val="00494C4B"/>
    <w:rsid w:val="00495438"/>
    <w:rsid w:val="00495751"/>
    <w:rsid w:val="00495B39"/>
    <w:rsid w:val="00495F97"/>
    <w:rsid w:val="00496E63"/>
    <w:rsid w:val="0049722D"/>
    <w:rsid w:val="00497BAB"/>
    <w:rsid w:val="00497C32"/>
    <w:rsid w:val="00497DF9"/>
    <w:rsid w:val="00497EC3"/>
    <w:rsid w:val="004A015D"/>
    <w:rsid w:val="004A067B"/>
    <w:rsid w:val="004A263E"/>
    <w:rsid w:val="004A30C7"/>
    <w:rsid w:val="004A3AB6"/>
    <w:rsid w:val="004A4922"/>
    <w:rsid w:val="004A5B52"/>
    <w:rsid w:val="004A6B48"/>
    <w:rsid w:val="004A71E0"/>
    <w:rsid w:val="004A7AAF"/>
    <w:rsid w:val="004B085B"/>
    <w:rsid w:val="004B148E"/>
    <w:rsid w:val="004B14F8"/>
    <w:rsid w:val="004B214C"/>
    <w:rsid w:val="004B2F84"/>
    <w:rsid w:val="004B3E34"/>
    <w:rsid w:val="004B4C3E"/>
    <w:rsid w:val="004B5637"/>
    <w:rsid w:val="004B6026"/>
    <w:rsid w:val="004B6962"/>
    <w:rsid w:val="004B6CF2"/>
    <w:rsid w:val="004B6DB7"/>
    <w:rsid w:val="004B6F15"/>
    <w:rsid w:val="004B6F69"/>
    <w:rsid w:val="004B71B4"/>
    <w:rsid w:val="004C17F1"/>
    <w:rsid w:val="004C1CAF"/>
    <w:rsid w:val="004C2639"/>
    <w:rsid w:val="004C2C5E"/>
    <w:rsid w:val="004C2E7B"/>
    <w:rsid w:val="004C2F53"/>
    <w:rsid w:val="004C31D8"/>
    <w:rsid w:val="004C3591"/>
    <w:rsid w:val="004C3979"/>
    <w:rsid w:val="004C3CFF"/>
    <w:rsid w:val="004C3E72"/>
    <w:rsid w:val="004C4CF8"/>
    <w:rsid w:val="004C4ED2"/>
    <w:rsid w:val="004C7458"/>
    <w:rsid w:val="004C7AF7"/>
    <w:rsid w:val="004D10E7"/>
    <w:rsid w:val="004D1578"/>
    <w:rsid w:val="004D18EC"/>
    <w:rsid w:val="004D1D9A"/>
    <w:rsid w:val="004D2345"/>
    <w:rsid w:val="004D4160"/>
    <w:rsid w:val="004D50CC"/>
    <w:rsid w:val="004D635B"/>
    <w:rsid w:val="004D7389"/>
    <w:rsid w:val="004D747C"/>
    <w:rsid w:val="004D79F1"/>
    <w:rsid w:val="004D7D11"/>
    <w:rsid w:val="004E04AE"/>
    <w:rsid w:val="004E08CB"/>
    <w:rsid w:val="004E1592"/>
    <w:rsid w:val="004E3502"/>
    <w:rsid w:val="004E3ABF"/>
    <w:rsid w:val="004E3FD6"/>
    <w:rsid w:val="004E45EC"/>
    <w:rsid w:val="004E5174"/>
    <w:rsid w:val="004E5EF4"/>
    <w:rsid w:val="004E748F"/>
    <w:rsid w:val="004E751A"/>
    <w:rsid w:val="004F054D"/>
    <w:rsid w:val="004F0FE6"/>
    <w:rsid w:val="004F1BB8"/>
    <w:rsid w:val="004F24D7"/>
    <w:rsid w:val="004F40DD"/>
    <w:rsid w:val="004F5749"/>
    <w:rsid w:val="004F5D72"/>
    <w:rsid w:val="004F628E"/>
    <w:rsid w:val="004F653A"/>
    <w:rsid w:val="004F7768"/>
    <w:rsid w:val="00500692"/>
    <w:rsid w:val="005009A7"/>
    <w:rsid w:val="00501562"/>
    <w:rsid w:val="0050160F"/>
    <w:rsid w:val="005029CB"/>
    <w:rsid w:val="005037CE"/>
    <w:rsid w:val="00503E9D"/>
    <w:rsid w:val="00511CAB"/>
    <w:rsid w:val="00511E38"/>
    <w:rsid w:val="005124EF"/>
    <w:rsid w:val="00512F23"/>
    <w:rsid w:val="00512F85"/>
    <w:rsid w:val="00513585"/>
    <w:rsid w:val="00514228"/>
    <w:rsid w:val="0051450C"/>
    <w:rsid w:val="00515710"/>
    <w:rsid w:val="00515BFB"/>
    <w:rsid w:val="00516601"/>
    <w:rsid w:val="0051680E"/>
    <w:rsid w:val="00517EE4"/>
    <w:rsid w:val="00520994"/>
    <w:rsid w:val="00522C99"/>
    <w:rsid w:val="005242DA"/>
    <w:rsid w:val="005244CB"/>
    <w:rsid w:val="00530052"/>
    <w:rsid w:val="00530141"/>
    <w:rsid w:val="005309B5"/>
    <w:rsid w:val="005312BC"/>
    <w:rsid w:val="005322B6"/>
    <w:rsid w:val="0053230B"/>
    <w:rsid w:val="00533289"/>
    <w:rsid w:val="00533A72"/>
    <w:rsid w:val="0053491D"/>
    <w:rsid w:val="00534DCF"/>
    <w:rsid w:val="00534F24"/>
    <w:rsid w:val="005351F2"/>
    <w:rsid w:val="0053577F"/>
    <w:rsid w:val="00536375"/>
    <w:rsid w:val="00537272"/>
    <w:rsid w:val="00537675"/>
    <w:rsid w:val="00540450"/>
    <w:rsid w:val="00540527"/>
    <w:rsid w:val="00540E0A"/>
    <w:rsid w:val="005410CF"/>
    <w:rsid w:val="005411E5"/>
    <w:rsid w:val="00541DC2"/>
    <w:rsid w:val="00542766"/>
    <w:rsid w:val="00543B2F"/>
    <w:rsid w:val="00544669"/>
    <w:rsid w:val="00545BAD"/>
    <w:rsid w:val="0054793D"/>
    <w:rsid w:val="0055211B"/>
    <w:rsid w:val="00552685"/>
    <w:rsid w:val="00552BCA"/>
    <w:rsid w:val="00553E2C"/>
    <w:rsid w:val="00554ADE"/>
    <w:rsid w:val="00554E05"/>
    <w:rsid w:val="0055520C"/>
    <w:rsid w:val="00556078"/>
    <w:rsid w:val="00557FAA"/>
    <w:rsid w:val="00560EDC"/>
    <w:rsid w:val="005610AA"/>
    <w:rsid w:val="0056133C"/>
    <w:rsid w:val="0056197A"/>
    <w:rsid w:val="00561E18"/>
    <w:rsid w:val="005623B2"/>
    <w:rsid w:val="005629B5"/>
    <w:rsid w:val="00562C37"/>
    <w:rsid w:val="0056313A"/>
    <w:rsid w:val="005638E8"/>
    <w:rsid w:val="00563CE9"/>
    <w:rsid w:val="00563D68"/>
    <w:rsid w:val="00564066"/>
    <w:rsid w:val="00564848"/>
    <w:rsid w:val="00565047"/>
    <w:rsid w:val="0056604B"/>
    <w:rsid w:val="005674AC"/>
    <w:rsid w:val="0056786F"/>
    <w:rsid w:val="00571065"/>
    <w:rsid w:val="00571A28"/>
    <w:rsid w:val="00572EB3"/>
    <w:rsid w:val="005733B1"/>
    <w:rsid w:val="0057441F"/>
    <w:rsid w:val="00574571"/>
    <w:rsid w:val="005746F2"/>
    <w:rsid w:val="00574F5C"/>
    <w:rsid w:val="005754F3"/>
    <w:rsid w:val="0057693B"/>
    <w:rsid w:val="00576D3F"/>
    <w:rsid w:val="005771DC"/>
    <w:rsid w:val="00577D91"/>
    <w:rsid w:val="00580111"/>
    <w:rsid w:val="00581B0C"/>
    <w:rsid w:val="005825B6"/>
    <w:rsid w:val="005838A5"/>
    <w:rsid w:val="00583E3A"/>
    <w:rsid w:val="00583E8D"/>
    <w:rsid w:val="00584506"/>
    <w:rsid w:val="00584A68"/>
    <w:rsid w:val="00584EBA"/>
    <w:rsid w:val="00585122"/>
    <w:rsid w:val="005855BD"/>
    <w:rsid w:val="0058662F"/>
    <w:rsid w:val="00586696"/>
    <w:rsid w:val="0058730F"/>
    <w:rsid w:val="00590B8C"/>
    <w:rsid w:val="00590F4A"/>
    <w:rsid w:val="00591AD3"/>
    <w:rsid w:val="00591D06"/>
    <w:rsid w:val="00592335"/>
    <w:rsid w:val="00592451"/>
    <w:rsid w:val="00592719"/>
    <w:rsid w:val="005927CE"/>
    <w:rsid w:val="00592D4E"/>
    <w:rsid w:val="0059366B"/>
    <w:rsid w:val="005A12DF"/>
    <w:rsid w:val="005A1544"/>
    <w:rsid w:val="005A345C"/>
    <w:rsid w:val="005A397F"/>
    <w:rsid w:val="005A4E5D"/>
    <w:rsid w:val="005A7237"/>
    <w:rsid w:val="005A73BE"/>
    <w:rsid w:val="005B0F50"/>
    <w:rsid w:val="005B1A54"/>
    <w:rsid w:val="005B1F28"/>
    <w:rsid w:val="005B4808"/>
    <w:rsid w:val="005B4BD2"/>
    <w:rsid w:val="005B544A"/>
    <w:rsid w:val="005B56FA"/>
    <w:rsid w:val="005B5F8F"/>
    <w:rsid w:val="005B662F"/>
    <w:rsid w:val="005B7180"/>
    <w:rsid w:val="005C02E9"/>
    <w:rsid w:val="005C1E1F"/>
    <w:rsid w:val="005C3595"/>
    <w:rsid w:val="005C3844"/>
    <w:rsid w:val="005C3EBC"/>
    <w:rsid w:val="005C5041"/>
    <w:rsid w:val="005C570C"/>
    <w:rsid w:val="005C5D1A"/>
    <w:rsid w:val="005C77A1"/>
    <w:rsid w:val="005C7C01"/>
    <w:rsid w:val="005C7D8C"/>
    <w:rsid w:val="005D00BA"/>
    <w:rsid w:val="005D0620"/>
    <w:rsid w:val="005D0A19"/>
    <w:rsid w:val="005D0F83"/>
    <w:rsid w:val="005D1A3D"/>
    <w:rsid w:val="005D330E"/>
    <w:rsid w:val="005D3D99"/>
    <w:rsid w:val="005D5961"/>
    <w:rsid w:val="005D6079"/>
    <w:rsid w:val="005D6727"/>
    <w:rsid w:val="005D781F"/>
    <w:rsid w:val="005E0318"/>
    <w:rsid w:val="005E090C"/>
    <w:rsid w:val="005E0A5E"/>
    <w:rsid w:val="005E0AE1"/>
    <w:rsid w:val="005E11DE"/>
    <w:rsid w:val="005E1A45"/>
    <w:rsid w:val="005E1AC4"/>
    <w:rsid w:val="005E1D9C"/>
    <w:rsid w:val="005E1F5B"/>
    <w:rsid w:val="005E3254"/>
    <w:rsid w:val="005E3B24"/>
    <w:rsid w:val="005E456C"/>
    <w:rsid w:val="005E461D"/>
    <w:rsid w:val="005E55C8"/>
    <w:rsid w:val="005E5878"/>
    <w:rsid w:val="005E648E"/>
    <w:rsid w:val="005E71C2"/>
    <w:rsid w:val="005E737B"/>
    <w:rsid w:val="005F18DE"/>
    <w:rsid w:val="005F1AB2"/>
    <w:rsid w:val="005F1D69"/>
    <w:rsid w:val="005F2D77"/>
    <w:rsid w:val="005F2EAF"/>
    <w:rsid w:val="005F4C06"/>
    <w:rsid w:val="005F50A4"/>
    <w:rsid w:val="005F5324"/>
    <w:rsid w:val="005F5343"/>
    <w:rsid w:val="005F543F"/>
    <w:rsid w:val="005F5940"/>
    <w:rsid w:val="005F6037"/>
    <w:rsid w:val="005F692B"/>
    <w:rsid w:val="005F70E7"/>
    <w:rsid w:val="00600157"/>
    <w:rsid w:val="00600A67"/>
    <w:rsid w:val="0060128A"/>
    <w:rsid w:val="006014AD"/>
    <w:rsid w:val="0060393F"/>
    <w:rsid w:val="00603B3E"/>
    <w:rsid w:val="00603B73"/>
    <w:rsid w:val="00604030"/>
    <w:rsid w:val="006044A7"/>
    <w:rsid w:val="0060484E"/>
    <w:rsid w:val="00604F5F"/>
    <w:rsid w:val="006053DD"/>
    <w:rsid w:val="00606334"/>
    <w:rsid w:val="00610E42"/>
    <w:rsid w:val="006110FA"/>
    <w:rsid w:val="00612212"/>
    <w:rsid w:val="00613379"/>
    <w:rsid w:val="0061607B"/>
    <w:rsid w:val="00616AB6"/>
    <w:rsid w:val="00616D5D"/>
    <w:rsid w:val="00616EB4"/>
    <w:rsid w:val="00616ED6"/>
    <w:rsid w:val="0062032B"/>
    <w:rsid w:val="00620706"/>
    <w:rsid w:val="00621267"/>
    <w:rsid w:val="00622E00"/>
    <w:rsid w:val="0062316B"/>
    <w:rsid w:val="006241A2"/>
    <w:rsid w:val="0062479D"/>
    <w:rsid w:val="00624C24"/>
    <w:rsid w:val="00625AB6"/>
    <w:rsid w:val="00625BFC"/>
    <w:rsid w:val="00625DAD"/>
    <w:rsid w:val="0062620E"/>
    <w:rsid w:val="00626799"/>
    <w:rsid w:val="00626ECE"/>
    <w:rsid w:val="006273D7"/>
    <w:rsid w:val="00627E33"/>
    <w:rsid w:val="006300F0"/>
    <w:rsid w:val="00630489"/>
    <w:rsid w:val="006305D8"/>
    <w:rsid w:val="00630E17"/>
    <w:rsid w:val="00631010"/>
    <w:rsid w:val="00631536"/>
    <w:rsid w:val="00631E21"/>
    <w:rsid w:val="006320F1"/>
    <w:rsid w:val="00632271"/>
    <w:rsid w:val="0063237B"/>
    <w:rsid w:val="0063252B"/>
    <w:rsid w:val="00632A7D"/>
    <w:rsid w:val="00632B45"/>
    <w:rsid w:val="00632E0E"/>
    <w:rsid w:val="00632E92"/>
    <w:rsid w:val="00633FD1"/>
    <w:rsid w:val="006340DA"/>
    <w:rsid w:val="006340EB"/>
    <w:rsid w:val="00635F7F"/>
    <w:rsid w:val="00636216"/>
    <w:rsid w:val="0063636B"/>
    <w:rsid w:val="00636B76"/>
    <w:rsid w:val="006371AF"/>
    <w:rsid w:val="006373AD"/>
    <w:rsid w:val="006374F2"/>
    <w:rsid w:val="006405B6"/>
    <w:rsid w:val="006425BD"/>
    <w:rsid w:val="006428B8"/>
    <w:rsid w:val="00643084"/>
    <w:rsid w:val="006436CC"/>
    <w:rsid w:val="00643929"/>
    <w:rsid w:val="00643CCB"/>
    <w:rsid w:val="0064451E"/>
    <w:rsid w:val="00645FFC"/>
    <w:rsid w:val="006466D3"/>
    <w:rsid w:val="006467A3"/>
    <w:rsid w:val="0064709F"/>
    <w:rsid w:val="006478E7"/>
    <w:rsid w:val="0065083A"/>
    <w:rsid w:val="00650E12"/>
    <w:rsid w:val="00651C17"/>
    <w:rsid w:val="00651FF3"/>
    <w:rsid w:val="0065205D"/>
    <w:rsid w:val="0065218E"/>
    <w:rsid w:val="006522BC"/>
    <w:rsid w:val="006526C6"/>
    <w:rsid w:val="00653076"/>
    <w:rsid w:val="00653683"/>
    <w:rsid w:val="00653983"/>
    <w:rsid w:val="006540B5"/>
    <w:rsid w:val="00655EBC"/>
    <w:rsid w:val="00656330"/>
    <w:rsid w:val="006569A3"/>
    <w:rsid w:val="00657717"/>
    <w:rsid w:val="00660E1A"/>
    <w:rsid w:val="0066243E"/>
    <w:rsid w:val="00663897"/>
    <w:rsid w:val="00664472"/>
    <w:rsid w:val="006653FE"/>
    <w:rsid w:val="0066591C"/>
    <w:rsid w:val="00666408"/>
    <w:rsid w:val="00666713"/>
    <w:rsid w:val="00667181"/>
    <w:rsid w:val="006672BD"/>
    <w:rsid w:val="00667443"/>
    <w:rsid w:val="0066755A"/>
    <w:rsid w:val="00670E43"/>
    <w:rsid w:val="00671295"/>
    <w:rsid w:val="0067155A"/>
    <w:rsid w:val="006715C4"/>
    <w:rsid w:val="00673DF3"/>
    <w:rsid w:val="00673EDC"/>
    <w:rsid w:val="00673FA1"/>
    <w:rsid w:val="0067502B"/>
    <w:rsid w:val="00675BD8"/>
    <w:rsid w:val="00675C69"/>
    <w:rsid w:val="00675D5B"/>
    <w:rsid w:val="00677459"/>
    <w:rsid w:val="006779E3"/>
    <w:rsid w:val="00677AE3"/>
    <w:rsid w:val="00680256"/>
    <w:rsid w:val="00680FB0"/>
    <w:rsid w:val="00681718"/>
    <w:rsid w:val="00683469"/>
    <w:rsid w:val="0068383B"/>
    <w:rsid w:val="00684CDF"/>
    <w:rsid w:val="00685347"/>
    <w:rsid w:val="00685355"/>
    <w:rsid w:val="006858BF"/>
    <w:rsid w:val="00686EED"/>
    <w:rsid w:val="0068793A"/>
    <w:rsid w:val="006902FB"/>
    <w:rsid w:val="0069045E"/>
    <w:rsid w:val="006922A9"/>
    <w:rsid w:val="006925A8"/>
    <w:rsid w:val="00692D47"/>
    <w:rsid w:val="006933B1"/>
    <w:rsid w:val="00693872"/>
    <w:rsid w:val="006942B3"/>
    <w:rsid w:val="00694EF9"/>
    <w:rsid w:val="00696E18"/>
    <w:rsid w:val="00697828"/>
    <w:rsid w:val="00697EE3"/>
    <w:rsid w:val="006A01C3"/>
    <w:rsid w:val="006A1073"/>
    <w:rsid w:val="006A294B"/>
    <w:rsid w:val="006A311D"/>
    <w:rsid w:val="006A3742"/>
    <w:rsid w:val="006A4048"/>
    <w:rsid w:val="006A410C"/>
    <w:rsid w:val="006A467F"/>
    <w:rsid w:val="006A4F7C"/>
    <w:rsid w:val="006A51F0"/>
    <w:rsid w:val="006A52F6"/>
    <w:rsid w:val="006A6D82"/>
    <w:rsid w:val="006B0BF2"/>
    <w:rsid w:val="006B0C4E"/>
    <w:rsid w:val="006B1F84"/>
    <w:rsid w:val="006B205F"/>
    <w:rsid w:val="006B2C19"/>
    <w:rsid w:val="006B32D3"/>
    <w:rsid w:val="006B33DC"/>
    <w:rsid w:val="006B3555"/>
    <w:rsid w:val="006B3F34"/>
    <w:rsid w:val="006B4135"/>
    <w:rsid w:val="006B66DD"/>
    <w:rsid w:val="006B6E4F"/>
    <w:rsid w:val="006B722B"/>
    <w:rsid w:val="006C014C"/>
    <w:rsid w:val="006C04F2"/>
    <w:rsid w:val="006C0BF0"/>
    <w:rsid w:val="006C0CF2"/>
    <w:rsid w:val="006C1162"/>
    <w:rsid w:val="006C1D13"/>
    <w:rsid w:val="006C2185"/>
    <w:rsid w:val="006C2293"/>
    <w:rsid w:val="006C3638"/>
    <w:rsid w:val="006C3C6B"/>
    <w:rsid w:val="006C4FB1"/>
    <w:rsid w:val="006C5612"/>
    <w:rsid w:val="006C58AE"/>
    <w:rsid w:val="006C5EE5"/>
    <w:rsid w:val="006C619A"/>
    <w:rsid w:val="006C76B1"/>
    <w:rsid w:val="006C76CD"/>
    <w:rsid w:val="006C7F9A"/>
    <w:rsid w:val="006D0965"/>
    <w:rsid w:val="006D0B66"/>
    <w:rsid w:val="006D1795"/>
    <w:rsid w:val="006D22D0"/>
    <w:rsid w:val="006D3E83"/>
    <w:rsid w:val="006D52A9"/>
    <w:rsid w:val="006D553B"/>
    <w:rsid w:val="006D5BEF"/>
    <w:rsid w:val="006D5DD0"/>
    <w:rsid w:val="006D626A"/>
    <w:rsid w:val="006D640B"/>
    <w:rsid w:val="006D6745"/>
    <w:rsid w:val="006D71B0"/>
    <w:rsid w:val="006D79F5"/>
    <w:rsid w:val="006E0BFF"/>
    <w:rsid w:val="006E123D"/>
    <w:rsid w:val="006E2144"/>
    <w:rsid w:val="006E4ACA"/>
    <w:rsid w:val="006E5654"/>
    <w:rsid w:val="006E7E1B"/>
    <w:rsid w:val="006F00E0"/>
    <w:rsid w:val="006F01C4"/>
    <w:rsid w:val="006F03FC"/>
    <w:rsid w:val="006F0AE0"/>
    <w:rsid w:val="006F18B8"/>
    <w:rsid w:val="006F1DA8"/>
    <w:rsid w:val="006F2416"/>
    <w:rsid w:val="006F2AA6"/>
    <w:rsid w:val="006F3484"/>
    <w:rsid w:val="006F4380"/>
    <w:rsid w:val="006F4981"/>
    <w:rsid w:val="006F5914"/>
    <w:rsid w:val="006F5E4F"/>
    <w:rsid w:val="006F6671"/>
    <w:rsid w:val="006F68FB"/>
    <w:rsid w:val="006F7124"/>
    <w:rsid w:val="006F7148"/>
    <w:rsid w:val="007005F0"/>
    <w:rsid w:val="00700B43"/>
    <w:rsid w:val="00701191"/>
    <w:rsid w:val="007014F5"/>
    <w:rsid w:val="00701B2D"/>
    <w:rsid w:val="00701E19"/>
    <w:rsid w:val="007029B2"/>
    <w:rsid w:val="00703016"/>
    <w:rsid w:val="007035A6"/>
    <w:rsid w:val="00703A90"/>
    <w:rsid w:val="00703AAE"/>
    <w:rsid w:val="00703C7B"/>
    <w:rsid w:val="00705A9A"/>
    <w:rsid w:val="00705B2A"/>
    <w:rsid w:val="00706E8B"/>
    <w:rsid w:val="007073D8"/>
    <w:rsid w:val="00707F69"/>
    <w:rsid w:val="0071029D"/>
    <w:rsid w:val="00710E05"/>
    <w:rsid w:val="00710E0A"/>
    <w:rsid w:val="007110EB"/>
    <w:rsid w:val="007124F7"/>
    <w:rsid w:val="0071354F"/>
    <w:rsid w:val="00713728"/>
    <w:rsid w:val="007137A2"/>
    <w:rsid w:val="00714048"/>
    <w:rsid w:val="00714152"/>
    <w:rsid w:val="00714B1A"/>
    <w:rsid w:val="00714D1D"/>
    <w:rsid w:val="007155B2"/>
    <w:rsid w:val="007158BA"/>
    <w:rsid w:val="00715B65"/>
    <w:rsid w:val="00716819"/>
    <w:rsid w:val="00717443"/>
    <w:rsid w:val="00717780"/>
    <w:rsid w:val="0072066D"/>
    <w:rsid w:val="00720A3C"/>
    <w:rsid w:val="00721A8E"/>
    <w:rsid w:val="00721EAA"/>
    <w:rsid w:val="00723956"/>
    <w:rsid w:val="00723A02"/>
    <w:rsid w:val="00724E91"/>
    <w:rsid w:val="007259FD"/>
    <w:rsid w:val="007265BD"/>
    <w:rsid w:val="00726D7A"/>
    <w:rsid w:val="00727251"/>
    <w:rsid w:val="00727E4B"/>
    <w:rsid w:val="007301F4"/>
    <w:rsid w:val="00730359"/>
    <w:rsid w:val="00730976"/>
    <w:rsid w:val="007309F0"/>
    <w:rsid w:val="007314F6"/>
    <w:rsid w:val="00732B57"/>
    <w:rsid w:val="00732BFD"/>
    <w:rsid w:val="007339F2"/>
    <w:rsid w:val="00733B1A"/>
    <w:rsid w:val="00734878"/>
    <w:rsid w:val="00736C0D"/>
    <w:rsid w:val="00736C3F"/>
    <w:rsid w:val="00736D09"/>
    <w:rsid w:val="0073714C"/>
    <w:rsid w:val="007372A4"/>
    <w:rsid w:val="007374F9"/>
    <w:rsid w:val="007377E0"/>
    <w:rsid w:val="0073797F"/>
    <w:rsid w:val="00740838"/>
    <w:rsid w:val="007409C8"/>
    <w:rsid w:val="00740FA7"/>
    <w:rsid w:val="00741819"/>
    <w:rsid w:val="00742ECF"/>
    <w:rsid w:val="00743E61"/>
    <w:rsid w:val="00744299"/>
    <w:rsid w:val="007442A6"/>
    <w:rsid w:val="00744687"/>
    <w:rsid w:val="00744834"/>
    <w:rsid w:val="00744A79"/>
    <w:rsid w:val="007450BB"/>
    <w:rsid w:val="007453E3"/>
    <w:rsid w:val="0074587F"/>
    <w:rsid w:val="00746359"/>
    <w:rsid w:val="00746D2B"/>
    <w:rsid w:val="00750611"/>
    <w:rsid w:val="00750792"/>
    <w:rsid w:val="00751668"/>
    <w:rsid w:val="007527E4"/>
    <w:rsid w:val="00752874"/>
    <w:rsid w:val="00752F82"/>
    <w:rsid w:val="007535C0"/>
    <w:rsid w:val="007537CA"/>
    <w:rsid w:val="007537CE"/>
    <w:rsid w:val="0075405A"/>
    <w:rsid w:val="00755E5F"/>
    <w:rsid w:val="0075635E"/>
    <w:rsid w:val="00756B52"/>
    <w:rsid w:val="00756B85"/>
    <w:rsid w:val="00756EC2"/>
    <w:rsid w:val="00757954"/>
    <w:rsid w:val="00760F8B"/>
    <w:rsid w:val="00761614"/>
    <w:rsid w:val="0076266C"/>
    <w:rsid w:val="00763434"/>
    <w:rsid w:val="00763589"/>
    <w:rsid w:val="007640B3"/>
    <w:rsid w:val="00765D8D"/>
    <w:rsid w:val="007662D3"/>
    <w:rsid w:val="0076740E"/>
    <w:rsid w:val="0076773A"/>
    <w:rsid w:val="00767A9E"/>
    <w:rsid w:val="00767CF6"/>
    <w:rsid w:val="00767E62"/>
    <w:rsid w:val="00767FA5"/>
    <w:rsid w:val="0077037B"/>
    <w:rsid w:val="00770455"/>
    <w:rsid w:val="00770ACA"/>
    <w:rsid w:val="00770D29"/>
    <w:rsid w:val="007733B3"/>
    <w:rsid w:val="00773AC2"/>
    <w:rsid w:val="00773C4D"/>
    <w:rsid w:val="00773CC1"/>
    <w:rsid w:val="0077464D"/>
    <w:rsid w:val="007769E8"/>
    <w:rsid w:val="007775CE"/>
    <w:rsid w:val="00777A48"/>
    <w:rsid w:val="00777F83"/>
    <w:rsid w:val="00780195"/>
    <w:rsid w:val="00780478"/>
    <w:rsid w:val="00780E5E"/>
    <w:rsid w:val="0078100C"/>
    <w:rsid w:val="007812F5"/>
    <w:rsid w:val="00781B37"/>
    <w:rsid w:val="00781BB8"/>
    <w:rsid w:val="00781C7C"/>
    <w:rsid w:val="00783055"/>
    <w:rsid w:val="00783218"/>
    <w:rsid w:val="00783504"/>
    <w:rsid w:val="00783618"/>
    <w:rsid w:val="0078368A"/>
    <w:rsid w:val="00784348"/>
    <w:rsid w:val="00784A4C"/>
    <w:rsid w:val="007863ED"/>
    <w:rsid w:val="00786660"/>
    <w:rsid w:val="00786E74"/>
    <w:rsid w:val="0078749B"/>
    <w:rsid w:val="007909ED"/>
    <w:rsid w:val="00790E0A"/>
    <w:rsid w:val="007933D9"/>
    <w:rsid w:val="0079353A"/>
    <w:rsid w:val="007937B2"/>
    <w:rsid w:val="00793D86"/>
    <w:rsid w:val="007945DA"/>
    <w:rsid w:val="00794968"/>
    <w:rsid w:val="00794A05"/>
    <w:rsid w:val="0079546E"/>
    <w:rsid w:val="007959B6"/>
    <w:rsid w:val="00796312"/>
    <w:rsid w:val="0079724F"/>
    <w:rsid w:val="0079794F"/>
    <w:rsid w:val="00797C66"/>
    <w:rsid w:val="007A0C39"/>
    <w:rsid w:val="007A0F7F"/>
    <w:rsid w:val="007A4169"/>
    <w:rsid w:val="007A44BB"/>
    <w:rsid w:val="007A5E7B"/>
    <w:rsid w:val="007A66C8"/>
    <w:rsid w:val="007A6870"/>
    <w:rsid w:val="007A6BEF"/>
    <w:rsid w:val="007A6E77"/>
    <w:rsid w:val="007A71F4"/>
    <w:rsid w:val="007A7444"/>
    <w:rsid w:val="007A7F13"/>
    <w:rsid w:val="007B0CA1"/>
    <w:rsid w:val="007B10D1"/>
    <w:rsid w:val="007B1590"/>
    <w:rsid w:val="007B165B"/>
    <w:rsid w:val="007B2D20"/>
    <w:rsid w:val="007B5242"/>
    <w:rsid w:val="007B5597"/>
    <w:rsid w:val="007B6913"/>
    <w:rsid w:val="007B6EF0"/>
    <w:rsid w:val="007B7F81"/>
    <w:rsid w:val="007C0E3F"/>
    <w:rsid w:val="007C101E"/>
    <w:rsid w:val="007C10CC"/>
    <w:rsid w:val="007C16DE"/>
    <w:rsid w:val="007C3901"/>
    <w:rsid w:val="007C4D01"/>
    <w:rsid w:val="007C4E66"/>
    <w:rsid w:val="007C5013"/>
    <w:rsid w:val="007C53F8"/>
    <w:rsid w:val="007C6818"/>
    <w:rsid w:val="007C68C9"/>
    <w:rsid w:val="007C765E"/>
    <w:rsid w:val="007D0F79"/>
    <w:rsid w:val="007D1227"/>
    <w:rsid w:val="007D1C32"/>
    <w:rsid w:val="007D3C87"/>
    <w:rsid w:val="007D4812"/>
    <w:rsid w:val="007D4A2E"/>
    <w:rsid w:val="007D506B"/>
    <w:rsid w:val="007D5216"/>
    <w:rsid w:val="007D6B83"/>
    <w:rsid w:val="007D7A9D"/>
    <w:rsid w:val="007E2164"/>
    <w:rsid w:val="007E3856"/>
    <w:rsid w:val="007E3FFE"/>
    <w:rsid w:val="007E4BA6"/>
    <w:rsid w:val="007E5B5D"/>
    <w:rsid w:val="007E5C09"/>
    <w:rsid w:val="007E5D56"/>
    <w:rsid w:val="007E5FD8"/>
    <w:rsid w:val="007E6E70"/>
    <w:rsid w:val="007E7235"/>
    <w:rsid w:val="007E7607"/>
    <w:rsid w:val="007F0CA3"/>
    <w:rsid w:val="007F1BF5"/>
    <w:rsid w:val="007F31C3"/>
    <w:rsid w:val="007F3496"/>
    <w:rsid w:val="007F355A"/>
    <w:rsid w:val="007F374B"/>
    <w:rsid w:val="007F3B15"/>
    <w:rsid w:val="007F4991"/>
    <w:rsid w:val="007F5F10"/>
    <w:rsid w:val="007F6013"/>
    <w:rsid w:val="007F6943"/>
    <w:rsid w:val="007F7671"/>
    <w:rsid w:val="007F944C"/>
    <w:rsid w:val="008009D0"/>
    <w:rsid w:val="00800F74"/>
    <w:rsid w:val="00801B5C"/>
    <w:rsid w:val="00802358"/>
    <w:rsid w:val="008026E6"/>
    <w:rsid w:val="00802C5B"/>
    <w:rsid w:val="00802EC7"/>
    <w:rsid w:val="00807B80"/>
    <w:rsid w:val="00807D3F"/>
    <w:rsid w:val="00810278"/>
    <w:rsid w:val="0081152F"/>
    <w:rsid w:val="0081185A"/>
    <w:rsid w:val="0081238D"/>
    <w:rsid w:val="00812AC0"/>
    <w:rsid w:val="00812CA5"/>
    <w:rsid w:val="00812F64"/>
    <w:rsid w:val="00813B03"/>
    <w:rsid w:val="00813BB2"/>
    <w:rsid w:val="00820A17"/>
    <w:rsid w:val="00820DC0"/>
    <w:rsid w:val="00823650"/>
    <w:rsid w:val="00823F14"/>
    <w:rsid w:val="00824251"/>
    <w:rsid w:val="00824277"/>
    <w:rsid w:val="00825458"/>
    <w:rsid w:val="008267A5"/>
    <w:rsid w:val="00826B55"/>
    <w:rsid w:val="00827C3A"/>
    <w:rsid w:val="00830405"/>
    <w:rsid w:val="00830686"/>
    <w:rsid w:val="00831873"/>
    <w:rsid w:val="00831E75"/>
    <w:rsid w:val="008326C7"/>
    <w:rsid w:val="00832CA0"/>
    <w:rsid w:val="008330EA"/>
    <w:rsid w:val="00833F25"/>
    <w:rsid w:val="00835796"/>
    <w:rsid w:val="00836873"/>
    <w:rsid w:val="00836A1C"/>
    <w:rsid w:val="00837533"/>
    <w:rsid w:val="00837B57"/>
    <w:rsid w:val="00837EA3"/>
    <w:rsid w:val="00837F59"/>
    <w:rsid w:val="00840776"/>
    <w:rsid w:val="008413FD"/>
    <w:rsid w:val="008426E2"/>
    <w:rsid w:val="00843297"/>
    <w:rsid w:val="0084370E"/>
    <w:rsid w:val="00843965"/>
    <w:rsid w:val="00845981"/>
    <w:rsid w:val="0084611F"/>
    <w:rsid w:val="00846660"/>
    <w:rsid w:val="00847448"/>
    <w:rsid w:val="00847855"/>
    <w:rsid w:val="0085079B"/>
    <w:rsid w:val="00850A95"/>
    <w:rsid w:val="0085133F"/>
    <w:rsid w:val="00851C55"/>
    <w:rsid w:val="00852549"/>
    <w:rsid w:val="00853FC7"/>
    <w:rsid w:val="008542F3"/>
    <w:rsid w:val="008545A2"/>
    <w:rsid w:val="00854AF2"/>
    <w:rsid w:val="00856A26"/>
    <w:rsid w:val="00856CBE"/>
    <w:rsid w:val="00857151"/>
    <w:rsid w:val="008628D0"/>
    <w:rsid w:val="00862908"/>
    <w:rsid w:val="008629FA"/>
    <w:rsid w:val="008631CA"/>
    <w:rsid w:val="00864695"/>
    <w:rsid w:val="0086588C"/>
    <w:rsid w:val="0086620B"/>
    <w:rsid w:val="008669B5"/>
    <w:rsid w:val="008676FE"/>
    <w:rsid w:val="00867752"/>
    <w:rsid w:val="00867EE1"/>
    <w:rsid w:val="008703EC"/>
    <w:rsid w:val="00870C02"/>
    <w:rsid w:val="00870D80"/>
    <w:rsid w:val="00870E8B"/>
    <w:rsid w:val="00871816"/>
    <w:rsid w:val="00872768"/>
    <w:rsid w:val="008729DF"/>
    <w:rsid w:val="00872AC9"/>
    <w:rsid w:val="00872ECD"/>
    <w:rsid w:val="008732AA"/>
    <w:rsid w:val="0087395C"/>
    <w:rsid w:val="00873AE3"/>
    <w:rsid w:val="00873C06"/>
    <w:rsid w:val="00874D28"/>
    <w:rsid w:val="00875B3C"/>
    <w:rsid w:val="008801E1"/>
    <w:rsid w:val="008803ED"/>
    <w:rsid w:val="0088097E"/>
    <w:rsid w:val="00882FD4"/>
    <w:rsid w:val="008834ED"/>
    <w:rsid w:val="00883D1D"/>
    <w:rsid w:val="0088473A"/>
    <w:rsid w:val="00884D51"/>
    <w:rsid w:val="00885257"/>
    <w:rsid w:val="0088557F"/>
    <w:rsid w:val="00885FA8"/>
    <w:rsid w:val="00885FE5"/>
    <w:rsid w:val="0088661B"/>
    <w:rsid w:val="00886715"/>
    <w:rsid w:val="00886D22"/>
    <w:rsid w:val="0088701C"/>
    <w:rsid w:val="008875BA"/>
    <w:rsid w:val="0088780A"/>
    <w:rsid w:val="00890D8F"/>
    <w:rsid w:val="00891488"/>
    <w:rsid w:val="008927C5"/>
    <w:rsid w:val="00895180"/>
    <w:rsid w:val="008959CD"/>
    <w:rsid w:val="00897472"/>
    <w:rsid w:val="0089791A"/>
    <w:rsid w:val="00897DB2"/>
    <w:rsid w:val="008A0299"/>
    <w:rsid w:val="008A0D9F"/>
    <w:rsid w:val="008A1B38"/>
    <w:rsid w:val="008A1B7F"/>
    <w:rsid w:val="008A23B5"/>
    <w:rsid w:val="008A29C6"/>
    <w:rsid w:val="008A2F8C"/>
    <w:rsid w:val="008A39EB"/>
    <w:rsid w:val="008A411D"/>
    <w:rsid w:val="008A44B4"/>
    <w:rsid w:val="008A44F5"/>
    <w:rsid w:val="008A4637"/>
    <w:rsid w:val="008A46F7"/>
    <w:rsid w:val="008A4F0F"/>
    <w:rsid w:val="008A694A"/>
    <w:rsid w:val="008B1E2F"/>
    <w:rsid w:val="008B2259"/>
    <w:rsid w:val="008B2FC7"/>
    <w:rsid w:val="008B34D0"/>
    <w:rsid w:val="008B3B01"/>
    <w:rsid w:val="008B4536"/>
    <w:rsid w:val="008B4EF5"/>
    <w:rsid w:val="008B5DFE"/>
    <w:rsid w:val="008B5E41"/>
    <w:rsid w:val="008B649D"/>
    <w:rsid w:val="008B7B02"/>
    <w:rsid w:val="008C0844"/>
    <w:rsid w:val="008C08E1"/>
    <w:rsid w:val="008C1236"/>
    <w:rsid w:val="008C125B"/>
    <w:rsid w:val="008C1474"/>
    <w:rsid w:val="008C14DD"/>
    <w:rsid w:val="008C1705"/>
    <w:rsid w:val="008C2CD4"/>
    <w:rsid w:val="008C377D"/>
    <w:rsid w:val="008C3C7D"/>
    <w:rsid w:val="008C3F61"/>
    <w:rsid w:val="008C4B3C"/>
    <w:rsid w:val="008C53C5"/>
    <w:rsid w:val="008C5C9E"/>
    <w:rsid w:val="008C5DF2"/>
    <w:rsid w:val="008C6C8C"/>
    <w:rsid w:val="008D01EE"/>
    <w:rsid w:val="008D066E"/>
    <w:rsid w:val="008D0C6A"/>
    <w:rsid w:val="008D0E6E"/>
    <w:rsid w:val="008D129F"/>
    <w:rsid w:val="008D2EE8"/>
    <w:rsid w:val="008D32ED"/>
    <w:rsid w:val="008D44B0"/>
    <w:rsid w:val="008D4896"/>
    <w:rsid w:val="008D48E2"/>
    <w:rsid w:val="008D7B39"/>
    <w:rsid w:val="008E0B45"/>
    <w:rsid w:val="008E1300"/>
    <w:rsid w:val="008E1344"/>
    <w:rsid w:val="008E1F40"/>
    <w:rsid w:val="008E2209"/>
    <w:rsid w:val="008E3F66"/>
    <w:rsid w:val="008E56A0"/>
    <w:rsid w:val="008E6C8E"/>
    <w:rsid w:val="008E740C"/>
    <w:rsid w:val="008E761A"/>
    <w:rsid w:val="008E790B"/>
    <w:rsid w:val="008E7F11"/>
    <w:rsid w:val="008F111E"/>
    <w:rsid w:val="008F1532"/>
    <w:rsid w:val="008F268C"/>
    <w:rsid w:val="008F28FE"/>
    <w:rsid w:val="008F3550"/>
    <w:rsid w:val="008F38B0"/>
    <w:rsid w:val="008F399B"/>
    <w:rsid w:val="008F3CE5"/>
    <w:rsid w:val="008F44ED"/>
    <w:rsid w:val="008F4BB8"/>
    <w:rsid w:val="008F6918"/>
    <w:rsid w:val="008F6943"/>
    <w:rsid w:val="008F7308"/>
    <w:rsid w:val="008F73F9"/>
    <w:rsid w:val="008F7FD2"/>
    <w:rsid w:val="00900C04"/>
    <w:rsid w:val="00900EC2"/>
    <w:rsid w:val="009042AB"/>
    <w:rsid w:val="00905910"/>
    <w:rsid w:val="009059A4"/>
    <w:rsid w:val="00905B75"/>
    <w:rsid w:val="009060ED"/>
    <w:rsid w:val="00907043"/>
    <w:rsid w:val="00910652"/>
    <w:rsid w:val="0091255F"/>
    <w:rsid w:val="00912660"/>
    <w:rsid w:val="00913762"/>
    <w:rsid w:val="00913AA3"/>
    <w:rsid w:val="00914070"/>
    <w:rsid w:val="009145E5"/>
    <w:rsid w:val="00914DC9"/>
    <w:rsid w:val="0091552F"/>
    <w:rsid w:val="00915CA6"/>
    <w:rsid w:val="00915DB7"/>
    <w:rsid w:val="00915EDF"/>
    <w:rsid w:val="009213EB"/>
    <w:rsid w:val="009214D2"/>
    <w:rsid w:val="009230C9"/>
    <w:rsid w:val="00923114"/>
    <w:rsid w:val="009234DF"/>
    <w:rsid w:val="00924355"/>
    <w:rsid w:val="0092436B"/>
    <w:rsid w:val="0092483E"/>
    <w:rsid w:val="00925C14"/>
    <w:rsid w:val="00927649"/>
    <w:rsid w:val="00930EBC"/>
    <w:rsid w:val="0093119C"/>
    <w:rsid w:val="0093359E"/>
    <w:rsid w:val="00933860"/>
    <w:rsid w:val="00933DE6"/>
    <w:rsid w:val="009341B7"/>
    <w:rsid w:val="00934B1D"/>
    <w:rsid w:val="00934D41"/>
    <w:rsid w:val="00935B8C"/>
    <w:rsid w:val="00936316"/>
    <w:rsid w:val="00937A50"/>
    <w:rsid w:val="00937B02"/>
    <w:rsid w:val="009403B2"/>
    <w:rsid w:val="00940C30"/>
    <w:rsid w:val="00940FF6"/>
    <w:rsid w:val="00941C93"/>
    <w:rsid w:val="009422D8"/>
    <w:rsid w:val="00942D97"/>
    <w:rsid w:val="00943B8E"/>
    <w:rsid w:val="0094439F"/>
    <w:rsid w:val="00944498"/>
    <w:rsid w:val="00944504"/>
    <w:rsid w:val="009450E1"/>
    <w:rsid w:val="00945DB3"/>
    <w:rsid w:val="00946797"/>
    <w:rsid w:val="009473D7"/>
    <w:rsid w:val="0094742D"/>
    <w:rsid w:val="009505B8"/>
    <w:rsid w:val="009518D6"/>
    <w:rsid w:val="0095254F"/>
    <w:rsid w:val="0095359B"/>
    <w:rsid w:val="00953E55"/>
    <w:rsid w:val="00953F26"/>
    <w:rsid w:val="00954A30"/>
    <w:rsid w:val="00956700"/>
    <w:rsid w:val="00956D30"/>
    <w:rsid w:val="009576F2"/>
    <w:rsid w:val="0096055F"/>
    <w:rsid w:val="00960715"/>
    <w:rsid w:val="00960AE4"/>
    <w:rsid w:val="0096134D"/>
    <w:rsid w:val="00961504"/>
    <w:rsid w:val="0096155D"/>
    <w:rsid w:val="00963BD0"/>
    <w:rsid w:val="00963E03"/>
    <w:rsid w:val="00963EC4"/>
    <w:rsid w:val="009645C8"/>
    <w:rsid w:val="00967368"/>
    <w:rsid w:val="00972DC7"/>
    <w:rsid w:val="009730C8"/>
    <w:rsid w:val="009733EC"/>
    <w:rsid w:val="00973BDB"/>
    <w:rsid w:val="00973F13"/>
    <w:rsid w:val="009742EE"/>
    <w:rsid w:val="00974B57"/>
    <w:rsid w:val="0097544A"/>
    <w:rsid w:val="00977286"/>
    <w:rsid w:val="00977A0B"/>
    <w:rsid w:val="00980420"/>
    <w:rsid w:val="00980610"/>
    <w:rsid w:val="00981896"/>
    <w:rsid w:val="00981E1F"/>
    <w:rsid w:val="0098250E"/>
    <w:rsid w:val="0098257F"/>
    <w:rsid w:val="009828AD"/>
    <w:rsid w:val="00982DE7"/>
    <w:rsid w:val="00982F19"/>
    <w:rsid w:val="00983715"/>
    <w:rsid w:val="009848FC"/>
    <w:rsid w:val="00985788"/>
    <w:rsid w:val="00986D15"/>
    <w:rsid w:val="00987521"/>
    <w:rsid w:val="00990F34"/>
    <w:rsid w:val="00991DF0"/>
    <w:rsid w:val="009924A6"/>
    <w:rsid w:val="0099306F"/>
    <w:rsid w:val="0099341E"/>
    <w:rsid w:val="00993538"/>
    <w:rsid w:val="00994189"/>
    <w:rsid w:val="0099555F"/>
    <w:rsid w:val="00995FFB"/>
    <w:rsid w:val="00996AB5"/>
    <w:rsid w:val="00997B08"/>
    <w:rsid w:val="009A055F"/>
    <w:rsid w:val="009A0966"/>
    <w:rsid w:val="009A2149"/>
    <w:rsid w:val="009A22AE"/>
    <w:rsid w:val="009A2C8D"/>
    <w:rsid w:val="009A46C3"/>
    <w:rsid w:val="009A4EA6"/>
    <w:rsid w:val="009A635F"/>
    <w:rsid w:val="009A75A5"/>
    <w:rsid w:val="009A7C57"/>
    <w:rsid w:val="009A7F18"/>
    <w:rsid w:val="009B04B7"/>
    <w:rsid w:val="009B0788"/>
    <w:rsid w:val="009B1A01"/>
    <w:rsid w:val="009B2150"/>
    <w:rsid w:val="009B253D"/>
    <w:rsid w:val="009B3182"/>
    <w:rsid w:val="009B31CC"/>
    <w:rsid w:val="009B4952"/>
    <w:rsid w:val="009B58D6"/>
    <w:rsid w:val="009B5BC1"/>
    <w:rsid w:val="009B5D9D"/>
    <w:rsid w:val="009B68EB"/>
    <w:rsid w:val="009B7800"/>
    <w:rsid w:val="009C0221"/>
    <w:rsid w:val="009C2417"/>
    <w:rsid w:val="009C3355"/>
    <w:rsid w:val="009C4211"/>
    <w:rsid w:val="009C442E"/>
    <w:rsid w:val="009C447B"/>
    <w:rsid w:val="009C48B3"/>
    <w:rsid w:val="009C4AF2"/>
    <w:rsid w:val="009C5A75"/>
    <w:rsid w:val="009C632B"/>
    <w:rsid w:val="009C6364"/>
    <w:rsid w:val="009C7354"/>
    <w:rsid w:val="009D0458"/>
    <w:rsid w:val="009D139F"/>
    <w:rsid w:val="009D1D49"/>
    <w:rsid w:val="009D22A7"/>
    <w:rsid w:val="009D37CF"/>
    <w:rsid w:val="009D5E88"/>
    <w:rsid w:val="009D5F29"/>
    <w:rsid w:val="009D752B"/>
    <w:rsid w:val="009D7D33"/>
    <w:rsid w:val="009E0502"/>
    <w:rsid w:val="009E067D"/>
    <w:rsid w:val="009E20F5"/>
    <w:rsid w:val="009E5078"/>
    <w:rsid w:val="009E58D7"/>
    <w:rsid w:val="009E60F9"/>
    <w:rsid w:val="009E6168"/>
    <w:rsid w:val="009E716D"/>
    <w:rsid w:val="009E7817"/>
    <w:rsid w:val="009F0DBB"/>
    <w:rsid w:val="009F106A"/>
    <w:rsid w:val="009F1EAA"/>
    <w:rsid w:val="009F371C"/>
    <w:rsid w:val="009F4B81"/>
    <w:rsid w:val="009F6CE4"/>
    <w:rsid w:val="009F6D99"/>
    <w:rsid w:val="009F7BBA"/>
    <w:rsid w:val="00A002EB"/>
    <w:rsid w:val="00A018C0"/>
    <w:rsid w:val="00A02782"/>
    <w:rsid w:val="00A0282E"/>
    <w:rsid w:val="00A045D4"/>
    <w:rsid w:val="00A06990"/>
    <w:rsid w:val="00A06FCC"/>
    <w:rsid w:val="00A1009D"/>
    <w:rsid w:val="00A1023D"/>
    <w:rsid w:val="00A102E3"/>
    <w:rsid w:val="00A107BF"/>
    <w:rsid w:val="00A10B7D"/>
    <w:rsid w:val="00A115E7"/>
    <w:rsid w:val="00A11897"/>
    <w:rsid w:val="00A12933"/>
    <w:rsid w:val="00A141AF"/>
    <w:rsid w:val="00A14C3C"/>
    <w:rsid w:val="00A15867"/>
    <w:rsid w:val="00A160C6"/>
    <w:rsid w:val="00A1612B"/>
    <w:rsid w:val="00A16443"/>
    <w:rsid w:val="00A20CA8"/>
    <w:rsid w:val="00A20CF9"/>
    <w:rsid w:val="00A20EBC"/>
    <w:rsid w:val="00A21BC0"/>
    <w:rsid w:val="00A22BB0"/>
    <w:rsid w:val="00A2398E"/>
    <w:rsid w:val="00A24413"/>
    <w:rsid w:val="00A2573E"/>
    <w:rsid w:val="00A25DD5"/>
    <w:rsid w:val="00A26363"/>
    <w:rsid w:val="00A26FA1"/>
    <w:rsid w:val="00A272DA"/>
    <w:rsid w:val="00A30171"/>
    <w:rsid w:val="00A3035D"/>
    <w:rsid w:val="00A310A2"/>
    <w:rsid w:val="00A31285"/>
    <w:rsid w:val="00A329D9"/>
    <w:rsid w:val="00A32EB8"/>
    <w:rsid w:val="00A33126"/>
    <w:rsid w:val="00A33EB7"/>
    <w:rsid w:val="00A3410B"/>
    <w:rsid w:val="00A3444F"/>
    <w:rsid w:val="00A346BA"/>
    <w:rsid w:val="00A3595A"/>
    <w:rsid w:val="00A378D9"/>
    <w:rsid w:val="00A37F36"/>
    <w:rsid w:val="00A37F80"/>
    <w:rsid w:val="00A41716"/>
    <w:rsid w:val="00A43071"/>
    <w:rsid w:val="00A43A63"/>
    <w:rsid w:val="00A445A5"/>
    <w:rsid w:val="00A462A0"/>
    <w:rsid w:val="00A46363"/>
    <w:rsid w:val="00A46580"/>
    <w:rsid w:val="00A47715"/>
    <w:rsid w:val="00A4779C"/>
    <w:rsid w:val="00A47BAD"/>
    <w:rsid w:val="00A50898"/>
    <w:rsid w:val="00A51A31"/>
    <w:rsid w:val="00A51F2E"/>
    <w:rsid w:val="00A5214F"/>
    <w:rsid w:val="00A52696"/>
    <w:rsid w:val="00A526F6"/>
    <w:rsid w:val="00A52BF5"/>
    <w:rsid w:val="00A53251"/>
    <w:rsid w:val="00A541CC"/>
    <w:rsid w:val="00A542D5"/>
    <w:rsid w:val="00A5475C"/>
    <w:rsid w:val="00A54A8E"/>
    <w:rsid w:val="00A55104"/>
    <w:rsid w:val="00A5517A"/>
    <w:rsid w:val="00A55AE4"/>
    <w:rsid w:val="00A564DB"/>
    <w:rsid w:val="00A56FE9"/>
    <w:rsid w:val="00A57797"/>
    <w:rsid w:val="00A6008F"/>
    <w:rsid w:val="00A61DB4"/>
    <w:rsid w:val="00A6212D"/>
    <w:rsid w:val="00A62163"/>
    <w:rsid w:val="00A62388"/>
    <w:rsid w:val="00A647CF"/>
    <w:rsid w:val="00A64EA3"/>
    <w:rsid w:val="00A65B04"/>
    <w:rsid w:val="00A66548"/>
    <w:rsid w:val="00A66C0D"/>
    <w:rsid w:val="00A67519"/>
    <w:rsid w:val="00A68D68"/>
    <w:rsid w:val="00A701E0"/>
    <w:rsid w:val="00A70599"/>
    <w:rsid w:val="00A711E6"/>
    <w:rsid w:val="00A7123E"/>
    <w:rsid w:val="00A71980"/>
    <w:rsid w:val="00A71AED"/>
    <w:rsid w:val="00A71C1A"/>
    <w:rsid w:val="00A71F69"/>
    <w:rsid w:val="00A722F6"/>
    <w:rsid w:val="00A72720"/>
    <w:rsid w:val="00A734C6"/>
    <w:rsid w:val="00A73924"/>
    <w:rsid w:val="00A73D46"/>
    <w:rsid w:val="00A73E2C"/>
    <w:rsid w:val="00A73E5A"/>
    <w:rsid w:val="00A74D8E"/>
    <w:rsid w:val="00A74EB9"/>
    <w:rsid w:val="00A75C7C"/>
    <w:rsid w:val="00A765AF"/>
    <w:rsid w:val="00A76859"/>
    <w:rsid w:val="00A76A59"/>
    <w:rsid w:val="00A76FBC"/>
    <w:rsid w:val="00A7778D"/>
    <w:rsid w:val="00A77C9B"/>
    <w:rsid w:val="00A8033E"/>
    <w:rsid w:val="00A80474"/>
    <w:rsid w:val="00A80AA6"/>
    <w:rsid w:val="00A8108C"/>
    <w:rsid w:val="00A82304"/>
    <w:rsid w:val="00A83396"/>
    <w:rsid w:val="00A84572"/>
    <w:rsid w:val="00A84B7C"/>
    <w:rsid w:val="00A84E32"/>
    <w:rsid w:val="00A8522E"/>
    <w:rsid w:val="00A85817"/>
    <w:rsid w:val="00A860D2"/>
    <w:rsid w:val="00A8632D"/>
    <w:rsid w:val="00A86A03"/>
    <w:rsid w:val="00A86D4F"/>
    <w:rsid w:val="00A871A6"/>
    <w:rsid w:val="00A87E1D"/>
    <w:rsid w:val="00A900EE"/>
    <w:rsid w:val="00A90D3F"/>
    <w:rsid w:val="00A917AF"/>
    <w:rsid w:val="00A9235E"/>
    <w:rsid w:val="00A924B3"/>
    <w:rsid w:val="00A9285E"/>
    <w:rsid w:val="00A92F48"/>
    <w:rsid w:val="00A9577C"/>
    <w:rsid w:val="00A96340"/>
    <w:rsid w:val="00AA04A6"/>
    <w:rsid w:val="00AA0A8E"/>
    <w:rsid w:val="00AA1248"/>
    <w:rsid w:val="00AA16AB"/>
    <w:rsid w:val="00AA1A29"/>
    <w:rsid w:val="00AA334C"/>
    <w:rsid w:val="00AA3355"/>
    <w:rsid w:val="00AA3543"/>
    <w:rsid w:val="00AA3648"/>
    <w:rsid w:val="00AA5238"/>
    <w:rsid w:val="00AA5244"/>
    <w:rsid w:val="00AA605E"/>
    <w:rsid w:val="00AA6585"/>
    <w:rsid w:val="00AA73E5"/>
    <w:rsid w:val="00AB0EBB"/>
    <w:rsid w:val="00AB2DA7"/>
    <w:rsid w:val="00AB3328"/>
    <w:rsid w:val="00AB33F0"/>
    <w:rsid w:val="00AB4F70"/>
    <w:rsid w:val="00AB52F3"/>
    <w:rsid w:val="00AB5307"/>
    <w:rsid w:val="00AB5844"/>
    <w:rsid w:val="00AB6942"/>
    <w:rsid w:val="00AB6D72"/>
    <w:rsid w:val="00AB7A29"/>
    <w:rsid w:val="00AC108F"/>
    <w:rsid w:val="00AC2F8F"/>
    <w:rsid w:val="00AC3560"/>
    <w:rsid w:val="00AD0A65"/>
    <w:rsid w:val="00AD1741"/>
    <w:rsid w:val="00AD218E"/>
    <w:rsid w:val="00AD33CB"/>
    <w:rsid w:val="00AD4ADD"/>
    <w:rsid w:val="00AD5021"/>
    <w:rsid w:val="00AD584C"/>
    <w:rsid w:val="00AD720C"/>
    <w:rsid w:val="00AD766B"/>
    <w:rsid w:val="00AD7912"/>
    <w:rsid w:val="00AD7B57"/>
    <w:rsid w:val="00AE0774"/>
    <w:rsid w:val="00AE2363"/>
    <w:rsid w:val="00AE3958"/>
    <w:rsid w:val="00AE459B"/>
    <w:rsid w:val="00AE4A01"/>
    <w:rsid w:val="00AE4A32"/>
    <w:rsid w:val="00AE50A6"/>
    <w:rsid w:val="00AE5AC6"/>
    <w:rsid w:val="00AE6A21"/>
    <w:rsid w:val="00AE6FE0"/>
    <w:rsid w:val="00AE7572"/>
    <w:rsid w:val="00AE7659"/>
    <w:rsid w:val="00AE7A05"/>
    <w:rsid w:val="00AE7F98"/>
    <w:rsid w:val="00AF0366"/>
    <w:rsid w:val="00AF0795"/>
    <w:rsid w:val="00AF07AD"/>
    <w:rsid w:val="00AF0DDE"/>
    <w:rsid w:val="00AF1353"/>
    <w:rsid w:val="00AF1840"/>
    <w:rsid w:val="00AF273A"/>
    <w:rsid w:val="00AF27B0"/>
    <w:rsid w:val="00AF2996"/>
    <w:rsid w:val="00AF36F7"/>
    <w:rsid w:val="00AF42BE"/>
    <w:rsid w:val="00AF4E70"/>
    <w:rsid w:val="00AF585F"/>
    <w:rsid w:val="00AF6211"/>
    <w:rsid w:val="00AF6BD3"/>
    <w:rsid w:val="00AF6CBA"/>
    <w:rsid w:val="00AF70B9"/>
    <w:rsid w:val="00AF76C8"/>
    <w:rsid w:val="00B00513"/>
    <w:rsid w:val="00B01494"/>
    <w:rsid w:val="00B016AB"/>
    <w:rsid w:val="00B022C1"/>
    <w:rsid w:val="00B02D60"/>
    <w:rsid w:val="00B030C4"/>
    <w:rsid w:val="00B0359F"/>
    <w:rsid w:val="00B03E8B"/>
    <w:rsid w:val="00B048E8"/>
    <w:rsid w:val="00B04926"/>
    <w:rsid w:val="00B0581A"/>
    <w:rsid w:val="00B067AF"/>
    <w:rsid w:val="00B06C49"/>
    <w:rsid w:val="00B06FC9"/>
    <w:rsid w:val="00B0768E"/>
    <w:rsid w:val="00B1337E"/>
    <w:rsid w:val="00B133B0"/>
    <w:rsid w:val="00B15CF6"/>
    <w:rsid w:val="00B1746C"/>
    <w:rsid w:val="00B17534"/>
    <w:rsid w:val="00B17AFC"/>
    <w:rsid w:val="00B17B75"/>
    <w:rsid w:val="00B17F34"/>
    <w:rsid w:val="00B17F97"/>
    <w:rsid w:val="00B20291"/>
    <w:rsid w:val="00B20295"/>
    <w:rsid w:val="00B20F5F"/>
    <w:rsid w:val="00B2262D"/>
    <w:rsid w:val="00B22B6D"/>
    <w:rsid w:val="00B231A9"/>
    <w:rsid w:val="00B23B2F"/>
    <w:rsid w:val="00B245D4"/>
    <w:rsid w:val="00B246DB"/>
    <w:rsid w:val="00B252A0"/>
    <w:rsid w:val="00B2664B"/>
    <w:rsid w:val="00B277D1"/>
    <w:rsid w:val="00B31B34"/>
    <w:rsid w:val="00B32093"/>
    <w:rsid w:val="00B32286"/>
    <w:rsid w:val="00B32537"/>
    <w:rsid w:val="00B32E42"/>
    <w:rsid w:val="00B33346"/>
    <w:rsid w:val="00B33978"/>
    <w:rsid w:val="00B3419F"/>
    <w:rsid w:val="00B3477E"/>
    <w:rsid w:val="00B352B5"/>
    <w:rsid w:val="00B35CA2"/>
    <w:rsid w:val="00B37C6C"/>
    <w:rsid w:val="00B409CA"/>
    <w:rsid w:val="00B40A96"/>
    <w:rsid w:val="00B421C7"/>
    <w:rsid w:val="00B42FB7"/>
    <w:rsid w:val="00B4454B"/>
    <w:rsid w:val="00B45352"/>
    <w:rsid w:val="00B45392"/>
    <w:rsid w:val="00B457F6"/>
    <w:rsid w:val="00B471C5"/>
    <w:rsid w:val="00B47BEA"/>
    <w:rsid w:val="00B47C1B"/>
    <w:rsid w:val="00B51088"/>
    <w:rsid w:val="00B51945"/>
    <w:rsid w:val="00B51C76"/>
    <w:rsid w:val="00B52A2E"/>
    <w:rsid w:val="00B54478"/>
    <w:rsid w:val="00B55780"/>
    <w:rsid w:val="00B55AC9"/>
    <w:rsid w:val="00B61385"/>
    <w:rsid w:val="00B61A1F"/>
    <w:rsid w:val="00B62453"/>
    <w:rsid w:val="00B62DF2"/>
    <w:rsid w:val="00B63603"/>
    <w:rsid w:val="00B63DFA"/>
    <w:rsid w:val="00B65064"/>
    <w:rsid w:val="00B66B37"/>
    <w:rsid w:val="00B67FBD"/>
    <w:rsid w:val="00B70D14"/>
    <w:rsid w:val="00B71C0F"/>
    <w:rsid w:val="00B71D6D"/>
    <w:rsid w:val="00B7258F"/>
    <w:rsid w:val="00B73C69"/>
    <w:rsid w:val="00B74ACD"/>
    <w:rsid w:val="00B75F6B"/>
    <w:rsid w:val="00B76124"/>
    <w:rsid w:val="00B769C4"/>
    <w:rsid w:val="00B76BE8"/>
    <w:rsid w:val="00B7712C"/>
    <w:rsid w:val="00B7713A"/>
    <w:rsid w:val="00B77F78"/>
    <w:rsid w:val="00B806CE"/>
    <w:rsid w:val="00B80B1D"/>
    <w:rsid w:val="00B82A03"/>
    <w:rsid w:val="00B82E1C"/>
    <w:rsid w:val="00B83614"/>
    <w:rsid w:val="00B83DA5"/>
    <w:rsid w:val="00B84B3E"/>
    <w:rsid w:val="00B84DFB"/>
    <w:rsid w:val="00B8516F"/>
    <w:rsid w:val="00B861E9"/>
    <w:rsid w:val="00B86765"/>
    <w:rsid w:val="00B86B67"/>
    <w:rsid w:val="00B86BBE"/>
    <w:rsid w:val="00B876B3"/>
    <w:rsid w:val="00B87811"/>
    <w:rsid w:val="00B900E1"/>
    <w:rsid w:val="00B90372"/>
    <w:rsid w:val="00B90630"/>
    <w:rsid w:val="00B90AF6"/>
    <w:rsid w:val="00B9156C"/>
    <w:rsid w:val="00B91FA0"/>
    <w:rsid w:val="00B934A0"/>
    <w:rsid w:val="00B94505"/>
    <w:rsid w:val="00B9472E"/>
    <w:rsid w:val="00B95B8B"/>
    <w:rsid w:val="00B96446"/>
    <w:rsid w:val="00B966AC"/>
    <w:rsid w:val="00B966E2"/>
    <w:rsid w:val="00B96780"/>
    <w:rsid w:val="00B96D45"/>
    <w:rsid w:val="00B96EE6"/>
    <w:rsid w:val="00B97762"/>
    <w:rsid w:val="00BA0420"/>
    <w:rsid w:val="00BA0E4D"/>
    <w:rsid w:val="00BA297F"/>
    <w:rsid w:val="00BA48E6"/>
    <w:rsid w:val="00BA4A52"/>
    <w:rsid w:val="00BA682E"/>
    <w:rsid w:val="00BA76F2"/>
    <w:rsid w:val="00BB0050"/>
    <w:rsid w:val="00BB04A8"/>
    <w:rsid w:val="00BB0FFB"/>
    <w:rsid w:val="00BB1698"/>
    <w:rsid w:val="00BB1872"/>
    <w:rsid w:val="00BB19C3"/>
    <w:rsid w:val="00BB1B0B"/>
    <w:rsid w:val="00BB2C34"/>
    <w:rsid w:val="00BB3207"/>
    <w:rsid w:val="00BB3541"/>
    <w:rsid w:val="00BB43A1"/>
    <w:rsid w:val="00BB46C0"/>
    <w:rsid w:val="00BB573B"/>
    <w:rsid w:val="00BB59D4"/>
    <w:rsid w:val="00BB63DC"/>
    <w:rsid w:val="00BB67BE"/>
    <w:rsid w:val="00BB6CF2"/>
    <w:rsid w:val="00BB7344"/>
    <w:rsid w:val="00BB7C8B"/>
    <w:rsid w:val="00BB7EC1"/>
    <w:rsid w:val="00BC08FD"/>
    <w:rsid w:val="00BC0B70"/>
    <w:rsid w:val="00BC0B8C"/>
    <w:rsid w:val="00BC1189"/>
    <w:rsid w:val="00BC1AC0"/>
    <w:rsid w:val="00BC1F98"/>
    <w:rsid w:val="00BC2306"/>
    <w:rsid w:val="00BC23DB"/>
    <w:rsid w:val="00BC23EA"/>
    <w:rsid w:val="00BC2B8F"/>
    <w:rsid w:val="00BC4D11"/>
    <w:rsid w:val="00BC6E8B"/>
    <w:rsid w:val="00BC73D3"/>
    <w:rsid w:val="00BC7C2F"/>
    <w:rsid w:val="00BC7F65"/>
    <w:rsid w:val="00BD138C"/>
    <w:rsid w:val="00BD15B2"/>
    <w:rsid w:val="00BD2898"/>
    <w:rsid w:val="00BD3272"/>
    <w:rsid w:val="00BD3D52"/>
    <w:rsid w:val="00BD4EF5"/>
    <w:rsid w:val="00BD5746"/>
    <w:rsid w:val="00BD623A"/>
    <w:rsid w:val="00BD772F"/>
    <w:rsid w:val="00BE06CE"/>
    <w:rsid w:val="00BE0F1F"/>
    <w:rsid w:val="00BE1555"/>
    <w:rsid w:val="00BE2385"/>
    <w:rsid w:val="00BE2592"/>
    <w:rsid w:val="00BE34F1"/>
    <w:rsid w:val="00BE5042"/>
    <w:rsid w:val="00BE5C74"/>
    <w:rsid w:val="00BE5EA3"/>
    <w:rsid w:val="00BE6956"/>
    <w:rsid w:val="00BF120A"/>
    <w:rsid w:val="00BF154A"/>
    <w:rsid w:val="00BF36ED"/>
    <w:rsid w:val="00BF7622"/>
    <w:rsid w:val="00C00329"/>
    <w:rsid w:val="00C00712"/>
    <w:rsid w:val="00C00D62"/>
    <w:rsid w:val="00C00DCB"/>
    <w:rsid w:val="00C012F4"/>
    <w:rsid w:val="00C01E39"/>
    <w:rsid w:val="00C01F31"/>
    <w:rsid w:val="00C020A8"/>
    <w:rsid w:val="00C0221A"/>
    <w:rsid w:val="00C02493"/>
    <w:rsid w:val="00C02A69"/>
    <w:rsid w:val="00C033BD"/>
    <w:rsid w:val="00C03798"/>
    <w:rsid w:val="00C03B01"/>
    <w:rsid w:val="00C045B3"/>
    <w:rsid w:val="00C04835"/>
    <w:rsid w:val="00C05119"/>
    <w:rsid w:val="00C05FED"/>
    <w:rsid w:val="00C0738D"/>
    <w:rsid w:val="00C0763F"/>
    <w:rsid w:val="00C11653"/>
    <w:rsid w:val="00C11BE7"/>
    <w:rsid w:val="00C12331"/>
    <w:rsid w:val="00C136A1"/>
    <w:rsid w:val="00C14CC1"/>
    <w:rsid w:val="00C1527C"/>
    <w:rsid w:val="00C15EB0"/>
    <w:rsid w:val="00C16297"/>
    <w:rsid w:val="00C16636"/>
    <w:rsid w:val="00C167E6"/>
    <w:rsid w:val="00C16865"/>
    <w:rsid w:val="00C1695F"/>
    <w:rsid w:val="00C17746"/>
    <w:rsid w:val="00C17907"/>
    <w:rsid w:val="00C20D70"/>
    <w:rsid w:val="00C212AE"/>
    <w:rsid w:val="00C22CDA"/>
    <w:rsid w:val="00C230DA"/>
    <w:rsid w:val="00C23C90"/>
    <w:rsid w:val="00C23F86"/>
    <w:rsid w:val="00C24104"/>
    <w:rsid w:val="00C267CB"/>
    <w:rsid w:val="00C26BF0"/>
    <w:rsid w:val="00C2735B"/>
    <w:rsid w:val="00C277F7"/>
    <w:rsid w:val="00C27E96"/>
    <w:rsid w:val="00C3025E"/>
    <w:rsid w:val="00C30430"/>
    <w:rsid w:val="00C312FE"/>
    <w:rsid w:val="00C31575"/>
    <w:rsid w:val="00C317FE"/>
    <w:rsid w:val="00C31F04"/>
    <w:rsid w:val="00C32786"/>
    <w:rsid w:val="00C327F8"/>
    <w:rsid w:val="00C32961"/>
    <w:rsid w:val="00C33559"/>
    <w:rsid w:val="00C33EC9"/>
    <w:rsid w:val="00C34AD0"/>
    <w:rsid w:val="00C36196"/>
    <w:rsid w:val="00C36A64"/>
    <w:rsid w:val="00C36B5E"/>
    <w:rsid w:val="00C36FE6"/>
    <w:rsid w:val="00C37049"/>
    <w:rsid w:val="00C379A8"/>
    <w:rsid w:val="00C37B4B"/>
    <w:rsid w:val="00C37BAE"/>
    <w:rsid w:val="00C40951"/>
    <w:rsid w:val="00C40CC4"/>
    <w:rsid w:val="00C412C6"/>
    <w:rsid w:val="00C42303"/>
    <w:rsid w:val="00C42339"/>
    <w:rsid w:val="00C459B9"/>
    <w:rsid w:val="00C46FD8"/>
    <w:rsid w:val="00C4764E"/>
    <w:rsid w:val="00C47B44"/>
    <w:rsid w:val="00C50BAF"/>
    <w:rsid w:val="00C51A20"/>
    <w:rsid w:val="00C51C76"/>
    <w:rsid w:val="00C5223E"/>
    <w:rsid w:val="00C5259C"/>
    <w:rsid w:val="00C52984"/>
    <w:rsid w:val="00C529A5"/>
    <w:rsid w:val="00C530CC"/>
    <w:rsid w:val="00C53D72"/>
    <w:rsid w:val="00C5418E"/>
    <w:rsid w:val="00C54349"/>
    <w:rsid w:val="00C55AE7"/>
    <w:rsid w:val="00C55C2E"/>
    <w:rsid w:val="00C564B9"/>
    <w:rsid w:val="00C57E13"/>
    <w:rsid w:val="00C60BED"/>
    <w:rsid w:val="00C612B5"/>
    <w:rsid w:val="00C617A6"/>
    <w:rsid w:val="00C63303"/>
    <w:rsid w:val="00C63755"/>
    <w:rsid w:val="00C642A6"/>
    <w:rsid w:val="00C64764"/>
    <w:rsid w:val="00C64B7F"/>
    <w:rsid w:val="00C6695B"/>
    <w:rsid w:val="00C673FF"/>
    <w:rsid w:val="00C67BB2"/>
    <w:rsid w:val="00C67F38"/>
    <w:rsid w:val="00C67F76"/>
    <w:rsid w:val="00C70C89"/>
    <w:rsid w:val="00C71179"/>
    <w:rsid w:val="00C71C33"/>
    <w:rsid w:val="00C72EC9"/>
    <w:rsid w:val="00C7523E"/>
    <w:rsid w:val="00C758AA"/>
    <w:rsid w:val="00C7640A"/>
    <w:rsid w:val="00C764EB"/>
    <w:rsid w:val="00C776E0"/>
    <w:rsid w:val="00C77B99"/>
    <w:rsid w:val="00C807C6"/>
    <w:rsid w:val="00C80A3E"/>
    <w:rsid w:val="00C836BB"/>
    <w:rsid w:val="00C83873"/>
    <w:rsid w:val="00C8455A"/>
    <w:rsid w:val="00C84C9C"/>
    <w:rsid w:val="00C84E1A"/>
    <w:rsid w:val="00C85968"/>
    <w:rsid w:val="00C85BAF"/>
    <w:rsid w:val="00C860E0"/>
    <w:rsid w:val="00C87269"/>
    <w:rsid w:val="00C87E62"/>
    <w:rsid w:val="00C90A5C"/>
    <w:rsid w:val="00C913EA"/>
    <w:rsid w:val="00C92459"/>
    <w:rsid w:val="00C928C4"/>
    <w:rsid w:val="00C93024"/>
    <w:rsid w:val="00C93E34"/>
    <w:rsid w:val="00C94105"/>
    <w:rsid w:val="00C9447D"/>
    <w:rsid w:val="00C9459D"/>
    <w:rsid w:val="00C94961"/>
    <w:rsid w:val="00C94CE2"/>
    <w:rsid w:val="00C95B45"/>
    <w:rsid w:val="00C9605D"/>
    <w:rsid w:val="00C963EB"/>
    <w:rsid w:val="00C96C4D"/>
    <w:rsid w:val="00C97C37"/>
    <w:rsid w:val="00CA0087"/>
    <w:rsid w:val="00CA18A3"/>
    <w:rsid w:val="00CA1ACB"/>
    <w:rsid w:val="00CA1DAD"/>
    <w:rsid w:val="00CA22D2"/>
    <w:rsid w:val="00CA3A9D"/>
    <w:rsid w:val="00CA3C51"/>
    <w:rsid w:val="00CA41D9"/>
    <w:rsid w:val="00CA5C5E"/>
    <w:rsid w:val="00CA736A"/>
    <w:rsid w:val="00CA78A0"/>
    <w:rsid w:val="00CA7928"/>
    <w:rsid w:val="00CA7A74"/>
    <w:rsid w:val="00CB01F0"/>
    <w:rsid w:val="00CB0864"/>
    <w:rsid w:val="00CB1189"/>
    <w:rsid w:val="00CB16FC"/>
    <w:rsid w:val="00CB18AC"/>
    <w:rsid w:val="00CB2313"/>
    <w:rsid w:val="00CB2DFE"/>
    <w:rsid w:val="00CB33F8"/>
    <w:rsid w:val="00CB3C19"/>
    <w:rsid w:val="00CB3DD7"/>
    <w:rsid w:val="00CB4656"/>
    <w:rsid w:val="00CB5559"/>
    <w:rsid w:val="00CB6364"/>
    <w:rsid w:val="00CB66AD"/>
    <w:rsid w:val="00CC1667"/>
    <w:rsid w:val="00CC2491"/>
    <w:rsid w:val="00CC36B7"/>
    <w:rsid w:val="00CC3778"/>
    <w:rsid w:val="00CC4097"/>
    <w:rsid w:val="00CC4734"/>
    <w:rsid w:val="00CC481B"/>
    <w:rsid w:val="00CC48DE"/>
    <w:rsid w:val="00CC4A43"/>
    <w:rsid w:val="00CC5075"/>
    <w:rsid w:val="00CC5D76"/>
    <w:rsid w:val="00CC5DA8"/>
    <w:rsid w:val="00CC617E"/>
    <w:rsid w:val="00CC643B"/>
    <w:rsid w:val="00CC6490"/>
    <w:rsid w:val="00CC6581"/>
    <w:rsid w:val="00CC6AF4"/>
    <w:rsid w:val="00CC6B69"/>
    <w:rsid w:val="00CC6CE8"/>
    <w:rsid w:val="00CC7088"/>
    <w:rsid w:val="00CC7224"/>
    <w:rsid w:val="00CC78D9"/>
    <w:rsid w:val="00CD1244"/>
    <w:rsid w:val="00CD1414"/>
    <w:rsid w:val="00CD1B74"/>
    <w:rsid w:val="00CD248B"/>
    <w:rsid w:val="00CD2B6A"/>
    <w:rsid w:val="00CD4133"/>
    <w:rsid w:val="00CD440B"/>
    <w:rsid w:val="00CD496E"/>
    <w:rsid w:val="00CD4C94"/>
    <w:rsid w:val="00CD574A"/>
    <w:rsid w:val="00CD6048"/>
    <w:rsid w:val="00CD618A"/>
    <w:rsid w:val="00CD7675"/>
    <w:rsid w:val="00CD7972"/>
    <w:rsid w:val="00CD7D03"/>
    <w:rsid w:val="00CE14C4"/>
    <w:rsid w:val="00CE1B13"/>
    <w:rsid w:val="00CE1C2F"/>
    <w:rsid w:val="00CE2204"/>
    <w:rsid w:val="00CE29DB"/>
    <w:rsid w:val="00CE333F"/>
    <w:rsid w:val="00CE39DF"/>
    <w:rsid w:val="00CE3DE1"/>
    <w:rsid w:val="00CE56F8"/>
    <w:rsid w:val="00CE5AA6"/>
    <w:rsid w:val="00CE5D7B"/>
    <w:rsid w:val="00CE65C7"/>
    <w:rsid w:val="00CE6BDE"/>
    <w:rsid w:val="00CE6C5E"/>
    <w:rsid w:val="00CE6C6B"/>
    <w:rsid w:val="00CE74BD"/>
    <w:rsid w:val="00CE759E"/>
    <w:rsid w:val="00CE7602"/>
    <w:rsid w:val="00CE7801"/>
    <w:rsid w:val="00CE7B33"/>
    <w:rsid w:val="00CF0C7B"/>
    <w:rsid w:val="00CF11FA"/>
    <w:rsid w:val="00CF1208"/>
    <w:rsid w:val="00CF2046"/>
    <w:rsid w:val="00CF2849"/>
    <w:rsid w:val="00CF2E26"/>
    <w:rsid w:val="00CF2F1F"/>
    <w:rsid w:val="00CF4116"/>
    <w:rsid w:val="00CF46F8"/>
    <w:rsid w:val="00CF48D6"/>
    <w:rsid w:val="00CF5516"/>
    <w:rsid w:val="00CF5963"/>
    <w:rsid w:val="00CF6F3C"/>
    <w:rsid w:val="00CF7D72"/>
    <w:rsid w:val="00D0024A"/>
    <w:rsid w:val="00D00B7B"/>
    <w:rsid w:val="00D00ED0"/>
    <w:rsid w:val="00D01738"/>
    <w:rsid w:val="00D01EED"/>
    <w:rsid w:val="00D02ACB"/>
    <w:rsid w:val="00D03517"/>
    <w:rsid w:val="00D03658"/>
    <w:rsid w:val="00D0365C"/>
    <w:rsid w:val="00D03A61"/>
    <w:rsid w:val="00D03D56"/>
    <w:rsid w:val="00D05CA5"/>
    <w:rsid w:val="00D05F53"/>
    <w:rsid w:val="00D07CD6"/>
    <w:rsid w:val="00D105DF"/>
    <w:rsid w:val="00D112FE"/>
    <w:rsid w:val="00D13968"/>
    <w:rsid w:val="00D13AE3"/>
    <w:rsid w:val="00D14135"/>
    <w:rsid w:val="00D202F0"/>
    <w:rsid w:val="00D20753"/>
    <w:rsid w:val="00D2180C"/>
    <w:rsid w:val="00D220AB"/>
    <w:rsid w:val="00D2333C"/>
    <w:rsid w:val="00D237FE"/>
    <w:rsid w:val="00D238FF"/>
    <w:rsid w:val="00D23A97"/>
    <w:rsid w:val="00D24F60"/>
    <w:rsid w:val="00D2517A"/>
    <w:rsid w:val="00D25C02"/>
    <w:rsid w:val="00D2670B"/>
    <w:rsid w:val="00D30885"/>
    <w:rsid w:val="00D30E27"/>
    <w:rsid w:val="00D31904"/>
    <w:rsid w:val="00D31C38"/>
    <w:rsid w:val="00D31CDC"/>
    <w:rsid w:val="00D31E65"/>
    <w:rsid w:val="00D326A2"/>
    <w:rsid w:val="00D3666E"/>
    <w:rsid w:val="00D36770"/>
    <w:rsid w:val="00D372F1"/>
    <w:rsid w:val="00D37A3F"/>
    <w:rsid w:val="00D37FD4"/>
    <w:rsid w:val="00D403CD"/>
    <w:rsid w:val="00D40C36"/>
    <w:rsid w:val="00D41A59"/>
    <w:rsid w:val="00D42B13"/>
    <w:rsid w:val="00D43663"/>
    <w:rsid w:val="00D441CC"/>
    <w:rsid w:val="00D45A99"/>
    <w:rsid w:val="00D475E9"/>
    <w:rsid w:val="00D47FDE"/>
    <w:rsid w:val="00D504D9"/>
    <w:rsid w:val="00D51B80"/>
    <w:rsid w:val="00D51C77"/>
    <w:rsid w:val="00D52166"/>
    <w:rsid w:val="00D52956"/>
    <w:rsid w:val="00D5318A"/>
    <w:rsid w:val="00D5366F"/>
    <w:rsid w:val="00D53A80"/>
    <w:rsid w:val="00D53DCC"/>
    <w:rsid w:val="00D5510D"/>
    <w:rsid w:val="00D55674"/>
    <w:rsid w:val="00D5605D"/>
    <w:rsid w:val="00D5671C"/>
    <w:rsid w:val="00D60783"/>
    <w:rsid w:val="00D60E91"/>
    <w:rsid w:val="00D610BD"/>
    <w:rsid w:val="00D62161"/>
    <w:rsid w:val="00D62A33"/>
    <w:rsid w:val="00D63819"/>
    <w:rsid w:val="00D6496D"/>
    <w:rsid w:val="00D65D47"/>
    <w:rsid w:val="00D66AB4"/>
    <w:rsid w:val="00D67A5D"/>
    <w:rsid w:val="00D67AEB"/>
    <w:rsid w:val="00D7098D"/>
    <w:rsid w:val="00D714C1"/>
    <w:rsid w:val="00D71AA0"/>
    <w:rsid w:val="00D71BFB"/>
    <w:rsid w:val="00D73332"/>
    <w:rsid w:val="00D733F0"/>
    <w:rsid w:val="00D735C8"/>
    <w:rsid w:val="00D743ED"/>
    <w:rsid w:val="00D7544F"/>
    <w:rsid w:val="00D75739"/>
    <w:rsid w:val="00D75759"/>
    <w:rsid w:val="00D75E16"/>
    <w:rsid w:val="00D83062"/>
    <w:rsid w:val="00D84E12"/>
    <w:rsid w:val="00D84E5E"/>
    <w:rsid w:val="00D85150"/>
    <w:rsid w:val="00D867D5"/>
    <w:rsid w:val="00D87031"/>
    <w:rsid w:val="00D90FAE"/>
    <w:rsid w:val="00D9162C"/>
    <w:rsid w:val="00D91E6A"/>
    <w:rsid w:val="00D92387"/>
    <w:rsid w:val="00D92D9E"/>
    <w:rsid w:val="00D948BA"/>
    <w:rsid w:val="00D95389"/>
    <w:rsid w:val="00D96707"/>
    <w:rsid w:val="00D97737"/>
    <w:rsid w:val="00D97E3E"/>
    <w:rsid w:val="00DA10BB"/>
    <w:rsid w:val="00DA2279"/>
    <w:rsid w:val="00DA278F"/>
    <w:rsid w:val="00DA2D33"/>
    <w:rsid w:val="00DA3361"/>
    <w:rsid w:val="00DA3695"/>
    <w:rsid w:val="00DA55C6"/>
    <w:rsid w:val="00DA655C"/>
    <w:rsid w:val="00DA7A2A"/>
    <w:rsid w:val="00DB076C"/>
    <w:rsid w:val="00DB0A52"/>
    <w:rsid w:val="00DB11DE"/>
    <w:rsid w:val="00DB1653"/>
    <w:rsid w:val="00DB1D01"/>
    <w:rsid w:val="00DB1FEB"/>
    <w:rsid w:val="00DB235C"/>
    <w:rsid w:val="00DB3FC8"/>
    <w:rsid w:val="00DB418F"/>
    <w:rsid w:val="00DB4B6D"/>
    <w:rsid w:val="00DB79C2"/>
    <w:rsid w:val="00DB7B6F"/>
    <w:rsid w:val="00DB7C69"/>
    <w:rsid w:val="00DB7DE8"/>
    <w:rsid w:val="00DC0ACC"/>
    <w:rsid w:val="00DC0AFC"/>
    <w:rsid w:val="00DC1BEC"/>
    <w:rsid w:val="00DC264E"/>
    <w:rsid w:val="00DC30E5"/>
    <w:rsid w:val="00DC492E"/>
    <w:rsid w:val="00DC60C5"/>
    <w:rsid w:val="00DC616A"/>
    <w:rsid w:val="00DD0D83"/>
    <w:rsid w:val="00DD1B62"/>
    <w:rsid w:val="00DD2143"/>
    <w:rsid w:val="00DD467D"/>
    <w:rsid w:val="00DD477C"/>
    <w:rsid w:val="00DD52F3"/>
    <w:rsid w:val="00DD5409"/>
    <w:rsid w:val="00DD5F55"/>
    <w:rsid w:val="00DD5F7C"/>
    <w:rsid w:val="00DD645B"/>
    <w:rsid w:val="00DD68D1"/>
    <w:rsid w:val="00DD6F38"/>
    <w:rsid w:val="00DD74C2"/>
    <w:rsid w:val="00DE0966"/>
    <w:rsid w:val="00DE319D"/>
    <w:rsid w:val="00DE3D54"/>
    <w:rsid w:val="00DE52FC"/>
    <w:rsid w:val="00DE5D7E"/>
    <w:rsid w:val="00DE5FC7"/>
    <w:rsid w:val="00DE61ED"/>
    <w:rsid w:val="00DE7595"/>
    <w:rsid w:val="00DE762F"/>
    <w:rsid w:val="00DF0036"/>
    <w:rsid w:val="00DF0150"/>
    <w:rsid w:val="00DF0236"/>
    <w:rsid w:val="00DF1E05"/>
    <w:rsid w:val="00DF25AA"/>
    <w:rsid w:val="00DF3290"/>
    <w:rsid w:val="00DF3678"/>
    <w:rsid w:val="00DF71C5"/>
    <w:rsid w:val="00DF7826"/>
    <w:rsid w:val="00DF7B0C"/>
    <w:rsid w:val="00E0053C"/>
    <w:rsid w:val="00E00B23"/>
    <w:rsid w:val="00E01031"/>
    <w:rsid w:val="00E01349"/>
    <w:rsid w:val="00E023AF"/>
    <w:rsid w:val="00E03982"/>
    <w:rsid w:val="00E04075"/>
    <w:rsid w:val="00E048F6"/>
    <w:rsid w:val="00E04A20"/>
    <w:rsid w:val="00E04FEC"/>
    <w:rsid w:val="00E05485"/>
    <w:rsid w:val="00E0726F"/>
    <w:rsid w:val="00E077A5"/>
    <w:rsid w:val="00E11045"/>
    <w:rsid w:val="00E11618"/>
    <w:rsid w:val="00E12446"/>
    <w:rsid w:val="00E12FE0"/>
    <w:rsid w:val="00E15BAF"/>
    <w:rsid w:val="00E16483"/>
    <w:rsid w:val="00E16F96"/>
    <w:rsid w:val="00E173E4"/>
    <w:rsid w:val="00E20D41"/>
    <w:rsid w:val="00E21088"/>
    <w:rsid w:val="00E2296E"/>
    <w:rsid w:val="00E23AE0"/>
    <w:rsid w:val="00E25938"/>
    <w:rsid w:val="00E26AB7"/>
    <w:rsid w:val="00E30418"/>
    <w:rsid w:val="00E307A8"/>
    <w:rsid w:val="00E30EE8"/>
    <w:rsid w:val="00E32058"/>
    <w:rsid w:val="00E321F7"/>
    <w:rsid w:val="00E32B35"/>
    <w:rsid w:val="00E334D6"/>
    <w:rsid w:val="00E33631"/>
    <w:rsid w:val="00E34661"/>
    <w:rsid w:val="00E360D8"/>
    <w:rsid w:val="00E36762"/>
    <w:rsid w:val="00E367E7"/>
    <w:rsid w:val="00E36943"/>
    <w:rsid w:val="00E36EC8"/>
    <w:rsid w:val="00E37CD3"/>
    <w:rsid w:val="00E37CF2"/>
    <w:rsid w:val="00E37FB8"/>
    <w:rsid w:val="00E40058"/>
    <w:rsid w:val="00E405F6"/>
    <w:rsid w:val="00E40986"/>
    <w:rsid w:val="00E40D9C"/>
    <w:rsid w:val="00E4109B"/>
    <w:rsid w:val="00E413CC"/>
    <w:rsid w:val="00E41FB1"/>
    <w:rsid w:val="00E429B1"/>
    <w:rsid w:val="00E44848"/>
    <w:rsid w:val="00E44E71"/>
    <w:rsid w:val="00E45657"/>
    <w:rsid w:val="00E45A42"/>
    <w:rsid w:val="00E46699"/>
    <w:rsid w:val="00E470B0"/>
    <w:rsid w:val="00E47CE9"/>
    <w:rsid w:val="00E50B0F"/>
    <w:rsid w:val="00E50EA3"/>
    <w:rsid w:val="00E51301"/>
    <w:rsid w:val="00E51AF7"/>
    <w:rsid w:val="00E53386"/>
    <w:rsid w:val="00E5350F"/>
    <w:rsid w:val="00E54249"/>
    <w:rsid w:val="00E5539D"/>
    <w:rsid w:val="00E557A1"/>
    <w:rsid w:val="00E55C79"/>
    <w:rsid w:val="00E563F7"/>
    <w:rsid w:val="00E57E1B"/>
    <w:rsid w:val="00E607F3"/>
    <w:rsid w:val="00E615FF"/>
    <w:rsid w:val="00E61BD9"/>
    <w:rsid w:val="00E6203E"/>
    <w:rsid w:val="00E6225D"/>
    <w:rsid w:val="00E62308"/>
    <w:rsid w:val="00E62545"/>
    <w:rsid w:val="00E637A4"/>
    <w:rsid w:val="00E64279"/>
    <w:rsid w:val="00E64A42"/>
    <w:rsid w:val="00E65132"/>
    <w:rsid w:val="00E65236"/>
    <w:rsid w:val="00E666B0"/>
    <w:rsid w:val="00E668B0"/>
    <w:rsid w:val="00E66AAD"/>
    <w:rsid w:val="00E66B3C"/>
    <w:rsid w:val="00E66D76"/>
    <w:rsid w:val="00E707BD"/>
    <w:rsid w:val="00E70A2F"/>
    <w:rsid w:val="00E70C4F"/>
    <w:rsid w:val="00E71B46"/>
    <w:rsid w:val="00E7237A"/>
    <w:rsid w:val="00E756AF"/>
    <w:rsid w:val="00E757D5"/>
    <w:rsid w:val="00E758B4"/>
    <w:rsid w:val="00E77ECA"/>
    <w:rsid w:val="00E8038D"/>
    <w:rsid w:val="00E80978"/>
    <w:rsid w:val="00E80DDE"/>
    <w:rsid w:val="00E817B6"/>
    <w:rsid w:val="00E81930"/>
    <w:rsid w:val="00E82C2E"/>
    <w:rsid w:val="00E82DF2"/>
    <w:rsid w:val="00E85461"/>
    <w:rsid w:val="00E85479"/>
    <w:rsid w:val="00E8642D"/>
    <w:rsid w:val="00E865BE"/>
    <w:rsid w:val="00E86C12"/>
    <w:rsid w:val="00E919B4"/>
    <w:rsid w:val="00E92610"/>
    <w:rsid w:val="00E92777"/>
    <w:rsid w:val="00E9346A"/>
    <w:rsid w:val="00E935D6"/>
    <w:rsid w:val="00E940CC"/>
    <w:rsid w:val="00E94B54"/>
    <w:rsid w:val="00E95E6F"/>
    <w:rsid w:val="00E96028"/>
    <w:rsid w:val="00EA014C"/>
    <w:rsid w:val="00EA0392"/>
    <w:rsid w:val="00EA0453"/>
    <w:rsid w:val="00EA052B"/>
    <w:rsid w:val="00EA0886"/>
    <w:rsid w:val="00EA1133"/>
    <w:rsid w:val="00EA1E94"/>
    <w:rsid w:val="00EA39A9"/>
    <w:rsid w:val="00EA3D30"/>
    <w:rsid w:val="00EA4275"/>
    <w:rsid w:val="00EA48F3"/>
    <w:rsid w:val="00EA6DA0"/>
    <w:rsid w:val="00EA781A"/>
    <w:rsid w:val="00EB08F0"/>
    <w:rsid w:val="00EB2A37"/>
    <w:rsid w:val="00EB30A6"/>
    <w:rsid w:val="00EB38F1"/>
    <w:rsid w:val="00EB3B38"/>
    <w:rsid w:val="00EB5243"/>
    <w:rsid w:val="00EB5333"/>
    <w:rsid w:val="00EB6CB3"/>
    <w:rsid w:val="00EB7B74"/>
    <w:rsid w:val="00EC155F"/>
    <w:rsid w:val="00EC2090"/>
    <w:rsid w:val="00EC28A8"/>
    <w:rsid w:val="00EC311F"/>
    <w:rsid w:val="00EC34C3"/>
    <w:rsid w:val="00EC3766"/>
    <w:rsid w:val="00EC4593"/>
    <w:rsid w:val="00EC6AAF"/>
    <w:rsid w:val="00EC6AE9"/>
    <w:rsid w:val="00EC6C2E"/>
    <w:rsid w:val="00EC743A"/>
    <w:rsid w:val="00EC7807"/>
    <w:rsid w:val="00EC7E0E"/>
    <w:rsid w:val="00ED0A80"/>
    <w:rsid w:val="00ED0ACB"/>
    <w:rsid w:val="00ED1507"/>
    <w:rsid w:val="00ED2113"/>
    <w:rsid w:val="00ED38F9"/>
    <w:rsid w:val="00ED39F8"/>
    <w:rsid w:val="00ED3CB1"/>
    <w:rsid w:val="00ED434F"/>
    <w:rsid w:val="00ED4374"/>
    <w:rsid w:val="00ED4D0E"/>
    <w:rsid w:val="00ED56FD"/>
    <w:rsid w:val="00ED5C49"/>
    <w:rsid w:val="00ED5C8C"/>
    <w:rsid w:val="00ED61B8"/>
    <w:rsid w:val="00ED6637"/>
    <w:rsid w:val="00ED6CA9"/>
    <w:rsid w:val="00ED74D1"/>
    <w:rsid w:val="00ED7FD4"/>
    <w:rsid w:val="00EE0202"/>
    <w:rsid w:val="00EE0CE8"/>
    <w:rsid w:val="00EE0D7A"/>
    <w:rsid w:val="00EE1EF0"/>
    <w:rsid w:val="00EE23F7"/>
    <w:rsid w:val="00EE2B3A"/>
    <w:rsid w:val="00EE3FEC"/>
    <w:rsid w:val="00EE410C"/>
    <w:rsid w:val="00EE5154"/>
    <w:rsid w:val="00EE6393"/>
    <w:rsid w:val="00EE659E"/>
    <w:rsid w:val="00EE766F"/>
    <w:rsid w:val="00EE79D1"/>
    <w:rsid w:val="00EF100E"/>
    <w:rsid w:val="00EF27D6"/>
    <w:rsid w:val="00EF2BF7"/>
    <w:rsid w:val="00EF4792"/>
    <w:rsid w:val="00EF4EB2"/>
    <w:rsid w:val="00EF5628"/>
    <w:rsid w:val="00EF564A"/>
    <w:rsid w:val="00EF63DA"/>
    <w:rsid w:val="00EF64E0"/>
    <w:rsid w:val="00EF6F92"/>
    <w:rsid w:val="00EF7754"/>
    <w:rsid w:val="00F005B9"/>
    <w:rsid w:val="00F010F1"/>
    <w:rsid w:val="00F0325D"/>
    <w:rsid w:val="00F05F4D"/>
    <w:rsid w:val="00F06542"/>
    <w:rsid w:val="00F07290"/>
    <w:rsid w:val="00F077F8"/>
    <w:rsid w:val="00F10505"/>
    <w:rsid w:val="00F109AF"/>
    <w:rsid w:val="00F1100D"/>
    <w:rsid w:val="00F110E6"/>
    <w:rsid w:val="00F13A22"/>
    <w:rsid w:val="00F158C1"/>
    <w:rsid w:val="00F15AF9"/>
    <w:rsid w:val="00F160C7"/>
    <w:rsid w:val="00F170C2"/>
    <w:rsid w:val="00F172D7"/>
    <w:rsid w:val="00F201E1"/>
    <w:rsid w:val="00F2073A"/>
    <w:rsid w:val="00F20A4A"/>
    <w:rsid w:val="00F21D32"/>
    <w:rsid w:val="00F23DFA"/>
    <w:rsid w:val="00F23EE4"/>
    <w:rsid w:val="00F244B6"/>
    <w:rsid w:val="00F248C2"/>
    <w:rsid w:val="00F2650D"/>
    <w:rsid w:val="00F270EA"/>
    <w:rsid w:val="00F2765C"/>
    <w:rsid w:val="00F2796F"/>
    <w:rsid w:val="00F27E4A"/>
    <w:rsid w:val="00F27F28"/>
    <w:rsid w:val="00F306F2"/>
    <w:rsid w:val="00F31EFC"/>
    <w:rsid w:val="00F323A2"/>
    <w:rsid w:val="00F32928"/>
    <w:rsid w:val="00F3298C"/>
    <w:rsid w:val="00F3308B"/>
    <w:rsid w:val="00F33684"/>
    <w:rsid w:val="00F33751"/>
    <w:rsid w:val="00F3537F"/>
    <w:rsid w:val="00F35A05"/>
    <w:rsid w:val="00F372AF"/>
    <w:rsid w:val="00F37810"/>
    <w:rsid w:val="00F4044E"/>
    <w:rsid w:val="00F405E6"/>
    <w:rsid w:val="00F407FE"/>
    <w:rsid w:val="00F4129B"/>
    <w:rsid w:val="00F4148A"/>
    <w:rsid w:val="00F41665"/>
    <w:rsid w:val="00F42C63"/>
    <w:rsid w:val="00F4427D"/>
    <w:rsid w:val="00F4430D"/>
    <w:rsid w:val="00F4473D"/>
    <w:rsid w:val="00F44995"/>
    <w:rsid w:val="00F44B40"/>
    <w:rsid w:val="00F45099"/>
    <w:rsid w:val="00F45A54"/>
    <w:rsid w:val="00F462DC"/>
    <w:rsid w:val="00F46E47"/>
    <w:rsid w:val="00F4749E"/>
    <w:rsid w:val="00F5035C"/>
    <w:rsid w:val="00F51983"/>
    <w:rsid w:val="00F51C77"/>
    <w:rsid w:val="00F5263D"/>
    <w:rsid w:val="00F53764"/>
    <w:rsid w:val="00F53AD9"/>
    <w:rsid w:val="00F54D5C"/>
    <w:rsid w:val="00F55239"/>
    <w:rsid w:val="00F577F9"/>
    <w:rsid w:val="00F60B47"/>
    <w:rsid w:val="00F612F8"/>
    <w:rsid w:val="00F61447"/>
    <w:rsid w:val="00F61A93"/>
    <w:rsid w:val="00F637CD"/>
    <w:rsid w:val="00F638D9"/>
    <w:rsid w:val="00F63F03"/>
    <w:rsid w:val="00F63F90"/>
    <w:rsid w:val="00F65212"/>
    <w:rsid w:val="00F66090"/>
    <w:rsid w:val="00F660E8"/>
    <w:rsid w:val="00F66130"/>
    <w:rsid w:val="00F6700B"/>
    <w:rsid w:val="00F6732B"/>
    <w:rsid w:val="00F70808"/>
    <w:rsid w:val="00F70AC4"/>
    <w:rsid w:val="00F70E87"/>
    <w:rsid w:val="00F716F8"/>
    <w:rsid w:val="00F719DA"/>
    <w:rsid w:val="00F71C48"/>
    <w:rsid w:val="00F71FC2"/>
    <w:rsid w:val="00F72019"/>
    <w:rsid w:val="00F743CB"/>
    <w:rsid w:val="00F7472E"/>
    <w:rsid w:val="00F74E1D"/>
    <w:rsid w:val="00F776B0"/>
    <w:rsid w:val="00F80A84"/>
    <w:rsid w:val="00F815A3"/>
    <w:rsid w:val="00F81613"/>
    <w:rsid w:val="00F82488"/>
    <w:rsid w:val="00F824DA"/>
    <w:rsid w:val="00F84893"/>
    <w:rsid w:val="00F84AAF"/>
    <w:rsid w:val="00F8549E"/>
    <w:rsid w:val="00F85840"/>
    <w:rsid w:val="00F86013"/>
    <w:rsid w:val="00F860A7"/>
    <w:rsid w:val="00F86B45"/>
    <w:rsid w:val="00F87507"/>
    <w:rsid w:val="00F87E8B"/>
    <w:rsid w:val="00F90B79"/>
    <w:rsid w:val="00F90B9E"/>
    <w:rsid w:val="00F914FC"/>
    <w:rsid w:val="00F915F1"/>
    <w:rsid w:val="00F921A8"/>
    <w:rsid w:val="00F92B0A"/>
    <w:rsid w:val="00F92FD2"/>
    <w:rsid w:val="00F9387A"/>
    <w:rsid w:val="00F94B7C"/>
    <w:rsid w:val="00F9566F"/>
    <w:rsid w:val="00F96C49"/>
    <w:rsid w:val="00F96D33"/>
    <w:rsid w:val="00F972C1"/>
    <w:rsid w:val="00F97C71"/>
    <w:rsid w:val="00FA0A6C"/>
    <w:rsid w:val="00FA141D"/>
    <w:rsid w:val="00FA28AB"/>
    <w:rsid w:val="00FA4418"/>
    <w:rsid w:val="00FA5C0B"/>
    <w:rsid w:val="00FA5FF3"/>
    <w:rsid w:val="00FA6644"/>
    <w:rsid w:val="00FA66B3"/>
    <w:rsid w:val="00FA66D0"/>
    <w:rsid w:val="00FA69EE"/>
    <w:rsid w:val="00FA6FEE"/>
    <w:rsid w:val="00FA711B"/>
    <w:rsid w:val="00FB0E47"/>
    <w:rsid w:val="00FB14BB"/>
    <w:rsid w:val="00FB16F7"/>
    <w:rsid w:val="00FB1F00"/>
    <w:rsid w:val="00FB20A1"/>
    <w:rsid w:val="00FB28F3"/>
    <w:rsid w:val="00FB2DEE"/>
    <w:rsid w:val="00FB2F5C"/>
    <w:rsid w:val="00FB38E7"/>
    <w:rsid w:val="00FB3E24"/>
    <w:rsid w:val="00FB53BA"/>
    <w:rsid w:val="00FB5522"/>
    <w:rsid w:val="00FB624E"/>
    <w:rsid w:val="00FB74A2"/>
    <w:rsid w:val="00FB7B64"/>
    <w:rsid w:val="00FB7E57"/>
    <w:rsid w:val="00FC0C5B"/>
    <w:rsid w:val="00FC13D3"/>
    <w:rsid w:val="00FC29D5"/>
    <w:rsid w:val="00FC2DAC"/>
    <w:rsid w:val="00FC2E67"/>
    <w:rsid w:val="00FC4913"/>
    <w:rsid w:val="00FC4DBA"/>
    <w:rsid w:val="00FC54E5"/>
    <w:rsid w:val="00FC6448"/>
    <w:rsid w:val="00FC751A"/>
    <w:rsid w:val="00FC77F8"/>
    <w:rsid w:val="00FD01C1"/>
    <w:rsid w:val="00FD06A4"/>
    <w:rsid w:val="00FD0A96"/>
    <w:rsid w:val="00FD1189"/>
    <w:rsid w:val="00FD1377"/>
    <w:rsid w:val="00FD1389"/>
    <w:rsid w:val="00FD1CF7"/>
    <w:rsid w:val="00FD2685"/>
    <w:rsid w:val="00FD26EE"/>
    <w:rsid w:val="00FD38C8"/>
    <w:rsid w:val="00FD456C"/>
    <w:rsid w:val="00FD4C65"/>
    <w:rsid w:val="00FD4E33"/>
    <w:rsid w:val="00FD51C6"/>
    <w:rsid w:val="00FD5674"/>
    <w:rsid w:val="00FD5E0B"/>
    <w:rsid w:val="00FD74BC"/>
    <w:rsid w:val="00FE1CD5"/>
    <w:rsid w:val="00FE1CE8"/>
    <w:rsid w:val="00FE2265"/>
    <w:rsid w:val="00FE2409"/>
    <w:rsid w:val="00FE2DA6"/>
    <w:rsid w:val="00FE31DC"/>
    <w:rsid w:val="00FE5854"/>
    <w:rsid w:val="00FE5C65"/>
    <w:rsid w:val="00FE5EBC"/>
    <w:rsid w:val="00FE6535"/>
    <w:rsid w:val="00FE6EA1"/>
    <w:rsid w:val="00FE6EA6"/>
    <w:rsid w:val="00FE6F05"/>
    <w:rsid w:val="00FE7B08"/>
    <w:rsid w:val="00FE7F81"/>
    <w:rsid w:val="00FF0213"/>
    <w:rsid w:val="00FF0253"/>
    <w:rsid w:val="00FF0783"/>
    <w:rsid w:val="00FF0D1E"/>
    <w:rsid w:val="00FF123A"/>
    <w:rsid w:val="00FF1D60"/>
    <w:rsid w:val="00FF1EBA"/>
    <w:rsid w:val="00FF2B61"/>
    <w:rsid w:val="00FF325F"/>
    <w:rsid w:val="00FF394F"/>
    <w:rsid w:val="00FF3B03"/>
    <w:rsid w:val="00FF3C52"/>
    <w:rsid w:val="00FF3C56"/>
    <w:rsid w:val="00FF5088"/>
    <w:rsid w:val="00FF5152"/>
    <w:rsid w:val="00FF5540"/>
    <w:rsid w:val="00FF5747"/>
    <w:rsid w:val="00FF61E9"/>
    <w:rsid w:val="00FF6468"/>
    <w:rsid w:val="00FF6D56"/>
    <w:rsid w:val="00FF6DF6"/>
    <w:rsid w:val="00FF7804"/>
    <w:rsid w:val="00FF7F54"/>
    <w:rsid w:val="0108ECAF"/>
    <w:rsid w:val="01262FF0"/>
    <w:rsid w:val="0133212D"/>
    <w:rsid w:val="013DFC94"/>
    <w:rsid w:val="014CBCCD"/>
    <w:rsid w:val="0155AEB6"/>
    <w:rsid w:val="017381D9"/>
    <w:rsid w:val="017E4758"/>
    <w:rsid w:val="01A145FD"/>
    <w:rsid w:val="01A3496D"/>
    <w:rsid w:val="01AA6225"/>
    <w:rsid w:val="01E7845F"/>
    <w:rsid w:val="01EA60EC"/>
    <w:rsid w:val="0209AE48"/>
    <w:rsid w:val="0231CAB5"/>
    <w:rsid w:val="023C4A46"/>
    <w:rsid w:val="027F3235"/>
    <w:rsid w:val="02967393"/>
    <w:rsid w:val="02C9DF10"/>
    <w:rsid w:val="02E0298A"/>
    <w:rsid w:val="02FB2B07"/>
    <w:rsid w:val="02FC653B"/>
    <w:rsid w:val="032BE322"/>
    <w:rsid w:val="0338F005"/>
    <w:rsid w:val="033BBC9F"/>
    <w:rsid w:val="033FCB93"/>
    <w:rsid w:val="039F1B54"/>
    <w:rsid w:val="03A6E8B9"/>
    <w:rsid w:val="03ED1118"/>
    <w:rsid w:val="0435F8B7"/>
    <w:rsid w:val="044A1894"/>
    <w:rsid w:val="046E3691"/>
    <w:rsid w:val="04880BA7"/>
    <w:rsid w:val="04990E2D"/>
    <w:rsid w:val="04B6427F"/>
    <w:rsid w:val="04C922BF"/>
    <w:rsid w:val="04D12F8B"/>
    <w:rsid w:val="04D25BAD"/>
    <w:rsid w:val="04D2AA58"/>
    <w:rsid w:val="04F5E3A5"/>
    <w:rsid w:val="04FC4466"/>
    <w:rsid w:val="0505A16F"/>
    <w:rsid w:val="05136CB8"/>
    <w:rsid w:val="051D09D9"/>
    <w:rsid w:val="05211A50"/>
    <w:rsid w:val="0523D685"/>
    <w:rsid w:val="053D48BE"/>
    <w:rsid w:val="053EEB77"/>
    <w:rsid w:val="055C3ABD"/>
    <w:rsid w:val="0576474D"/>
    <w:rsid w:val="0589DF0C"/>
    <w:rsid w:val="058B91E3"/>
    <w:rsid w:val="0593D892"/>
    <w:rsid w:val="0594FDB1"/>
    <w:rsid w:val="05B67DDE"/>
    <w:rsid w:val="05DAEAEC"/>
    <w:rsid w:val="060CB3B1"/>
    <w:rsid w:val="061F98C1"/>
    <w:rsid w:val="0622CBBD"/>
    <w:rsid w:val="0656147F"/>
    <w:rsid w:val="06838347"/>
    <w:rsid w:val="0689D524"/>
    <w:rsid w:val="0692627B"/>
    <w:rsid w:val="06A218C1"/>
    <w:rsid w:val="06B1AD48"/>
    <w:rsid w:val="06B8DA3A"/>
    <w:rsid w:val="06BFA6E6"/>
    <w:rsid w:val="06D9E1FC"/>
    <w:rsid w:val="06ED86B4"/>
    <w:rsid w:val="06EE29BE"/>
    <w:rsid w:val="07035219"/>
    <w:rsid w:val="07499515"/>
    <w:rsid w:val="0754F583"/>
    <w:rsid w:val="075C840E"/>
    <w:rsid w:val="077E64C0"/>
    <w:rsid w:val="07C88432"/>
    <w:rsid w:val="07E80CF3"/>
    <w:rsid w:val="07FFAA3A"/>
    <w:rsid w:val="083A505C"/>
    <w:rsid w:val="084AAFA5"/>
    <w:rsid w:val="084B0D7A"/>
    <w:rsid w:val="0890AA69"/>
    <w:rsid w:val="08A90461"/>
    <w:rsid w:val="08B0C518"/>
    <w:rsid w:val="08B271E1"/>
    <w:rsid w:val="08C252BD"/>
    <w:rsid w:val="08C86423"/>
    <w:rsid w:val="08E8D20F"/>
    <w:rsid w:val="08F034B7"/>
    <w:rsid w:val="09183C26"/>
    <w:rsid w:val="092305DC"/>
    <w:rsid w:val="0927CD62"/>
    <w:rsid w:val="093AFEC1"/>
    <w:rsid w:val="098B4B90"/>
    <w:rsid w:val="09A83F7E"/>
    <w:rsid w:val="09AE8037"/>
    <w:rsid w:val="09C14493"/>
    <w:rsid w:val="09C15026"/>
    <w:rsid w:val="09E5E2AC"/>
    <w:rsid w:val="09F07AFC"/>
    <w:rsid w:val="0A008FC7"/>
    <w:rsid w:val="0A1290FD"/>
    <w:rsid w:val="0A239D53"/>
    <w:rsid w:val="0A24F207"/>
    <w:rsid w:val="0A4057E7"/>
    <w:rsid w:val="0A596F76"/>
    <w:rsid w:val="0A5D124D"/>
    <w:rsid w:val="0A74593A"/>
    <w:rsid w:val="0A847DBF"/>
    <w:rsid w:val="0AE0CDC8"/>
    <w:rsid w:val="0AE33AEC"/>
    <w:rsid w:val="0AEA96E3"/>
    <w:rsid w:val="0B050265"/>
    <w:rsid w:val="0B0C89DF"/>
    <w:rsid w:val="0B205F49"/>
    <w:rsid w:val="0B2B6A2C"/>
    <w:rsid w:val="0B315044"/>
    <w:rsid w:val="0B3E0F61"/>
    <w:rsid w:val="0B5096FD"/>
    <w:rsid w:val="0B6378F5"/>
    <w:rsid w:val="0B6547DB"/>
    <w:rsid w:val="0B99FAE4"/>
    <w:rsid w:val="0BC0C268"/>
    <w:rsid w:val="0BC75823"/>
    <w:rsid w:val="0BC8A14A"/>
    <w:rsid w:val="0C01E8CF"/>
    <w:rsid w:val="0C0761C9"/>
    <w:rsid w:val="0C21BC33"/>
    <w:rsid w:val="0C36B2E5"/>
    <w:rsid w:val="0C423625"/>
    <w:rsid w:val="0C6C3456"/>
    <w:rsid w:val="0C8D6194"/>
    <w:rsid w:val="0C9C761D"/>
    <w:rsid w:val="0C9E22BE"/>
    <w:rsid w:val="0CA6515C"/>
    <w:rsid w:val="0CAEE377"/>
    <w:rsid w:val="0CCA0598"/>
    <w:rsid w:val="0CCD48F5"/>
    <w:rsid w:val="0CDC6EC8"/>
    <w:rsid w:val="0CECB094"/>
    <w:rsid w:val="0D06E524"/>
    <w:rsid w:val="0D0CA21F"/>
    <w:rsid w:val="0D14830A"/>
    <w:rsid w:val="0D154C3C"/>
    <w:rsid w:val="0D17AC66"/>
    <w:rsid w:val="0D654DE1"/>
    <w:rsid w:val="0D83FAC9"/>
    <w:rsid w:val="0DAB5DB1"/>
    <w:rsid w:val="0DB34F68"/>
    <w:rsid w:val="0DB72BBE"/>
    <w:rsid w:val="0DBB2BC4"/>
    <w:rsid w:val="0DC3B23A"/>
    <w:rsid w:val="0DC6AFA9"/>
    <w:rsid w:val="0DD83CCB"/>
    <w:rsid w:val="0DE81822"/>
    <w:rsid w:val="0DEF07FE"/>
    <w:rsid w:val="0DF55EE8"/>
    <w:rsid w:val="0DF94960"/>
    <w:rsid w:val="0E3C3758"/>
    <w:rsid w:val="0E418DF2"/>
    <w:rsid w:val="0E4AE1CB"/>
    <w:rsid w:val="0E4C263C"/>
    <w:rsid w:val="0E6E72C5"/>
    <w:rsid w:val="0E79FA8D"/>
    <w:rsid w:val="0E8BD1C6"/>
    <w:rsid w:val="0EA950F2"/>
    <w:rsid w:val="0EBBA460"/>
    <w:rsid w:val="0EC7F1D2"/>
    <w:rsid w:val="0ED25EDF"/>
    <w:rsid w:val="0EF4BE44"/>
    <w:rsid w:val="0EF94BD8"/>
    <w:rsid w:val="0F21A20E"/>
    <w:rsid w:val="0F227BEA"/>
    <w:rsid w:val="0F58E8D6"/>
    <w:rsid w:val="0F63B72B"/>
    <w:rsid w:val="0F870BFC"/>
    <w:rsid w:val="0FB5E544"/>
    <w:rsid w:val="0FBA8F0F"/>
    <w:rsid w:val="0FC0DA06"/>
    <w:rsid w:val="0FC887DE"/>
    <w:rsid w:val="0FCA53D4"/>
    <w:rsid w:val="0FCE5C90"/>
    <w:rsid w:val="0FCF9C81"/>
    <w:rsid w:val="0FDD4E1D"/>
    <w:rsid w:val="0FDD5E53"/>
    <w:rsid w:val="0FE21314"/>
    <w:rsid w:val="1004A158"/>
    <w:rsid w:val="1028ED4A"/>
    <w:rsid w:val="104A7F20"/>
    <w:rsid w:val="104AC243"/>
    <w:rsid w:val="104F2DF8"/>
    <w:rsid w:val="10578021"/>
    <w:rsid w:val="1059F725"/>
    <w:rsid w:val="10E763A9"/>
    <w:rsid w:val="10FE7F12"/>
    <w:rsid w:val="11078A3E"/>
    <w:rsid w:val="11177F37"/>
    <w:rsid w:val="11369416"/>
    <w:rsid w:val="1153AEF2"/>
    <w:rsid w:val="11587748"/>
    <w:rsid w:val="11792594"/>
    <w:rsid w:val="1194D5E9"/>
    <w:rsid w:val="119FF351"/>
    <w:rsid w:val="11A4B52C"/>
    <w:rsid w:val="11CC0CE4"/>
    <w:rsid w:val="11CE7B7E"/>
    <w:rsid w:val="11ED4931"/>
    <w:rsid w:val="11F79493"/>
    <w:rsid w:val="11FBEF37"/>
    <w:rsid w:val="12178FD0"/>
    <w:rsid w:val="1217C2BE"/>
    <w:rsid w:val="1254908A"/>
    <w:rsid w:val="12699C92"/>
    <w:rsid w:val="128CCC0C"/>
    <w:rsid w:val="1294B992"/>
    <w:rsid w:val="12A56789"/>
    <w:rsid w:val="12AA4A6E"/>
    <w:rsid w:val="12B1104B"/>
    <w:rsid w:val="12BE1D38"/>
    <w:rsid w:val="12C307BD"/>
    <w:rsid w:val="12C5BC54"/>
    <w:rsid w:val="131FA54E"/>
    <w:rsid w:val="1341705C"/>
    <w:rsid w:val="1359169C"/>
    <w:rsid w:val="1363BD31"/>
    <w:rsid w:val="137D5933"/>
    <w:rsid w:val="13CAD787"/>
    <w:rsid w:val="13EBC2D2"/>
    <w:rsid w:val="140955D3"/>
    <w:rsid w:val="142250AB"/>
    <w:rsid w:val="143089F3"/>
    <w:rsid w:val="145D1162"/>
    <w:rsid w:val="147BEC27"/>
    <w:rsid w:val="1491E99F"/>
    <w:rsid w:val="149529EF"/>
    <w:rsid w:val="14AC56ED"/>
    <w:rsid w:val="14ADE285"/>
    <w:rsid w:val="14C504E5"/>
    <w:rsid w:val="14D73EB2"/>
    <w:rsid w:val="14E03772"/>
    <w:rsid w:val="14EE3E6F"/>
    <w:rsid w:val="14EEC731"/>
    <w:rsid w:val="14F132DE"/>
    <w:rsid w:val="150A5B3B"/>
    <w:rsid w:val="151D436A"/>
    <w:rsid w:val="1525AE32"/>
    <w:rsid w:val="1526C295"/>
    <w:rsid w:val="15317C3D"/>
    <w:rsid w:val="154BFE48"/>
    <w:rsid w:val="154FAA8E"/>
    <w:rsid w:val="1577EE41"/>
    <w:rsid w:val="159933E6"/>
    <w:rsid w:val="159CB29F"/>
    <w:rsid w:val="15A5C4FE"/>
    <w:rsid w:val="15B7127E"/>
    <w:rsid w:val="15C8B29F"/>
    <w:rsid w:val="15FBFD07"/>
    <w:rsid w:val="1650E680"/>
    <w:rsid w:val="1657AEED"/>
    <w:rsid w:val="1676F994"/>
    <w:rsid w:val="16774D57"/>
    <w:rsid w:val="1684A5CE"/>
    <w:rsid w:val="168D901F"/>
    <w:rsid w:val="16DA3FFF"/>
    <w:rsid w:val="16DF415C"/>
    <w:rsid w:val="16EAEAA3"/>
    <w:rsid w:val="16FF7788"/>
    <w:rsid w:val="17087B3F"/>
    <w:rsid w:val="174062CA"/>
    <w:rsid w:val="17581881"/>
    <w:rsid w:val="175A2C3C"/>
    <w:rsid w:val="175ED5A8"/>
    <w:rsid w:val="1776CCE7"/>
    <w:rsid w:val="179470FC"/>
    <w:rsid w:val="17B71C98"/>
    <w:rsid w:val="17C1E8D6"/>
    <w:rsid w:val="17CD7830"/>
    <w:rsid w:val="17DB2F2F"/>
    <w:rsid w:val="17F0A1A5"/>
    <w:rsid w:val="1808EFE1"/>
    <w:rsid w:val="1820BCF9"/>
    <w:rsid w:val="1825673D"/>
    <w:rsid w:val="1827D76B"/>
    <w:rsid w:val="1828D3A0"/>
    <w:rsid w:val="182BF671"/>
    <w:rsid w:val="183D5893"/>
    <w:rsid w:val="187D33C2"/>
    <w:rsid w:val="188E70C4"/>
    <w:rsid w:val="18915507"/>
    <w:rsid w:val="1891E27B"/>
    <w:rsid w:val="1895EDDE"/>
    <w:rsid w:val="18A7B087"/>
    <w:rsid w:val="18F0243C"/>
    <w:rsid w:val="18FC0D90"/>
    <w:rsid w:val="1902DA2B"/>
    <w:rsid w:val="192CFD8A"/>
    <w:rsid w:val="195A4B77"/>
    <w:rsid w:val="196B475C"/>
    <w:rsid w:val="198A5C24"/>
    <w:rsid w:val="19AF254C"/>
    <w:rsid w:val="19EDA266"/>
    <w:rsid w:val="19F2B8CC"/>
    <w:rsid w:val="19FB47FE"/>
    <w:rsid w:val="1A0E0591"/>
    <w:rsid w:val="1A0E4FFE"/>
    <w:rsid w:val="1A1A871F"/>
    <w:rsid w:val="1A255F59"/>
    <w:rsid w:val="1A29FB52"/>
    <w:rsid w:val="1A31CB6D"/>
    <w:rsid w:val="1A32B486"/>
    <w:rsid w:val="1A3CFD41"/>
    <w:rsid w:val="1A4D2A8A"/>
    <w:rsid w:val="1A981152"/>
    <w:rsid w:val="1A998AEE"/>
    <w:rsid w:val="1AA0A058"/>
    <w:rsid w:val="1AAA1668"/>
    <w:rsid w:val="1AAAF55B"/>
    <w:rsid w:val="1ABC8A2F"/>
    <w:rsid w:val="1AC81C00"/>
    <w:rsid w:val="1AC96154"/>
    <w:rsid w:val="1AD0A2B1"/>
    <w:rsid w:val="1AFDE1D4"/>
    <w:rsid w:val="1B01A560"/>
    <w:rsid w:val="1B468B10"/>
    <w:rsid w:val="1B607462"/>
    <w:rsid w:val="1BB79561"/>
    <w:rsid w:val="1BB8D11E"/>
    <w:rsid w:val="1C06C63A"/>
    <w:rsid w:val="1C2F1219"/>
    <w:rsid w:val="1C3142CC"/>
    <w:rsid w:val="1C45E6C9"/>
    <w:rsid w:val="1C530B30"/>
    <w:rsid w:val="1C76949B"/>
    <w:rsid w:val="1C7E7FF8"/>
    <w:rsid w:val="1C827388"/>
    <w:rsid w:val="1CB4B852"/>
    <w:rsid w:val="1CDF7A69"/>
    <w:rsid w:val="1CEC42FA"/>
    <w:rsid w:val="1CEDFE84"/>
    <w:rsid w:val="1CF0E235"/>
    <w:rsid w:val="1CFC44C3"/>
    <w:rsid w:val="1D24D023"/>
    <w:rsid w:val="1D28134A"/>
    <w:rsid w:val="1D41D454"/>
    <w:rsid w:val="1D4B541E"/>
    <w:rsid w:val="1D93BB40"/>
    <w:rsid w:val="1DD1D53A"/>
    <w:rsid w:val="1DFCD3B8"/>
    <w:rsid w:val="1E08735F"/>
    <w:rsid w:val="1E29CA4E"/>
    <w:rsid w:val="1E3F1B44"/>
    <w:rsid w:val="1E483379"/>
    <w:rsid w:val="1E8CC91F"/>
    <w:rsid w:val="1EACA70D"/>
    <w:rsid w:val="1EDC3814"/>
    <w:rsid w:val="1F0F61CC"/>
    <w:rsid w:val="1F75FC65"/>
    <w:rsid w:val="1F7E5E7F"/>
    <w:rsid w:val="1F7F5874"/>
    <w:rsid w:val="1F85E27A"/>
    <w:rsid w:val="1FACDB46"/>
    <w:rsid w:val="1FBD38F0"/>
    <w:rsid w:val="1FE9892E"/>
    <w:rsid w:val="1FEF1122"/>
    <w:rsid w:val="1FF61B35"/>
    <w:rsid w:val="2017922B"/>
    <w:rsid w:val="202A0AD5"/>
    <w:rsid w:val="20436F86"/>
    <w:rsid w:val="206A477D"/>
    <w:rsid w:val="208D6222"/>
    <w:rsid w:val="20A31ADC"/>
    <w:rsid w:val="20A3C7D6"/>
    <w:rsid w:val="20ABFF59"/>
    <w:rsid w:val="20AEC666"/>
    <w:rsid w:val="20AF5A18"/>
    <w:rsid w:val="20AFCAE6"/>
    <w:rsid w:val="20BCC3BD"/>
    <w:rsid w:val="20D0FE81"/>
    <w:rsid w:val="20F92C4C"/>
    <w:rsid w:val="21010E82"/>
    <w:rsid w:val="2115F7F3"/>
    <w:rsid w:val="212AC9E2"/>
    <w:rsid w:val="21813F2A"/>
    <w:rsid w:val="2181C0D3"/>
    <w:rsid w:val="218ACE0A"/>
    <w:rsid w:val="218E9002"/>
    <w:rsid w:val="21942DAD"/>
    <w:rsid w:val="219AABA9"/>
    <w:rsid w:val="21A44BFB"/>
    <w:rsid w:val="21B27B95"/>
    <w:rsid w:val="21C74B93"/>
    <w:rsid w:val="21D4E2B0"/>
    <w:rsid w:val="21D94FA0"/>
    <w:rsid w:val="21E8B499"/>
    <w:rsid w:val="21F061AE"/>
    <w:rsid w:val="21FC95CC"/>
    <w:rsid w:val="21FCE904"/>
    <w:rsid w:val="2213D8D6"/>
    <w:rsid w:val="22322344"/>
    <w:rsid w:val="2237FE9C"/>
    <w:rsid w:val="2250E9B3"/>
    <w:rsid w:val="226CCEE2"/>
    <w:rsid w:val="22949D48"/>
    <w:rsid w:val="22AF319C"/>
    <w:rsid w:val="22D12CC0"/>
    <w:rsid w:val="22D51EE3"/>
    <w:rsid w:val="22DB9017"/>
    <w:rsid w:val="22FBB3F3"/>
    <w:rsid w:val="22FC7542"/>
    <w:rsid w:val="230262D9"/>
    <w:rsid w:val="230F18B9"/>
    <w:rsid w:val="2320AA69"/>
    <w:rsid w:val="23284B0F"/>
    <w:rsid w:val="235E96DD"/>
    <w:rsid w:val="236B8647"/>
    <w:rsid w:val="236CA2F0"/>
    <w:rsid w:val="23AFA937"/>
    <w:rsid w:val="23BC55FB"/>
    <w:rsid w:val="23C9695C"/>
    <w:rsid w:val="23CB67F2"/>
    <w:rsid w:val="24121F68"/>
    <w:rsid w:val="2417454C"/>
    <w:rsid w:val="242D8560"/>
    <w:rsid w:val="24331B41"/>
    <w:rsid w:val="243A63BB"/>
    <w:rsid w:val="2448DF19"/>
    <w:rsid w:val="244956F5"/>
    <w:rsid w:val="244AF85F"/>
    <w:rsid w:val="246A5339"/>
    <w:rsid w:val="246B9B5E"/>
    <w:rsid w:val="24B46CCE"/>
    <w:rsid w:val="24BA7D8F"/>
    <w:rsid w:val="24BB9A63"/>
    <w:rsid w:val="24C6E0B4"/>
    <w:rsid w:val="24E8191C"/>
    <w:rsid w:val="24F5FF06"/>
    <w:rsid w:val="25080E8A"/>
    <w:rsid w:val="250F7766"/>
    <w:rsid w:val="2530F1D9"/>
    <w:rsid w:val="25378A25"/>
    <w:rsid w:val="254A61F3"/>
    <w:rsid w:val="254E08F2"/>
    <w:rsid w:val="256AA264"/>
    <w:rsid w:val="257862B1"/>
    <w:rsid w:val="2581C7F4"/>
    <w:rsid w:val="258229EF"/>
    <w:rsid w:val="25D6F357"/>
    <w:rsid w:val="25E3E459"/>
    <w:rsid w:val="263831B0"/>
    <w:rsid w:val="2658340C"/>
    <w:rsid w:val="26857FAA"/>
    <w:rsid w:val="26880CA9"/>
    <w:rsid w:val="268D9214"/>
    <w:rsid w:val="269A31EE"/>
    <w:rsid w:val="26A866A1"/>
    <w:rsid w:val="26AEAE69"/>
    <w:rsid w:val="26B26374"/>
    <w:rsid w:val="26DED319"/>
    <w:rsid w:val="26E5482A"/>
    <w:rsid w:val="26E749F9"/>
    <w:rsid w:val="26F718EA"/>
    <w:rsid w:val="27010218"/>
    <w:rsid w:val="2725252A"/>
    <w:rsid w:val="272E5C74"/>
    <w:rsid w:val="2734BDF9"/>
    <w:rsid w:val="274E788E"/>
    <w:rsid w:val="275B52AF"/>
    <w:rsid w:val="2765FB03"/>
    <w:rsid w:val="27688021"/>
    <w:rsid w:val="279C79F7"/>
    <w:rsid w:val="27BDAFF7"/>
    <w:rsid w:val="27ED592B"/>
    <w:rsid w:val="27FD8FED"/>
    <w:rsid w:val="2858E915"/>
    <w:rsid w:val="289F053C"/>
    <w:rsid w:val="28A45A5D"/>
    <w:rsid w:val="28AD1DB6"/>
    <w:rsid w:val="28D1DABF"/>
    <w:rsid w:val="28D60B87"/>
    <w:rsid w:val="28DC1066"/>
    <w:rsid w:val="28F5D77D"/>
    <w:rsid w:val="291C6E62"/>
    <w:rsid w:val="2928F65E"/>
    <w:rsid w:val="2929F068"/>
    <w:rsid w:val="292AD670"/>
    <w:rsid w:val="2953057F"/>
    <w:rsid w:val="295515DB"/>
    <w:rsid w:val="29581377"/>
    <w:rsid w:val="29687220"/>
    <w:rsid w:val="297E90C1"/>
    <w:rsid w:val="2989BD57"/>
    <w:rsid w:val="298EEE05"/>
    <w:rsid w:val="299E4373"/>
    <w:rsid w:val="29A82A86"/>
    <w:rsid w:val="29BE2422"/>
    <w:rsid w:val="29BF998A"/>
    <w:rsid w:val="29C18659"/>
    <w:rsid w:val="29C19093"/>
    <w:rsid w:val="29DAA7D1"/>
    <w:rsid w:val="29FCB4A8"/>
    <w:rsid w:val="2A0CAC03"/>
    <w:rsid w:val="2A50239E"/>
    <w:rsid w:val="2A52C81F"/>
    <w:rsid w:val="2A5CBD8B"/>
    <w:rsid w:val="2A85B925"/>
    <w:rsid w:val="2A937013"/>
    <w:rsid w:val="2AA83875"/>
    <w:rsid w:val="2ABA33B2"/>
    <w:rsid w:val="2AE970D4"/>
    <w:rsid w:val="2AEB7705"/>
    <w:rsid w:val="2B044281"/>
    <w:rsid w:val="2B09691B"/>
    <w:rsid w:val="2B3AD545"/>
    <w:rsid w:val="2B499E17"/>
    <w:rsid w:val="2B6651D2"/>
    <w:rsid w:val="2B84D294"/>
    <w:rsid w:val="2B9A403E"/>
    <w:rsid w:val="2BA4A7EF"/>
    <w:rsid w:val="2C46ACBE"/>
    <w:rsid w:val="2C4D0167"/>
    <w:rsid w:val="2C5B693D"/>
    <w:rsid w:val="2C5BFE6A"/>
    <w:rsid w:val="2C810344"/>
    <w:rsid w:val="2CA98F4C"/>
    <w:rsid w:val="2CFACA11"/>
    <w:rsid w:val="2CFC94CB"/>
    <w:rsid w:val="2D383B05"/>
    <w:rsid w:val="2D3E2724"/>
    <w:rsid w:val="2D5EA8B1"/>
    <w:rsid w:val="2D779F86"/>
    <w:rsid w:val="2D95CE13"/>
    <w:rsid w:val="2D9C7DE8"/>
    <w:rsid w:val="2DBE14D2"/>
    <w:rsid w:val="2DC296A9"/>
    <w:rsid w:val="2DE5B44B"/>
    <w:rsid w:val="2DF300DB"/>
    <w:rsid w:val="2DF94A5E"/>
    <w:rsid w:val="2DFE3BCF"/>
    <w:rsid w:val="2E0B5825"/>
    <w:rsid w:val="2E0C386A"/>
    <w:rsid w:val="2E3BE343"/>
    <w:rsid w:val="2E44F490"/>
    <w:rsid w:val="2E45904C"/>
    <w:rsid w:val="2E9CF759"/>
    <w:rsid w:val="2EAA1842"/>
    <w:rsid w:val="2EEC4C7D"/>
    <w:rsid w:val="2F01C7D6"/>
    <w:rsid w:val="2F0A1042"/>
    <w:rsid w:val="2F262CC0"/>
    <w:rsid w:val="2F2EB4DD"/>
    <w:rsid w:val="2F46B99B"/>
    <w:rsid w:val="2F6CCC37"/>
    <w:rsid w:val="2F769F4C"/>
    <w:rsid w:val="2F834F71"/>
    <w:rsid w:val="2F83529E"/>
    <w:rsid w:val="2FA8F6A4"/>
    <w:rsid w:val="2FBA7958"/>
    <w:rsid w:val="2FCFB3AA"/>
    <w:rsid w:val="2FDB9284"/>
    <w:rsid w:val="2FDE37C6"/>
    <w:rsid w:val="2FE826CA"/>
    <w:rsid w:val="2FEBB332"/>
    <w:rsid w:val="30028B6D"/>
    <w:rsid w:val="300930A8"/>
    <w:rsid w:val="3036BA17"/>
    <w:rsid w:val="30613C01"/>
    <w:rsid w:val="30666C36"/>
    <w:rsid w:val="30723008"/>
    <w:rsid w:val="3075D455"/>
    <w:rsid w:val="30850C69"/>
    <w:rsid w:val="30994005"/>
    <w:rsid w:val="309B5D83"/>
    <w:rsid w:val="30A167FD"/>
    <w:rsid w:val="30C7CB03"/>
    <w:rsid w:val="30E1399A"/>
    <w:rsid w:val="30F4106A"/>
    <w:rsid w:val="30F63A0A"/>
    <w:rsid w:val="30FCA65E"/>
    <w:rsid w:val="310C0868"/>
    <w:rsid w:val="310CD48A"/>
    <w:rsid w:val="310EE066"/>
    <w:rsid w:val="3111C1ED"/>
    <w:rsid w:val="312BEEA6"/>
    <w:rsid w:val="31443554"/>
    <w:rsid w:val="314765FC"/>
    <w:rsid w:val="314DBE7F"/>
    <w:rsid w:val="315F8F97"/>
    <w:rsid w:val="3169CD43"/>
    <w:rsid w:val="31B49272"/>
    <w:rsid w:val="324FF1CC"/>
    <w:rsid w:val="32671805"/>
    <w:rsid w:val="3280E329"/>
    <w:rsid w:val="3285E411"/>
    <w:rsid w:val="328ADF3A"/>
    <w:rsid w:val="329F6A0F"/>
    <w:rsid w:val="32A586E3"/>
    <w:rsid w:val="32BE95A0"/>
    <w:rsid w:val="32C10126"/>
    <w:rsid w:val="32C51A9C"/>
    <w:rsid w:val="32C51EB6"/>
    <w:rsid w:val="32C861CC"/>
    <w:rsid w:val="32DA290E"/>
    <w:rsid w:val="32E64E9D"/>
    <w:rsid w:val="32F6AFDE"/>
    <w:rsid w:val="33740914"/>
    <w:rsid w:val="33773D62"/>
    <w:rsid w:val="33827D69"/>
    <w:rsid w:val="33855BA8"/>
    <w:rsid w:val="33AC9803"/>
    <w:rsid w:val="33C06AC8"/>
    <w:rsid w:val="33C3759C"/>
    <w:rsid w:val="33CB095D"/>
    <w:rsid w:val="33CDEE1C"/>
    <w:rsid w:val="34050C2A"/>
    <w:rsid w:val="343C9172"/>
    <w:rsid w:val="3452385E"/>
    <w:rsid w:val="345CE2B2"/>
    <w:rsid w:val="3485430C"/>
    <w:rsid w:val="34882BEB"/>
    <w:rsid w:val="349C2E24"/>
    <w:rsid w:val="349C83E5"/>
    <w:rsid w:val="34D31542"/>
    <w:rsid w:val="34D40F60"/>
    <w:rsid w:val="34F771D6"/>
    <w:rsid w:val="350052C0"/>
    <w:rsid w:val="354C5526"/>
    <w:rsid w:val="35529B16"/>
    <w:rsid w:val="355AA540"/>
    <w:rsid w:val="35687343"/>
    <w:rsid w:val="35810F18"/>
    <w:rsid w:val="35834635"/>
    <w:rsid w:val="35851BDE"/>
    <w:rsid w:val="358F2D1D"/>
    <w:rsid w:val="359411B6"/>
    <w:rsid w:val="35A0D8DE"/>
    <w:rsid w:val="35A9362D"/>
    <w:rsid w:val="35CD214B"/>
    <w:rsid w:val="35D58B69"/>
    <w:rsid w:val="35DF798B"/>
    <w:rsid w:val="35FC8088"/>
    <w:rsid w:val="3602B972"/>
    <w:rsid w:val="360B688C"/>
    <w:rsid w:val="3611708D"/>
    <w:rsid w:val="3626C183"/>
    <w:rsid w:val="3639440B"/>
    <w:rsid w:val="3648C9FF"/>
    <w:rsid w:val="365F67DA"/>
    <w:rsid w:val="368CFF42"/>
    <w:rsid w:val="36ABA9D6"/>
    <w:rsid w:val="36C3FDC8"/>
    <w:rsid w:val="36C465FE"/>
    <w:rsid w:val="3711350A"/>
    <w:rsid w:val="371A7310"/>
    <w:rsid w:val="3744EA77"/>
    <w:rsid w:val="374A05E8"/>
    <w:rsid w:val="3766E20D"/>
    <w:rsid w:val="376887A0"/>
    <w:rsid w:val="376D9320"/>
    <w:rsid w:val="376D9323"/>
    <w:rsid w:val="377FC2AA"/>
    <w:rsid w:val="37833772"/>
    <w:rsid w:val="379D7CEB"/>
    <w:rsid w:val="37CA7CA5"/>
    <w:rsid w:val="380AF52A"/>
    <w:rsid w:val="38113232"/>
    <w:rsid w:val="381E2388"/>
    <w:rsid w:val="3827A07B"/>
    <w:rsid w:val="382D1861"/>
    <w:rsid w:val="384675F5"/>
    <w:rsid w:val="3858CCCB"/>
    <w:rsid w:val="385B7A63"/>
    <w:rsid w:val="38642B42"/>
    <w:rsid w:val="38A1FA76"/>
    <w:rsid w:val="38A987B8"/>
    <w:rsid w:val="38BBF09F"/>
    <w:rsid w:val="38C36178"/>
    <w:rsid w:val="38D40494"/>
    <w:rsid w:val="38D66826"/>
    <w:rsid w:val="38D711D6"/>
    <w:rsid w:val="38EC1A59"/>
    <w:rsid w:val="38EEBCED"/>
    <w:rsid w:val="38F353A8"/>
    <w:rsid w:val="38F98CE9"/>
    <w:rsid w:val="39029CDD"/>
    <w:rsid w:val="392DC3C7"/>
    <w:rsid w:val="39303876"/>
    <w:rsid w:val="3937A350"/>
    <w:rsid w:val="394A6B54"/>
    <w:rsid w:val="39860DCC"/>
    <w:rsid w:val="398B9680"/>
    <w:rsid w:val="39BF9CDB"/>
    <w:rsid w:val="39CDBEE8"/>
    <w:rsid w:val="39E7D942"/>
    <w:rsid w:val="3A001B57"/>
    <w:rsid w:val="3A4CCAFC"/>
    <w:rsid w:val="3A716366"/>
    <w:rsid w:val="3A841DF6"/>
    <w:rsid w:val="3ABDC65B"/>
    <w:rsid w:val="3ACB862B"/>
    <w:rsid w:val="3ACD3AC6"/>
    <w:rsid w:val="3AD373B1"/>
    <w:rsid w:val="3AEA7E5C"/>
    <w:rsid w:val="3AF3E320"/>
    <w:rsid w:val="3AF92C62"/>
    <w:rsid w:val="3B6220B1"/>
    <w:rsid w:val="3B6F7B9C"/>
    <w:rsid w:val="3B8E7241"/>
    <w:rsid w:val="3B97D035"/>
    <w:rsid w:val="3B99C174"/>
    <w:rsid w:val="3B9D3ED1"/>
    <w:rsid w:val="3BAAC683"/>
    <w:rsid w:val="3BAE48E5"/>
    <w:rsid w:val="3BFABB24"/>
    <w:rsid w:val="3C0263AA"/>
    <w:rsid w:val="3C100CA3"/>
    <w:rsid w:val="3C12E04E"/>
    <w:rsid w:val="3C4EBB0F"/>
    <w:rsid w:val="3C609090"/>
    <w:rsid w:val="3C7808A1"/>
    <w:rsid w:val="3C783333"/>
    <w:rsid w:val="3C8472A1"/>
    <w:rsid w:val="3C96ACD8"/>
    <w:rsid w:val="3CC5C913"/>
    <w:rsid w:val="3CD7636C"/>
    <w:rsid w:val="3CEFAB5F"/>
    <w:rsid w:val="3D056FF9"/>
    <w:rsid w:val="3D549270"/>
    <w:rsid w:val="3D54B57E"/>
    <w:rsid w:val="3D5FEF58"/>
    <w:rsid w:val="3D760CB5"/>
    <w:rsid w:val="3D846BBE"/>
    <w:rsid w:val="3D88DAF9"/>
    <w:rsid w:val="3D91C65A"/>
    <w:rsid w:val="3DA5D5B0"/>
    <w:rsid w:val="3DBFEC2E"/>
    <w:rsid w:val="3DC66542"/>
    <w:rsid w:val="3DC91CCF"/>
    <w:rsid w:val="3DF63783"/>
    <w:rsid w:val="3DF7F47A"/>
    <w:rsid w:val="3DFEFEC7"/>
    <w:rsid w:val="3E12C660"/>
    <w:rsid w:val="3E2F33B7"/>
    <w:rsid w:val="3E379C41"/>
    <w:rsid w:val="3E6143C6"/>
    <w:rsid w:val="3E699969"/>
    <w:rsid w:val="3E69C2DD"/>
    <w:rsid w:val="3E944B10"/>
    <w:rsid w:val="3EABD8BB"/>
    <w:rsid w:val="3EB12FDE"/>
    <w:rsid w:val="3EBA3470"/>
    <w:rsid w:val="3EBEDB17"/>
    <w:rsid w:val="3EE97847"/>
    <w:rsid w:val="3EED5986"/>
    <w:rsid w:val="3EED65D0"/>
    <w:rsid w:val="3EF0FC7E"/>
    <w:rsid w:val="3EF28AD0"/>
    <w:rsid w:val="3F3DB3AE"/>
    <w:rsid w:val="3F4531E9"/>
    <w:rsid w:val="3F514B06"/>
    <w:rsid w:val="3F563D41"/>
    <w:rsid w:val="3F5AE117"/>
    <w:rsid w:val="3F5BA6CD"/>
    <w:rsid w:val="3F726D9D"/>
    <w:rsid w:val="3F7922F5"/>
    <w:rsid w:val="3F8A21B6"/>
    <w:rsid w:val="3F8F2E56"/>
    <w:rsid w:val="3F99733B"/>
    <w:rsid w:val="3FC61A1B"/>
    <w:rsid w:val="3FE59983"/>
    <w:rsid w:val="40059C69"/>
    <w:rsid w:val="400FAD6E"/>
    <w:rsid w:val="40118C01"/>
    <w:rsid w:val="4017950C"/>
    <w:rsid w:val="40274495"/>
    <w:rsid w:val="403C6C9E"/>
    <w:rsid w:val="40443F8C"/>
    <w:rsid w:val="40463414"/>
    <w:rsid w:val="4051578B"/>
    <w:rsid w:val="40590B2E"/>
    <w:rsid w:val="4063DEB0"/>
    <w:rsid w:val="407A6611"/>
    <w:rsid w:val="40A25D02"/>
    <w:rsid w:val="40A2FF9A"/>
    <w:rsid w:val="40BC1F81"/>
    <w:rsid w:val="40C87204"/>
    <w:rsid w:val="4130C6F0"/>
    <w:rsid w:val="413226C3"/>
    <w:rsid w:val="4159F635"/>
    <w:rsid w:val="4166ABE5"/>
    <w:rsid w:val="418A260D"/>
    <w:rsid w:val="419EEC1B"/>
    <w:rsid w:val="41A15992"/>
    <w:rsid w:val="41B9F2F4"/>
    <w:rsid w:val="41E9B27B"/>
    <w:rsid w:val="41F4DB8F"/>
    <w:rsid w:val="41FD9BA9"/>
    <w:rsid w:val="42337A24"/>
    <w:rsid w:val="423C28D4"/>
    <w:rsid w:val="4241DE26"/>
    <w:rsid w:val="42773C8E"/>
    <w:rsid w:val="4287E1D8"/>
    <w:rsid w:val="4292F90B"/>
    <w:rsid w:val="42964D54"/>
    <w:rsid w:val="42BB6DB4"/>
    <w:rsid w:val="42BDB828"/>
    <w:rsid w:val="42D113FD"/>
    <w:rsid w:val="42D922E5"/>
    <w:rsid w:val="43080DA7"/>
    <w:rsid w:val="431C48DE"/>
    <w:rsid w:val="432CA74D"/>
    <w:rsid w:val="434420A7"/>
    <w:rsid w:val="43475DF2"/>
    <w:rsid w:val="43516FF9"/>
    <w:rsid w:val="437DF4E1"/>
    <w:rsid w:val="437DF5AE"/>
    <w:rsid w:val="438358B4"/>
    <w:rsid w:val="43B2444F"/>
    <w:rsid w:val="43C19085"/>
    <w:rsid w:val="43C86900"/>
    <w:rsid w:val="43F2EEC5"/>
    <w:rsid w:val="441D49BE"/>
    <w:rsid w:val="442D4A4D"/>
    <w:rsid w:val="442F0886"/>
    <w:rsid w:val="44573A30"/>
    <w:rsid w:val="445BDEB0"/>
    <w:rsid w:val="446CE45E"/>
    <w:rsid w:val="449BF395"/>
    <w:rsid w:val="44ABAEB5"/>
    <w:rsid w:val="44B0AC5D"/>
    <w:rsid w:val="44E75AE9"/>
    <w:rsid w:val="44F38067"/>
    <w:rsid w:val="44F77665"/>
    <w:rsid w:val="44FD9DDC"/>
    <w:rsid w:val="4522F02C"/>
    <w:rsid w:val="454A57F8"/>
    <w:rsid w:val="455EE41D"/>
    <w:rsid w:val="456CBA9A"/>
    <w:rsid w:val="458CA125"/>
    <w:rsid w:val="458CC541"/>
    <w:rsid w:val="459A32A5"/>
    <w:rsid w:val="45D30E8A"/>
    <w:rsid w:val="45E10D4E"/>
    <w:rsid w:val="45E40144"/>
    <w:rsid w:val="462F1ED5"/>
    <w:rsid w:val="463E9633"/>
    <w:rsid w:val="46435A77"/>
    <w:rsid w:val="46515CCF"/>
    <w:rsid w:val="465919BC"/>
    <w:rsid w:val="46714B8E"/>
    <w:rsid w:val="4692A7C2"/>
    <w:rsid w:val="469EC904"/>
    <w:rsid w:val="46A30152"/>
    <w:rsid w:val="46C1F1A3"/>
    <w:rsid w:val="470687F5"/>
    <w:rsid w:val="4708BD26"/>
    <w:rsid w:val="470DB35F"/>
    <w:rsid w:val="47399D9C"/>
    <w:rsid w:val="4766A948"/>
    <w:rsid w:val="4784EE86"/>
    <w:rsid w:val="4786C1B0"/>
    <w:rsid w:val="479A31BB"/>
    <w:rsid w:val="47B745F3"/>
    <w:rsid w:val="47C63984"/>
    <w:rsid w:val="47CE45CF"/>
    <w:rsid w:val="47D12C00"/>
    <w:rsid w:val="47D92B2C"/>
    <w:rsid w:val="47E374EB"/>
    <w:rsid w:val="47F7893C"/>
    <w:rsid w:val="480F759B"/>
    <w:rsid w:val="4818C9C0"/>
    <w:rsid w:val="48270622"/>
    <w:rsid w:val="4830ED0F"/>
    <w:rsid w:val="48321F63"/>
    <w:rsid w:val="483621DD"/>
    <w:rsid w:val="4854B768"/>
    <w:rsid w:val="4861A1F3"/>
    <w:rsid w:val="486E6C4B"/>
    <w:rsid w:val="48902BFB"/>
    <w:rsid w:val="48BE848B"/>
    <w:rsid w:val="48D6D923"/>
    <w:rsid w:val="48DC1012"/>
    <w:rsid w:val="48F22522"/>
    <w:rsid w:val="490780BB"/>
    <w:rsid w:val="491BA818"/>
    <w:rsid w:val="492E7D80"/>
    <w:rsid w:val="49352B9D"/>
    <w:rsid w:val="493CCC54"/>
    <w:rsid w:val="4966BB8D"/>
    <w:rsid w:val="496CFC61"/>
    <w:rsid w:val="4986923B"/>
    <w:rsid w:val="498C92E2"/>
    <w:rsid w:val="499AFA02"/>
    <w:rsid w:val="499FAD47"/>
    <w:rsid w:val="49AB45FC"/>
    <w:rsid w:val="49B7BF8C"/>
    <w:rsid w:val="49C14597"/>
    <w:rsid w:val="49C8DA73"/>
    <w:rsid w:val="49DB1BAC"/>
    <w:rsid w:val="49DBCCD7"/>
    <w:rsid w:val="4A06FC64"/>
    <w:rsid w:val="4A1831B1"/>
    <w:rsid w:val="4A2BD810"/>
    <w:rsid w:val="4A38BF03"/>
    <w:rsid w:val="4A3F6AF7"/>
    <w:rsid w:val="4A5EB816"/>
    <w:rsid w:val="4A624CCE"/>
    <w:rsid w:val="4A6688C2"/>
    <w:rsid w:val="4A6AD091"/>
    <w:rsid w:val="4A90F307"/>
    <w:rsid w:val="4AB52841"/>
    <w:rsid w:val="4AC07E9A"/>
    <w:rsid w:val="4AE1497C"/>
    <w:rsid w:val="4B103158"/>
    <w:rsid w:val="4B12BFE5"/>
    <w:rsid w:val="4B286343"/>
    <w:rsid w:val="4B41F437"/>
    <w:rsid w:val="4B421672"/>
    <w:rsid w:val="4B620CA0"/>
    <w:rsid w:val="4B630D08"/>
    <w:rsid w:val="4B7A066D"/>
    <w:rsid w:val="4B8F92B1"/>
    <w:rsid w:val="4B92A4A6"/>
    <w:rsid w:val="4B9415F1"/>
    <w:rsid w:val="4BB12C75"/>
    <w:rsid w:val="4BB6C078"/>
    <w:rsid w:val="4BBC9F7C"/>
    <w:rsid w:val="4BED7847"/>
    <w:rsid w:val="4BF5609C"/>
    <w:rsid w:val="4C0B24AB"/>
    <w:rsid w:val="4C50C181"/>
    <w:rsid w:val="4C6C3F7F"/>
    <w:rsid w:val="4CABD584"/>
    <w:rsid w:val="4D0048BD"/>
    <w:rsid w:val="4D0448EC"/>
    <w:rsid w:val="4D1321C3"/>
    <w:rsid w:val="4D38F7C0"/>
    <w:rsid w:val="4D4F7279"/>
    <w:rsid w:val="4D51B1E6"/>
    <w:rsid w:val="4D56CF78"/>
    <w:rsid w:val="4D9658D8"/>
    <w:rsid w:val="4DA6F50C"/>
    <w:rsid w:val="4DAF0657"/>
    <w:rsid w:val="4DBA2280"/>
    <w:rsid w:val="4DD0F83D"/>
    <w:rsid w:val="4DD5EACC"/>
    <w:rsid w:val="4DE7035D"/>
    <w:rsid w:val="4DEC91E2"/>
    <w:rsid w:val="4E47738A"/>
    <w:rsid w:val="4E5C7C25"/>
    <w:rsid w:val="4E5CDD49"/>
    <w:rsid w:val="4E81C345"/>
    <w:rsid w:val="4E993281"/>
    <w:rsid w:val="4EA85039"/>
    <w:rsid w:val="4EC72992"/>
    <w:rsid w:val="4EC9681A"/>
    <w:rsid w:val="4EDE1B8B"/>
    <w:rsid w:val="4EE61F9F"/>
    <w:rsid w:val="4EEC682B"/>
    <w:rsid w:val="4EF5956C"/>
    <w:rsid w:val="4F078997"/>
    <w:rsid w:val="4F0F90D7"/>
    <w:rsid w:val="4F4378B6"/>
    <w:rsid w:val="4F484DB2"/>
    <w:rsid w:val="4F899417"/>
    <w:rsid w:val="4F99C0DA"/>
    <w:rsid w:val="4FA958F4"/>
    <w:rsid w:val="4FABCDBD"/>
    <w:rsid w:val="4FDBC082"/>
    <w:rsid w:val="4FEFB623"/>
    <w:rsid w:val="4FFE991E"/>
    <w:rsid w:val="5018A02F"/>
    <w:rsid w:val="50387D31"/>
    <w:rsid w:val="50662638"/>
    <w:rsid w:val="50868B3D"/>
    <w:rsid w:val="50887CFD"/>
    <w:rsid w:val="508A319B"/>
    <w:rsid w:val="50B7A809"/>
    <w:rsid w:val="50C2E4FF"/>
    <w:rsid w:val="50C82871"/>
    <w:rsid w:val="50D5272C"/>
    <w:rsid w:val="50D731FE"/>
    <w:rsid w:val="50F65DB8"/>
    <w:rsid w:val="5139802B"/>
    <w:rsid w:val="5141795B"/>
    <w:rsid w:val="5147F325"/>
    <w:rsid w:val="51499A9F"/>
    <w:rsid w:val="5159656A"/>
    <w:rsid w:val="516ADD24"/>
    <w:rsid w:val="519D2F84"/>
    <w:rsid w:val="51A337B3"/>
    <w:rsid w:val="51AE5417"/>
    <w:rsid w:val="51B8D3E3"/>
    <w:rsid w:val="51BF9D08"/>
    <w:rsid w:val="51D5077C"/>
    <w:rsid w:val="51D92B02"/>
    <w:rsid w:val="521BACF9"/>
    <w:rsid w:val="526548D6"/>
    <w:rsid w:val="5281C19B"/>
    <w:rsid w:val="529F11E0"/>
    <w:rsid w:val="52BC2858"/>
    <w:rsid w:val="52BFCE87"/>
    <w:rsid w:val="52C448B2"/>
    <w:rsid w:val="52CDD2E4"/>
    <w:rsid w:val="52F4A960"/>
    <w:rsid w:val="52F9EA58"/>
    <w:rsid w:val="530FE511"/>
    <w:rsid w:val="531F1257"/>
    <w:rsid w:val="532397DF"/>
    <w:rsid w:val="53325524"/>
    <w:rsid w:val="5348D8D8"/>
    <w:rsid w:val="535B2717"/>
    <w:rsid w:val="535C32D4"/>
    <w:rsid w:val="53656BC8"/>
    <w:rsid w:val="53673703"/>
    <w:rsid w:val="5374B144"/>
    <w:rsid w:val="537C36C1"/>
    <w:rsid w:val="5392D021"/>
    <w:rsid w:val="53A382C7"/>
    <w:rsid w:val="53B6A879"/>
    <w:rsid w:val="53B990C2"/>
    <w:rsid w:val="53D705C6"/>
    <w:rsid w:val="5414602F"/>
    <w:rsid w:val="54149883"/>
    <w:rsid w:val="54443DD9"/>
    <w:rsid w:val="545D804C"/>
    <w:rsid w:val="549E3516"/>
    <w:rsid w:val="54AD8371"/>
    <w:rsid w:val="54FB6B5F"/>
    <w:rsid w:val="551B5F7B"/>
    <w:rsid w:val="551FB928"/>
    <w:rsid w:val="552C5EFE"/>
    <w:rsid w:val="552EF011"/>
    <w:rsid w:val="554ACB5E"/>
    <w:rsid w:val="5551EBFA"/>
    <w:rsid w:val="555DA2BE"/>
    <w:rsid w:val="556368EE"/>
    <w:rsid w:val="55780CE1"/>
    <w:rsid w:val="5589212C"/>
    <w:rsid w:val="55A2DD29"/>
    <w:rsid w:val="55A59CE9"/>
    <w:rsid w:val="55AF4B3B"/>
    <w:rsid w:val="55B90530"/>
    <w:rsid w:val="55F0058E"/>
    <w:rsid w:val="55F28E0C"/>
    <w:rsid w:val="561EB3CA"/>
    <w:rsid w:val="5625A906"/>
    <w:rsid w:val="56280E33"/>
    <w:rsid w:val="564E414B"/>
    <w:rsid w:val="5670A0A7"/>
    <w:rsid w:val="567430CB"/>
    <w:rsid w:val="567CFDAC"/>
    <w:rsid w:val="568061E8"/>
    <w:rsid w:val="5685BDE9"/>
    <w:rsid w:val="56908170"/>
    <w:rsid w:val="569A4E73"/>
    <w:rsid w:val="56ADECBE"/>
    <w:rsid w:val="56AE3FE2"/>
    <w:rsid w:val="56DC406E"/>
    <w:rsid w:val="56EE493B"/>
    <w:rsid w:val="56F1A33A"/>
    <w:rsid w:val="56F1AB3D"/>
    <w:rsid w:val="56F1BB31"/>
    <w:rsid w:val="5706E4B8"/>
    <w:rsid w:val="57161732"/>
    <w:rsid w:val="571A86D8"/>
    <w:rsid w:val="572AB622"/>
    <w:rsid w:val="572F7108"/>
    <w:rsid w:val="57444FC8"/>
    <w:rsid w:val="5755BD62"/>
    <w:rsid w:val="575C1A75"/>
    <w:rsid w:val="576E7658"/>
    <w:rsid w:val="57829E0E"/>
    <w:rsid w:val="5784BA98"/>
    <w:rsid w:val="579EBC15"/>
    <w:rsid w:val="57AE3B25"/>
    <w:rsid w:val="57C11440"/>
    <w:rsid w:val="57C1B7EE"/>
    <w:rsid w:val="57DCE3FA"/>
    <w:rsid w:val="57FCC679"/>
    <w:rsid w:val="5801F20D"/>
    <w:rsid w:val="580F8C06"/>
    <w:rsid w:val="58138B2A"/>
    <w:rsid w:val="585B6362"/>
    <w:rsid w:val="58653BBC"/>
    <w:rsid w:val="587BC175"/>
    <w:rsid w:val="588CBB95"/>
    <w:rsid w:val="589A58DA"/>
    <w:rsid w:val="58A8FD7A"/>
    <w:rsid w:val="58B7D055"/>
    <w:rsid w:val="5915D112"/>
    <w:rsid w:val="597AFCE1"/>
    <w:rsid w:val="599B8B12"/>
    <w:rsid w:val="599DC26E"/>
    <w:rsid w:val="59C831F9"/>
    <w:rsid w:val="59D5A605"/>
    <w:rsid w:val="59E58D80"/>
    <w:rsid w:val="5A1CBD16"/>
    <w:rsid w:val="5A255D1D"/>
    <w:rsid w:val="5A5C034D"/>
    <w:rsid w:val="5A6757E2"/>
    <w:rsid w:val="5A744BAC"/>
    <w:rsid w:val="5A82E1EC"/>
    <w:rsid w:val="5A933AE2"/>
    <w:rsid w:val="5A95DB7F"/>
    <w:rsid w:val="5AAD6705"/>
    <w:rsid w:val="5ABC5B5A"/>
    <w:rsid w:val="5B0366C7"/>
    <w:rsid w:val="5B12A1E0"/>
    <w:rsid w:val="5B1D2A24"/>
    <w:rsid w:val="5B292A92"/>
    <w:rsid w:val="5B445D38"/>
    <w:rsid w:val="5B6173C9"/>
    <w:rsid w:val="5B619C99"/>
    <w:rsid w:val="5B741F3B"/>
    <w:rsid w:val="5B86934B"/>
    <w:rsid w:val="5B97F33C"/>
    <w:rsid w:val="5BA24712"/>
    <w:rsid w:val="5BFAC79A"/>
    <w:rsid w:val="5C08552A"/>
    <w:rsid w:val="5C1E1DDA"/>
    <w:rsid w:val="5C27966F"/>
    <w:rsid w:val="5C3B6EA3"/>
    <w:rsid w:val="5C61BAC8"/>
    <w:rsid w:val="5C65A7EC"/>
    <w:rsid w:val="5C6748E9"/>
    <w:rsid w:val="5C8BE857"/>
    <w:rsid w:val="5C94CFB1"/>
    <w:rsid w:val="5CAE7241"/>
    <w:rsid w:val="5CAF9667"/>
    <w:rsid w:val="5CB4103A"/>
    <w:rsid w:val="5CB79BE6"/>
    <w:rsid w:val="5CD3EC21"/>
    <w:rsid w:val="5CD7C4CD"/>
    <w:rsid w:val="5CE227E0"/>
    <w:rsid w:val="5CE5DA39"/>
    <w:rsid w:val="5CF68AED"/>
    <w:rsid w:val="5CF78DA3"/>
    <w:rsid w:val="5D0548F4"/>
    <w:rsid w:val="5D0889B0"/>
    <w:rsid w:val="5D1C9A77"/>
    <w:rsid w:val="5D370361"/>
    <w:rsid w:val="5D3AACDE"/>
    <w:rsid w:val="5D5D8ABF"/>
    <w:rsid w:val="5D607308"/>
    <w:rsid w:val="5D79490D"/>
    <w:rsid w:val="5D8F51BF"/>
    <w:rsid w:val="5DE9CEAE"/>
    <w:rsid w:val="5E5562B7"/>
    <w:rsid w:val="5E64C583"/>
    <w:rsid w:val="5E8F4B70"/>
    <w:rsid w:val="5E9F50AA"/>
    <w:rsid w:val="5EB86AD8"/>
    <w:rsid w:val="5ECBCF16"/>
    <w:rsid w:val="5EF6FF48"/>
    <w:rsid w:val="5EF7E377"/>
    <w:rsid w:val="5F04DA74"/>
    <w:rsid w:val="5F12201D"/>
    <w:rsid w:val="5F1504F3"/>
    <w:rsid w:val="5F16AE87"/>
    <w:rsid w:val="5F29D288"/>
    <w:rsid w:val="5F312BE4"/>
    <w:rsid w:val="5F347361"/>
    <w:rsid w:val="5F50E263"/>
    <w:rsid w:val="5F762191"/>
    <w:rsid w:val="5F7A1C3E"/>
    <w:rsid w:val="5F87E2B9"/>
    <w:rsid w:val="5F8FCC7D"/>
    <w:rsid w:val="5FA1D859"/>
    <w:rsid w:val="5FA2A329"/>
    <w:rsid w:val="5FC55FF7"/>
    <w:rsid w:val="5FCEF079"/>
    <w:rsid w:val="5FD17494"/>
    <w:rsid w:val="5FF76904"/>
    <w:rsid w:val="60014BB6"/>
    <w:rsid w:val="6013D9E8"/>
    <w:rsid w:val="6026CFC8"/>
    <w:rsid w:val="6034C538"/>
    <w:rsid w:val="60491F90"/>
    <w:rsid w:val="605E8CEE"/>
    <w:rsid w:val="606B0480"/>
    <w:rsid w:val="606B4A1F"/>
    <w:rsid w:val="608C80FF"/>
    <w:rsid w:val="60C00571"/>
    <w:rsid w:val="60EE4BCB"/>
    <w:rsid w:val="60F7105E"/>
    <w:rsid w:val="60FA4563"/>
    <w:rsid w:val="60FAA58A"/>
    <w:rsid w:val="6102E948"/>
    <w:rsid w:val="6155B472"/>
    <w:rsid w:val="617A0414"/>
    <w:rsid w:val="618B0732"/>
    <w:rsid w:val="61914B93"/>
    <w:rsid w:val="6199F75C"/>
    <w:rsid w:val="619AE6F7"/>
    <w:rsid w:val="619B0267"/>
    <w:rsid w:val="61BA27EB"/>
    <w:rsid w:val="62206C5E"/>
    <w:rsid w:val="62234516"/>
    <w:rsid w:val="62318A0F"/>
    <w:rsid w:val="628B79EF"/>
    <w:rsid w:val="628CD3B7"/>
    <w:rsid w:val="628E2F37"/>
    <w:rsid w:val="6298B915"/>
    <w:rsid w:val="62C10704"/>
    <w:rsid w:val="62EF7CBC"/>
    <w:rsid w:val="62FA708F"/>
    <w:rsid w:val="62FD2C2D"/>
    <w:rsid w:val="6306913B"/>
    <w:rsid w:val="63466E74"/>
    <w:rsid w:val="63616CEC"/>
    <w:rsid w:val="638EBDC9"/>
    <w:rsid w:val="63A538A4"/>
    <w:rsid w:val="63A9B9CA"/>
    <w:rsid w:val="63CC3F63"/>
    <w:rsid w:val="63CD5EEB"/>
    <w:rsid w:val="63CF8BBE"/>
    <w:rsid w:val="63D57EEC"/>
    <w:rsid w:val="63F66828"/>
    <w:rsid w:val="63FC5F5B"/>
    <w:rsid w:val="641BBD6E"/>
    <w:rsid w:val="642080A1"/>
    <w:rsid w:val="6422C3DA"/>
    <w:rsid w:val="642D91BC"/>
    <w:rsid w:val="64633DA0"/>
    <w:rsid w:val="64676567"/>
    <w:rsid w:val="6491B27E"/>
    <w:rsid w:val="64A25968"/>
    <w:rsid w:val="64B4D7C4"/>
    <w:rsid w:val="64C46224"/>
    <w:rsid w:val="64C54327"/>
    <w:rsid w:val="64E419F9"/>
    <w:rsid w:val="64E47304"/>
    <w:rsid w:val="64E67492"/>
    <w:rsid w:val="64F76935"/>
    <w:rsid w:val="64F90939"/>
    <w:rsid w:val="65015679"/>
    <w:rsid w:val="653178AC"/>
    <w:rsid w:val="6535EAB0"/>
    <w:rsid w:val="654BAB09"/>
    <w:rsid w:val="6552F2E2"/>
    <w:rsid w:val="655A9E14"/>
    <w:rsid w:val="656FCDDA"/>
    <w:rsid w:val="65B48BD4"/>
    <w:rsid w:val="65D8BFFC"/>
    <w:rsid w:val="65DACCB5"/>
    <w:rsid w:val="65E4843F"/>
    <w:rsid w:val="65F4A70D"/>
    <w:rsid w:val="65FC4B7A"/>
    <w:rsid w:val="662F555C"/>
    <w:rsid w:val="6639DE56"/>
    <w:rsid w:val="665A34F2"/>
    <w:rsid w:val="66702099"/>
    <w:rsid w:val="66772BE1"/>
    <w:rsid w:val="66A0A74E"/>
    <w:rsid w:val="67004D58"/>
    <w:rsid w:val="675755CA"/>
    <w:rsid w:val="676EC844"/>
    <w:rsid w:val="67732C00"/>
    <w:rsid w:val="6775653E"/>
    <w:rsid w:val="67B83B0C"/>
    <w:rsid w:val="67C34C60"/>
    <w:rsid w:val="67F82FF8"/>
    <w:rsid w:val="68036FAE"/>
    <w:rsid w:val="684B792A"/>
    <w:rsid w:val="6851EAB4"/>
    <w:rsid w:val="68676388"/>
    <w:rsid w:val="686DB025"/>
    <w:rsid w:val="688848C8"/>
    <w:rsid w:val="6895CC23"/>
    <w:rsid w:val="6899D8B7"/>
    <w:rsid w:val="68BF9A44"/>
    <w:rsid w:val="68CC1E02"/>
    <w:rsid w:val="68ED99A8"/>
    <w:rsid w:val="693DB8F2"/>
    <w:rsid w:val="695BA460"/>
    <w:rsid w:val="695CFC10"/>
    <w:rsid w:val="6960A0F4"/>
    <w:rsid w:val="6961D104"/>
    <w:rsid w:val="697BACDD"/>
    <w:rsid w:val="697E31FB"/>
    <w:rsid w:val="69940059"/>
    <w:rsid w:val="69A198A8"/>
    <w:rsid w:val="69D1BFEA"/>
    <w:rsid w:val="69DC3AEA"/>
    <w:rsid w:val="69DDFCAF"/>
    <w:rsid w:val="69F7A43F"/>
    <w:rsid w:val="6A0B7220"/>
    <w:rsid w:val="6A19FFE2"/>
    <w:rsid w:val="6A3FD3F7"/>
    <w:rsid w:val="6A7F3178"/>
    <w:rsid w:val="6A7FF222"/>
    <w:rsid w:val="6A93A419"/>
    <w:rsid w:val="6A97B48F"/>
    <w:rsid w:val="6AAE1FE9"/>
    <w:rsid w:val="6AC23304"/>
    <w:rsid w:val="6ACB51E8"/>
    <w:rsid w:val="6ADB696C"/>
    <w:rsid w:val="6B14A960"/>
    <w:rsid w:val="6B1A025C"/>
    <w:rsid w:val="6B21D241"/>
    <w:rsid w:val="6B300F4A"/>
    <w:rsid w:val="6B482070"/>
    <w:rsid w:val="6B57502D"/>
    <w:rsid w:val="6B5813D4"/>
    <w:rsid w:val="6B58D19E"/>
    <w:rsid w:val="6B8268B8"/>
    <w:rsid w:val="6B850879"/>
    <w:rsid w:val="6B8878A3"/>
    <w:rsid w:val="6BA52C34"/>
    <w:rsid w:val="6BB0FEFF"/>
    <w:rsid w:val="6BBC4469"/>
    <w:rsid w:val="6BF181D8"/>
    <w:rsid w:val="6C13AAB9"/>
    <w:rsid w:val="6C1948C4"/>
    <w:rsid w:val="6C1FFC8E"/>
    <w:rsid w:val="6C36757C"/>
    <w:rsid w:val="6C52671A"/>
    <w:rsid w:val="6C6B8956"/>
    <w:rsid w:val="6C855A39"/>
    <w:rsid w:val="6C944650"/>
    <w:rsid w:val="6CA8A54B"/>
    <w:rsid w:val="6CBBB633"/>
    <w:rsid w:val="6CC495AF"/>
    <w:rsid w:val="6CDDD897"/>
    <w:rsid w:val="6CEAD2F5"/>
    <w:rsid w:val="6CF2CFCB"/>
    <w:rsid w:val="6D1D00A3"/>
    <w:rsid w:val="6D1E213A"/>
    <w:rsid w:val="6D291CA8"/>
    <w:rsid w:val="6D2EBAAD"/>
    <w:rsid w:val="6D43BC37"/>
    <w:rsid w:val="6D4CAD72"/>
    <w:rsid w:val="6D4FC8F3"/>
    <w:rsid w:val="6D5A01CA"/>
    <w:rsid w:val="6D64C0B1"/>
    <w:rsid w:val="6D743760"/>
    <w:rsid w:val="6D7B0F2F"/>
    <w:rsid w:val="6DA7CC3A"/>
    <w:rsid w:val="6DD39329"/>
    <w:rsid w:val="6DD9112C"/>
    <w:rsid w:val="6E0E3FC6"/>
    <w:rsid w:val="6E0FA1F9"/>
    <w:rsid w:val="6E160289"/>
    <w:rsid w:val="6E1AB41B"/>
    <w:rsid w:val="6E22AE02"/>
    <w:rsid w:val="6E38090B"/>
    <w:rsid w:val="6E38320C"/>
    <w:rsid w:val="6E3CCD44"/>
    <w:rsid w:val="6E785101"/>
    <w:rsid w:val="6E7C9EAA"/>
    <w:rsid w:val="6E92111E"/>
    <w:rsid w:val="6E9F7BE3"/>
    <w:rsid w:val="6EA08E40"/>
    <w:rsid w:val="6EBB7FA9"/>
    <w:rsid w:val="6EBF0D86"/>
    <w:rsid w:val="6EC2CCA3"/>
    <w:rsid w:val="6EC4230D"/>
    <w:rsid w:val="6EC857F5"/>
    <w:rsid w:val="6ED4E33F"/>
    <w:rsid w:val="6ED52EE4"/>
    <w:rsid w:val="6EF182D2"/>
    <w:rsid w:val="6F12CB13"/>
    <w:rsid w:val="6F1F8A6A"/>
    <w:rsid w:val="6F4A96A9"/>
    <w:rsid w:val="6F90E856"/>
    <w:rsid w:val="6FAA46FB"/>
    <w:rsid w:val="6FD3D96C"/>
    <w:rsid w:val="6FE13FAB"/>
    <w:rsid w:val="6FF2C6B4"/>
    <w:rsid w:val="6FF713B9"/>
    <w:rsid w:val="6FF74764"/>
    <w:rsid w:val="6FFC50FC"/>
    <w:rsid w:val="6FFD57AF"/>
    <w:rsid w:val="7005751C"/>
    <w:rsid w:val="70286EAA"/>
    <w:rsid w:val="703048FF"/>
    <w:rsid w:val="7052EFA9"/>
    <w:rsid w:val="706F98F5"/>
    <w:rsid w:val="707AF701"/>
    <w:rsid w:val="7099170B"/>
    <w:rsid w:val="70A423D2"/>
    <w:rsid w:val="70B6FB5E"/>
    <w:rsid w:val="70D4AEAF"/>
    <w:rsid w:val="70DE5B01"/>
    <w:rsid w:val="70E0A7B2"/>
    <w:rsid w:val="70E347DD"/>
    <w:rsid w:val="710CAAF2"/>
    <w:rsid w:val="711EDEB0"/>
    <w:rsid w:val="7143875D"/>
    <w:rsid w:val="71656F3A"/>
    <w:rsid w:val="717022E0"/>
    <w:rsid w:val="717EF45B"/>
    <w:rsid w:val="7188D22A"/>
    <w:rsid w:val="7189A9AE"/>
    <w:rsid w:val="718BD676"/>
    <w:rsid w:val="71A590DB"/>
    <w:rsid w:val="71CF29F6"/>
    <w:rsid w:val="71DF30F9"/>
    <w:rsid w:val="71E3A755"/>
    <w:rsid w:val="71ECE3E4"/>
    <w:rsid w:val="71F57AFC"/>
    <w:rsid w:val="71FB6745"/>
    <w:rsid w:val="71FF1B27"/>
    <w:rsid w:val="720EB0B5"/>
    <w:rsid w:val="7212C318"/>
    <w:rsid w:val="722225D2"/>
    <w:rsid w:val="72658654"/>
    <w:rsid w:val="727CE263"/>
    <w:rsid w:val="727D2A08"/>
    <w:rsid w:val="7283F7C5"/>
    <w:rsid w:val="72945677"/>
    <w:rsid w:val="72A1BA1E"/>
    <w:rsid w:val="72AF9C17"/>
    <w:rsid w:val="72B1DCA7"/>
    <w:rsid w:val="72C3DF95"/>
    <w:rsid w:val="72C50F08"/>
    <w:rsid w:val="72E1B0E9"/>
    <w:rsid w:val="730246F6"/>
    <w:rsid w:val="7309B072"/>
    <w:rsid w:val="73537E1C"/>
    <w:rsid w:val="738FEC0C"/>
    <w:rsid w:val="73949E82"/>
    <w:rsid w:val="739AEB88"/>
    <w:rsid w:val="73B012FB"/>
    <w:rsid w:val="73E210D7"/>
    <w:rsid w:val="73E61142"/>
    <w:rsid w:val="741AFD4B"/>
    <w:rsid w:val="7424B6DF"/>
    <w:rsid w:val="74281955"/>
    <w:rsid w:val="742A010F"/>
    <w:rsid w:val="742AF3C8"/>
    <w:rsid w:val="7452F279"/>
    <w:rsid w:val="7486EAB3"/>
    <w:rsid w:val="749CF1B0"/>
    <w:rsid w:val="74C57829"/>
    <w:rsid w:val="74E7F585"/>
    <w:rsid w:val="74FD0953"/>
    <w:rsid w:val="7509B041"/>
    <w:rsid w:val="75134AA7"/>
    <w:rsid w:val="75290CEA"/>
    <w:rsid w:val="752D291A"/>
    <w:rsid w:val="752E597C"/>
    <w:rsid w:val="7531EEA9"/>
    <w:rsid w:val="753DC041"/>
    <w:rsid w:val="7541D1A9"/>
    <w:rsid w:val="754FF553"/>
    <w:rsid w:val="7552C9A3"/>
    <w:rsid w:val="75557760"/>
    <w:rsid w:val="755BDF28"/>
    <w:rsid w:val="75633C98"/>
    <w:rsid w:val="756A80EE"/>
    <w:rsid w:val="758433DD"/>
    <w:rsid w:val="75912948"/>
    <w:rsid w:val="759702FB"/>
    <w:rsid w:val="75A506B7"/>
    <w:rsid w:val="75BCB053"/>
    <w:rsid w:val="75D42F76"/>
    <w:rsid w:val="75F7A62D"/>
    <w:rsid w:val="75FB2D1D"/>
    <w:rsid w:val="7603D189"/>
    <w:rsid w:val="7608181D"/>
    <w:rsid w:val="76093F5D"/>
    <w:rsid w:val="761BD7F9"/>
    <w:rsid w:val="761D4CE1"/>
    <w:rsid w:val="765D02C6"/>
    <w:rsid w:val="7660AF9A"/>
    <w:rsid w:val="7660F648"/>
    <w:rsid w:val="767D23A0"/>
    <w:rsid w:val="76912BC8"/>
    <w:rsid w:val="769382E7"/>
    <w:rsid w:val="76D73B3F"/>
    <w:rsid w:val="76DDE839"/>
    <w:rsid w:val="76E81553"/>
    <w:rsid w:val="76EFCC61"/>
    <w:rsid w:val="770D27FF"/>
    <w:rsid w:val="772C7057"/>
    <w:rsid w:val="7732C269"/>
    <w:rsid w:val="7736A9C9"/>
    <w:rsid w:val="773CD8D0"/>
    <w:rsid w:val="777A5F70"/>
    <w:rsid w:val="77903C1C"/>
    <w:rsid w:val="77AB3D3A"/>
    <w:rsid w:val="77DEBB93"/>
    <w:rsid w:val="7817F7B3"/>
    <w:rsid w:val="78181DF2"/>
    <w:rsid w:val="7846E52C"/>
    <w:rsid w:val="785F1EFC"/>
    <w:rsid w:val="7860CABC"/>
    <w:rsid w:val="78672C09"/>
    <w:rsid w:val="786E5CAB"/>
    <w:rsid w:val="7874E13D"/>
    <w:rsid w:val="788A5DBF"/>
    <w:rsid w:val="789F4575"/>
    <w:rsid w:val="78A243D8"/>
    <w:rsid w:val="78AD7E8F"/>
    <w:rsid w:val="78D7796F"/>
    <w:rsid w:val="78E40A9B"/>
    <w:rsid w:val="78EB3B0E"/>
    <w:rsid w:val="7960FC37"/>
    <w:rsid w:val="7978F65F"/>
    <w:rsid w:val="79934B48"/>
    <w:rsid w:val="79960578"/>
    <w:rsid w:val="799D789D"/>
    <w:rsid w:val="79A33342"/>
    <w:rsid w:val="79BED0F7"/>
    <w:rsid w:val="79C8578C"/>
    <w:rsid w:val="79CF9AE1"/>
    <w:rsid w:val="7A3FA401"/>
    <w:rsid w:val="7A44D249"/>
    <w:rsid w:val="7A5165F0"/>
    <w:rsid w:val="7A628046"/>
    <w:rsid w:val="7A76AEEA"/>
    <w:rsid w:val="7A8E5F5B"/>
    <w:rsid w:val="7A91C886"/>
    <w:rsid w:val="7A982009"/>
    <w:rsid w:val="7AA8FEBA"/>
    <w:rsid w:val="7ACB1750"/>
    <w:rsid w:val="7AF4DEDB"/>
    <w:rsid w:val="7AF85EA3"/>
    <w:rsid w:val="7B02FA55"/>
    <w:rsid w:val="7B128FEF"/>
    <w:rsid w:val="7B2F790E"/>
    <w:rsid w:val="7B38D626"/>
    <w:rsid w:val="7B4BD8A7"/>
    <w:rsid w:val="7B65D3F1"/>
    <w:rsid w:val="7B65F24D"/>
    <w:rsid w:val="7B6C1B23"/>
    <w:rsid w:val="7B6C3DB0"/>
    <w:rsid w:val="7B803AE0"/>
    <w:rsid w:val="7B9C3AAB"/>
    <w:rsid w:val="7BA4213F"/>
    <w:rsid w:val="7BAB13E7"/>
    <w:rsid w:val="7BB317E6"/>
    <w:rsid w:val="7BBD5C47"/>
    <w:rsid w:val="7BF75DA4"/>
    <w:rsid w:val="7C038E69"/>
    <w:rsid w:val="7C0766BD"/>
    <w:rsid w:val="7C0A9C4C"/>
    <w:rsid w:val="7C33133E"/>
    <w:rsid w:val="7C3E4B25"/>
    <w:rsid w:val="7C52E17A"/>
    <w:rsid w:val="7C6D4F92"/>
    <w:rsid w:val="7C825547"/>
    <w:rsid w:val="7CDC8E9E"/>
    <w:rsid w:val="7CEE7938"/>
    <w:rsid w:val="7CF34205"/>
    <w:rsid w:val="7D01C2AE"/>
    <w:rsid w:val="7D3502E9"/>
    <w:rsid w:val="7D35BCD8"/>
    <w:rsid w:val="7D3C8183"/>
    <w:rsid w:val="7D3CC314"/>
    <w:rsid w:val="7D474671"/>
    <w:rsid w:val="7D584B25"/>
    <w:rsid w:val="7D5AA726"/>
    <w:rsid w:val="7D769C2A"/>
    <w:rsid w:val="7D7A4B75"/>
    <w:rsid w:val="7D7C3AC5"/>
    <w:rsid w:val="7D8844EE"/>
    <w:rsid w:val="7DA315BE"/>
    <w:rsid w:val="7DD75CC9"/>
    <w:rsid w:val="7DD8EC51"/>
    <w:rsid w:val="7DEF3FDE"/>
    <w:rsid w:val="7E113B13"/>
    <w:rsid w:val="7E25F67A"/>
    <w:rsid w:val="7E265E6F"/>
    <w:rsid w:val="7E2A1EF6"/>
    <w:rsid w:val="7E4D5D23"/>
    <w:rsid w:val="7E666ED4"/>
    <w:rsid w:val="7E6702DA"/>
    <w:rsid w:val="7E71895D"/>
    <w:rsid w:val="7E9160B9"/>
    <w:rsid w:val="7E99BF63"/>
    <w:rsid w:val="7EB2C029"/>
    <w:rsid w:val="7EC07966"/>
    <w:rsid w:val="7EC6CB54"/>
    <w:rsid w:val="7ED7F73B"/>
    <w:rsid w:val="7ED85512"/>
    <w:rsid w:val="7EEA5559"/>
    <w:rsid w:val="7EFDBA17"/>
    <w:rsid w:val="7F067657"/>
    <w:rsid w:val="7F088599"/>
    <w:rsid w:val="7F0B39D6"/>
    <w:rsid w:val="7F5B89DB"/>
    <w:rsid w:val="7F6F21F1"/>
    <w:rsid w:val="7F70A3BD"/>
    <w:rsid w:val="7F830C0C"/>
    <w:rsid w:val="7F992999"/>
    <w:rsid w:val="7F9ED319"/>
    <w:rsid w:val="7FA77AC9"/>
    <w:rsid w:val="7FBAD0BF"/>
    <w:rsid w:val="7FC22E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3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4"/>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semiHidden/>
    <w:unhideWhenUsed/>
    <w:rsid w:val="00BB0FFB"/>
    <w:rPr>
      <w:color w:val="605E5C"/>
      <w:shd w:val="clear" w:color="auto" w:fill="E1DFDD"/>
    </w:rPr>
  </w:style>
  <w:style w:type="character" w:customStyle="1" w:styleId="normaltextrun">
    <w:name w:val="normaltextrun"/>
    <w:basedOn w:val="DefaultParagraphFont"/>
    <w:rsid w:val="00B86B67"/>
  </w:style>
  <w:style w:type="character" w:customStyle="1" w:styleId="eop">
    <w:name w:val="eop"/>
    <w:basedOn w:val="DefaultParagraphFont"/>
    <w:rsid w:val="00B86B67"/>
  </w:style>
  <w:style w:type="character" w:styleId="Mention">
    <w:name w:val="Mention"/>
    <w:basedOn w:val="DefaultParagraphFont"/>
    <w:uiPriority w:val="99"/>
    <w:unhideWhenUsed/>
    <w:rsid w:val="00CE5AA6"/>
    <w:rPr>
      <w:color w:val="2B579A"/>
      <w:shd w:val="clear" w:color="auto" w:fill="E1DFDD"/>
    </w:rPr>
  </w:style>
  <w:style w:type="table" w:customStyle="1" w:styleId="HealthConsult1">
    <w:name w:val="HealthConsult1"/>
    <w:basedOn w:val="TableNormal"/>
    <w:next w:val="TableGrid"/>
    <w:uiPriority w:val="59"/>
    <w:rsid w:val="007937B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F172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F172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4">
    <w:name w:val="HealthConsult4"/>
    <w:basedOn w:val="TableNormal"/>
    <w:next w:val="TableGrid"/>
    <w:uiPriority w:val="59"/>
    <w:rsid w:val="00F172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5">
    <w:name w:val="HealthConsult5"/>
    <w:basedOn w:val="TableNormal"/>
    <w:next w:val="TableGrid"/>
    <w:uiPriority w:val="59"/>
    <w:rsid w:val="00F172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6">
    <w:name w:val="HealthConsult6"/>
    <w:basedOn w:val="TableNormal"/>
    <w:next w:val="TableGrid"/>
    <w:uiPriority w:val="59"/>
    <w:rsid w:val="00F172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7">
    <w:name w:val="HealthConsult7"/>
    <w:basedOn w:val="TableNormal"/>
    <w:next w:val="TableGrid"/>
    <w:uiPriority w:val="59"/>
    <w:rsid w:val="00F172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8">
    <w:name w:val="HealthConsult8"/>
    <w:basedOn w:val="TableNormal"/>
    <w:next w:val="TableGrid"/>
    <w:uiPriority w:val="59"/>
    <w:rsid w:val="00F172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9">
    <w:name w:val="HealthConsult9"/>
    <w:basedOn w:val="TableNormal"/>
    <w:next w:val="TableGrid"/>
    <w:uiPriority w:val="59"/>
    <w:rsid w:val="00F172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65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58142158">
      <w:bodyDiv w:val="1"/>
      <w:marLeft w:val="0"/>
      <w:marRight w:val="0"/>
      <w:marTop w:val="0"/>
      <w:marBottom w:val="0"/>
      <w:divBdr>
        <w:top w:val="none" w:sz="0" w:space="0" w:color="auto"/>
        <w:left w:val="none" w:sz="0" w:space="0" w:color="auto"/>
        <w:bottom w:val="none" w:sz="0" w:space="0" w:color="auto"/>
        <w:right w:val="none" w:sz="0" w:space="0" w:color="auto"/>
      </w:divBdr>
      <w:divsChild>
        <w:div w:id="467434174">
          <w:marLeft w:val="480"/>
          <w:marRight w:val="0"/>
          <w:marTop w:val="0"/>
          <w:marBottom w:val="0"/>
          <w:divBdr>
            <w:top w:val="none" w:sz="0" w:space="0" w:color="auto"/>
            <w:left w:val="none" w:sz="0" w:space="0" w:color="auto"/>
            <w:bottom w:val="none" w:sz="0" w:space="0" w:color="auto"/>
            <w:right w:val="none" w:sz="0" w:space="0" w:color="auto"/>
          </w:divBdr>
          <w:divsChild>
            <w:div w:id="4791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76621910">
      <w:bodyDiv w:val="1"/>
      <w:marLeft w:val="0"/>
      <w:marRight w:val="0"/>
      <w:marTop w:val="0"/>
      <w:marBottom w:val="0"/>
      <w:divBdr>
        <w:top w:val="none" w:sz="0" w:space="0" w:color="auto"/>
        <w:left w:val="none" w:sz="0" w:space="0" w:color="auto"/>
        <w:bottom w:val="none" w:sz="0" w:space="0" w:color="auto"/>
        <w:right w:val="none" w:sz="0" w:space="0" w:color="auto"/>
      </w:divBdr>
      <w:divsChild>
        <w:div w:id="7802619">
          <w:marLeft w:val="0"/>
          <w:marRight w:val="0"/>
          <w:marTop w:val="0"/>
          <w:marBottom w:val="0"/>
          <w:divBdr>
            <w:top w:val="none" w:sz="0" w:space="0" w:color="auto"/>
            <w:left w:val="none" w:sz="0" w:space="0" w:color="auto"/>
            <w:bottom w:val="none" w:sz="0" w:space="0" w:color="auto"/>
            <w:right w:val="none" w:sz="0" w:space="0" w:color="auto"/>
          </w:divBdr>
          <w:divsChild>
            <w:div w:id="989479901">
              <w:marLeft w:val="0"/>
              <w:marRight w:val="0"/>
              <w:marTop w:val="0"/>
              <w:marBottom w:val="0"/>
              <w:divBdr>
                <w:top w:val="none" w:sz="0" w:space="0" w:color="auto"/>
                <w:left w:val="none" w:sz="0" w:space="0" w:color="auto"/>
                <w:bottom w:val="none" w:sz="0" w:space="0" w:color="auto"/>
                <w:right w:val="none" w:sz="0" w:space="0" w:color="auto"/>
              </w:divBdr>
            </w:div>
          </w:divsChild>
        </w:div>
        <w:div w:id="105392442">
          <w:marLeft w:val="0"/>
          <w:marRight w:val="0"/>
          <w:marTop w:val="0"/>
          <w:marBottom w:val="0"/>
          <w:divBdr>
            <w:top w:val="none" w:sz="0" w:space="0" w:color="auto"/>
            <w:left w:val="none" w:sz="0" w:space="0" w:color="auto"/>
            <w:bottom w:val="none" w:sz="0" w:space="0" w:color="auto"/>
            <w:right w:val="none" w:sz="0" w:space="0" w:color="auto"/>
          </w:divBdr>
          <w:divsChild>
            <w:div w:id="469052673">
              <w:marLeft w:val="0"/>
              <w:marRight w:val="0"/>
              <w:marTop w:val="0"/>
              <w:marBottom w:val="0"/>
              <w:divBdr>
                <w:top w:val="none" w:sz="0" w:space="0" w:color="auto"/>
                <w:left w:val="none" w:sz="0" w:space="0" w:color="auto"/>
                <w:bottom w:val="none" w:sz="0" w:space="0" w:color="auto"/>
                <w:right w:val="none" w:sz="0" w:space="0" w:color="auto"/>
              </w:divBdr>
            </w:div>
          </w:divsChild>
        </w:div>
        <w:div w:id="162862556">
          <w:marLeft w:val="0"/>
          <w:marRight w:val="0"/>
          <w:marTop w:val="0"/>
          <w:marBottom w:val="0"/>
          <w:divBdr>
            <w:top w:val="none" w:sz="0" w:space="0" w:color="auto"/>
            <w:left w:val="none" w:sz="0" w:space="0" w:color="auto"/>
            <w:bottom w:val="none" w:sz="0" w:space="0" w:color="auto"/>
            <w:right w:val="none" w:sz="0" w:space="0" w:color="auto"/>
          </w:divBdr>
          <w:divsChild>
            <w:div w:id="222133537">
              <w:marLeft w:val="0"/>
              <w:marRight w:val="0"/>
              <w:marTop w:val="0"/>
              <w:marBottom w:val="0"/>
              <w:divBdr>
                <w:top w:val="none" w:sz="0" w:space="0" w:color="auto"/>
                <w:left w:val="none" w:sz="0" w:space="0" w:color="auto"/>
                <w:bottom w:val="none" w:sz="0" w:space="0" w:color="auto"/>
                <w:right w:val="none" w:sz="0" w:space="0" w:color="auto"/>
              </w:divBdr>
            </w:div>
          </w:divsChild>
        </w:div>
        <w:div w:id="183255625">
          <w:marLeft w:val="0"/>
          <w:marRight w:val="0"/>
          <w:marTop w:val="0"/>
          <w:marBottom w:val="0"/>
          <w:divBdr>
            <w:top w:val="none" w:sz="0" w:space="0" w:color="auto"/>
            <w:left w:val="none" w:sz="0" w:space="0" w:color="auto"/>
            <w:bottom w:val="none" w:sz="0" w:space="0" w:color="auto"/>
            <w:right w:val="none" w:sz="0" w:space="0" w:color="auto"/>
          </w:divBdr>
          <w:divsChild>
            <w:div w:id="398677635">
              <w:marLeft w:val="0"/>
              <w:marRight w:val="0"/>
              <w:marTop w:val="0"/>
              <w:marBottom w:val="0"/>
              <w:divBdr>
                <w:top w:val="none" w:sz="0" w:space="0" w:color="auto"/>
                <w:left w:val="none" w:sz="0" w:space="0" w:color="auto"/>
                <w:bottom w:val="none" w:sz="0" w:space="0" w:color="auto"/>
                <w:right w:val="none" w:sz="0" w:space="0" w:color="auto"/>
              </w:divBdr>
            </w:div>
          </w:divsChild>
        </w:div>
        <w:div w:id="236592568">
          <w:marLeft w:val="0"/>
          <w:marRight w:val="0"/>
          <w:marTop w:val="0"/>
          <w:marBottom w:val="0"/>
          <w:divBdr>
            <w:top w:val="none" w:sz="0" w:space="0" w:color="auto"/>
            <w:left w:val="none" w:sz="0" w:space="0" w:color="auto"/>
            <w:bottom w:val="none" w:sz="0" w:space="0" w:color="auto"/>
            <w:right w:val="none" w:sz="0" w:space="0" w:color="auto"/>
          </w:divBdr>
          <w:divsChild>
            <w:div w:id="1886136904">
              <w:marLeft w:val="0"/>
              <w:marRight w:val="0"/>
              <w:marTop w:val="0"/>
              <w:marBottom w:val="0"/>
              <w:divBdr>
                <w:top w:val="none" w:sz="0" w:space="0" w:color="auto"/>
                <w:left w:val="none" w:sz="0" w:space="0" w:color="auto"/>
                <w:bottom w:val="none" w:sz="0" w:space="0" w:color="auto"/>
                <w:right w:val="none" w:sz="0" w:space="0" w:color="auto"/>
              </w:divBdr>
            </w:div>
          </w:divsChild>
        </w:div>
        <w:div w:id="303587381">
          <w:marLeft w:val="0"/>
          <w:marRight w:val="0"/>
          <w:marTop w:val="0"/>
          <w:marBottom w:val="0"/>
          <w:divBdr>
            <w:top w:val="none" w:sz="0" w:space="0" w:color="auto"/>
            <w:left w:val="none" w:sz="0" w:space="0" w:color="auto"/>
            <w:bottom w:val="none" w:sz="0" w:space="0" w:color="auto"/>
            <w:right w:val="none" w:sz="0" w:space="0" w:color="auto"/>
          </w:divBdr>
          <w:divsChild>
            <w:div w:id="2134670812">
              <w:marLeft w:val="0"/>
              <w:marRight w:val="0"/>
              <w:marTop w:val="0"/>
              <w:marBottom w:val="0"/>
              <w:divBdr>
                <w:top w:val="none" w:sz="0" w:space="0" w:color="auto"/>
                <w:left w:val="none" w:sz="0" w:space="0" w:color="auto"/>
                <w:bottom w:val="none" w:sz="0" w:space="0" w:color="auto"/>
                <w:right w:val="none" w:sz="0" w:space="0" w:color="auto"/>
              </w:divBdr>
            </w:div>
          </w:divsChild>
        </w:div>
        <w:div w:id="304243359">
          <w:marLeft w:val="0"/>
          <w:marRight w:val="0"/>
          <w:marTop w:val="0"/>
          <w:marBottom w:val="0"/>
          <w:divBdr>
            <w:top w:val="none" w:sz="0" w:space="0" w:color="auto"/>
            <w:left w:val="none" w:sz="0" w:space="0" w:color="auto"/>
            <w:bottom w:val="none" w:sz="0" w:space="0" w:color="auto"/>
            <w:right w:val="none" w:sz="0" w:space="0" w:color="auto"/>
          </w:divBdr>
          <w:divsChild>
            <w:div w:id="559942647">
              <w:marLeft w:val="0"/>
              <w:marRight w:val="0"/>
              <w:marTop w:val="0"/>
              <w:marBottom w:val="0"/>
              <w:divBdr>
                <w:top w:val="none" w:sz="0" w:space="0" w:color="auto"/>
                <w:left w:val="none" w:sz="0" w:space="0" w:color="auto"/>
                <w:bottom w:val="none" w:sz="0" w:space="0" w:color="auto"/>
                <w:right w:val="none" w:sz="0" w:space="0" w:color="auto"/>
              </w:divBdr>
            </w:div>
          </w:divsChild>
        </w:div>
        <w:div w:id="370304833">
          <w:marLeft w:val="0"/>
          <w:marRight w:val="0"/>
          <w:marTop w:val="0"/>
          <w:marBottom w:val="0"/>
          <w:divBdr>
            <w:top w:val="none" w:sz="0" w:space="0" w:color="auto"/>
            <w:left w:val="none" w:sz="0" w:space="0" w:color="auto"/>
            <w:bottom w:val="none" w:sz="0" w:space="0" w:color="auto"/>
            <w:right w:val="none" w:sz="0" w:space="0" w:color="auto"/>
          </w:divBdr>
          <w:divsChild>
            <w:div w:id="1030836714">
              <w:marLeft w:val="0"/>
              <w:marRight w:val="0"/>
              <w:marTop w:val="0"/>
              <w:marBottom w:val="0"/>
              <w:divBdr>
                <w:top w:val="none" w:sz="0" w:space="0" w:color="auto"/>
                <w:left w:val="none" w:sz="0" w:space="0" w:color="auto"/>
                <w:bottom w:val="none" w:sz="0" w:space="0" w:color="auto"/>
                <w:right w:val="none" w:sz="0" w:space="0" w:color="auto"/>
              </w:divBdr>
            </w:div>
          </w:divsChild>
        </w:div>
        <w:div w:id="506213058">
          <w:marLeft w:val="0"/>
          <w:marRight w:val="0"/>
          <w:marTop w:val="0"/>
          <w:marBottom w:val="0"/>
          <w:divBdr>
            <w:top w:val="none" w:sz="0" w:space="0" w:color="auto"/>
            <w:left w:val="none" w:sz="0" w:space="0" w:color="auto"/>
            <w:bottom w:val="none" w:sz="0" w:space="0" w:color="auto"/>
            <w:right w:val="none" w:sz="0" w:space="0" w:color="auto"/>
          </w:divBdr>
          <w:divsChild>
            <w:div w:id="1459883413">
              <w:marLeft w:val="0"/>
              <w:marRight w:val="0"/>
              <w:marTop w:val="0"/>
              <w:marBottom w:val="0"/>
              <w:divBdr>
                <w:top w:val="none" w:sz="0" w:space="0" w:color="auto"/>
                <w:left w:val="none" w:sz="0" w:space="0" w:color="auto"/>
                <w:bottom w:val="none" w:sz="0" w:space="0" w:color="auto"/>
                <w:right w:val="none" w:sz="0" w:space="0" w:color="auto"/>
              </w:divBdr>
            </w:div>
          </w:divsChild>
        </w:div>
        <w:div w:id="669413123">
          <w:marLeft w:val="0"/>
          <w:marRight w:val="0"/>
          <w:marTop w:val="0"/>
          <w:marBottom w:val="0"/>
          <w:divBdr>
            <w:top w:val="none" w:sz="0" w:space="0" w:color="auto"/>
            <w:left w:val="none" w:sz="0" w:space="0" w:color="auto"/>
            <w:bottom w:val="none" w:sz="0" w:space="0" w:color="auto"/>
            <w:right w:val="none" w:sz="0" w:space="0" w:color="auto"/>
          </w:divBdr>
          <w:divsChild>
            <w:div w:id="928545842">
              <w:marLeft w:val="0"/>
              <w:marRight w:val="0"/>
              <w:marTop w:val="0"/>
              <w:marBottom w:val="0"/>
              <w:divBdr>
                <w:top w:val="none" w:sz="0" w:space="0" w:color="auto"/>
                <w:left w:val="none" w:sz="0" w:space="0" w:color="auto"/>
                <w:bottom w:val="none" w:sz="0" w:space="0" w:color="auto"/>
                <w:right w:val="none" w:sz="0" w:space="0" w:color="auto"/>
              </w:divBdr>
            </w:div>
          </w:divsChild>
        </w:div>
        <w:div w:id="723914382">
          <w:marLeft w:val="0"/>
          <w:marRight w:val="0"/>
          <w:marTop w:val="0"/>
          <w:marBottom w:val="0"/>
          <w:divBdr>
            <w:top w:val="none" w:sz="0" w:space="0" w:color="auto"/>
            <w:left w:val="none" w:sz="0" w:space="0" w:color="auto"/>
            <w:bottom w:val="none" w:sz="0" w:space="0" w:color="auto"/>
            <w:right w:val="none" w:sz="0" w:space="0" w:color="auto"/>
          </w:divBdr>
          <w:divsChild>
            <w:div w:id="379325322">
              <w:marLeft w:val="0"/>
              <w:marRight w:val="0"/>
              <w:marTop w:val="0"/>
              <w:marBottom w:val="0"/>
              <w:divBdr>
                <w:top w:val="none" w:sz="0" w:space="0" w:color="auto"/>
                <w:left w:val="none" w:sz="0" w:space="0" w:color="auto"/>
                <w:bottom w:val="none" w:sz="0" w:space="0" w:color="auto"/>
                <w:right w:val="none" w:sz="0" w:space="0" w:color="auto"/>
              </w:divBdr>
            </w:div>
          </w:divsChild>
        </w:div>
        <w:div w:id="769742545">
          <w:marLeft w:val="0"/>
          <w:marRight w:val="0"/>
          <w:marTop w:val="0"/>
          <w:marBottom w:val="0"/>
          <w:divBdr>
            <w:top w:val="none" w:sz="0" w:space="0" w:color="auto"/>
            <w:left w:val="none" w:sz="0" w:space="0" w:color="auto"/>
            <w:bottom w:val="none" w:sz="0" w:space="0" w:color="auto"/>
            <w:right w:val="none" w:sz="0" w:space="0" w:color="auto"/>
          </w:divBdr>
          <w:divsChild>
            <w:div w:id="1163476300">
              <w:marLeft w:val="0"/>
              <w:marRight w:val="0"/>
              <w:marTop w:val="0"/>
              <w:marBottom w:val="0"/>
              <w:divBdr>
                <w:top w:val="none" w:sz="0" w:space="0" w:color="auto"/>
                <w:left w:val="none" w:sz="0" w:space="0" w:color="auto"/>
                <w:bottom w:val="none" w:sz="0" w:space="0" w:color="auto"/>
                <w:right w:val="none" w:sz="0" w:space="0" w:color="auto"/>
              </w:divBdr>
            </w:div>
          </w:divsChild>
        </w:div>
        <w:div w:id="792989138">
          <w:marLeft w:val="0"/>
          <w:marRight w:val="0"/>
          <w:marTop w:val="0"/>
          <w:marBottom w:val="0"/>
          <w:divBdr>
            <w:top w:val="none" w:sz="0" w:space="0" w:color="auto"/>
            <w:left w:val="none" w:sz="0" w:space="0" w:color="auto"/>
            <w:bottom w:val="none" w:sz="0" w:space="0" w:color="auto"/>
            <w:right w:val="none" w:sz="0" w:space="0" w:color="auto"/>
          </w:divBdr>
          <w:divsChild>
            <w:div w:id="1482228881">
              <w:marLeft w:val="0"/>
              <w:marRight w:val="0"/>
              <w:marTop w:val="0"/>
              <w:marBottom w:val="0"/>
              <w:divBdr>
                <w:top w:val="none" w:sz="0" w:space="0" w:color="auto"/>
                <w:left w:val="none" w:sz="0" w:space="0" w:color="auto"/>
                <w:bottom w:val="none" w:sz="0" w:space="0" w:color="auto"/>
                <w:right w:val="none" w:sz="0" w:space="0" w:color="auto"/>
              </w:divBdr>
            </w:div>
          </w:divsChild>
        </w:div>
        <w:div w:id="872352095">
          <w:marLeft w:val="0"/>
          <w:marRight w:val="0"/>
          <w:marTop w:val="0"/>
          <w:marBottom w:val="0"/>
          <w:divBdr>
            <w:top w:val="none" w:sz="0" w:space="0" w:color="auto"/>
            <w:left w:val="none" w:sz="0" w:space="0" w:color="auto"/>
            <w:bottom w:val="none" w:sz="0" w:space="0" w:color="auto"/>
            <w:right w:val="none" w:sz="0" w:space="0" w:color="auto"/>
          </w:divBdr>
          <w:divsChild>
            <w:div w:id="1657608765">
              <w:marLeft w:val="0"/>
              <w:marRight w:val="0"/>
              <w:marTop w:val="0"/>
              <w:marBottom w:val="0"/>
              <w:divBdr>
                <w:top w:val="none" w:sz="0" w:space="0" w:color="auto"/>
                <w:left w:val="none" w:sz="0" w:space="0" w:color="auto"/>
                <w:bottom w:val="none" w:sz="0" w:space="0" w:color="auto"/>
                <w:right w:val="none" w:sz="0" w:space="0" w:color="auto"/>
              </w:divBdr>
            </w:div>
          </w:divsChild>
        </w:div>
        <w:div w:id="929503338">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979110556">
          <w:marLeft w:val="0"/>
          <w:marRight w:val="0"/>
          <w:marTop w:val="0"/>
          <w:marBottom w:val="0"/>
          <w:divBdr>
            <w:top w:val="none" w:sz="0" w:space="0" w:color="auto"/>
            <w:left w:val="none" w:sz="0" w:space="0" w:color="auto"/>
            <w:bottom w:val="none" w:sz="0" w:space="0" w:color="auto"/>
            <w:right w:val="none" w:sz="0" w:space="0" w:color="auto"/>
          </w:divBdr>
          <w:divsChild>
            <w:div w:id="1875196230">
              <w:marLeft w:val="0"/>
              <w:marRight w:val="0"/>
              <w:marTop w:val="0"/>
              <w:marBottom w:val="0"/>
              <w:divBdr>
                <w:top w:val="none" w:sz="0" w:space="0" w:color="auto"/>
                <w:left w:val="none" w:sz="0" w:space="0" w:color="auto"/>
                <w:bottom w:val="none" w:sz="0" w:space="0" w:color="auto"/>
                <w:right w:val="none" w:sz="0" w:space="0" w:color="auto"/>
              </w:divBdr>
            </w:div>
          </w:divsChild>
        </w:div>
        <w:div w:id="1021055799">
          <w:marLeft w:val="0"/>
          <w:marRight w:val="0"/>
          <w:marTop w:val="0"/>
          <w:marBottom w:val="0"/>
          <w:divBdr>
            <w:top w:val="none" w:sz="0" w:space="0" w:color="auto"/>
            <w:left w:val="none" w:sz="0" w:space="0" w:color="auto"/>
            <w:bottom w:val="none" w:sz="0" w:space="0" w:color="auto"/>
            <w:right w:val="none" w:sz="0" w:space="0" w:color="auto"/>
          </w:divBdr>
          <w:divsChild>
            <w:div w:id="571358013">
              <w:marLeft w:val="0"/>
              <w:marRight w:val="0"/>
              <w:marTop w:val="0"/>
              <w:marBottom w:val="0"/>
              <w:divBdr>
                <w:top w:val="none" w:sz="0" w:space="0" w:color="auto"/>
                <w:left w:val="none" w:sz="0" w:space="0" w:color="auto"/>
                <w:bottom w:val="none" w:sz="0" w:space="0" w:color="auto"/>
                <w:right w:val="none" w:sz="0" w:space="0" w:color="auto"/>
              </w:divBdr>
            </w:div>
          </w:divsChild>
        </w:div>
        <w:div w:id="1030684889">
          <w:marLeft w:val="0"/>
          <w:marRight w:val="0"/>
          <w:marTop w:val="0"/>
          <w:marBottom w:val="0"/>
          <w:divBdr>
            <w:top w:val="none" w:sz="0" w:space="0" w:color="auto"/>
            <w:left w:val="none" w:sz="0" w:space="0" w:color="auto"/>
            <w:bottom w:val="none" w:sz="0" w:space="0" w:color="auto"/>
            <w:right w:val="none" w:sz="0" w:space="0" w:color="auto"/>
          </w:divBdr>
          <w:divsChild>
            <w:div w:id="439302176">
              <w:marLeft w:val="0"/>
              <w:marRight w:val="0"/>
              <w:marTop w:val="0"/>
              <w:marBottom w:val="0"/>
              <w:divBdr>
                <w:top w:val="none" w:sz="0" w:space="0" w:color="auto"/>
                <w:left w:val="none" w:sz="0" w:space="0" w:color="auto"/>
                <w:bottom w:val="none" w:sz="0" w:space="0" w:color="auto"/>
                <w:right w:val="none" w:sz="0" w:space="0" w:color="auto"/>
              </w:divBdr>
            </w:div>
          </w:divsChild>
        </w:div>
        <w:div w:id="1048185332">
          <w:marLeft w:val="0"/>
          <w:marRight w:val="0"/>
          <w:marTop w:val="0"/>
          <w:marBottom w:val="0"/>
          <w:divBdr>
            <w:top w:val="none" w:sz="0" w:space="0" w:color="auto"/>
            <w:left w:val="none" w:sz="0" w:space="0" w:color="auto"/>
            <w:bottom w:val="none" w:sz="0" w:space="0" w:color="auto"/>
            <w:right w:val="none" w:sz="0" w:space="0" w:color="auto"/>
          </w:divBdr>
          <w:divsChild>
            <w:div w:id="958996150">
              <w:marLeft w:val="0"/>
              <w:marRight w:val="0"/>
              <w:marTop w:val="0"/>
              <w:marBottom w:val="0"/>
              <w:divBdr>
                <w:top w:val="none" w:sz="0" w:space="0" w:color="auto"/>
                <w:left w:val="none" w:sz="0" w:space="0" w:color="auto"/>
                <w:bottom w:val="none" w:sz="0" w:space="0" w:color="auto"/>
                <w:right w:val="none" w:sz="0" w:space="0" w:color="auto"/>
              </w:divBdr>
            </w:div>
          </w:divsChild>
        </w:div>
        <w:div w:id="1137719062">
          <w:marLeft w:val="0"/>
          <w:marRight w:val="0"/>
          <w:marTop w:val="0"/>
          <w:marBottom w:val="0"/>
          <w:divBdr>
            <w:top w:val="none" w:sz="0" w:space="0" w:color="auto"/>
            <w:left w:val="none" w:sz="0" w:space="0" w:color="auto"/>
            <w:bottom w:val="none" w:sz="0" w:space="0" w:color="auto"/>
            <w:right w:val="none" w:sz="0" w:space="0" w:color="auto"/>
          </w:divBdr>
          <w:divsChild>
            <w:div w:id="538052310">
              <w:marLeft w:val="0"/>
              <w:marRight w:val="0"/>
              <w:marTop w:val="0"/>
              <w:marBottom w:val="0"/>
              <w:divBdr>
                <w:top w:val="none" w:sz="0" w:space="0" w:color="auto"/>
                <w:left w:val="none" w:sz="0" w:space="0" w:color="auto"/>
                <w:bottom w:val="none" w:sz="0" w:space="0" w:color="auto"/>
                <w:right w:val="none" w:sz="0" w:space="0" w:color="auto"/>
              </w:divBdr>
            </w:div>
          </w:divsChild>
        </w:div>
        <w:div w:id="1213157328">
          <w:marLeft w:val="0"/>
          <w:marRight w:val="0"/>
          <w:marTop w:val="0"/>
          <w:marBottom w:val="0"/>
          <w:divBdr>
            <w:top w:val="none" w:sz="0" w:space="0" w:color="auto"/>
            <w:left w:val="none" w:sz="0" w:space="0" w:color="auto"/>
            <w:bottom w:val="none" w:sz="0" w:space="0" w:color="auto"/>
            <w:right w:val="none" w:sz="0" w:space="0" w:color="auto"/>
          </w:divBdr>
          <w:divsChild>
            <w:div w:id="1562593764">
              <w:marLeft w:val="0"/>
              <w:marRight w:val="0"/>
              <w:marTop w:val="0"/>
              <w:marBottom w:val="0"/>
              <w:divBdr>
                <w:top w:val="none" w:sz="0" w:space="0" w:color="auto"/>
                <w:left w:val="none" w:sz="0" w:space="0" w:color="auto"/>
                <w:bottom w:val="none" w:sz="0" w:space="0" w:color="auto"/>
                <w:right w:val="none" w:sz="0" w:space="0" w:color="auto"/>
              </w:divBdr>
            </w:div>
          </w:divsChild>
        </w:div>
        <w:div w:id="1244416393">
          <w:marLeft w:val="0"/>
          <w:marRight w:val="0"/>
          <w:marTop w:val="0"/>
          <w:marBottom w:val="0"/>
          <w:divBdr>
            <w:top w:val="none" w:sz="0" w:space="0" w:color="auto"/>
            <w:left w:val="none" w:sz="0" w:space="0" w:color="auto"/>
            <w:bottom w:val="none" w:sz="0" w:space="0" w:color="auto"/>
            <w:right w:val="none" w:sz="0" w:space="0" w:color="auto"/>
          </w:divBdr>
          <w:divsChild>
            <w:div w:id="725762765">
              <w:marLeft w:val="0"/>
              <w:marRight w:val="0"/>
              <w:marTop w:val="0"/>
              <w:marBottom w:val="0"/>
              <w:divBdr>
                <w:top w:val="none" w:sz="0" w:space="0" w:color="auto"/>
                <w:left w:val="none" w:sz="0" w:space="0" w:color="auto"/>
                <w:bottom w:val="none" w:sz="0" w:space="0" w:color="auto"/>
                <w:right w:val="none" w:sz="0" w:space="0" w:color="auto"/>
              </w:divBdr>
            </w:div>
          </w:divsChild>
        </w:div>
        <w:div w:id="1296565110">
          <w:marLeft w:val="0"/>
          <w:marRight w:val="0"/>
          <w:marTop w:val="0"/>
          <w:marBottom w:val="0"/>
          <w:divBdr>
            <w:top w:val="none" w:sz="0" w:space="0" w:color="auto"/>
            <w:left w:val="none" w:sz="0" w:space="0" w:color="auto"/>
            <w:bottom w:val="none" w:sz="0" w:space="0" w:color="auto"/>
            <w:right w:val="none" w:sz="0" w:space="0" w:color="auto"/>
          </w:divBdr>
          <w:divsChild>
            <w:div w:id="1541237379">
              <w:marLeft w:val="0"/>
              <w:marRight w:val="0"/>
              <w:marTop w:val="0"/>
              <w:marBottom w:val="0"/>
              <w:divBdr>
                <w:top w:val="none" w:sz="0" w:space="0" w:color="auto"/>
                <w:left w:val="none" w:sz="0" w:space="0" w:color="auto"/>
                <w:bottom w:val="none" w:sz="0" w:space="0" w:color="auto"/>
                <w:right w:val="none" w:sz="0" w:space="0" w:color="auto"/>
              </w:divBdr>
            </w:div>
          </w:divsChild>
        </w:div>
        <w:div w:id="1509514688">
          <w:marLeft w:val="0"/>
          <w:marRight w:val="0"/>
          <w:marTop w:val="0"/>
          <w:marBottom w:val="0"/>
          <w:divBdr>
            <w:top w:val="none" w:sz="0" w:space="0" w:color="auto"/>
            <w:left w:val="none" w:sz="0" w:space="0" w:color="auto"/>
            <w:bottom w:val="none" w:sz="0" w:space="0" w:color="auto"/>
            <w:right w:val="none" w:sz="0" w:space="0" w:color="auto"/>
          </w:divBdr>
          <w:divsChild>
            <w:div w:id="895704159">
              <w:marLeft w:val="0"/>
              <w:marRight w:val="0"/>
              <w:marTop w:val="0"/>
              <w:marBottom w:val="0"/>
              <w:divBdr>
                <w:top w:val="none" w:sz="0" w:space="0" w:color="auto"/>
                <w:left w:val="none" w:sz="0" w:space="0" w:color="auto"/>
                <w:bottom w:val="none" w:sz="0" w:space="0" w:color="auto"/>
                <w:right w:val="none" w:sz="0" w:space="0" w:color="auto"/>
              </w:divBdr>
            </w:div>
          </w:divsChild>
        </w:div>
        <w:div w:id="1551502492">
          <w:marLeft w:val="0"/>
          <w:marRight w:val="0"/>
          <w:marTop w:val="0"/>
          <w:marBottom w:val="0"/>
          <w:divBdr>
            <w:top w:val="none" w:sz="0" w:space="0" w:color="auto"/>
            <w:left w:val="none" w:sz="0" w:space="0" w:color="auto"/>
            <w:bottom w:val="none" w:sz="0" w:space="0" w:color="auto"/>
            <w:right w:val="none" w:sz="0" w:space="0" w:color="auto"/>
          </w:divBdr>
          <w:divsChild>
            <w:div w:id="1589733799">
              <w:marLeft w:val="0"/>
              <w:marRight w:val="0"/>
              <w:marTop w:val="0"/>
              <w:marBottom w:val="0"/>
              <w:divBdr>
                <w:top w:val="none" w:sz="0" w:space="0" w:color="auto"/>
                <w:left w:val="none" w:sz="0" w:space="0" w:color="auto"/>
                <w:bottom w:val="none" w:sz="0" w:space="0" w:color="auto"/>
                <w:right w:val="none" w:sz="0" w:space="0" w:color="auto"/>
              </w:divBdr>
            </w:div>
          </w:divsChild>
        </w:div>
        <w:div w:id="1797799311">
          <w:marLeft w:val="0"/>
          <w:marRight w:val="0"/>
          <w:marTop w:val="0"/>
          <w:marBottom w:val="0"/>
          <w:divBdr>
            <w:top w:val="none" w:sz="0" w:space="0" w:color="auto"/>
            <w:left w:val="none" w:sz="0" w:space="0" w:color="auto"/>
            <w:bottom w:val="none" w:sz="0" w:space="0" w:color="auto"/>
            <w:right w:val="none" w:sz="0" w:space="0" w:color="auto"/>
          </w:divBdr>
          <w:divsChild>
            <w:div w:id="1271401255">
              <w:marLeft w:val="0"/>
              <w:marRight w:val="0"/>
              <w:marTop w:val="0"/>
              <w:marBottom w:val="0"/>
              <w:divBdr>
                <w:top w:val="none" w:sz="0" w:space="0" w:color="auto"/>
                <w:left w:val="none" w:sz="0" w:space="0" w:color="auto"/>
                <w:bottom w:val="none" w:sz="0" w:space="0" w:color="auto"/>
                <w:right w:val="none" w:sz="0" w:space="0" w:color="auto"/>
              </w:divBdr>
            </w:div>
          </w:divsChild>
        </w:div>
        <w:div w:id="1884560837">
          <w:marLeft w:val="0"/>
          <w:marRight w:val="0"/>
          <w:marTop w:val="0"/>
          <w:marBottom w:val="0"/>
          <w:divBdr>
            <w:top w:val="none" w:sz="0" w:space="0" w:color="auto"/>
            <w:left w:val="none" w:sz="0" w:space="0" w:color="auto"/>
            <w:bottom w:val="none" w:sz="0" w:space="0" w:color="auto"/>
            <w:right w:val="none" w:sz="0" w:space="0" w:color="auto"/>
          </w:divBdr>
          <w:divsChild>
            <w:div w:id="262232400">
              <w:marLeft w:val="0"/>
              <w:marRight w:val="0"/>
              <w:marTop w:val="0"/>
              <w:marBottom w:val="0"/>
              <w:divBdr>
                <w:top w:val="none" w:sz="0" w:space="0" w:color="auto"/>
                <w:left w:val="none" w:sz="0" w:space="0" w:color="auto"/>
                <w:bottom w:val="none" w:sz="0" w:space="0" w:color="auto"/>
                <w:right w:val="none" w:sz="0" w:space="0" w:color="auto"/>
              </w:divBdr>
            </w:div>
          </w:divsChild>
        </w:div>
        <w:div w:id="1893612655">
          <w:marLeft w:val="0"/>
          <w:marRight w:val="0"/>
          <w:marTop w:val="0"/>
          <w:marBottom w:val="0"/>
          <w:divBdr>
            <w:top w:val="none" w:sz="0" w:space="0" w:color="auto"/>
            <w:left w:val="none" w:sz="0" w:space="0" w:color="auto"/>
            <w:bottom w:val="none" w:sz="0" w:space="0" w:color="auto"/>
            <w:right w:val="none" w:sz="0" w:space="0" w:color="auto"/>
          </w:divBdr>
          <w:divsChild>
            <w:div w:id="934898088">
              <w:marLeft w:val="0"/>
              <w:marRight w:val="0"/>
              <w:marTop w:val="0"/>
              <w:marBottom w:val="0"/>
              <w:divBdr>
                <w:top w:val="none" w:sz="0" w:space="0" w:color="auto"/>
                <w:left w:val="none" w:sz="0" w:space="0" w:color="auto"/>
                <w:bottom w:val="none" w:sz="0" w:space="0" w:color="auto"/>
                <w:right w:val="none" w:sz="0" w:space="0" w:color="auto"/>
              </w:divBdr>
            </w:div>
          </w:divsChild>
        </w:div>
        <w:div w:id="1921019147">
          <w:marLeft w:val="0"/>
          <w:marRight w:val="0"/>
          <w:marTop w:val="0"/>
          <w:marBottom w:val="0"/>
          <w:divBdr>
            <w:top w:val="none" w:sz="0" w:space="0" w:color="auto"/>
            <w:left w:val="none" w:sz="0" w:space="0" w:color="auto"/>
            <w:bottom w:val="none" w:sz="0" w:space="0" w:color="auto"/>
            <w:right w:val="none" w:sz="0" w:space="0" w:color="auto"/>
          </w:divBdr>
          <w:divsChild>
            <w:div w:id="605505167">
              <w:marLeft w:val="0"/>
              <w:marRight w:val="0"/>
              <w:marTop w:val="0"/>
              <w:marBottom w:val="0"/>
              <w:divBdr>
                <w:top w:val="none" w:sz="0" w:space="0" w:color="auto"/>
                <w:left w:val="none" w:sz="0" w:space="0" w:color="auto"/>
                <w:bottom w:val="none" w:sz="0" w:space="0" w:color="auto"/>
                <w:right w:val="none" w:sz="0" w:space="0" w:color="auto"/>
              </w:divBdr>
            </w:div>
          </w:divsChild>
        </w:div>
        <w:div w:id="2112509889">
          <w:marLeft w:val="0"/>
          <w:marRight w:val="0"/>
          <w:marTop w:val="0"/>
          <w:marBottom w:val="0"/>
          <w:divBdr>
            <w:top w:val="none" w:sz="0" w:space="0" w:color="auto"/>
            <w:left w:val="none" w:sz="0" w:space="0" w:color="auto"/>
            <w:bottom w:val="none" w:sz="0" w:space="0" w:color="auto"/>
            <w:right w:val="none" w:sz="0" w:space="0" w:color="auto"/>
          </w:divBdr>
          <w:divsChild>
            <w:div w:id="5304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3274106">
      <w:bodyDiv w:val="1"/>
      <w:marLeft w:val="0"/>
      <w:marRight w:val="0"/>
      <w:marTop w:val="0"/>
      <w:marBottom w:val="0"/>
      <w:divBdr>
        <w:top w:val="none" w:sz="0" w:space="0" w:color="auto"/>
        <w:left w:val="none" w:sz="0" w:space="0" w:color="auto"/>
        <w:bottom w:val="none" w:sz="0" w:space="0" w:color="auto"/>
        <w:right w:val="none" w:sz="0" w:space="0" w:color="auto"/>
      </w:divBdr>
      <w:divsChild>
        <w:div w:id="8262165">
          <w:marLeft w:val="0"/>
          <w:marRight w:val="0"/>
          <w:marTop w:val="0"/>
          <w:marBottom w:val="0"/>
          <w:divBdr>
            <w:top w:val="none" w:sz="0" w:space="0" w:color="auto"/>
            <w:left w:val="none" w:sz="0" w:space="0" w:color="auto"/>
            <w:bottom w:val="none" w:sz="0" w:space="0" w:color="auto"/>
            <w:right w:val="none" w:sz="0" w:space="0" w:color="auto"/>
          </w:divBdr>
          <w:divsChild>
            <w:div w:id="707141177">
              <w:marLeft w:val="0"/>
              <w:marRight w:val="0"/>
              <w:marTop w:val="0"/>
              <w:marBottom w:val="0"/>
              <w:divBdr>
                <w:top w:val="none" w:sz="0" w:space="0" w:color="auto"/>
                <w:left w:val="none" w:sz="0" w:space="0" w:color="auto"/>
                <w:bottom w:val="none" w:sz="0" w:space="0" w:color="auto"/>
                <w:right w:val="none" w:sz="0" w:space="0" w:color="auto"/>
              </w:divBdr>
            </w:div>
          </w:divsChild>
        </w:div>
        <w:div w:id="26951816">
          <w:marLeft w:val="0"/>
          <w:marRight w:val="0"/>
          <w:marTop w:val="0"/>
          <w:marBottom w:val="0"/>
          <w:divBdr>
            <w:top w:val="none" w:sz="0" w:space="0" w:color="auto"/>
            <w:left w:val="none" w:sz="0" w:space="0" w:color="auto"/>
            <w:bottom w:val="none" w:sz="0" w:space="0" w:color="auto"/>
            <w:right w:val="none" w:sz="0" w:space="0" w:color="auto"/>
          </w:divBdr>
          <w:divsChild>
            <w:div w:id="673647907">
              <w:marLeft w:val="0"/>
              <w:marRight w:val="0"/>
              <w:marTop w:val="0"/>
              <w:marBottom w:val="0"/>
              <w:divBdr>
                <w:top w:val="none" w:sz="0" w:space="0" w:color="auto"/>
                <w:left w:val="none" w:sz="0" w:space="0" w:color="auto"/>
                <w:bottom w:val="none" w:sz="0" w:space="0" w:color="auto"/>
                <w:right w:val="none" w:sz="0" w:space="0" w:color="auto"/>
              </w:divBdr>
            </w:div>
          </w:divsChild>
        </w:div>
        <w:div w:id="33161318">
          <w:marLeft w:val="0"/>
          <w:marRight w:val="0"/>
          <w:marTop w:val="0"/>
          <w:marBottom w:val="0"/>
          <w:divBdr>
            <w:top w:val="none" w:sz="0" w:space="0" w:color="auto"/>
            <w:left w:val="none" w:sz="0" w:space="0" w:color="auto"/>
            <w:bottom w:val="none" w:sz="0" w:space="0" w:color="auto"/>
            <w:right w:val="none" w:sz="0" w:space="0" w:color="auto"/>
          </w:divBdr>
          <w:divsChild>
            <w:div w:id="1738630615">
              <w:marLeft w:val="0"/>
              <w:marRight w:val="0"/>
              <w:marTop w:val="0"/>
              <w:marBottom w:val="0"/>
              <w:divBdr>
                <w:top w:val="none" w:sz="0" w:space="0" w:color="auto"/>
                <w:left w:val="none" w:sz="0" w:space="0" w:color="auto"/>
                <w:bottom w:val="none" w:sz="0" w:space="0" w:color="auto"/>
                <w:right w:val="none" w:sz="0" w:space="0" w:color="auto"/>
              </w:divBdr>
            </w:div>
          </w:divsChild>
        </w:div>
        <w:div w:id="144444116">
          <w:marLeft w:val="0"/>
          <w:marRight w:val="0"/>
          <w:marTop w:val="0"/>
          <w:marBottom w:val="0"/>
          <w:divBdr>
            <w:top w:val="none" w:sz="0" w:space="0" w:color="auto"/>
            <w:left w:val="none" w:sz="0" w:space="0" w:color="auto"/>
            <w:bottom w:val="none" w:sz="0" w:space="0" w:color="auto"/>
            <w:right w:val="none" w:sz="0" w:space="0" w:color="auto"/>
          </w:divBdr>
          <w:divsChild>
            <w:div w:id="1727752533">
              <w:marLeft w:val="0"/>
              <w:marRight w:val="0"/>
              <w:marTop w:val="0"/>
              <w:marBottom w:val="0"/>
              <w:divBdr>
                <w:top w:val="none" w:sz="0" w:space="0" w:color="auto"/>
                <w:left w:val="none" w:sz="0" w:space="0" w:color="auto"/>
                <w:bottom w:val="none" w:sz="0" w:space="0" w:color="auto"/>
                <w:right w:val="none" w:sz="0" w:space="0" w:color="auto"/>
              </w:divBdr>
            </w:div>
          </w:divsChild>
        </w:div>
        <w:div w:id="342631472">
          <w:marLeft w:val="0"/>
          <w:marRight w:val="0"/>
          <w:marTop w:val="0"/>
          <w:marBottom w:val="0"/>
          <w:divBdr>
            <w:top w:val="none" w:sz="0" w:space="0" w:color="auto"/>
            <w:left w:val="none" w:sz="0" w:space="0" w:color="auto"/>
            <w:bottom w:val="none" w:sz="0" w:space="0" w:color="auto"/>
            <w:right w:val="none" w:sz="0" w:space="0" w:color="auto"/>
          </w:divBdr>
          <w:divsChild>
            <w:div w:id="964579160">
              <w:marLeft w:val="0"/>
              <w:marRight w:val="0"/>
              <w:marTop w:val="0"/>
              <w:marBottom w:val="0"/>
              <w:divBdr>
                <w:top w:val="none" w:sz="0" w:space="0" w:color="auto"/>
                <w:left w:val="none" w:sz="0" w:space="0" w:color="auto"/>
                <w:bottom w:val="none" w:sz="0" w:space="0" w:color="auto"/>
                <w:right w:val="none" w:sz="0" w:space="0" w:color="auto"/>
              </w:divBdr>
            </w:div>
          </w:divsChild>
        </w:div>
        <w:div w:id="349994148">
          <w:marLeft w:val="0"/>
          <w:marRight w:val="0"/>
          <w:marTop w:val="0"/>
          <w:marBottom w:val="0"/>
          <w:divBdr>
            <w:top w:val="none" w:sz="0" w:space="0" w:color="auto"/>
            <w:left w:val="none" w:sz="0" w:space="0" w:color="auto"/>
            <w:bottom w:val="none" w:sz="0" w:space="0" w:color="auto"/>
            <w:right w:val="none" w:sz="0" w:space="0" w:color="auto"/>
          </w:divBdr>
          <w:divsChild>
            <w:div w:id="2022782140">
              <w:marLeft w:val="0"/>
              <w:marRight w:val="0"/>
              <w:marTop w:val="0"/>
              <w:marBottom w:val="0"/>
              <w:divBdr>
                <w:top w:val="none" w:sz="0" w:space="0" w:color="auto"/>
                <w:left w:val="none" w:sz="0" w:space="0" w:color="auto"/>
                <w:bottom w:val="none" w:sz="0" w:space="0" w:color="auto"/>
                <w:right w:val="none" w:sz="0" w:space="0" w:color="auto"/>
              </w:divBdr>
            </w:div>
          </w:divsChild>
        </w:div>
        <w:div w:id="457727800">
          <w:marLeft w:val="0"/>
          <w:marRight w:val="0"/>
          <w:marTop w:val="0"/>
          <w:marBottom w:val="0"/>
          <w:divBdr>
            <w:top w:val="none" w:sz="0" w:space="0" w:color="auto"/>
            <w:left w:val="none" w:sz="0" w:space="0" w:color="auto"/>
            <w:bottom w:val="none" w:sz="0" w:space="0" w:color="auto"/>
            <w:right w:val="none" w:sz="0" w:space="0" w:color="auto"/>
          </w:divBdr>
          <w:divsChild>
            <w:div w:id="97213737">
              <w:marLeft w:val="0"/>
              <w:marRight w:val="0"/>
              <w:marTop w:val="0"/>
              <w:marBottom w:val="0"/>
              <w:divBdr>
                <w:top w:val="none" w:sz="0" w:space="0" w:color="auto"/>
                <w:left w:val="none" w:sz="0" w:space="0" w:color="auto"/>
                <w:bottom w:val="none" w:sz="0" w:space="0" w:color="auto"/>
                <w:right w:val="none" w:sz="0" w:space="0" w:color="auto"/>
              </w:divBdr>
            </w:div>
          </w:divsChild>
        </w:div>
        <w:div w:id="506866646">
          <w:marLeft w:val="0"/>
          <w:marRight w:val="0"/>
          <w:marTop w:val="0"/>
          <w:marBottom w:val="0"/>
          <w:divBdr>
            <w:top w:val="none" w:sz="0" w:space="0" w:color="auto"/>
            <w:left w:val="none" w:sz="0" w:space="0" w:color="auto"/>
            <w:bottom w:val="none" w:sz="0" w:space="0" w:color="auto"/>
            <w:right w:val="none" w:sz="0" w:space="0" w:color="auto"/>
          </w:divBdr>
          <w:divsChild>
            <w:div w:id="1146817284">
              <w:marLeft w:val="0"/>
              <w:marRight w:val="0"/>
              <w:marTop w:val="0"/>
              <w:marBottom w:val="0"/>
              <w:divBdr>
                <w:top w:val="none" w:sz="0" w:space="0" w:color="auto"/>
                <w:left w:val="none" w:sz="0" w:space="0" w:color="auto"/>
                <w:bottom w:val="none" w:sz="0" w:space="0" w:color="auto"/>
                <w:right w:val="none" w:sz="0" w:space="0" w:color="auto"/>
              </w:divBdr>
            </w:div>
          </w:divsChild>
        </w:div>
        <w:div w:id="662314788">
          <w:marLeft w:val="0"/>
          <w:marRight w:val="0"/>
          <w:marTop w:val="0"/>
          <w:marBottom w:val="0"/>
          <w:divBdr>
            <w:top w:val="none" w:sz="0" w:space="0" w:color="auto"/>
            <w:left w:val="none" w:sz="0" w:space="0" w:color="auto"/>
            <w:bottom w:val="none" w:sz="0" w:space="0" w:color="auto"/>
            <w:right w:val="none" w:sz="0" w:space="0" w:color="auto"/>
          </w:divBdr>
          <w:divsChild>
            <w:div w:id="843125932">
              <w:marLeft w:val="0"/>
              <w:marRight w:val="0"/>
              <w:marTop w:val="0"/>
              <w:marBottom w:val="0"/>
              <w:divBdr>
                <w:top w:val="none" w:sz="0" w:space="0" w:color="auto"/>
                <w:left w:val="none" w:sz="0" w:space="0" w:color="auto"/>
                <w:bottom w:val="none" w:sz="0" w:space="0" w:color="auto"/>
                <w:right w:val="none" w:sz="0" w:space="0" w:color="auto"/>
              </w:divBdr>
            </w:div>
          </w:divsChild>
        </w:div>
        <w:div w:id="663170510">
          <w:marLeft w:val="0"/>
          <w:marRight w:val="0"/>
          <w:marTop w:val="0"/>
          <w:marBottom w:val="0"/>
          <w:divBdr>
            <w:top w:val="none" w:sz="0" w:space="0" w:color="auto"/>
            <w:left w:val="none" w:sz="0" w:space="0" w:color="auto"/>
            <w:bottom w:val="none" w:sz="0" w:space="0" w:color="auto"/>
            <w:right w:val="none" w:sz="0" w:space="0" w:color="auto"/>
          </w:divBdr>
          <w:divsChild>
            <w:div w:id="1919291077">
              <w:marLeft w:val="0"/>
              <w:marRight w:val="0"/>
              <w:marTop w:val="0"/>
              <w:marBottom w:val="0"/>
              <w:divBdr>
                <w:top w:val="none" w:sz="0" w:space="0" w:color="auto"/>
                <w:left w:val="none" w:sz="0" w:space="0" w:color="auto"/>
                <w:bottom w:val="none" w:sz="0" w:space="0" w:color="auto"/>
                <w:right w:val="none" w:sz="0" w:space="0" w:color="auto"/>
              </w:divBdr>
            </w:div>
          </w:divsChild>
        </w:div>
        <w:div w:id="928001492">
          <w:marLeft w:val="0"/>
          <w:marRight w:val="0"/>
          <w:marTop w:val="0"/>
          <w:marBottom w:val="0"/>
          <w:divBdr>
            <w:top w:val="none" w:sz="0" w:space="0" w:color="auto"/>
            <w:left w:val="none" w:sz="0" w:space="0" w:color="auto"/>
            <w:bottom w:val="none" w:sz="0" w:space="0" w:color="auto"/>
            <w:right w:val="none" w:sz="0" w:space="0" w:color="auto"/>
          </w:divBdr>
          <w:divsChild>
            <w:div w:id="2141413054">
              <w:marLeft w:val="0"/>
              <w:marRight w:val="0"/>
              <w:marTop w:val="0"/>
              <w:marBottom w:val="0"/>
              <w:divBdr>
                <w:top w:val="none" w:sz="0" w:space="0" w:color="auto"/>
                <w:left w:val="none" w:sz="0" w:space="0" w:color="auto"/>
                <w:bottom w:val="none" w:sz="0" w:space="0" w:color="auto"/>
                <w:right w:val="none" w:sz="0" w:space="0" w:color="auto"/>
              </w:divBdr>
            </w:div>
          </w:divsChild>
        </w:div>
        <w:div w:id="972296951">
          <w:marLeft w:val="0"/>
          <w:marRight w:val="0"/>
          <w:marTop w:val="0"/>
          <w:marBottom w:val="0"/>
          <w:divBdr>
            <w:top w:val="none" w:sz="0" w:space="0" w:color="auto"/>
            <w:left w:val="none" w:sz="0" w:space="0" w:color="auto"/>
            <w:bottom w:val="none" w:sz="0" w:space="0" w:color="auto"/>
            <w:right w:val="none" w:sz="0" w:space="0" w:color="auto"/>
          </w:divBdr>
          <w:divsChild>
            <w:div w:id="2042321788">
              <w:marLeft w:val="0"/>
              <w:marRight w:val="0"/>
              <w:marTop w:val="0"/>
              <w:marBottom w:val="0"/>
              <w:divBdr>
                <w:top w:val="none" w:sz="0" w:space="0" w:color="auto"/>
                <w:left w:val="none" w:sz="0" w:space="0" w:color="auto"/>
                <w:bottom w:val="none" w:sz="0" w:space="0" w:color="auto"/>
                <w:right w:val="none" w:sz="0" w:space="0" w:color="auto"/>
              </w:divBdr>
            </w:div>
          </w:divsChild>
        </w:div>
        <w:div w:id="1045787731">
          <w:marLeft w:val="0"/>
          <w:marRight w:val="0"/>
          <w:marTop w:val="0"/>
          <w:marBottom w:val="0"/>
          <w:divBdr>
            <w:top w:val="none" w:sz="0" w:space="0" w:color="auto"/>
            <w:left w:val="none" w:sz="0" w:space="0" w:color="auto"/>
            <w:bottom w:val="none" w:sz="0" w:space="0" w:color="auto"/>
            <w:right w:val="none" w:sz="0" w:space="0" w:color="auto"/>
          </w:divBdr>
          <w:divsChild>
            <w:div w:id="1896626602">
              <w:marLeft w:val="0"/>
              <w:marRight w:val="0"/>
              <w:marTop w:val="0"/>
              <w:marBottom w:val="0"/>
              <w:divBdr>
                <w:top w:val="none" w:sz="0" w:space="0" w:color="auto"/>
                <w:left w:val="none" w:sz="0" w:space="0" w:color="auto"/>
                <w:bottom w:val="none" w:sz="0" w:space="0" w:color="auto"/>
                <w:right w:val="none" w:sz="0" w:space="0" w:color="auto"/>
              </w:divBdr>
            </w:div>
          </w:divsChild>
        </w:div>
        <w:div w:id="1054161288">
          <w:marLeft w:val="0"/>
          <w:marRight w:val="0"/>
          <w:marTop w:val="0"/>
          <w:marBottom w:val="0"/>
          <w:divBdr>
            <w:top w:val="none" w:sz="0" w:space="0" w:color="auto"/>
            <w:left w:val="none" w:sz="0" w:space="0" w:color="auto"/>
            <w:bottom w:val="none" w:sz="0" w:space="0" w:color="auto"/>
            <w:right w:val="none" w:sz="0" w:space="0" w:color="auto"/>
          </w:divBdr>
          <w:divsChild>
            <w:div w:id="1131024083">
              <w:marLeft w:val="0"/>
              <w:marRight w:val="0"/>
              <w:marTop w:val="0"/>
              <w:marBottom w:val="0"/>
              <w:divBdr>
                <w:top w:val="none" w:sz="0" w:space="0" w:color="auto"/>
                <w:left w:val="none" w:sz="0" w:space="0" w:color="auto"/>
                <w:bottom w:val="none" w:sz="0" w:space="0" w:color="auto"/>
                <w:right w:val="none" w:sz="0" w:space="0" w:color="auto"/>
              </w:divBdr>
            </w:div>
          </w:divsChild>
        </w:div>
        <w:div w:id="1065757694">
          <w:marLeft w:val="0"/>
          <w:marRight w:val="0"/>
          <w:marTop w:val="0"/>
          <w:marBottom w:val="0"/>
          <w:divBdr>
            <w:top w:val="none" w:sz="0" w:space="0" w:color="auto"/>
            <w:left w:val="none" w:sz="0" w:space="0" w:color="auto"/>
            <w:bottom w:val="none" w:sz="0" w:space="0" w:color="auto"/>
            <w:right w:val="none" w:sz="0" w:space="0" w:color="auto"/>
          </w:divBdr>
          <w:divsChild>
            <w:div w:id="1356615580">
              <w:marLeft w:val="0"/>
              <w:marRight w:val="0"/>
              <w:marTop w:val="0"/>
              <w:marBottom w:val="0"/>
              <w:divBdr>
                <w:top w:val="none" w:sz="0" w:space="0" w:color="auto"/>
                <w:left w:val="none" w:sz="0" w:space="0" w:color="auto"/>
                <w:bottom w:val="none" w:sz="0" w:space="0" w:color="auto"/>
                <w:right w:val="none" w:sz="0" w:space="0" w:color="auto"/>
              </w:divBdr>
            </w:div>
          </w:divsChild>
        </w:div>
        <w:div w:id="1142962018">
          <w:marLeft w:val="0"/>
          <w:marRight w:val="0"/>
          <w:marTop w:val="0"/>
          <w:marBottom w:val="0"/>
          <w:divBdr>
            <w:top w:val="none" w:sz="0" w:space="0" w:color="auto"/>
            <w:left w:val="none" w:sz="0" w:space="0" w:color="auto"/>
            <w:bottom w:val="none" w:sz="0" w:space="0" w:color="auto"/>
            <w:right w:val="none" w:sz="0" w:space="0" w:color="auto"/>
          </w:divBdr>
          <w:divsChild>
            <w:div w:id="757674873">
              <w:marLeft w:val="0"/>
              <w:marRight w:val="0"/>
              <w:marTop w:val="0"/>
              <w:marBottom w:val="0"/>
              <w:divBdr>
                <w:top w:val="none" w:sz="0" w:space="0" w:color="auto"/>
                <w:left w:val="none" w:sz="0" w:space="0" w:color="auto"/>
                <w:bottom w:val="none" w:sz="0" w:space="0" w:color="auto"/>
                <w:right w:val="none" w:sz="0" w:space="0" w:color="auto"/>
              </w:divBdr>
            </w:div>
          </w:divsChild>
        </w:div>
        <w:div w:id="1169365823">
          <w:marLeft w:val="0"/>
          <w:marRight w:val="0"/>
          <w:marTop w:val="0"/>
          <w:marBottom w:val="0"/>
          <w:divBdr>
            <w:top w:val="none" w:sz="0" w:space="0" w:color="auto"/>
            <w:left w:val="none" w:sz="0" w:space="0" w:color="auto"/>
            <w:bottom w:val="none" w:sz="0" w:space="0" w:color="auto"/>
            <w:right w:val="none" w:sz="0" w:space="0" w:color="auto"/>
          </w:divBdr>
          <w:divsChild>
            <w:div w:id="1368682512">
              <w:marLeft w:val="0"/>
              <w:marRight w:val="0"/>
              <w:marTop w:val="0"/>
              <w:marBottom w:val="0"/>
              <w:divBdr>
                <w:top w:val="none" w:sz="0" w:space="0" w:color="auto"/>
                <w:left w:val="none" w:sz="0" w:space="0" w:color="auto"/>
                <w:bottom w:val="none" w:sz="0" w:space="0" w:color="auto"/>
                <w:right w:val="none" w:sz="0" w:space="0" w:color="auto"/>
              </w:divBdr>
            </w:div>
          </w:divsChild>
        </w:div>
        <w:div w:id="1275091703">
          <w:marLeft w:val="0"/>
          <w:marRight w:val="0"/>
          <w:marTop w:val="0"/>
          <w:marBottom w:val="0"/>
          <w:divBdr>
            <w:top w:val="none" w:sz="0" w:space="0" w:color="auto"/>
            <w:left w:val="none" w:sz="0" w:space="0" w:color="auto"/>
            <w:bottom w:val="none" w:sz="0" w:space="0" w:color="auto"/>
            <w:right w:val="none" w:sz="0" w:space="0" w:color="auto"/>
          </w:divBdr>
          <w:divsChild>
            <w:div w:id="528877797">
              <w:marLeft w:val="0"/>
              <w:marRight w:val="0"/>
              <w:marTop w:val="0"/>
              <w:marBottom w:val="0"/>
              <w:divBdr>
                <w:top w:val="none" w:sz="0" w:space="0" w:color="auto"/>
                <w:left w:val="none" w:sz="0" w:space="0" w:color="auto"/>
                <w:bottom w:val="none" w:sz="0" w:space="0" w:color="auto"/>
                <w:right w:val="none" w:sz="0" w:space="0" w:color="auto"/>
              </w:divBdr>
            </w:div>
          </w:divsChild>
        </w:div>
        <w:div w:id="1349521684">
          <w:marLeft w:val="0"/>
          <w:marRight w:val="0"/>
          <w:marTop w:val="0"/>
          <w:marBottom w:val="0"/>
          <w:divBdr>
            <w:top w:val="none" w:sz="0" w:space="0" w:color="auto"/>
            <w:left w:val="none" w:sz="0" w:space="0" w:color="auto"/>
            <w:bottom w:val="none" w:sz="0" w:space="0" w:color="auto"/>
            <w:right w:val="none" w:sz="0" w:space="0" w:color="auto"/>
          </w:divBdr>
          <w:divsChild>
            <w:div w:id="108204816">
              <w:marLeft w:val="0"/>
              <w:marRight w:val="0"/>
              <w:marTop w:val="0"/>
              <w:marBottom w:val="0"/>
              <w:divBdr>
                <w:top w:val="none" w:sz="0" w:space="0" w:color="auto"/>
                <w:left w:val="none" w:sz="0" w:space="0" w:color="auto"/>
                <w:bottom w:val="none" w:sz="0" w:space="0" w:color="auto"/>
                <w:right w:val="none" w:sz="0" w:space="0" w:color="auto"/>
              </w:divBdr>
            </w:div>
          </w:divsChild>
        </w:div>
        <w:div w:id="1364867537">
          <w:marLeft w:val="0"/>
          <w:marRight w:val="0"/>
          <w:marTop w:val="0"/>
          <w:marBottom w:val="0"/>
          <w:divBdr>
            <w:top w:val="none" w:sz="0" w:space="0" w:color="auto"/>
            <w:left w:val="none" w:sz="0" w:space="0" w:color="auto"/>
            <w:bottom w:val="none" w:sz="0" w:space="0" w:color="auto"/>
            <w:right w:val="none" w:sz="0" w:space="0" w:color="auto"/>
          </w:divBdr>
          <w:divsChild>
            <w:div w:id="1071120663">
              <w:marLeft w:val="0"/>
              <w:marRight w:val="0"/>
              <w:marTop w:val="0"/>
              <w:marBottom w:val="0"/>
              <w:divBdr>
                <w:top w:val="none" w:sz="0" w:space="0" w:color="auto"/>
                <w:left w:val="none" w:sz="0" w:space="0" w:color="auto"/>
                <w:bottom w:val="none" w:sz="0" w:space="0" w:color="auto"/>
                <w:right w:val="none" w:sz="0" w:space="0" w:color="auto"/>
              </w:divBdr>
            </w:div>
          </w:divsChild>
        </w:div>
        <w:div w:id="1384596574">
          <w:marLeft w:val="0"/>
          <w:marRight w:val="0"/>
          <w:marTop w:val="0"/>
          <w:marBottom w:val="0"/>
          <w:divBdr>
            <w:top w:val="none" w:sz="0" w:space="0" w:color="auto"/>
            <w:left w:val="none" w:sz="0" w:space="0" w:color="auto"/>
            <w:bottom w:val="none" w:sz="0" w:space="0" w:color="auto"/>
            <w:right w:val="none" w:sz="0" w:space="0" w:color="auto"/>
          </w:divBdr>
          <w:divsChild>
            <w:div w:id="825709886">
              <w:marLeft w:val="0"/>
              <w:marRight w:val="0"/>
              <w:marTop w:val="0"/>
              <w:marBottom w:val="0"/>
              <w:divBdr>
                <w:top w:val="none" w:sz="0" w:space="0" w:color="auto"/>
                <w:left w:val="none" w:sz="0" w:space="0" w:color="auto"/>
                <w:bottom w:val="none" w:sz="0" w:space="0" w:color="auto"/>
                <w:right w:val="none" w:sz="0" w:space="0" w:color="auto"/>
              </w:divBdr>
            </w:div>
          </w:divsChild>
        </w:div>
        <w:div w:id="1620985610">
          <w:marLeft w:val="0"/>
          <w:marRight w:val="0"/>
          <w:marTop w:val="0"/>
          <w:marBottom w:val="0"/>
          <w:divBdr>
            <w:top w:val="none" w:sz="0" w:space="0" w:color="auto"/>
            <w:left w:val="none" w:sz="0" w:space="0" w:color="auto"/>
            <w:bottom w:val="none" w:sz="0" w:space="0" w:color="auto"/>
            <w:right w:val="none" w:sz="0" w:space="0" w:color="auto"/>
          </w:divBdr>
          <w:divsChild>
            <w:div w:id="1091394909">
              <w:marLeft w:val="0"/>
              <w:marRight w:val="0"/>
              <w:marTop w:val="0"/>
              <w:marBottom w:val="0"/>
              <w:divBdr>
                <w:top w:val="none" w:sz="0" w:space="0" w:color="auto"/>
                <w:left w:val="none" w:sz="0" w:space="0" w:color="auto"/>
                <w:bottom w:val="none" w:sz="0" w:space="0" w:color="auto"/>
                <w:right w:val="none" w:sz="0" w:space="0" w:color="auto"/>
              </w:divBdr>
            </w:div>
          </w:divsChild>
        </w:div>
        <w:div w:id="1668288770">
          <w:marLeft w:val="0"/>
          <w:marRight w:val="0"/>
          <w:marTop w:val="0"/>
          <w:marBottom w:val="0"/>
          <w:divBdr>
            <w:top w:val="none" w:sz="0" w:space="0" w:color="auto"/>
            <w:left w:val="none" w:sz="0" w:space="0" w:color="auto"/>
            <w:bottom w:val="none" w:sz="0" w:space="0" w:color="auto"/>
            <w:right w:val="none" w:sz="0" w:space="0" w:color="auto"/>
          </w:divBdr>
          <w:divsChild>
            <w:div w:id="1897429437">
              <w:marLeft w:val="0"/>
              <w:marRight w:val="0"/>
              <w:marTop w:val="0"/>
              <w:marBottom w:val="0"/>
              <w:divBdr>
                <w:top w:val="none" w:sz="0" w:space="0" w:color="auto"/>
                <w:left w:val="none" w:sz="0" w:space="0" w:color="auto"/>
                <w:bottom w:val="none" w:sz="0" w:space="0" w:color="auto"/>
                <w:right w:val="none" w:sz="0" w:space="0" w:color="auto"/>
              </w:divBdr>
            </w:div>
          </w:divsChild>
        </w:div>
        <w:div w:id="1673336068">
          <w:marLeft w:val="0"/>
          <w:marRight w:val="0"/>
          <w:marTop w:val="0"/>
          <w:marBottom w:val="0"/>
          <w:divBdr>
            <w:top w:val="none" w:sz="0" w:space="0" w:color="auto"/>
            <w:left w:val="none" w:sz="0" w:space="0" w:color="auto"/>
            <w:bottom w:val="none" w:sz="0" w:space="0" w:color="auto"/>
            <w:right w:val="none" w:sz="0" w:space="0" w:color="auto"/>
          </w:divBdr>
          <w:divsChild>
            <w:div w:id="1288118841">
              <w:marLeft w:val="0"/>
              <w:marRight w:val="0"/>
              <w:marTop w:val="0"/>
              <w:marBottom w:val="0"/>
              <w:divBdr>
                <w:top w:val="none" w:sz="0" w:space="0" w:color="auto"/>
                <w:left w:val="none" w:sz="0" w:space="0" w:color="auto"/>
                <w:bottom w:val="none" w:sz="0" w:space="0" w:color="auto"/>
                <w:right w:val="none" w:sz="0" w:space="0" w:color="auto"/>
              </w:divBdr>
            </w:div>
          </w:divsChild>
        </w:div>
        <w:div w:id="1741445733">
          <w:marLeft w:val="0"/>
          <w:marRight w:val="0"/>
          <w:marTop w:val="0"/>
          <w:marBottom w:val="0"/>
          <w:divBdr>
            <w:top w:val="none" w:sz="0" w:space="0" w:color="auto"/>
            <w:left w:val="none" w:sz="0" w:space="0" w:color="auto"/>
            <w:bottom w:val="none" w:sz="0" w:space="0" w:color="auto"/>
            <w:right w:val="none" w:sz="0" w:space="0" w:color="auto"/>
          </w:divBdr>
          <w:divsChild>
            <w:div w:id="2101171469">
              <w:marLeft w:val="0"/>
              <w:marRight w:val="0"/>
              <w:marTop w:val="0"/>
              <w:marBottom w:val="0"/>
              <w:divBdr>
                <w:top w:val="none" w:sz="0" w:space="0" w:color="auto"/>
                <w:left w:val="none" w:sz="0" w:space="0" w:color="auto"/>
                <w:bottom w:val="none" w:sz="0" w:space="0" w:color="auto"/>
                <w:right w:val="none" w:sz="0" w:space="0" w:color="auto"/>
              </w:divBdr>
            </w:div>
          </w:divsChild>
        </w:div>
        <w:div w:id="1866821276">
          <w:marLeft w:val="0"/>
          <w:marRight w:val="0"/>
          <w:marTop w:val="0"/>
          <w:marBottom w:val="0"/>
          <w:divBdr>
            <w:top w:val="none" w:sz="0" w:space="0" w:color="auto"/>
            <w:left w:val="none" w:sz="0" w:space="0" w:color="auto"/>
            <w:bottom w:val="none" w:sz="0" w:space="0" w:color="auto"/>
            <w:right w:val="none" w:sz="0" w:space="0" w:color="auto"/>
          </w:divBdr>
          <w:divsChild>
            <w:div w:id="1195195676">
              <w:marLeft w:val="0"/>
              <w:marRight w:val="0"/>
              <w:marTop w:val="0"/>
              <w:marBottom w:val="0"/>
              <w:divBdr>
                <w:top w:val="none" w:sz="0" w:space="0" w:color="auto"/>
                <w:left w:val="none" w:sz="0" w:space="0" w:color="auto"/>
                <w:bottom w:val="none" w:sz="0" w:space="0" w:color="auto"/>
                <w:right w:val="none" w:sz="0" w:space="0" w:color="auto"/>
              </w:divBdr>
            </w:div>
          </w:divsChild>
        </w:div>
        <w:div w:id="1919558231">
          <w:marLeft w:val="0"/>
          <w:marRight w:val="0"/>
          <w:marTop w:val="0"/>
          <w:marBottom w:val="0"/>
          <w:divBdr>
            <w:top w:val="none" w:sz="0" w:space="0" w:color="auto"/>
            <w:left w:val="none" w:sz="0" w:space="0" w:color="auto"/>
            <w:bottom w:val="none" w:sz="0" w:space="0" w:color="auto"/>
            <w:right w:val="none" w:sz="0" w:space="0" w:color="auto"/>
          </w:divBdr>
          <w:divsChild>
            <w:div w:id="675696268">
              <w:marLeft w:val="0"/>
              <w:marRight w:val="0"/>
              <w:marTop w:val="0"/>
              <w:marBottom w:val="0"/>
              <w:divBdr>
                <w:top w:val="none" w:sz="0" w:space="0" w:color="auto"/>
                <w:left w:val="none" w:sz="0" w:space="0" w:color="auto"/>
                <w:bottom w:val="none" w:sz="0" w:space="0" w:color="auto"/>
                <w:right w:val="none" w:sz="0" w:space="0" w:color="auto"/>
              </w:divBdr>
            </w:div>
          </w:divsChild>
        </w:div>
        <w:div w:id="1944609078">
          <w:marLeft w:val="0"/>
          <w:marRight w:val="0"/>
          <w:marTop w:val="0"/>
          <w:marBottom w:val="0"/>
          <w:divBdr>
            <w:top w:val="none" w:sz="0" w:space="0" w:color="auto"/>
            <w:left w:val="none" w:sz="0" w:space="0" w:color="auto"/>
            <w:bottom w:val="none" w:sz="0" w:space="0" w:color="auto"/>
            <w:right w:val="none" w:sz="0" w:space="0" w:color="auto"/>
          </w:divBdr>
          <w:divsChild>
            <w:div w:id="1725176533">
              <w:marLeft w:val="0"/>
              <w:marRight w:val="0"/>
              <w:marTop w:val="0"/>
              <w:marBottom w:val="0"/>
              <w:divBdr>
                <w:top w:val="none" w:sz="0" w:space="0" w:color="auto"/>
                <w:left w:val="none" w:sz="0" w:space="0" w:color="auto"/>
                <w:bottom w:val="none" w:sz="0" w:space="0" w:color="auto"/>
                <w:right w:val="none" w:sz="0" w:space="0" w:color="auto"/>
              </w:divBdr>
            </w:div>
          </w:divsChild>
        </w:div>
        <w:div w:id="1970935092">
          <w:marLeft w:val="0"/>
          <w:marRight w:val="0"/>
          <w:marTop w:val="0"/>
          <w:marBottom w:val="0"/>
          <w:divBdr>
            <w:top w:val="none" w:sz="0" w:space="0" w:color="auto"/>
            <w:left w:val="none" w:sz="0" w:space="0" w:color="auto"/>
            <w:bottom w:val="none" w:sz="0" w:space="0" w:color="auto"/>
            <w:right w:val="none" w:sz="0" w:space="0" w:color="auto"/>
          </w:divBdr>
          <w:divsChild>
            <w:div w:id="334578372">
              <w:marLeft w:val="0"/>
              <w:marRight w:val="0"/>
              <w:marTop w:val="0"/>
              <w:marBottom w:val="0"/>
              <w:divBdr>
                <w:top w:val="none" w:sz="0" w:space="0" w:color="auto"/>
                <w:left w:val="none" w:sz="0" w:space="0" w:color="auto"/>
                <w:bottom w:val="none" w:sz="0" w:space="0" w:color="auto"/>
                <w:right w:val="none" w:sz="0" w:space="0" w:color="auto"/>
              </w:divBdr>
            </w:div>
          </w:divsChild>
        </w:div>
        <w:div w:id="2030594210">
          <w:marLeft w:val="0"/>
          <w:marRight w:val="0"/>
          <w:marTop w:val="0"/>
          <w:marBottom w:val="0"/>
          <w:divBdr>
            <w:top w:val="none" w:sz="0" w:space="0" w:color="auto"/>
            <w:left w:val="none" w:sz="0" w:space="0" w:color="auto"/>
            <w:bottom w:val="none" w:sz="0" w:space="0" w:color="auto"/>
            <w:right w:val="none" w:sz="0" w:space="0" w:color="auto"/>
          </w:divBdr>
          <w:divsChild>
            <w:div w:id="7489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27213498">
      <w:bodyDiv w:val="1"/>
      <w:marLeft w:val="0"/>
      <w:marRight w:val="0"/>
      <w:marTop w:val="0"/>
      <w:marBottom w:val="0"/>
      <w:divBdr>
        <w:top w:val="none" w:sz="0" w:space="0" w:color="auto"/>
        <w:left w:val="none" w:sz="0" w:space="0" w:color="auto"/>
        <w:bottom w:val="none" w:sz="0" w:space="0" w:color="auto"/>
        <w:right w:val="none" w:sz="0" w:space="0" w:color="auto"/>
      </w:divBdr>
    </w:div>
    <w:div w:id="978654289">
      <w:bodyDiv w:val="1"/>
      <w:marLeft w:val="0"/>
      <w:marRight w:val="0"/>
      <w:marTop w:val="0"/>
      <w:marBottom w:val="0"/>
      <w:divBdr>
        <w:top w:val="none" w:sz="0" w:space="0" w:color="auto"/>
        <w:left w:val="none" w:sz="0" w:space="0" w:color="auto"/>
        <w:bottom w:val="none" w:sz="0" w:space="0" w:color="auto"/>
        <w:right w:val="none" w:sz="0" w:space="0" w:color="auto"/>
      </w:divBdr>
      <w:divsChild>
        <w:div w:id="109207341">
          <w:marLeft w:val="0"/>
          <w:marRight w:val="0"/>
          <w:marTop w:val="0"/>
          <w:marBottom w:val="0"/>
          <w:divBdr>
            <w:top w:val="none" w:sz="0" w:space="0" w:color="auto"/>
            <w:left w:val="none" w:sz="0" w:space="0" w:color="auto"/>
            <w:bottom w:val="none" w:sz="0" w:space="0" w:color="auto"/>
            <w:right w:val="none" w:sz="0" w:space="0" w:color="auto"/>
          </w:divBdr>
          <w:divsChild>
            <w:div w:id="1420634919">
              <w:marLeft w:val="0"/>
              <w:marRight w:val="0"/>
              <w:marTop w:val="0"/>
              <w:marBottom w:val="0"/>
              <w:divBdr>
                <w:top w:val="none" w:sz="0" w:space="0" w:color="auto"/>
                <w:left w:val="none" w:sz="0" w:space="0" w:color="auto"/>
                <w:bottom w:val="none" w:sz="0" w:space="0" w:color="auto"/>
                <w:right w:val="none" w:sz="0" w:space="0" w:color="auto"/>
              </w:divBdr>
            </w:div>
          </w:divsChild>
        </w:div>
        <w:div w:id="116488408">
          <w:marLeft w:val="0"/>
          <w:marRight w:val="0"/>
          <w:marTop w:val="0"/>
          <w:marBottom w:val="0"/>
          <w:divBdr>
            <w:top w:val="none" w:sz="0" w:space="0" w:color="auto"/>
            <w:left w:val="none" w:sz="0" w:space="0" w:color="auto"/>
            <w:bottom w:val="none" w:sz="0" w:space="0" w:color="auto"/>
            <w:right w:val="none" w:sz="0" w:space="0" w:color="auto"/>
          </w:divBdr>
          <w:divsChild>
            <w:div w:id="1119496999">
              <w:marLeft w:val="0"/>
              <w:marRight w:val="0"/>
              <w:marTop w:val="0"/>
              <w:marBottom w:val="0"/>
              <w:divBdr>
                <w:top w:val="none" w:sz="0" w:space="0" w:color="auto"/>
                <w:left w:val="none" w:sz="0" w:space="0" w:color="auto"/>
                <w:bottom w:val="none" w:sz="0" w:space="0" w:color="auto"/>
                <w:right w:val="none" w:sz="0" w:space="0" w:color="auto"/>
              </w:divBdr>
            </w:div>
          </w:divsChild>
        </w:div>
        <w:div w:id="244654894">
          <w:marLeft w:val="0"/>
          <w:marRight w:val="0"/>
          <w:marTop w:val="0"/>
          <w:marBottom w:val="0"/>
          <w:divBdr>
            <w:top w:val="none" w:sz="0" w:space="0" w:color="auto"/>
            <w:left w:val="none" w:sz="0" w:space="0" w:color="auto"/>
            <w:bottom w:val="none" w:sz="0" w:space="0" w:color="auto"/>
            <w:right w:val="none" w:sz="0" w:space="0" w:color="auto"/>
          </w:divBdr>
          <w:divsChild>
            <w:div w:id="16394330">
              <w:marLeft w:val="0"/>
              <w:marRight w:val="0"/>
              <w:marTop w:val="0"/>
              <w:marBottom w:val="0"/>
              <w:divBdr>
                <w:top w:val="none" w:sz="0" w:space="0" w:color="auto"/>
                <w:left w:val="none" w:sz="0" w:space="0" w:color="auto"/>
                <w:bottom w:val="none" w:sz="0" w:space="0" w:color="auto"/>
                <w:right w:val="none" w:sz="0" w:space="0" w:color="auto"/>
              </w:divBdr>
            </w:div>
          </w:divsChild>
        </w:div>
        <w:div w:id="244845888">
          <w:marLeft w:val="0"/>
          <w:marRight w:val="0"/>
          <w:marTop w:val="0"/>
          <w:marBottom w:val="0"/>
          <w:divBdr>
            <w:top w:val="none" w:sz="0" w:space="0" w:color="auto"/>
            <w:left w:val="none" w:sz="0" w:space="0" w:color="auto"/>
            <w:bottom w:val="none" w:sz="0" w:space="0" w:color="auto"/>
            <w:right w:val="none" w:sz="0" w:space="0" w:color="auto"/>
          </w:divBdr>
          <w:divsChild>
            <w:div w:id="703139071">
              <w:marLeft w:val="0"/>
              <w:marRight w:val="0"/>
              <w:marTop w:val="0"/>
              <w:marBottom w:val="0"/>
              <w:divBdr>
                <w:top w:val="none" w:sz="0" w:space="0" w:color="auto"/>
                <w:left w:val="none" w:sz="0" w:space="0" w:color="auto"/>
                <w:bottom w:val="none" w:sz="0" w:space="0" w:color="auto"/>
                <w:right w:val="none" w:sz="0" w:space="0" w:color="auto"/>
              </w:divBdr>
            </w:div>
          </w:divsChild>
        </w:div>
        <w:div w:id="391080941">
          <w:marLeft w:val="0"/>
          <w:marRight w:val="0"/>
          <w:marTop w:val="0"/>
          <w:marBottom w:val="0"/>
          <w:divBdr>
            <w:top w:val="none" w:sz="0" w:space="0" w:color="auto"/>
            <w:left w:val="none" w:sz="0" w:space="0" w:color="auto"/>
            <w:bottom w:val="none" w:sz="0" w:space="0" w:color="auto"/>
            <w:right w:val="none" w:sz="0" w:space="0" w:color="auto"/>
          </w:divBdr>
          <w:divsChild>
            <w:div w:id="318733765">
              <w:marLeft w:val="0"/>
              <w:marRight w:val="0"/>
              <w:marTop w:val="0"/>
              <w:marBottom w:val="0"/>
              <w:divBdr>
                <w:top w:val="none" w:sz="0" w:space="0" w:color="auto"/>
                <w:left w:val="none" w:sz="0" w:space="0" w:color="auto"/>
                <w:bottom w:val="none" w:sz="0" w:space="0" w:color="auto"/>
                <w:right w:val="none" w:sz="0" w:space="0" w:color="auto"/>
              </w:divBdr>
            </w:div>
          </w:divsChild>
        </w:div>
        <w:div w:id="391774392">
          <w:marLeft w:val="0"/>
          <w:marRight w:val="0"/>
          <w:marTop w:val="0"/>
          <w:marBottom w:val="0"/>
          <w:divBdr>
            <w:top w:val="none" w:sz="0" w:space="0" w:color="auto"/>
            <w:left w:val="none" w:sz="0" w:space="0" w:color="auto"/>
            <w:bottom w:val="none" w:sz="0" w:space="0" w:color="auto"/>
            <w:right w:val="none" w:sz="0" w:space="0" w:color="auto"/>
          </w:divBdr>
          <w:divsChild>
            <w:div w:id="1371107256">
              <w:marLeft w:val="0"/>
              <w:marRight w:val="0"/>
              <w:marTop w:val="0"/>
              <w:marBottom w:val="0"/>
              <w:divBdr>
                <w:top w:val="none" w:sz="0" w:space="0" w:color="auto"/>
                <w:left w:val="none" w:sz="0" w:space="0" w:color="auto"/>
                <w:bottom w:val="none" w:sz="0" w:space="0" w:color="auto"/>
                <w:right w:val="none" w:sz="0" w:space="0" w:color="auto"/>
              </w:divBdr>
            </w:div>
          </w:divsChild>
        </w:div>
        <w:div w:id="457143219">
          <w:marLeft w:val="0"/>
          <w:marRight w:val="0"/>
          <w:marTop w:val="0"/>
          <w:marBottom w:val="0"/>
          <w:divBdr>
            <w:top w:val="none" w:sz="0" w:space="0" w:color="auto"/>
            <w:left w:val="none" w:sz="0" w:space="0" w:color="auto"/>
            <w:bottom w:val="none" w:sz="0" w:space="0" w:color="auto"/>
            <w:right w:val="none" w:sz="0" w:space="0" w:color="auto"/>
          </w:divBdr>
          <w:divsChild>
            <w:div w:id="1617829520">
              <w:marLeft w:val="0"/>
              <w:marRight w:val="0"/>
              <w:marTop w:val="0"/>
              <w:marBottom w:val="0"/>
              <w:divBdr>
                <w:top w:val="none" w:sz="0" w:space="0" w:color="auto"/>
                <w:left w:val="none" w:sz="0" w:space="0" w:color="auto"/>
                <w:bottom w:val="none" w:sz="0" w:space="0" w:color="auto"/>
                <w:right w:val="none" w:sz="0" w:space="0" w:color="auto"/>
              </w:divBdr>
            </w:div>
          </w:divsChild>
        </w:div>
        <w:div w:id="473765597">
          <w:marLeft w:val="0"/>
          <w:marRight w:val="0"/>
          <w:marTop w:val="0"/>
          <w:marBottom w:val="0"/>
          <w:divBdr>
            <w:top w:val="none" w:sz="0" w:space="0" w:color="auto"/>
            <w:left w:val="none" w:sz="0" w:space="0" w:color="auto"/>
            <w:bottom w:val="none" w:sz="0" w:space="0" w:color="auto"/>
            <w:right w:val="none" w:sz="0" w:space="0" w:color="auto"/>
          </w:divBdr>
          <w:divsChild>
            <w:div w:id="2125273441">
              <w:marLeft w:val="0"/>
              <w:marRight w:val="0"/>
              <w:marTop w:val="0"/>
              <w:marBottom w:val="0"/>
              <w:divBdr>
                <w:top w:val="none" w:sz="0" w:space="0" w:color="auto"/>
                <w:left w:val="none" w:sz="0" w:space="0" w:color="auto"/>
                <w:bottom w:val="none" w:sz="0" w:space="0" w:color="auto"/>
                <w:right w:val="none" w:sz="0" w:space="0" w:color="auto"/>
              </w:divBdr>
            </w:div>
          </w:divsChild>
        </w:div>
        <w:div w:id="528222146">
          <w:marLeft w:val="0"/>
          <w:marRight w:val="0"/>
          <w:marTop w:val="0"/>
          <w:marBottom w:val="0"/>
          <w:divBdr>
            <w:top w:val="none" w:sz="0" w:space="0" w:color="auto"/>
            <w:left w:val="none" w:sz="0" w:space="0" w:color="auto"/>
            <w:bottom w:val="none" w:sz="0" w:space="0" w:color="auto"/>
            <w:right w:val="none" w:sz="0" w:space="0" w:color="auto"/>
          </w:divBdr>
          <w:divsChild>
            <w:div w:id="638540310">
              <w:marLeft w:val="0"/>
              <w:marRight w:val="0"/>
              <w:marTop w:val="0"/>
              <w:marBottom w:val="0"/>
              <w:divBdr>
                <w:top w:val="none" w:sz="0" w:space="0" w:color="auto"/>
                <w:left w:val="none" w:sz="0" w:space="0" w:color="auto"/>
                <w:bottom w:val="none" w:sz="0" w:space="0" w:color="auto"/>
                <w:right w:val="none" w:sz="0" w:space="0" w:color="auto"/>
              </w:divBdr>
            </w:div>
          </w:divsChild>
        </w:div>
        <w:div w:id="838156000">
          <w:marLeft w:val="0"/>
          <w:marRight w:val="0"/>
          <w:marTop w:val="0"/>
          <w:marBottom w:val="0"/>
          <w:divBdr>
            <w:top w:val="none" w:sz="0" w:space="0" w:color="auto"/>
            <w:left w:val="none" w:sz="0" w:space="0" w:color="auto"/>
            <w:bottom w:val="none" w:sz="0" w:space="0" w:color="auto"/>
            <w:right w:val="none" w:sz="0" w:space="0" w:color="auto"/>
          </w:divBdr>
          <w:divsChild>
            <w:div w:id="1428959283">
              <w:marLeft w:val="0"/>
              <w:marRight w:val="0"/>
              <w:marTop w:val="0"/>
              <w:marBottom w:val="0"/>
              <w:divBdr>
                <w:top w:val="none" w:sz="0" w:space="0" w:color="auto"/>
                <w:left w:val="none" w:sz="0" w:space="0" w:color="auto"/>
                <w:bottom w:val="none" w:sz="0" w:space="0" w:color="auto"/>
                <w:right w:val="none" w:sz="0" w:space="0" w:color="auto"/>
              </w:divBdr>
            </w:div>
          </w:divsChild>
        </w:div>
        <w:div w:id="963314168">
          <w:marLeft w:val="0"/>
          <w:marRight w:val="0"/>
          <w:marTop w:val="0"/>
          <w:marBottom w:val="0"/>
          <w:divBdr>
            <w:top w:val="none" w:sz="0" w:space="0" w:color="auto"/>
            <w:left w:val="none" w:sz="0" w:space="0" w:color="auto"/>
            <w:bottom w:val="none" w:sz="0" w:space="0" w:color="auto"/>
            <w:right w:val="none" w:sz="0" w:space="0" w:color="auto"/>
          </w:divBdr>
          <w:divsChild>
            <w:div w:id="1379740496">
              <w:marLeft w:val="0"/>
              <w:marRight w:val="0"/>
              <w:marTop w:val="0"/>
              <w:marBottom w:val="0"/>
              <w:divBdr>
                <w:top w:val="none" w:sz="0" w:space="0" w:color="auto"/>
                <w:left w:val="none" w:sz="0" w:space="0" w:color="auto"/>
                <w:bottom w:val="none" w:sz="0" w:space="0" w:color="auto"/>
                <w:right w:val="none" w:sz="0" w:space="0" w:color="auto"/>
              </w:divBdr>
            </w:div>
          </w:divsChild>
        </w:div>
        <w:div w:id="1029260583">
          <w:marLeft w:val="0"/>
          <w:marRight w:val="0"/>
          <w:marTop w:val="0"/>
          <w:marBottom w:val="0"/>
          <w:divBdr>
            <w:top w:val="none" w:sz="0" w:space="0" w:color="auto"/>
            <w:left w:val="none" w:sz="0" w:space="0" w:color="auto"/>
            <w:bottom w:val="none" w:sz="0" w:space="0" w:color="auto"/>
            <w:right w:val="none" w:sz="0" w:space="0" w:color="auto"/>
          </w:divBdr>
          <w:divsChild>
            <w:div w:id="529681522">
              <w:marLeft w:val="0"/>
              <w:marRight w:val="0"/>
              <w:marTop w:val="0"/>
              <w:marBottom w:val="0"/>
              <w:divBdr>
                <w:top w:val="none" w:sz="0" w:space="0" w:color="auto"/>
                <w:left w:val="none" w:sz="0" w:space="0" w:color="auto"/>
                <w:bottom w:val="none" w:sz="0" w:space="0" w:color="auto"/>
                <w:right w:val="none" w:sz="0" w:space="0" w:color="auto"/>
              </w:divBdr>
            </w:div>
          </w:divsChild>
        </w:div>
        <w:div w:id="1063406674">
          <w:marLeft w:val="0"/>
          <w:marRight w:val="0"/>
          <w:marTop w:val="0"/>
          <w:marBottom w:val="0"/>
          <w:divBdr>
            <w:top w:val="none" w:sz="0" w:space="0" w:color="auto"/>
            <w:left w:val="none" w:sz="0" w:space="0" w:color="auto"/>
            <w:bottom w:val="none" w:sz="0" w:space="0" w:color="auto"/>
            <w:right w:val="none" w:sz="0" w:space="0" w:color="auto"/>
          </w:divBdr>
          <w:divsChild>
            <w:div w:id="1862696120">
              <w:marLeft w:val="0"/>
              <w:marRight w:val="0"/>
              <w:marTop w:val="0"/>
              <w:marBottom w:val="0"/>
              <w:divBdr>
                <w:top w:val="none" w:sz="0" w:space="0" w:color="auto"/>
                <w:left w:val="none" w:sz="0" w:space="0" w:color="auto"/>
                <w:bottom w:val="none" w:sz="0" w:space="0" w:color="auto"/>
                <w:right w:val="none" w:sz="0" w:space="0" w:color="auto"/>
              </w:divBdr>
            </w:div>
          </w:divsChild>
        </w:div>
        <w:div w:id="1115517030">
          <w:marLeft w:val="0"/>
          <w:marRight w:val="0"/>
          <w:marTop w:val="0"/>
          <w:marBottom w:val="0"/>
          <w:divBdr>
            <w:top w:val="none" w:sz="0" w:space="0" w:color="auto"/>
            <w:left w:val="none" w:sz="0" w:space="0" w:color="auto"/>
            <w:bottom w:val="none" w:sz="0" w:space="0" w:color="auto"/>
            <w:right w:val="none" w:sz="0" w:space="0" w:color="auto"/>
          </w:divBdr>
          <w:divsChild>
            <w:div w:id="388380454">
              <w:marLeft w:val="0"/>
              <w:marRight w:val="0"/>
              <w:marTop w:val="0"/>
              <w:marBottom w:val="0"/>
              <w:divBdr>
                <w:top w:val="none" w:sz="0" w:space="0" w:color="auto"/>
                <w:left w:val="none" w:sz="0" w:space="0" w:color="auto"/>
                <w:bottom w:val="none" w:sz="0" w:space="0" w:color="auto"/>
                <w:right w:val="none" w:sz="0" w:space="0" w:color="auto"/>
              </w:divBdr>
            </w:div>
          </w:divsChild>
        </w:div>
        <w:div w:id="1176463239">
          <w:marLeft w:val="0"/>
          <w:marRight w:val="0"/>
          <w:marTop w:val="0"/>
          <w:marBottom w:val="0"/>
          <w:divBdr>
            <w:top w:val="none" w:sz="0" w:space="0" w:color="auto"/>
            <w:left w:val="none" w:sz="0" w:space="0" w:color="auto"/>
            <w:bottom w:val="none" w:sz="0" w:space="0" w:color="auto"/>
            <w:right w:val="none" w:sz="0" w:space="0" w:color="auto"/>
          </w:divBdr>
          <w:divsChild>
            <w:div w:id="633608542">
              <w:marLeft w:val="0"/>
              <w:marRight w:val="0"/>
              <w:marTop w:val="0"/>
              <w:marBottom w:val="0"/>
              <w:divBdr>
                <w:top w:val="none" w:sz="0" w:space="0" w:color="auto"/>
                <w:left w:val="none" w:sz="0" w:space="0" w:color="auto"/>
                <w:bottom w:val="none" w:sz="0" w:space="0" w:color="auto"/>
                <w:right w:val="none" w:sz="0" w:space="0" w:color="auto"/>
              </w:divBdr>
            </w:div>
          </w:divsChild>
        </w:div>
        <w:div w:id="1187058391">
          <w:marLeft w:val="0"/>
          <w:marRight w:val="0"/>
          <w:marTop w:val="0"/>
          <w:marBottom w:val="0"/>
          <w:divBdr>
            <w:top w:val="none" w:sz="0" w:space="0" w:color="auto"/>
            <w:left w:val="none" w:sz="0" w:space="0" w:color="auto"/>
            <w:bottom w:val="none" w:sz="0" w:space="0" w:color="auto"/>
            <w:right w:val="none" w:sz="0" w:space="0" w:color="auto"/>
          </w:divBdr>
          <w:divsChild>
            <w:div w:id="2017880173">
              <w:marLeft w:val="0"/>
              <w:marRight w:val="0"/>
              <w:marTop w:val="0"/>
              <w:marBottom w:val="0"/>
              <w:divBdr>
                <w:top w:val="none" w:sz="0" w:space="0" w:color="auto"/>
                <w:left w:val="none" w:sz="0" w:space="0" w:color="auto"/>
                <w:bottom w:val="none" w:sz="0" w:space="0" w:color="auto"/>
                <w:right w:val="none" w:sz="0" w:space="0" w:color="auto"/>
              </w:divBdr>
            </w:div>
          </w:divsChild>
        </w:div>
        <w:div w:id="1265114941">
          <w:marLeft w:val="0"/>
          <w:marRight w:val="0"/>
          <w:marTop w:val="0"/>
          <w:marBottom w:val="0"/>
          <w:divBdr>
            <w:top w:val="none" w:sz="0" w:space="0" w:color="auto"/>
            <w:left w:val="none" w:sz="0" w:space="0" w:color="auto"/>
            <w:bottom w:val="none" w:sz="0" w:space="0" w:color="auto"/>
            <w:right w:val="none" w:sz="0" w:space="0" w:color="auto"/>
          </w:divBdr>
          <w:divsChild>
            <w:div w:id="285744252">
              <w:marLeft w:val="0"/>
              <w:marRight w:val="0"/>
              <w:marTop w:val="0"/>
              <w:marBottom w:val="0"/>
              <w:divBdr>
                <w:top w:val="none" w:sz="0" w:space="0" w:color="auto"/>
                <w:left w:val="none" w:sz="0" w:space="0" w:color="auto"/>
                <w:bottom w:val="none" w:sz="0" w:space="0" w:color="auto"/>
                <w:right w:val="none" w:sz="0" w:space="0" w:color="auto"/>
              </w:divBdr>
            </w:div>
          </w:divsChild>
        </w:div>
        <w:div w:id="1307054291">
          <w:marLeft w:val="0"/>
          <w:marRight w:val="0"/>
          <w:marTop w:val="0"/>
          <w:marBottom w:val="0"/>
          <w:divBdr>
            <w:top w:val="none" w:sz="0" w:space="0" w:color="auto"/>
            <w:left w:val="none" w:sz="0" w:space="0" w:color="auto"/>
            <w:bottom w:val="none" w:sz="0" w:space="0" w:color="auto"/>
            <w:right w:val="none" w:sz="0" w:space="0" w:color="auto"/>
          </w:divBdr>
          <w:divsChild>
            <w:div w:id="526871758">
              <w:marLeft w:val="0"/>
              <w:marRight w:val="0"/>
              <w:marTop w:val="0"/>
              <w:marBottom w:val="0"/>
              <w:divBdr>
                <w:top w:val="none" w:sz="0" w:space="0" w:color="auto"/>
                <w:left w:val="none" w:sz="0" w:space="0" w:color="auto"/>
                <w:bottom w:val="none" w:sz="0" w:space="0" w:color="auto"/>
                <w:right w:val="none" w:sz="0" w:space="0" w:color="auto"/>
              </w:divBdr>
            </w:div>
          </w:divsChild>
        </w:div>
        <w:div w:id="1312097925">
          <w:marLeft w:val="0"/>
          <w:marRight w:val="0"/>
          <w:marTop w:val="0"/>
          <w:marBottom w:val="0"/>
          <w:divBdr>
            <w:top w:val="none" w:sz="0" w:space="0" w:color="auto"/>
            <w:left w:val="none" w:sz="0" w:space="0" w:color="auto"/>
            <w:bottom w:val="none" w:sz="0" w:space="0" w:color="auto"/>
            <w:right w:val="none" w:sz="0" w:space="0" w:color="auto"/>
          </w:divBdr>
          <w:divsChild>
            <w:div w:id="1464734239">
              <w:marLeft w:val="0"/>
              <w:marRight w:val="0"/>
              <w:marTop w:val="0"/>
              <w:marBottom w:val="0"/>
              <w:divBdr>
                <w:top w:val="none" w:sz="0" w:space="0" w:color="auto"/>
                <w:left w:val="none" w:sz="0" w:space="0" w:color="auto"/>
                <w:bottom w:val="none" w:sz="0" w:space="0" w:color="auto"/>
                <w:right w:val="none" w:sz="0" w:space="0" w:color="auto"/>
              </w:divBdr>
            </w:div>
          </w:divsChild>
        </w:div>
        <w:div w:id="1395008939">
          <w:marLeft w:val="0"/>
          <w:marRight w:val="0"/>
          <w:marTop w:val="0"/>
          <w:marBottom w:val="0"/>
          <w:divBdr>
            <w:top w:val="none" w:sz="0" w:space="0" w:color="auto"/>
            <w:left w:val="none" w:sz="0" w:space="0" w:color="auto"/>
            <w:bottom w:val="none" w:sz="0" w:space="0" w:color="auto"/>
            <w:right w:val="none" w:sz="0" w:space="0" w:color="auto"/>
          </w:divBdr>
          <w:divsChild>
            <w:div w:id="657805887">
              <w:marLeft w:val="0"/>
              <w:marRight w:val="0"/>
              <w:marTop w:val="0"/>
              <w:marBottom w:val="0"/>
              <w:divBdr>
                <w:top w:val="none" w:sz="0" w:space="0" w:color="auto"/>
                <w:left w:val="none" w:sz="0" w:space="0" w:color="auto"/>
                <w:bottom w:val="none" w:sz="0" w:space="0" w:color="auto"/>
                <w:right w:val="none" w:sz="0" w:space="0" w:color="auto"/>
              </w:divBdr>
            </w:div>
          </w:divsChild>
        </w:div>
        <w:div w:id="1437365844">
          <w:marLeft w:val="0"/>
          <w:marRight w:val="0"/>
          <w:marTop w:val="0"/>
          <w:marBottom w:val="0"/>
          <w:divBdr>
            <w:top w:val="none" w:sz="0" w:space="0" w:color="auto"/>
            <w:left w:val="none" w:sz="0" w:space="0" w:color="auto"/>
            <w:bottom w:val="none" w:sz="0" w:space="0" w:color="auto"/>
            <w:right w:val="none" w:sz="0" w:space="0" w:color="auto"/>
          </w:divBdr>
          <w:divsChild>
            <w:div w:id="541213146">
              <w:marLeft w:val="0"/>
              <w:marRight w:val="0"/>
              <w:marTop w:val="0"/>
              <w:marBottom w:val="0"/>
              <w:divBdr>
                <w:top w:val="none" w:sz="0" w:space="0" w:color="auto"/>
                <w:left w:val="none" w:sz="0" w:space="0" w:color="auto"/>
                <w:bottom w:val="none" w:sz="0" w:space="0" w:color="auto"/>
                <w:right w:val="none" w:sz="0" w:space="0" w:color="auto"/>
              </w:divBdr>
            </w:div>
          </w:divsChild>
        </w:div>
        <w:div w:id="1476026905">
          <w:marLeft w:val="0"/>
          <w:marRight w:val="0"/>
          <w:marTop w:val="0"/>
          <w:marBottom w:val="0"/>
          <w:divBdr>
            <w:top w:val="none" w:sz="0" w:space="0" w:color="auto"/>
            <w:left w:val="none" w:sz="0" w:space="0" w:color="auto"/>
            <w:bottom w:val="none" w:sz="0" w:space="0" w:color="auto"/>
            <w:right w:val="none" w:sz="0" w:space="0" w:color="auto"/>
          </w:divBdr>
          <w:divsChild>
            <w:div w:id="568998671">
              <w:marLeft w:val="0"/>
              <w:marRight w:val="0"/>
              <w:marTop w:val="0"/>
              <w:marBottom w:val="0"/>
              <w:divBdr>
                <w:top w:val="none" w:sz="0" w:space="0" w:color="auto"/>
                <w:left w:val="none" w:sz="0" w:space="0" w:color="auto"/>
                <w:bottom w:val="none" w:sz="0" w:space="0" w:color="auto"/>
                <w:right w:val="none" w:sz="0" w:space="0" w:color="auto"/>
              </w:divBdr>
            </w:div>
          </w:divsChild>
        </w:div>
        <w:div w:id="1559440624">
          <w:marLeft w:val="0"/>
          <w:marRight w:val="0"/>
          <w:marTop w:val="0"/>
          <w:marBottom w:val="0"/>
          <w:divBdr>
            <w:top w:val="none" w:sz="0" w:space="0" w:color="auto"/>
            <w:left w:val="none" w:sz="0" w:space="0" w:color="auto"/>
            <w:bottom w:val="none" w:sz="0" w:space="0" w:color="auto"/>
            <w:right w:val="none" w:sz="0" w:space="0" w:color="auto"/>
          </w:divBdr>
          <w:divsChild>
            <w:div w:id="1375351507">
              <w:marLeft w:val="0"/>
              <w:marRight w:val="0"/>
              <w:marTop w:val="0"/>
              <w:marBottom w:val="0"/>
              <w:divBdr>
                <w:top w:val="none" w:sz="0" w:space="0" w:color="auto"/>
                <w:left w:val="none" w:sz="0" w:space="0" w:color="auto"/>
                <w:bottom w:val="none" w:sz="0" w:space="0" w:color="auto"/>
                <w:right w:val="none" w:sz="0" w:space="0" w:color="auto"/>
              </w:divBdr>
            </w:div>
          </w:divsChild>
        </w:div>
        <w:div w:id="1698432883">
          <w:marLeft w:val="0"/>
          <w:marRight w:val="0"/>
          <w:marTop w:val="0"/>
          <w:marBottom w:val="0"/>
          <w:divBdr>
            <w:top w:val="none" w:sz="0" w:space="0" w:color="auto"/>
            <w:left w:val="none" w:sz="0" w:space="0" w:color="auto"/>
            <w:bottom w:val="none" w:sz="0" w:space="0" w:color="auto"/>
            <w:right w:val="none" w:sz="0" w:space="0" w:color="auto"/>
          </w:divBdr>
          <w:divsChild>
            <w:div w:id="115375305">
              <w:marLeft w:val="0"/>
              <w:marRight w:val="0"/>
              <w:marTop w:val="0"/>
              <w:marBottom w:val="0"/>
              <w:divBdr>
                <w:top w:val="none" w:sz="0" w:space="0" w:color="auto"/>
                <w:left w:val="none" w:sz="0" w:space="0" w:color="auto"/>
                <w:bottom w:val="none" w:sz="0" w:space="0" w:color="auto"/>
                <w:right w:val="none" w:sz="0" w:space="0" w:color="auto"/>
              </w:divBdr>
            </w:div>
          </w:divsChild>
        </w:div>
        <w:div w:id="1730108740">
          <w:marLeft w:val="0"/>
          <w:marRight w:val="0"/>
          <w:marTop w:val="0"/>
          <w:marBottom w:val="0"/>
          <w:divBdr>
            <w:top w:val="none" w:sz="0" w:space="0" w:color="auto"/>
            <w:left w:val="none" w:sz="0" w:space="0" w:color="auto"/>
            <w:bottom w:val="none" w:sz="0" w:space="0" w:color="auto"/>
            <w:right w:val="none" w:sz="0" w:space="0" w:color="auto"/>
          </w:divBdr>
          <w:divsChild>
            <w:div w:id="1389108038">
              <w:marLeft w:val="0"/>
              <w:marRight w:val="0"/>
              <w:marTop w:val="0"/>
              <w:marBottom w:val="0"/>
              <w:divBdr>
                <w:top w:val="none" w:sz="0" w:space="0" w:color="auto"/>
                <w:left w:val="none" w:sz="0" w:space="0" w:color="auto"/>
                <w:bottom w:val="none" w:sz="0" w:space="0" w:color="auto"/>
                <w:right w:val="none" w:sz="0" w:space="0" w:color="auto"/>
              </w:divBdr>
            </w:div>
          </w:divsChild>
        </w:div>
        <w:div w:id="1858763780">
          <w:marLeft w:val="0"/>
          <w:marRight w:val="0"/>
          <w:marTop w:val="0"/>
          <w:marBottom w:val="0"/>
          <w:divBdr>
            <w:top w:val="none" w:sz="0" w:space="0" w:color="auto"/>
            <w:left w:val="none" w:sz="0" w:space="0" w:color="auto"/>
            <w:bottom w:val="none" w:sz="0" w:space="0" w:color="auto"/>
            <w:right w:val="none" w:sz="0" w:space="0" w:color="auto"/>
          </w:divBdr>
          <w:divsChild>
            <w:div w:id="1974867192">
              <w:marLeft w:val="0"/>
              <w:marRight w:val="0"/>
              <w:marTop w:val="0"/>
              <w:marBottom w:val="0"/>
              <w:divBdr>
                <w:top w:val="none" w:sz="0" w:space="0" w:color="auto"/>
                <w:left w:val="none" w:sz="0" w:space="0" w:color="auto"/>
                <w:bottom w:val="none" w:sz="0" w:space="0" w:color="auto"/>
                <w:right w:val="none" w:sz="0" w:space="0" w:color="auto"/>
              </w:divBdr>
            </w:div>
          </w:divsChild>
        </w:div>
        <w:div w:id="1993825080">
          <w:marLeft w:val="0"/>
          <w:marRight w:val="0"/>
          <w:marTop w:val="0"/>
          <w:marBottom w:val="0"/>
          <w:divBdr>
            <w:top w:val="none" w:sz="0" w:space="0" w:color="auto"/>
            <w:left w:val="none" w:sz="0" w:space="0" w:color="auto"/>
            <w:bottom w:val="none" w:sz="0" w:space="0" w:color="auto"/>
            <w:right w:val="none" w:sz="0" w:space="0" w:color="auto"/>
          </w:divBdr>
          <w:divsChild>
            <w:div w:id="810174886">
              <w:marLeft w:val="0"/>
              <w:marRight w:val="0"/>
              <w:marTop w:val="0"/>
              <w:marBottom w:val="0"/>
              <w:divBdr>
                <w:top w:val="none" w:sz="0" w:space="0" w:color="auto"/>
                <w:left w:val="none" w:sz="0" w:space="0" w:color="auto"/>
                <w:bottom w:val="none" w:sz="0" w:space="0" w:color="auto"/>
                <w:right w:val="none" w:sz="0" w:space="0" w:color="auto"/>
              </w:divBdr>
            </w:div>
          </w:divsChild>
        </w:div>
        <w:div w:id="2022660133">
          <w:marLeft w:val="0"/>
          <w:marRight w:val="0"/>
          <w:marTop w:val="0"/>
          <w:marBottom w:val="0"/>
          <w:divBdr>
            <w:top w:val="none" w:sz="0" w:space="0" w:color="auto"/>
            <w:left w:val="none" w:sz="0" w:space="0" w:color="auto"/>
            <w:bottom w:val="none" w:sz="0" w:space="0" w:color="auto"/>
            <w:right w:val="none" w:sz="0" w:space="0" w:color="auto"/>
          </w:divBdr>
          <w:divsChild>
            <w:div w:id="396250084">
              <w:marLeft w:val="0"/>
              <w:marRight w:val="0"/>
              <w:marTop w:val="0"/>
              <w:marBottom w:val="0"/>
              <w:divBdr>
                <w:top w:val="none" w:sz="0" w:space="0" w:color="auto"/>
                <w:left w:val="none" w:sz="0" w:space="0" w:color="auto"/>
                <w:bottom w:val="none" w:sz="0" w:space="0" w:color="auto"/>
                <w:right w:val="none" w:sz="0" w:space="0" w:color="auto"/>
              </w:divBdr>
            </w:div>
          </w:divsChild>
        </w:div>
        <w:div w:id="2077126796">
          <w:marLeft w:val="0"/>
          <w:marRight w:val="0"/>
          <w:marTop w:val="0"/>
          <w:marBottom w:val="0"/>
          <w:divBdr>
            <w:top w:val="none" w:sz="0" w:space="0" w:color="auto"/>
            <w:left w:val="none" w:sz="0" w:space="0" w:color="auto"/>
            <w:bottom w:val="none" w:sz="0" w:space="0" w:color="auto"/>
            <w:right w:val="none" w:sz="0" w:space="0" w:color="auto"/>
          </w:divBdr>
          <w:divsChild>
            <w:div w:id="30961101">
              <w:marLeft w:val="0"/>
              <w:marRight w:val="0"/>
              <w:marTop w:val="0"/>
              <w:marBottom w:val="0"/>
              <w:divBdr>
                <w:top w:val="none" w:sz="0" w:space="0" w:color="auto"/>
                <w:left w:val="none" w:sz="0" w:space="0" w:color="auto"/>
                <w:bottom w:val="none" w:sz="0" w:space="0" w:color="auto"/>
                <w:right w:val="none" w:sz="0" w:space="0" w:color="auto"/>
              </w:divBdr>
            </w:div>
          </w:divsChild>
        </w:div>
        <w:div w:id="2126342976">
          <w:marLeft w:val="0"/>
          <w:marRight w:val="0"/>
          <w:marTop w:val="0"/>
          <w:marBottom w:val="0"/>
          <w:divBdr>
            <w:top w:val="none" w:sz="0" w:space="0" w:color="auto"/>
            <w:left w:val="none" w:sz="0" w:space="0" w:color="auto"/>
            <w:bottom w:val="none" w:sz="0" w:space="0" w:color="auto"/>
            <w:right w:val="none" w:sz="0" w:space="0" w:color="auto"/>
          </w:divBdr>
          <w:divsChild>
            <w:div w:id="690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2526">
      <w:bodyDiv w:val="1"/>
      <w:marLeft w:val="0"/>
      <w:marRight w:val="0"/>
      <w:marTop w:val="0"/>
      <w:marBottom w:val="0"/>
      <w:divBdr>
        <w:top w:val="none" w:sz="0" w:space="0" w:color="auto"/>
        <w:left w:val="none" w:sz="0" w:space="0" w:color="auto"/>
        <w:bottom w:val="none" w:sz="0" w:space="0" w:color="auto"/>
        <w:right w:val="none" w:sz="0" w:space="0" w:color="auto"/>
      </w:divBdr>
      <w:divsChild>
        <w:div w:id="2094815036">
          <w:marLeft w:val="480"/>
          <w:marRight w:val="0"/>
          <w:marTop w:val="0"/>
          <w:marBottom w:val="0"/>
          <w:divBdr>
            <w:top w:val="none" w:sz="0" w:space="0" w:color="auto"/>
            <w:left w:val="none" w:sz="0" w:space="0" w:color="auto"/>
            <w:bottom w:val="none" w:sz="0" w:space="0" w:color="auto"/>
            <w:right w:val="none" w:sz="0" w:space="0" w:color="auto"/>
          </w:divBdr>
          <w:divsChild>
            <w:div w:id="177236699">
              <w:marLeft w:val="0"/>
              <w:marRight w:val="0"/>
              <w:marTop w:val="0"/>
              <w:marBottom w:val="0"/>
              <w:divBdr>
                <w:top w:val="none" w:sz="0" w:space="0" w:color="auto"/>
                <w:left w:val="none" w:sz="0" w:space="0" w:color="auto"/>
                <w:bottom w:val="none" w:sz="0" w:space="0" w:color="auto"/>
                <w:right w:val="none" w:sz="0" w:space="0" w:color="auto"/>
              </w:divBdr>
            </w:div>
            <w:div w:id="437717642">
              <w:marLeft w:val="0"/>
              <w:marRight w:val="0"/>
              <w:marTop w:val="0"/>
              <w:marBottom w:val="0"/>
              <w:divBdr>
                <w:top w:val="none" w:sz="0" w:space="0" w:color="auto"/>
                <w:left w:val="none" w:sz="0" w:space="0" w:color="auto"/>
                <w:bottom w:val="none" w:sz="0" w:space="0" w:color="auto"/>
                <w:right w:val="none" w:sz="0" w:space="0" w:color="auto"/>
              </w:divBdr>
            </w:div>
            <w:div w:id="629092574">
              <w:marLeft w:val="0"/>
              <w:marRight w:val="0"/>
              <w:marTop w:val="0"/>
              <w:marBottom w:val="0"/>
              <w:divBdr>
                <w:top w:val="none" w:sz="0" w:space="0" w:color="auto"/>
                <w:left w:val="none" w:sz="0" w:space="0" w:color="auto"/>
                <w:bottom w:val="none" w:sz="0" w:space="0" w:color="auto"/>
                <w:right w:val="none" w:sz="0" w:space="0" w:color="auto"/>
              </w:divBdr>
            </w:div>
            <w:div w:id="931548092">
              <w:marLeft w:val="0"/>
              <w:marRight w:val="0"/>
              <w:marTop w:val="0"/>
              <w:marBottom w:val="0"/>
              <w:divBdr>
                <w:top w:val="none" w:sz="0" w:space="0" w:color="auto"/>
                <w:left w:val="none" w:sz="0" w:space="0" w:color="auto"/>
                <w:bottom w:val="none" w:sz="0" w:space="0" w:color="auto"/>
                <w:right w:val="none" w:sz="0" w:space="0" w:color="auto"/>
              </w:divBdr>
            </w:div>
            <w:div w:id="1099907697">
              <w:marLeft w:val="0"/>
              <w:marRight w:val="0"/>
              <w:marTop w:val="0"/>
              <w:marBottom w:val="0"/>
              <w:divBdr>
                <w:top w:val="none" w:sz="0" w:space="0" w:color="auto"/>
                <w:left w:val="none" w:sz="0" w:space="0" w:color="auto"/>
                <w:bottom w:val="none" w:sz="0" w:space="0" w:color="auto"/>
                <w:right w:val="none" w:sz="0" w:space="0" w:color="auto"/>
              </w:divBdr>
            </w:div>
            <w:div w:id="1329820046">
              <w:marLeft w:val="0"/>
              <w:marRight w:val="0"/>
              <w:marTop w:val="0"/>
              <w:marBottom w:val="0"/>
              <w:divBdr>
                <w:top w:val="none" w:sz="0" w:space="0" w:color="auto"/>
                <w:left w:val="none" w:sz="0" w:space="0" w:color="auto"/>
                <w:bottom w:val="none" w:sz="0" w:space="0" w:color="auto"/>
                <w:right w:val="none" w:sz="0" w:space="0" w:color="auto"/>
              </w:divBdr>
            </w:div>
            <w:div w:id="1452359284">
              <w:marLeft w:val="0"/>
              <w:marRight w:val="0"/>
              <w:marTop w:val="0"/>
              <w:marBottom w:val="0"/>
              <w:divBdr>
                <w:top w:val="none" w:sz="0" w:space="0" w:color="auto"/>
                <w:left w:val="none" w:sz="0" w:space="0" w:color="auto"/>
                <w:bottom w:val="none" w:sz="0" w:space="0" w:color="auto"/>
                <w:right w:val="none" w:sz="0" w:space="0" w:color="auto"/>
              </w:divBdr>
            </w:div>
            <w:div w:id="1496533763">
              <w:marLeft w:val="0"/>
              <w:marRight w:val="0"/>
              <w:marTop w:val="0"/>
              <w:marBottom w:val="0"/>
              <w:divBdr>
                <w:top w:val="none" w:sz="0" w:space="0" w:color="auto"/>
                <w:left w:val="none" w:sz="0" w:space="0" w:color="auto"/>
                <w:bottom w:val="none" w:sz="0" w:space="0" w:color="auto"/>
                <w:right w:val="none" w:sz="0" w:space="0" w:color="auto"/>
              </w:divBdr>
            </w:div>
            <w:div w:id="1507550116">
              <w:marLeft w:val="0"/>
              <w:marRight w:val="0"/>
              <w:marTop w:val="0"/>
              <w:marBottom w:val="0"/>
              <w:divBdr>
                <w:top w:val="none" w:sz="0" w:space="0" w:color="auto"/>
                <w:left w:val="none" w:sz="0" w:space="0" w:color="auto"/>
                <w:bottom w:val="none" w:sz="0" w:space="0" w:color="auto"/>
                <w:right w:val="none" w:sz="0" w:space="0" w:color="auto"/>
              </w:divBdr>
            </w:div>
            <w:div w:id="1814105838">
              <w:marLeft w:val="0"/>
              <w:marRight w:val="0"/>
              <w:marTop w:val="0"/>
              <w:marBottom w:val="0"/>
              <w:divBdr>
                <w:top w:val="none" w:sz="0" w:space="0" w:color="auto"/>
                <w:left w:val="none" w:sz="0" w:space="0" w:color="auto"/>
                <w:bottom w:val="none" w:sz="0" w:space="0" w:color="auto"/>
                <w:right w:val="none" w:sz="0" w:space="0" w:color="auto"/>
              </w:divBdr>
            </w:div>
            <w:div w:id="1834643746">
              <w:marLeft w:val="0"/>
              <w:marRight w:val="0"/>
              <w:marTop w:val="0"/>
              <w:marBottom w:val="0"/>
              <w:divBdr>
                <w:top w:val="none" w:sz="0" w:space="0" w:color="auto"/>
                <w:left w:val="none" w:sz="0" w:space="0" w:color="auto"/>
                <w:bottom w:val="none" w:sz="0" w:space="0" w:color="auto"/>
                <w:right w:val="none" w:sz="0" w:space="0" w:color="auto"/>
              </w:divBdr>
            </w:div>
            <w:div w:id="1872065629">
              <w:marLeft w:val="0"/>
              <w:marRight w:val="0"/>
              <w:marTop w:val="0"/>
              <w:marBottom w:val="0"/>
              <w:divBdr>
                <w:top w:val="none" w:sz="0" w:space="0" w:color="auto"/>
                <w:left w:val="none" w:sz="0" w:space="0" w:color="auto"/>
                <w:bottom w:val="none" w:sz="0" w:space="0" w:color="auto"/>
                <w:right w:val="none" w:sz="0" w:space="0" w:color="auto"/>
              </w:divBdr>
            </w:div>
            <w:div w:id="21326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04214945">
      <w:bodyDiv w:val="1"/>
      <w:marLeft w:val="0"/>
      <w:marRight w:val="0"/>
      <w:marTop w:val="0"/>
      <w:marBottom w:val="0"/>
      <w:divBdr>
        <w:top w:val="none" w:sz="0" w:space="0" w:color="auto"/>
        <w:left w:val="none" w:sz="0" w:space="0" w:color="auto"/>
        <w:bottom w:val="none" w:sz="0" w:space="0" w:color="auto"/>
        <w:right w:val="none" w:sz="0" w:space="0" w:color="auto"/>
      </w:divBdr>
      <w:divsChild>
        <w:div w:id="16858226">
          <w:marLeft w:val="0"/>
          <w:marRight w:val="0"/>
          <w:marTop w:val="0"/>
          <w:marBottom w:val="0"/>
          <w:divBdr>
            <w:top w:val="none" w:sz="0" w:space="0" w:color="auto"/>
            <w:left w:val="none" w:sz="0" w:space="0" w:color="auto"/>
            <w:bottom w:val="none" w:sz="0" w:space="0" w:color="auto"/>
            <w:right w:val="none" w:sz="0" w:space="0" w:color="auto"/>
          </w:divBdr>
          <w:divsChild>
            <w:div w:id="1380596260">
              <w:marLeft w:val="0"/>
              <w:marRight w:val="0"/>
              <w:marTop w:val="0"/>
              <w:marBottom w:val="0"/>
              <w:divBdr>
                <w:top w:val="none" w:sz="0" w:space="0" w:color="auto"/>
                <w:left w:val="none" w:sz="0" w:space="0" w:color="auto"/>
                <w:bottom w:val="none" w:sz="0" w:space="0" w:color="auto"/>
                <w:right w:val="none" w:sz="0" w:space="0" w:color="auto"/>
              </w:divBdr>
            </w:div>
          </w:divsChild>
        </w:div>
        <w:div w:id="143552876">
          <w:marLeft w:val="0"/>
          <w:marRight w:val="0"/>
          <w:marTop w:val="0"/>
          <w:marBottom w:val="0"/>
          <w:divBdr>
            <w:top w:val="none" w:sz="0" w:space="0" w:color="auto"/>
            <w:left w:val="none" w:sz="0" w:space="0" w:color="auto"/>
            <w:bottom w:val="none" w:sz="0" w:space="0" w:color="auto"/>
            <w:right w:val="none" w:sz="0" w:space="0" w:color="auto"/>
          </w:divBdr>
          <w:divsChild>
            <w:div w:id="182405826">
              <w:marLeft w:val="0"/>
              <w:marRight w:val="0"/>
              <w:marTop w:val="0"/>
              <w:marBottom w:val="0"/>
              <w:divBdr>
                <w:top w:val="none" w:sz="0" w:space="0" w:color="auto"/>
                <w:left w:val="none" w:sz="0" w:space="0" w:color="auto"/>
                <w:bottom w:val="none" w:sz="0" w:space="0" w:color="auto"/>
                <w:right w:val="none" w:sz="0" w:space="0" w:color="auto"/>
              </w:divBdr>
            </w:div>
          </w:divsChild>
        </w:div>
        <w:div w:id="199825017">
          <w:marLeft w:val="0"/>
          <w:marRight w:val="0"/>
          <w:marTop w:val="0"/>
          <w:marBottom w:val="0"/>
          <w:divBdr>
            <w:top w:val="none" w:sz="0" w:space="0" w:color="auto"/>
            <w:left w:val="none" w:sz="0" w:space="0" w:color="auto"/>
            <w:bottom w:val="none" w:sz="0" w:space="0" w:color="auto"/>
            <w:right w:val="none" w:sz="0" w:space="0" w:color="auto"/>
          </w:divBdr>
          <w:divsChild>
            <w:div w:id="561520903">
              <w:marLeft w:val="0"/>
              <w:marRight w:val="0"/>
              <w:marTop w:val="0"/>
              <w:marBottom w:val="0"/>
              <w:divBdr>
                <w:top w:val="none" w:sz="0" w:space="0" w:color="auto"/>
                <w:left w:val="none" w:sz="0" w:space="0" w:color="auto"/>
                <w:bottom w:val="none" w:sz="0" w:space="0" w:color="auto"/>
                <w:right w:val="none" w:sz="0" w:space="0" w:color="auto"/>
              </w:divBdr>
            </w:div>
          </w:divsChild>
        </w:div>
        <w:div w:id="233856418">
          <w:marLeft w:val="0"/>
          <w:marRight w:val="0"/>
          <w:marTop w:val="0"/>
          <w:marBottom w:val="0"/>
          <w:divBdr>
            <w:top w:val="none" w:sz="0" w:space="0" w:color="auto"/>
            <w:left w:val="none" w:sz="0" w:space="0" w:color="auto"/>
            <w:bottom w:val="none" w:sz="0" w:space="0" w:color="auto"/>
            <w:right w:val="none" w:sz="0" w:space="0" w:color="auto"/>
          </w:divBdr>
          <w:divsChild>
            <w:div w:id="1212498258">
              <w:marLeft w:val="0"/>
              <w:marRight w:val="0"/>
              <w:marTop w:val="0"/>
              <w:marBottom w:val="0"/>
              <w:divBdr>
                <w:top w:val="none" w:sz="0" w:space="0" w:color="auto"/>
                <w:left w:val="none" w:sz="0" w:space="0" w:color="auto"/>
                <w:bottom w:val="none" w:sz="0" w:space="0" w:color="auto"/>
                <w:right w:val="none" w:sz="0" w:space="0" w:color="auto"/>
              </w:divBdr>
            </w:div>
          </w:divsChild>
        </w:div>
        <w:div w:id="274481007">
          <w:marLeft w:val="0"/>
          <w:marRight w:val="0"/>
          <w:marTop w:val="0"/>
          <w:marBottom w:val="0"/>
          <w:divBdr>
            <w:top w:val="none" w:sz="0" w:space="0" w:color="auto"/>
            <w:left w:val="none" w:sz="0" w:space="0" w:color="auto"/>
            <w:bottom w:val="none" w:sz="0" w:space="0" w:color="auto"/>
            <w:right w:val="none" w:sz="0" w:space="0" w:color="auto"/>
          </w:divBdr>
          <w:divsChild>
            <w:div w:id="393894859">
              <w:marLeft w:val="0"/>
              <w:marRight w:val="0"/>
              <w:marTop w:val="0"/>
              <w:marBottom w:val="0"/>
              <w:divBdr>
                <w:top w:val="none" w:sz="0" w:space="0" w:color="auto"/>
                <w:left w:val="none" w:sz="0" w:space="0" w:color="auto"/>
                <w:bottom w:val="none" w:sz="0" w:space="0" w:color="auto"/>
                <w:right w:val="none" w:sz="0" w:space="0" w:color="auto"/>
              </w:divBdr>
            </w:div>
          </w:divsChild>
        </w:div>
        <w:div w:id="501630725">
          <w:marLeft w:val="0"/>
          <w:marRight w:val="0"/>
          <w:marTop w:val="0"/>
          <w:marBottom w:val="0"/>
          <w:divBdr>
            <w:top w:val="none" w:sz="0" w:space="0" w:color="auto"/>
            <w:left w:val="none" w:sz="0" w:space="0" w:color="auto"/>
            <w:bottom w:val="none" w:sz="0" w:space="0" w:color="auto"/>
            <w:right w:val="none" w:sz="0" w:space="0" w:color="auto"/>
          </w:divBdr>
          <w:divsChild>
            <w:div w:id="1332952663">
              <w:marLeft w:val="0"/>
              <w:marRight w:val="0"/>
              <w:marTop w:val="0"/>
              <w:marBottom w:val="0"/>
              <w:divBdr>
                <w:top w:val="none" w:sz="0" w:space="0" w:color="auto"/>
                <w:left w:val="none" w:sz="0" w:space="0" w:color="auto"/>
                <w:bottom w:val="none" w:sz="0" w:space="0" w:color="auto"/>
                <w:right w:val="none" w:sz="0" w:space="0" w:color="auto"/>
              </w:divBdr>
            </w:div>
          </w:divsChild>
        </w:div>
        <w:div w:id="559679123">
          <w:marLeft w:val="0"/>
          <w:marRight w:val="0"/>
          <w:marTop w:val="0"/>
          <w:marBottom w:val="0"/>
          <w:divBdr>
            <w:top w:val="none" w:sz="0" w:space="0" w:color="auto"/>
            <w:left w:val="none" w:sz="0" w:space="0" w:color="auto"/>
            <w:bottom w:val="none" w:sz="0" w:space="0" w:color="auto"/>
            <w:right w:val="none" w:sz="0" w:space="0" w:color="auto"/>
          </w:divBdr>
          <w:divsChild>
            <w:div w:id="2104302718">
              <w:marLeft w:val="0"/>
              <w:marRight w:val="0"/>
              <w:marTop w:val="0"/>
              <w:marBottom w:val="0"/>
              <w:divBdr>
                <w:top w:val="none" w:sz="0" w:space="0" w:color="auto"/>
                <w:left w:val="none" w:sz="0" w:space="0" w:color="auto"/>
                <w:bottom w:val="none" w:sz="0" w:space="0" w:color="auto"/>
                <w:right w:val="none" w:sz="0" w:space="0" w:color="auto"/>
              </w:divBdr>
            </w:div>
          </w:divsChild>
        </w:div>
        <w:div w:id="586109646">
          <w:marLeft w:val="0"/>
          <w:marRight w:val="0"/>
          <w:marTop w:val="0"/>
          <w:marBottom w:val="0"/>
          <w:divBdr>
            <w:top w:val="none" w:sz="0" w:space="0" w:color="auto"/>
            <w:left w:val="none" w:sz="0" w:space="0" w:color="auto"/>
            <w:bottom w:val="none" w:sz="0" w:space="0" w:color="auto"/>
            <w:right w:val="none" w:sz="0" w:space="0" w:color="auto"/>
          </w:divBdr>
          <w:divsChild>
            <w:div w:id="1384256918">
              <w:marLeft w:val="0"/>
              <w:marRight w:val="0"/>
              <w:marTop w:val="0"/>
              <w:marBottom w:val="0"/>
              <w:divBdr>
                <w:top w:val="none" w:sz="0" w:space="0" w:color="auto"/>
                <w:left w:val="none" w:sz="0" w:space="0" w:color="auto"/>
                <w:bottom w:val="none" w:sz="0" w:space="0" w:color="auto"/>
                <w:right w:val="none" w:sz="0" w:space="0" w:color="auto"/>
              </w:divBdr>
            </w:div>
          </w:divsChild>
        </w:div>
        <w:div w:id="607782487">
          <w:marLeft w:val="0"/>
          <w:marRight w:val="0"/>
          <w:marTop w:val="0"/>
          <w:marBottom w:val="0"/>
          <w:divBdr>
            <w:top w:val="none" w:sz="0" w:space="0" w:color="auto"/>
            <w:left w:val="none" w:sz="0" w:space="0" w:color="auto"/>
            <w:bottom w:val="none" w:sz="0" w:space="0" w:color="auto"/>
            <w:right w:val="none" w:sz="0" w:space="0" w:color="auto"/>
          </w:divBdr>
          <w:divsChild>
            <w:div w:id="1437016567">
              <w:marLeft w:val="0"/>
              <w:marRight w:val="0"/>
              <w:marTop w:val="0"/>
              <w:marBottom w:val="0"/>
              <w:divBdr>
                <w:top w:val="none" w:sz="0" w:space="0" w:color="auto"/>
                <w:left w:val="none" w:sz="0" w:space="0" w:color="auto"/>
                <w:bottom w:val="none" w:sz="0" w:space="0" w:color="auto"/>
                <w:right w:val="none" w:sz="0" w:space="0" w:color="auto"/>
              </w:divBdr>
            </w:div>
          </w:divsChild>
        </w:div>
        <w:div w:id="689185461">
          <w:marLeft w:val="0"/>
          <w:marRight w:val="0"/>
          <w:marTop w:val="0"/>
          <w:marBottom w:val="0"/>
          <w:divBdr>
            <w:top w:val="none" w:sz="0" w:space="0" w:color="auto"/>
            <w:left w:val="none" w:sz="0" w:space="0" w:color="auto"/>
            <w:bottom w:val="none" w:sz="0" w:space="0" w:color="auto"/>
            <w:right w:val="none" w:sz="0" w:space="0" w:color="auto"/>
          </w:divBdr>
          <w:divsChild>
            <w:div w:id="1416130679">
              <w:marLeft w:val="0"/>
              <w:marRight w:val="0"/>
              <w:marTop w:val="0"/>
              <w:marBottom w:val="0"/>
              <w:divBdr>
                <w:top w:val="none" w:sz="0" w:space="0" w:color="auto"/>
                <w:left w:val="none" w:sz="0" w:space="0" w:color="auto"/>
                <w:bottom w:val="none" w:sz="0" w:space="0" w:color="auto"/>
                <w:right w:val="none" w:sz="0" w:space="0" w:color="auto"/>
              </w:divBdr>
            </w:div>
          </w:divsChild>
        </w:div>
        <w:div w:id="729884175">
          <w:marLeft w:val="0"/>
          <w:marRight w:val="0"/>
          <w:marTop w:val="0"/>
          <w:marBottom w:val="0"/>
          <w:divBdr>
            <w:top w:val="none" w:sz="0" w:space="0" w:color="auto"/>
            <w:left w:val="none" w:sz="0" w:space="0" w:color="auto"/>
            <w:bottom w:val="none" w:sz="0" w:space="0" w:color="auto"/>
            <w:right w:val="none" w:sz="0" w:space="0" w:color="auto"/>
          </w:divBdr>
          <w:divsChild>
            <w:div w:id="1252932169">
              <w:marLeft w:val="0"/>
              <w:marRight w:val="0"/>
              <w:marTop w:val="0"/>
              <w:marBottom w:val="0"/>
              <w:divBdr>
                <w:top w:val="none" w:sz="0" w:space="0" w:color="auto"/>
                <w:left w:val="none" w:sz="0" w:space="0" w:color="auto"/>
                <w:bottom w:val="none" w:sz="0" w:space="0" w:color="auto"/>
                <w:right w:val="none" w:sz="0" w:space="0" w:color="auto"/>
              </w:divBdr>
            </w:div>
          </w:divsChild>
        </w:div>
        <w:div w:id="753940162">
          <w:marLeft w:val="0"/>
          <w:marRight w:val="0"/>
          <w:marTop w:val="0"/>
          <w:marBottom w:val="0"/>
          <w:divBdr>
            <w:top w:val="none" w:sz="0" w:space="0" w:color="auto"/>
            <w:left w:val="none" w:sz="0" w:space="0" w:color="auto"/>
            <w:bottom w:val="none" w:sz="0" w:space="0" w:color="auto"/>
            <w:right w:val="none" w:sz="0" w:space="0" w:color="auto"/>
          </w:divBdr>
          <w:divsChild>
            <w:div w:id="20321159">
              <w:marLeft w:val="0"/>
              <w:marRight w:val="0"/>
              <w:marTop w:val="0"/>
              <w:marBottom w:val="0"/>
              <w:divBdr>
                <w:top w:val="none" w:sz="0" w:space="0" w:color="auto"/>
                <w:left w:val="none" w:sz="0" w:space="0" w:color="auto"/>
                <w:bottom w:val="none" w:sz="0" w:space="0" w:color="auto"/>
                <w:right w:val="none" w:sz="0" w:space="0" w:color="auto"/>
              </w:divBdr>
            </w:div>
          </w:divsChild>
        </w:div>
        <w:div w:id="967853837">
          <w:marLeft w:val="0"/>
          <w:marRight w:val="0"/>
          <w:marTop w:val="0"/>
          <w:marBottom w:val="0"/>
          <w:divBdr>
            <w:top w:val="none" w:sz="0" w:space="0" w:color="auto"/>
            <w:left w:val="none" w:sz="0" w:space="0" w:color="auto"/>
            <w:bottom w:val="none" w:sz="0" w:space="0" w:color="auto"/>
            <w:right w:val="none" w:sz="0" w:space="0" w:color="auto"/>
          </w:divBdr>
          <w:divsChild>
            <w:div w:id="1423600122">
              <w:marLeft w:val="0"/>
              <w:marRight w:val="0"/>
              <w:marTop w:val="0"/>
              <w:marBottom w:val="0"/>
              <w:divBdr>
                <w:top w:val="none" w:sz="0" w:space="0" w:color="auto"/>
                <w:left w:val="none" w:sz="0" w:space="0" w:color="auto"/>
                <w:bottom w:val="none" w:sz="0" w:space="0" w:color="auto"/>
                <w:right w:val="none" w:sz="0" w:space="0" w:color="auto"/>
              </w:divBdr>
            </w:div>
          </w:divsChild>
        </w:div>
        <w:div w:id="1228567600">
          <w:marLeft w:val="0"/>
          <w:marRight w:val="0"/>
          <w:marTop w:val="0"/>
          <w:marBottom w:val="0"/>
          <w:divBdr>
            <w:top w:val="none" w:sz="0" w:space="0" w:color="auto"/>
            <w:left w:val="none" w:sz="0" w:space="0" w:color="auto"/>
            <w:bottom w:val="none" w:sz="0" w:space="0" w:color="auto"/>
            <w:right w:val="none" w:sz="0" w:space="0" w:color="auto"/>
          </w:divBdr>
          <w:divsChild>
            <w:div w:id="1637829889">
              <w:marLeft w:val="0"/>
              <w:marRight w:val="0"/>
              <w:marTop w:val="0"/>
              <w:marBottom w:val="0"/>
              <w:divBdr>
                <w:top w:val="none" w:sz="0" w:space="0" w:color="auto"/>
                <w:left w:val="none" w:sz="0" w:space="0" w:color="auto"/>
                <w:bottom w:val="none" w:sz="0" w:space="0" w:color="auto"/>
                <w:right w:val="none" w:sz="0" w:space="0" w:color="auto"/>
              </w:divBdr>
            </w:div>
          </w:divsChild>
        </w:div>
        <w:div w:id="1297298135">
          <w:marLeft w:val="0"/>
          <w:marRight w:val="0"/>
          <w:marTop w:val="0"/>
          <w:marBottom w:val="0"/>
          <w:divBdr>
            <w:top w:val="none" w:sz="0" w:space="0" w:color="auto"/>
            <w:left w:val="none" w:sz="0" w:space="0" w:color="auto"/>
            <w:bottom w:val="none" w:sz="0" w:space="0" w:color="auto"/>
            <w:right w:val="none" w:sz="0" w:space="0" w:color="auto"/>
          </w:divBdr>
          <w:divsChild>
            <w:div w:id="1438870761">
              <w:marLeft w:val="0"/>
              <w:marRight w:val="0"/>
              <w:marTop w:val="0"/>
              <w:marBottom w:val="0"/>
              <w:divBdr>
                <w:top w:val="none" w:sz="0" w:space="0" w:color="auto"/>
                <w:left w:val="none" w:sz="0" w:space="0" w:color="auto"/>
                <w:bottom w:val="none" w:sz="0" w:space="0" w:color="auto"/>
                <w:right w:val="none" w:sz="0" w:space="0" w:color="auto"/>
              </w:divBdr>
            </w:div>
          </w:divsChild>
        </w:div>
        <w:div w:id="1314484597">
          <w:marLeft w:val="0"/>
          <w:marRight w:val="0"/>
          <w:marTop w:val="0"/>
          <w:marBottom w:val="0"/>
          <w:divBdr>
            <w:top w:val="none" w:sz="0" w:space="0" w:color="auto"/>
            <w:left w:val="none" w:sz="0" w:space="0" w:color="auto"/>
            <w:bottom w:val="none" w:sz="0" w:space="0" w:color="auto"/>
            <w:right w:val="none" w:sz="0" w:space="0" w:color="auto"/>
          </w:divBdr>
          <w:divsChild>
            <w:div w:id="1048148038">
              <w:marLeft w:val="0"/>
              <w:marRight w:val="0"/>
              <w:marTop w:val="0"/>
              <w:marBottom w:val="0"/>
              <w:divBdr>
                <w:top w:val="none" w:sz="0" w:space="0" w:color="auto"/>
                <w:left w:val="none" w:sz="0" w:space="0" w:color="auto"/>
                <w:bottom w:val="none" w:sz="0" w:space="0" w:color="auto"/>
                <w:right w:val="none" w:sz="0" w:space="0" w:color="auto"/>
              </w:divBdr>
            </w:div>
          </w:divsChild>
        </w:div>
        <w:div w:id="1380350941">
          <w:marLeft w:val="0"/>
          <w:marRight w:val="0"/>
          <w:marTop w:val="0"/>
          <w:marBottom w:val="0"/>
          <w:divBdr>
            <w:top w:val="none" w:sz="0" w:space="0" w:color="auto"/>
            <w:left w:val="none" w:sz="0" w:space="0" w:color="auto"/>
            <w:bottom w:val="none" w:sz="0" w:space="0" w:color="auto"/>
            <w:right w:val="none" w:sz="0" w:space="0" w:color="auto"/>
          </w:divBdr>
          <w:divsChild>
            <w:div w:id="19669707">
              <w:marLeft w:val="0"/>
              <w:marRight w:val="0"/>
              <w:marTop w:val="0"/>
              <w:marBottom w:val="0"/>
              <w:divBdr>
                <w:top w:val="none" w:sz="0" w:space="0" w:color="auto"/>
                <w:left w:val="none" w:sz="0" w:space="0" w:color="auto"/>
                <w:bottom w:val="none" w:sz="0" w:space="0" w:color="auto"/>
                <w:right w:val="none" w:sz="0" w:space="0" w:color="auto"/>
              </w:divBdr>
            </w:div>
          </w:divsChild>
        </w:div>
        <w:div w:id="1381247983">
          <w:marLeft w:val="0"/>
          <w:marRight w:val="0"/>
          <w:marTop w:val="0"/>
          <w:marBottom w:val="0"/>
          <w:divBdr>
            <w:top w:val="none" w:sz="0" w:space="0" w:color="auto"/>
            <w:left w:val="none" w:sz="0" w:space="0" w:color="auto"/>
            <w:bottom w:val="none" w:sz="0" w:space="0" w:color="auto"/>
            <w:right w:val="none" w:sz="0" w:space="0" w:color="auto"/>
          </w:divBdr>
          <w:divsChild>
            <w:div w:id="2145195855">
              <w:marLeft w:val="0"/>
              <w:marRight w:val="0"/>
              <w:marTop w:val="0"/>
              <w:marBottom w:val="0"/>
              <w:divBdr>
                <w:top w:val="none" w:sz="0" w:space="0" w:color="auto"/>
                <w:left w:val="none" w:sz="0" w:space="0" w:color="auto"/>
                <w:bottom w:val="none" w:sz="0" w:space="0" w:color="auto"/>
                <w:right w:val="none" w:sz="0" w:space="0" w:color="auto"/>
              </w:divBdr>
            </w:div>
          </w:divsChild>
        </w:div>
        <w:div w:id="1437560922">
          <w:marLeft w:val="0"/>
          <w:marRight w:val="0"/>
          <w:marTop w:val="0"/>
          <w:marBottom w:val="0"/>
          <w:divBdr>
            <w:top w:val="none" w:sz="0" w:space="0" w:color="auto"/>
            <w:left w:val="none" w:sz="0" w:space="0" w:color="auto"/>
            <w:bottom w:val="none" w:sz="0" w:space="0" w:color="auto"/>
            <w:right w:val="none" w:sz="0" w:space="0" w:color="auto"/>
          </w:divBdr>
          <w:divsChild>
            <w:div w:id="644894911">
              <w:marLeft w:val="0"/>
              <w:marRight w:val="0"/>
              <w:marTop w:val="0"/>
              <w:marBottom w:val="0"/>
              <w:divBdr>
                <w:top w:val="none" w:sz="0" w:space="0" w:color="auto"/>
                <w:left w:val="none" w:sz="0" w:space="0" w:color="auto"/>
                <w:bottom w:val="none" w:sz="0" w:space="0" w:color="auto"/>
                <w:right w:val="none" w:sz="0" w:space="0" w:color="auto"/>
              </w:divBdr>
            </w:div>
          </w:divsChild>
        </w:div>
        <w:div w:id="1529223820">
          <w:marLeft w:val="0"/>
          <w:marRight w:val="0"/>
          <w:marTop w:val="0"/>
          <w:marBottom w:val="0"/>
          <w:divBdr>
            <w:top w:val="none" w:sz="0" w:space="0" w:color="auto"/>
            <w:left w:val="none" w:sz="0" w:space="0" w:color="auto"/>
            <w:bottom w:val="none" w:sz="0" w:space="0" w:color="auto"/>
            <w:right w:val="none" w:sz="0" w:space="0" w:color="auto"/>
          </w:divBdr>
          <w:divsChild>
            <w:div w:id="991526162">
              <w:marLeft w:val="0"/>
              <w:marRight w:val="0"/>
              <w:marTop w:val="0"/>
              <w:marBottom w:val="0"/>
              <w:divBdr>
                <w:top w:val="none" w:sz="0" w:space="0" w:color="auto"/>
                <w:left w:val="none" w:sz="0" w:space="0" w:color="auto"/>
                <w:bottom w:val="none" w:sz="0" w:space="0" w:color="auto"/>
                <w:right w:val="none" w:sz="0" w:space="0" w:color="auto"/>
              </w:divBdr>
            </w:div>
          </w:divsChild>
        </w:div>
        <w:div w:id="1534345711">
          <w:marLeft w:val="0"/>
          <w:marRight w:val="0"/>
          <w:marTop w:val="0"/>
          <w:marBottom w:val="0"/>
          <w:divBdr>
            <w:top w:val="none" w:sz="0" w:space="0" w:color="auto"/>
            <w:left w:val="none" w:sz="0" w:space="0" w:color="auto"/>
            <w:bottom w:val="none" w:sz="0" w:space="0" w:color="auto"/>
            <w:right w:val="none" w:sz="0" w:space="0" w:color="auto"/>
          </w:divBdr>
          <w:divsChild>
            <w:div w:id="1985891833">
              <w:marLeft w:val="0"/>
              <w:marRight w:val="0"/>
              <w:marTop w:val="0"/>
              <w:marBottom w:val="0"/>
              <w:divBdr>
                <w:top w:val="none" w:sz="0" w:space="0" w:color="auto"/>
                <w:left w:val="none" w:sz="0" w:space="0" w:color="auto"/>
                <w:bottom w:val="none" w:sz="0" w:space="0" w:color="auto"/>
                <w:right w:val="none" w:sz="0" w:space="0" w:color="auto"/>
              </w:divBdr>
            </w:div>
          </w:divsChild>
        </w:div>
        <w:div w:id="1575166265">
          <w:marLeft w:val="0"/>
          <w:marRight w:val="0"/>
          <w:marTop w:val="0"/>
          <w:marBottom w:val="0"/>
          <w:divBdr>
            <w:top w:val="none" w:sz="0" w:space="0" w:color="auto"/>
            <w:left w:val="none" w:sz="0" w:space="0" w:color="auto"/>
            <w:bottom w:val="none" w:sz="0" w:space="0" w:color="auto"/>
            <w:right w:val="none" w:sz="0" w:space="0" w:color="auto"/>
          </w:divBdr>
          <w:divsChild>
            <w:div w:id="1493831233">
              <w:marLeft w:val="0"/>
              <w:marRight w:val="0"/>
              <w:marTop w:val="0"/>
              <w:marBottom w:val="0"/>
              <w:divBdr>
                <w:top w:val="none" w:sz="0" w:space="0" w:color="auto"/>
                <w:left w:val="none" w:sz="0" w:space="0" w:color="auto"/>
                <w:bottom w:val="none" w:sz="0" w:space="0" w:color="auto"/>
                <w:right w:val="none" w:sz="0" w:space="0" w:color="auto"/>
              </w:divBdr>
            </w:div>
          </w:divsChild>
        </w:div>
        <w:div w:id="1613047877">
          <w:marLeft w:val="0"/>
          <w:marRight w:val="0"/>
          <w:marTop w:val="0"/>
          <w:marBottom w:val="0"/>
          <w:divBdr>
            <w:top w:val="none" w:sz="0" w:space="0" w:color="auto"/>
            <w:left w:val="none" w:sz="0" w:space="0" w:color="auto"/>
            <w:bottom w:val="none" w:sz="0" w:space="0" w:color="auto"/>
            <w:right w:val="none" w:sz="0" w:space="0" w:color="auto"/>
          </w:divBdr>
          <w:divsChild>
            <w:div w:id="1847551793">
              <w:marLeft w:val="0"/>
              <w:marRight w:val="0"/>
              <w:marTop w:val="0"/>
              <w:marBottom w:val="0"/>
              <w:divBdr>
                <w:top w:val="none" w:sz="0" w:space="0" w:color="auto"/>
                <w:left w:val="none" w:sz="0" w:space="0" w:color="auto"/>
                <w:bottom w:val="none" w:sz="0" w:space="0" w:color="auto"/>
                <w:right w:val="none" w:sz="0" w:space="0" w:color="auto"/>
              </w:divBdr>
            </w:div>
          </w:divsChild>
        </w:div>
        <w:div w:id="1689484425">
          <w:marLeft w:val="0"/>
          <w:marRight w:val="0"/>
          <w:marTop w:val="0"/>
          <w:marBottom w:val="0"/>
          <w:divBdr>
            <w:top w:val="none" w:sz="0" w:space="0" w:color="auto"/>
            <w:left w:val="none" w:sz="0" w:space="0" w:color="auto"/>
            <w:bottom w:val="none" w:sz="0" w:space="0" w:color="auto"/>
            <w:right w:val="none" w:sz="0" w:space="0" w:color="auto"/>
          </w:divBdr>
          <w:divsChild>
            <w:div w:id="317000560">
              <w:marLeft w:val="0"/>
              <w:marRight w:val="0"/>
              <w:marTop w:val="0"/>
              <w:marBottom w:val="0"/>
              <w:divBdr>
                <w:top w:val="none" w:sz="0" w:space="0" w:color="auto"/>
                <w:left w:val="none" w:sz="0" w:space="0" w:color="auto"/>
                <w:bottom w:val="none" w:sz="0" w:space="0" w:color="auto"/>
                <w:right w:val="none" w:sz="0" w:space="0" w:color="auto"/>
              </w:divBdr>
            </w:div>
          </w:divsChild>
        </w:div>
        <w:div w:id="1704943074">
          <w:marLeft w:val="0"/>
          <w:marRight w:val="0"/>
          <w:marTop w:val="0"/>
          <w:marBottom w:val="0"/>
          <w:divBdr>
            <w:top w:val="none" w:sz="0" w:space="0" w:color="auto"/>
            <w:left w:val="none" w:sz="0" w:space="0" w:color="auto"/>
            <w:bottom w:val="none" w:sz="0" w:space="0" w:color="auto"/>
            <w:right w:val="none" w:sz="0" w:space="0" w:color="auto"/>
          </w:divBdr>
          <w:divsChild>
            <w:div w:id="915365220">
              <w:marLeft w:val="0"/>
              <w:marRight w:val="0"/>
              <w:marTop w:val="0"/>
              <w:marBottom w:val="0"/>
              <w:divBdr>
                <w:top w:val="none" w:sz="0" w:space="0" w:color="auto"/>
                <w:left w:val="none" w:sz="0" w:space="0" w:color="auto"/>
                <w:bottom w:val="none" w:sz="0" w:space="0" w:color="auto"/>
                <w:right w:val="none" w:sz="0" w:space="0" w:color="auto"/>
              </w:divBdr>
            </w:div>
          </w:divsChild>
        </w:div>
        <w:div w:id="1909340596">
          <w:marLeft w:val="0"/>
          <w:marRight w:val="0"/>
          <w:marTop w:val="0"/>
          <w:marBottom w:val="0"/>
          <w:divBdr>
            <w:top w:val="none" w:sz="0" w:space="0" w:color="auto"/>
            <w:left w:val="none" w:sz="0" w:space="0" w:color="auto"/>
            <w:bottom w:val="none" w:sz="0" w:space="0" w:color="auto"/>
            <w:right w:val="none" w:sz="0" w:space="0" w:color="auto"/>
          </w:divBdr>
          <w:divsChild>
            <w:div w:id="751706017">
              <w:marLeft w:val="0"/>
              <w:marRight w:val="0"/>
              <w:marTop w:val="0"/>
              <w:marBottom w:val="0"/>
              <w:divBdr>
                <w:top w:val="none" w:sz="0" w:space="0" w:color="auto"/>
                <w:left w:val="none" w:sz="0" w:space="0" w:color="auto"/>
                <w:bottom w:val="none" w:sz="0" w:space="0" w:color="auto"/>
                <w:right w:val="none" w:sz="0" w:space="0" w:color="auto"/>
              </w:divBdr>
            </w:div>
          </w:divsChild>
        </w:div>
        <w:div w:id="1920098893">
          <w:marLeft w:val="0"/>
          <w:marRight w:val="0"/>
          <w:marTop w:val="0"/>
          <w:marBottom w:val="0"/>
          <w:divBdr>
            <w:top w:val="none" w:sz="0" w:space="0" w:color="auto"/>
            <w:left w:val="none" w:sz="0" w:space="0" w:color="auto"/>
            <w:bottom w:val="none" w:sz="0" w:space="0" w:color="auto"/>
            <w:right w:val="none" w:sz="0" w:space="0" w:color="auto"/>
          </w:divBdr>
          <w:divsChild>
            <w:div w:id="766343349">
              <w:marLeft w:val="0"/>
              <w:marRight w:val="0"/>
              <w:marTop w:val="0"/>
              <w:marBottom w:val="0"/>
              <w:divBdr>
                <w:top w:val="none" w:sz="0" w:space="0" w:color="auto"/>
                <w:left w:val="none" w:sz="0" w:space="0" w:color="auto"/>
                <w:bottom w:val="none" w:sz="0" w:space="0" w:color="auto"/>
                <w:right w:val="none" w:sz="0" w:space="0" w:color="auto"/>
              </w:divBdr>
            </w:div>
          </w:divsChild>
        </w:div>
        <w:div w:id="1976177259">
          <w:marLeft w:val="0"/>
          <w:marRight w:val="0"/>
          <w:marTop w:val="0"/>
          <w:marBottom w:val="0"/>
          <w:divBdr>
            <w:top w:val="none" w:sz="0" w:space="0" w:color="auto"/>
            <w:left w:val="none" w:sz="0" w:space="0" w:color="auto"/>
            <w:bottom w:val="none" w:sz="0" w:space="0" w:color="auto"/>
            <w:right w:val="none" w:sz="0" w:space="0" w:color="auto"/>
          </w:divBdr>
          <w:divsChild>
            <w:div w:id="2084833153">
              <w:marLeft w:val="0"/>
              <w:marRight w:val="0"/>
              <w:marTop w:val="0"/>
              <w:marBottom w:val="0"/>
              <w:divBdr>
                <w:top w:val="none" w:sz="0" w:space="0" w:color="auto"/>
                <w:left w:val="none" w:sz="0" w:space="0" w:color="auto"/>
                <w:bottom w:val="none" w:sz="0" w:space="0" w:color="auto"/>
                <w:right w:val="none" w:sz="0" w:space="0" w:color="auto"/>
              </w:divBdr>
            </w:div>
          </w:divsChild>
        </w:div>
        <w:div w:id="1997151182">
          <w:marLeft w:val="0"/>
          <w:marRight w:val="0"/>
          <w:marTop w:val="0"/>
          <w:marBottom w:val="0"/>
          <w:divBdr>
            <w:top w:val="none" w:sz="0" w:space="0" w:color="auto"/>
            <w:left w:val="none" w:sz="0" w:space="0" w:color="auto"/>
            <w:bottom w:val="none" w:sz="0" w:space="0" w:color="auto"/>
            <w:right w:val="none" w:sz="0" w:space="0" w:color="auto"/>
          </w:divBdr>
          <w:divsChild>
            <w:div w:id="2082680405">
              <w:marLeft w:val="0"/>
              <w:marRight w:val="0"/>
              <w:marTop w:val="0"/>
              <w:marBottom w:val="0"/>
              <w:divBdr>
                <w:top w:val="none" w:sz="0" w:space="0" w:color="auto"/>
                <w:left w:val="none" w:sz="0" w:space="0" w:color="auto"/>
                <w:bottom w:val="none" w:sz="0" w:space="0" w:color="auto"/>
                <w:right w:val="none" w:sz="0" w:space="0" w:color="auto"/>
              </w:divBdr>
            </w:div>
          </w:divsChild>
        </w:div>
        <w:div w:id="2025159764">
          <w:marLeft w:val="0"/>
          <w:marRight w:val="0"/>
          <w:marTop w:val="0"/>
          <w:marBottom w:val="0"/>
          <w:divBdr>
            <w:top w:val="none" w:sz="0" w:space="0" w:color="auto"/>
            <w:left w:val="none" w:sz="0" w:space="0" w:color="auto"/>
            <w:bottom w:val="none" w:sz="0" w:space="0" w:color="auto"/>
            <w:right w:val="none" w:sz="0" w:space="0" w:color="auto"/>
          </w:divBdr>
          <w:divsChild>
            <w:div w:id="8360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aihw.gov.au/reports/heart-stroke-vascular-diseases/hsvd-facts/contents/all-heart-stroke-and-vascular-disease/coronary-heart-disease" TargetMode="External"/><Relationship Id="rId26" Type="http://schemas.openxmlformats.org/officeDocument/2006/relationships/hyperlink" Target="https://doi.org/10.1016/B978-0-12-385157-4.00171-8" TargetMode="External"/><Relationship Id="rId3" Type="http://schemas.openxmlformats.org/officeDocument/2006/relationships/styles" Target="styles.xml"/><Relationship Id="rId21" Type="http://schemas.openxmlformats.org/officeDocument/2006/relationships/hyperlink" Target="https://doi.org/10.1056/NEJMoa230777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16/B978-0-12-804734-7.00002-6" TargetMode="External"/><Relationship Id="rId25" Type="http://schemas.openxmlformats.org/officeDocument/2006/relationships/hyperlink" Target="https://doi.org/10.1016/j.mpaic.2020.03.006"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4244/EIJ-D-20-00501" TargetMode="External"/><Relationship Id="rId20" Type="http://schemas.openxmlformats.org/officeDocument/2006/relationships/hyperlink" Target="https://www.healthdirect.gov.au/coronary-angiogram" TargetMode="External"/><Relationship Id="rId29" Type="http://schemas.openxmlformats.org/officeDocument/2006/relationships/hyperlink" Target="https://doi.org/10.1016/B978-0-12-812615-8.0000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5420/ecr.2016:32:1" TargetMode="External"/><Relationship Id="rId32" Type="http://schemas.openxmlformats.org/officeDocument/2006/relationships/hyperlink" Target="https://doi.org/10.1016/B978-0-12-386456-7.07602-4" TargetMode="External"/><Relationship Id="rId5" Type="http://schemas.openxmlformats.org/officeDocument/2006/relationships/webSettings" Target="webSettings.xml"/><Relationship Id="rId15" Type="http://schemas.openxmlformats.org/officeDocument/2006/relationships/hyperlink" Target="https://doi.org/10.1056/NEJMoa2305861" TargetMode="External"/><Relationship Id="rId23" Type="http://schemas.openxmlformats.org/officeDocument/2006/relationships/hyperlink" Target="https://doi.org/10.1016/B978-0-323-47870-0.00013-1" TargetMode="External"/><Relationship Id="rId28" Type="http://schemas.openxmlformats.org/officeDocument/2006/relationships/hyperlink" Target="https://doi.org/10.1016/B978-0-12-821451-0.00039-2" TargetMode="External"/><Relationship Id="rId10" Type="http://schemas.openxmlformats.org/officeDocument/2006/relationships/header" Target="header1.xml"/><Relationship Id="rId19" Type="http://schemas.openxmlformats.org/officeDocument/2006/relationships/hyperlink" Target="https://doi.org/10.1016/B978-0-323-42880-4.00014-5" TargetMode="External"/><Relationship Id="rId31" Type="http://schemas.openxmlformats.org/officeDocument/2006/relationships/hyperlink" Target="https://doi.org/10.1016/B978-0-323-42880-4.00006-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B978-0-12-818023-5.00002-9" TargetMode="External"/><Relationship Id="rId22" Type="http://schemas.openxmlformats.org/officeDocument/2006/relationships/hyperlink" Target="https://doi.org/10.1161/CIRCULATIONAHA.123.066429" TargetMode="External"/><Relationship Id="rId27" Type="http://schemas.openxmlformats.org/officeDocument/2006/relationships/hyperlink" Target="https://doi.org/10.1056/NEJMoa2216607" TargetMode="External"/><Relationship Id="rId30" Type="http://schemas.openxmlformats.org/officeDocument/2006/relationships/hyperlink" Target="https://doi.org/10.1093/eurheartj/ehy285"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10134</Words>
  <Characters>57769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1743 PICO Confirmation</dc:title>
  <dc:subject/>
  <dc:creator/>
  <cp:keywords/>
  <dc:description/>
  <cp:lastModifiedBy/>
  <cp:revision>1</cp:revision>
  <dcterms:created xsi:type="dcterms:W3CDTF">2024-02-16T02:02:00Z</dcterms:created>
  <dcterms:modified xsi:type="dcterms:W3CDTF">2024-02-16T02:06:00Z</dcterms:modified>
</cp:coreProperties>
</file>