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10AD2"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471C1BCE" wp14:editId="1C637E9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318FA0D" w14:textId="77777777" w:rsidR="00BC1364" w:rsidRPr="008D5885" w:rsidRDefault="00BC1364" w:rsidP="008D5885"/>
    <w:p w14:paraId="103D7D72" w14:textId="77777777" w:rsidR="00C67DD2" w:rsidRPr="008D5885" w:rsidRDefault="00C67DD2" w:rsidP="008D5885"/>
    <w:p w14:paraId="22024526"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4C238843" w14:textId="77777777" w:rsidR="00BC1364" w:rsidRPr="007B32D1" w:rsidRDefault="00BC1364" w:rsidP="007B32D1"/>
    <w:p w14:paraId="55BAD92A" w14:textId="55C0997A" w:rsidR="00BC1364" w:rsidRPr="00EF14E6" w:rsidRDefault="00BC1364" w:rsidP="00EF14E6">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0661A0">
        <w:rPr>
          <w:rFonts w:ascii="Arial" w:hAnsi="Arial" w:cs="Arial"/>
          <w:b/>
          <w:bCs/>
          <w:i/>
          <w:color w:val="000080"/>
          <w:sz w:val="28"/>
          <w:szCs w:val="28"/>
        </w:rPr>
        <w:t>13</w:t>
      </w:r>
      <w:r w:rsidR="00554C8D">
        <w:rPr>
          <w:rFonts w:ascii="Arial" w:hAnsi="Arial" w:cs="Arial"/>
          <w:b/>
          <w:bCs/>
          <w:i/>
          <w:color w:val="000080"/>
          <w:sz w:val="28"/>
          <w:szCs w:val="28"/>
        </w:rPr>
        <w:t>8</w:t>
      </w:r>
      <w:r w:rsidR="005A3D47">
        <w:rPr>
          <w:rFonts w:ascii="Arial" w:hAnsi="Arial" w:cs="Arial"/>
          <w:b/>
          <w:bCs/>
          <w:i/>
          <w:color w:val="000080"/>
          <w:sz w:val="28"/>
          <w:szCs w:val="28"/>
        </w:rPr>
        <w:t>0</w:t>
      </w:r>
      <w:r w:rsidRPr="007B32D1">
        <w:rPr>
          <w:rFonts w:ascii="Arial" w:hAnsi="Arial" w:cs="Arial"/>
          <w:b/>
          <w:bCs/>
          <w:i/>
          <w:color w:val="000080"/>
          <w:sz w:val="28"/>
          <w:szCs w:val="28"/>
        </w:rPr>
        <w:t xml:space="preserve"> – </w:t>
      </w:r>
      <w:r w:rsidR="005A3D47" w:rsidRPr="005A3D47">
        <w:rPr>
          <w:rFonts w:ascii="Arial" w:hAnsi="Arial" w:cs="Arial"/>
          <w:b/>
          <w:bCs/>
          <w:i/>
          <w:color w:val="000080"/>
          <w:sz w:val="28"/>
          <w:szCs w:val="28"/>
        </w:rPr>
        <w:t>BRCA mutation testing to determine eligibility for olaparib mainte</w:t>
      </w:r>
      <w:r w:rsidR="002E7B1B">
        <w:rPr>
          <w:rFonts w:ascii="Arial" w:hAnsi="Arial" w:cs="Arial"/>
          <w:b/>
          <w:bCs/>
          <w:i/>
          <w:color w:val="000080"/>
          <w:sz w:val="28"/>
          <w:szCs w:val="28"/>
        </w:rPr>
        <w:t>nance therapy in patients with </w:t>
      </w:r>
      <w:r w:rsidR="005A3D47" w:rsidRPr="005A3D47">
        <w:rPr>
          <w:rFonts w:ascii="Arial" w:hAnsi="Arial" w:cs="Arial"/>
          <w:b/>
          <w:bCs/>
          <w:i/>
          <w:color w:val="000080"/>
          <w:sz w:val="28"/>
          <w:szCs w:val="28"/>
        </w:rPr>
        <w:t>platinum-sensitive relapsed ovarian cancer</w:t>
      </w:r>
    </w:p>
    <w:p w14:paraId="7C29FBAB" w14:textId="77777777" w:rsidR="00BC1364" w:rsidRPr="00707064" w:rsidRDefault="00BC1364" w:rsidP="00065623">
      <w:pPr>
        <w:tabs>
          <w:tab w:val="left" w:pos="3600"/>
        </w:tabs>
        <w:ind w:left="3600" w:hanging="3600"/>
        <w:rPr>
          <w:szCs w:val="24"/>
        </w:rPr>
      </w:pPr>
    </w:p>
    <w:p w14:paraId="71A8C009" w14:textId="77777777" w:rsidR="00BC1364" w:rsidRPr="00D90A38" w:rsidRDefault="00B35595" w:rsidP="00554C8D">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5A3D47" w:rsidRPr="005A3D47">
        <w:rPr>
          <w:rFonts w:ascii="Arial" w:hAnsi="Arial" w:cs="Arial"/>
          <w:b/>
          <w:szCs w:val="24"/>
        </w:rPr>
        <w:t>AstraZeneca Pty Ltd</w:t>
      </w:r>
    </w:p>
    <w:p w14:paraId="71DC0F47" w14:textId="77777777" w:rsidR="00BC1364" w:rsidRPr="00D90A38" w:rsidRDefault="00BC1364" w:rsidP="00065623">
      <w:pPr>
        <w:tabs>
          <w:tab w:val="left" w:pos="2265"/>
          <w:tab w:val="left" w:pos="3420"/>
          <w:tab w:val="left" w:pos="4320"/>
        </w:tabs>
        <w:rPr>
          <w:rFonts w:ascii="Arial" w:hAnsi="Arial" w:cs="Arial"/>
          <w:b/>
        </w:rPr>
      </w:pPr>
    </w:p>
    <w:p w14:paraId="22431A4B" w14:textId="0A880B82" w:rsidR="00BC1364" w:rsidRPr="00D90A38" w:rsidRDefault="00BC1364" w:rsidP="00EF14E6">
      <w:pPr>
        <w:ind w:left="3600" w:hanging="360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EF14E6">
        <w:rPr>
          <w:rFonts w:ascii="Arial" w:hAnsi="Arial" w:cs="Arial"/>
          <w:b/>
          <w:szCs w:val="24"/>
        </w:rPr>
        <w:t>MSAC 68</w:t>
      </w:r>
      <w:r w:rsidR="00EF14E6" w:rsidRPr="00EF14E6">
        <w:rPr>
          <w:rFonts w:ascii="Arial" w:hAnsi="Arial" w:cs="Arial"/>
          <w:b/>
          <w:szCs w:val="24"/>
          <w:vertAlign w:val="superscript"/>
        </w:rPr>
        <w:t>th</w:t>
      </w:r>
      <w:r w:rsidR="00EF14E6">
        <w:rPr>
          <w:rFonts w:ascii="Arial" w:hAnsi="Arial" w:cs="Arial"/>
          <w:b/>
          <w:szCs w:val="24"/>
        </w:rPr>
        <w:t xml:space="preserve"> Meeting, 24-25 November 2016 </w:t>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2E7B1B">
        <w:rPr>
          <w:rFonts w:ascii="Arial" w:hAnsi="Arial" w:cs="Arial"/>
          <w:b/>
          <w:szCs w:val="24"/>
        </w:rPr>
        <w:t>30-</w:t>
      </w:r>
      <w:r w:rsidR="000661A0">
        <w:rPr>
          <w:rFonts w:ascii="Arial" w:hAnsi="Arial" w:cs="Arial"/>
          <w:b/>
          <w:szCs w:val="24"/>
        </w:rPr>
        <w:t>31 March 2016</w:t>
      </w:r>
    </w:p>
    <w:p w14:paraId="035480B2" w14:textId="77777777" w:rsidR="00BC1364" w:rsidRDefault="00BC1364" w:rsidP="00065623">
      <w:pPr>
        <w:rPr>
          <w:szCs w:val="24"/>
        </w:rPr>
      </w:pPr>
    </w:p>
    <w:p w14:paraId="5BD9F126" w14:textId="47323FCA" w:rsidR="0041758C" w:rsidRDefault="006A0D97" w:rsidP="00065623">
      <w:pPr>
        <w:rPr>
          <w:szCs w:val="24"/>
        </w:rPr>
      </w:pPr>
      <w:r>
        <w:rPr>
          <w:szCs w:val="24"/>
        </w:rPr>
        <w:t xml:space="preserve">Context for decision: MSAC makes its advice in accordance with its Terms of Reference, see at </w:t>
      </w:r>
      <w:hyperlink r:id="rId10" w:tooltip="Medical Services Advisory Committee website link" w:history="1">
        <w:r w:rsidRPr="000A74FE">
          <w:rPr>
            <w:rStyle w:val="Hyperlink"/>
            <w:szCs w:val="24"/>
          </w:rPr>
          <w:t>www.msac.gov.au</w:t>
        </w:r>
      </w:hyperlink>
    </w:p>
    <w:p w14:paraId="53051965" w14:textId="77777777" w:rsidR="0041758C" w:rsidRDefault="0041758C" w:rsidP="00065623">
      <w:pPr>
        <w:rPr>
          <w:szCs w:val="24"/>
        </w:rPr>
      </w:pPr>
    </w:p>
    <w:p w14:paraId="05AC1954" w14:textId="77777777" w:rsidR="00F41812" w:rsidRDefault="00F41812" w:rsidP="00065623">
      <w:pPr>
        <w:rPr>
          <w:szCs w:val="24"/>
        </w:rPr>
      </w:pPr>
    </w:p>
    <w:p w14:paraId="365452A1"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5BF2BD48" w14:textId="77777777" w:rsidR="003D7F29" w:rsidRPr="00385B4F" w:rsidRDefault="003D7F29" w:rsidP="00385B4F">
      <w:pPr>
        <w:tabs>
          <w:tab w:val="left" w:pos="720"/>
          <w:tab w:val="left" w:pos="1140"/>
        </w:tabs>
        <w:rPr>
          <w:bCs/>
          <w:szCs w:val="24"/>
        </w:rPr>
      </w:pPr>
    </w:p>
    <w:p w14:paraId="0A546859" w14:textId="3D835A25" w:rsidR="00C204FB" w:rsidRDefault="003D7F29" w:rsidP="004F340F">
      <w:pPr>
        <w:rPr>
          <w:szCs w:val="24"/>
        </w:rPr>
      </w:pPr>
      <w:r w:rsidRPr="004F340F">
        <w:rPr>
          <w:szCs w:val="24"/>
        </w:rPr>
        <w:t xml:space="preserve">The </w:t>
      </w:r>
      <w:r w:rsidR="003E5F2A">
        <w:rPr>
          <w:szCs w:val="24"/>
        </w:rPr>
        <w:t xml:space="preserve">integrated </w:t>
      </w:r>
      <w:r w:rsidR="00C204FB">
        <w:rPr>
          <w:szCs w:val="24"/>
        </w:rPr>
        <w:t xml:space="preserve">co-dependent </w:t>
      </w:r>
      <w:r w:rsidRPr="004F340F">
        <w:rPr>
          <w:szCs w:val="24"/>
        </w:rPr>
        <w:t xml:space="preserve">application </w:t>
      </w:r>
      <w:r w:rsidR="004F340F" w:rsidRPr="004F340F">
        <w:rPr>
          <w:szCs w:val="24"/>
        </w:rPr>
        <w:t>requested</w:t>
      </w:r>
      <w:r w:rsidR="00C204FB">
        <w:rPr>
          <w:szCs w:val="24"/>
        </w:rPr>
        <w:t>:</w:t>
      </w:r>
    </w:p>
    <w:p w14:paraId="6333D51A" w14:textId="21413D3D" w:rsidR="003D7F29" w:rsidRPr="002E7B1B" w:rsidRDefault="004F340F" w:rsidP="002E7B1B">
      <w:pPr>
        <w:pStyle w:val="ListParagraph"/>
        <w:numPr>
          <w:ilvl w:val="0"/>
          <w:numId w:val="25"/>
        </w:numPr>
        <w:rPr>
          <w:szCs w:val="24"/>
        </w:rPr>
      </w:pPr>
      <w:r w:rsidRPr="002E7B1B">
        <w:rPr>
          <w:szCs w:val="24"/>
        </w:rPr>
        <w:t xml:space="preserve">Medicare Benefits Schedule (MBS) listing </w:t>
      </w:r>
      <w:r w:rsidR="002E7B1B" w:rsidRPr="002E7B1B">
        <w:rPr>
          <w:szCs w:val="24"/>
        </w:rPr>
        <w:t xml:space="preserve">for </w:t>
      </w:r>
      <w:r w:rsidR="002E7B1B" w:rsidRPr="00F74F1C">
        <w:rPr>
          <w:i/>
          <w:szCs w:val="24"/>
        </w:rPr>
        <w:t>BRCA</w:t>
      </w:r>
      <w:r w:rsidR="00F74F1C">
        <w:rPr>
          <w:szCs w:val="24"/>
        </w:rPr>
        <w:t xml:space="preserve"> </w:t>
      </w:r>
      <w:r w:rsidR="002E7B1B" w:rsidRPr="002E7B1B">
        <w:rPr>
          <w:szCs w:val="24"/>
        </w:rPr>
        <w:t>m</w:t>
      </w:r>
      <w:r w:rsidR="00F74F1C">
        <w:rPr>
          <w:szCs w:val="24"/>
        </w:rPr>
        <w:t>utation (</w:t>
      </w:r>
      <w:r w:rsidR="00F74F1C" w:rsidRPr="00F74F1C">
        <w:rPr>
          <w:i/>
          <w:szCs w:val="24"/>
        </w:rPr>
        <w:t>BRCA</w:t>
      </w:r>
      <w:r w:rsidR="00F74F1C">
        <w:rPr>
          <w:szCs w:val="24"/>
        </w:rPr>
        <w:t>m)</w:t>
      </w:r>
      <w:r w:rsidR="002E7B1B" w:rsidRPr="002E7B1B">
        <w:rPr>
          <w:szCs w:val="24"/>
        </w:rPr>
        <w:t xml:space="preserve"> testing as a co-dependent medical service that is performed to inform the eligibility for maintenance treatment with olaparib in women with </w:t>
      </w:r>
      <w:r w:rsidR="002E7B1B" w:rsidRPr="00F74F1C">
        <w:rPr>
          <w:i/>
          <w:szCs w:val="24"/>
        </w:rPr>
        <w:t>BRCA</w:t>
      </w:r>
      <w:r w:rsidR="002E7B1B" w:rsidRPr="002E7B1B">
        <w:rPr>
          <w:szCs w:val="24"/>
        </w:rPr>
        <w:t xml:space="preserve">m platinum-sensitive relapsed </w:t>
      </w:r>
      <w:r w:rsidR="00472C54" w:rsidRPr="00190AC1">
        <w:rPr>
          <w:szCs w:val="24"/>
        </w:rPr>
        <w:t xml:space="preserve">high grade serous </w:t>
      </w:r>
      <w:r w:rsidR="002E7B1B" w:rsidRPr="002E7B1B">
        <w:rPr>
          <w:szCs w:val="24"/>
        </w:rPr>
        <w:t xml:space="preserve">ovarian or fallopian tube or primary peritoneal cancer (hereafter named platinum-sensitive relapsed ovarian cancer). </w:t>
      </w:r>
      <w:r w:rsidR="00CE6A4A">
        <w:rPr>
          <w:szCs w:val="24"/>
        </w:rPr>
        <w:t>The applicant initially requested testing for both germline and tumour tissue, however tumour testing was removed following the recommen</w:t>
      </w:r>
      <w:r w:rsidR="003D41C3">
        <w:rPr>
          <w:szCs w:val="24"/>
        </w:rPr>
        <w:t>dation of MSAC</w:t>
      </w:r>
      <w:r w:rsidR="00CE6A4A">
        <w:rPr>
          <w:szCs w:val="24"/>
        </w:rPr>
        <w:t xml:space="preserve"> that testing should be for germline mutations only.  </w:t>
      </w:r>
      <w:r w:rsidR="002E7B1B" w:rsidRPr="002E7B1B">
        <w:rPr>
          <w:szCs w:val="24"/>
        </w:rPr>
        <w:t>Patients are only eligible for treatment with olaparib</w:t>
      </w:r>
      <w:r w:rsidR="002E7B1B">
        <w:rPr>
          <w:szCs w:val="24"/>
        </w:rPr>
        <w:t xml:space="preserve"> if they have a confirmed </w:t>
      </w:r>
      <w:r w:rsidR="002E7B1B" w:rsidRPr="00F74F1C">
        <w:rPr>
          <w:i/>
          <w:szCs w:val="24"/>
        </w:rPr>
        <w:t>BRCA</w:t>
      </w:r>
      <w:r w:rsidR="002E7B1B">
        <w:rPr>
          <w:szCs w:val="24"/>
        </w:rPr>
        <w:t>m</w:t>
      </w:r>
      <w:r w:rsidR="00C204FB" w:rsidRPr="002E7B1B">
        <w:rPr>
          <w:szCs w:val="24"/>
        </w:rPr>
        <w:t>; and</w:t>
      </w:r>
    </w:p>
    <w:p w14:paraId="2411E5EF" w14:textId="73578D22" w:rsidR="003D7F29" w:rsidRPr="00020C01" w:rsidRDefault="00C204FB" w:rsidP="00020C01">
      <w:pPr>
        <w:pStyle w:val="ListParagraph"/>
        <w:numPr>
          <w:ilvl w:val="0"/>
          <w:numId w:val="25"/>
        </w:numPr>
        <w:spacing w:after="240"/>
        <w:rPr>
          <w:szCs w:val="24"/>
        </w:rPr>
      </w:pPr>
      <w:r>
        <w:rPr>
          <w:szCs w:val="24"/>
        </w:rPr>
        <w:t xml:space="preserve">Pharmaceutical Benefits Scheme (PBS) </w:t>
      </w:r>
      <w:r w:rsidR="004240E2">
        <w:rPr>
          <w:szCs w:val="24"/>
        </w:rPr>
        <w:t>Authority r</w:t>
      </w:r>
      <w:r w:rsidRPr="00C204FB">
        <w:rPr>
          <w:szCs w:val="24"/>
        </w:rPr>
        <w:t>equired listing</w:t>
      </w:r>
      <w:r w:rsidR="002E7B1B">
        <w:rPr>
          <w:szCs w:val="24"/>
        </w:rPr>
        <w:t xml:space="preserve"> of olaparib</w:t>
      </w:r>
      <w:r w:rsidRPr="00C204FB">
        <w:rPr>
          <w:szCs w:val="24"/>
        </w:rPr>
        <w:t xml:space="preserve"> </w:t>
      </w:r>
      <w:r w:rsidR="002E7B1B">
        <w:t xml:space="preserve">for the </w:t>
      </w:r>
      <w:r w:rsidR="002E7B1B" w:rsidRPr="00D10056">
        <w:t xml:space="preserve">maintenance treatment of </w:t>
      </w:r>
      <w:r w:rsidR="002E7B1B">
        <w:t>women</w:t>
      </w:r>
      <w:r w:rsidR="002E7B1B" w:rsidRPr="00D10056">
        <w:t xml:space="preserve"> with </w:t>
      </w:r>
      <w:r w:rsidR="002E7B1B" w:rsidRPr="00F74F1C">
        <w:rPr>
          <w:i/>
        </w:rPr>
        <w:t>BRCA</w:t>
      </w:r>
      <w:r w:rsidR="002E7B1B" w:rsidRPr="009C2683">
        <w:t>m platinum-sensitive relapsed ovarian cancer</w:t>
      </w:r>
      <w:r w:rsidR="002E7B1B" w:rsidRPr="00D10056">
        <w:t>, who are in response</w:t>
      </w:r>
      <w:r w:rsidR="002E7B1B">
        <w:t xml:space="preserve"> (complete or partial)</w:t>
      </w:r>
      <w:r w:rsidR="002E7B1B" w:rsidRPr="00D10056">
        <w:t xml:space="preserve"> to their most recent plat</w:t>
      </w:r>
      <w:r w:rsidR="002E7B1B">
        <w:t>inum-based chemotherapy regimen (e.g. carboplatin or cisplatin)</w:t>
      </w:r>
      <w:r w:rsidRPr="00C204FB">
        <w:rPr>
          <w:szCs w:val="24"/>
        </w:rPr>
        <w:t>.</w:t>
      </w:r>
    </w:p>
    <w:p w14:paraId="12799C21" w14:textId="4B71E486" w:rsidR="00E977EE" w:rsidRPr="00D43437" w:rsidRDefault="00E977EE" w:rsidP="00D43437">
      <w:pPr>
        <w:pStyle w:val="Heading1"/>
        <w:numPr>
          <w:ilvl w:val="0"/>
          <w:numId w:val="23"/>
        </w:numPr>
        <w:spacing w:after="240"/>
        <w:ind w:hanging="720"/>
      </w:pPr>
      <w:r w:rsidRPr="008D5885">
        <w:t>MSAC’s advice to the Minister</w:t>
      </w:r>
      <w:r w:rsidR="00EF14E6">
        <w:t xml:space="preserve"> – November 2016 consideration</w:t>
      </w:r>
    </w:p>
    <w:p w14:paraId="117DD7B8" w14:textId="5993476A" w:rsidR="00EF14E6" w:rsidRPr="00374D5F" w:rsidRDefault="00EF14E6" w:rsidP="00D43437">
      <w:pPr>
        <w:spacing w:after="240"/>
        <w:rPr>
          <w:rFonts w:cs="Arial"/>
        </w:rPr>
      </w:pPr>
      <w:r>
        <w:rPr>
          <w:rFonts w:cs="Arial"/>
        </w:rPr>
        <w:t>Following advice from the P</w:t>
      </w:r>
      <w:r w:rsidR="00483A02">
        <w:rPr>
          <w:rFonts w:cs="Arial"/>
        </w:rPr>
        <w:t xml:space="preserve">harmaceutical </w:t>
      </w:r>
      <w:r>
        <w:rPr>
          <w:rFonts w:cs="Arial"/>
        </w:rPr>
        <w:t>B</w:t>
      </w:r>
      <w:r w:rsidR="00483A02">
        <w:rPr>
          <w:rFonts w:cs="Arial"/>
        </w:rPr>
        <w:t xml:space="preserve">enefits </w:t>
      </w:r>
      <w:r>
        <w:rPr>
          <w:rFonts w:cs="Arial"/>
        </w:rPr>
        <w:t>A</w:t>
      </w:r>
      <w:r w:rsidR="00483A02">
        <w:rPr>
          <w:rFonts w:cs="Arial"/>
        </w:rPr>
        <w:t xml:space="preserve">dvisory </w:t>
      </w:r>
      <w:r>
        <w:rPr>
          <w:rFonts w:cs="Arial"/>
        </w:rPr>
        <w:t>C</w:t>
      </w:r>
      <w:r w:rsidR="00483A02">
        <w:rPr>
          <w:rFonts w:cs="Arial"/>
        </w:rPr>
        <w:t>ommittee (PBAC)</w:t>
      </w:r>
      <w:r>
        <w:rPr>
          <w:rFonts w:cs="Arial"/>
        </w:rPr>
        <w:t xml:space="preserve"> that it had recommended to the Minister that olaparib be listed in the PBS</w:t>
      </w:r>
      <w:r w:rsidRPr="00374D5F">
        <w:rPr>
          <w:rFonts w:cs="Arial"/>
        </w:rPr>
        <w:t>, MSAC supported the MBS funding of</w:t>
      </w:r>
      <w:r>
        <w:rPr>
          <w:rFonts w:cs="Arial"/>
        </w:rPr>
        <w:t xml:space="preserve"> germline</w:t>
      </w:r>
      <w:r w:rsidRPr="00374D5F">
        <w:rPr>
          <w:rFonts w:cs="Arial"/>
        </w:rPr>
        <w:t xml:space="preserve"> </w:t>
      </w:r>
      <w:r w:rsidRPr="00374D5F">
        <w:rPr>
          <w:rFonts w:cs="Arial"/>
          <w:i/>
        </w:rPr>
        <w:t>BRCA</w:t>
      </w:r>
      <w:r w:rsidRPr="00374D5F">
        <w:rPr>
          <w:rFonts w:cs="Arial"/>
        </w:rPr>
        <w:t xml:space="preserve"> mutation testing to determine eligibility for PBS-subsidised olaparib maintenance therapy in patients with platinum-sen</w:t>
      </w:r>
      <w:r w:rsidR="00D43437">
        <w:rPr>
          <w:rFonts w:cs="Arial"/>
        </w:rPr>
        <w:t>sitive relapsed ovarian cancer.</w:t>
      </w:r>
    </w:p>
    <w:p w14:paraId="037E6C3C" w14:textId="7330499F" w:rsidR="00EF14E6" w:rsidRPr="00987193" w:rsidRDefault="00EF14E6" w:rsidP="00EF14E6">
      <w:pPr>
        <w:rPr>
          <w:rFonts w:cs="Arial"/>
        </w:rPr>
      </w:pPr>
      <w:r w:rsidRPr="00374D5F">
        <w:rPr>
          <w:rFonts w:cs="Arial"/>
        </w:rPr>
        <w:t>MSAC advised the test should only be performed once per lifetime for this purpose.</w:t>
      </w:r>
    </w:p>
    <w:p w14:paraId="5257E708" w14:textId="77777777" w:rsidR="00C52440" w:rsidRDefault="00C52440">
      <w:pPr>
        <w:rPr>
          <w:rFonts w:ascii="Arial" w:hAnsi="Arial"/>
          <w:b/>
          <w:bCs/>
          <w:szCs w:val="28"/>
        </w:rPr>
      </w:pPr>
      <w:r>
        <w:rPr>
          <w:rFonts w:ascii="Arial" w:hAnsi="Arial"/>
          <w:b/>
          <w:bCs/>
          <w:szCs w:val="28"/>
        </w:rPr>
        <w:br w:type="page"/>
      </w:r>
    </w:p>
    <w:p w14:paraId="53AD578C" w14:textId="4B3AE85E" w:rsidR="00EF14E6" w:rsidRPr="00D43437" w:rsidRDefault="00EF14E6" w:rsidP="00D43437">
      <w:pPr>
        <w:spacing w:after="240"/>
        <w:rPr>
          <w:rFonts w:ascii="Arial" w:hAnsi="Arial"/>
          <w:b/>
          <w:bCs/>
          <w:szCs w:val="28"/>
        </w:rPr>
      </w:pPr>
      <w:r w:rsidRPr="00EF14E6">
        <w:rPr>
          <w:rFonts w:ascii="Arial" w:hAnsi="Arial"/>
          <w:b/>
          <w:bCs/>
          <w:szCs w:val="28"/>
        </w:rPr>
        <w:lastRenderedPageBreak/>
        <w:t>Summary of consideration and rationale of MSAC’s advice</w:t>
      </w:r>
      <w:r>
        <w:rPr>
          <w:rFonts w:ascii="Arial" w:hAnsi="Arial"/>
          <w:b/>
          <w:bCs/>
          <w:szCs w:val="28"/>
        </w:rPr>
        <w:t xml:space="preserve"> </w:t>
      </w:r>
      <w:r w:rsidR="00B83D04">
        <w:rPr>
          <w:rFonts w:ascii="Arial" w:hAnsi="Arial"/>
          <w:b/>
          <w:bCs/>
          <w:szCs w:val="28"/>
        </w:rPr>
        <w:t>- November 2016 consideration</w:t>
      </w:r>
    </w:p>
    <w:p w14:paraId="3C0478D7" w14:textId="3527DFC7" w:rsidR="00EF14E6" w:rsidRDefault="00EF14E6" w:rsidP="00D43437">
      <w:pPr>
        <w:spacing w:after="240"/>
        <w:rPr>
          <w:rFonts w:cs="Arial"/>
        </w:rPr>
      </w:pPr>
      <w:r>
        <w:rPr>
          <w:rFonts w:cs="Arial"/>
        </w:rPr>
        <w:t xml:space="preserve">MSAC had previously deferred a decision to list </w:t>
      </w:r>
      <w:r w:rsidRPr="00641E15">
        <w:rPr>
          <w:rFonts w:cs="Arial"/>
          <w:i/>
        </w:rPr>
        <w:t>BRCA</w:t>
      </w:r>
      <w:r>
        <w:rPr>
          <w:rFonts w:cs="Arial"/>
        </w:rPr>
        <w:t xml:space="preserve"> mutation testing </w:t>
      </w:r>
      <w:r w:rsidRPr="00915804">
        <w:rPr>
          <w:rFonts w:cs="Arial"/>
        </w:rPr>
        <w:t xml:space="preserve">on the MBS </w:t>
      </w:r>
      <w:r>
        <w:rPr>
          <w:rFonts w:cs="Arial"/>
        </w:rPr>
        <w:t xml:space="preserve">at its March 2016 meeting. </w:t>
      </w:r>
      <w:r w:rsidRPr="00641E15">
        <w:rPr>
          <w:rFonts w:cs="Arial"/>
          <w:i/>
        </w:rPr>
        <w:t>BRCA</w:t>
      </w:r>
      <w:r>
        <w:rPr>
          <w:rFonts w:cs="Arial"/>
        </w:rPr>
        <w:t xml:space="preserve"> mutation testing identifies a subgroup of patients who will obtain the most benefit from the medicine, olaparib, for the treatment of platinum-sensitive relapsed high grade serous ovarian, fallopian and primary peritoneal cancer. At its March 2016 meeting, MSAC noted that t</w:t>
      </w:r>
      <w:r w:rsidRPr="00BE090C">
        <w:rPr>
          <w:rFonts w:cs="Arial"/>
        </w:rPr>
        <w:t xml:space="preserve">he </w:t>
      </w:r>
      <w:r>
        <w:rPr>
          <w:rFonts w:cs="Arial"/>
        </w:rPr>
        <w:t xml:space="preserve">March 2016 </w:t>
      </w:r>
      <w:r w:rsidRPr="00BE090C">
        <w:rPr>
          <w:rFonts w:cs="Arial"/>
        </w:rPr>
        <w:t xml:space="preserve">PBAC </w:t>
      </w:r>
      <w:r>
        <w:rPr>
          <w:rFonts w:cs="Arial"/>
        </w:rPr>
        <w:t xml:space="preserve">meeting had </w:t>
      </w:r>
      <w:r w:rsidRPr="00BE090C">
        <w:rPr>
          <w:rFonts w:cs="Arial"/>
        </w:rPr>
        <w:t xml:space="preserve">deferred its decision </w:t>
      </w:r>
      <w:r>
        <w:rPr>
          <w:rFonts w:cs="Arial"/>
        </w:rPr>
        <w:t xml:space="preserve">on whether </w:t>
      </w:r>
      <w:r w:rsidRPr="00BE090C">
        <w:rPr>
          <w:rFonts w:cs="Arial"/>
        </w:rPr>
        <w:t>olaparib</w:t>
      </w:r>
      <w:r>
        <w:rPr>
          <w:rFonts w:cs="Arial"/>
        </w:rPr>
        <w:t xml:space="preserve"> would </w:t>
      </w:r>
      <w:r w:rsidRPr="00BE090C">
        <w:rPr>
          <w:rFonts w:cs="Arial"/>
        </w:rPr>
        <w:t xml:space="preserve">be listed </w:t>
      </w:r>
      <w:r>
        <w:rPr>
          <w:rFonts w:cs="Arial"/>
        </w:rPr>
        <w:t>i</w:t>
      </w:r>
      <w:r w:rsidRPr="00BE090C">
        <w:rPr>
          <w:rFonts w:cs="Arial"/>
        </w:rPr>
        <w:t>n the PBS</w:t>
      </w:r>
      <w:r>
        <w:rPr>
          <w:rFonts w:cs="Arial"/>
        </w:rPr>
        <w:t xml:space="preserve">. However, MSAC foreshadowed that, if the PBAC subsequently recommended olaparib for listing in the PBS, it would </w:t>
      </w:r>
      <w:r w:rsidRPr="00C404A7">
        <w:rPr>
          <w:rFonts w:cs="Arial"/>
        </w:rPr>
        <w:t>support the</w:t>
      </w:r>
      <w:r>
        <w:rPr>
          <w:rFonts w:cs="Arial"/>
        </w:rPr>
        <w:t xml:space="preserve"> MBS funding of germline </w:t>
      </w:r>
      <w:r w:rsidRPr="00641E15">
        <w:rPr>
          <w:rFonts w:cs="Arial"/>
          <w:i/>
        </w:rPr>
        <w:t>BRCA</w:t>
      </w:r>
      <w:r>
        <w:rPr>
          <w:rFonts w:cs="Arial"/>
          <w:i/>
        </w:rPr>
        <w:t xml:space="preserve"> </w:t>
      </w:r>
      <w:r w:rsidRPr="00641E15">
        <w:rPr>
          <w:rFonts w:cs="Arial"/>
        </w:rPr>
        <w:t>mutation</w:t>
      </w:r>
      <w:r>
        <w:rPr>
          <w:rFonts w:cs="Arial"/>
        </w:rPr>
        <w:t xml:space="preserve"> testing to determine eligibility for olaparib treatment</w:t>
      </w:r>
      <w:r w:rsidRPr="00606CE6">
        <w:rPr>
          <w:rFonts w:cs="Arial"/>
        </w:rPr>
        <w:t xml:space="preserve"> </w:t>
      </w:r>
      <w:r>
        <w:rPr>
          <w:rFonts w:cs="Arial"/>
        </w:rPr>
        <w:t xml:space="preserve">for women </w:t>
      </w:r>
      <w:r w:rsidRPr="00606CE6">
        <w:rPr>
          <w:rFonts w:cs="Arial"/>
        </w:rPr>
        <w:t>with platinum-sensitive relapsed ovarian cancer.</w:t>
      </w:r>
    </w:p>
    <w:p w14:paraId="129CA7ED" w14:textId="6C4AAF8D" w:rsidR="00EF14E6" w:rsidRDefault="008C29F2" w:rsidP="00D43437">
      <w:pPr>
        <w:spacing w:after="240"/>
        <w:rPr>
          <w:rFonts w:cs="Arial"/>
        </w:rPr>
      </w:pPr>
      <w:r>
        <w:rPr>
          <w:rFonts w:cs="Arial"/>
        </w:rPr>
        <w:t>The applicant acknowledged</w:t>
      </w:r>
      <w:r w:rsidR="002F2A9D">
        <w:rPr>
          <w:rFonts w:cs="Arial"/>
        </w:rPr>
        <w:t xml:space="preserve"> MSAC</w:t>
      </w:r>
      <w:r w:rsidR="00720CED">
        <w:rPr>
          <w:rFonts w:cs="Arial"/>
        </w:rPr>
        <w:t>’</w:t>
      </w:r>
      <w:r w:rsidR="002F2A9D">
        <w:rPr>
          <w:rFonts w:cs="Arial"/>
        </w:rPr>
        <w:t xml:space="preserve">s recommendation to </w:t>
      </w:r>
      <w:r w:rsidR="002F2A9D" w:rsidRPr="002F2A9D">
        <w:rPr>
          <w:rFonts w:cs="Arial"/>
        </w:rPr>
        <w:t xml:space="preserve">limit the test for detection of a germline </w:t>
      </w:r>
      <w:r w:rsidR="002F2A9D" w:rsidRPr="002F2A9D">
        <w:rPr>
          <w:rFonts w:cs="Arial"/>
          <w:i/>
        </w:rPr>
        <w:t>BRCA</w:t>
      </w:r>
      <w:r w:rsidR="002F2A9D" w:rsidRPr="002F2A9D">
        <w:rPr>
          <w:rFonts w:cs="Arial"/>
        </w:rPr>
        <w:t xml:space="preserve"> mutation</w:t>
      </w:r>
      <w:r w:rsidR="002938CB">
        <w:rPr>
          <w:rFonts w:cs="Arial"/>
        </w:rPr>
        <w:t xml:space="preserve"> </w:t>
      </w:r>
      <w:r w:rsidR="002938CB" w:rsidRPr="002938CB">
        <w:rPr>
          <w:rFonts w:cs="Arial"/>
        </w:rPr>
        <w:t>in selected women with relapsed ovarian cancer with continued sensitivity to platinum-based chemotherapy</w:t>
      </w:r>
      <w:r w:rsidR="002938CB">
        <w:rPr>
          <w:rFonts w:cs="Arial"/>
        </w:rPr>
        <w:t xml:space="preserve">, </w:t>
      </w:r>
      <w:r>
        <w:rPr>
          <w:rFonts w:cs="Arial"/>
        </w:rPr>
        <w:t xml:space="preserve">and </w:t>
      </w:r>
      <w:r w:rsidR="00720CED">
        <w:rPr>
          <w:rFonts w:cs="Arial"/>
        </w:rPr>
        <w:t xml:space="preserve">agreed not to request testing for somatic </w:t>
      </w:r>
      <w:r w:rsidR="00720CED" w:rsidRPr="004002DF">
        <w:rPr>
          <w:rFonts w:cs="Arial"/>
          <w:i/>
        </w:rPr>
        <w:t>BRCA</w:t>
      </w:r>
      <w:r w:rsidR="00720CED">
        <w:rPr>
          <w:rFonts w:cs="Arial"/>
        </w:rPr>
        <w:t xml:space="preserve"> mutations</w:t>
      </w:r>
      <w:r w:rsidR="002938CB">
        <w:rPr>
          <w:szCs w:val="24"/>
        </w:rPr>
        <w:t>.</w:t>
      </w:r>
    </w:p>
    <w:p w14:paraId="5E9CA260" w14:textId="083D9961" w:rsidR="00EF14E6" w:rsidRPr="00D43437" w:rsidRDefault="00EF14E6" w:rsidP="00D43437">
      <w:pPr>
        <w:spacing w:after="240"/>
        <w:rPr>
          <w:rFonts w:cs="Arial"/>
        </w:rPr>
      </w:pPr>
      <w:r>
        <w:rPr>
          <w:rFonts w:cs="Arial"/>
        </w:rPr>
        <w:t xml:space="preserve">Following advice from the PBAC in November 2016 that it had recommended to the Minister that olaparib be listed in the PBS, MSAC confirmed its support for MBS funding of germline </w:t>
      </w:r>
      <w:r w:rsidRPr="00641E15">
        <w:rPr>
          <w:rFonts w:cs="Arial"/>
          <w:i/>
        </w:rPr>
        <w:t>BRCA</w:t>
      </w:r>
      <w:r>
        <w:rPr>
          <w:rFonts w:cs="Arial"/>
        </w:rPr>
        <w:t xml:space="preserve"> mutation testing to determine eligibility for olaparib. MSAC reaffirmed that </w:t>
      </w:r>
      <w:r w:rsidRPr="007B567D">
        <w:rPr>
          <w:rFonts w:cs="Arial"/>
        </w:rPr>
        <w:t xml:space="preserve">germline </w:t>
      </w:r>
      <w:r w:rsidRPr="007B567D">
        <w:rPr>
          <w:rFonts w:cs="Arial"/>
          <w:i/>
        </w:rPr>
        <w:t>BRCA</w:t>
      </w:r>
      <w:r w:rsidRPr="00C404A7">
        <w:rPr>
          <w:rFonts w:cs="Arial"/>
        </w:rPr>
        <w:t xml:space="preserve"> </w:t>
      </w:r>
      <w:r>
        <w:rPr>
          <w:rFonts w:cs="Arial"/>
        </w:rPr>
        <w:t xml:space="preserve">mutation </w:t>
      </w:r>
      <w:r w:rsidRPr="00C404A7">
        <w:rPr>
          <w:rFonts w:cs="Arial"/>
        </w:rPr>
        <w:t xml:space="preserve">testing identifies a subgroup of women who </w:t>
      </w:r>
      <w:r>
        <w:rPr>
          <w:rFonts w:cs="Arial"/>
        </w:rPr>
        <w:t xml:space="preserve">are most likely to </w:t>
      </w:r>
      <w:r w:rsidRPr="00C404A7">
        <w:rPr>
          <w:rFonts w:cs="Arial"/>
        </w:rPr>
        <w:t>benef</w:t>
      </w:r>
      <w:r>
        <w:rPr>
          <w:rFonts w:cs="Arial"/>
        </w:rPr>
        <w:t xml:space="preserve">it from treatment with olaparib. MSAC noted that the test should only be performed once per lifetime for this purpose. MSAC also reiterated that that </w:t>
      </w:r>
      <w:r w:rsidRPr="00BE708F">
        <w:rPr>
          <w:rFonts w:cs="Arial"/>
        </w:rPr>
        <w:t>pre-test genetic counselling was unnecessary</w:t>
      </w:r>
      <w:r>
        <w:rPr>
          <w:rFonts w:cs="Arial"/>
        </w:rPr>
        <w:t xml:space="preserve">, but that any </w:t>
      </w:r>
      <w:r w:rsidRPr="00BE708F">
        <w:rPr>
          <w:rFonts w:cs="Arial"/>
        </w:rPr>
        <w:t xml:space="preserve">patient </w:t>
      </w:r>
      <w:r>
        <w:rPr>
          <w:rFonts w:cs="Arial"/>
        </w:rPr>
        <w:t xml:space="preserve">testing positive for a </w:t>
      </w:r>
      <w:r w:rsidRPr="007B567D">
        <w:rPr>
          <w:rFonts w:cs="Arial"/>
        </w:rPr>
        <w:t xml:space="preserve">germline </w:t>
      </w:r>
      <w:r w:rsidRPr="007B567D">
        <w:rPr>
          <w:rFonts w:cs="Arial"/>
          <w:i/>
        </w:rPr>
        <w:t>BRCA</w:t>
      </w:r>
      <w:r w:rsidRPr="00C404A7">
        <w:rPr>
          <w:rFonts w:cs="Arial"/>
        </w:rPr>
        <w:t xml:space="preserve"> </w:t>
      </w:r>
      <w:r>
        <w:rPr>
          <w:rFonts w:cs="Arial"/>
        </w:rPr>
        <w:t xml:space="preserve">mutation should </w:t>
      </w:r>
      <w:r w:rsidRPr="00BE708F">
        <w:rPr>
          <w:rFonts w:cs="Arial"/>
        </w:rPr>
        <w:t xml:space="preserve">be referred to post-test </w:t>
      </w:r>
      <w:r>
        <w:rPr>
          <w:rFonts w:cs="Arial"/>
        </w:rPr>
        <w:t xml:space="preserve">genetic </w:t>
      </w:r>
      <w:r w:rsidRPr="00BE708F">
        <w:rPr>
          <w:rFonts w:cs="Arial"/>
        </w:rPr>
        <w:t>counselling</w:t>
      </w:r>
      <w:r>
        <w:rPr>
          <w:rFonts w:cs="Arial"/>
        </w:rPr>
        <w:t>.</w:t>
      </w:r>
    </w:p>
    <w:p w14:paraId="393B0977" w14:textId="3CD2835F" w:rsidR="00C52440" w:rsidRPr="000A17BD" w:rsidRDefault="000A17BD" w:rsidP="00C52440">
      <w:pPr>
        <w:spacing w:after="240"/>
      </w:pPr>
      <w:r w:rsidRPr="009E3D82">
        <w:t xml:space="preserve">MSAC </w:t>
      </w:r>
      <w:r w:rsidR="00C52440">
        <w:t>proposed the following</w:t>
      </w:r>
      <w:r w:rsidRPr="009E3D82">
        <w:t xml:space="preserve"> the item descriptor</w:t>
      </w:r>
      <w:r w:rsidR="00C52440">
        <w:t xml:space="preserve"> and explanatory note:</w:t>
      </w:r>
    </w:p>
    <w:p w14:paraId="0770CE72" w14:textId="519CC27A" w:rsidR="00EB4CDC" w:rsidRPr="00D43437" w:rsidRDefault="00EB4CDC" w:rsidP="00D43437">
      <w:pPr>
        <w:autoSpaceDE w:val="0"/>
        <w:autoSpaceDN w:val="0"/>
        <w:adjustRightInd w:val="0"/>
        <w:spacing w:after="240"/>
        <w:rPr>
          <w:i/>
          <w:szCs w:val="24"/>
        </w:rPr>
      </w:pPr>
      <w:r w:rsidRPr="00087E21">
        <w:rPr>
          <w:i/>
          <w:szCs w:val="24"/>
        </w:rPr>
        <w:t>Detection of germline BRCA1 or BRCA2 gene mutations, in a patient with platinum-sensitive relapsed ovarian, fallopian tube or primary peritoneal cancer with high grade serous features or a high grade serous component, and who has responded to subsequent platinum-based chemotherapy, requested by a specialist or consultant physician, to determine whether the eligibility criteria for olaparib under the Pharmaceutical Benefits Scheme (PBS) are fulfi</w:t>
      </w:r>
      <w:r w:rsidR="00D43437">
        <w:rPr>
          <w:i/>
          <w:szCs w:val="24"/>
        </w:rPr>
        <w:t>lled.</w:t>
      </w:r>
    </w:p>
    <w:p w14:paraId="6B20BD10" w14:textId="02A54E09" w:rsidR="00EB4CDC" w:rsidRPr="002938CB" w:rsidRDefault="00EB4CDC" w:rsidP="00EB4CDC">
      <w:pPr>
        <w:rPr>
          <w:i/>
          <w:szCs w:val="24"/>
        </w:rPr>
      </w:pPr>
      <w:r>
        <w:rPr>
          <w:i/>
          <w:szCs w:val="24"/>
        </w:rPr>
        <w:t>Explanatory note:</w:t>
      </w:r>
    </w:p>
    <w:p w14:paraId="55DBA1F0" w14:textId="3EFA27F6" w:rsidR="00EB4CDC" w:rsidRPr="00D43437" w:rsidRDefault="00EB4CDC" w:rsidP="00D43437">
      <w:pPr>
        <w:autoSpaceDE w:val="0"/>
        <w:autoSpaceDN w:val="0"/>
        <w:adjustRightInd w:val="0"/>
        <w:spacing w:after="240"/>
        <w:rPr>
          <w:i/>
          <w:szCs w:val="24"/>
        </w:rPr>
      </w:pPr>
      <w:r w:rsidRPr="000A17BD">
        <w:rPr>
          <w:i/>
          <w:szCs w:val="24"/>
        </w:rPr>
        <w:t>Patients who are found to have a BRCA1 or BRCA2 mutation should be referred for post-test genetic counselling, as there may be implications for other family members. Appropriate genetic counselling should be provided to the patient either by the specialist treating practitioner, a genetic counselling service or a c</w:t>
      </w:r>
      <w:r w:rsidR="00D43437">
        <w:rPr>
          <w:i/>
          <w:szCs w:val="24"/>
        </w:rPr>
        <w:t>linical geneticist on referral.</w:t>
      </w:r>
    </w:p>
    <w:p w14:paraId="68841CDB" w14:textId="76CFC6F4" w:rsidR="00EF14E6" w:rsidRPr="00D43437" w:rsidRDefault="00EF14E6" w:rsidP="00D43437">
      <w:pPr>
        <w:pStyle w:val="Heading1"/>
        <w:spacing w:after="240"/>
      </w:pPr>
      <w:r w:rsidRPr="008D5885">
        <w:t>MSAC’s advice to the Minister</w:t>
      </w:r>
      <w:r w:rsidR="00D43437">
        <w:t xml:space="preserve"> – March 2016 consideration</w:t>
      </w:r>
    </w:p>
    <w:p w14:paraId="5E6766E4" w14:textId="4496AF70" w:rsidR="005C6F87" w:rsidRDefault="005C6F87" w:rsidP="00D43437">
      <w:pPr>
        <w:spacing w:after="240"/>
      </w:pPr>
      <w:r w:rsidRPr="00190AC1">
        <w:rPr>
          <w:szCs w:val="24"/>
        </w:rPr>
        <w:t xml:space="preserve">After considering the available evidence in relation to safety, clinical effectiveness and cost-effectiveness, MSAC deferred </w:t>
      </w:r>
      <w:r w:rsidRPr="00BA4964">
        <w:t>the application for the requested MBS item until such time as the PBAC makes a positive recommendation regarding the corresponding PBS listing of</w:t>
      </w:r>
      <w:r>
        <w:t xml:space="preserve"> olaparib</w:t>
      </w:r>
      <w:r w:rsidRPr="00190AC1">
        <w:rPr>
          <w:szCs w:val="24"/>
        </w:rPr>
        <w:t xml:space="preserve">. </w:t>
      </w:r>
      <w:r w:rsidRPr="00BA4964">
        <w:t xml:space="preserve">MSAC advised that, if PBAC subsequently decides to recommend to the Minister that </w:t>
      </w:r>
      <w:r>
        <w:t>olaparib</w:t>
      </w:r>
      <w:r w:rsidRPr="00BA4964">
        <w:t xml:space="preserve"> be listed on the PBS, then MSAC would support an expedited process of reconsideration. This process would be undertaken to ensure MSAC support for public funding of </w:t>
      </w:r>
      <w:r w:rsidRPr="00F74F1C">
        <w:rPr>
          <w:i/>
        </w:rPr>
        <w:t>BRCA</w:t>
      </w:r>
      <w:r>
        <w:t xml:space="preserve"> testing</w:t>
      </w:r>
      <w:r w:rsidRPr="00BA4964">
        <w:t xml:space="preserve"> is aligned with the circumstances recommended by PBAC.</w:t>
      </w:r>
    </w:p>
    <w:p w14:paraId="4E2D64EA" w14:textId="7B19D967" w:rsidR="00E977EE" w:rsidRPr="002516AB" w:rsidRDefault="005C6F87" w:rsidP="00D43437">
      <w:pPr>
        <w:spacing w:after="240"/>
      </w:pPr>
      <w:r w:rsidRPr="003A3F7A">
        <w:lastRenderedPageBreak/>
        <w:t xml:space="preserve">MSAC foreshadowed its support to limit the test for </w:t>
      </w:r>
      <w:r w:rsidR="00EF44E9">
        <w:t xml:space="preserve">detection of </w:t>
      </w:r>
      <w:r w:rsidRPr="003A3F7A">
        <w:t xml:space="preserve">a germline </w:t>
      </w:r>
      <w:r w:rsidRPr="00F74F1C">
        <w:rPr>
          <w:i/>
        </w:rPr>
        <w:t>BRCA</w:t>
      </w:r>
      <w:r w:rsidRPr="003A3F7A">
        <w:t xml:space="preserve"> mutation in selected women with relapsed ovarian cancer with continued sensitivity to platinum-based chemotherapy.</w:t>
      </w:r>
      <w:r>
        <w:t xml:space="preserve"> </w:t>
      </w:r>
      <w:r w:rsidRPr="00190AC1">
        <w:rPr>
          <w:szCs w:val="24"/>
        </w:rPr>
        <w:t>MSAC indicated that</w:t>
      </w:r>
      <w:r w:rsidR="00EF44E9">
        <w:rPr>
          <w:szCs w:val="24"/>
        </w:rPr>
        <w:t>, should a</w:t>
      </w:r>
      <w:r w:rsidR="00094039">
        <w:rPr>
          <w:szCs w:val="24"/>
        </w:rPr>
        <w:t xml:space="preserve"> </w:t>
      </w:r>
      <w:r w:rsidR="00EF44E9">
        <w:rPr>
          <w:szCs w:val="24"/>
        </w:rPr>
        <w:t xml:space="preserve">heritable </w:t>
      </w:r>
      <w:r w:rsidR="001913E2" w:rsidRPr="001913E2">
        <w:rPr>
          <w:i/>
          <w:szCs w:val="24"/>
        </w:rPr>
        <w:t>BRCA</w:t>
      </w:r>
      <w:r w:rsidR="001913E2">
        <w:rPr>
          <w:szCs w:val="24"/>
        </w:rPr>
        <w:t xml:space="preserve"> </w:t>
      </w:r>
      <w:r w:rsidR="00EF44E9">
        <w:rPr>
          <w:szCs w:val="24"/>
        </w:rPr>
        <w:t xml:space="preserve">mutation be identified, </w:t>
      </w:r>
      <w:r w:rsidRPr="00190AC1">
        <w:rPr>
          <w:szCs w:val="24"/>
        </w:rPr>
        <w:t xml:space="preserve">the patient should be referred </w:t>
      </w:r>
      <w:r w:rsidR="00EF44E9">
        <w:rPr>
          <w:szCs w:val="24"/>
        </w:rPr>
        <w:t xml:space="preserve">for </w:t>
      </w:r>
      <w:r w:rsidRPr="00190AC1">
        <w:rPr>
          <w:szCs w:val="24"/>
        </w:rPr>
        <w:t xml:space="preserve">post-test </w:t>
      </w:r>
      <w:r w:rsidR="00EF44E9">
        <w:rPr>
          <w:szCs w:val="24"/>
        </w:rPr>
        <w:t xml:space="preserve">genetic </w:t>
      </w:r>
      <w:r w:rsidRPr="00190AC1">
        <w:rPr>
          <w:szCs w:val="24"/>
        </w:rPr>
        <w:t>counselling</w:t>
      </w:r>
      <w:r w:rsidR="001913E2">
        <w:rPr>
          <w:szCs w:val="24"/>
        </w:rPr>
        <w:t>,</w:t>
      </w:r>
      <w:r w:rsidRPr="00190AC1">
        <w:rPr>
          <w:szCs w:val="24"/>
        </w:rPr>
        <w:t xml:space="preserve"> but </w:t>
      </w:r>
      <w:r>
        <w:t xml:space="preserve">that </w:t>
      </w:r>
      <w:r w:rsidRPr="00190AC1">
        <w:rPr>
          <w:szCs w:val="24"/>
        </w:rPr>
        <w:t xml:space="preserve">pre-test genetic counselling </w:t>
      </w:r>
      <w:r w:rsidR="00F74F1C" w:rsidRPr="00190AC1">
        <w:rPr>
          <w:szCs w:val="24"/>
        </w:rPr>
        <w:t>w</w:t>
      </w:r>
      <w:r w:rsidR="002516AB">
        <w:rPr>
          <w:szCs w:val="24"/>
        </w:rPr>
        <w:t>ould</w:t>
      </w:r>
      <w:r w:rsidR="00F74F1C">
        <w:rPr>
          <w:szCs w:val="24"/>
        </w:rPr>
        <w:t xml:space="preserve"> not be required in order to claim the relevant item/s on the MBS</w:t>
      </w:r>
      <w:r w:rsidRPr="003A3F7A">
        <w:t>.</w:t>
      </w:r>
    </w:p>
    <w:p w14:paraId="1AF6836B" w14:textId="3F22FCF0" w:rsidR="00550354" w:rsidRPr="00D43437" w:rsidRDefault="00550354" w:rsidP="00D43437">
      <w:pPr>
        <w:pStyle w:val="Heading1"/>
        <w:spacing w:after="240"/>
      </w:pPr>
      <w:r w:rsidRPr="008D5885">
        <w:t>Summary of consideration and rationale for MSAC’s advice</w:t>
      </w:r>
      <w:r w:rsidR="00685D77">
        <w:t xml:space="preserve"> – </w:t>
      </w:r>
      <w:r w:rsidR="009B4A85">
        <w:t>March</w:t>
      </w:r>
      <w:r w:rsidR="00685D77">
        <w:t xml:space="preserve"> 2016 consideration</w:t>
      </w:r>
    </w:p>
    <w:p w14:paraId="2090C52D" w14:textId="0844FA2B" w:rsidR="005C6F87" w:rsidRPr="00190AC1" w:rsidRDefault="005C6F87" w:rsidP="00D43437">
      <w:pPr>
        <w:spacing w:after="240"/>
        <w:rPr>
          <w:szCs w:val="24"/>
        </w:rPr>
      </w:pPr>
      <w:r>
        <w:t>MSAC noted that t</w:t>
      </w:r>
      <w:r w:rsidRPr="00190AC1">
        <w:rPr>
          <w:szCs w:val="24"/>
        </w:rPr>
        <w:t xml:space="preserve">he application to list </w:t>
      </w:r>
      <w:r w:rsidRPr="00F74F1C">
        <w:rPr>
          <w:i/>
          <w:szCs w:val="24"/>
        </w:rPr>
        <w:t>BRCA</w:t>
      </w:r>
      <w:r w:rsidRPr="00190AC1">
        <w:rPr>
          <w:szCs w:val="24"/>
        </w:rPr>
        <w:t xml:space="preserve"> testing </w:t>
      </w:r>
      <w:r w:rsidR="00472C54">
        <w:rPr>
          <w:szCs w:val="24"/>
        </w:rPr>
        <w:t>i</w:t>
      </w:r>
      <w:r w:rsidRPr="00190AC1">
        <w:rPr>
          <w:szCs w:val="24"/>
        </w:rPr>
        <w:t xml:space="preserve">n the MBS </w:t>
      </w:r>
      <w:r w:rsidR="002516AB">
        <w:rPr>
          <w:szCs w:val="24"/>
        </w:rPr>
        <w:t>wa</w:t>
      </w:r>
      <w:r w:rsidRPr="00190AC1">
        <w:rPr>
          <w:szCs w:val="24"/>
        </w:rPr>
        <w:t xml:space="preserve">s part of an integrated co-dependent submission, which also requested that PBAC consider listing olaparib </w:t>
      </w:r>
      <w:r w:rsidR="00472C54">
        <w:rPr>
          <w:szCs w:val="24"/>
        </w:rPr>
        <w:t xml:space="preserve">in the PBS </w:t>
      </w:r>
      <w:r w:rsidRPr="00190AC1">
        <w:rPr>
          <w:szCs w:val="24"/>
        </w:rPr>
        <w:t>for maintenance therapy in women with platinum</w:t>
      </w:r>
      <w:r w:rsidR="00ED14ED">
        <w:rPr>
          <w:szCs w:val="24"/>
        </w:rPr>
        <w:t>-</w:t>
      </w:r>
      <w:r w:rsidRPr="00190AC1">
        <w:rPr>
          <w:szCs w:val="24"/>
        </w:rPr>
        <w:t xml:space="preserve">sensitive relapsed high grade serous ovarian, fallopian and primary peritoneal cancer (hereafter </w:t>
      </w:r>
      <w:r w:rsidR="00472C54" w:rsidRPr="00190AC1">
        <w:rPr>
          <w:szCs w:val="24"/>
        </w:rPr>
        <w:t>platinum</w:t>
      </w:r>
      <w:r w:rsidR="00472C54">
        <w:rPr>
          <w:szCs w:val="24"/>
        </w:rPr>
        <w:t>-</w:t>
      </w:r>
      <w:r w:rsidR="00472C54" w:rsidRPr="00190AC1">
        <w:rPr>
          <w:szCs w:val="24"/>
        </w:rPr>
        <w:t xml:space="preserve">sensitive relapsed </w:t>
      </w:r>
      <w:r w:rsidR="00472C54">
        <w:rPr>
          <w:szCs w:val="24"/>
        </w:rPr>
        <w:t>ovarian cancer</w:t>
      </w:r>
      <w:r w:rsidRPr="00190AC1">
        <w:rPr>
          <w:szCs w:val="24"/>
        </w:rPr>
        <w:t>). MSAC noted that the PBAC had deferred its decision</w:t>
      </w:r>
      <w:r>
        <w:t xml:space="preserve"> at the March 2016 meeting</w:t>
      </w:r>
      <w:r w:rsidRPr="00190AC1">
        <w:rPr>
          <w:szCs w:val="24"/>
        </w:rPr>
        <w:t xml:space="preserve"> about whether olaparib would be listed in the PBS</w:t>
      </w:r>
      <w:r w:rsidR="002516AB">
        <w:rPr>
          <w:szCs w:val="24"/>
        </w:rPr>
        <w:t>. MSAC also noted that the PBAC had</w:t>
      </w:r>
      <w:r w:rsidRPr="00190AC1">
        <w:rPr>
          <w:szCs w:val="24"/>
        </w:rPr>
        <w:t xml:space="preserve"> foreshadowed that any recommendation to list would limit </w:t>
      </w:r>
      <w:r w:rsidR="002516AB">
        <w:rPr>
          <w:szCs w:val="24"/>
        </w:rPr>
        <w:t xml:space="preserve">PBS-subsidised </w:t>
      </w:r>
      <w:r w:rsidRPr="00190AC1">
        <w:rPr>
          <w:szCs w:val="24"/>
        </w:rPr>
        <w:t>access to olaparib to patients who have a germline BRCA mutation (Class 4 or 5 mutation only</w:t>
      </w:r>
      <w:r w:rsidR="00ED14ED">
        <w:rPr>
          <w:szCs w:val="24"/>
        </w:rPr>
        <w:t xml:space="preserve"> [</w:t>
      </w:r>
      <w:r w:rsidR="00ED14ED">
        <w:t xml:space="preserve">Plon, S. E. </w:t>
      </w:r>
      <w:r w:rsidR="00ED14ED">
        <w:rPr>
          <w:i/>
          <w:iCs/>
        </w:rPr>
        <w:t>et al.</w:t>
      </w:r>
      <w:r w:rsidR="00ED14ED">
        <w:t xml:space="preserve"> Sequence variant classification and reporting: recommendations for improving the interpretation of cancer susceptibility genetic test results. </w:t>
      </w:r>
      <w:r w:rsidR="00ED14ED">
        <w:rPr>
          <w:i/>
          <w:iCs/>
        </w:rPr>
        <w:t>Hum. Mutat.</w:t>
      </w:r>
      <w:r w:rsidR="00ED14ED">
        <w:t xml:space="preserve"> </w:t>
      </w:r>
      <w:r w:rsidR="00ED14ED">
        <w:rPr>
          <w:b/>
          <w:bCs/>
        </w:rPr>
        <w:t>29,</w:t>
      </w:r>
      <w:r w:rsidR="00ED14ED">
        <w:t xml:space="preserve"> 1282–91 (2008)]</w:t>
      </w:r>
      <w:r w:rsidR="00D43437">
        <w:rPr>
          <w:szCs w:val="24"/>
        </w:rPr>
        <w:t>).</w:t>
      </w:r>
    </w:p>
    <w:p w14:paraId="46E0F37D" w14:textId="25284F00" w:rsidR="005C6F87" w:rsidRPr="00190AC1" w:rsidRDefault="00E26081" w:rsidP="00D43437">
      <w:pPr>
        <w:spacing w:after="240"/>
        <w:rPr>
          <w:szCs w:val="24"/>
        </w:rPr>
      </w:pPr>
      <w:r>
        <w:rPr>
          <w:szCs w:val="24"/>
        </w:rPr>
        <w:t xml:space="preserve">MSAC considered the application’s claim that </w:t>
      </w:r>
      <w:r w:rsidR="005C6F87" w:rsidRPr="00F74F1C">
        <w:rPr>
          <w:i/>
          <w:szCs w:val="24"/>
        </w:rPr>
        <w:t>BRCA</w:t>
      </w:r>
      <w:r w:rsidR="005C6F87" w:rsidRPr="00190AC1">
        <w:rPr>
          <w:szCs w:val="24"/>
        </w:rPr>
        <w:t xml:space="preserve"> mutation testing identifies the subgroup of women who will obtain the most benefit from treatment with olaparib. This </w:t>
      </w:r>
      <w:r>
        <w:rPr>
          <w:szCs w:val="24"/>
        </w:rPr>
        <w:t xml:space="preserve">claim </w:t>
      </w:r>
      <w:r w:rsidR="00CF47CE">
        <w:rPr>
          <w:szCs w:val="24"/>
        </w:rPr>
        <w:t xml:space="preserve">of clinical utility </w:t>
      </w:r>
      <w:r>
        <w:rPr>
          <w:szCs w:val="24"/>
        </w:rPr>
        <w:t xml:space="preserve">was considered to be </w:t>
      </w:r>
      <w:r w:rsidR="00345926">
        <w:rPr>
          <w:szCs w:val="24"/>
        </w:rPr>
        <w:t>biologically plausible</w:t>
      </w:r>
      <w:r>
        <w:rPr>
          <w:szCs w:val="24"/>
        </w:rPr>
        <w:t>,</w:t>
      </w:r>
      <w:r w:rsidR="00345926">
        <w:rPr>
          <w:szCs w:val="24"/>
        </w:rPr>
        <w:t xml:space="preserve"> </w:t>
      </w:r>
      <w:r w:rsidR="005C6F87" w:rsidRPr="00190AC1">
        <w:rPr>
          <w:szCs w:val="24"/>
        </w:rPr>
        <w:t xml:space="preserve">because the </w:t>
      </w:r>
      <w:r w:rsidR="005C6F87" w:rsidRPr="00F74F1C">
        <w:rPr>
          <w:i/>
          <w:szCs w:val="24"/>
        </w:rPr>
        <w:t>BRCA1</w:t>
      </w:r>
      <w:r w:rsidR="005C6F87" w:rsidRPr="00190AC1">
        <w:rPr>
          <w:szCs w:val="24"/>
        </w:rPr>
        <w:t xml:space="preserve"> and </w:t>
      </w:r>
      <w:r w:rsidR="005C6F87" w:rsidRPr="00F74F1C">
        <w:rPr>
          <w:i/>
          <w:szCs w:val="24"/>
        </w:rPr>
        <w:t>BRCA2</w:t>
      </w:r>
      <w:r w:rsidR="005C6F87" w:rsidRPr="00190AC1">
        <w:rPr>
          <w:szCs w:val="24"/>
        </w:rPr>
        <w:t xml:space="preserve"> mutations (hereafter </w:t>
      </w:r>
      <w:r w:rsidR="005C6F87" w:rsidRPr="00F74F1C">
        <w:rPr>
          <w:i/>
          <w:szCs w:val="24"/>
        </w:rPr>
        <w:t>BRCA</w:t>
      </w:r>
      <w:r w:rsidR="005C6F87" w:rsidRPr="00190AC1">
        <w:rPr>
          <w:szCs w:val="24"/>
        </w:rPr>
        <w:t xml:space="preserve">m) can be used </w:t>
      </w:r>
      <w:r w:rsidR="00345926">
        <w:rPr>
          <w:szCs w:val="24"/>
        </w:rPr>
        <w:t xml:space="preserve">as a surrogate </w:t>
      </w:r>
      <w:r>
        <w:rPr>
          <w:szCs w:val="24"/>
        </w:rPr>
        <w:t xml:space="preserve">for </w:t>
      </w:r>
      <w:r w:rsidR="005C6F87" w:rsidRPr="00190AC1">
        <w:rPr>
          <w:szCs w:val="24"/>
        </w:rPr>
        <w:t>identify</w:t>
      </w:r>
      <w:r>
        <w:rPr>
          <w:szCs w:val="24"/>
        </w:rPr>
        <w:t>ing</w:t>
      </w:r>
      <w:r w:rsidR="005C6F87" w:rsidRPr="00190AC1">
        <w:rPr>
          <w:szCs w:val="24"/>
        </w:rPr>
        <w:t xml:space="preserve"> tumour cells without a functional homologous recombination repair pathway</w:t>
      </w:r>
      <w:r w:rsidR="00ED14ED">
        <w:rPr>
          <w:szCs w:val="24"/>
        </w:rPr>
        <w:t xml:space="preserve">, </w:t>
      </w:r>
      <w:r w:rsidR="005C6F87" w:rsidRPr="00190AC1">
        <w:rPr>
          <w:szCs w:val="24"/>
        </w:rPr>
        <w:t>a mechanism through which cells repair double stranded breaks in DNA. Treatment with olaparib inhibits the function of a complementary DNA repair system</w:t>
      </w:r>
      <w:r w:rsidR="00ED14ED">
        <w:rPr>
          <w:szCs w:val="24"/>
        </w:rPr>
        <w:t xml:space="preserve">, </w:t>
      </w:r>
      <w:r w:rsidR="005C6F87" w:rsidRPr="00190AC1">
        <w:rPr>
          <w:szCs w:val="24"/>
        </w:rPr>
        <w:t xml:space="preserve">the base excision repair pathway in which PARP enzymes repair single stranded breaks in DNA. As olaparib inhibits PARP enzyme function, </w:t>
      </w:r>
      <w:r w:rsidR="005C6F87" w:rsidRPr="00F74F1C">
        <w:rPr>
          <w:i/>
          <w:szCs w:val="24"/>
        </w:rPr>
        <w:t>BRCA</w:t>
      </w:r>
      <w:r w:rsidR="005C6F87" w:rsidRPr="00190AC1">
        <w:rPr>
          <w:szCs w:val="24"/>
        </w:rPr>
        <w:t>m tumour cells treated with olaparib will be unable to repair DNA using either the homologous recombination repair pathway or the base excision repair pathway</w:t>
      </w:r>
      <w:r w:rsidR="00ED14ED">
        <w:rPr>
          <w:szCs w:val="24"/>
        </w:rPr>
        <w:t>, thereby</w:t>
      </w:r>
      <w:r w:rsidR="005C6F87" w:rsidRPr="00190AC1">
        <w:rPr>
          <w:szCs w:val="24"/>
        </w:rPr>
        <w:t xml:space="preserve"> compounding DNA damage and leading to </w:t>
      </w:r>
      <w:r w:rsidR="000D4FF8">
        <w:rPr>
          <w:szCs w:val="24"/>
        </w:rPr>
        <w:t>cell death.</w:t>
      </w:r>
    </w:p>
    <w:p w14:paraId="2F42B770" w14:textId="2B30FE81" w:rsidR="005C6F87" w:rsidRPr="00190AC1" w:rsidRDefault="005C6F87" w:rsidP="00D43437">
      <w:pPr>
        <w:spacing w:after="240"/>
        <w:rPr>
          <w:szCs w:val="24"/>
        </w:rPr>
      </w:pPr>
      <w:r>
        <w:t>MSAC noted that the e</w:t>
      </w:r>
      <w:r w:rsidRPr="00190AC1">
        <w:rPr>
          <w:szCs w:val="24"/>
        </w:rPr>
        <w:t xml:space="preserve">vidence to support </w:t>
      </w:r>
      <w:r w:rsidR="00CF47CE">
        <w:rPr>
          <w:szCs w:val="24"/>
        </w:rPr>
        <w:t>this clinical utility</w:t>
      </w:r>
      <w:r w:rsidRPr="00190AC1">
        <w:rPr>
          <w:szCs w:val="24"/>
        </w:rPr>
        <w:t xml:space="preserve"> of testing for </w:t>
      </w:r>
      <w:r w:rsidRPr="00F74F1C">
        <w:rPr>
          <w:i/>
          <w:szCs w:val="24"/>
        </w:rPr>
        <w:t>BRCA</w:t>
      </w:r>
      <w:r w:rsidRPr="00190AC1">
        <w:rPr>
          <w:szCs w:val="24"/>
        </w:rPr>
        <w:t xml:space="preserve">m in women with </w:t>
      </w:r>
      <w:r w:rsidR="00ED14ED">
        <w:rPr>
          <w:szCs w:val="24"/>
        </w:rPr>
        <w:t>platinum-sensitive</w:t>
      </w:r>
      <w:r w:rsidRPr="00190AC1">
        <w:rPr>
          <w:szCs w:val="24"/>
        </w:rPr>
        <w:t xml:space="preserve"> relapsed </w:t>
      </w:r>
      <w:r w:rsidR="00E26081">
        <w:rPr>
          <w:szCs w:val="24"/>
        </w:rPr>
        <w:t>ovarian cancer</w:t>
      </w:r>
      <w:r w:rsidRPr="00190AC1">
        <w:rPr>
          <w:szCs w:val="24"/>
        </w:rPr>
        <w:t xml:space="preserve"> relied upon a single study, Study 19. In this randomised controlled trial, 265 relapsed </w:t>
      </w:r>
      <w:r w:rsidR="00E26081">
        <w:rPr>
          <w:szCs w:val="24"/>
        </w:rPr>
        <w:t>ovarian cancer</w:t>
      </w:r>
      <w:r w:rsidRPr="00190AC1">
        <w:rPr>
          <w:szCs w:val="24"/>
        </w:rPr>
        <w:t xml:space="preserve"> women who had partially or completely responded to the preceding platinum-containing chemotherapy regimen were randomised to olaparib or placebo. </w:t>
      </w:r>
      <w:r w:rsidRPr="005455C6">
        <w:rPr>
          <w:i/>
          <w:szCs w:val="24"/>
        </w:rPr>
        <w:t>BRCA</w:t>
      </w:r>
      <w:r w:rsidRPr="00190AC1">
        <w:rPr>
          <w:szCs w:val="24"/>
        </w:rPr>
        <w:t xml:space="preserve"> status was not established prior to enrolment in the trial</w:t>
      </w:r>
      <w:r w:rsidR="00345926">
        <w:rPr>
          <w:szCs w:val="24"/>
        </w:rPr>
        <w:t>,</w:t>
      </w:r>
      <w:r w:rsidRPr="00190AC1">
        <w:rPr>
          <w:szCs w:val="24"/>
        </w:rPr>
        <w:t xml:space="preserve"> but </w:t>
      </w:r>
      <w:r w:rsidR="00345926">
        <w:rPr>
          <w:szCs w:val="24"/>
        </w:rPr>
        <w:t xml:space="preserve">was </w:t>
      </w:r>
      <w:r w:rsidRPr="00190AC1">
        <w:rPr>
          <w:szCs w:val="24"/>
        </w:rPr>
        <w:t xml:space="preserve">collected from case report forms after local germline testing or determined retrospectively via analysis of blood (germline testing) or tumour (somatic testing) samples collected at baseline. </w:t>
      </w:r>
      <w:r w:rsidRPr="005455C6">
        <w:rPr>
          <w:i/>
          <w:szCs w:val="24"/>
        </w:rPr>
        <w:t>BRCA</w:t>
      </w:r>
      <w:r w:rsidRPr="00190AC1">
        <w:rPr>
          <w:szCs w:val="24"/>
        </w:rPr>
        <w:t>m status was determined for 254 (96%) of these patients and 136</w:t>
      </w:r>
      <w:r w:rsidR="005455C6">
        <w:rPr>
          <w:szCs w:val="24"/>
        </w:rPr>
        <w:t> </w:t>
      </w:r>
      <w:r w:rsidRPr="00190AC1">
        <w:rPr>
          <w:szCs w:val="24"/>
        </w:rPr>
        <w:t>(54%) had a m</w:t>
      </w:r>
      <w:r w:rsidR="005455C6">
        <w:rPr>
          <w:szCs w:val="24"/>
        </w:rPr>
        <w:t>utation</w:t>
      </w:r>
      <w:r w:rsidR="00D43437">
        <w:rPr>
          <w:szCs w:val="24"/>
        </w:rPr>
        <w:t>.</w:t>
      </w:r>
    </w:p>
    <w:p w14:paraId="3D87F715" w14:textId="132A2FA8" w:rsidR="005C6F87" w:rsidRPr="00190AC1" w:rsidRDefault="005C6F87" w:rsidP="00D43437">
      <w:pPr>
        <w:spacing w:after="240"/>
        <w:rPr>
          <w:szCs w:val="24"/>
        </w:rPr>
      </w:pPr>
      <w:r w:rsidRPr="00190AC1">
        <w:rPr>
          <w:szCs w:val="24"/>
        </w:rPr>
        <w:t xml:space="preserve">A subgroup analysis of Study 19 after a median of 37 months follow-up separated the results of the women with a </w:t>
      </w:r>
      <w:r w:rsidRPr="005455C6">
        <w:rPr>
          <w:i/>
          <w:szCs w:val="24"/>
        </w:rPr>
        <w:t>BRCA</w:t>
      </w:r>
      <w:r w:rsidRPr="00190AC1">
        <w:rPr>
          <w:szCs w:val="24"/>
        </w:rPr>
        <w:t xml:space="preserve">m from the women without a detected </w:t>
      </w:r>
      <w:r w:rsidRPr="005455C6">
        <w:rPr>
          <w:i/>
          <w:szCs w:val="24"/>
        </w:rPr>
        <w:t>BRCA</w:t>
      </w:r>
      <w:r w:rsidRPr="00190AC1">
        <w:rPr>
          <w:szCs w:val="24"/>
        </w:rPr>
        <w:t xml:space="preserve">m. </w:t>
      </w:r>
      <w:r>
        <w:t>MSAC noted that a</w:t>
      </w:r>
      <w:r w:rsidRPr="00190AC1">
        <w:rPr>
          <w:szCs w:val="24"/>
        </w:rPr>
        <w:t xml:space="preserve">mong the women with a </w:t>
      </w:r>
      <w:r w:rsidRPr="005455C6">
        <w:rPr>
          <w:i/>
          <w:szCs w:val="24"/>
        </w:rPr>
        <w:t>BRCA</w:t>
      </w:r>
      <w:r w:rsidRPr="00190AC1">
        <w:rPr>
          <w:szCs w:val="24"/>
        </w:rPr>
        <w:t>m (n = 136), there was a significant improvement in progression free survival (PFS) between those using olaparib and those using placebo</w:t>
      </w:r>
      <w:r w:rsidR="00ED14ED">
        <w:rPr>
          <w:szCs w:val="24"/>
        </w:rPr>
        <w:t>,</w:t>
      </w:r>
      <w:r w:rsidR="006E6A87">
        <w:rPr>
          <w:szCs w:val="24"/>
        </w:rPr>
        <w:t xml:space="preserve"> </w:t>
      </w:r>
      <w:r w:rsidRPr="00190AC1">
        <w:rPr>
          <w:szCs w:val="24"/>
        </w:rPr>
        <w:t xml:space="preserve">11.2 months vs 4.3 months </w:t>
      </w:r>
      <w:r w:rsidR="000D4FF8">
        <w:rPr>
          <w:szCs w:val="24"/>
        </w:rPr>
        <w:t>(HR 0.18, 95% CI 0.10 to 0.31).</w:t>
      </w:r>
    </w:p>
    <w:p w14:paraId="241EAF15" w14:textId="3845A7E1" w:rsidR="005C6F87" w:rsidRPr="00190AC1" w:rsidRDefault="005C6F87" w:rsidP="00483A02">
      <w:pPr>
        <w:spacing w:after="240"/>
        <w:rPr>
          <w:szCs w:val="24"/>
        </w:rPr>
      </w:pPr>
      <w:r w:rsidRPr="00190AC1">
        <w:rPr>
          <w:szCs w:val="24"/>
        </w:rPr>
        <w:t xml:space="preserve">A statistical interaction test performed for </w:t>
      </w:r>
      <w:r w:rsidRPr="005455C6">
        <w:rPr>
          <w:i/>
          <w:szCs w:val="24"/>
        </w:rPr>
        <w:t>BRCA</w:t>
      </w:r>
      <w:r w:rsidRPr="00190AC1">
        <w:rPr>
          <w:szCs w:val="24"/>
        </w:rPr>
        <w:t xml:space="preserve"> status by treatment group was statistically significant (p=0.03) suggesting that</w:t>
      </w:r>
      <w:r w:rsidR="00345926">
        <w:rPr>
          <w:szCs w:val="24"/>
        </w:rPr>
        <w:t xml:space="preserve"> having a</w:t>
      </w:r>
      <w:r w:rsidRPr="00190AC1">
        <w:rPr>
          <w:szCs w:val="24"/>
        </w:rPr>
        <w:t xml:space="preserve"> </w:t>
      </w:r>
      <w:r w:rsidRPr="005455C6">
        <w:rPr>
          <w:i/>
          <w:szCs w:val="24"/>
        </w:rPr>
        <w:t>BRCA</w:t>
      </w:r>
      <w:r w:rsidRPr="00190AC1">
        <w:rPr>
          <w:szCs w:val="24"/>
        </w:rPr>
        <w:t xml:space="preserve">m is predictive of </w:t>
      </w:r>
      <w:r w:rsidR="00345926">
        <w:rPr>
          <w:szCs w:val="24"/>
        </w:rPr>
        <w:t xml:space="preserve">a better </w:t>
      </w:r>
      <w:r w:rsidR="00581A35">
        <w:rPr>
          <w:szCs w:val="24"/>
        </w:rPr>
        <w:t xml:space="preserve">PFS </w:t>
      </w:r>
      <w:r w:rsidRPr="00190AC1">
        <w:rPr>
          <w:szCs w:val="24"/>
        </w:rPr>
        <w:t xml:space="preserve">response to olaparib. When analysed </w:t>
      </w:r>
      <w:r w:rsidR="00345926">
        <w:rPr>
          <w:szCs w:val="24"/>
        </w:rPr>
        <w:t>within each</w:t>
      </w:r>
      <w:r w:rsidRPr="00190AC1">
        <w:rPr>
          <w:szCs w:val="24"/>
        </w:rPr>
        <w:t xml:space="preserve"> treatment group, the women </w:t>
      </w:r>
      <w:r w:rsidR="00ED14ED">
        <w:rPr>
          <w:szCs w:val="24"/>
        </w:rPr>
        <w:t xml:space="preserve">who took </w:t>
      </w:r>
      <w:r w:rsidRPr="00190AC1">
        <w:rPr>
          <w:szCs w:val="24"/>
        </w:rPr>
        <w:t xml:space="preserve">olaparib </w:t>
      </w:r>
      <w:r w:rsidR="00ED14ED">
        <w:rPr>
          <w:szCs w:val="24"/>
        </w:rPr>
        <w:t xml:space="preserve">and </w:t>
      </w:r>
      <w:r w:rsidRPr="00190AC1">
        <w:rPr>
          <w:szCs w:val="24"/>
        </w:rPr>
        <w:t xml:space="preserve">had a </w:t>
      </w:r>
      <w:r w:rsidRPr="005455C6">
        <w:rPr>
          <w:i/>
          <w:szCs w:val="24"/>
        </w:rPr>
        <w:t>BRCA</w:t>
      </w:r>
      <w:r w:rsidRPr="00190AC1">
        <w:rPr>
          <w:szCs w:val="24"/>
        </w:rPr>
        <w:t xml:space="preserve">m had a median PFS of 11.2 months </w:t>
      </w:r>
      <w:r w:rsidR="00ED14ED">
        <w:rPr>
          <w:szCs w:val="24"/>
        </w:rPr>
        <w:t xml:space="preserve">vs. 7.4 months in those </w:t>
      </w:r>
      <w:r w:rsidRPr="00190AC1">
        <w:rPr>
          <w:szCs w:val="24"/>
        </w:rPr>
        <w:t xml:space="preserve">women </w:t>
      </w:r>
      <w:r w:rsidR="00ED14ED">
        <w:rPr>
          <w:szCs w:val="24"/>
        </w:rPr>
        <w:t xml:space="preserve">taking olaparib </w:t>
      </w:r>
      <w:r w:rsidRPr="00190AC1">
        <w:rPr>
          <w:szCs w:val="24"/>
        </w:rPr>
        <w:lastRenderedPageBreak/>
        <w:t xml:space="preserve">who did not have a </w:t>
      </w:r>
      <w:r w:rsidRPr="005455C6">
        <w:rPr>
          <w:i/>
          <w:szCs w:val="24"/>
        </w:rPr>
        <w:t>BRCA</w:t>
      </w:r>
      <w:r w:rsidRPr="00190AC1">
        <w:rPr>
          <w:szCs w:val="24"/>
        </w:rPr>
        <w:t xml:space="preserve">m. Among the placebo group, women with a </w:t>
      </w:r>
      <w:r w:rsidRPr="005455C6">
        <w:rPr>
          <w:i/>
          <w:szCs w:val="24"/>
        </w:rPr>
        <w:t>BRCA</w:t>
      </w:r>
      <w:r w:rsidRPr="00190AC1">
        <w:rPr>
          <w:szCs w:val="24"/>
        </w:rPr>
        <w:t xml:space="preserve">m had a median PFS of 4.3 months vs 5.5 months in women without a </w:t>
      </w:r>
      <w:r w:rsidRPr="005455C6">
        <w:rPr>
          <w:i/>
          <w:szCs w:val="24"/>
        </w:rPr>
        <w:t>BRCA</w:t>
      </w:r>
      <w:r w:rsidRPr="00190AC1">
        <w:rPr>
          <w:szCs w:val="24"/>
        </w:rPr>
        <w:t>m.</w:t>
      </w:r>
    </w:p>
    <w:p w14:paraId="680D011F" w14:textId="75C2B0B3" w:rsidR="005C6F87" w:rsidRPr="00190AC1" w:rsidRDefault="005C6F87" w:rsidP="00D43437">
      <w:pPr>
        <w:spacing w:after="240"/>
        <w:rPr>
          <w:szCs w:val="24"/>
        </w:rPr>
      </w:pPr>
      <w:r w:rsidRPr="00190AC1">
        <w:rPr>
          <w:szCs w:val="24"/>
        </w:rPr>
        <w:t xml:space="preserve">MSAC noted that there was also a smaller, but </w:t>
      </w:r>
      <w:r w:rsidR="0080482F">
        <w:rPr>
          <w:szCs w:val="24"/>
        </w:rPr>
        <w:t xml:space="preserve">statistically </w:t>
      </w:r>
      <w:r w:rsidRPr="00190AC1">
        <w:rPr>
          <w:szCs w:val="24"/>
        </w:rPr>
        <w:t xml:space="preserve">significant, improvement in </w:t>
      </w:r>
      <w:r w:rsidR="00F97D60">
        <w:rPr>
          <w:szCs w:val="24"/>
        </w:rPr>
        <w:t xml:space="preserve">PFS </w:t>
      </w:r>
      <w:r w:rsidRPr="00190AC1">
        <w:rPr>
          <w:szCs w:val="24"/>
        </w:rPr>
        <w:t xml:space="preserve">among women (n = 118) in whom a </w:t>
      </w:r>
      <w:r w:rsidRPr="005455C6">
        <w:rPr>
          <w:i/>
          <w:szCs w:val="24"/>
        </w:rPr>
        <w:t>BRCA</w:t>
      </w:r>
      <w:r w:rsidRPr="00190AC1">
        <w:rPr>
          <w:szCs w:val="24"/>
        </w:rPr>
        <w:t xml:space="preserve">m was not detected </w:t>
      </w:r>
      <w:r w:rsidR="00F97D60">
        <w:rPr>
          <w:szCs w:val="24"/>
        </w:rPr>
        <w:t xml:space="preserve">and who took olaparib versus those taking placebo </w:t>
      </w:r>
      <w:r w:rsidR="00A36AAF">
        <w:rPr>
          <w:szCs w:val="24"/>
        </w:rPr>
        <w:t xml:space="preserve">(median PFS of </w:t>
      </w:r>
      <w:r w:rsidRPr="00190AC1">
        <w:rPr>
          <w:szCs w:val="24"/>
        </w:rPr>
        <w:t xml:space="preserve">7.4 months </w:t>
      </w:r>
      <w:r w:rsidR="00A36AAF">
        <w:rPr>
          <w:szCs w:val="24"/>
        </w:rPr>
        <w:t xml:space="preserve">vs. </w:t>
      </w:r>
      <w:r w:rsidRPr="00190AC1">
        <w:rPr>
          <w:szCs w:val="24"/>
        </w:rPr>
        <w:t>5.5 months</w:t>
      </w:r>
      <w:r w:rsidR="00A36AAF">
        <w:rPr>
          <w:szCs w:val="24"/>
        </w:rPr>
        <w:t>, respectively [</w:t>
      </w:r>
      <w:r w:rsidRPr="00190AC1">
        <w:rPr>
          <w:szCs w:val="24"/>
        </w:rPr>
        <w:t>HR 0.54, 95% CI 0.34 to 0.85</w:t>
      </w:r>
      <w:r w:rsidR="00A36AAF">
        <w:rPr>
          <w:szCs w:val="24"/>
        </w:rPr>
        <w:t>]</w:t>
      </w:r>
      <w:r w:rsidR="00D43437">
        <w:rPr>
          <w:szCs w:val="24"/>
        </w:rPr>
        <w:t>).</w:t>
      </w:r>
    </w:p>
    <w:p w14:paraId="1796FC52" w14:textId="4901B106" w:rsidR="005C6F87" w:rsidRPr="00190AC1" w:rsidRDefault="005C6F87" w:rsidP="00D43437">
      <w:pPr>
        <w:spacing w:after="240"/>
        <w:rPr>
          <w:szCs w:val="24"/>
        </w:rPr>
      </w:pPr>
      <w:r w:rsidRPr="00190AC1">
        <w:rPr>
          <w:szCs w:val="24"/>
        </w:rPr>
        <w:t>After a median of 37 months follow-up</w:t>
      </w:r>
      <w:r>
        <w:t>,</w:t>
      </w:r>
      <w:r w:rsidRPr="00190AC1">
        <w:rPr>
          <w:szCs w:val="24"/>
        </w:rPr>
        <w:t xml:space="preserve"> an interim analysis of overall survival found no significant difference between women with a </w:t>
      </w:r>
      <w:r w:rsidRPr="005455C6">
        <w:rPr>
          <w:i/>
          <w:szCs w:val="24"/>
        </w:rPr>
        <w:t>BRCA</w:t>
      </w:r>
      <w:r w:rsidRPr="00190AC1">
        <w:rPr>
          <w:szCs w:val="24"/>
        </w:rPr>
        <w:t xml:space="preserve">m who were taking olaparib compared with those with a </w:t>
      </w:r>
      <w:r w:rsidRPr="005455C6">
        <w:rPr>
          <w:i/>
          <w:szCs w:val="24"/>
        </w:rPr>
        <w:t>BRCA</w:t>
      </w:r>
      <w:r w:rsidRPr="00190AC1">
        <w:rPr>
          <w:szCs w:val="24"/>
        </w:rPr>
        <w:t>m who were taking placebo (HR 0.73, 95% CI 0.45 to 1.17). However, once patients stopped taking study medicines, investigators were able to administer olaparib (or another investigational PARP inhibitor) to any study participant, regardless of whether they were originally in the placebo or olaparib study arm. As a result, 23% of the placebo group were prescribed olaparib post-study</w:t>
      </w:r>
      <w:r w:rsidR="00C2243B">
        <w:rPr>
          <w:szCs w:val="24"/>
        </w:rPr>
        <w:t>,</w:t>
      </w:r>
      <w:r w:rsidRPr="00190AC1">
        <w:rPr>
          <w:szCs w:val="24"/>
        </w:rPr>
        <w:t xml:space="preserve"> and this may have </w:t>
      </w:r>
      <w:r w:rsidR="00C2243B">
        <w:rPr>
          <w:szCs w:val="24"/>
        </w:rPr>
        <w:t>contaminated</w:t>
      </w:r>
      <w:r w:rsidRPr="00190AC1">
        <w:rPr>
          <w:szCs w:val="24"/>
        </w:rPr>
        <w:t xml:space="preserve"> the overall survival results. A post-hoc analysis which excluded trial sites that allowed crossover treatment reported a significant improvement in overall survival among women with a </w:t>
      </w:r>
      <w:r w:rsidRPr="005455C6">
        <w:rPr>
          <w:i/>
          <w:szCs w:val="24"/>
        </w:rPr>
        <w:t>BRCA</w:t>
      </w:r>
      <w:r w:rsidRPr="00190AC1">
        <w:rPr>
          <w:szCs w:val="24"/>
        </w:rPr>
        <w:t xml:space="preserve">m who were using olaparib compared with women with a </w:t>
      </w:r>
      <w:r w:rsidRPr="005455C6">
        <w:rPr>
          <w:i/>
          <w:szCs w:val="24"/>
        </w:rPr>
        <w:t>BRCA</w:t>
      </w:r>
      <w:r w:rsidRPr="00190AC1">
        <w:rPr>
          <w:szCs w:val="24"/>
        </w:rPr>
        <w:t>m using placebo (HR 0.52, 95% CI 0.28 to 0.97).</w:t>
      </w:r>
      <w:r w:rsidR="002F0644">
        <w:rPr>
          <w:szCs w:val="24"/>
        </w:rPr>
        <w:t xml:space="preserve"> MSAC noted that no statistical interaction test was presented for </w:t>
      </w:r>
      <w:r w:rsidR="002F0644" w:rsidRPr="002F0644">
        <w:rPr>
          <w:i/>
          <w:szCs w:val="24"/>
        </w:rPr>
        <w:t>BRCA</w:t>
      </w:r>
      <w:r w:rsidR="002F0644">
        <w:rPr>
          <w:szCs w:val="24"/>
        </w:rPr>
        <w:t xml:space="preserve"> status by treatment group for overall survival, but that unpublished longer follow-up results for the </w:t>
      </w:r>
      <w:r w:rsidR="002F0644" w:rsidRPr="002F0644">
        <w:rPr>
          <w:i/>
          <w:szCs w:val="24"/>
        </w:rPr>
        <w:t>BRCA</w:t>
      </w:r>
      <w:r w:rsidR="002F0644">
        <w:rPr>
          <w:szCs w:val="24"/>
        </w:rPr>
        <w:t>m subgroup were supportive of an olaparib effect on overall survival.</w:t>
      </w:r>
    </w:p>
    <w:p w14:paraId="2EB1D4F0" w14:textId="32850033" w:rsidR="005C6F87" w:rsidRPr="00190AC1" w:rsidRDefault="005C6F87" w:rsidP="00D43437">
      <w:pPr>
        <w:spacing w:after="240"/>
        <w:rPr>
          <w:szCs w:val="24"/>
        </w:rPr>
      </w:pPr>
      <w:r w:rsidRPr="005C6F87">
        <w:rPr>
          <w:szCs w:val="24"/>
        </w:rPr>
        <w:t xml:space="preserve">MSAC agreed with the </w:t>
      </w:r>
      <w:r w:rsidR="005455C6">
        <w:rPr>
          <w:szCs w:val="24"/>
        </w:rPr>
        <w:t xml:space="preserve">joint </w:t>
      </w:r>
      <w:r w:rsidRPr="005C6F87">
        <w:rPr>
          <w:szCs w:val="24"/>
        </w:rPr>
        <w:t>ESC</w:t>
      </w:r>
      <w:r w:rsidR="00F82C92">
        <w:rPr>
          <w:szCs w:val="24"/>
        </w:rPr>
        <w:t>s</w:t>
      </w:r>
      <w:r>
        <w:t xml:space="preserve"> advice</w:t>
      </w:r>
      <w:r w:rsidRPr="005C6F87">
        <w:rPr>
          <w:szCs w:val="24"/>
        </w:rPr>
        <w:t xml:space="preserve"> that</w:t>
      </w:r>
      <w:r w:rsidR="00F82C92">
        <w:rPr>
          <w:szCs w:val="24"/>
        </w:rPr>
        <w:t xml:space="preserve">, given the approach to </w:t>
      </w:r>
      <w:r w:rsidR="00F82C92" w:rsidRPr="00F82C92">
        <w:rPr>
          <w:i/>
          <w:szCs w:val="24"/>
        </w:rPr>
        <w:t>BRCA</w:t>
      </w:r>
      <w:r w:rsidR="00F82C92">
        <w:rPr>
          <w:szCs w:val="24"/>
        </w:rPr>
        <w:t xml:space="preserve"> testing in Study 19 was inadequately presented,</w:t>
      </w:r>
      <w:r w:rsidRPr="005C6F87">
        <w:rPr>
          <w:szCs w:val="24"/>
        </w:rPr>
        <w:t xml:space="preserve"> it was difficult to discern the evidentiary standard used as the basis for the submission’s claim of co-dependence with olaparib and thus clinical utility.</w:t>
      </w:r>
      <w:r>
        <w:t xml:space="preserve"> </w:t>
      </w:r>
      <w:r w:rsidRPr="00190AC1">
        <w:rPr>
          <w:szCs w:val="24"/>
        </w:rPr>
        <w:t xml:space="preserve">MSAC </w:t>
      </w:r>
      <w:r>
        <w:t>noted that t</w:t>
      </w:r>
      <w:r w:rsidRPr="00190AC1">
        <w:rPr>
          <w:szCs w:val="24"/>
        </w:rPr>
        <w:t xml:space="preserve">he claim of co-dependence between </w:t>
      </w:r>
      <w:r w:rsidRPr="005455C6">
        <w:rPr>
          <w:i/>
          <w:szCs w:val="24"/>
        </w:rPr>
        <w:t>BRCA</w:t>
      </w:r>
      <w:r w:rsidRPr="00190AC1">
        <w:rPr>
          <w:szCs w:val="24"/>
        </w:rPr>
        <w:t xml:space="preserve"> testing and olaparib relied on an acceptance that </w:t>
      </w:r>
      <w:r w:rsidRPr="005455C6">
        <w:rPr>
          <w:i/>
          <w:szCs w:val="24"/>
        </w:rPr>
        <w:t>BRCA</w:t>
      </w:r>
      <w:r w:rsidRPr="00190AC1">
        <w:rPr>
          <w:szCs w:val="24"/>
        </w:rPr>
        <w:t xml:space="preserve"> testing predicted an important variation between women with and without a detected </w:t>
      </w:r>
      <w:r w:rsidRPr="005455C6">
        <w:rPr>
          <w:i/>
          <w:szCs w:val="24"/>
        </w:rPr>
        <w:t>BRCA</w:t>
      </w:r>
      <w:r w:rsidRPr="00190AC1">
        <w:rPr>
          <w:szCs w:val="24"/>
        </w:rPr>
        <w:t xml:space="preserve">m with regards to the effectiveness of olaparib, and that this was distinguishable from the prognostic value of </w:t>
      </w:r>
      <w:r w:rsidRPr="005455C6">
        <w:rPr>
          <w:i/>
          <w:szCs w:val="24"/>
        </w:rPr>
        <w:t>BRCA</w:t>
      </w:r>
      <w:r w:rsidRPr="00190AC1">
        <w:rPr>
          <w:szCs w:val="24"/>
        </w:rPr>
        <w:t xml:space="preserve"> testing. To help establish this, statistical tests of interaction by </w:t>
      </w:r>
      <w:r w:rsidRPr="005455C6">
        <w:rPr>
          <w:i/>
          <w:szCs w:val="24"/>
        </w:rPr>
        <w:t>BRCA</w:t>
      </w:r>
      <w:r w:rsidRPr="00190AC1">
        <w:rPr>
          <w:szCs w:val="24"/>
        </w:rPr>
        <w:t xml:space="preserve"> status were suggested. While this was done for progression free survival (see above), </w:t>
      </w:r>
      <w:r>
        <w:t>it was not provided</w:t>
      </w:r>
      <w:r w:rsidR="00D43437">
        <w:rPr>
          <w:szCs w:val="24"/>
        </w:rPr>
        <w:t xml:space="preserve"> for overall survival.</w:t>
      </w:r>
    </w:p>
    <w:p w14:paraId="5A7D3902" w14:textId="393533A8" w:rsidR="005C6F87" w:rsidRPr="00190AC1" w:rsidRDefault="005C6F87" w:rsidP="00D43437">
      <w:pPr>
        <w:spacing w:after="240"/>
        <w:rPr>
          <w:szCs w:val="24"/>
        </w:rPr>
      </w:pPr>
      <w:r w:rsidRPr="00190AC1">
        <w:rPr>
          <w:szCs w:val="24"/>
        </w:rPr>
        <w:t xml:space="preserve">Both germline and somatic testing were used to establish </w:t>
      </w:r>
      <w:r w:rsidRPr="005455C6">
        <w:rPr>
          <w:i/>
          <w:szCs w:val="24"/>
        </w:rPr>
        <w:t>BRCA</w:t>
      </w:r>
      <w:r w:rsidRPr="00190AC1">
        <w:rPr>
          <w:szCs w:val="24"/>
        </w:rPr>
        <w:t xml:space="preserve"> status in Study 19. To establish the diagnostic accuracy of </w:t>
      </w:r>
      <w:r w:rsidRPr="005455C6">
        <w:rPr>
          <w:i/>
          <w:szCs w:val="24"/>
        </w:rPr>
        <w:t>BRCA</w:t>
      </w:r>
      <w:r w:rsidRPr="00190AC1">
        <w:rPr>
          <w:szCs w:val="24"/>
        </w:rPr>
        <w:t xml:space="preserve"> testing, the submission identified 11 published diagnostic accuracy studies. All involved germline testing which correctly identified 100% of individuals with a </w:t>
      </w:r>
      <w:r w:rsidRPr="005455C6">
        <w:rPr>
          <w:i/>
          <w:szCs w:val="24"/>
        </w:rPr>
        <w:t>BRCA</w:t>
      </w:r>
      <w:r w:rsidRPr="00190AC1">
        <w:rPr>
          <w:szCs w:val="24"/>
        </w:rPr>
        <w:t xml:space="preserve">m (true positives) and 95.9% to 100% of individuals who did not have a </w:t>
      </w:r>
      <w:r w:rsidRPr="005455C6">
        <w:rPr>
          <w:i/>
          <w:szCs w:val="24"/>
        </w:rPr>
        <w:t>BRCA</w:t>
      </w:r>
      <w:r w:rsidRPr="00190AC1">
        <w:rPr>
          <w:szCs w:val="24"/>
        </w:rPr>
        <w:t xml:space="preserve">m (true negatives). None of the 11 studies used DNA extracted from tumour samples to determine </w:t>
      </w:r>
      <w:r w:rsidRPr="005455C6">
        <w:rPr>
          <w:i/>
          <w:szCs w:val="24"/>
        </w:rPr>
        <w:t>BRCA</w:t>
      </w:r>
      <w:r w:rsidR="00D43437">
        <w:rPr>
          <w:szCs w:val="24"/>
        </w:rPr>
        <w:t xml:space="preserve"> status.</w:t>
      </w:r>
    </w:p>
    <w:p w14:paraId="6802A635" w14:textId="421329E2" w:rsidR="005C6F87" w:rsidRPr="00190AC1" w:rsidRDefault="005C6F87" w:rsidP="00D43437">
      <w:pPr>
        <w:spacing w:after="240"/>
        <w:rPr>
          <w:szCs w:val="24"/>
        </w:rPr>
      </w:pPr>
      <w:r w:rsidRPr="00190AC1">
        <w:rPr>
          <w:szCs w:val="24"/>
        </w:rPr>
        <w:t xml:space="preserve">MSAC did not identify any significant safety issues around </w:t>
      </w:r>
      <w:r w:rsidRPr="005455C6">
        <w:rPr>
          <w:i/>
          <w:szCs w:val="24"/>
        </w:rPr>
        <w:t>BRCA</w:t>
      </w:r>
      <w:r w:rsidRPr="00190AC1">
        <w:rPr>
          <w:szCs w:val="24"/>
        </w:rPr>
        <w:t xml:space="preserve"> testing. While MSAC recommended that the patient</w:t>
      </w:r>
      <w:r w:rsidR="003575DA">
        <w:rPr>
          <w:szCs w:val="24"/>
        </w:rPr>
        <w:t xml:space="preserve">s in whom a heritable </w:t>
      </w:r>
      <w:r w:rsidR="003575DA" w:rsidRPr="005455C6">
        <w:rPr>
          <w:i/>
          <w:szCs w:val="24"/>
        </w:rPr>
        <w:t>BRCA</w:t>
      </w:r>
      <w:r w:rsidR="003575DA">
        <w:rPr>
          <w:szCs w:val="24"/>
        </w:rPr>
        <w:t xml:space="preserve"> mutation was identified </w:t>
      </w:r>
      <w:r w:rsidRPr="00190AC1">
        <w:rPr>
          <w:szCs w:val="24"/>
        </w:rPr>
        <w:t xml:space="preserve">be referred </w:t>
      </w:r>
      <w:r w:rsidR="003575DA">
        <w:rPr>
          <w:szCs w:val="24"/>
        </w:rPr>
        <w:t xml:space="preserve">for </w:t>
      </w:r>
      <w:r w:rsidRPr="00190AC1">
        <w:rPr>
          <w:szCs w:val="24"/>
        </w:rPr>
        <w:t xml:space="preserve">post-test </w:t>
      </w:r>
      <w:r w:rsidR="003575DA">
        <w:rPr>
          <w:szCs w:val="24"/>
        </w:rPr>
        <w:t xml:space="preserve">genetic </w:t>
      </w:r>
      <w:r w:rsidRPr="00190AC1">
        <w:rPr>
          <w:szCs w:val="24"/>
        </w:rPr>
        <w:t xml:space="preserve">counselling, pre-test genetic counselling was </w:t>
      </w:r>
      <w:r w:rsidR="009E45AA">
        <w:rPr>
          <w:szCs w:val="24"/>
        </w:rPr>
        <w:t xml:space="preserve">not </w:t>
      </w:r>
      <w:r>
        <w:t>considered</w:t>
      </w:r>
      <w:r w:rsidRPr="00190AC1">
        <w:rPr>
          <w:szCs w:val="24"/>
        </w:rPr>
        <w:t xml:space="preserve"> </w:t>
      </w:r>
      <w:r w:rsidR="003575DA">
        <w:rPr>
          <w:szCs w:val="24"/>
        </w:rPr>
        <w:t xml:space="preserve">to be mandatory </w:t>
      </w:r>
      <w:r w:rsidRPr="00190AC1">
        <w:rPr>
          <w:szCs w:val="24"/>
        </w:rPr>
        <w:t xml:space="preserve">as </w:t>
      </w:r>
      <w:r w:rsidRPr="005455C6">
        <w:rPr>
          <w:i/>
          <w:szCs w:val="24"/>
        </w:rPr>
        <w:t xml:space="preserve">BRCA </w:t>
      </w:r>
      <w:r w:rsidRPr="00190AC1">
        <w:rPr>
          <w:szCs w:val="24"/>
        </w:rPr>
        <w:t xml:space="preserve">testing was being used for diagnostic purposes and would be arranged by a specialist for the benefit of the individual patient. MSAC noted that identification of a </w:t>
      </w:r>
      <w:r w:rsidRPr="005455C6">
        <w:rPr>
          <w:i/>
          <w:szCs w:val="24"/>
        </w:rPr>
        <w:t>BRCA</w:t>
      </w:r>
      <w:r w:rsidRPr="00190AC1">
        <w:rPr>
          <w:szCs w:val="24"/>
        </w:rPr>
        <w:t>m has implications for a patient’s family</w:t>
      </w:r>
      <w:r w:rsidR="00F82C92">
        <w:rPr>
          <w:szCs w:val="24"/>
        </w:rPr>
        <w:t>,</w:t>
      </w:r>
      <w:r w:rsidRPr="00190AC1">
        <w:rPr>
          <w:szCs w:val="24"/>
        </w:rPr>
        <w:t xml:space="preserve"> but </w:t>
      </w:r>
      <w:r w:rsidR="00F82C92">
        <w:rPr>
          <w:szCs w:val="24"/>
        </w:rPr>
        <w:t xml:space="preserve">considered that this consequence of testing was </w:t>
      </w:r>
      <w:r w:rsidRPr="00190AC1">
        <w:rPr>
          <w:szCs w:val="24"/>
        </w:rPr>
        <w:t>outside the scope of the application</w:t>
      </w:r>
      <w:r w:rsidR="00F82C92">
        <w:rPr>
          <w:szCs w:val="24"/>
        </w:rPr>
        <w:t>.</w:t>
      </w:r>
    </w:p>
    <w:p w14:paraId="6FF3664E" w14:textId="0B183584" w:rsidR="00137DF5" w:rsidRDefault="005C6F87" w:rsidP="005C6F87">
      <w:pPr>
        <w:rPr>
          <w:szCs w:val="24"/>
        </w:rPr>
      </w:pPr>
      <w:r w:rsidRPr="00190AC1">
        <w:rPr>
          <w:szCs w:val="24"/>
        </w:rPr>
        <w:t xml:space="preserve">MSAC </w:t>
      </w:r>
      <w:r>
        <w:t>considered that testing should</w:t>
      </w:r>
      <w:r w:rsidRPr="00190AC1">
        <w:rPr>
          <w:szCs w:val="24"/>
        </w:rPr>
        <w:t xml:space="preserve"> be restricted to germline mutation testing, which is already well established within Australian laboratories and has been shown to be accurate (see above). MSAC </w:t>
      </w:r>
      <w:r w:rsidR="003575DA">
        <w:rPr>
          <w:szCs w:val="24"/>
        </w:rPr>
        <w:t xml:space="preserve">noted that there was limited evidence regarding the </w:t>
      </w:r>
      <w:r w:rsidRPr="00190AC1">
        <w:rPr>
          <w:szCs w:val="24"/>
        </w:rPr>
        <w:t>performance of somatic (tumour) mutation testing. In Study 19, somatic testing missed three of the 96</w:t>
      </w:r>
      <w:r w:rsidR="00B40B88">
        <w:rPr>
          <w:szCs w:val="24"/>
        </w:rPr>
        <w:t> </w:t>
      </w:r>
      <w:r w:rsidRPr="00190AC1">
        <w:rPr>
          <w:szCs w:val="24"/>
        </w:rPr>
        <w:t xml:space="preserve">mutations (4%) detected with germline testing. MSAC considered the technique for somatic testing and its diagnostic accuracy is still to be established. Furthermore, evidence </w:t>
      </w:r>
      <w:r w:rsidRPr="00190AC1">
        <w:rPr>
          <w:szCs w:val="24"/>
        </w:rPr>
        <w:lastRenderedPageBreak/>
        <w:t>from Study 19 in women in whom germline testing was negative and somatic testing was positive was limited to 18 patients.</w:t>
      </w:r>
    </w:p>
    <w:p w14:paraId="06337C67" w14:textId="19257D15" w:rsidR="005C6F87" w:rsidRPr="00190AC1" w:rsidRDefault="00137DF5" w:rsidP="00D43437">
      <w:pPr>
        <w:spacing w:after="240"/>
        <w:rPr>
          <w:szCs w:val="24"/>
        </w:rPr>
      </w:pPr>
      <w:r w:rsidRPr="00190AC1">
        <w:rPr>
          <w:szCs w:val="24"/>
        </w:rPr>
        <w:t xml:space="preserve">MSAC recognised that germline </w:t>
      </w:r>
      <w:r w:rsidRPr="005455C6">
        <w:rPr>
          <w:i/>
          <w:szCs w:val="24"/>
        </w:rPr>
        <w:t>BRCA</w:t>
      </w:r>
      <w:r w:rsidRPr="00190AC1">
        <w:rPr>
          <w:szCs w:val="24"/>
        </w:rPr>
        <w:t xml:space="preserve"> testing w</w:t>
      </w:r>
      <w:r>
        <w:rPr>
          <w:szCs w:val="24"/>
        </w:rPr>
        <w:t>ould</w:t>
      </w:r>
      <w:r w:rsidRPr="00190AC1">
        <w:rPr>
          <w:szCs w:val="24"/>
        </w:rPr>
        <w:t xml:space="preserve"> not identify all women who could benefit from olaparib therapy. However, the lack of evidence on the performance of somatic </w:t>
      </w:r>
      <w:r w:rsidR="001730D0" w:rsidRPr="001730D0">
        <w:rPr>
          <w:i/>
          <w:szCs w:val="24"/>
        </w:rPr>
        <w:t>BRCA</w:t>
      </w:r>
      <w:r w:rsidR="001730D0">
        <w:rPr>
          <w:szCs w:val="24"/>
        </w:rPr>
        <w:t xml:space="preserve"> </w:t>
      </w:r>
      <w:r w:rsidRPr="00190AC1">
        <w:rPr>
          <w:szCs w:val="24"/>
        </w:rPr>
        <w:t xml:space="preserve">testing, </w:t>
      </w:r>
      <w:r w:rsidR="00C2243B">
        <w:rPr>
          <w:szCs w:val="24"/>
        </w:rPr>
        <w:t xml:space="preserve">the incompleteness of the Study 19 </w:t>
      </w:r>
      <w:r w:rsidR="001730D0" w:rsidRPr="001730D0">
        <w:rPr>
          <w:i/>
          <w:szCs w:val="24"/>
        </w:rPr>
        <w:t>BRCA</w:t>
      </w:r>
      <w:r w:rsidR="001730D0">
        <w:rPr>
          <w:szCs w:val="24"/>
        </w:rPr>
        <w:t xml:space="preserve"> testing data (the results of both germline and somatic </w:t>
      </w:r>
      <w:r w:rsidR="001730D0" w:rsidRPr="001730D0">
        <w:rPr>
          <w:i/>
          <w:szCs w:val="24"/>
        </w:rPr>
        <w:t>BRCA</w:t>
      </w:r>
      <w:r w:rsidR="001730D0">
        <w:rPr>
          <w:szCs w:val="24"/>
        </w:rPr>
        <w:t xml:space="preserve"> testing were known for only 157/265 (59%) of the study participants), </w:t>
      </w:r>
      <w:r>
        <w:rPr>
          <w:szCs w:val="24"/>
        </w:rPr>
        <w:t xml:space="preserve">and the inadequate evidence </w:t>
      </w:r>
      <w:r w:rsidRPr="00190AC1">
        <w:rPr>
          <w:szCs w:val="24"/>
        </w:rPr>
        <w:t xml:space="preserve">for improved </w:t>
      </w:r>
      <w:r w:rsidR="00C2243B">
        <w:rPr>
          <w:szCs w:val="24"/>
        </w:rPr>
        <w:t xml:space="preserve">olaparib </w:t>
      </w:r>
      <w:r>
        <w:rPr>
          <w:szCs w:val="24"/>
        </w:rPr>
        <w:t xml:space="preserve">outcomes for </w:t>
      </w:r>
      <w:r w:rsidRPr="00190AC1">
        <w:rPr>
          <w:szCs w:val="24"/>
        </w:rPr>
        <w:t>women with an identified</w:t>
      </w:r>
      <w:r>
        <w:rPr>
          <w:szCs w:val="24"/>
        </w:rPr>
        <w:t xml:space="preserve"> somatic</w:t>
      </w:r>
      <w:r w:rsidRPr="00190AC1">
        <w:rPr>
          <w:szCs w:val="24"/>
        </w:rPr>
        <w:t xml:space="preserve"> </w:t>
      </w:r>
      <w:r w:rsidRPr="005455C6">
        <w:rPr>
          <w:i/>
          <w:szCs w:val="24"/>
        </w:rPr>
        <w:t>BRCA</w:t>
      </w:r>
      <w:r w:rsidRPr="00190AC1">
        <w:rPr>
          <w:szCs w:val="24"/>
        </w:rPr>
        <w:t>m</w:t>
      </w:r>
      <w:r>
        <w:rPr>
          <w:szCs w:val="24"/>
        </w:rPr>
        <w:t xml:space="preserve"> only</w:t>
      </w:r>
      <w:r w:rsidRPr="00190AC1">
        <w:rPr>
          <w:szCs w:val="24"/>
        </w:rPr>
        <w:t xml:space="preserve">, </w:t>
      </w:r>
      <w:r>
        <w:rPr>
          <w:szCs w:val="24"/>
        </w:rPr>
        <w:t xml:space="preserve">argued against support for </w:t>
      </w:r>
      <w:r w:rsidR="001730D0">
        <w:rPr>
          <w:szCs w:val="24"/>
        </w:rPr>
        <w:t xml:space="preserve">funding </w:t>
      </w:r>
      <w:r>
        <w:rPr>
          <w:szCs w:val="24"/>
        </w:rPr>
        <w:t xml:space="preserve">somatic </w:t>
      </w:r>
      <w:r w:rsidRPr="005455C6">
        <w:rPr>
          <w:i/>
          <w:szCs w:val="24"/>
        </w:rPr>
        <w:t>BRCA</w:t>
      </w:r>
      <w:r w:rsidRPr="00190AC1">
        <w:rPr>
          <w:szCs w:val="24"/>
        </w:rPr>
        <w:t xml:space="preserve"> testing at this stage.</w:t>
      </w:r>
      <w:r w:rsidR="005C6F87" w:rsidRPr="00190AC1">
        <w:rPr>
          <w:szCs w:val="24"/>
        </w:rPr>
        <w:t xml:space="preserve"> MSAC noted that if access to somatic </w:t>
      </w:r>
      <w:r w:rsidRPr="00137DF5">
        <w:rPr>
          <w:i/>
          <w:szCs w:val="24"/>
        </w:rPr>
        <w:t>BRCA</w:t>
      </w:r>
      <w:r>
        <w:rPr>
          <w:szCs w:val="24"/>
        </w:rPr>
        <w:t xml:space="preserve"> </w:t>
      </w:r>
      <w:r w:rsidR="005C6F87" w:rsidRPr="00190AC1">
        <w:rPr>
          <w:szCs w:val="24"/>
        </w:rPr>
        <w:t xml:space="preserve">testing is to be requested in the future, there may be an incremental cost to the MBS because patients without an identified germline </w:t>
      </w:r>
      <w:r w:rsidR="005C6F87" w:rsidRPr="005455C6">
        <w:rPr>
          <w:i/>
          <w:szCs w:val="24"/>
        </w:rPr>
        <w:t>BRCA</w:t>
      </w:r>
      <w:r w:rsidR="005C6F87" w:rsidRPr="00190AC1">
        <w:rPr>
          <w:szCs w:val="24"/>
        </w:rPr>
        <w:t>m w</w:t>
      </w:r>
      <w:r>
        <w:rPr>
          <w:szCs w:val="24"/>
        </w:rPr>
        <w:t>ould</w:t>
      </w:r>
      <w:r w:rsidR="005C6F87" w:rsidRPr="00190AC1">
        <w:rPr>
          <w:szCs w:val="24"/>
        </w:rPr>
        <w:t xml:space="preserve"> need additional tumour testing. As such, MSAC would require a new application before considering the addition of somatic </w:t>
      </w:r>
      <w:r w:rsidR="005C6F87" w:rsidRPr="005455C6">
        <w:rPr>
          <w:i/>
          <w:szCs w:val="24"/>
        </w:rPr>
        <w:t>BRCA</w:t>
      </w:r>
      <w:r w:rsidR="00D43437">
        <w:rPr>
          <w:szCs w:val="24"/>
        </w:rPr>
        <w:t xml:space="preserve"> testing to the MBS.</w:t>
      </w:r>
    </w:p>
    <w:p w14:paraId="1E99172C" w14:textId="6D0FBDBE" w:rsidR="009E45AA" w:rsidRPr="00190AC1" w:rsidRDefault="005C6F87" w:rsidP="00D43437">
      <w:pPr>
        <w:spacing w:after="240"/>
        <w:rPr>
          <w:szCs w:val="24"/>
        </w:rPr>
      </w:pPr>
      <w:r w:rsidRPr="00190AC1">
        <w:rPr>
          <w:szCs w:val="24"/>
        </w:rPr>
        <w:t xml:space="preserve">MSAC </w:t>
      </w:r>
      <w:r w:rsidR="003575DA">
        <w:rPr>
          <w:szCs w:val="24"/>
        </w:rPr>
        <w:t xml:space="preserve">considered </w:t>
      </w:r>
      <w:r w:rsidRPr="00190AC1">
        <w:rPr>
          <w:szCs w:val="24"/>
        </w:rPr>
        <w:t xml:space="preserve">it was appropriate to </w:t>
      </w:r>
      <w:r w:rsidR="009E45AA">
        <w:rPr>
          <w:szCs w:val="24"/>
        </w:rPr>
        <w:t>perform</w:t>
      </w:r>
      <w:r w:rsidR="00F82C92">
        <w:rPr>
          <w:szCs w:val="24"/>
        </w:rPr>
        <w:t xml:space="preserve"> germline</w:t>
      </w:r>
      <w:r w:rsidR="009E45AA">
        <w:rPr>
          <w:szCs w:val="24"/>
        </w:rPr>
        <w:t xml:space="preserve"> </w:t>
      </w:r>
      <w:r w:rsidR="009E45AA" w:rsidRPr="005455C6">
        <w:rPr>
          <w:i/>
          <w:szCs w:val="24"/>
        </w:rPr>
        <w:t>BRCA</w:t>
      </w:r>
      <w:r w:rsidR="009E45AA">
        <w:rPr>
          <w:szCs w:val="24"/>
        </w:rPr>
        <w:t xml:space="preserve"> </w:t>
      </w:r>
      <w:r w:rsidRPr="00190AC1">
        <w:rPr>
          <w:szCs w:val="24"/>
        </w:rPr>
        <w:t>test</w:t>
      </w:r>
      <w:r w:rsidR="009E45AA">
        <w:rPr>
          <w:szCs w:val="24"/>
        </w:rPr>
        <w:t>ing</w:t>
      </w:r>
      <w:r w:rsidRPr="00190AC1">
        <w:rPr>
          <w:szCs w:val="24"/>
        </w:rPr>
        <w:t xml:space="preserve"> once a woman had </w:t>
      </w:r>
      <w:r w:rsidR="00581A35">
        <w:rPr>
          <w:szCs w:val="24"/>
        </w:rPr>
        <w:t xml:space="preserve">subsequently </w:t>
      </w:r>
      <w:r w:rsidRPr="00190AC1">
        <w:rPr>
          <w:szCs w:val="24"/>
        </w:rPr>
        <w:t xml:space="preserve">responded to platinum-based chemotherapy </w:t>
      </w:r>
      <w:r w:rsidR="00581A35">
        <w:rPr>
          <w:szCs w:val="24"/>
        </w:rPr>
        <w:t xml:space="preserve">following an initial </w:t>
      </w:r>
      <w:r w:rsidRPr="00190AC1">
        <w:rPr>
          <w:szCs w:val="24"/>
        </w:rPr>
        <w:t xml:space="preserve">relapse. </w:t>
      </w:r>
      <w:r w:rsidR="009E45AA">
        <w:rPr>
          <w:szCs w:val="24"/>
        </w:rPr>
        <w:t>It was considered that t</w:t>
      </w:r>
      <w:r w:rsidRPr="00190AC1">
        <w:rPr>
          <w:szCs w:val="24"/>
        </w:rPr>
        <w:t>esting at relapse</w:t>
      </w:r>
      <w:r w:rsidR="009E45AA">
        <w:rPr>
          <w:szCs w:val="24"/>
        </w:rPr>
        <w:t xml:space="preserve"> before </w:t>
      </w:r>
      <w:r w:rsidR="00581A35">
        <w:rPr>
          <w:szCs w:val="24"/>
        </w:rPr>
        <w:t xml:space="preserve">subsequent </w:t>
      </w:r>
      <w:r w:rsidR="009E45AA">
        <w:rPr>
          <w:szCs w:val="24"/>
        </w:rPr>
        <w:t>platinum sensitivity was known would result in</w:t>
      </w:r>
      <w:r w:rsidRPr="00190AC1">
        <w:rPr>
          <w:szCs w:val="24"/>
        </w:rPr>
        <w:t xml:space="preserve"> unnecessary testing</w:t>
      </w:r>
      <w:r w:rsidR="009E45AA">
        <w:rPr>
          <w:szCs w:val="24"/>
        </w:rPr>
        <w:t xml:space="preserve">. This is because some relapsed patients would not meet the eligibility criteria for </w:t>
      </w:r>
      <w:r w:rsidRPr="00190AC1">
        <w:rPr>
          <w:szCs w:val="24"/>
        </w:rPr>
        <w:t>treatment with olaparib</w:t>
      </w:r>
      <w:r w:rsidR="009E45AA">
        <w:rPr>
          <w:szCs w:val="24"/>
        </w:rPr>
        <w:t xml:space="preserve"> because their tumour was platinum resistant</w:t>
      </w:r>
      <w:r w:rsidRPr="00190AC1">
        <w:rPr>
          <w:szCs w:val="24"/>
        </w:rPr>
        <w:t>.</w:t>
      </w:r>
    </w:p>
    <w:p w14:paraId="42D43C6F" w14:textId="024C8943" w:rsidR="005C6F87" w:rsidRPr="00190AC1" w:rsidRDefault="005C6F87" w:rsidP="00D43437">
      <w:pPr>
        <w:spacing w:after="240"/>
        <w:rPr>
          <w:szCs w:val="24"/>
        </w:rPr>
      </w:pPr>
      <w:r w:rsidRPr="00190AC1">
        <w:rPr>
          <w:szCs w:val="24"/>
        </w:rPr>
        <w:t xml:space="preserve">MSAC noted that there are ongoing studies into the use of olaparib in women with </w:t>
      </w:r>
      <w:r w:rsidRPr="005455C6">
        <w:rPr>
          <w:i/>
          <w:szCs w:val="24"/>
        </w:rPr>
        <w:t>BRCA</w:t>
      </w:r>
      <w:r w:rsidRPr="00190AC1">
        <w:rPr>
          <w:szCs w:val="24"/>
        </w:rPr>
        <w:t xml:space="preserve">m </w:t>
      </w:r>
      <w:r w:rsidR="00ED14ED">
        <w:rPr>
          <w:szCs w:val="24"/>
        </w:rPr>
        <w:t>platinum-sensitive</w:t>
      </w:r>
      <w:r w:rsidRPr="00190AC1">
        <w:rPr>
          <w:szCs w:val="24"/>
        </w:rPr>
        <w:t xml:space="preserve"> relapsed </w:t>
      </w:r>
      <w:r w:rsidR="00E26081">
        <w:rPr>
          <w:szCs w:val="24"/>
        </w:rPr>
        <w:t>ovarian cancer</w:t>
      </w:r>
      <w:r w:rsidRPr="00190AC1">
        <w:rPr>
          <w:szCs w:val="24"/>
        </w:rPr>
        <w:t xml:space="preserve"> that should provide further relevant information </w:t>
      </w:r>
      <w:r w:rsidR="00D43437">
        <w:rPr>
          <w:szCs w:val="24"/>
        </w:rPr>
        <w:t>once they are concluded.</w:t>
      </w:r>
    </w:p>
    <w:p w14:paraId="4E1EFCFD" w14:textId="475DB19E" w:rsidR="005C6F87" w:rsidRPr="00190AC1" w:rsidRDefault="005C6F87" w:rsidP="00D43437">
      <w:pPr>
        <w:spacing w:after="240"/>
        <w:rPr>
          <w:szCs w:val="24"/>
        </w:rPr>
      </w:pPr>
      <w:r w:rsidRPr="00190AC1">
        <w:rPr>
          <w:szCs w:val="24"/>
        </w:rPr>
        <w:t xml:space="preserve">The economic model was driven by treatment with olaparib rather than </w:t>
      </w:r>
      <w:r w:rsidRPr="005455C6">
        <w:rPr>
          <w:i/>
          <w:szCs w:val="24"/>
        </w:rPr>
        <w:t>BRCA</w:t>
      </w:r>
      <w:r w:rsidRPr="00190AC1">
        <w:rPr>
          <w:szCs w:val="24"/>
        </w:rPr>
        <w:t xml:space="preserve"> testing. Sensitivity analyses which varied the prevalence of </w:t>
      </w:r>
      <w:r w:rsidRPr="005455C6">
        <w:rPr>
          <w:i/>
          <w:szCs w:val="24"/>
        </w:rPr>
        <w:t>BRCA</w:t>
      </w:r>
      <w:r w:rsidRPr="00190AC1">
        <w:rPr>
          <w:szCs w:val="24"/>
        </w:rPr>
        <w:t xml:space="preserve">m within the patient population, or varied the sensitivity and specificity of </w:t>
      </w:r>
      <w:r w:rsidRPr="005455C6">
        <w:rPr>
          <w:i/>
          <w:szCs w:val="24"/>
        </w:rPr>
        <w:t>BRCA</w:t>
      </w:r>
      <w:r w:rsidRPr="00190AC1">
        <w:rPr>
          <w:szCs w:val="24"/>
        </w:rPr>
        <w:t xml:space="preserve"> testing, had little impact upon cost-effectiveness. Similarly, reducing the number of </w:t>
      </w:r>
      <w:r w:rsidRPr="005455C6">
        <w:rPr>
          <w:i/>
          <w:szCs w:val="24"/>
        </w:rPr>
        <w:t>BRCA</w:t>
      </w:r>
      <w:r w:rsidRPr="00190AC1">
        <w:rPr>
          <w:szCs w:val="24"/>
        </w:rPr>
        <w:t xml:space="preserve"> tests carried out by 31%, to account for women who already know their </w:t>
      </w:r>
      <w:r w:rsidRPr="005455C6">
        <w:rPr>
          <w:i/>
          <w:szCs w:val="24"/>
        </w:rPr>
        <w:t>BRCA</w:t>
      </w:r>
      <w:r w:rsidRPr="00190AC1">
        <w:rPr>
          <w:szCs w:val="24"/>
        </w:rPr>
        <w:t xml:space="preserve"> status from previous testing, did no</w:t>
      </w:r>
      <w:r w:rsidR="00137DF5">
        <w:rPr>
          <w:szCs w:val="24"/>
        </w:rPr>
        <w:t>t influence cost-effectiveness.</w:t>
      </w:r>
    </w:p>
    <w:p w14:paraId="42958BC6" w14:textId="7073E000" w:rsidR="005C6F87" w:rsidRPr="00190AC1" w:rsidRDefault="005C6F87" w:rsidP="00D43437">
      <w:pPr>
        <w:spacing w:after="240"/>
        <w:rPr>
          <w:szCs w:val="24"/>
        </w:rPr>
      </w:pPr>
      <w:r w:rsidRPr="00190AC1">
        <w:rPr>
          <w:szCs w:val="24"/>
        </w:rPr>
        <w:t xml:space="preserve">The model presented was consistent with testing at the time of relapse, before response to platinum-based chemotherapy was established. MSAC </w:t>
      </w:r>
      <w:r w:rsidR="00137DF5">
        <w:rPr>
          <w:szCs w:val="24"/>
        </w:rPr>
        <w:t>reiterated</w:t>
      </w:r>
      <w:r w:rsidRPr="00190AC1">
        <w:rPr>
          <w:szCs w:val="24"/>
        </w:rPr>
        <w:t xml:space="preserve"> </w:t>
      </w:r>
      <w:r>
        <w:t>its preference for</w:t>
      </w:r>
      <w:r w:rsidRPr="00190AC1">
        <w:rPr>
          <w:szCs w:val="24"/>
        </w:rPr>
        <w:t xml:space="preserve"> testing</w:t>
      </w:r>
      <w:r>
        <w:t xml:space="preserve"> to</w:t>
      </w:r>
      <w:r w:rsidRPr="00190AC1">
        <w:rPr>
          <w:szCs w:val="24"/>
        </w:rPr>
        <w:t xml:space="preserve"> be conducted after response to platinum-based chemotherapy was known. This </w:t>
      </w:r>
      <w:r w:rsidR="00137DF5">
        <w:rPr>
          <w:szCs w:val="24"/>
        </w:rPr>
        <w:t>would be</w:t>
      </w:r>
      <w:r w:rsidRPr="00190AC1">
        <w:rPr>
          <w:szCs w:val="24"/>
        </w:rPr>
        <w:t xml:space="preserve"> likely result in fewer tests being conducted and as a result, the application could </w:t>
      </w:r>
      <w:r w:rsidR="00137DF5">
        <w:rPr>
          <w:szCs w:val="24"/>
        </w:rPr>
        <w:t>also overestimate costs to the MBS.</w:t>
      </w:r>
    </w:p>
    <w:p w14:paraId="2AAF0A68" w14:textId="0672B93F" w:rsidR="00550354" w:rsidRDefault="005C6F87" w:rsidP="00D43437">
      <w:pPr>
        <w:spacing w:after="240"/>
        <w:rPr>
          <w:szCs w:val="24"/>
        </w:rPr>
      </w:pPr>
      <w:r w:rsidRPr="00190AC1">
        <w:rPr>
          <w:szCs w:val="24"/>
        </w:rPr>
        <w:t xml:space="preserve">Over a five year period, it was estimated that net cost to the MBS for </w:t>
      </w:r>
      <w:r w:rsidRPr="005455C6">
        <w:rPr>
          <w:i/>
          <w:szCs w:val="24"/>
        </w:rPr>
        <w:t>BRCA</w:t>
      </w:r>
      <w:r w:rsidRPr="00190AC1">
        <w:rPr>
          <w:szCs w:val="24"/>
        </w:rPr>
        <w:t xml:space="preserve"> testing would be approximately $</w:t>
      </w:r>
      <w:r w:rsidR="00995FB8" w:rsidRPr="00995FB8">
        <w:rPr>
          <w:b/>
          <w:szCs w:val="24"/>
        </w:rPr>
        <w:t>redacted</w:t>
      </w:r>
      <w:r w:rsidR="00995FB8" w:rsidRPr="00190AC1" w:rsidDel="00995FB8">
        <w:rPr>
          <w:szCs w:val="24"/>
        </w:rPr>
        <w:t xml:space="preserve"> </w:t>
      </w:r>
      <w:r w:rsidRPr="00190AC1">
        <w:rPr>
          <w:szCs w:val="24"/>
        </w:rPr>
        <w:t>million</w:t>
      </w:r>
      <w:r w:rsidR="00B40B88">
        <w:rPr>
          <w:szCs w:val="24"/>
        </w:rPr>
        <w:t>. The highest MBS costs - around $</w:t>
      </w:r>
      <w:r w:rsidR="00995FB8" w:rsidRPr="00995FB8">
        <w:rPr>
          <w:b/>
          <w:szCs w:val="24"/>
        </w:rPr>
        <w:t>redacted</w:t>
      </w:r>
      <w:r w:rsidR="00995FB8" w:rsidDel="00995FB8">
        <w:rPr>
          <w:szCs w:val="24"/>
        </w:rPr>
        <w:t xml:space="preserve"> </w:t>
      </w:r>
      <w:r w:rsidR="00B40B88">
        <w:rPr>
          <w:szCs w:val="24"/>
        </w:rPr>
        <w:t>million -</w:t>
      </w:r>
      <w:r w:rsidRPr="00190AC1">
        <w:rPr>
          <w:szCs w:val="24"/>
        </w:rPr>
        <w:t xml:space="preserve"> would be incurred in years one and two falling to approximately $</w:t>
      </w:r>
      <w:r w:rsidR="00995FB8" w:rsidRPr="00995FB8">
        <w:rPr>
          <w:b/>
          <w:szCs w:val="24"/>
        </w:rPr>
        <w:t>redacted</w:t>
      </w:r>
      <w:r w:rsidRPr="00190AC1">
        <w:rPr>
          <w:szCs w:val="24"/>
        </w:rPr>
        <w:t xml:space="preserve"> in year five as the prevalent pool of women with platinum-sensitive relapsed </w:t>
      </w:r>
      <w:r w:rsidR="00E26081">
        <w:rPr>
          <w:szCs w:val="24"/>
        </w:rPr>
        <w:t>ovarian cancer</w:t>
      </w:r>
      <w:r w:rsidRPr="00190AC1">
        <w:rPr>
          <w:szCs w:val="24"/>
        </w:rPr>
        <w:t xml:space="preserve"> </w:t>
      </w:r>
      <w:r w:rsidR="00137DF5">
        <w:rPr>
          <w:szCs w:val="24"/>
        </w:rPr>
        <w:t>falls as they access treatment.</w:t>
      </w:r>
    </w:p>
    <w:p w14:paraId="4550216F" w14:textId="2B674752" w:rsidR="005455C6" w:rsidRDefault="005455C6" w:rsidP="00D43437">
      <w:pPr>
        <w:spacing w:after="240"/>
        <w:rPr>
          <w:szCs w:val="24"/>
        </w:rPr>
      </w:pPr>
      <w:r>
        <w:rPr>
          <w:szCs w:val="24"/>
        </w:rPr>
        <w:t xml:space="preserve">MSAC </w:t>
      </w:r>
      <w:r w:rsidR="00306933">
        <w:rPr>
          <w:szCs w:val="24"/>
        </w:rPr>
        <w:t>foreshadowed the following</w:t>
      </w:r>
      <w:r>
        <w:rPr>
          <w:szCs w:val="24"/>
        </w:rPr>
        <w:t xml:space="preserve"> item descriptor and notes</w:t>
      </w:r>
      <w:r w:rsidR="00306933">
        <w:rPr>
          <w:szCs w:val="24"/>
        </w:rPr>
        <w:t xml:space="preserve">, </w:t>
      </w:r>
      <w:r>
        <w:rPr>
          <w:szCs w:val="24"/>
        </w:rPr>
        <w:t>noting that this does not include the PBAC requirement for Class4/5 mutation</w:t>
      </w:r>
      <w:r w:rsidR="00137DF5">
        <w:rPr>
          <w:szCs w:val="24"/>
        </w:rPr>
        <w:t xml:space="preserve"> (which would be a matter for the PBS restriction rather than the MBS item descriptor)</w:t>
      </w:r>
      <w:r>
        <w:rPr>
          <w:szCs w:val="24"/>
        </w:rPr>
        <w:t xml:space="preserve">, and there is potential for PBAC to make other recommendations which may affect the </w:t>
      </w:r>
      <w:r w:rsidR="00137DF5">
        <w:rPr>
          <w:szCs w:val="24"/>
        </w:rPr>
        <w:t xml:space="preserve">associated </w:t>
      </w:r>
      <w:r>
        <w:rPr>
          <w:szCs w:val="24"/>
        </w:rPr>
        <w:t xml:space="preserve">MBS item descriptor </w:t>
      </w:r>
      <w:r w:rsidR="00137DF5">
        <w:rPr>
          <w:szCs w:val="24"/>
        </w:rPr>
        <w:t xml:space="preserve">for </w:t>
      </w:r>
      <w:r w:rsidR="00137DF5" w:rsidRPr="00137DF5">
        <w:rPr>
          <w:i/>
          <w:szCs w:val="24"/>
        </w:rPr>
        <w:t>BRCA</w:t>
      </w:r>
      <w:r w:rsidR="00137DF5">
        <w:rPr>
          <w:szCs w:val="24"/>
        </w:rPr>
        <w:t xml:space="preserve"> testing </w:t>
      </w:r>
      <w:r>
        <w:rPr>
          <w:szCs w:val="24"/>
        </w:rPr>
        <w:t>whe</w:t>
      </w:r>
      <w:r w:rsidR="00306933">
        <w:rPr>
          <w:szCs w:val="24"/>
        </w:rPr>
        <w:t xml:space="preserve">n </w:t>
      </w:r>
      <w:r w:rsidR="00137DF5">
        <w:rPr>
          <w:szCs w:val="24"/>
        </w:rPr>
        <w:t>PBAC</w:t>
      </w:r>
      <w:r w:rsidR="00306933">
        <w:rPr>
          <w:szCs w:val="24"/>
        </w:rPr>
        <w:t xml:space="preserve"> further considers olaparib</w:t>
      </w:r>
      <w:r w:rsidR="00D43437">
        <w:rPr>
          <w:szCs w:val="24"/>
        </w:rPr>
        <w:t>:</w:t>
      </w:r>
    </w:p>
    <w:p w14:paraId="2E1F76FE" w14:textId="760608A5" w:rsidR="005455C6" w:rsidRPr="000243F7" w:rsidRDefault="005455C6" w:rsidP="00D43437">
      <w:pPr>
        <w:spacing w:after="240"/>
        <w:rPr>
          <w:i/>
          <w:szCs w:val="24"/>
        </w:rPr>
      </w:pPr>
      <w:r w:rsidRPr="000243F7">
        <w:rPr>
          <w:i/>
          <w:szCs w:val="24"/>
        </w:rPr>
        <w:t xml:space="preserve">Detection of germline BRCA1 </w:t>
      </w:r>
      <w:r w:rsidR="00137DF5">
        <w:rPr>
          <w:i/>
          <w:szCs w:val="24"/>
        </w:rPr>
        <w:t>or</w:t>
      </w:r>
      <w:r w:rsidRPr="000243F7">
        <w:rPr>
          <w:i/>
          <w:szCs w:val="24"/>
        </w:rPr>
        <w:t xml:space="preserve"> BRCA2 gene mutations, in a patient </w:t>
      </w:r>
      <w:r w:rsidR="00E26081">
        <w:rPr>
          <w:i/>
          <w:szCs w:val="24"/>
        </w:rPr>
        <w:t>with platinum-</w:t>
      </w:r>
      <w:r w:rsidRPr="000243F7">
        <w:rPr>
          <w:i/>
          <w:szCs w:val="24"/>
        </w:rPr>
        <w:t xml:space="preserve">sensitive relapsed ovarian, fallopian tube or primary peritoneal cancer with high grade serous features or a high grade serous component, </w:t>
      </w:r>
      <w:r w:rsidR="00581A35">
        <w:rPr>
          <w:i/>
          <w:szCs w:val="24"/>
        </w:rPr>
        <w:t xml:space="preserve">and who has responded to </w:t>
      </w:r>
      <w:r w:rsidR="002F0644">
        <w:rPr>
          <w:i/>
          <w:szCs w:val="24"/>
        </w:rPr>
        <w:t xml:space="preserve">subsequent </w:t>
      </w:r>
      <w:r w:rsidR="00581A35">
        <w:rPr>
          <w:i/>
          <w:szCs w:val="24"/>
        </w:rPr>
        <w:t xml:space="preserve">platinum-based chemotherapy, </w:t>
      </w:r>
      <w:r w:rsidRPr="000243F7">
        <w:rPr>
          <w:i/>
          <w:szCs w:val="24"/>
        </w:rPr>
        <w:t>to determine whether the eligibility criteria for olaparib under the Pharmaceutical Benefits Scheme are fulfilled.</w:t>
      </w:r>
    </w:p>
    <w:p w14:paraId="035AB206" w14:textId="38E865CA" w:rsidR="005455C6" w:rsidRPr="000243F7" w:rsidRDefault="005455C6" w:rsidP="005455C6">
      <w:pPr>
        <w:rPr>
          <w:i/>
          <w:szCs w:val="24"/>
        </w:rPr>
      </w:pPr>
      <w:r w:rsidRPr="000243F7">
        <w:rPr>
          <w:i/>
          <w:szCs w:val="24"/>
        </w:rPr>
        <w:lastRenderedPageBreak/>
        <w:t>Note: The test must be requested by a medical specialist responsible for the patient’s care.</w:t>
      </w:r>
    </w:p>
    <w:p w14:paraId="496C538A" w14:textId="561C29BF" w:rsidR="005455C6" w:rsidRPr="000243F7" w:rsidRDefault="005455C6" w:rsidP="005455C6">
      <w:pPr>
        <w:rPr>
          <w:i/>
          <w:szCs w:val="24"/>
        </w:rPr>
      </w:pPr>
      <w:r w:rsidRPr="000243F7">
        <w:rPr>
          <w:i/>
          <w:szCs w:val="24"/>
        </w:rPr>
        <w:t>Note: The benefit is l</w:t>
      </w:r>
      <w:r w:rsidR="00E26081">
        <w:rPr>
          <w:i/>
          <w:szCs w:val="24"/>
        </w:rPr>
        <w:t>imited to one test per patient.</w:t>
      </w:r>
    </w:p>
    <w:p w14:paraId="0A98DF74" w14:textId="0D2D43F9" w:rsidR="002938CB" w:rsidRPr="00D43437" w:rsidRDefault="005455C6" w:rsidP="00D43437">
      <w:pPr>
        <w:spacing w:after="240"/>
        <w:rPr>
          <w:i/>
          <w:szCs w:val="24"/>
        </w:rPr>
      </w:pPr>
      <w:r w:rsidRPr="000243F7">
        <w:rPr>
          <w:i/>
          <w:szCs w:val="24"/>
        </w:rPr>
        <w:t>Note: Patients who are found to have a BRCA1 or BRCA2 mutation should be referred for post-test genetic counselling, as there may be implications for other family members.</w:t>
      </w:r>
    </w:p>
    <w:p w14:paraId="182F0CFA" w14:textId="77777777" w:rsidR="00BC1364" w:rsidRPr="00D90A38" w:rsidRDefault="00BC1364" w:rsidP="007B32D1">
      <w:pPr>
        <w:pStyle w:val="Heading1"/>
        <w:numPr>
          <w:ilvl w:val="0"/>
          <w:numId w:val="23"/>
        </w:numPr>
        <w:ind w:hanging="720"/>
      </w:pPr>
      <w:r w:rsidRPr="00D90A38">
        <w:t>Background</w:t>
      </w:r>
    </w:p>
    <w:p w14:paraId="60119A73" w14:textId="77777777" w:rsidR="00BC1364" w:rsidRPr="000D4FF8" w:rsidRDefault="00BC1364" w:rsidP="00DD2858">
      <w:pPr>
        <w:rPr>
          <w:szCs w:val="24"/>
        </w:rPr>
      </w:pPr>
    </w:p>
    <w:p w14:paraId="1E5F207F" w14:textId="77777777" w:rsidR="007B32D1" w:rsidRDefault="00DD472A" w:rsidP="007B32D1">
      <w:pPr>
        <w:rPr>
          <w:szCs w:val="24"/>
        </w:rPr>
      </w:pPr>
      <w:r w:rsidRPr="00DD472A">
        <w:rPr>
          <w:szCs w:val="24"/>
        </w:rPr>
        <w:t xml:space="preserve">There are no current arrangements for public reimbursement for </w:t>
      </w:r>
      <w:r w:rsidRPr="00306933">
        <w:rPr>
          <w:i/>
          <w:szCs w:val="24"/>
        </w:rPr>
        <w:t>BRCA</w:t>
      </w:r>
      <w:r w:rsidRPr="00DD472A">
        <w:rPr>
          <w:szCs w:val="24"/>
        </w:rPr>
        <w:t>m testing on the MBS.</w:t>
      </w:r>
    </w:p>
    <w:p w14:paraId="426E5F22" w14:textId="77777777" w:rsidR="00DD472A" w:rsidRPr="00DD472A" w:rsidRDefault="00DD472A" w:rsidP="007B32D1"/>
    <w:p w14:paraId="1F4481A2" w14:textId="77777777" w:rsidR="00BC1364" w:rsidRPr="00D90A38" w:rsidRDefault="00BC1364" w:rsidP="007B32D1">
      <w:pPr>
        <w:pStyle w:val="Heading1"/>
        <w:numPr>
          <w:ilvl w:val="0"/>
          <w:numId w:val="23"/>
        </w:numPr>
        <w:ind w:hanging="720"/>
      </w:pPr>
      <w:r w:rsidRPr="00D90A38">
        <w:t>Prerequisites to implementation of any funding advice</w:t>
      </w:r>
    </w:p>
    <w:p w14:paraId="222DD502" w14:textId="77777777" w:rsidR="00BC1364" w:rsidRPr="008E110B" w:rsidRDefault="00BC1364" w:rsidP="008E110B">
      <w:pPr>
        <w:tabs>
          <w:tab w:val="left" w:pos="720"/>
          <w:tab w:val="left" w:pos="1140"/>
        </w:tabs>
        <w:rPr>
          <w:szCs w:val="24"/>
        </w:rPr>
      </w:pPr>
    </w:p>
    <w:p w14:paraId="53516732" w14:textId="0900A339" w:rsidR="00DD472A" w:rsidRPr="00DD472A" w:rsidRDefault="00DD472A" w:rsidP="00DD472A">
      <w:pPr>
        <w:autoSpaceDE w:val="0"/>
        <w:autoSpaceDN w:val="0"/>
        <w:adjustRightInd w:val="0"/>
        <w:rPr>
          <w:szCs w:val="24"/>
        </w:rPr>
      </w:pPr>
      <w:r w:rsidRPr="00DD472A">
        <w:rPr>
          <w:szCs w:val="24"/>
        </w:rPr>
        <w:t xml:space="preserve">All current providers use in-house developed </w:t>
      </w:r>
      <w:r w:rsidRPr="00306933">
        <w:rPr>
          <w:i/>
          <w:szCs w:val="24"/>
        </w:rPr>
        <w:t>BRCA</w:t>
      </w:r>
      <w:r w:rsidRPr="00DD472A">
        <w:rPr>
          <w:szCs w:val="24"/>
        </w:rPr>
        <w:t xml:space="preserve"> testing methods (as opp</w:t>
      </w:r>
      <w:r w:rsidR="006E6A87">
        <w:rPr>
          <w:szCs w:val="24"/>
        </w:rPr>
        <w:t xml:space="preserve">osed to commercial test kits). </w:t>
      </w:r>
      <w:r w:rsidRPr="00DD472A">
        <w:rPr>
          <w:szCs w:val="24"/>
        </w:rPr>
        <w:t xml:space="preserve">Laboratories that deal with in-house diagnostic tests, such as the </w:t>
      </w:r>
      <w:r w:rsidRPr="00306933">
        <w:rPr>
          <w:i/>
          <w:szCs w:val="24"/>
        </w:rPr>
        <w:t>BRCA</w:t>
      </w:r>
      <w:r w:rsidRPr="00DD472A">
        <w:rPr>
          <w:szCs w:val="24"/>
        </w:rPr>
        <w:t xml:space="preserve"> test, are to provide the TGA with a declaration of conformity (DoC) that the in-house methods comply with essenti</w:t>
      </w:r>
      <w:r w:rsidR="006E6A87">
        <w:rPr>
          <w:szCs w:val="24"/>
        </w:rPr>
        <w:t xml:space="preserve">al principles by 30 June 2017. </w:t>
      </w:r>
      <w:r w:rsidRPr="00DD472A">
        <w:rPr>
          <w:szCs w:val="24"/>
        </w:rPr>
        <w:t xml:space="preserve">Any commercial test kits for </w:t>
      </w:r>
      <w:r w:rsidRPr="00306933">
        <w:rPr>
          <w:i/>
          <w:szCs w:val="24"/>
        </w:rPr>
        <w:t>BRCA</w:t>
      </w:r>
      <w:r w:rsidRPr="00DD472A">
        <w:rPr>
          <w:szCs w:val="24"/>
        </w:rPr>
        <w:t xml:space="preserve"> mutation testing would require a submission to the TGA for listing on the Australian Register of Therapeutic Goods (ARTG).</w:t>
      </w:r>
    </w:p>
    <w:p w14:paraId="74F0CF37" w14:textId="77777777" w:rsidR="00BC1364" w:rsidRPr="008E110B" w:rsidRDefault="00BC1364" w:rsidP="009E0D98">
      <w:pPr>
        <w:tabs>
          <w:tab w:val="left" w:pos="720"/>
          <w:tab w:val="left" w:pos="1140"/>
        </w:tabs>
        <w:rPr>
          <w:szCs w:val="24"/>
        </w:rPr>
      </w:pPr>
    </w:p>
    <w:p w14:paraId="2069D1EA" w14:textId="56EE1890" w:rsidR="00BC1364" w:rsidRPr="007B32D1" w:rsidRDefault="00BC1364" w:rsidP="007B32D1">
      <w:pPr>
        <w:pStyle w:val="Heading1"/>
        <w:numPr>
          <w:ilvl w:val="0"/>
          <w:numId w:val="23"/>
        </w:numPr>
        <w:ind w:hanging="720"/>
      </w:pPr>
      <w:r w:rsidRPr="007B32D1">
        <w:t>Proposal for public funding</w:t>
      </w:r>
    </w:p>
    <w:p w14:paraId="16A6C38B" w14:textId="77777777" w:rsidR="00BC1364" w:rsidRDefault="00BC1364" w:rsidP="00AB3BFC">
      <w:pPr>
        <w:tabs>
          <w:tab w:val="left" w:pos="720"/>
          <w:tab w:val="left" w:pos="1140"/>
        </w:tabs>
        <w:rPr>
          <w:sz w:val="23"/>
          <w:szCs w:val="23"/>
        </w:rPr>
      </w:pPr>
    </w:p>
    <w:p w14:paraId="16A8748E" w14:textId="6317CD0F" w:rsidR="00DD472A" w:rsidRPr="00885907" w:rsidRDefault="00DD472A" w:rsidP="00DD472A">
      <w:pPr>
        <w:rPr>
          <w:rFonts w:ascii="Arial" w:hAnsi="Arial" w:cs="Arial"/>
          <w:b/>
          <w:sz w:val="20"/>
        </w:rPr>
      </w:pPr>
      <w:r w:rsidRPr="00885907">
        <w:rPr>
          <w:rFonts w:ascii="Arial" w:hAnsi="Arial" w:cs="Arial"/>
          <w:b/>
          <w:sz w:val="20"/>
        </w:rPr>
        <w:t>Applicant</w:t>
      </w:r>
      <w:r w:rsidR="008E110B">
        <w:rPr>
          <w:rFonts w:ascii="Arial" w:hAnsi="Arial" w:cs="Arial"/>
          <w:b/>
          <w:sz w:val="20"/>
        </w:rPr>
        <w:t>-</w:t>
      </w:r>
      <w:r w:rsidR="008E110B" w:rsidRPr="00885907">
        <w:rPr>
          <w:rFonts w:ascii="Arial" w:hAnsi="Arial" w:cs="Arial"/>
          <w:b/>
          <w:sz w:val="20"/>
        </w:rPr>
        <w:t>p</w:t>
      </w:r>
      <w:r w:rsidRPr="00885907">
        <w:rPr>
          <w:rFonts w:ascii="Arial" w:hAnsi="Arial" w:cs="Arial"/>
          <w:b/>
          <w:sz w:val="20"/>
        </w:rPr>
        <w:t>roposed MBS listing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w:tblPr>
      <w:tblGrid>
        <w:gridCol w:w="8421"/>
      </w:tblGrid>
      <w:tr w:rsidR="00DD472A" w:rsidRPr="009E132D" w14:paraId="362313E4" w14:textId="77777777" w:rsidTr="007C6EBC">
        <w:tc>
          <w:tcPr>
            <w:tcW w:w="8421" w:type="dxa"/>
          </w:tcPr>
          <w:p w14:paraId="578C22E2" w14:textId="77777777" w:rsidR="00DD472A" w:rsidRPr="00BF09FD" w:rsidRDefault="00DD472A" w:rsidP="007C6EBC">
            <w:pPr>
              <w:pStyle w:val="TableText"/>
              <w:spacing w:before="60" w:after="60"/>
              <w:jc w:val="right"/>
              <w:rPr>
                <w:b/>
              </w:rPr>
            </w:pPr>
            <w:r w:rsidRPr="00BF09FD">
              <w:rPr>
                <w:b/>
              </w:rPr>
              <w:t>Category</w:t>
            </w:r>
            <w:r w:rsidRPr="00BF09FD">
              <w:rPr>
                <w:rFonts w:ascii="Times New Roman" w:hAnsi="Times New Roman"/>
                <w:b/>
              </w:rPr>
              <w:t xml:space="preserve"> </w:t>
            </w:r>
            <w:r w:rsidRPr="00BF09FD">
              <w:rPr>
                <w:b/>
              </w:rPr>
              <w:t>6 PATHOLOGY SERVICES</w:t>
            </w:r>
          </w:p>
        </w:tc>
      </w:tr>
      <w:tr w:rsidR="00DD472A" w:rsidRPr="009E132D" w14:paraId="55706D00" w14:textId="77777777" w:rsidTr="007C6EBC">
        <w:tc>
          <w:tcPr>
            <w:tcW w:w="8421" w:type="dxa"/>
          </w:tcPr>
          <w:p w14:paraId="7ABED8DB" w14:textId="77777777" w:rsidR="00DD472A" w:rsidRDefault="00DD472A" w:rsidP="007C6EBC">
            <w:pPr>
              <w:pStyle w:val="TableText"/>
            </w:pPr>
          </w:p>
          <w:p w14:paraId="06925142" w14:textId="2F181C89" w:rsidR="00DD472A" w:rsidRPr="00DE2F92" w:rsidRDefault="00DD472A" w:rsidP="007C6EBC">
            <w:pPr>
              <w:pStyle w:val="TableText"/>
            </w:pPr>
            <w:r w:rsidRPr="00DE2F92">
              <w:t xml:space="preserve">Detection of </w:t>
            </w:r>
            <w:r w:rsidRPr="00306933">
              <w:rPr>
                <w:i/>
              </w:rPr>
              <w:t>BRCA1</w:t>
            </w:r>
            <w:r w:rsidRPr="00DE2F92">
              <w:t xml:space="preserve"> and </w:t>
            </w:r>
            <w:r w:rsidRPr="00306933">
              <w:rPr>
                <w:i/>
              </w:rPr>
              <w:t>BRCA2</w:t>
            </w:r>
            <w:r w:rsidRPr="00DE2F92">
              <w:t xml:space="preserve"> gene mutations, in a patient diagnosed with </w:t>
            </w:r>
            <w:r w:rsidR="00ED14ED">
              <w:t>platinum-sensitive</w:t>
            </w:r>
            <w:r w:rsidRPr="00DE2F92">
              <w:t xml:space="preserve"> relapsed ovarian, fallopian tube or primary peritoneal cancer with high grade serous features or a high grade serous component, to determine whether the eligibility criteria for olaparib under the Pharmaceutical Benefits Scheme are fulfilled.</w:t>
            </w:r>
          </w:p>
          <w:p w14:paraId="364402A8" w14:textId="77777777" w:rsidR="00DD472A" w:rsidRPr="00DE2F92" w:rsidRDefault="00DD472A" w:rsidP="007C6EBC">
            <w:pPr>
              <w:pStyle w:val="TableText"/>
            </w:pPr>
          </w:p>
          <w:p w14:paraId="6A26AAEA" w14:textId="77777777" w:rsidR="00DD472A" w:rsidRDefault="00DD472A" w:rsidP="007C6EBC">
            <w:pPr>
              <w:pStyle w:val="TableText"/>
            </w:pPr>
            <w:r w:rsidRPr="00DE2F92">
              <w:t xml:space="preserve">Note: Patients who are found to have </w:t>
            </w:r>
            <w:r w:rsidRPr="00306933">
              <w:rPr>
                <w:i/>
              </w:rPr>
              <w:t>BRCA1</w:t>
            </w:r>
            <w:r w:rsidRPr="00DE2F92">
              <w:t xml:space="preserve"> or </w:t>
            </w:r>
            <w:r w:rsidRPr="00306933">
              <w:rPr>
                <w:i/>
              </w:rPr>
              <w:t>BRCA2</w:t>
            </w:r>
            <w:r w:rsidRPr="00DE2F92">
              <w:t xml:space="preserve"> mutation should be referred for post-test genetic counselling, as there may be implications for other family members.</w:t>
            </w:r>
          </w:p>
          <w:p w14:paraId="6877C293" w14:textId="77777777" w:rsidR="00DD472A" w:rsidRPr="009E132D" w:rsidRDefault="00DD472A" w:rsidP="007C6EBC">
            <w:pPr>
              <w:pStyle w:val="TableText"/>
            </w:pPr>
          </w:p>
        </w:tc>
      </w:tr>
      <w:tr w:rsidR="00DD472A" w:rsidRPr="009E132D" w14:paraId="3EDAFEA4" w14:textId="77777777" w:rsidTr="007C6EBC">
        <w:tc>
          <w:tcPr>
            <w:tcW w:w="8421" w:type="dxa"/>
          </w:tcPr>
          <w:p w14:paraId="55126C8B" w14:textId="70F7D1CF" w:rsidR="00DD472A" w:rsidRPr="009E132D" w:rsidRDefault="00DD472A" w:rsidP="00995FB8">
            <w:pPr>
              <w:pStyle w:val="TableText"/>
              <w:spacing w:before="60" w:after="60"/>
            </w:pPr>
            <w:r>
              <w:t>Fee: $</w:t>
            </w:r>
            <w:r w:rsidR="00995FB8" w:rsidRPr="00995FB8">
              <w:rPr>
                <w:b/>
                <w:szCs w:val="24"/>
              </w:rPr>
              <w:t>redacted</w:t>
            </w:r>
          </w:p>
        </w:tc>
      </w:tr>
    </w:tbl>
    <w:p w14:paraId="7267B3DD" w14:textId="77777777" w:rsidR="00BC1364" w:rsidRPr="008E110B" w:rsidRDefault="00BC1364" w:rsidP="00AB3BFC">
      <w:pPr>
        <w:tabs>
          <w:tab w:val="left" w:pos="720"/>
          <w:tab w:val="left" w:pos="1140"/>
        </w:tabs>
        <w:rPr>
          <w:szCs w:val="24"/>
        </w:rPr>
      </w:pPr>
    </w:p>
    <w:p w14:paraId="0F6C20C5" w14:textId="4B0B82F8" w:rsidR="00E06107" w:rsidRPr="00E06107" w:rsidRDefault="00E06107" w:rsidP="00E06107">
      <w:pPr>
        <w:tabs>
          <w:tab w:val="left" w:pos="720"/>
          <w:tab w:val="left" w:pos="1140"/>
        </w:tabs>
        <w:rPr>
          <w:szCs w:val="24"/>
        </w:rPr>
      </w:pPr>
      <w:r w:rsidRPr="00E06107">
        <w:rPr>
          <w:szCs w:val="24"/>
        </w:rPr>
        <w:t xml:space="preserve">The </w:t>
      </w:r>
      <w:r w:rsidR="005C6F87">
        <w:rPr>
          <w:szCs w:val="24"/>
        </w:rPr>
        <w:t>submission</w:t>
      </w:r>
      <w:r w:rsidR="00E50BBB">
        <w:rPr>
          <w:szCs w:val="24"/>
        </w:rPr>
        <w:t>-</w:t>
      </w:r>
      <w:r w:rsidR="005C6F87">
        <w:rPr>
          <w:szCs w:val="24"/>
        </w:rPr>
        <w:t>based assessment report</w:t>
      </w:r>
      <w:r w:rsidRPr="00E06107">
        <w:rPr>
          <w:szCs w:val="24"/>
        </w:rPr>
        <w:t xml:space="preserve"> deviated from the Final Protocol agreed by </w:t>
      </w:r>
      <w:r w:rsidR="005C6F87">
        <w:rPr>
          <w:szCs w:val="24"/>
        </w:rPr>
        <w:t xml:space="preserve">the </w:t>
      </w:r>
      <w:r w:rsidRPr="00E06107">
        <w:rPr>
          <w:szCs w:val="24"/>
        </w:rPr>
        <w:t xml:space="preserve">Protocol Advisory Sub-Committee </w:t>
      </w:r>
      <w:r>
        <w:rPr>
          <w:szCs w:val="24"/>
        </w:rPr>
        <w:t>(PASC)</w:t>
      </w:r>
      <w:r w:rsidRPr="00E06107">
        <w:rPr>
          <w:szCs w:val="24"/>
        </w:rPr>
        <w:t xml:space="preserve">, to include tumour mutation testing in addition to germline testing. Whilst germline </w:t>
      </w:r>
      <w:r w:rsidRPr="00306933">
        <w:rPr>
          <w:i/>
          <w:szCs w:val="24"/>
        </w:rPr>
        <w:t>BRCA</w:t>
      </w:r>
      <w:r w:rsidRPr="00E06107">
        <w:rPr>
          <w:szCs w:val="24"/>
        </w:rPr>
        <w:t xml:space="preserve"> mutation testing is well established, somatic </w:t>
      </w:r>
      <w:r w:rsidRPr="00306933">
        <w:rPr>
          <w:i/>
          <w:szCs w:val="24"/>
        </w:rPr>
        <w:t>BRCA</w:t>
      </w:r>
      <w:r w:rsidRPr="00E06107">
        <w:rPr>
          <w:szCs w:val="24"/>
        </w:rPr>
        <w:t xml:space="preserve"> mutation testing is still undergoing validation.</w:t>
      </w:r>
    </w:p>
    <w:p w14:paraId="4231E63B" w14:textId="77777777" w:rsidR="00E06107" w:rsidRPr="00E06107" w:rsidRDefault="00E06107" w:rsidP="00E06107">
      <w:pPr>
        <w:tabs>
          <w:tab w:val="left" w:pos="720"/>
          <w:tab w:val="left" w:pos="1140"/>
        </w:tabs>
        <w:rPr>
          <w:szCs w:val="24"/>
        </w:rPr>
      </w:pPr>
    </w:p>
    <w:p w14:paraId="0F5A35E9" w14:textId="549E1557" w:rsidR="00E06107" w:rsidRPr="00E06107" w:rsidRDefault="00E06107" w:rsidP="00E06107">
      <w:pPr>
        <w:tabs>
          <w:tab w:val="left" w:pos="720"/>
          <w:tab w:val="left" w:pos="1140"/>
        </w:tabs>
        <w:rPr>
          <w:szCs w:val="24"/>
        </w:rPr>
      </w:pPr>
      <w:r w:rsidRPr="00E06107">
        <w:rPr>
          <w:szCs w:val="24"/>
        </w:rPr>
        <w:t xml:space="preserve">Testing is done by a variety of </w:t>
      </w:r>
      <w:r w:rsidR="005C24CC">
        <w:rPr>
          <w:szCs w:val="24"/>
        </w:rPr>
        <w:t>methods</w:t>
      </w:r>
      <w:r w:rsidR="008E110B">
        <w:rPr>
          <w:szCs w:val="24"/>
        </w:rPr>
        <w:t>,</w:t>
      </w:r>
      <w:r w:rsidR="005C24CC">
        <w:rPr>
          <w:szCs w:val="24"/>
        </w:rPr>
        <w:t xml:space="preserve"> </w:t>
      </w:r>
      <w:r w:rsidRPr="00E06107">
        <w:rPr>
          <w:szCs w:val="24"/>
        </w:rPr>
        <w:t xml:space="preserve">but will most likely be by next-generation sequencing and multiplex ligation-dependent probe amplification in the future in order to pick up the wide variety of mutations that affect </w:t>
      </w:r>
      <w:r w:rsidRPr="00306933">
        <w:rPr>
          <w:i/>
          <w:szCs w:val="24"/>
        </w:rPr>
        <w:t>BRCA1</w:t>
      </w:r>
      <w:r w:rsidRPr="00E06107">
        <w:rPr>
          <w:szCs w:val="24"/>
        </w:rPr>
        <w:t xml:space="preserve"> or </w:t>
      </w:r>
      <w:r w:rsidR="00306933" w:rsidRPr="00306933">
        <w:rPr>
          <w:i/>
          <w:szCs w:val="24"/>
        </w:rPr>
        <w:t>BRCA</w:t>
      </w:r>
      <w:r w:rsidRPr="00306933">
        <w:rPr>
          <w:i/>
          <w:szCs w:val="24"/>
        </w:rPr>
        <w:t>2</w:t>
      </w:r>
      <w:r w:rsidR="008E110B">
        <w:rPr>
          <w:szCs w:val="24"/>
        </w:rPr>
        <w:t>.</w:t>
      </w:r>
    </w:p>
    <w:p w14:paraId="12D2E245" w14:textId="77777777" w:rsidR="00E06107" w:rsidRPr="00E06107" w:rsidRDefault="00E06107" w:rsidP="00E06107">
      <w:pPr>
        <w:tabs>
          <w:tab w:val="left" w:pos="720"/>
          <w:tab w:val="left" w:pos="1140"/>
        </w:tabs>
        <w:rPr>
          <w:szCs w:val="24"/>
        </w:rPr>
      </w:pPr>
    </w:p>
    <w:p w14:paraId="3F3F3481" w14:textId="5F356653" w:rsidR="00B40B88" w:rsidRDefault="00E06107" w:rsidP="00E06107">
      <w:pPr>
        <w:tabs>
          <w:tab w:val="left" w:pos="720"/>
          <w:tab w:val="left" w:pos="1140"/>
        </w:tabs>
        <w:rPr>
          <w:szCs w:val="24"/>
        </w:rPr>
      </w:pPr>
      <w:r w:rsidRPr="00E06107">
        <w:rPr>
          <w:szCs w:val="24"/>
        </w:rPr>
        <w:t xml:space="preserve">Currently, the wording of the test restriction does not include that one test applies per patient in a lifetime nor whether the test could include germline or tumour line approaches. One test per patient in a lifetime would be appropriate for germline </w:t>
      </w:r>
      <w:r w:rsidRPr="00306933">
        <w:rPr>
          <w:i/>
          <w:szCs w:val="24"/>
        </w:rPr>
        <w:t>BRCA</w:t>
      </w:r>
      <w:r w:rsidRPr="00E06107">
        <w:rPr>
          <w:szCs w:val="24"/>
        </w:rPr>
        <w:t xml:space="preserve"> testing, but not for somatic (tumour) </w:t>
      </w:r>
      <w:r w:rsidRPr="00306933">
        <w:rPr>
          <w:i/>
          <w:szCs w:val="24"/>
        </w:rPr>
        <w:t>BRCA</w:t>
      </w:r>
      <w:r w:rsidRPr="00E06107">
        <w:rPr>
          <w:szCs w:val="24"/>
        </w:rPr>
        <w:t xml:space="preserve"> testing</w:t>
      </w:r>
      <w:r w:rsidR="008E110B">
        <w:rPr>
          <w:szCs w:val="24"/>
        </w:rPr>
        <w:t>,</w:t>
      </w:r>
      <w:r w:rsidRPr="00E06107">
        <w:rPr>
          <w:szCs w:val="24"/>
        </w:rPr>
        <w:t xml:space="preserve"> as patients may develop subsequent tumours with different biomarker/mutation profiles.</w:t>
      </w:r>
    </w:p>
    <w:p w14:paraId="7D9B78ED" w14:textId="1022C0EF" w:rsidR="00C52440" w:rsidRDefault="00C52440">
      <w:pPr>
        <w:rPr>
          <w:rFonts w:ascii="Arial" w:hAnsi="Arial"/>
          <w:b/>
          <w:bCs/>
          <w:szCs w:val="28"/>
        </w:rPr>
      </w:pPr>
    </w:p>
    <w:p w14:paraId="0D4E0285" w14:textId="69C675A0" w:rsidR="00BC1364" w:rsidRPr="007B32D1" w:rsidRDefault="00BC1364" w:rsidP="007B32D1">
      <w:pPr>
        <w:pStyle w:val="Heading1"/>
        <w:numPr>
          <w:ilvl w:val="0"/>
          <w:numId w:val="23"/>
        </w:numPr>
        <w:ind w:hanging="720"/>
      </w:pPr>
      <w:r w:rsidRPr="007B32D1">
        <w:t xml:space="preserve">Summary of </w:t>
      </w:r>
      <w:r w:rsidR="000D4FF8">
        <w:t>public consultation</w:t>
      </w:r>
      <w:r w:rsidR="000D4FF8" w:rsidRPr="007B32D1">
        <w:t xml:space="preserve"> feedback</w:t>
      </w:r>
      <w:r w:rsidR="000D4FF8">
        <w:t>/consumer is</w:t>
      </w:r>
      <w:r w:rsidR="003D7F29">
        <w:t>sues</w:t>
      </w:r>
    </w:p>
    <w:p w14:paraId="04C35C8C" w14:textId="77777777" w:rsidR="00BC1364" w:rsidRPr="008E110B" w:rsidRDefault="00BC1364" w:rsidP="00DD2858">
      <w:pPr>
        <w:rPr>
          <w:szCs w:val="24"/>
        </w:rPr>
      </w:pPr>
    </w:p>
    <w:p w14:paraId="55C20B20" w14:textId="60020D93" w:rsidR="00E06107" w:rsidRPr="00E06107" w:rsidRDefault="00E06107" w:rsidP="00E06107">
      <w:pPr>
        <w:rPr>
          <w:szCs w:val="24"/>
        </w:rPr>
      </w:pPr>
      <w:r w:rsidRPr="00E06107">
        <w:rPr>
          <w:szCs w:val="24"/>
        </w:rPr>
        <w:t xml:space="preserve">Consumers considered that the co-dependent pairing of </w:t>
      </w:r>
      <w:r w:rsidRPr="00306933">
        <w:rPr>
          <w:i/>
          <w:szCs w:val="24"/>
        </w:rPr>
        <w:t>BRCA</w:t>
      </w:r>
      <w:r w:rsidRPr="00E06107">
        <w:rPr>
          <w:szCs w:val="24"/>
        </w:rPr>
        <w:t xml:space="preserve"> testing and olaparib addresses a current unmet clinical need. However, consumers expressed concern about equity of access to the laboratories accredited to perform </w:t>
      </w:r>
      <w:r w:rsidRPr="00306933">
        <w:rPr>
          <w:i/>
          <w:szCs w:val="24"/>
        </w:rPr>
        <w:t>BRCA</w:t>
      </w:r>
      <w:r w:rsidR="00306933">
        <w:rPr>
          <w:szCs w:val="24"/>
        </w:rPr>
        <w:t xml:space="preserve"> testing and</w:t>
      </w:r>
      <w:r w:rsidRPr="00E06107">
        <w:rPr>
          <w:szCs w:val="24"/>
        </w:rPr>
        <w:t xml:space="preserve"> associated genetic counselling and </w:t>
      </w:r>
      <w:r w:rsidRPr="00E06107">
        <w:rPr>
          <w:szCs w:val="24"/>
        </w:rPr>
        <w:lastRenderedPageBreak/>
        <w:t xml:space="preserve">about the lack of clarity over the need for tumour </w:t>
      </w:r>
      <w:r w:rsidRPr="00306933">
        <w:rPr>
          <w:i/>
          <w:szCs w:val="24"/>
        </w:rPr>
        <w:t>BRCA</w:t>
      </w:r>
      <w:r w:rsidRPr="00E06107">
        <w:rPr>
          <w:szCs w:val="24"/>
        </w:rPr>
        <w:t xml:space="preserve"> testing as well as germline </w:t>
      </w:r>
      <w:r w:rsidRPr="00306933">
        <w:rPr>
          <w:i/>
          <w:szCs w:val="24"/>
        </w:rPr>
        <w:t>BRCA</w:t>
      </w:r>
      <w:r w:rsidRPr="00E06107">
        <w:rPr>
          <w:szCs w:val="24"/>
        </w:rPr>
        <w:t xml:space="preserve"> testing.</w:t>
      </w:r>
    </w:p>
    <w:p w14:paraId="1F8B6219" w14:textId="77777777" w:rsidR="00885907" w:rsidRPr="008E110B" w:rsidRDefault="00885907" w:rsidP="00DD2858">
      <w:pPr>
        <w:rPr>
          <w:szCs w:val="24"/>
        </w:rPr>
      </w:pPr>
    </w:p>
    <w:p w14:paraId="5B00C097" w14:textId="77777777" w:rsidR="00BC1364" w:rsidRDefault="00BC1364" w:rsidP="007B32D1">
      <w:pPr>
        <w:pStyle w:val="Heading1"/>
        <w:numPr>
          <w:ilvl w:val="0"/>
          <w:numId w:val="23"/>
        </w:numPr>
        <w:ind w:hanging="720"/>
      </w:pPr>
      <w:r w:rsidRPr="00D90A38">
        <w:t>Proposed intervention’s place in clinical management</w:t>
      </w:r>
    </w:p>
    <w:p w14:paraId="46E9561E" w14:textId="77777777" w:rsidR="00BC1364" w:rsidRPr="008E110B" w:rsidRDefault="00BC1364" w:rsidP="00DD2858">
      <w:pPr>
        <w:rPr>
          <w:szCs w:val="24"/>
        </w:rPr>
      </w:pPr>
    </w:p>
    <w:p w14:paraId="0099A102" w14:textId="77777777" w:rsidR="00E06107" w:rsidRPr="00320171" w:rsidRDefault="00E06107" w:rsidP="00E06107">
      <w:pPr>
        <w:rPr>
          <w:szCs w:val="24"/>
        </w:rPr>
      </w:pPr>
      <w:r w:rsidRPr="00320171">
        <w:rPr>
          <w:szCs w:val="24"/>
        </w:rPr>
        <w:t xml:space="preserve">The submission presented evidence that approximately 23% of Australian women newly diagnosed with high-grade serous ovarian, fallopian tube or primary peritoneal cancer are positive for a </w:t>
      </w:r>
      <w:r w:rsidRPr="00306933">
        <w:rPr>
          <w:i/>
          <w:szCs w:val="24"/>
        </w:rPr>
        <w:t>BRCA</w:t>
      </w:r>
      <w:r w:rsidRPr="00320171">
        <w:rPr>
          <w:szCs w:val="24"/>
        </w:rPr>
        <w:t xml:space="preserve"> mutation. Of the women with a </w:t>
      </w:r>
      <w:r w:rsidRPr="00306933">
        <w:rPr>
          <w:i/>
          <w:szCs w:val="24"/>
        </w:rPr>
        <w:t xml:space="preserve">BRCA </w:t>
      </w:r>
      <w:r w:rsidRPr="00320171">
        <w:rPr>
          <w:szCs w:val="24"/>
        </w:rPr>
        <w:t xml:space="preserve">mutation, germline mutations might account for 84% and an additional 16% are only identified in the tumour (Study 19). The prevalence of </w:t>
      </w:r>
      <w:r w:rsidRPr="00306933">
        <w:rPr>
          <w:i/>
          <w:szCs w:val="24"/>
        </w:rPr>
        <w:t>BRCA</w:t>
      </w:r>
      <w:r w:rsidRPr="00320171">
        <w:rPr>
          <w:szCs w:val="24"/>
        </w:rPr>
        <w:t>m is greatest among patients who are classified ‘platinum-sensitive’; that is, those patients who have responded to platinum-based therapies such as carboplatin. In Study 19, this was estimated at 54% of the randomised participants.</w:t>
      </w:r>
    </w:p>
    <w:p w14:paraId="20C2709E" w14:textId="77777777" w:rsidR="00E06107" w:rsidRPr="00320171" w:rsidRDefault="00E06107" w:rsidP="00E06107">
      <w:pPr>
        <w:rPr>
          <w:szCs w:val="24"/>
        </w:rPr>
      </w:pPr>
    </w:p>
    <w:p w14:paraId="5E671B4A" w14:textId="0D2378A2" w:rsidR="00E06107" w:rsidRPr="00320171" w:rsidRDefault="00E06107" w:rsidP="00E06107">
      <w:pPr>
        <w:rPr>
          <w:szCs w:val="24"/>
        </w:rPr>
      </w:pPr>
      <w:r w:rsidRPr="00320171">
        <w:rPr>
          <w:szCs w:val="24"/>
        </w:rPr>
        <w:t xml:space="preserve">The submission assumed within the proposed clinical management algorithm that germline and tumour </w:t>
      </w:r>
      <w:r w:rsidRPr="00306933">
        <w:rPr>
          <w:i/>
          <w:szCs w:val="24"/>
        </w:rPr>
        <w:t>BRCA</w:t>
      </w:r>
      <w:r w:rsidRPr="00320171">
        <w:rPr>
          <w:szCs w:val="24"/>
        </w:rPr>
        <w:t xml:space="preserve">m testing would be the same, and that no retesting would be required. However, evidence suggested that there could be discordance between </w:t>
      </w:r>
      <w:r w:rsidRPr="00306933">
        <w:rPr>
          <w:i/>
          <w:szCs w:val="24"/>
        </w:rPr>
        <w:t>BRCA</w:t>
      </w:r>
      <w:r w:rsidRPr="00320171">
        <w:rPr>
          <w:szCs w:val="24"/>
        </w:rPr>
        <w:t xml:space="preserve"> mutation status in the germline and tumour (i.e. 18/111 = 16% of </w:t>
      </w:r>
      <w:r w:rsidRPr="00306933">
        <w:rPr>
          <w:szCs w:val="24"/>
        </w:rPr>
        <w:t>BRCA</w:t>
      </w:r>
      <w:r w:rsidRPr="00320171">
        <w:rPr>
          <w:szCs w:val="24"/>
        </w:rPr>
        <w:t xml:space="preserve"> mutations </w:t>
      </w:r>
      <w:r w:rsidR="005C24CC">
        <w:rPr>
          <w:szCs w:val="24"/>
        </w:rPr>
        <w:t xml:space="preserve">were present only </w:t>
      </w:r>
      <w:r w:rsidRPr="00320171">
        <w:rPr>
          <w:szCs w:val="24"/>
        </w:rPr>
        <w:t>in the tumour</w:t>
      </w:r>
      <w:r w:rsidR="005C24CC">
        <w:rPr>
          <w:szCs w:val="24"/>
        </w:rPr>
        <w:t xml:space="preserve"> i.e. were somatic, not heritable, mutations</w:t>
      </w:r>
      <w:r w:rsidRPr="00320171">
        <w:rPr>
          <w:szCs w:val="24"/>
        </w:rPr>
        <w:t xml:space="preserve">). This might mean that archived resected tumour material or additional biopsies might </w:t>
      </w:r>
      <w:r w:rsidR="00094039">
        <w:rPr>
          <w:szCs w:val="24"/>
        </w:rPr>
        <w:t xml:space="preserve">occasionally </w:t>
      </w:r>
      <w:r w:rsidRPr="00320171">
        <w:rPr>
          <w:szCs w:val="24"/>
        </w:rPr>
        <w:t>be required to determine eligibility for treatment with olaparib</w:t>
      </w:r>
      <w:r w:rsidR="005C24CC">
        <w:rPr>
          <w:szCs w:val="24"/>
        </w:rPr>
        <w:t xml:space="preserve">, </w:t>
      </w:r>
      <w:r w:rsidRPr="00320171">
        <w:rPr>
          <w:szCs w:val="24"/>
        </w:rPr>
        <w:t xml:space="preserve">with associated potential harm associated with such biopsies. </w:t>
      </w:r>
      <w:r w:rsidR="005C24CC">
        <w:rPr>
          <w:szCs w:val="24"/>
        </w:rPr>
        <w:t xml:space="preserve">Once tumour testing for </w:t>
      </w:r>
      <w:r w:rsidR="005C24CC" w:rsidRPr="00306933">
        <w:rPr>
          <w:i/>
          <w:szCs w:val="24"/>
        </w:rPr>
        <w:t>BRCA</w:t>
      </w:r>
      <w:r w:rsidR="005C24CC">
        <w:rPr>
          <w:szCs w:val="24"/>
        </w:rPr>
        <w:t xml:space="preserve">m is established, a reasonable strategy could be to </w:t>
      </w:r>
      <w:r w:rsidRPr="00320171">
        <w:rPr>
          <w:szCs w:val="24"/>
        </w:rPr>
        <w:t xml:space="preserve">first </w:t>
      </w:r>
      <w:r w:rsidR="005C24CC">
        <w:rPr>
          <w:szCs w:val="24"/>
        </w:rPr>
        <w:t xml:space="preserve">test </w:t>
      </w:r>
      <w:r w:rsidRPr="00320171">
        <w:rPr>
          <w:szCs w:val="24"/>
        </w:rPr>
        <w:t xml:space="preserve">tumour material, </w:t>
      </w:r>
      <w:r w:rsidR="005C24CC">
        <w:rPr>
          <w:szCs w:val="24"/>
        </w:rPr>
        <w:t xml:space="preserve">thereby identifying both germline and somatic </w:t>
      </w:r>
      <w:r w:rsidR="005C24CC" w:rsidRPr="00306933">
        <w:rPr>
          <w:i/>
          <w:szCs w:val="24"/>
        </w:rPr>
        <w:t>BRCA</w:t>
      </w:r>
      <w:r w:rsidR="005C24CC">
        <w:rPr>
          <w:szCs w:val="24"/>
        </w:rPr>
        <w:t xml:space="preserve">m; in patients with a mutation in the tumour, subsequent testing of blood would be required to identify those with germline mutations as this would </w:t>
      </w:r>
      <w:r w:rsidRPr="00320171">
        <w:rPr>
          <w:szCs w:val="24"/>
        </w:rPr>
        <w:t>have consequences for cascade testing of family members.</w:t>
      </w:r>
    </w:p>
    <w:p w14:paraId="348ECC93" w14:textId="77777777" w:rsidR="00E06107" w:rsidRPr="00320171" w:rsidRDefault="00E06107" w:rsidP="00E06107">
      <w:pPr>
        <w:rPr>
          <w:szCs w:val="24"/>
        </w:rPr>
      </w:pPr>
    </w:p>
    <w:p w14:paraId="654AE7BC" w14:textId="7377DBF8" w:rsidR="00E06107" w:rsidRPr="00320171" w:rsidRDefault="00E06107" w:rsidP="00E06107">
      <w:pPr>
        <w:rPr>
          <w:szCs w:val="24"/>
        </w:rPr>
      </w:pPr>
      <w:r w:rsidRPr="00320171">
        <w:rPr>
          <w:szCs w:val="24"/>
        </w:rPr>
        <w:t xml:space="preserve">The main concern for MSAC was the claim that one next-generation sequencing </w:t>
      </w:r>
      <w:r w:rsidRPr="00306933">
        <w:rPr>
          <w:i/>
          <w:szCs w:val="24"/>
        </w:rPr>
        <w:t>BRCA</w:t>
      </w:r>
      <w:r w:rsidRPr="00320171">
        <w:rPr>
          <w:szCs w:val="24"/>
        </w:rPr>
        <w:t xml:space="preserve">m test (germline or tumour) would correctly identify all olaparib-eligible platinum-sensitive resistant ovarian cancer patients, given the </w:t>
      </w:r>
      <w:r w:rsidR="005C24CC">
        <w:rPr>
          <w:szCs w:val="24"/>
        </w:rPr>
        <w:t xml:space="preserve">limited evidence available regarding the performance of tumour testing and the response to olaparib in patients with somatic </w:t>
      </w:r>
      <w:r w:rsidR="005C24CC" w:rsidRPr="00306933">
        <w:rPr>
          <w:i/>
          <w:szCs w:val="24"/>
        </w:rPr>
        <w:t>BRCA</w:t>
      </w:r>
      <w:r w:rsidR="008E110B">
        <w:rPr>
          <w:szCs w:val="24"/>
        </w:rPr>
        <w:t>m.</w:t>
      </w:r>
    </w:p>
    <w:p w14:paraId="05A90A51" w14:textId="77777777" w:rsidR="00BC1364" w:rsidRPr="008E110B" w:rsidRDefault="00BC1364" w:rsidP="00DD2858">
      <w:pPr>
        <w:rPr>
          <w:szCs w:val="24"/>
        </w:rPr>
      </w:pPr>
    </w:p>
    <w:p w14:paraId="40FD71EF" w14:textId="776620CD" w:rsidR="00BC1364" w:rsidRPr="008D5885" w:rsidRDefault="008E110B" w:rsidP="007B32D1">
      <w:pPr>
        <w:pStyle w:val="Heading1"/>
        <w:numPr>
          <w:ilvl w:val="0"/>
          <w:numId w:val="23"/>
        </w:numPr>
        <w:ind w:hanging="720"/>
      </w:pPr>
      <w:r>
        <w:t>Comparator</w:t>
      </w:r>
    </w:p>
    <w:p w14:paraId="5608B39E" w14:textId="77777777" w:rsidR="00BC1364" w:rsidRPr="008E110B" w:rsidRDefault="00BC1364" w:rsidP="00DD2858">
      <w:pPr>
        <w:rPr>
          <w:szCs w:val="24"/>
        </w:rPr>
      </w:pPr>
    </w:p>
    <w:p w14:paraId="26DF8D6A" w14:textId="77777777" w:rsidR="00320171" w:rsidRPr="00320171" w:rsidRDefault="00320171" w:rsidP="00320171">
      <w:pPr>
        <w:rPr>
          <w:szCs w:val="24"/>
        </w:rPr>
      </w:pPr>
      <w:r w:rsidRPr="00320171">
        <w:rPr>
          <w:szCs w:val="24"/>
        </w:rPr>
        <w:t xml:space="preserve">The submission nominated ‘no </w:t>
      </w:r>
      <w:r w:rsidRPr="00306933">
        <w:rPr>
          <w:i/>
          <w:szCs w:val="24"/>
        </w:rPr>
        <w:t>BRCA</w:t>
      </w:r>
      <w:r w:rsidRPr="00320171">
        <w:rPr>
          <w:szCs w:val="24"/>
        </w:rPr>
        <w:t xml:space="preserve"> testing’ as the appropriate main comparator for </w:t>
      </w:r>
      <w:r w:rsidRPr="00306933">
        <w:rPr>
          <w:i/>
          <w:szCs w:val="24"/>
        </w:rPr>
        <w:t>BRCA</w:t>
      </w:r>
      <w:r w:rsidRPr="00320171">
        <w:rPr>
          <w:szCs w:val="24"/>
        </w:rPr>
        <w:t xml:space="preserve">m testing in this setting. The nomination of the main test comparator was appropriate. However, for patients who have already had a </w:t>
      </w:r>
      <w:r w:rsidRPr="00306933">
        <w:rPr>
          <w:i/>
          <w:szCs w:val="24"/>
        </w:rPr>
        <w:t>BRCA</w:t>
      </w:r>
      <w:r w:rsidRPr="00320171">
        <w:rPr>
          <w:szCs w:val="24"/>
        </w:rPr>
        <w:t xml:space="preserve"> test through familial cancer risk centres, which the submission estimated at 31%, the appropriate comparator would be the ‘</w:t>
      </w:r>
      <w:r w:rsidRPr="00306933">
        <w:rPr>
          <w:i/>
          <w:szCs w:val="24"/>
        </w:rPr>
        <w:t>BRCA</w:t>
      </w:r>
      <w:r w:rsidRPr="00320171">
        <w:rPr>
          <w:szCs w:val="24"/>
        </w:rPr>
        <w:t xml:space="preserve"> test already performed’.</w:t>
      </w:r>
    </w:p>
    <w:p w14:paraId="6940ED41" w14:textId="77777777" w:rsidR="00320171" w:rsidRPr="00320171" w:rsidRDefault="00320171" w:rsidP="00320171">
      <w:pPr>
        <w:rPr>
          <w:szCs w:val="24"/>
        </w:rPr>
      </w:pPr>
    </w:p>
    <w:p w14:paraId="7ADAB6F8" w14:textId="2322AE3D" w:rsidR="00320171" w:rsidRPr="00320171" w:rsidRDefault="00320171" w:rsidP="00885907">
      <w:pPr>
        <w:rPr>
          <w:szCs w:val="24"/>
        </w:rPr>
      </w:pPr>
      <w:r w:rsidRPr="00320171">
        <w:rPr>
          <w:szCs w:val="24"/>
        </w:rPr>
        <w:t xml:space="preserve">The submission’s approach (Table </w:t>
      </w:r>
      <w:r w:rsidR="006E6A87">
        <w:rPr>
          <w:szCs w:val="24"/>
        </w:rPr>
        <w:t>1</w:t>
      </w:r>
      <w:r w:rsidRPr="00320171">
        <w:rPr>
          <w:szCs w:val="24"/>
        </w:rPr>
        <w:t>) was to link the:</w:t>
      </w:r>
    </w:p>
    <w:p w14:paraId="33AA3890" w14:textId="77777777" w:rsidR="00320171" w:rsidRPr="00320171" w:rsidRDefault="00320171" w:rsidP="00885907">
      <w:pPr>
        <w:pStyle w:val="ListParagraph"/>
        <w:numPr>
          <w:ilvl w:val="0"/>
          <w:numId w:val="27"/>
        </w:numPr>
        <w:ind w:left="567"/>
        <w:rPr>
          <w:szCs w:val="24"/>
        </w:rPr>
      </w:pPr>
      <w:r w:rsidRPr="00320171">
        <w:rPr>
          <w:szCs w:val="24"/>
        </w:rPr>
        <w:t xml:space="preserve">prognostic evidence of </w:t>
      </w:r>
      <w:r w:rsidRPr="00306933">
        <w:rPr>
          <w:i/>
          <w:szCs w:val="24"/>
        </w:rPr>
        <w:t>BRCA</w:t>
      </w:r>
      <w:r w:rsidRPr="00320171">
        <w:rPr>
          <w:szCs w:val="24"/>
        </w:rPr>
        <w:t>m in patients with platinum-sensitive relapsed ovarian cancer;</w:t>
      </w:r>
    </w:p>
    <w:p w14:paraId="2448B884" w14:textId="77777777" w:rsidR="00320171" w:rsidRPr="00320171" w:rsidRDefault="00320171" w:rsidP="00885907">
      <w:pPr>
        <w:pStyle w:val="ListParagraph"/>
        <w:numPr>
          <w:ilvl w:val="0"/>
          <w:numId w:val="27"/>
        </w:numPr>
        <w:ind w:left="567"/>
        <w:rPr>
          <w:szCs w:val="24"/>
        </w:rPr>
      </w:pPr>
      <w:r w:rsidRPr="00320171">
        <w:rPr>
          <w:szCs w:val="24"/>
        </w:rPr>
        <w:t xml:space="preserve">diagnostic performance (sensitivity and specificity) of next-generation sequencing versus Sanger sequencing for germline </w:t>
      </w:r>
      <w:r w:rsidRPr="00306933">
        <w:rPr>
          <w:i/>
          <w:szCs w:val="24"/>
        </w:rPr>
        <w:t>BRCA</w:t>
      </w:r>
      <w:r w:rsidRPr="00320171">
        <w:rPr>
          <w:szCs w:val="24"/>
        </w:rPr>
        <w:t>m testing in a broad patient population, that allowed for any type of cancer; and</w:t>
      </w:r>
    </w:p>
    <w:p w14:paraId="414CA465" w14:textId="3D95C3CC" w:rsidR="00320171" w:rsidRDefault="00320171" w:rsidP="00320171">
      <w:pPr>
        <w:pStyle w:val="ListParagraph"/>
        <w:numPr>
          <w:ilvl w:val="0"/>
          <w:numId w:val="27"/>
        </w:numPr>
        <w:ind w:left="567"/>
        <w:rPr>
          <w:szCs w:val="24"/>
        </w:rPr>
      </w:pPr>
      <w:r w:rsidRPr="00320171">
        <w:rPr>
          <w:szCs w:val="24"/>
        </w:rPr>
        <w:t xml:space="preserve">comparative efficacy of germline and tumour </w:t>
      </w:r>
      <w:r w:rsidRPr="00306933">
        <w:rPr>
          <w:i/>
          <w:szCs w:val="24"/>
        </w:rPr>
        <w:t>BRCA</w:t>
      </w:r>
      <w:r w:rsidRPr="00320171">
        <w:rPr>
          <w:szCs w:val="24"/>
        </w:rPr>
        <w:t>m testing in patients with platinum-sensitive relapsed ovarian cancer in Study 19.</w:t>
      </w:r>
    </w:p>
    <w:p w14:paraId="3D2B6FDE" w14:textId="77777777" w:rsidR="00354082" w:rsidRPr="00354082" w:rsidRDefault="00354082" w:rsidP="00354082">
      <w:pPr>
        <w:rPr>
          <w:szCs w:val="24"/>
        </w:rPr>
      </w:pPr>
    </w:p>
    <w:p w14:paraId="344B8D76" w14:textId="04832252" w:rsidR="00320171" w:rsidRPr="00354082" w:rsidRDefault="00320171" w:rsidP="00320171">
      <w:pPr>
        <w:keepNext/>
        <w:rPr>
          <w:rStyle w:val="CommentReference"/>
          <w:rFonts w:ascii="Arial Narrow" w:hAnsi="Arial Narrow" w:cs="Arial"/>
          <w:b/>
          <w:sz w:val="20"/>
          <w:szCs w:val="20"/>
        </w:rPr>
      </w:pPr>
      <w:bookmarkStart w:id="0" w:name="_Toc431891729"/>
      <w:r w:rsidRPr="00354082">
        <w:rPr>
          <w:rStyle w:val="CommentReference"/>
          <w:rFonts w:ascii="Arial Narrow" w:hAnsi="Arial Narrow" w:cs="Arial"/>
          <w:b/>
          <w:sz w:val="20"/>
          <w:szCs w:val="20"/>
        </w:rPr>
        <w:lastRenderedPageBreak/>
        <w:t xml:space="preserve">Table </w:t>
      </w:r>
      <w:r w:rsidR="00354082">
        <w:rPr>
          <w:rStyle w:val="CommentReference"/>
          <w:rFonts w:ascii="Arial Narrow" w:hAnsi="Arial Narrow" w:cs="Arial"/>
          <w:b/>
          <w:sz w:val="20"/>
          <w:szCs w:val="20"/>
        </w:rPr>
        <w:t>1</w:t>
      </w:r>
      <w:r w:rsidRPr="00354082">
        <w:rPr>
          <w:rStyle w:val="CommentReference"/>
          <w:rFonts w:ascii="Arial Narrow" w:hAnsi="Arial Narrow" w:cs="Arial"/>
          <w:b/>
          <w:sz w:val="20"/>
          <w:szCs w:val="20"/>
        </w:rPr>
        <w:t>: Evidence for the test performance</w:t>
      </w:r>
      <w:bookmarkEnd w:id="0"/>
    </w:p>
    <w:tbl>
      <w:tblPr>
        <w:tblStyle w:val="TableGrid"/>
        <w:tblW w:w="8444" w:type="dxa"/>
        <w:tblInd w:w="28" w:type="dxa"/>
        <w:tblCellMar>
          <w:left w:w="28" w:type="dxa"/>
          <w:right w:w="28" w:type="dxa"/>
        </w:tblCellMar>
        <w:tblLook w:val="04A0" w:firstRow="1" w:lastRow="0" w:firstColumn="1" w:lastColumn="0" w:noHBand="0" w:noVBand="1"/>
        <w:tblDescription w:val="Evidence for the test performance-Description of evidence for BRCA test performance"/>
      </w:tblPr>
      <w:tblGrid>
        <w:gridCol w:w="1701"/>
        <w:gridCol w:w="4536"/>
        <w:gridCol w:w="2207"/>
      </w:tblGrid>
      <w:tr w:rsidR="00320171" w:rsidRPr="00054269" w14:paraId="3E69879A" w14:textId="77777777" w:rsidTr="007C6EBC">
        <w:trPr>
          <w:tblHeader/>
        </w:trPr>
        <w:tc>
          <w:tcPr>
            <w:tcW w:w="1701" w:type="dxa"/>
          </w:tcPr>
          <w:p w14:paraId="517EA861" w14:textId="77777777" w:rsidR="00320171" w:rsidRPr="00054269" w:rsidRDefault="00320171" w:rsidP="007C6EBC">
            <w:pPr>
              <w:pStyle w:val="TableText"/>
              <w:keepLines/>
              <w:jc w:val="left"/>
              <w:rPr>
                <w:rFonts w:cs="Arial"/>
              </w:rPr>
            </w:pPr>
            <w:r w:rsidRPr="00054269">
              <w:rPr>
                <w:rFonts w:cs="Arial"/>
              </w:rPr>
              <w:t>Prognostic evidence</w:t>
            </w:r>
          </w:p>
        </w:tc>
        <w:tc>
          <w:tcPr>
            <w:tcW w:w="4536" w:type="dxa"/>
          </w:tcPr>
          <w:p w14:paraId="030E7A24" w14:textId="77777777" w:rsidR="00320171" w:rsidRPr="00054269" w:rsidRDefault="00320171" w:rsidP="007C6EBC">
            <w:pPr>
              <w:pStyle w:val="TableText"/>
              <w:keepLines/>
              <w:jc w:val="left"/>
              <w:rPr>
                <w:rFonts w:cs="Arial"/>
              </w:rPr>
            </w:pPr>
            <w:r w:rsidRPr="00054269">
              <w:rPr>
                <w:rFonts w:cs="Arial"/>
              </w:rPr>
              <w:t xml:space="preserve">Study 19. Comparison of placebo arms of </w:t>
            </w:r>
            <w:r w:rsidRPr="00150194">
              <w:rPr>
                <w:rFonts w:cs="Arial"/>
                <w:i/>
              </w:rPr>
              <w:t>BRCA</w:t>
            </w:r>
            <w:r w:rsidRPr="00054269">
              <w:rPr>
                <w:rFonts w:cs="Arial"/>
              </w:rPr>
              <w:t xml:space="preserve">m vs. </w:t>
            </w:r>
            <w:r w:rsidRPr="00150194">
              <w:rPr>
                <w:rFonts w:cs="Arial"/>
                <w:i/>
              </w:rPr>
              <w:t>BRCA</w:t>
            </w:r>
            <w:r w:rsidRPr="00054269">
              <w:rPr>
                <w:rFonts w:cs="Arial"/>
              </w:rPr>
              <w:t>wt/unknown</w:t>
            </w:r>
            <w:bookmarkStart w:id="1" w:name="_GoBack"/>
            <w:bookmarkEnd w:id="1"/>
          </w:p>
        </w:tc>
        <w:tc>
          <w:tcPr>
            <w:tcW w:w="2207" w:type="dxa"/>
            <w:vAlign w:val="center"/>
          </w:tcPr>
          <w:p w14:paraId="5D7075F1" w14:textId="77777777" w:rsidR="00320171" w:rsidRPr="00054269" w:rsidRDefault="00320171" w:rsidP="007C6EBC">
            <w:pPr>
              <w:pStyle w:val="TableText"/>
              <w:keepLines/>
              <w:jc w:val="left"/>
              <w:rPr>
                <w:rFonts w:cs="Arial"/>
              </w:rPr>
            </w:pPr>
            <w:r w:rsidRPr="00054269">
              <w:rPr>
                <w:rFonts w:cs="Arial"/>
              </w:rPr>
              <w:fldChar w:fldCharType="begin">
                <w:ffData>
                  <w:name w:val=""/>
                  <w:enabled/>
                  <w:calcOnExit w:val="0"/>
                  <w:checkBox>
                    <w:sizeAuto/>
                    <w:default w:val="1"/>
                  </w:checkBox>
                </w:ffData>
              </w:fldChar>
            </w:r>
            <w:r w:rsidRPr="00054269">
              <w:rPr>
                <w:rFonts w:cs="Arial"/>
              </w:rPr>
              <w:instrText xml:space="preserve"> FORMCHECKBOX </w:instrText>
            </w:r>
            <w:r w:rsidR="00254749">
              <w:rPr>
                <w:rFonts w:cs="Arial"/>
              </w:rPr>
            </w:r>
            <w:r w:rsidR="00254749">
              <w:rPr>
                <w:rFonts w:cs="Arial"/>
              </w:rPr>
              <w:fldChar w:fldCharType="separate"/>
            </w:r>
            <w:r w:rsidRPr="00054269">
              <w:rPr>
                <w:rFonts w:cs="Arial"/>
              </w:rPr>
              <w:fldChar w:fldCharType="end"/>
            </w:r>
            <w:r w:rsidRPr="00054269">
              <w:rPr>
                <w:rFonts w:cs="Arial"/>
              </w:rPr>
              <w:tab/>
              <w:t>k=1</w:t>
            </w:r>
            <w:r w:rsidRPr="00054269">
              <w:rPr>
                <w:rFonts w:cs="Arial"/>
              </w:rPr>
              <w:tab/>
              <w:t>n=107</w:t>
            </w:r>
          </w:p>
        </w:tc>
      </w:tr>
      <w:tr w:rsidR="00320171" w:rsidRPr="00054269" w14:paraId="5871AA70" w14:textId="77777777" w:rsidTr="007C6EBC">
        <w:tc>
          <w:tcPr>
            <w:tcW w:w="1701" w:type="dxa"/>
          </w:tcPr>
          <w:p w14:paraId="718402BF" w14:textId="77777777" w:rsidR="00320171" w:rsidRPr="00054269" w:rsidRDefault="00320171" w:rsidP="007C6EBC">
            <w:pPr>
              <w:pStyle w:val="TableText"/>
              <w:keepLines/>
              <w:jc w:val="left"/>
              <w:rPr>
                <w:rFonts w:cs="Arial"/>
              </w:rPr>
            </w:pPr>
            <w:r w:rsidRPr="00054269">
              <w:rPr>
                <w:rFonts w:cs="Arial"/>
              </w:rPr>
              <w:t>Test accuracy</w:t>
            </w:r>
          </w:p>
        </w:tc>
        <w:tc>
          <w:tcPr>
            <w:tcW w:w="4536" w:type="dxa"/>
          </w:tcPr>
          <w:p w14:paraId="706A577D" w14:textId="77777777" w:rsidR="00320171" w:rsidRPr="00054269" w:rsidRDefault="00320171" w:rsidP="007C6EBC">
            <w:pPr>
              <w:pStyle w:val="TableText"/>
              <w:keepLines/>
              <w:jc w:val="left"/>
              <w:rPr>
                <w:rFonts w:cs="Arial"/>
              </w:rPr>
            </w:pPr>
            <w:r w:rsidRPr="00054269">
              <w:rPr>
                <w:rFonts w:cs="Arial"/>
              </w:rPr>
              <w:t>Comparison of Sanger vs. NGS (broad patient population, including any type of cancer).</w:t>
            </w:r>
          </w:p>
        </w:tc>
        <w:tc>
          <w:tcPr>
            <w:tcW w:w="2207" w:type="dxa"/>
            <w:vAlign w:val="center"/>
          </w:tcPr>
          <w:p w14:paraId="3AAB4B39" w14:textId="77777777" w:rsidR="00320171" w:rsidRPr="00054269" w:rsidRDefault="00320171" w:rsidP="007C6EBC">
            <w:pPr>
              <w:pStyle w:val="TableText"/>
              <w:keepLines/>
              <w:jc w:val="left"/>
              <w:rPr>
                <w:rFonts w:cs="Arial"/>
              </w:rPr>
            </w:pPr>
            <w:r w:rsidRPr="00054269">
              <w:rPr>
                <w:rFonts w:cs="Arial"/>
              </w:rPr>
              <w:fldChar w:fldCharType="begin">
                <w:ffData>
                  <w:name w:val=""/>
                  <w:enabled/>
                  <w:calcOnExit w:val="0"/>
                  <w:checkBox>
                    <w:sizeAuto/>
                    <w:default w:val="1"/>
                  </w:checkBox>
                </w:ffData>
              </w:fldChar>
            </w:r>
            <w:r w:rsidRPr="00054269">
              <w:rPr>
                <w:rFonts w:cs="Arial"/>
              </w:rPr>
              <w:instrText xml:space="preserve"> FORMCHECKBOX </w:instrText>
            </w:r>
            <w:r w:rsidR="00254749">
              <w:rPr>
                <w:rFonts w:cs="Arial"/>
              </w:rPr>
            </w:r>
            <w:r w:rsidR="00254749">
              <w:rPr>
                <w:rFonts w:cs="Arial"/>
              </w:rPr>
              <w:fldChar w:fldCharType="separate"/>
            </w:r>
            <w:r w:rsidRPr="00054269">
              <w:rPr>
                <w:rFonts w:cs="Arial"/>
              </w:rPr>
              <w:fldChar w:fldCharType="end"/>
            </w:r>
            <w:r w:rsidRPr="00054269">
              <w:rPr>
                <w:rFonts w:cs="Arial"/>
              </w:rPr>
              <w:tab/>
              <w:t>k=11</w:t>
            </w:r>
            <w:r w:rsidRPr="00054269">
              <w:rPr>
                <w:rFonts w:cs="Arial"/>
              </w:rPr>
              <w:tab/>
              <w:t>n=8,410</w:t>
            </w:r>
          </w:p>
        </w:tc>
      </w:tr>
      <w:tr w:rsidR="00320171" w:rsidRPr="00054269" w14:paraId="47358DF1" w14:textId="77777777" w:rsidTr="005C6F87">
        <w:trPr>
          <w:trHeight w:val="518"/>
        </w:trPr>
        <w:tc>
          <w:tcPr>
            <w:tcW w:w="1701" w:type="dxa"/>
          </w:tcPr>
          <w:p w14:paraId="1BA477A3" w14:textId="77777777" w:rsidR="00320171" w:rsidRPr="00054269" w:rsidRDefault="00320171" w:rsidP="007C6EBC">
            <w:pPr>
              <w:pStyle w:val="TableText"/>
              <w:keepLines/>
              <w:jc w:val="left"/>
              <w:rPr>
                <w:rFonts w:cs="Arial"/>
              </w:rPr>
            </w:pPr>
            <w:r w:rsidRPr="00054269">
              <w:rPr>
                <w:rFonts w:cs="Arial"/>
              </w:rPr>
              <w:t>Test concordance</w:t>
            </w:r>
          </w:p>
        </w:tc>
        <w:tc>
          <w:tcPr>
            <w:tcW w:w="4536" w:type="dxa"/>
          </w:tcPr>
          <w:p w14:paraId="0F8E5FBD" w14:textId="77777777" w:rsidR="00320171" w:rsidRPr="00054269" w:rsidRDefault="00320171" w:rsidP="007C6EBC">
            <w:pPr>
              <w:pStyle w:val="TableText"/>
              <w:keepLines/>
              <w:jc w:val="left"/>
              <w:rPr>
                <w:rFonts w:cs="Arial"/>
              </w:rPr>
            </w:pPr>
            <w:r w:rsidRPr="00054269">
              <w:rPr>
                <w:rFonts w:cs="Arial"/>
              </w:rPr>
              <w:t>Comparison of germline vs. tumour (</w:t>
            </w:r>
            <w:r w:rsidRPr="00150194">
              <w:rPr>
                <w:rFonts w:cs="Arial"/>
                <w:i/>
              </w:rPr>
              <w:t>BRCA</w:t>
            </w:r>
            <w:r w:rsidRPr="00054269">
              <w:rPr>
                <w:rFonts w:cs="Arial"/>
              </w:rPr>
              <w:t>m, PSR ovarian cancer)</w:t>
            </w:r>
          </w:p>
        </w:tc>
        <w:tc>
          <w:tcPr>
            <w:tcW w:w="2207" w:type="dxa"/>
            <w:vAlign w:val="center"/>
          </w:tcPr>
          <w:p w14:paraId="63FB9FFD" w14:textId="77777777" w:rsidR="00320171" w:rsidRPr="00054269" w:rsidRDefault="00320171" w:rsidP="007C6EBC">
            <w:pPr>
              <w:pStyle w:val="TableText"/>
              <w:keepLines/>
              <w:jc w:val="left"/>
              <w:rPr>
                <w:rFonts w:cs="Arial"/>
              </w:rPr>
            </w:pPr>
            <w:r w:rsidRPr="00054269">
              <w:rPr>
                <w:rFonts w:cs="Arial"/>
              </w:rPr>
              <w:fldChar w:fldCharType="begin">
                <w:ffData>
                  <w:name w:val=""/>
                  <w:enabled/>
                  <w:calcOnExit w:val="0"/>
                  <w:checkBox>
                    <w:sizeAuto/>
                    <w:default w:val="1"/>
                  </w:checkBox>
                </w:ffData>
              </w:fldChar>
            </w:r>
            <w:r w:rsidRPr="00054269">
              <w:rPr>
                <w:rFonts w:cs="Arial"/>
              </w:rPr>
              <w:instrText xml:space="preserve"> FORMCHECKBOX </w:instrText>
            </w:r>
            <w:r w:rsidR="00254749">
              <w:rPr>
                <w:rFonts w:cs="Arial"/>
              </w:rPr>
            </w:r>
            <w:r w:rsidR="00254749">
              <w:rPr>
                <w:rFonts w:cs="Arial"/>
              </w:rPr>
              <w:fldChar w:fldCharType="separate"/>
            </w:r>
            <w:r w:rsidRPr="00054269">
              <w:rPr>
                <w:rFonts w:cs="Arial"/>
              </w:rPr>
              <w:fldChar w:fldCharType="end"/>
            </w:r>
            <w:r w:rsidRPr="00054269">
              <w:rPr>
                <w:rFonts w:cs="Arial"/>
              </w:rPr>
              <w:tab/>
              <w:t>k=1</w:t>
            </w:r>
            <w:r w:rsidRPr="00054269">
              <w:rPr>
                <w:rFonts w:cs="Arial"/>
              </w:rPr>
              <w:tab/>
              <w:t>n=265</w:t>
            </w:r>
          </w:p>
        </w:tc>
      </w:tr>
    </w:tbl>
    <w:p w14:paraId="6C933901" w14:textId="77777777" w:rsidR="00320171" w:rsidRPr="00354082" w:rsidRDefault="00320171" w:rsidP="00320171">
      <w:pPr>
        <w:pStyle w:val="TableFooter"/>
      </w:pPr>
      <w:r w:rsidRPr="00354082">
        <w:t>Source: compiled during evaluation</w:t>
      </w:r>
    </w:p>
    <w:p w14:paraId="585CF0E4" w14:textId="35853F94" w:rsidR="00BC1364" w:rsidRDefault="00320171" w:rsidP="00885907">
      <w:pPr>
        <w:pStyle w:val="TableFooter"/>
      </w:pPr>
      <w:r w:rsidRPr="00150194">
        <w:rPr>
          <w:i/>
        </w:rPr>
        <w:t>BRCA</w:t>
      </w:r>
      <w:r w:rsidRPr="00054269">
        <w:t xml:space="preserve">m = </w:t>
      </w:r>
      <w:r w:rsidRPr="00150194">
        <w:rPr>
          <w:i/>
        </w:rPr>
        <w:t>BRCA1</w:t>
      </w:r>
      <w:r w:rsidRPr="00054269">
        <w:t xml:space="preserve"> or </w:t>
      </w:r>
      <w:r w:rsidRPr="00150194">
        <w:rPr>
          <w:i/>
        </w:rPr>
        <w:t>BRCA2</w:t>
      </w:r>
      <w:r w:rsidRPr="00054269">
        <w:t xml:space="preserve"> mutation; </w:t>
      </w:r>
      <w:r w:rsidRPr="00150194">
        <w:rPr>
          <w:i/>
        </w:rPr>
        <w:t>BRCA</w:t>
      </w:r>
      <w:r w:rsidRPr="00054269">
        <w:t xml:space="preserve">wt = </w:t>
      </w:r>
      <w:r w:rsidRPr="00150194">
        <w:rPr>
          <w:i/>
        </w:rPr>
        <w:t>BRCA</w:t>
      </w:r>
      <w:r w:rsidRPr="00054269">
        <w:t xml:space="preserve"> wildtype; NGS = next-generation sequencing; PSR = platinum-sensitive relapsed; k = number of studies; n = number of study participants</w:t>
      </w:r>
    </w:p>
    <w:p w14:paraId="47D87851" w14:textId="77777777" w:rsidR="00354082" w:rsidRPr="00354082" w:rsidRDefault="00354082" w:rsidP="00885907">
      <w:pPr>
        <w:pStyle w:val="TableFooter"/>
        <w:rPr>
          <w:rFonts w:ascii="Times New Roman" w:hAnsi="Times New Roman" w:cs="Times New Roman"/>
          <w:spacing w:val="5"/>
          <w:sz w:val="24"/>
          <w:szCs w:val="24"/>
          <w:u w:val="single"/>
        </w:rPr>
      </w:pPr>
    </w:p>
    <w:p w14:paraId="009234BF" w14:textId="77777777" w:rsidR="00BC1364" w:rsidRPr="008D5885" w:rsidRDefault="00BC1364" w:rsidP="007B32D1">
      <w:pPr>
        <w:pStyle w:val="Heading1"/>
        <w:numPr>
          <w:ilvl w:val="0"/>
          <w:numId w:val="23"/>
        </w:numPr>
        <w:ind w:hanging="720"/>
      </w:pPr>
      <w:r w:rsidRPr="008D5885">
        <w:t>Comparative safety</w:t>
      </w:r>
    </w:p>
    <w:p w14:paraId="03FE35AB" w14:textId="77777777" w:rsidR="00BC1364" w:rsidRPr="00354082" w:rsidRDefault="00BC1364" w:rsidP="00DD2858">
      <w:pPr>
        <w:pStyle w:val="ListParagraph"/>
        <w:ind w:left="0"/>
        <w:rPr>
          <w:szCs w:val="24"/>
        </w:rPr>
      </w:pPr>
    </w:p>
    <w:p w14:paraId="4A5D9007" w14:textId="27B55E7C" w:rsidR="00320171" w:rsidRPr="00320171" w:rsidRDefault="00320171" w:rsidP="00320171">
      <w:pPr>
        <w:rPr>
          <w:bCs/>
          <w:szCs w:val="24"/>
        </w:rPr>
      </w:pPr>
      <w:r w:rsidRPr="00320171">
        <w:rPr>
          <w:szCs w:val="24"/>
        </w:rPr>
        <w:t xml:space="preserve">The submission did not provide safety information for the diagnostic test. </w:t>
      </w:r>
      <w:r w:rsidRPr="00320171">
        <w:rPr>
          <w:bCs/>
          <w:szCs w:val="24"/>
        </w:rPr>
        <w:t>MSAC accepted that there are no safe</w:t>
      </w:r>
      <w:r w:rsidR="00354082">
        <w:rPr>
          <w:bCs/>
          <w:szCs w:val="24"/>
        </w:rPr>
        <w:t>ty issues for germline testing.</w:t>
      </w:r>
    </w:p>
    <w:p w14:paraId="026B36A5" w14:textId="77777777" w:rsidR="00320171" w:rsidRPr="00354082" w:rsidRDefault="00320171" w:rsidP="00320171">
      <w:pPr>
        <w:rPr>
          <w:bCs/>
          <w:szCs w:val="24"/>
        </w:rPr>
      </w:pPr>
    </w:p>
    <w:p w14:paraId="73F68825" w14:textId="77777777" w:rsidR="00354082" w:rsidRDefault="00320171" w:rsidP="00320171">
      <w:pPr>
        <w:rPr>
          <w:szCs w:val="24"/>
        </w:rPr>
      </w:pPr>
      <w:r w:rsidRPr="00320171">
        <w:rPr>
          <w:szCs w:val="24"/>
        </w:rPr>
        <w:t xml:space="preserve">There was concern for potential harms if additional biopsies for tumour </w:t>
      </w:r>
      <w:r w:rsidRPr="00320171">
        <w:rPr>
          <w:i/>
          <w:szCs w:val="24"/>
        </w:rPr>
        <w:t>BRCA</w:t>
      </w:r>
      <w:r w:rsidRPr="00320171">
        <w:rPr>
          <w:szCs w:val="24"/>
        </w:rPr>
        <w:t>m testing were required to determine eligibility for treatment with olaparib.</w:t>
      </w:r>
    </w:p>
    <w:p w14:paraId="5B598BC7" w14:textId="77777777" w:rsidR="00BC1364" w:rsidRPr="00354082" w:rsidRDefault="00BC1364" w:rsidP="00DD2858">
      <w:pPr>
        <w:pStyle w:val="ListParagraph"/>
        <w:ind w:left="0"/>
        <w:rPr>
          <w:szCs w:val="24"/>
        </w:rPr>
      </w:pPr>
    </w:p>
    <w:p w14:paraId="1554474F" w14:textId="77777777" w:rsidR="00BC1364" w:rsidRPr="008D5885" w:rsidRDefault="00BC1364" w:rsidP="007B32D1">
      <w:pPr>
        <w:pStyle w:val="Heading1"/>
        <w:numPr>
          <w:ilvl w:val="0"/>
          <w:numId w:val="23"/>
        </w:numPr>
        <w:ind w:hanging="720"/>
      </w:pPr>
      <w:r w:rsidRPr="008D5885">
        <w:t>Comparative effectiveness</w:t>
      </w:r>
    </w:p>
    <w:p w14:paraId="5D405865" w14:textId="77777777" w:rsidR="00320171" w:rsidRPr="00320171" w:rsidRDefault="00320171" w:rsidP="00320171">
      <w:pPr>
        <w:pStyle w:val="Heading2"/>
        <w:rPr>
          <w:rFonts w:ascii="Times New Roman" w:hAnsi="Times New Roman" w:cs="Times New Roman"/>
          <w:b w:val="0"/>
          <w:color w:val="auto"/>
          <w:sz w:val="24"/>
          <w:szCs w:val="24"/>
          <w:u w:val="single"/>
        </w:rPr>
      </w:pPr>
      <w:bookmarkStart w:id="2" w:name="_Toc431891731"/>
      <w:r w:rsidRPr="00320171">
        <w:rPr>
          <w:rFonts w:ascii="Times New Roman" w:hAnsi="Times New Roman" w:cs="Times New Roman"/>
          <w:b w:val="0"/>
          <w:color w:val="auto"/>
          <w:sz w:val="24"/>
          <w:szCs w:val="24"/>
          <w:u w:val="single"/>
        </w:rPr>
        <w:t>Prognostic evidence</w:t>
      </w:r>
      <w:bookmarkEnd w:id="2"/>
    </w:p>
    <w:p w14:paraId="088C0B76" w14:textId="06FE7B0A" w:rsidR="00320171" w:rsidRPr="00320171" w:rsidRDefault="00320171" w:rsidP="00320171">
      <w:pPr>
        <w:rPr>
          <w:szCs w:val="24"/>
        </w:rPr>
      </w:pPr>
      <w:r w:rsidRPr="00320171">
        <w:rPr>
          <w:szCs w:val="24"/>
        </w:rPr>
        <w:t xml:space="preserve">Although patients with </w:t>
      </w:r>
      <w:r w:rsidRPr="00320171">
        <w:rPr>
          <w:i/>
          <w:szCs w:val="24"/>
        </w:rPr>
        <w:t>BRCA</w:t>
      </w:r>
      <w:r w:rsidRPr="00320171">
        <w:rPr>
          <w:szCs w:val="24"/>
        </w:rPr>
        <w:t xml:space="preserve">m who respond to platinum-based chemotherapy generally have a better prognosis than for patients </w:t>
      </w:r>
      <w:r w:rsidR="003F3678">
        <w:rPr>
          <w:szCs w:val="24"/>
        </w:rPr>
        <w:t xml:space="preserve">without an identified </w:t>
      </w:r>
      <w:r w:rsidR="003F3678" w:rsidRPr="00306933">
        <w:rPr>
          <w:i/>
          <w:szCs w:val="24"/>
        </w:rPr>
        <w:t>BRCA</w:t>
      </w:r>
      <w:r w:rsidR="003F3678">
        <w:rPr>
          <w:szCs w:val="24"/>
        </w:rPr>
        <w:t>m</w:t>
      </w:r>
      <w:r w:rsidRPr="00320171">
        <w:rPr>
          <w:szCs w:val="24"/>
        </w:rPr>
        <w:t xml:space="preserve">, the submission stated that there was no evidence of a prognostic impact associated with </w:t>
      </w:r>
      <w:r w:rsidRPr="00320171">
        <w:rPr>
          <w:i/>
          <w:szCs w:val="24"/>
        </w:rPr>
        <w:t>BRCA</w:t>
      </w:r>
      <w:r w:rsidRPr="00320171">
        <w:rPr>
          <w:szCs w:val="24"/>
        </w:rPr>
        <w:t xml:space="preserve">m compared with patients who </w:t>
      </w:r>
      <w:r w:rsidR="003F3678">
        <w:rPr>
          <w:szCs w:val="24"/>
        </w:rPr>
        <w:t xml:space="preserve">lack </w:t>
      </w:r>
      <w:r w:rsidR="003F3678" w:rsidRPr="00306933">
        <w:rPr>
          <w:i/>
          <w:szCs w:val="24"/>
        </w:rPr>
        <w:t>BRCA</w:t>
      </w:r>
      <w:r w:rsidR="003F3678">
        <w:rPr>
          <w:szCs w:val="24"/>
        </w:rPr>
        <w:t>m</w:t>
      </w:r>
      <w:r w:rsidRPr="00320171">
        <w:rPr>
          <w:szCs w:val="24"/>
        </w:rPr>
        <w:t>, in the population of patients with platinum-sensitive relapsed ovarian cancer. As such, it presented a comparison of the placebo groups of Study 19, which recruited women with platinum-sensitive relapsed ovarian cancer to demonstrate the prognostic effect associated with biomarker status.</w:t>
      </w:r>
    </w:p>
    <w:p w14:paraId="7FA06F80" w14:textId="77777777" w:rsidR="00320171" w:rsidRPr="00320171" w:rsidRDefault="00320171" w:rsidP="00320171">
      <w:pPr>
        <w:rPr>
          <w:szCs w:val="24"/>
        </w:rPr>
      </w:pPr>
    </w:p>
    <w:p w14:paraId="48E28633" w14:textId="2F82D12C" w:rsidR="00320171" w:rsidRPr="00320171" w:rsidRDefault="00320171" w:rsidP="00320171">
      <w:pPr>
        <w:rPr>
          <w:szCs w:val="24"/>
        </w:rPr>
      </w:pPr>
      <w:r w:rsidRPr="00320171">
        <w:rPr>
          <w:szCs w:val="24"/>
        </w:rPr>
        <w:t xml:space="preserve">The submission stated that similar findings were observed across placebo patients with or without a </w:t>
      </w:r>
      <w:r w:rsidRPr="00320171">
        <w:rPr>
          <w:i/>
          <w:szCs w:val="24"/>
        </w:rPr>
        <w:t>BRCA</w:t>
      </w:r>
      <w:r w:rsidRPr="00320171">
        <w:rPr>
          <w:szCs w:val="24"/>
        </w:rPr>
        <w:t xml:space="preserve"> mutation</w:t>
      </w:r>
      <w:r w:rsidRPr="00320171" w:rsidDel="00A5631C">
        <w:rPr>
          <w:szCs w:val="24"/>
        </w:rPr>
        <w:t xml:space="preserve"> </w:t>
      </w:r>
      <w:r w:rsidRPr="00320171">
        <w:rPr>
          <w:szCs w:val="24"/>
        </w:rPr>
        <w:t xml:space="preserve">for both overall survival and intermediate clinical endpoints. Only limited baseline characteristics were available for </w:t>
      </w:r>
      <w:r w:rsidR="003F3678">
        <w:rPr>
          <w:szCs w:val="24"/>
        </w:rPr>
        <w:t xml:space="preserve">those patients in whom there was no </w:t>
      </w:r>
      <w:r w:rsidR="003F3678" w:rsidRPr="00306933">
        <w:rPr>
          <w:i/>
          <w:szCs w:val="24"/>
        </w:rPr>
        <w:t>BRCA</w:t>
      </w:r>
      <w:r w:rsidR="003F3678">
        <w:rPr>
          <w:szCs w:val="24"/>
        </w:rPr>
        <w:t xml:space="preserve">m identified or whose </w:t>
      </w:r>
      <w:r w:rsidR="003F3678" w:rsidRPr="00306933">
        <w:rPr>
          <w:i/>
          <w:szCs w:val="24"/>
        </w:rPr>
        <w:t>BRCA</w:t>
      </w:r>
      <w:r w:rsidR="003F3678">
        <w:rPr>
          <w:szCs w:val="24"/>
        </w:rPr>
        <w:t xml:space="preserve"> status was unknown,</w:t>
      </w:r>
      <w:r w:rsidR="003F3678">
        <w:rPr>
          <w:i/>
          <w:szCs w:val="24"/>
        </w:rPr>
        <w:t xml:space="preserve"> </w:t>
      </w:r>
      <w:r w:rsidRPr="00320171">
        <w:rPr>
          <w:szCs w:val="24"/>
        </w:rPr>
        <w:t>and therefore it was difficult to interpret these results.</w:t>
      </w:r>
    </w:p>
    <w:p w14:paraId="35432061" w14:textId="77777777" w:rsidR="00320171" w:rsidRPr="00320171" w:rsidRDefault="00320171" w:rsidP="00320171">
      <w:pPr>
        <w:pStyle w:val="Heading2"/>
        <w:rPr>
          <w:rFonts w:ascii="Times New Roman" w:eastAsia="Times New Roman" w:hAnsi="Times New Roman" w:cs="Times New Roman"/>
          <w:b w:val="0"/>
          <w:bCs w:val="0"/>
          <w:color w:val="auto"/>
          <w:sz w:val="24"/>
          <w:szCs w:val="24"/>
          <w:u w:val="single"/>
        </w:rPr>
      </w:pPr>
      <w:bookmarkStart w:id="3" w:name="_Toc431891732"/>
      <w:r w:rsidRPr="00320171">
        <w:rPr>
          <w:rFonts w:ascii="Times New Roman" w:eastAsia="Times New Roman" w:hAnsi="Times New Roman" w:cs="Times New Roman"/>
          <w:b w:val="0"/>
          <w:bCs w:val="0"/>
          <w:color w:val="auto"/>
          <w:sz w:val="24"/>
          <w:szCs w:val="24"/>
          <w:u w:val="single"/>
        </w:rPr>
        <w:t>Comparative analytical performance</w:t>
      </w:r>
      <w:bookmarkEnd w:id="3"/>
    </w:p>
    <w:p w14:paraId="43739A2C" w14:textId="35C85432" w:rsidR="00320171" w:rsidRDefault="00320171" w:rsidP="00320171">
      <w:pPr>
        <w:rPr>
          <w:szCs w:val="24"/>
        </w:rPr>
      </w:pPr>
      <w:r w:rsidRPr="00320171">
        <w:rPr>
          <w:szCs w:val="24"/>
        </w:rPr>
        <w:t xml:space="preserve">Table </w:t>
      </w:r>
      <w:r w:rsidR="00354082">
        <w:rPr>
          <w:szCs w:val="24"/>
        </w:rPr>
        <w:t>2</w:t>
      </w:r>
      <w:r w:rsidRPr="00320171">
        <w:rPr>
          <w:szCs w:val="24"/>
        </w:rPr>
        <w:t xml:space="preserve"> summarises the diagnostic accuracy of germline </w:t>
      </w:r>
      <w:r w:rsidRPr="00306933">
        <w:rPr>
          <w:i/>
          <w:szCs w:val="24"/>
        </w:rPr>
        <w:t>BRCA</w:t>
      </w:r>
      <w:r w:rsidRPr="00320171">
        <w:rPr>
          <w:szCs w:val="24"/>
        </w:rPr>
        <w:t>m next-generation sequencing versus the refere</w:t>
      </w:r>
      <w:r w:rsidR="00885907">
        <w:rPr>
          <w:szCs w:val="24"/>
        </w:rPr>
        <w:t>nce standard Sanger sequencing.</w:t>
      </w:r>
    </w:p>
    <w:p w14:paraId="53824687" w14:textId="77777777" w:rsidR="00354082" w:rsidRPr="00885907" w:rsidRDefault="00354082" w:rsidP="00320171">
      <w:pPr>
        <w:rPr>
          <w:szCs w:val="24"/>
        </w:rPr>
      </w:pPr>
    </w:p>
    <w:p w14:paraId="44EE6912" w14:textId="6152C2AD" w:rsidR="00320171" w:rsidRPr="00354082" w:rsidRDefault="00320171" w:rsidP="00320171">
      <w:pPr>
        <w:pStyle w:val="TableHeading"/>
        <w:keepNext/>
        <w:rPr>
          <w:rStyle w:val="CommentReference"/>
          <w:rFonts w:ascii="Arial Narrow" w:hAnsi="Arial Narrow"/>
          <w:b w:val="0"/>
          <w:sz w:val="20"/>
          <w:szCs w:val="20"/>
        </w:rPr>
      </w:pPr>
      <w:r w:rsidRPr="00354082">
        <w:rPr>
          <w:rStyle w:val="CommentReference"/>
          <w:rFonts w:ascii="Arial Narrow" w:hAnsi="Arial Narrow"/>
          <w:sz w:val="20"/>
          <w:szCs w:val="20"/>
        </w:rPr>
        <w:lastRenderedPageBreak/>
        <w:t xml:space="preserve">Table </w:t>
      </w:r>
      <w:r w:rsidR="00354082" w:rsidRPr="00354082">
        <w:rPr>
          <w:rStyle w:val="CommentReference"/>
          <w:rFonts w:ascii="Arial Narrow" w:hAnsi="Arial Narrow"/>
          <w:sz w:val="20"/>
          <w:szCs w:val="20"/>
        </w:rPr>
        <w:t>2</w:t>
      </w:r>
      <w:r w:rsidRPr="00354082">
        <w:rPr>
          <w:rStyle w:val="CommentReference"/>
          <w:rFonts w:ascii="Arial Narrow" w:hAnsi="Arial Narrow"/>
          <w:sz w:val="20"/>
          <w:szCs w:val="20"/>
        </w:rPr>
        <w:t xml:space="preserve">: Summary of the diagnostic accuracy of germline </w:t>
      </w:r>
      <w:r w:rsidRPr="00354082">
        <w:rPr>
          <w:rStyle w:val="CommentReference"/>
          <w:rFonts w:ascii="Arial Narrow" w:hAnsi="Arial Narrow"/>
          <w:i/>
          <w:sz w:val="20"/>
          <w:szCs w:val="20"/>
        </w:rPr>
        <w:t>BRCA</w:t>
      </w:r>
      <w:r w:rsidRPr="00354082">
        <w:rPr>
          <w:rStyle w:val="CommentReference"/>
          <w:rFonts w:ascii="Arial Narrow" w:hAnsi="Arial Narrow"/>
          <w:sz w:val="20"/>
          <w:szCs w:val="20"/>
        </w:rPr>
        <w:t>m testing (NGS)</w:t>
      </w:r>
    </w:p>
    <w:tbl>
      <w:tblPr>
        <w:tblStyle w:val="TableGrid"/>
        <w:tblW w:w="8364" w:type="dxa"/>
        <w:tblInd w:w="28" w:type="dxa"/>
        <w:tblCellMar>
          <w:left w:w="28" w:type="dxa"/>
          <w:right w:w="28" w:type="dxa"/>
        </w:tblCellMar>
        <w:tblLook w:val="04A0" w:firstRow="1" w:lastRow="0" w:firstColumn="1" w:lastColumn="0" w:noHBand="0" w:noVBand="1"/>
        <w:tblDescription w:val="Summary of diagnostic accuracy of germline BRCAm testing (NGS)-Sensitivity and specificity estimates used for the model in Section D"/>
      </w:tblPr>
      <w:tblGrid>
        <w:gridCol w:w="1843"/>
        <w:gridCol w:w="1701"/>
        <w:gridCol w:w="1843"/>
        <w:gridCol w:w="850"/>
        <w:gridCol w:w="709"/>
        <w:gridCol w:w="1418"/>
      </w:tblGrid>
      <w:tr w:rsidR="00320171" w:rsidRPr="00054269" w14:paraId="3B5C2D39" w14:textId="77777777" w:rsidTr="007C6EBC">
        <w:trPr>
          <w:trHeight w:val="183"/>
          <w:tblHeader/>
        </w:trPr>
        <w:tc>
          <w:tcPr>
            <w:tcW w:w="1843" w:type="dxa"/>
            <w:tcBorders>
              <w:bottom w:val="single" w:sz="4" w:space="0" w:color="auto"/>
            </w:tcBorders>
          </w:tcPr>
          <w:p w14:paraId="09419E46" w14:textId="77777777" w:rsidR="00320171" w:rsidRPr="00054269" w:rsidRDefault="00320171" w:rsidP="007C6EBC">
            <w:pPr>
              <w:pStyle w:val="TableText"/>
              <w:keepLines/>
              <w:rPr>
                <w:rFonts w:cs="Arial"/>
                <w:b/>
              </w:rPr>
            </w:pPr>
            <w:r w:rsidRPr="00054269">
              <w:rPr>
                <w:rFonts w:cs="Arial"/>
                <w:b/>
              </w:rPr>
              <w:t>Study ID</w:t>
            </w:r>
          </w:p>
        </w:tc>
        <w:tc>
          <w:tcPr>
            <w:tcW w:w="1701" w:type="dxa"/>
            <w:tcBorders>
              <w:bottom w:val="single" w:sz="4" w:space="0" w:color="auto"/>
            </w:tcBorders>
          </w:tcPr>
          <w:p w14:paraId="3561A8E4" w14:textId="77777777" w:rsidR="00320171" w:rsidRPr="00054269" w:rsidRDefault="00320171" w:rsidP="007C6EBC">
            <w:pPr>
              <w:pStyle w:val="TableText"/>
              <w:keepLines/>
              <w:jc w:val="center"/>
              <w:rPr>
                <w:rFonts w:cs="Arial"/>
                <w:b/>
              </w:rPr>
            </w:pPr>
            <w:r w:rsidRPr="00054269">
              <w:rPr>
                <w:rFonts w:cs="Arial"/>
                <w:b/>
              </w:rPr>
              <w:t>Sensitivity</w:t>
            </w:r>
          </w:p>
        </w:tc>
        <w:tc>
          <w:tcPr>
            <w:tcW w:w="1843" w:type="dxa"/>
            <w:tcBorders>
              <w:bottom w:val="single" w:sz="4" w:space="0" w:color="auto"/>
            </w:tcBorders>
          </w:tcPr>
          <w:p w14:paraId="7E98F4E9" w14:textId="77777777" w:rsidR="00320171" w:rsidRPr="00054269" w:rsidRDefault="00320171" w:rsidP="007C6EBC">
            <w:pPr>
              <w:pStyle w:val="TableText"/>
              <w:keepLines/>
              <w:jc w:val="center"/>
              <w:rPr>
                <w:rFonts w:cs="Arial"/>
                <w:b/>
              </w:rPr>
            </w:pPr>
            <w:r w:rsidRPr="00054269">
              <w:rPr>
                <w:rFonts w:cs="Arial"/>
                <w:b/>
              </w:rPr>
              <w:t>Specificity</w:t>
            </w:r>
          </w:p>
        </w:tc>
        <w:tc>
          <w:tcPr>
            <w:tcW w:w="850" w:type="dxa"/>
            <w:tcBorders>
              <w:bottom w:val="single" w:sz="4" w:space="0" w:color="auto"/>
            </w:tcBorders>
          </w:tcPr>
          <w:p w14:paraId="4CF896CA" w14:textId="77777777" w:rsidR="00320171" w:rsidRPr="00054269" w:rsidRDefault="00320171" w:rsidP="007C6EBC">
            <w:pPr>
              <w:pStyle w:val="TableText"/>
              <w:keepLines/>
              <w:jc w:val="center"/>
              <w:rPr>
                <w:rFonts w:cs="Arial"/>
                <w:b/>
              </w:rPr>
            </w:pPr>
            <w:r w:rsidRPr="00054269">
              <w:rPr>
                <w:rFonts w:cs="Arial"/>
                <w:b/>
              </w:rPr>
              <w:t>PPV</w:t>
            </w:r>
          </w:p>
        </w:tc>
        <w:tc>
          <w:tcPr>
            <w:tcW w:w="709" w:type="dxa"/>
            <w:tcBorders>
              <w:bottom w:val="single" w:sz="4" w:space="0" w:color="auto"/>
            </w:tcBorders>
          </w:tcPr>
          <w:p w14:paraId="77BD9EDE" w14:textId="77777777" w:rsidR="00320171" w:rsidRPr="00054269" w:rsidRDefault="00320171" w:rsidP="007C6EBC">
            <w:pPr>
              <w:pStyle w:val="TableText"/>
              <w:keepLines/>
              <w:jc w:val="center"/>
              <w:rPr>
                <w:rFonts w:cs="Arial"/>
                <w:b/>
              </w:rPr>
            </w:pPr>
            <w:r w:rsidRPr="00054269">
              <w:rPr>
                <w:rFonts w:cs="Arial"/>
                <w:b/>
              </w:rPr>
              <w:t>NPV</w:t>
            </w:r>
          </w:p>
        </w:tc>
        <w:tc>
          <w:tcPr>
            <w:tcW w:w="1418" w:type="dxa"/>
            <w:tcBorders>
              <w:bottom w:val="single" w:sz="4" w:space="0" w:color="auto"/>
            </w:tcBorders>
          </w:tcPr>
          <w:p w14:paraId="4084A289" w14:textId="77777777" w:rsidR="00320171" w:rsidRPr="00054269" w:rsidRDefault="00320171" w:rsidP="007C6EBC">
            <w:pPr>
              <w:pStyle w:val="TableText"/>
              <w:keepLines/>
              <w:jc w:val="center"/>
              <w:rPr>
                <w:rFonts w:cs="Arial"/>
                <w:b/>
              </w:rPr>
            </w:pPr>
            <w:r w:rsidRPr="00054269">
              <w:rPr>
                <w:rFonts w:cs="Arial"/>
                <w:b/>
              </w:rPr>
              <w:t>Concordance</w:t>
            </w:r>
          </w:p>
        </w:tc>
      </w:tr>
      <w:tr w:rsidR="00320171" w:rsidRPr="00054269" w14:paraId="2D2483F8" w14:textId="77777777" w:rsidTr="007C6EBC">
        <w:tc>
          <w:tcPr>
            <w:tcW w:w="1843" w:type="dxa"/>
            <w:tcBorders>
              <w:top w:val="single" w:sz="4" w:space="0" w:color="auto"/>
              <w:left w:val="single" w:sz="4" w:space="0" w:color="auto"/>
              <w:bottom w:val="single" w:sz="4" w:space="0" w:color="auto"/>
              <w:right w:val="nil"/>
            </w:tcBorders>
            <w:vAlign w:val="center"/>
          </w:tcPr>
          <w:p w14:paraId="5A3FBA2C" w14:textId="77777777" w:rsidR="00320171" w:rsidRPr="00054269" w:rsidRDefault="00320171" w:rsidP="007C6EBC">
            <w:pPr>
              <w:pStyle w:val="TableText"/>
              <w:keepLines/>
              <w:rPr>
                <w:rFonts w:cs="Arial"/>
                <w:b/>
                <w:lang w:val="en-US"/>
              </w:rPr>
            </w:pPr>
            <w:r w:rsidRPr="00054269">
              <w:rPr>
                <w:rFonts w:cs="Arial"/>
                <w:b/>
                <w:lang w:val="en-US"/>
              </w:rPr>
              <w:t>Breast/ovarian ca</w:t>
            </w:r>
          </w:p>
        </w:tc>
        <w:tc>
          <w:tcPr>
            <w:tcW w:w="1701" w:type="dxa"/>
            <w:tcBorders>
              <w:top w:val="single" w:sz="4" w:space="0" w:color="auto"/>
              <w:left w:val="nil"/>
              <w:bottom w:val="single" w:sz="4" w:space="0" w:color="auto"/>
              <w:right w:val="nil"/>
            </w:tcBorders>
            <w:vAlign w:val="center"/>
          </w:tcPr>
          <w:p w14:paraId="59D61B5A"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1843" w:type="dxa"/>
            <w:tcBorders>
              <w:top w:val="single" w:sz="4" w:space="0" w:color="auto"/>
              <w:left w:val="nil"/>
              <w:bottom w:val="single" w:sz="4" w:space="0" w:color="auto"/>
              <w:right w:val="nil"/>
            </w:tcBorders>
          </w:tcPr>
          <w:p w14:paraId="05E41EB8"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850" w:type="dxa"/>
            <w:tcBorders>
              <w:top w:val="single" w:sz="4" w:space="0" w:color="auto"/>
              <w:left w:val="nil"/>
              <w:bottom w:val="single" w:sz="4" w:space="0" w:color="auto"/>
              <w:right w:val="nil"/>
            </w:tcBorders>
            <w:vAlign w:val="center"/>
          </w:tcPr>
          <w:p w14:paraId="1B7B3636"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709" w:type="dxa"/>
            <w:tcBorders>
              <w:top w:val="single" w:sz="4" w:space="0" w:color="auto"/>
              <w:left w:val="nil"/>
              <w:bottom w:val="single" w:sz="4" w:space="0" w:color="auto"/>
              <w:right w:val="nil"/>
            </w:tcBorders>
          </w:tcPr>
          <w:p w14:paraId="60DB8663"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1418" w:type="dxa"/>
            <w:tcBorders>
              <w:top w:val="single" w:sz="4" w:space="0" w:color="auto"/>
              <w:left w:val="nil"/>
              <w:bottom w:val="single" w:sz="4" w:space="0" w:color="auto"/>
              <w:right w:val="single" w:sz="4" w:space="0" w:color="auto"/>
            </w:tcBorders>
          </w:tcPr>
          <w:p w14:paraId="60BF7CD3"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r>
      <w:tr w:rsidR="00320171" w:rsidRPr="00054269" w14:paraId="3FA5E205" w14:textId="77777777" w:rsidTr="007C6EBC">
        <w:tc>
          <w:tcPr>
            <w:tcW w:w="1843" w:type="dxa"/>
            <w:tcBorders>
              <w:top w:val="single" w:sz="4" w:space="0" w:color="auto"/>
              <w:bottom w:val="single" w:sz="4" w:space="0" w:color="auto"/>
            </w:tcBorders>
            <w:vAlign w:val="center"/>
          </w:tcPr>
          <w:p w14:paraId="6CE78859" w14:textId="77777777" w:rsidR="00320171" w:rsidRPr="00054269" w:rsidRDefault="00320171" w:rsidP="007C6EBC">
            <w:pPr>
              <w:pStyle w:val="TableText"/>
              <w:keepLines/>
              <w:rPr>
                <w:rFonts w:cs="Arial"/>
                <w:lang w:val="en-US"/>
              </w:rPr>
            </w:pPr>
            <w:r w:rsidRPr="00054269">
              <w:rPr>
                <w:rFonts w:cs="Arial"/>
                <w:lang w:val="en-US"/>
              </w:rPr>
              <w:t>Trujilano 2015</w:t>
            </w:r>
          </w:p>
        </w:tc>
        <w:tc>
          <w:tcPr>
            <w:tcW w:w="1701" w:type="dxa"/>
            <w:tcBorders>
              <w:top w:val="single" w:sz="4" w:space="0" w:color="auto"/>
              <w:bottom w:val="single" w:sz="4" w:space="0" w:color="auto"/>
            </w:tcBorders>
          </w:tcPr>
          <w:p w14:paraId="0966B493" w14:textId="77777777" w:rsidR="00320171" w:rsidRPr="00054269" w:rsidRDefault="00320171" w:rsidP="007C6EBC">
            <w:pPr>
              <w:pStyle w:val="TableText"/>
              <w:keepLines/>
              <w:jc w:val="center"/>
              <w:rPr>
                <w:rFonts w:cs="Arial"/>
                <w:vertAlign w:val="superscript"/>
              </w:rPr>
            </w:pPr>
            <w:r w:rsidRPr="00054269">
              <w:rPr>
                <w:rFonts w:cs="Arial"/>
              </w:rPr>
              <w:t xml:space="preserve">100% </w:t>
            </w:r>
            <w:r w:rsidRPr="00054269">
              <w:rPr>
                <w:rFonts w:cs="Arial"/>
                <w:vertAlign w:val="superscript"/>
              </w:rPr>
              <w:t>a</w:t>
            </w:r>
          </w:p>
        </w:tc>
        <w:tc>
          <w:tcPr>
            <w:tcW w:w="1843" w:type="dxa"/>
            <w:tcBorders>
              <w:top w:val="single" w:sz="4" w:space="0" w:color="auto"/>
              <w:bottom w:val="single" w:sz="4" w:space="0" w:color="auto"/>
            </w:tcBorders>
          </w:tcPr>
          <w:p w14:paraId="442A10CB" w14:textId="77777777" w:rsidR="00320171" w:rsidRPr="00054269" w:rsidRDefault="00320171" w:rsidP="007C6EBC">
            <w:pPr>
              <w:pStyle w:val="TableText"/>
              <w:keepLines/>
              <w:jc w:val="center"/>
              <w:rPr>
                <w:rFonts w:cs="Arial"/>
                <w:vertAlign w:val="superscript"/>
              </w:rPr>
            </w:pPr>
            <w:r w:rsidRPr="00054269">
              <w:rPr>
                <w:rFonts w:cs="Arial"/>
              </w:rPr>
              <w:t xml:space="preserve">99.9% </w:t>
            </w:r>
            <w:r w:rsidRPr="00054269">
              <w:rPr>
                <w:rFonts w:cs="Arial"/>
                <w:vertAlign w:val="superscript"/>
              </w:rPr>
              <w:t>b</w:t>
            </w:r>
          </w:p>
        </w:tc>
        <w:tc>
          <w:tcPr>
            <w:tcW w:w="850" w:type="dxa"/>
            <w:tcBorders>
              <w:top w:val="single" w:sz="4" w:space="0" w:color="auto"/>
              <w:bottom w:val="single" w:sz="4" w:space="0" w:color="auto"/>
            </w:tcBorders>
          </w:tcPr>
          <w:p w14:paraId="1CD307BA" w14:textId="77777777" w:rsidR="00320171" w:rsidRPr="00054269" w:rsidRDefault="00320171" w:rsidP="007C6EBC">
            <w:pPr>
              <w:pStyle w:val="TableText"/>
              <w:keepLines/>
              <w:jc w:val="center"/>
              <w:rPr>
                <w:rFonts w:cs="Arial"/>
                <w:vertAlign w:val="superscript"/>
              </w:rPr>
            </w:pPr>
            <w:r w:rsidRPr="00054269">
              <w:rPr>
                <w:rFonts w:cs="Arial"/>
              </w:rPr>
              <w:t xml:space="preserve">91.2% </w:t>
            </w:r>
            <w:r w:rsidRPr="00054269">
              <w:rPr>
                <w:rFonts w:cs="Arial"/>
                <w:vertAlign w:val="superscript"/>
              </w:rPr>
              <w:t>c</w:t>
            </w:r>
          </w:p>
        </w:tc>
        <w:tc>
          <w:tcPr>
            <w:tcW w:w="709" w:type="dxa"/>
            <w:tcBorders>
              <w:top w:val="single" w:sz="4" w:space="0" w:color="auto"/>
              <w:bottom w:val="single" w:sz="4" w:space="0" w:color="auto"/>
            </w:tcBorders>
          </w:tcPr>
          <w:p w14:paraId="66DC2516" w14:textId="77777777" w:rsidR="00320171" w:rsidRPr="00054269" w:rsidRDefault="00320171" w:rsidP="007C6EBC">
            <w:pPr>
              <w:pStyle w:val="TableText"/>
              <w:keepLines/>
              <w:jc w:val="center"/>
              <w:rPr>
                <w:rFonts w:cs="Arial"/>
                <w:vertAlign w:val="superscript"/>
              </w:rPr>
            </w:pPr>
            <w:r w:rsidRPr="00054269">
              <w:rPr>
                <w:rFonts w:cs="Arial"/>
              </w:rPr>
              <w:t xml:space="preserve">100% </w:t>
            </w:r>
            <w:r w:rsidRPr="00054269">
              <w:rPr>
                <w:rFonts w:cs="Arial"/>
                <w:vertAlign w:val="superscript"/>
              </w:rPr>
              <w:t>d</w:t>
            </w:r>
          </w:p>
        </w:tc>
        <w:tc>
          <w:tcPr>
            <w:tcW w:w="1418" w:type="dxa"/>
            <w:tcBorders>
              <w:top w:val="single" w:sz="4" w:space="0" w:color="auto"/>
              <w:bottom w:val="single" w:sz="4" w:space="0" w:color="auto"/>
            </w:tcBorders>
          </w:tcPr>
          <w:p w14:paraId="2687B7E0"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2BC15E5E" w14:textId="77777777" w:rsidTr="007C6EBC">
        <w:tc>
          <w:tcPr>
            <w:tcW w:w="1843" w:type="dxa"/>
            <w:tcBorders>
              <w:bottom w:val="single" w:sz="4" w:space="0" w:color="auto"/>
            </w:tcBorders>
            <w:vAlign w:val="center"/>
          </w:tcPr>
          <w:p w14:paraId="59DCA4E5" w14:textId="77777777" w:rsidR="00320171" w:rsidRPr="00054269" w:rsidRDefault="00320171" w:rsidP="007C6EBC">
            <w:pPr>
              <w:pStyle w:val="TableText"/>
              <w:keepLines/>
              <w:rPr>
                <w:rFonts w:cs="Arial"/>
                <w:lang w:val="en-US"/>
              </w:rPr>
            </w:pPr>
            <w:r w:rsidRPr="00054269">
              <w:rPr>
                <w:rFonts w:cs="Arial"/>
                <w:lang w:val="en-US"/>
              </w:rPr>
              <w:t>Ruiz 2014</w:t>
            </w:r>
          </w:p>
        </w:tc>
        <w:tc>
          <w:tcPr>
            <w:tcW w:w="1701" w:type="dxa"/>
            <w:tcBorders>
              <w:bottom w:val="single" w:sz="4" w:space="0" w:color="auto"/>
            </w:tcBorders>
          </w:tcPr>
          <w:p w14:paraId="00AEBF2F"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bottom w:val="single" w:sz="4" w:space="0" w:color="auto"/>
            </w:tcBorders>
          </w:tcPr>
          <w:p w14:paraId="4AE92752" w14:textId="77777777" w:rsidR="00320171" w:rsidRPr="00054269" w:rsidRDefault="00320171" w:rsidP="007C6EBC">
            <w:pPr>
              <w:pStyle w:val="TableText"/>
              <w:keepLines/>
              <w:jc w:val="center"/>
              <w:rPr>
                <w:rFonts w:cs="Arial"/>
              </w:rPr>
            </w:pPr>
            <w:r w:rsidRPr="00054269">
              <w:rPr>
                <w:rFonts w:cs="Arial"/>
              </w:rPr>
              <w:t>99.9%</w:t>
            </w:r>
          </w:p>
        </w:tc>
        <w:tc>
          <w:tcPr>
            <w:tcW w:w="850" w:type="dxa"/>
            <w:tcBorders>
              <w:bottom w:val="single" w:sz="4" w:space="0" w:color="auto"/>
            </w:tcBorders>
            <w:vAlign w:val="center"/>
          </w:tcPr>
          <w:p w14:paraId="6D9645EF"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Borders>
              <w:bottom w:val="single" w:sz="4" w:space="0" w:color="auto"/>
            </w:tcBorders>
          </w:tcPr>
          <w:p w14:paraId="3905E2A0"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Borders>
              <w:bottom w:val="single" w:sz="4" w:space="0" w:color="auto"/>
            </w:tcBorders>
          </w:tcPr>
          <w:p w14:paraId="31D3F742"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05FA23B3" w14:textId="77777777" w:rsidTr="007C6EBC">
        <w:tc>
          <w:tcPr>
            <w:tcW w:w="1843" w:type="dxa"/>
            <w:tcBorders>
              <w:top w:val="single" w:sz="4" w:space="0" w:color="auto"/>
              <w:left w:val="single" w:sz="4" w:space="0" w:color="auto"/>
              <w:bottom w:val="single" w:sz="4" w:space="0" w:color="auto"/>
              <w:right w:val="nil"/>
            </w:tcBorders>
          </w:tcPr>
          <w:p w14:paraId="344E0940" w14:textId="77777777" w:rsidR="00320171" w:rsidRPr="00054269" w:rsidRDefault="00320171" w:rsidP="007C6EBC">
            <w:pPr>
              <w:pStyle w:val="TableText"/>
              <w:keepLines/>
              <w:rPr>
                <w:rFonts w:cs="Arial"/>
              </w:rPr>
            </w:pPr>
            <w:r w:rsidRPr="00054269">
              <w:rPr>
                <w:rFonts w:cs="Arial"/>
                <w:b/>
                <w:lang w:val="en-US"/>
              </w:rPr>
              <w:t>Breast ca</w:t>
            </w:r>
          </w:p>
        </w:tc>
        <w:tc>
          <w:tcPr>
            <w:tcW w:w="1701" w:type="dxa"/>
            <w:tcBorders>
              <w:top w:val="single" w:sz="4" w:space="0" w:color="auto"/>
              <w:left w:val="nil"/>
              <w:bottom w:val="single" w:sz="4" w:space="0" w:color="auto"/>
              <w:right w:val="nil"/>
            </w:tcBorders>
            <w:vAlign w:val="center"/>
          </w:tcPr>
          <w:p w14:paraId="30C5B292"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1843" w:type="dxa"/>
            <w:tcBorders>
              <w:top w:val="single" w:sz="4" w:space="0" w:color="auto"/>
              <w:left w:val="nil"/>
              <w:bottom w:val="single" w:sz="4" w:space="0" w:color="auto"/>
              <w:right w:val="nil"/>
            </w:tcBorders>
          </w:tcPr>
          <w:p w14:paraId="2B60481B"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850" w:type="dxa"/>
            <w:tcBorders>
              <w:top w:val="single" w:sz="4" w:space="0" w:color="auto"/>
              <w:left w:val="nil"/>
              <w:bottom w:val="single" w:sz="4" w:space="0" w:color="auto"/>
              <w:right w:val="nil"/>
            </w:tcBorders>
            <w:vAlign w:val="center"/>
          </w:tcPr>
          <w:p w14:paraId="27BB0F13"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709" w:type="dxa"/>
            <w:tcBorders>
              <w:top w:val="single" w:sz="4" w:space="0" w:color="auto"/>
              <w:left w:val="nil"/>
              <w:bottom w:val="single" w:sz="4" w:space="0" w:color="auto"/>
              <w:right w:val="nil"/>
            </w:tcBorders>
          </w:tcPr>
          <w:p w14:paraId="4E3E0885"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1418" w:type="dxa"/>
            <w:tcBorders>
              <w:top w:val="single" w:sz="4" w:space="0" w:color="auto"/>
              <w:left w:val="nil"/>
              <w:bottom w:val="single" w:sz="4" w:space="0" w:color="auto"/>
              <w:right w:val="single" w:sz="4" w:space="0" w:color="auto"/>
            </w:tcBorders>
          </w:tcPr>
          <w:p w14:paraId="3CD9AE22"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r>
      <w:tr w:rsidR="00320171" w:rsidRPr="00054269" w14:paraId="63B0110A" w14:textId="77777777" w:rsidTr="007C6EBC">
        <w:tc>
          <w:tcPr>
            <w:tcW w:w="1843" w:type="dxa"/>
            <w:tcBorders>
              <w:top w:val="single" w:sz="4" w:space="0" w:color="auto"/>
            </w:tcBorders>
            <w:vAlign w:val="center"/>
          </w:tcPr>
          <w:p w14:paraId="6838393B" w14:textId="77777777" w:rsidR="00320171" w:rsidRPr="00054269" w:rsidRDefault="00320171" w:rsidP="007C6EBC">
            <w:pPr>
              <w:pStyle w:val="TableText"/>
              <w:keepLines/>
              <w:rPr>
                <w:rFonts w:cs="Arial"/>
                <w:lang w:val="en-US"/>
              </w:rPr>
            </w:pPr>
            <w:r w:rsidRPr="00054269">
              <w:rPr>
                <w:rFonts w:cs="Arial"/>
                <w:lang w:val="en-US"/>
              </w:rPr>
              <w:t>D’Argenio 2015</w:t>
            </w:r>
          </w:p>
        </w:tc>
        <w:tc>
          <w:tcPr>
            <w:tcW w:w="1701" w:type="dxa"/>
            <w:tcBorders>
              <w:top w:val="single" w:sz="4" w:space="0" w:color="auto"/>
            </w:tcBorders>
          </w:tcPr>
          <w:p w14:paraId="4FF876E8"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top w:val="single" w:sz="4" w:space="0" w:color="auto"/>
            </w:tcBorders>
          </w:tcPr>
          <w:p w14:paraId="09F68065" w14:textId="77777777" w:rsidR="00320171" w:rsidRPr="00054269" w:rsidRDefault="00320171" w:rsidP="007C6EBC">
            <w:pPr>
              <w:pStyle w:val="TableText"/>
              <w:keepLines/>
              <w:jc w:val="center"/>
              <w:rPr>
                <w:rFonts w:cs="Arial"/>
              </w:rPr>
            </w:pPr>
            <w:r w:rsidRPr="00054269">
              <w:rPr>
                <w:rFonts w:cs="Arial"/>
              </w:rPr>
              <w:t>100%</w:t>
            </w:r>
          </w:p>
        </w:tc>
        <w:tc>
          <w:tcPr>
            <w:tcW w:w="850" w:type="dxa"/>
            <w:tcBorders>
              <w:top w:val="single" w:sz="4" w:space="0" w:color="auto"/>
            </w:tcBorders>
          </w:tcPr>
          <w:p w14:paraId="50A85B90" w14:textId="77777777" w:rsidR="00320171" w:rsidRPr="00054269" w:rsidRDefault="00320171" w:rsidP="007C6EBC">
            <w:pPr>
              <w:pStyle w:val="TableText"/>
              <w:keepLines/>
              <w:jc w:val="center"/>
              <w:rPr>
                <w:rFonts w:cs="Arial"/>
              </w:rPr>
            </w:pPr>
            <w:r w:rsidRPr="00054269">
              <w:rPr>
                <w:rFonts w:cs="Arial"/>
              </w:rPr>
              <w:t>100%</w:t>
            </w:r>
          </w:p>
        </w:tc>
        <w:tc>
          <w:tcPr>
            <w:tcW w:w="709" w:type="dxa"/>
            <w:tcBorders>
              <w:top w:val="single" w:sz="4" w:space="0" w:color="auto"/>
            </w:tcBorders>
          </w:tcPr>
          <w:p w14:paraId="65CD77FB" w14:textId="77777777" w:rsidR="00320171" w:rsidRPr="00054269" w:rsidRDefault="00320171" w:rsidP="007C6EBC">
            <w:pPr>
              <w:pStyle w:val="TableText"/>
              <w:keepLines/>
              <w:jc w:val="center"/>
              <w:rPr>
                <w:rFonts w:cs="Arial"/>
              </w:rPr>
            </w:pPr>
            <w:r w:rsidRPr="00054269">
              <w:rPr>
                <w:rFonts w:cs="Arial"/>
              </w:rPr>
              <w:t>100%</w:t>
            </w:r>
          </w:p>
        </w:tc>
        <w:tc>
          <w:tcPr>
            <w:tcW w:w="1418" w:type="dxa"/>
            <w:tcBorders>
              <w:top w:val="single" w:sz="4" w:space="0" w:color="auto"/>
            </w:tcBorders>
          </w:tcPr>
          <w:p w14:paraId="1680BBC4"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0C12BDB1" w14:textId="77777777" w:rsidTr="007C6EBC">
        <w:tc>
          <w:tcPr>
            <w:tcW w:w="1843" w:type="dxa"/>
            <w:tcBorders>
              <w:bottom w:val="single" w:sz="4" w:space="0" w:color="auto"/>
            </w:tcBorders>
            <w:vAlign w:val="center"/>
          </w:tcPr>
          <w:p w14:paraId="748A875E" w14:textId="77777777" w:rsidR="00320171" w:rsidRPr="00054269" w:rsidRDefault="00320171" w:rsidP="007C6EBC">
            <w:pPr>
              <w:pStyle w:val="TableText"/>
              <w:keepLines/>
              <w:rPr>
                <w:rFonts w:cs="Arial"/>
                <w:lang w:val="en-US"/>
              </w:rPr>
            </w:pPr>
            <w:r w:rsidRPr="00054269">
              <w:rPr>
                <w:rFonts w:cs="Arial"/>
                <w:lang w:val="en-US"/>
              </w:rPr>
              <w:t>Dacheva 2015</w:t>
            </w:r>
          </w:p>
        </w:tc>
        <w:tc>
          <w:tcPr>
            <w:tcW w:w="1701" w:type="dxa"/>
            <w:tcBorders>
              <w:bottom w:val="single" w:sz="4" w:space="0" w:color="auto"/>
            </w:tcBorders>
          </w:tcPr>
          <w:p w14:paraId="01782015"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bottom w:val="single" w:sz="4" w:space="0" w:color="auto"/>
            </w:tcBorders>
          </w:tcPr>
          <w:p w14:paraId="78736DB6" w14:textId="77777777" w:rsidR="00320171" w:rsidRPr="00054269" w:rsidRDefault="00320171" w:rsidP="007C6EBC">
            <w:pPr>
              <w:pStyle w:val="TableText"/>
              <w:keepLines/>
              <w:jc w:val="center"/>
              <w:rPr>
                <w:rFonts w:cs="Arial"/>
              </w:rPr>
            </w:pPr>
            <w:r w:rsidRPr="00054269">
              <w:rPr>
                <w:rFonts w:cs="Arial"/>
              </w:rPr>
              <w:t>95.9%</w:t>
            </w:r>
          </w:p>
        </w:tc>
        <w:tc>
          <w:tcPr>
            <w:tcW w:w="850" w:type="dxa"/>
            <w:tcBorders>
              <w:bottom w:val="single" w:sz="4" w:space="0" w:color="auto"/>
            </w:tcBorders>
          </w:tcPr>
          <w:p w14:paraId="7F44E623" w14:textId="77777777" w:rsidR="00320171" w:rsidRPr="00054269" w:rsidRDefault="00320171" w:rsidP="007C6EBC">
            <w:pPr>
              <w:pStyle w:val="TableText"/>
              <w:keepLines/>
              <w:jc w:val="center"/>
              <w:rPr>
                <w:rFonts w:cs="Arial"/>
              </w:rPr>
            </w:pPr>
            <w:r w:rsidRPr="00054269">
              <w:rPr>
                <w:rFonts w:cs="Arial"/>
              </w:rPr>
              <w:t>92.5%</w:t>
            </w:r>
          </w:p>
        </w:tc>
        <w:tc>
          <w:tcPr>
            <w:tcW w:w="709" w:type="dxa"/>
            <w:tcBorders>
              <w:bottom w:val="single" w:sz="4" w:space="0" w:color="auto"/>
            </w:tcBorders>
          </w:tcPr>
          <w:p w14:paraId="113DBE3C" w14:textId="77777777" w:rsidR="00320171" w:rsidRPr="00054269" w:rsidRDefault="00320171" w:rsidP="007C6EBC">
            <w:pPr>
              <w:pStyle w:val="TableText"/>
              <w:keepLines/>
              <w:jc w:val="center"/>
              <w:rPr>
                <w:rFonts w:cs="Arial"/>
              </w:rPr>
            </w:pPr>
            <w:r w:rsidRPr="00054269">
              <w:rPr>
                <w:rFonts w:cs="Arial"/>
              </w:rPr>
              <w:t>100%</w:t>
            </w:r>
          </w:p>
        </w:tc>
        <w:tc>
          <w:tcPr>
            <w:tcW w:w="1418" w:type="dxa"/>
            <w:tcBorders>
              <w:bottom w:val="single" w:sz="4" w:space="0" w:color="auto"/>
            </w:tcBorders>
          </w:tcPr>
          <w:p w14:paraId="08B7BE78"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4064440A" w14:textId="77777777" w:rsidTr="007C6EBC">
        <w:tc>
          <w:tcPr>
            <w:tcW w:w="1843" w:type="dxa"/>
            <w:tcBorders>
              <w:top w:val="single" w:sz="4" w:space="0" w:color="auto"/>
              <w:left w:val="single" w:sz="4" w:space="0" w:color="auto"/>
              <w:bottom w:val="single" w:sz="4" w:space="0" w:color="auto"/>
              <w:right w:val="nil"/>
            </w:tcBorders>
            <w:vAlign w:val="center"/>
          </w:tcPr>
          <w:p w14:paraId="4603D657" w14:textId="77777777" w:rsidR="00320171" w:rsidRPr="00054269" w:rsidRDefault="00320171" w:rsidP="007C6EBC">
            <w:pPr>
              <w:pStyle w:val="TableText"/>
              <w:keepLines/>
              <w:rPr>
                <w:rFonts w:cs="Arial"/>
                <w:b/>
                <w:lang w:val="en-US"/>
              </w:rPr>
            </w:pPr>
            <w:r w:rsidRPr="00054269">
              <w:rPr>
                <w:rFonts w:cs="Arial"/>
                <w:b/>
                <w:lang w:val="en-US"/>
              </w:rPr>
              <w:t>Any ca</w:t>
            </w:r>
          </w:p>
        </w:tc>
        <w:tc>
          <w:tcPr>
            <w:tcW w:w="1701" w:type="dxa"/>
            <w:tcBorders>
              <w:top w:val="single" w:sz="4" w:space="0" w:color="auto"/>
              <w:left w:val="nil"/>
              <w:bottom w:val="single" w:sz="4" w:space="0" w:color="auto"/>
              <w:right w:val="nil"/>
            </w:tcBorders>
            <w:vAlign w:val="center"/>
          </w:tcPr>
          <w:p w14:paraId="1C42936F"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1843" w:type="dxa"/>
            <w:tcBorders>
              <w:top w:val="single" w:sz="4" w:space="0" w:color="auto"/>
              <w:left w:val="nil"/>
              <w:bottom w:val="single" w:sz="4" w:space="0" w:color="auto"/>
              <w:right w:val="nil"/>
            </w:tcBorders>
          </w:tcPr>
          <w:p w14:paraId="411EDC45"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850" w:type="dxa"/>
            <w:tcBorders>
              <w:top w:val="single" w:sz="4" w:space="0" w:color="auto"/>
              <w:left w:val="nil"/>
              <w:bottom w:val="single" w:sz="4" w:space="0" w:color="auto"/>
              <w:right w:val="nil"/>
            </w:tcBorders>
            <w:vAlign w:val="center"/>
          </w:tcPr>
          <w:p w14:paraId="57F51FD4"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709" w:type="dxa"/>
            <w:tcBorders>
              <w:top w:val="single" w:sz="4" w:space="0" w:color="auto"/>
              <w:left w:val="nil"/>
              <w:bottom w:val="single" w:sz="4" w:space="0" w:color="auto"/>
              <w:right w:val="nil"/>
            </w:tcBorders>
          </w:tcPr>
          <w:p w14:paraId="71D2DCE8"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1418" w:type="dxa"/>
            <w:tcBorders>
              <w:top w:val="single" w:sz="4" w:space="0" w:color="auto"/>
              <w:left w:val="nil"/>
              <w:bottom w:val="single" w:sz="4" w:space="0" w:color="auto"/>
              <w:right w:val="single" w:sz="4" w:space="0" w:color="auto"/>
            </w:tcBorders>
          </w:tcPr>
          <w:p w14:paraId="4171A8C4"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r>
      <w:tr w:rsidR="00320171" w:rsidRPr="00054269" w14:paraId="152EED3C" w14:textId="77777777" w:rsidTr="007C6EBC">
        <w:tc>
          <w:tcPr>
            <w:tcW w:w="1843" w:type="dxa"/>
            <w:tcBorders>
              <w:top w:val="single" w:sz="4" w:space="0" w:color="auto"/>
              <w:bottom w:val="single" w:sz="4" w:space="0" w:color="auto"/>
            </w:tcBorders>
            <w:vAlign w:val="center"/>
          </w:tcPr>
          <w:p w14:paraId="61930F7E" w14:textId="77777777" w:rsidR="00320171" w:rsidRPr="00054269" w:rsidRDefault="00320171" w:rsidP="007C6EBC">
            <w:pPr>
              <w:pStyle w:val="TableText"/>
              <w:keepLines/>
              <w:rPr>
                <w:rFonts w:cs="Arial"/>
                <w:lang w:val="en-US"/>
              </w:rPr>
            </w:pPr>
            <w:r w:rsidRPr="00054269">
              <w:rPr>
                <w:rFonts w:cs="Arial"/>
                <w:lang w:val="en-US"/>
              </w:rPr>
              <w:t>Judkins 2015</w:t>
            </w:r>
          </w:p>
        </w:tc>
        <w:tc>
          <w:tcPr>
            <w:tcW w:w="1701" w:type="dxa"/>
            <w:tcBorders>
              <w:top w:val="single" w:sz="4" w:space="0" w:color="auto"/>
              <w:bottom w:val="single" w:sz="4" w:space="0" w:color="auto"/>
            </w:tcBorders>
          </w:tcPr>
          <w:p w14:paraId="61C64923" w14:textId="40BC5366" w:rsidR="00320171" w:rsidRPr="00054269" w:rsidRDefault="006E6A87" w:rsidP="007C6EBC">
            <w:pPr>
              <w:pStyle w:val="TableText"/>
              <w:keepLines/>
              <w:jc w:val="center"/>
              <w:rPr>
                <w:rFonts w:cs="Arial"/>
              </w:rPr>
            </w:pPr>
            <w:r>
              <w:rPr>
                <w:rFonts w:cs="Arial"/>
              </w:rPr>
              <w:t xml:space="preserve">LL </w:t>
            </w:r>
            <w:r w:rsidR="00320171" w:rsidRPr="00054269">
              <w:rPr>
                <w:rFonts w:cs="Arial"/>
              </w:rPr>
              <w:t>95% CI: &gt; 99.9%</w:t>
            </w:r>
          </w:p>
        </w:tc>
        <w:tc>
          <w:tcPr>
            <w:tcW w:w="1843" w:type="dxa"/>
            <w:tcBorders>
              <w:top w:val="single" w:sz="4" w:space="0" w:color="auto"/>
              <w:bottom w:val="single" w:sz="4" w:space="0" w:color="auto"/>
            </w:tcBorders>
          </w:tcPr>
          <w:p w14:paraId="0EF0A0EE" w14:textId="77777777" w:rsidR="00320171" w:rsidRPr="00054269" w:rsidRDefault="00320171" w:rsidP="007C6EBC">
            <w:pPr>
              <w:pStyle w:val="TableText"/>
              <w:keepLines/>
              <w:jc w:val="center"/>
              <w:rPr>
                <w:rFonts w:cs="Arial"/>
              </w:rPr>
            </w:pPr>
            <w:r w:rsidRPr="00054269">
              <w:rPr>
                <w:rFonts w:cs="Arial"/>
              </w:rPr>
              <w:t>LL 95% CI: &gt; 99.9%</w:t>
            </w:r>
          </w:p>
        </w:tc>
        <w:tc>
          <w:tcPr>
            <w:tcW w:w="850" w:type="dxa"/>
            <w:tcBorders>
              <w:top w:val="single" w:sz="4" w:space="0" w:color="auto"/>
              <w:bottom w:val="single" w:sz="4" w:space="0" w:color="auto"/>
            </w:tcBorders>
            <w:vAlign w:val="center"/>
          </w:tcPr>
          <w:p w14:paraId="405A7C70"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Borders>
              <w:top w:val="single" w:sz="4" w:space="0" w:color="auto"/>
              <w:bottom w:val="single" w:sz="4" w:space="0" w:color="auto"/>
            </w:tcBorders>
          </w:tcPr>
          <w:p w14:paraId="6A64B472"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Borders>
              <w:top w:val="single" w:sz="4" w:space="0" w:color="auto"/>
              <w:bottom w:val="single" w:sz="4" w:space="0" w:color="auto"/>
            </w:tcBorders>
          </w:tcPr>
          <w:p w14:paraId="346B5880" w14:textId="77777777" w:rsidR="00320171" w:rsidRPr="00054269" w:rsidRDefault="00320171" w:rsidP="007C6EBC">
            <w:pPr>
              <w:pStyle w:val="TableText"/>
              <w:keepLines/>
              <w:jc w:val="center"/>
              <w:rPr>
                <w:rFonts w:cs="Arial"/>
              </w:rPr>
            </w:pPr>
            <w:r w:rsidRPr="00054269">
              <w:rPr>
                <w:rFonts w:cs="Arial"/>
              </w:rPr>
              <w:t>100%</w:t>
            </w:r>
          </w:p>
        </w:tc>
      </w:tr>
      <w:tr w:rsidR="00320171" w:rsidRPr="00054269" w14:paraId="6DC8CE26" w14:textId="77777777" w:rsidTr="007C6EBC">
        <w:tc>
          <w:tcPr>
            <w:tcW w:w="1843" w:type="dxa"/>
            <w:tcBorders>
              <w:top w:val="single" w:sz="4" w:space="0" w:color="auto"/>
              <w:left w:val="single" w:sz="4" w:space="0" w:color="auto"/>
              <w:bottom w:val="single" w:sz="4" w:space="0" w:color="auto"/>
              <w:right w:val="nil"/>
            </w:tcBorders>
          </w:tcPr>
          <w:p w14:paraId="444FDC41" w14:textId="77777777" w:rsidR="00320171" w:rsidRPr="00054269" w:rsidRDefault="00320171" w:rsidP="007C6EBC">
            <w:pPr>
              <w:pStyle w:val="TableText"/>
              <w:keepLines/>
              <w:rPr>
                <w:rFonts w:cs="Arial"/>
                <w:b/>
              </w:rPr>
            </w:pPr>
            <w:r w:rsidRPr="00054269">
              <w:rPr>
                <w:rFonts w:cs="Arial"/>
                <w:b/>
              </w:rPr>
              <w:t>Included familial risk</w:t>
            </w:r>
          </w:p>
        </w:tc>
        <w:tc>
          <w:tcPr>
            <w:tcW w:w="1701" w:type="dxa"/>
            <w:tcBorders>
              <w:top w:val="single" w:sz="4" w:space="0" w:color="auto"/>
              <w:left w:val="nil"/>
              <w:bottom w:val="single" w:sz="4" w:space="0" w:color="auto"/>
              <w:right w:val="nil"/>
            </w:tcBorders>
            <w:vAlign w:val="center"/>
          </w:tcPr>
          <w:p w14:paraId="46C19210"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1843" w:type="dxa"/>
            <w:tcBorders>
              <w:top w:val="single" w:sz="4" w:space="0" w:color="auto"/>
              <w:left w:val="nil"/>
              <w:bottom w:val="single" w:sz="4" w:space="0" w:color="auto"/>
              <w:right w:val="nil"/>
            </w:tcBorders>
          </w:tcPr>
          <w:p w14:paraId="0B0D5199"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850" w:type="dxa"/>
            <w:tcBorders>
              <w:top w:val="single" w:sz="4" w:space="0" w:color="auto"/>
              <w:left w:val="nil"/>
              <w:bottom w:val="single" w:sz="4" w:space="0" w:color="auto"/>
              <w:right w:val="nil"/>
            </w:tcBorders>
            <w:vAlign w:val="center"/>
          </w:tcPr>
          <w:p w14:paraId="19000FA2"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709" w:type="dxa"/>
            <w:tcBorders>
              <w:top w:val="single" w:sz="4" w:space="0" w:color="auto"/>
              <w:left w:val="nil"/>
              <w:bottom w:val="single" w:sz="4" w:space="0" w:color="auto"/>
              <w:right w:val="nil"/>
            </w:tcBorders>
          </w:tcPr>
          <w:p w14:paraId="32648468"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1418" w:type="dxa"/>
            <w:tcBorders>
              <w:top w:val="single" w:sz="4" w:space="0" w:color="auto"/>
              <w:left w:val="nil"/>
              <w:bottom w:val="single" w:sz="4" w:space="0" w:color="auto"/>
              <w:right w:val="single" w:sz="4" w:space="0" w:color="auto"/>
            </w:tcBorders>
          </w:tcPr>
          <w:p w14:paraId="5538595B"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r>
      <w:tr w:rsidR="00320171" w:rsidRPr="00054269" w14:paraId="7791E368" w14:textId="77777777" w:rsidTr="007C6EBC">
        <w:tc>
          <w:tcPr>
            <w:tcW w:w="1843" w:type="dxa"/>
            <w:tcBorders>
              <w:top w:val="single" w:sz="4" w:space="0" w:color="auto"/>
            </w:tcBorders>
            <w:vAlign w:val="center"/>
          </w:tcPr>
          <w:p w14:paraId="4B997CB1" w14:textId="77777777" w:rsidR="00320171" w:rsidRPr="00054269" w:rsidRDefault="00320171" w:rsidP="007C6EBC">
            <w:pPr>
              <w:pStyle w:val="TableText"/>
              <w:keepLines/>
              <w:rPr>
                <w:rFonts w:cs="Arial"/>
                <w:lang w:val="en-US"/>
              </w:rPr>
            </w:pPr>
            <w:r w:rsidRPr="00054269">
              <w:rPr>
                <w:rFonts w:cs="Arial"/>
                <w:lang w:val="en-US"/>
              </w:rPr>
              <w:t>Castera 2014</w:t>
            </w:r>
          </w:p>
        </w:tc>
        <w:tc>
          <w:tcPr>
            <w:tcW w:w="1701" w:type="dxa"/>
            <w:tcBorders>
              <w:top w:val="single" w:sz="4" w:space="0" w:color="auto"/>
            </w:tcBorders>
          </w:tcPr>
          <w:p w14:paraId="5A5179ED"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top w:val="single" w:sz="4" w:space="0" w:color="auto"/>
            </w:tcBorders>
          </w:tcPr>
          <w:p w14:paraId="02BF5AF5" w14:textId="77777777" w:rsidR="00320171" w:rsidRPr="00054269" w:rsidRDefault="00320171" w:rsidP="007C6EBC">
            <w:pPr>
              <w:pStyle w:val="TableText"/>
              <w:keepLines/>
              <w:jc w:val="center"/>
              <w:rPr>
                <w:rFonts w:cs="Arial"/>
              </w:rPr>
            </w:pPr>
            <w:r w:rsidRPr="00054269">
              <w:rPr>
                <w:rFonts w:cs="Arial"/>
              </w:rPr>
              <w:t>98.2%</w:t>
            </w:r>
          </w:p>
        </w:tc>
        <w:tc>
          <w:tcPr>
            <w:tcW w:w="850" w:type="dxa"/>
            <w:tcBorders>
              <w:top w:val="single" w:sz="4" w:space="0" w:color="auto"/>
            </w:tcBorders>
            <w:vAlign w:val="center"/>
          </w:tcPr>
          <w:p w14:paraId="02112507"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Borders>
              <w:top w:val="single" w:sz="4" w:space="0" w:color="auto"/>
            </w:tcBorders>
          </w:tcPr>
          <w:p w14:paraId="66C61D9D"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Borders>
              <w:top w:val="single" w:sz="4" w:space="0" w:color="auto"/>
            </w:tcBorders>
          </w:tcPr>
          <w:p w14:paraId="596AF6FB"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6D7B01B5" w14:textId="77777777" w:rsidTr="007C6EBC">
        <w:tc>
          <w:tcPr>
            <w:tcW w:w="1843" w:type="dxa"/>
            <w:vAlign w:val="center"/>
          </w:tcPr>
          <w:p w14:paraId="32CE0006" w14:textId="77777777" w:rsidR="00320171" w:rsidRPr="00054269" w:rsidRDefault="00320171" w:rsidP="007C6EBC">
            <w:pPr>
              <w:pStyle w:val="TableText"/>
              <w:keepLines/>
              <w:rPr>
                <w:rFonts w:cs="Arial"/>
                <w:lang w:val="en-US"/>
              </w:rPr>
            </w:pPr>
            <w:r w:rsidRPr="00054269">
              <w:rPr>
                <w:rFonts w:cs="Arial"/>
                <w:lang w:val="en-US"/>
              </w:rPr>
              <w:t>Chong 2014</w:t>
            </w:r>
          </w:p>
        </w:tc>
        <w:tc>
          <w:tcPr>
            <w:tcW w:w="1701" w:type="dxa"/>
          </w:tcPr>
          <w:p w14:paraId="23E3A7BE" w14:textId="77777777" w:rsidR="00320171" w:rsidRPr="00054269" w:rsidRDefault="00320171" w:rsidP="007C6EBC">
            <w:pPr>
              <w:pStyle w:val="TableText"/>
              <w:keepLines/>
              <w:jc w:val="center"/>
              <w:rPr>
                <w:rFonts w:cs="Arial"/>
              </w:rPr>
            </w:pPr>
            <w:r w:rsidRPr="00054269">
              <w:rPr>
                <w:rFonts w:cs="Arial"/>
              </w:rPr>
              <w:t>100%</w:t>
            </w:r>
          </w:p>
        </w:tc>
        <w:tc>
          <w:tcPr>
            <w:tcW w:w="1843" w:type="dxa"/>
          </w:tcPr>
          <w:p w14:paraId="6FA6FB63" w14:textId="77777777" w:rsidR="00320171" w:rsidRPr="00054269" w:rsidRDefault="00320171" w:rsidP="007C6EBC">
            <w:pPr>
              <w:pStyle w:val="TableText"/>
              <w:keepLines/>
              <w:jc w:val="center"/>
              <w:rPr>
                <w:rFonts w:cs="Arial"/>
              </w:rPr>
            </w:pPr>
            <w:r w:rsidRPr="00054269">
              <w:rPr>
                <w:rFonts w:cs="Arial"/>
              </w:rPr>
              <w:t>99.9%</w:t>
            </w:r>
          </w:p>
        </w:tc>
        <w:tc>
          <w:tcPr>
            <w:tcW w:w="850" w:type="dxa"/>
            <w:vAlign w:val="center"/>
          </w:tcPr>
          <w:p w14:paraId="7406FD39"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Pr>
          <w:p w14:paraId="4B2D6213"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Pr>
          <w:p w14:paraId="2718622C"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3DA2318E" w14:textId="77777777" w:rsidTr="007C6EBC">
        <w:tc>
          <w:tcPr>
            <w:tcW w:w="1843" w:type="dxa"/>
            <w:vAlign w:val="center"/>
          </w:tcPr>
          <w:p w14:paraId="22FD60C9" w14:textId="77777777" w:rsidR="00320171" w:rsidRPr="00054269" w:rsidRDefault="00320171" w:rsidP="007C6EBC">
            <w:pPr>
              <w:pStyle w:val="TableText"/>
              <w:keepLines/>
              <w:rPr>
                <w:rFonts w:cs="Arial"/>
                <w:lang w:val="en-US"/>
              </w:rPr>
            </w:pPr>
            <w:r w:rsidRPr="00054269">
              <w:rPr>
                <w:rFonts w:cs="Arial"/>
                <w:lang w:val="en-US"/>
              </w:rPr>
              <w:t>Feliubadalo 2013</w:t>
            </w:r>
          </w:p>
        </w:tc>
        <w:tc>
          <w:tcPr>
            <w:tcW w:w="1701" w:type="dxa"/>
          </w:tcPr>
          <w:p w14:paraId="6D76C560" w14:textId="77777777" w:rsidR="00320171" w:rsidRPr="00054269" w:rsidRDefault="00320171" w:rsidP="007C6EBC">
            <w:pPr>
              <w:pStyle w:val="TableText"/>
              <w:keepLines/>
              <w:jc w:val="center"/>
              <w:rPr>
                <w:rFonts w:cs="Arial"/>
              </w:rPr>
            </w:pPr>
            <w:r w:rsidRPr="00054269">
              <w:rPr>
                <w:rFonts w:cs="Arial"/>
              </w:rPr>
              <w:t>100%</w:t>
            </w:r>
          </w:p>
        </w:tc>
        <w:tc>
          <w:tcPr>
            <w:tcW w:w="1843" w:type="dxa"/>
          </w:tcPr>
          <w:p w14:paraId="007EE339" w14:textId="77777777" w:rsidR="00320171" w:rsidRPr="00054269" w:rsidRDefault="00320171" w:rsidP="007C6EBC">
            <w:pPr>
              <w:pStyle w:val="TableText"/>
              <w:keepLines/>
              <w:jc w:val="center"/>
              <w:rPr>
                <w:rFonts w:cs="Arial"/>
              </w:rPr>
            </w:pPr>
            <w:r w:rsidRPr="00054269">
              <w:rPr>
                <w:rFonts w:cs="Arial"/>
              </w:rPr>
              <w:t>100%</w:t>
            </w:r>
          </w:p>
        </w:tc>
        <w:tc>
          <w:tcPr>
            <w:tcW w:w="850" w:type="dxa"/>
            <w:vAlign w:val="center"/>
          </w:tcPr>
          <w:p w14:paraId="1EDFB230"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Pr>
          <w:p w14:paraId="06C3A2ED"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Pr>
          <w:p w14:paraId="1A4E01A7" w14:textId="77777777" w:rsidR="00320171" w:rsidRPr="00054269" w:rsidRDefault="00320171" w:rsidP="007C6EBC">
            <w:pPr>
              <w:pStyle w:val="TableText"/>
              <w:keepLines/>
              <w:jc w:val="center"/>
              <w:rPr>
                <w:rFonts w:cs="Arial"/>
              </w:rPr>
            </w:pPr>
            <w:r w:rsidRPr="00054269">
              <w:rPr>
                <w:rFonts w:cs="Arial"/>
                <w:lang w:val="en-US"/>
              </w:rPr>
              <w:t>─</w:t>
            </w:r>
          </w:p>
        </w:tc>
      </w:tr>
      <w:tr w:rsidR="00320171" w:rsidRPr="00054269" w14:paraId="2C2C1B29" w14:textId="77777777" w:rsidTr="007C6EBC">
        <w:tc>
          <w:tcPr>
            <w:tcW w:w="1843" w:type="dxa"/>
            <w:vAlign w:val="center"/>
          </w:tcPr>
          <w:p w14:paraId="1253FA87" w14:textId="77777777" w:rsidR="00320171" w:rsidRPr="00054269" w:rsidRDefault="00320171" w:rsidP="007C6EBC">
            <w:pPr>
              <w:pStyle w:val="TableText"/>
              <w:keepLines/>
              <w:rPr>
                <w:rFonts w:cs="Arial"/>
                <w:lang w:val="en-US"/>
              </w:rPr>
            </w:pPr>
            <w:r w:rsidRPr="00054269">
              <w:rPr>
                <w:rFonts w:cs="Arial"/>
                <w:lang w:val="en-US"/>
              </w:rPr>
              <w:t>Lincoln 2015</w:t>
            </w:r>
          </w:p>
        </w:tc>
        <w:tc>
          <w:tcPr>
            <w:tcW w:w="1701" w:type="dxa"/>
          </w:tcPr>
          <w:p w14:paraId="3ABED86C" w14:textId="77777777" w:rsidR="00320171" w:rsidRPr="00054269" w:rsidRDefault="00320171" w:rsidP="007C6EBC">
            <w:pPr>
              <w:pStyle w:val="TableText"/>
              <w:keepLines/>
              <w:jc w:val="center"/>
              <w:rPr>
                <w:rFonts w:cs="Arial"/>
              </w:rPr>
            </w:pPr>
            <w:r w:rsidRPr="00054269">
              <w:rPr>
                <w:rFonts w:cs="Arial"/>
              </w:rPr>
              <w:t xml:space="preserve">100% </w:t>
            </w:r>
            <w:r w:rsidRPr="00054269">
              <w:rPr>
                <w:rFonts w:cs="Arial"/>
                <w:vertAlign w:val="superscript"/>
              </w:rPr>
              <w:t>e</w:t>
            </w:r>
          </w:p>
        </w:tc>
        <w:tc>
          <w:tcPr>
            <w:tcW w:w="1843" w:type="dxa"/>
          </w:tcPr>
          <w:p w14:paraId="468176BC" w14:textId="77777777" w:rsidR="00320171" w:rsidRPr="00054269" w:rsidRDefault="00320171" w:rsidP="007C6EBC">
            <w:pPr>
              <w:pStyle w:val="TableText"/>
              <w:keepLines/>
              <w:jc w:val="center"/>
              <w:rPr>
                <w:rFonts w:cs="Arial"/>
              </w:rPr>
            </w:pPr>
            <w:r w:rsidRPr="00054269">
              <w:rPr>
                <w:rFonts w:cs="Arial"/>
              </w:rPr>
              <w:t xml:space="preserve">100% </w:t>
            </w:r>
            <w:r w:rsidRPr="00054269">
              <w:rPr>
                <w:rFonts w:cs="Arial"/>
                <w:vertAlign w:val="superscript"/>
              </w:rPr>
              <w:t>f</w:t>
            </w:r>
          </w:p>
        </w:tc>
        <w:tc>
          <w:tcPr>
            <w:tcW w:w="850" w:type="dxa"/>
            <w:vAlign w:val="center"/>
          </w:tcPr>
          <w:p w14:paraId="6FB4D96B"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Pr>
          <w:p w14:paraId="0805D6E2"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Pr>
          <w:p w14:paraId="63115D10" w14:textId="77777777" w:rsidR="00320171" w:rsidRPr="00054269" w:rsidRDefault="00320171" w:rsidP="007C6EBC">
            <w:pPr>
              <w:pStyle w:val="TableText"/>
              <w:keepLines/>
              <w:jc w:val="center"/>
              <w:rPr>
                <w:rFonts w:cs="Arial"/>
                <w:lang w:val="en-US"/>
              </w:rPr>
            </w:pPr>
            <w:r w:rsidRPr="00054269">
              <w:rPr>
                <w:rFonts w:cs="Arial"/>
                <w:lang w:val="en-US"/>
              </w:rPr>
              <w:t>100%</w:t>
            </w:r>
          </w:p>
        </w:tc>
      </w:tr>
      <w:tr w:rsidR="00320171" w:rsidRPr="00054269" w14:paraId="6B80B795" w14:textId="77777777" w:rsidTr="007C6EBC">
        <w:tc>
          <w:tcPr>
            <w:tcW w:w="1843" w:type="dxa"/>
            <w:tcBorders>
              <w:bottom w:val="single" w:sz="4" w:space="0" w:color="auto"/>
            </w:tcBorders>
            <w:vAlign w:val="center"/>
          </w:tcPr>
          <w:p w14:paraId="331AC066" w14:textId="77777777" w:rsidR="00320171" w:rsidRPr="00054269" w:rsidRDefault="00320171" w:rsidP="007C6EBC">
            <w:pPr>
              <w:pStyle w:val="TableText"/>
              <w:keepLines/>
              <w:rPr>
                <w:rFonts w:cs="Arial"/>
                <w:lang w:val="en-US"/>
              </w:rPr>
            </w:pPr>
            <w:r w:rsidRPr="00054269">
              <w:rPr>
                <w:rFonts w:cs="Arial"/>
                <w:lang w:val="en-US"/>
              </w:rPr>
              <w:t>Strom 2014</w:t>
            </w:r>
          </w:p>
          <w:p w14:paraId="2453CDFE" w14:textId="77777777" w:rsidR="00320171" w:rsidRPr="00054269" w:rsidRDefault="00320171" w:rsidP="007C6EBC">
            <w:pPr>
              <w:pStyle w:val="TableText"/>
              <w:keepLines/>
              <w:ind w:left="113"/>
              <w:rPr>
                <w:rFonts w:cs="Arial"/>
                <w:lang w:val="en-US"/>
              </w:rPr>
            </w:pPr>
            <w:r w:rsidRPr="00054269">
              <w:rPr>
                <w:rFonts w:cs="Arial"/>
                <w:lang w:val="en-US"/>
              </w:rPr>
              <w:t>Illumina MiSeq</w:t>
            </w:r>
          </w:p>
          <w:p w14:paraId="3E1240F2" w14:textId="77777777" w:rsidR="00320171" w:rsidRPr="00054269" w:rsidRDefault="00320171" w:rsidP="007C6EBC">
            <w:pPr>
              <w:pStyle w:val="TableText"/>
              <w:keepLines/>
              <w:ind w:left="113"/>
              <w:rPr>
                <w:rFonts w:cs="Arial"/>
                <w:lang w:val="en-US"/>
              </w:rPr>
            </w:pPr>
            <w:r w:rsidRPr="00054269">
              <w:rPr>
                <w:rFonts w:cs="Arial"/>
                <w:lang w:val="en-US"/>
              </w:rPr>
              <w:t>Ion Torrent PGM</w:t>
            </w:r>
          </w:p>
        </w:tc>
        <w:tc>
          <w:tcPr>
            <w:tcW w:w="1701" w:type="dxa"/>
            <w:tcBorders>
              <w:bottom w:val="single" w:sz="4" w:space="0" w:color="auto"/>
            </w:tcBorders>
          </w:tcPr>
          <w:p w14:paraId="5D525C2E" w14:textId="77777777" w:rsidR="00320171" w:rsidRPr="00054269" w:rsidRDefault="00320171" w:rsidP="007C6EBC">
            <w:pPr>
              <w:pStyle w:val="TableText"/>
              <w:keepLines/>
              <w:jc w:val="center"/>
              <w:rPr>
                <w:rFonts w:cs="Arial"/>
              </w:rPr>
            </w:pPr>
            <w:r w:rsidRPr="00054269">
              <w:rPr>
                <w:rFonts w:cs="Arial"/>
              </w:rPr>
              <w:t>─</w:t>
            </w:r>
          </w:p>
          <w:p w14:paraId="3BA72980" w14:textId="77777777" w:rsidR="00320171" w:rsidRPr="00054269" w:rsidRDefault="00320171" w:rsidP="007C6EBC">
            <w:pPr>
              <w:pStyle w:val="TableText"/>
              <w:keepLines/>
              <w:jc w:val="center"/>
              <w:rPr>
                <w:rFonts w:cs="Arial"/>
              </w:rPr>
            </w:pPr>
            <w:r w:rsidRPr="00054269">
              <w:rPr>
                <w:rFonts w:cs="Arial"/>
              </w:rPr>
              <w:t>100%</w:t>
            </w:r>
          </w:p>
          <w:p w14:paraId="16EFF6B5"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bottom w:val="single" w:sz="4" w:space="0" w:color="auto"/>
            </w:tcBorders>
          </w:tcPr>
          <w:p w14:paraId="0ED8441D" w14:textId="77777777" w:rsidR="00320171" w:rsidRPr="00054269" w:rsidRDefault="00320171" w:rsidP="007C6EBC">
            <w:pPr>
              <w:pStyle w:val="TableText"/>
              <w:keepLines/>
              <w:jc w:val="center"/>
              <w:rPr>
                <w:rFonts w:cs="Arial"/>
              </w:rPr>
            </w:pPr>
            <w:r w:rsidRPr="00054269">
              <w:rPr>
                <w:rFonts w:cs="Arial"/>
              </w:rPr>
              <w:t>─</w:t>
            </w:r>
          </w:p>
          <w:p w14:paraId="19B9D585" w14:textId="77777777" w:rsidR="00320171" w:rsidRPr="00054269" w:rsidRDefault="00320171" w:rsidP="007C6EBC">
            <w:pPr>
              <w:pStyle w:val="TableText"/>
              <w:keepLines/>
              <w:jc w:val="center"/>
              <w:rPr>
                <w:rFonts w:cs="Arial"/>
              </w:rPr>
            </w:pPr>
            <w:r w:rsidRPr="00054269">
              <w:rPr>
                <w:rFonts w:cs="Arial"/>
              </w:rPr>
              <w:t>99.4% to 100%</w:t>
            </w:r>
          </w:p>
          <w:p w14:paraId="0940FFA6" w14:textId="77777777" w:rsidR="00320171" w:rsidRPr="00054269" w:rsidRDefault="00320171" w:rsidP="007C6EBC">
            <w:pPr>
              <w:pStyle w:val="TableText"/>
              <w:keepLines/>
              <w:jc w:val="center"/>
              <w:rPr>
                <w:rFonts w:cs="Arial"/>
              </w:rPr>
            </w:pPr>
            <w:r w:rsidRPr="00054269">
              <w:rPr>
                <w:rFonts w:cs="Arial"/>
              </w:rPr>
              <w:t>96.2% to 96.7%</w:t>
            </w:r>
          </w:p>
        </w:tc>
        <w:tc>
          <w:tcPr>
            <w:tcW w:w="850" w:type="dxa"/>
            <w:tcBorders>
              <w:bottom w:val="single" w:sz="4" w:space="0" w:color="auto"/>
            </w:tcBorders>
            <w:vAlign w:val="center"/>
          </w:tcPr>
          <w:p w14:paraId="1D9C3CDA"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Borders>
              <w:bottom w:val="single" w:sz="4" w:space="0" w:color="auto"/>
            </w:tcBorders>
            <w:vAlign w:val="center"/>
          </w:tcPr>
          <w:p w14:paraId="0DD73DDB"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Borders>
              <w:bottom w:val="single" w:sz="4" w:space="0" w:color="auto"/>
            </w:tcBorders>
          </w:tcPr>
          <w:p w14:paraId="156CB90D" w14:textId="77777777" w:rsidR="00320171" w:rsidRPr="00054269" w:rsidRDefault="00320171" w:rsidP="007C6EBC">
            <w:pPr>
              <w:pStyle w:val="TableText"/>
              <w:keepLines/>
              <w:jc w:val="center"/>
              <w:rPr>
                <w:rFonts w:cs="Arial"/>
                <w:lang w:val="en-US"/>
              </w:rPr>
            </w:pPr>
            <w:r w:rsidRPr="00054269">
              <w:rPr>
                <w:rFonts w:cs="Arial"/>
                <w:lang w:val="en-US"/>
              </w:rPr>
              <w:t>96.7%</w:t>
            </w:r>
          </w:p>
          <w:p w14:paraId="0703EDEF" w14:textId="77777777" w:rsidR="00320171" w:rsidRPr="00054269" w:rsidRDefault="00320171" w:rsidP="007C6EBC">
            <w:pPr>
              <w:pStyle w:val="TableText"/>
              <w:keepLines/>
              <w:jc w:val="center"/>
              <w:rPr>
                <w:rFonts w:cs="Arial"/>
                <w:lang w:val="en-US"/>
              </w:rPr>
            </w:pPr>
            <w:r w:rsidRPr="00054269">
              <w:rPr>
                <w:rFonts w:cs="Arial"/>
                <w:lang w:val="en-US"/>
              </w:rPr>
              <w:t>Failure: 2.8%</w:t>
            </w:r>
          </w:p>
          <w:p w14:paraId="3CCBA4DE" w14:textId="77777777" w:rsidR="00320171" w:rsidRPr="00054269" w:rsidRDefault="00320171" w:rsidP="007C6EBC">
            <w:pPr>
              <w:pStyle w:val="TableText"/>
              <w:keepLines/>
              <w:jc w:val="center"/>
              <w:rPr>
                <w:rFonts w:cs="Arial"/>
                <w:lang w:val="en-US"/>
              </w:rPr>
            </w:pPr>
            <w:r w:rsidRPr="00054269">
              <w:rPr>
                <w:rFonts w:cs="Arial"/>
                <w:lang w:val="en-US"/>
              </w:rPr>
              <w:t>Failure:16.7%</w:t>
            </w:r>
          </w:p>
        </w:tc>
      </w:tr>
      <w:tr w:rsidR="00320171" w:rsidRPr="00054269" w14:paraId="2709D93F" w14:textId="77777777" w:rsidTr="007C6EBC">
        <w:tc>
          <w:tcPr>
            <w:tcW w:w="1843" w:type="dxa"/>
            <w:tcBorders>
              <w:top w:val="single" w:sz="4" w:space="0" w:color="auto"/>
              <w:left w:val="single" w:sz="4" w:space="0" w:color="auto"/>
              <w:bottom w:val="single" w:sz="4" w:space="0" w:color="auto"/>
              <w:right w:val="nil"/>
            </w:tcBorders>
          </w:tcPr>
          <w:p w14:paraId="440FAE4A" w14:textId="77777777" w:rsidR="00320171" w:rsidRPr="00054269" w:rsidRDefault="00320171" w:rsidP="007C6EBC">
            <w:pPr>
              <w:pStyle w:val="TableText"/>
              <w:keepLines/>
              <w:rPr>
                <w:rFonts w:cs="Arial"/>
                <w:b/>
              </w:rPr>
            </w:pPr>
            <w:r w:rsidRPr="00054269">
              <w:rPr>
                <w:rFonts w:cs="Arial"/>
                <w:b/>
              </w:rPr>
              <w:t>Unclear patient pop</w:t>
            </w:r>
          </w:p>
        </w:tc>
        <w:tc>
          <w:tcPr>
            <w:tcW w:w="1701" w:type="dxa"/>
            <w:tcBorders>
              <w:top w:val="single" w:sz="4" w:space="0" w:color="auto"/>
              <w:left w:val="nil"/>
              <w:bottom w:val="single" w:sz="4" w:space="0" w:color="auto"/>
              <w:right w:val="nil"/>
            </w:tcBorders>
          </w:tcPr>
          <w:p w14:paraId="289E1ABC"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rPr>
              <w:t>─</w:t>
            </w:r>
          </w:p>
        </w:tc>
        <w:tc>
          <w:tcPr>
            <w:tcW w:w="1843" w:type="dxa"/>
            <w:tcBorders>
              <w:top w:val="single" w:sz="4" w:space="0" w:color="auto"/>
              <w:left w:val="nil"/>
              <w:bottom w:val="single" w:sz="4" w:space="0" w:color="auto"/>
              <w:right w:val="nil"/>
            </w:tcBorders>
          </w:tcPr>
          <w:p w14:paraId="54746D92"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rPr>
              <w:t>─</w:t>
            </w:r>
          </w:p>
        </w:tc>
        <w:tc>
          <w:tcPr>
            <w:tcW w:w="850" w:type="dxa"/>
            <w:tcBorders>
              <w:top w:val="single" w:sz="4" w:space="0" w:color="auto"/>
              <w:left w:val="nil"/>
              <w:bottom w:val="single" w:sz="4" w:space="0" w:color="auto"/>
              <w:right w:val="nil"/>
            </w:tcBorders>
            <w:vAlign w:val="center"/>
          </w:tcPr>
          <w:p w14:paraId="119C5AA0" w14:textId="77777777" w:rsidR="00320171" w:rsidRPr="00054269" w:rsidRDefault="00320171" w:rsidP="007C6EBC">
            <w:pPr>
              <w:pStyle w:val="TableText"/>
              <w:keepLines/>
              <w:jc w:val="center"/>
              <w:rPr>
                <w:rFonts w:cs="Arial"/>
                <w:color w:val="FFFFFF" w:themeColor="background1"/>
                <w:lang w:val="en-US"/>
              </w:rPr>
            </w:pPr>
            <w:r w:rsidRPr="00054269">
              <w:rPr>
                <w:rFonts w:cs="Arial"/>
                <w:color w:val="FFFFFF" w:themeColor="background1"/>
                <w:lang w:val="en-US"/>
              </w:rPr>
              <w:t>─</w:t>
            </w:r>
          </w:p>
        </w:tc>
        <w:tc>
          <w:tcPr>
            <w:tcW w:w="709" w:type="dxa"/>
            <w:tcBorders>
              <w:top w:val="single" w:sz="4" w:space="0" w:color="auto"/>
              <w:left w:val="nil"/>
              <w:bottom w:val="single" w:sz="4" w:space="0" w:color="auto"/>
              <w:right w:val="nil"/>
            </w:tcBorders>
          </w:tcPr>
          <w:p w14:paraId="364D64C6" w14:textId="77777777" w:rsidR="00320171" w:rsidRPr="00054269" w:rsidRDefault="00320171" w:rsidP="007C6EBC">
            <w:pPr>
              <w:pStyle w:val="TableText"/>
              <w:keepLines/>
              <w:jc w:val="center"/>
              <w:rPr>
                <w:rFonts w:cs="Arial"/>
                <w:color w:val="FFFFFF" w:themeColor="background1"/>
              </w:rPr>
            </w:pPr>
            <w:r w:rsidRPr="00054269">
              <w:rPr>
                <w:rFonts w:cs="Arial"/>
                <w:color w:val="FFFFFF" w:themeColor="background1"/>
                <w:lang w:val="en-US"/>
              </w:rPr>
              <w:t>─</w:t>
            </w:r>
          </w:p>
        </w:tc>
        <w:tc>
          <w:tcPr>
            <w:tcW w:w="1418" w:type="dxa"/>
            <w:tcBorders>
              <w:top w:val="single" w:sz="4" w:space="0" w:color="auto"/>
              <w:left w:val="nil"/>
              <w:bottom w:val="single" w:sz="4" w:space="0" w:color="auto"/>
              <w:right w:val="single" w:sz="4" w:space="0" w:color="auto"/>
            </w:tcBorders>
          </w:tcPr>
          <w:p w14:paraId="521FBFB1" w14:textId="77777777" w:rsidR="00320171" w:rsidRPr="00054269" w:rsidRDefault="00320171" w:rsidP="007C6EBC">
            <w:pPr>
              <w:pStyle w:val="TableText"/>
              <w:keepLines/>
              <w:tabs>
                <w:tab w:val="left" w:pos="299"/>
                <w:tab w:val="center" w:pos="539"/>
              </w:tabs>
              <w:jc w:val="center"/>
              <w:rPr>
                <w:rFonts w:cs="Arial"/>
                <w:color w:val="FFFFFF" w:themeColor="background1"/>
              </w:rPr>
            </w:pPr>
          </w:p>
        </w:tc>
      </w:tr>
      <w:tr w:rsidR="00320171" w:rsidRPr="00054269" w14:paraId="66058FAC" w14:textId="77777777" w:rsidTr="007C6EBC">
        <w:tc>
          <w:tcPr>
            <w:tcW w:w="1843" w:type="dxa"/>
            <w:tcBorders>
              <w:top w:val="single" w:sz="4" w:space="0" w:color="auto"/>
            </w:tcBorders>
          </w:tcPr>
          <w:p w14:paraId="3FE00799" w14:textId="77777777" w:rsidR="00320171" w:rsidRPr="00054269" w:rsidRDefault="00320171" w:rsidP="007C6EBC">
            <w:pPr>
              <w:pStyle w:val="TableText"/>
              <w:keepLines/>
              <w:rPr>
                <w:rFonts w:cs="Arial"/>
              </w:rPr>
            </w:pPr>
            <w:r w:rsidRPr="00054269">
              <w:rPr>
                <w:rFonts w:cs="Arial"/>
              </w:rPr>
              <w:t>Costa 2013</w:t>
            </w:r>
          </w:p>
        </w:tc>
        <w:tc>
          <w:tcPr>
            <w:tcW w:w="1701" w:type="dxa"/>
            <w:tcBorders>
              <w:top w:val="single" w:sz="4" w:space="0" w:color="auto"/>
            </w:tcBorders>
          </w:tcPr>
          <w:p w14:paraId="10905DE3" w14:textId="77777777" w:rsidR="00320171" w:rsidRPr="00054269" w:rsidRDefault="00320171" w:rsidP="007C6EBC">
            <w:pPr>
              <w:pStyle w:val="TableText"/>
              <w:keepLines/>
              <w:jc w:val="center"/>
              <w:rPr>
                <w:rFonts w:cs="Arial"/>
              </w:rPr>
            </w:pPr>
            <w:r w:rsidRPr="00054269">
              <w:rPr>
                <w:rFonts w:cs="Arial"/>
              </w:rPr>
              <w:t>100%</w:t>
            </w:r>
          </w:p>
        </w:tc>
        <w:tc>
          <w:tcPr>
            <w:tcW w:w="1843" w:type="dxa"/>
            <w:tcBorders>
              <w:top w:val="single" w:sz="4" w:space="0" w:color="auto"/>
            </w:tcBorders>
          </w:tcPr>
          <w:p w14:paraId="0D6E971F" w14:textId="77777777" w:rsidR="00320171" w:rsidRPr="00054269" w:rsidRDefault="00320171" w:rsidP="007C6EBC">
            <w:pPr>
              <w:pStyle w:val="TableText"/>
              <w:keepLines/>
              <w:jc w:val="center"/>
              <w:rPr>
                <w:rFonts w:cs="Arial"/>
              </w:rPr>
            </w:pPr>
            <w:r w:rsidRPr="00054269">
              <w:rPr>
                <w:rFonts w:cs="Arial"/>
              </w:rPr>
              <w:t>97%</w:t>
            </w:r>
          </w:p>
        </w:tc>
        <w:tc>
          <w:tcPr>
            <w:tcW w:w="850" w:type="dxa"/>
            <w:tcBorders>
              <w:top w:val="single" w:sz="4" w:space="0" w:color="auto"/>
            </w:tcBorders>
            <w:vAlign w:val="center"/>
          </w:tcPr>
          <w:p w14:paraId="66A848F1" w14:textId="77777777" w:rsidR="00320171" w:rsidRPr="00054269" w:rsidRDefault="00320171" w:rsidP="007C6EBC">
            <w:pPr>
              <w:pStyle w:val="TableText"/>
              <w:keepLines/>
              <w:jc w:val="center"/>
              <w:rPr>
                <w:rFonts w:cs="Arial"/>
                <w:lang w:val="en-US"/>
              </w:rPr>
            </w:pPr>
            <w:r w:rsidRPr="00054269">
              <w:rPr>
                <w:rFonts w:cs="Arial"/>
                <w:lang w:val="en-US"/>
              </w:rPr>
              <w:t>─</w:t>
            </w:r>
          </w:p>
        </w:tc>
        <w:tc>
          <w:tcPr>
            <w:tcW w:w="709" w:type="dxa"/>
            <w:tcBorders>
              <w:top w:val="single" w:sz="4" w:space="0" w:color="auto"/>
            </w:tcBorders>
          </w:tcPr>
          <w:p w14:paraId="610326BB" w14:textId="77777777" w:rsidR="00320171" w:rsidRPr="00054269" w:rsidRDefault="00320171" w:rsidP="007C6EBC">
            <w:pPr>
              <w:pStyle w:val="TableText"/>
              <w:keepLines/>
              <w:jc w:val="center"/>
              <w:rPr>
                <w:rFonts w:cs="Arial"/>
              </w:rPr>
            </w:pPr>
            <w:r w:rsidRPr="00054269">
              <w:rPr>
                <w:rFonts w:cs="Arial"/>
                <w:lang w:val="en-US"/>
              </w:rPr>
              <w:t>─</w:t>
            </w:r>
          </w:p>
        </w:tc>
        <w:tc>
          <w:tcPr>
            <w:tcW w:w="1418" w:type="dxa"/>
            <w:tcBorders>
              <w:top w:val="single" w:sz="4" w:space="0" w:color="auto"/>
            </w:tcBorders>
          </w:tcPr>
          <w:p w14:paraId="50F1C453" w14:textId="77777777" w:rsidR="00320171" w:rsidRPr="00054269" w:rsidRDefault="00320171" w:rsidP="007C6EBC">
            <w:pPr>
              <w:pStyle w:val="TableText"/>
              <w:keepLines/>
              <w:jc w:val="center"/>
              <w:rPr>
                <w:rFonts w:cs="Arial"/>
              </w:rPr>
            </w:pPr>
            <w:r w:rsidRPr="00054269">
              <w:rPr>
                <w:rFonts w:cs="Arial"/>
                <w:lang w:val="en-US"/>
              </w:rPr>
              <w:t>─</w:t>
            </w:r>
          </w:p>
        </w:tc>
      </w:tr>
    </w:tbl>
    <w:p w14:paraId="7E65AC6C" w14:textId="77777777" w:rsidR="00320171" w:rsidRPr="00054269" w:rsidRDefault="00320171" w:rsidP="00320171">
      <w:pPr>
        <w:pStyle w:val="TableFooter"/>
      </w:pPr>
      <w:r w:rsidRPr="00054269">
        <w:t>Source: Table BT.6, pp144-145; BT.8, p146 of the submission</w:t>
      </w:r>
    </w:p>
    <w:p w14:paraId="1D949D81" w14:textId="77777777" w:rsidR="00320171" w:rsidRPr="00054269" w:rsidRDefault="00320171" w:rsidP="00320171">
      <w:pPr>
        <w:pStyle w:val="TableFooter"/>
      </w:pPr>
      <w:r w:rsidRPr="00150194">
        <w:rPr>
          <w:i/>
        </w:rPr>
        <w:t>BRCA</w:t>
      </w:r>
      <w:r w:rsidRPr="00054269">
        <w:t xml:space="preserve">m = </w:t>
      </w:r>
      <w:r w:rsidRPr="00150194">
        <w:rPr>
          <w:i/>
        </w:rPr>
        <w:t>BRCA1</w:t>
      </w:r>
      <w:r w:rsidRPr="00054269">
        <w:t xml:space="preserve"> or </w:t>
      </w:r>
      <w:r w:rsidRPr="00150194">
        <w:rPr>
          <w:i/>
        </w:rPr>
        <w:t>BRCA2</w:t>
      </w:r>
      <w:r w:rsidRPr="00054269">
        <w:t xml:space="preserve"> mutation; CI = confidence interval; LL = lower limit; NGS = next-generation sequencing; NPV = negative predictive value; PPV = positive predictive value; ca = cancer; pop = population</w:t>
      </w:r>
    </w:p>
    <w:p w14:paraId="696B117D" w14:textId="77777777" w:rsidR="00320171" w:rsidRPr="00054269" w:rsidRDefault="00320171" w:rsidP="00320171">
      <w:pPr>
        <w:pStyle w:val="TableFooter"/>
      </w:pPr>
      <w:r w:rsidRPr="00054269">
        <w:rPr>
          <w:vertAlign w:val="superscript"/>
        </w:rPr>
        <w:t xml:space="preserve">a </w:t>
      </w:r>
      <w:r w:rsidRPr="00054269">
        <w:t>(95% CI: 99.7 to 100)</w:t>
      </w:r>
    </w:p>
    <w:p w14:paraId="4B8AC805" w14:textId="13D8592F" w:rsidR="00320171" w:rsidRPr="00054269" w:rsidRDefault="00320171" w:rsidP="00320171">
      <w:pPr>
        <w:pStyle w:val="TableFooter"/>
      </w:pPr>
      <w:r w:rsidRPr="00054269">
        <w:rPr>
          <w:vertAlign w:val="superscript"/>
        </w:rPr>
        <w:t>b (</w:t>
      </w:r>
      <w:r w:rsidRPr="00054269">
        <w:t xml:space="preserve">95% CI for </w:t>
      </w:r>
      <w:r w:rsidRPr="00150194">
        <w:rPr>
          <w:i/>
        </w:rPr>
        <w:t>BRCA1</w:t>
      </w:r>
      <w:r w:rsidRPr="00054269">
        <w:t xml:space="preserve">m, 99.9% to 100.0%); ( 95% CI for </w:t>
      </w:r>
      <w:r w:rsidRPr="00150194">
        <w:rPr>
          <w:i/>
        </w:rPr>
        <w:t>BRCA2</w:t>
      </w:r>
      <w:r w:rsidRPr="00054269">
        <w:t>m: 99.9% to 100.0%)</w:t>
      </w:r>
    </w:p>
    <w:p w14:paraId="262838F7" w14:textId="77777777" w:rsidR="00320171" w:rsidRPr="00054269" w:rsidRDefault="00320171" w:rsidP="00320171">
      <w:pPr>
        <w:pStyle w:val="TableFooter"/>
      </w:pPr>
      <w:r w:rsidRPr="00054269">
        <w:rPr>
          <w:vertAlign w:val="superscript"/>
        </w:rPr>
        <w:t xml:space="preserve">c </w:t>
      </w:r>
      <w:r w:rsidRPr="00054269">
        <w:t>(95% CI: 89.7% to 92.6%)</w:t>
      </w:r>
    </w:p>
    <w:p w14:paraId="701E2AB4" w14:textId="77777777" w:rsidR="00320171" w:rsidRPr="00054269" w:rsidRDefault="00320171" w:rsidP="00320171">
      <w:pPr>
        <w:pStyle w:val="TableFooter"/>
      </w:pPr>
      <w:r w:rsidRPr="00054269">
        <w:rPr>
          <w:vertAlign w:val="superscript"/>
        </w:rPr>
        <w:t xml:space="preserve">d </w:t>
      </w:r>
      <w:r w:rsidRPr="00054269">
        <w:t>(95% CI: 100% to 100%)</w:t>
      </w:r>
    </w:p>
    <w:p w14:paraId="50592676" w14:textId="77777777" w:rsidR="00320171" w:rsidRPr="00054269" w:rsidRDefault="00320171" w:rsidP="00320171">
      <w:pPr>
        <w:pStyle w:val="TableFooter"/>
      </w:pPr>
      <w:r w:rsidRPr="00054269">
        <w:rPr>
          <w:vertAlign w:val="superscript"/>
        </w:rPr>
        <w:t xml:space="preserve">e </w:t>
      </w:r>
      <w:r w:rsidRPr="00054269">
        <w:t>(95% CI for sequencing: 99.7% to 100.0%); (95% CI for copy number alterations: 91.8% to 100.0%)</w:t>
      </w:r>
    </w:p>
    <w:p w14:paraId="41BDC9EC" w14:textId="7BF44938" w:rsidR="00320171" w:rsidRPr="00885907" w:rsidRDefault="00320171" w:rsidP="00885907">
      <w:pPr>
        <w:pStyle w:val="TableFooter"/>
      </w:pPr>
      <w:r w:rsidRPr="00054269">
        <w:rPr>
          <w:vertAlign w:val="superscript"/>
        </w:rPr>
        <w:t xml:space="preserve">f </w:t>
      </w:r>
      <w:r w:rsidRPr="00054269">
        <w:t>(95% CI for sequencing: 99.9% to 100.0%); (95% CI for copy number alterations: 99.9% to 100.0%)</w:t>
      </w:r>
    </w:p>
    <w:p w14:paraId="5BD653A7" w14:textId="77777777" w:rsidR="00354082" w:rsidRDefault="00354082" w:rsidP="00320171">
      <w:pPr>
        <w:rPr>
          <w:szCs w:val="24"/>
        </w:rPr>
      </w:pPr>
    </w:p>
    <w:p w14:paraId="28F83648" w14:textId="77777777" w:rsidR="00320171" w:rsidRPr="00320171" w:rsidRDefault="00320171" w:rsidP="00320171">
      <w:pPr>
        <w:rPr>
          <w:szCs w:val="24"/>
        </w:rPr>
      </w:pPr>
      <w:r w:rsidRPr="00320171">
        <w:rPr>
          <w:szCs w:val="24"/>
        </w:rPr>
        <w:t xml:space="preserve">The submission concluded that next-generation sequencing germline </w:t>
      </w:r>
      <w:r w:rsidRPr="00320171">
        <w:rPr>
          <w:i/>
          <w:szCs w:val="24"/>
        </w:rPr>
        <w:t>BRCA</w:t>
      </w:r>
      <w:r w:rsidRPr="00320171">
        <w:rPr>
          <w:szCs w:val="24"/>
        </w:rPr>
        <w:t>m testing was:</w:t>
      </w:r>
    </w:p>
    <w:p w14:paraId="55472FF0" w14:textId="77777777" w:rsidR="00320171" w:rsidRPr="00320171" w:rsidRDefault="00320171" w:rsidP="00320171">
      <w:pPr>
        <w:pStyle w:val="ListParagraph"/>
        <w:numPr>
          <w:ilvl w:val="0"/>
          <w:numId w:val="27"/>
        </w:numPr>
        <w:ind w:left="567"/>
        <w:jc w:val="both"/>
        <w:rPr>
          <w:szCs w:val="24"/>
        </w:rPr>
      </w:pPr>
      <w:r w:rsidRPr="00320171">
        <w:rPr>
          <w:szCs w:val="24"/>
        </w:rPr>
        <w:t>100% sensitive (true positives) and so unlikely to produce a false negative;</w:t>
      </w:r>
    </w:p>
    <w:p w14:paraId="2706E47A" w14:textId="77777777" w:rsidR="00320171" w:rsidRPr="00320171" w:rsidRDefault="00320171" w:rsidP="00320171">
      <w:pPr>
        <w:pStyle w:val="ListParagraph"/>
        <w:numPr>
          <w:ilvl w:val="0"/>
          <w:numId w:val="27"/>
        </w:numPr>
        <w:ind w:left="567"/>
        <w:jc w:val="both"/>
        <w:rPr>
          <w:szCs w:val="24"/>
        </w:rPr>
      </w:pPr>
      <w:r w:rsidRPr="00320171">
        <w:rPr>
          <w:szCs w:val="24"/>
        </w:rPr>
        <w:t>96% to 100% specific (true negatives) and therefore 0% to 4.1% likely to produce a false positive;</w:t>
      </w:r>
    </w:p>
    <w:p w14:paraId="4E77F170" w14:textId="77777777" w:rsidR="00320171" w:rsidRPr="00320171" w:rsidRDefault="00320171" w:rsidP="00320171">
      <w:pPr>
        <w:pStyle w:val="ListParagraph"/>
        <w:numPr>
          <w:ilvl w:val="0"/>
          <w:numId w:val="27"/>
        </w:numPr>
        <w:ind w:left="567"/>
        <w:jc w:val="both"/>
        <w:rPr>
          <w:szCs w:val="24"/>
        </w:rPr>
      </w:pPr>
      <w:r w:rsidRPr="00320171">
        <w:rPr>
          <w:szCs w:val="24"/>
        </w:rPr>
        <w:t>reproducible with 100% reliability; and</w:t>
      </w:r>
    </w:p>
    <w:p w14:paraId="6A763CB6" w14:textId="77777777" w:rsidR="00320171" w:rsidRPr="00320171" w:rsidRDefault="00320171" w:rsidP="00320171">
      <w:pPr>
        <w:pStyle w:val="ListParagraph"/>
        <w:numPr>
          <w:ilvl w:val="0"/>
          <w:numId w:val="27"/>
        </w:numPr>
        <w:ind w:left="567"/>
        <w:jc w:val="both"/>
        <w:rPr>
          <w:szCs w:val="24"/>
        </w:rPr>
      </w:pPr>
      <w:r w:rsidRPr="00320171">
        <w:rPr>
          <w:szCs w:val="24"/>
        </w:rPr>
        <w:t xml:space="preserve">clinically valid at predicting the </w:t>
      </w:r>
      <w:r w:rsidRPr="00320171">
        <w:rPr>
          <w:i/>
          <w:szCs w:val="24"/>
        </w:rPr>
        <w:t>BRCA</w:t>
      </w:r>
      <w:r w:rsidRPr="00320171">
        <w:rPr>
          <w:szCs w:val="24"/>
        </w:rPr>
        <w:t>m condition (positive predictive value &gt; 91.2%).</w:t>
      </w:r>
    </w:p>
    <w:p w14:paraId="550408F4" w14:textId="77777777" w:rsidR="00320171" w:rsidRPr="00320171" w:rsidRDefault="00320171" w:rsidP="00320171">
      <w:pPr>
        <w:ind w:left="720" w:hanging="720"/>
        <w:rPr>
          <w:szCs w:val="24"/>
        </w:rPr>
      </w:pPr>
    </w:p>
    <w:p w14:paraId="0459C4ED" w14:textId="74CF80DA" w:rsidR="00320171" w:rsidRPr="00354082" w:rsidRDefault="00320171" w:rsidP="00320171">
      <w:pPr>
        <w:rPr>
          <w:szCs w:val="24"/>
        </w:rPr>
      </w:pPr>
      <w:r w:rsidRPr="00320171">
        <w:rPr>
          <w:szCs w:val="24"/>
        </w:rPr>
        <w:t xml:space="preserve">This was appropriate; however, these results were limited by the heterogeneity of the study characteristics and in particular the applicability of the broader patient population used. Test reliability (27%) was only recorded for three studies and for the germline </w:t>
      </w:r>
      <w:r w:rsidRPr="00320171">
        <w:rPr>
          <w:i/>
          <w:szCs w:val="24"/>
        </w:rPr>
        <w:t>BRCA</w:t>
      </w:r>
      <w:r w:rsidRPr="00320171">
        <w:rPr>
          <w:szCs w:val="24"/>
        </w:rPr>
        <w:t xml:space="preserve">m method. The submission provided no evidence for the diagnostic accuracy of tumour </w:t>
      </w:r>
      <w:r w:rsidRPr="00320171">
        <w:rPr>
          <w:i/>
          <w:szCs w:val="24"/>
        </w:rPr>
        <w:t>BRCA</w:t>
      </w:r>
      <w:r w:rsidRPr="00320171">
        <w:rPr>
          <w:szCs w:val="24"/>
        </w:rPr>
        <w:t>m testing</w:t>
      </w:r>
      <w:r w:rsidRPr="00354082">
        <w:rPr>
          <w:szCs w:val="24"/>
        </w:rPr>
        <w:t xml:space="preserve"> methods.</w:t>
      </w:r>
    </w:p>
    <w:p w14:paraId="02E47DDC" w14:textId="77777777" w:rsidR="00320171" w:rsidRPr="00320171" w:rsidRDefault="00320171" w:rsidP="00885907">
      <w:pPr>
        <w:rPr>
          <w:szCs w:val="24"/>
        </w:rPr>
      </w:pPr>
      <w:r w:rsidRPr="00320171">
        <w:rPr>
          <w:szCs w:val="24"/>
        </w:rPr>
        <w:t xml:space="preserve">At baseline of Study 19, only 98 patients knew their </w:t>
      </w:r>
      <w:r w:rsidRPr="00320171">
        <w:rPr>
          <w:i/>
          <w:szCs w:val="24"/>
        </w:rPr>
        <w:t>BRCA</w:t>
      </w:r>
      <w:r w:rsidRPr="00320171">
        <w:rPr>
          <w:szCs w:val="24"/>
        </w:rPr>
        <w:t>m status. Therefore, to improve the statistical power:</w:t>
      </w:r>
    </w:p>
    <w:p w14:paraId="12BD1886" w14:textId="77777777" w:rsidR="00320171" w:rsidRPr="00320171" w:rsidRDefault="00320171" w:rsidP="00885907">
      <w:pPr>
        <w:pStyle w:val="ListParagraph"/>
        <w:numPr>
          <w:ilvl w:val="0"/>
          <w:numId w:val="27"/>
        </w:numPr>
        <w:ind w:left="567"/>
        <w:rPr>
          <w:szCs w:val="24"/>
        </w:rPr>
      </w:pPr>
      <w:r w:rsidRPr="00320171">
        <w:rPr>
          <w:szCs w:val="24"/>
        </w:rPr>
        <w:t xml:space="preserve">retrospective germline </w:t>
      </w:r>
      <w:r w:rsidRPr="00320171">
        <w:rPr>
          <w:i/>
          <w:szCs w:val="24"/>
        </w:rPr>
        <w:t>BRCA</w:t>
      </w:r>
      <w:r w:rsidRPr="00320171">
        <w:rPr>
          <w:szCs w:val="24"/>
        </w:rPr>
        <w:t>m testing was performed using Sanger sequencing (Myriad Genetics); and</w:t>
      </w:r>
    </w:p>
    <w:p w14:paraId="7B62779D" w14:textId="77777777" w:rsidR="00320171" w:rsidRPr="00320171" w:rsidRDefault="00320171" w:rsidP="00885907">
      <w:pPr>
        <w:pStyle w:val="ListParagraph"/>
        <w:numPr>
          <w:ilvl w:val="0"/>
          <w:numId w:val="27"/>
        </w:numPr>
        <w:ind w:left="567"/>
        <w:rPr>
          <w:szCs w:val="24"/>
        </w:rPr>
      </w:pPr>
      <w:r w:rsidRPr="00320171">
        <w:rPr>
          <w:szCs w:val="24"/>
        </w:rPr>
        <w:t xml:space="preserve">retrospective tumour </w:t>
      </w:r>
      <w:r w:rsidRPr="00320171">
        <w:rPr>
          <w:i/>
          <w:szCs w:val="24"/>
        </w:rPr>
        <w:t>BRCA</w:t>
      </w:r>
      <w:r w:rsidRPr="00320171">
        <w:rPr>
          <w:szCs w:val="24"/>
        </w:rPr>
        <w:t>m testing was performed using next-generation sequencing (Foundation Medicine).</w:t>
      </w:r>
    </w:p>
    <w:p w14:paraId="0B93B5F4" w14:textId="77777777" w:rsidR="00320171" w:rsidRPr="00354082" w:rsidRDefault="00320171" w:rsidP="00320171">
      <w:pPr>
        <w:rPr>
          <w:szCs w:val="24"/>
        </w:rPr>
      </w:pPr>
    </w:p>
    <w:p w14:paraId="3CB8051E" w14:textId="50A9D89B" w:rsidR="00320171" w:rsidRPr="00354082" w:rsidRDefault="005C6F87" w:rsidP="00320171">
      <w:pPr>
        <w:rPr>
          <w:szCs w:val="24"/>
        </w:rPr>
      </w:pPr>
      <w:r w:rsidRPr="00354082">
        <w:rPr>
          <w:szCs w:val="24"/>
        </w:rPr>
        <w:t>MSAC agreed with t</w:t>
      </w:r>
      <w:r w:rsidR="00320171" w:rsidRPr="00354082">
        <w:rPr>
          <w:szCs w:val="24"/>
        </w:rPr>
        <w:t xml:space="preserve">he </w:t>
      </w:r>
      <w:r w:rsidR="00306933" w:rsidRPr="00354082">
        <w:rPr>
          <w:szCs w:val="24"/>
        </w:rPr>
        <w:t xml:space="preserve">joint </w:t>
      </w:r>
      <w:r w:rsidR="00320171" w:rsidRPr="00354082">
        <w:rPr>
          <w:szCs w:val="24"/>
        </w:rPr>
        <w:t xml:space="preserve">ESCs that the approach to </w:t>
      </w:r>
      <w:r w:rsidR="00320171" w:rsidRPr="00354082">
        <w:rPr>
          <w:i/>
          <w:szCs w:val="24"/>
        </w:rPr>
        <w:t>BRCA</w:t>
      </w:r>
      <w:r w:rsidR="00320171" w:rsidRPr="00354082">
        <w:rPr>
          <w:szCs w:val="24"/>
        </w:rPr>
        <w:t xml:space="preserve"> testing in Study 19 was inadequately presented, so it was difficult to discern the evidentiary standard used as the basis for the submission’s claim of co-dependence with olaparib and thus clinical utility.</w:t>
      </w:r>
    </w:p>
    <w:p w14:paraId="7AA92191" w14:textId="77777777" w:rsidR="00320171" w:rsidRPr="00354082" w:rsidRDefault="00320171" w:rsidP="00320171">
      <w:pPr>
        <w:rPr>
          <w:szCs w:val="24"/>
        </w:rPr>
      </w:pPr>
    </w:p>
    <w:p w14:paraId="4579B76E" w14:textId="3F034FBF" w:rsidR="00320171" w:rsidRPr="00354082" w:rsidRDefault="00320171" w:rsidP="00320171">
      <w:pPr>
        <w:rPr>
          <w:szCs w:val="24"/>
        </w:rPr>
      </w:pPr>
      <w:r w:rsidRPr="00354082">
        <w:rPr>
          <w:szCs w:val="24"/>
        </w:rPr>
        <w:t xml:space="preserve">In total, </w:t>
      </w:r>
      <w:r w:rsidRPr="00354082">
        <w:rPr>
          <w:i/>
          <w:szCs w:val="24"/>
        </w:rPr>
        <w:t>BRCA</w:t>
      </w:r>
      <w:r w:rsidRPr="00354082">
        <w:rPr>
          <w:szCs w:val="24"/>
        </w:rPr>
        <w:t xml:space="preserve">m status was collected for 254/265 patients (95.8%). The concordance between germline and tumour </w:t>
      </w:r>
      <w:r w:rsidRPr="00354082">
        <w:rPr>
          <w:i/>
          <w:szCs w:val="24"/>
        </w:rPr>
        <w:t>BRCA</w:t>
      </w:r>
      <w:r w:rsidRPr="00354082">
        <w:rPr>
          <w:szCs w:val="24"/>
        </w:rPr>
        <w:t xml:space="preserve">m testing in Study 19 is summarised in Table </w:t>
      </w:r>
      <w:r w:rsidR="00354082">
        <w:rPr>
          <w:szCs w:val="24"/>
        </w:rPr>
        <w:t>3</w:t>
      </w:r>
      <w:r w:rsidRPr="00354082">
        <w:rPr>
          <w:szCs w:val="24"/>
        </w:rPr>
        <w:t>.</w:t>
      </w:r>
    </w:p>
    <w:p w14:paraId="3F626E10" w14:textId="7D17379D" w:rsidR="00320171" w:rsidRPr="00054269" w:rsidRDefault="00320171" w:rsidP="00320171">
      <w:pPr>
        <w:pStyle w:val="Tabletitle"/>
        <w:keepNext/>
        <w:spacing w:before="0" w:after="0"/>
        <w:rPr>
          <w:rFonts w:ascii="Arial Narrow" w:hAnsi="Arial Narrow"/>
          <w:szCs w:val="20"/>
        </w:rPr>
      </w:pPr>
      <w:r>
        <w:rPr>
          <w:rFonts w:ascii="Arial Narrow" w:hAnsi="Arial Narrow"/>
          <w:szCs w:val="20"/>
        </w:rPr>
        <w:lastRenderedPageBreak/>
        <w:t xml:space="preserve">Table </w:t>
      </w:r>
      <w:r w:rsidR="00354082">
        <w:rPr>
          <w:rFonts w:ascii="Arial Narrow" w:hAnsi="Arial Narrow"/>
          <w:szCs w:val="20"/>
        </w:rPr>
        <w:t>3</w:t>
      </w:r>
      <w:r w:rsidRPr="00054269">
        <w:rPr>
          <w:rFonts w:ascii="Arial Narrow" w:hAnsi="Arial Narrow"/>
          <w:szCs w:val="20"/>
        </w:rPr>
        <w:t xml:space="preserve">: Summary of concordance of germline and tumour </w:t>
      </w:r>
      <w:r w:rsidRPr="00150194">
        <w:rPr>
          <w:rFonts w:ascii="Arial Narrow" w:hAnsi="Arial Narrow"/>
          <w:i/>
          <w:szCs w:val="20"/>
        </w:rPr>
        <w:t>BRCA</w:t>
      </w:r>
      <w:r w:rsidRPr="00054269">
        <w:rPr>
          <w:rFonts w:ascii="Arial Narrow" w:hAnsi="Arial Narrow"/>
          <w:szCs w:val="20"/>
        </w:rPr>
        <w:t>m testing</w:t>
      </w:r>
    </w:p>
    <w:tbl>
      <w:tblPr>
        <w:tblStyle w:val="TableGrid"/>
        <w:tblW w:w="5000" w:type="pct"/>
        <w:jc w:val="center"/>
        <w:tblCellMar>
          <w:left w:w="28" w:type="dxa"/>
          <w:right w:w="28" w:type="dxa"/>
        </w:tblCellMar>
        <w:tblLook w:val="04A0" w:firstRow="1" w:lastRow="0" w:firstColumn="1" w:lastColumn="0" w:noHBand="0" w:noVBand="1"/>
        <w:tblDescription w:val="Summary of concordance of germline and tumour BRCAm testing-Description of concordance of germline and tumour BRCAm testing within Study 19"/>
      </w:tblPr>
      <w:tblGrid>
        <w:gridCol w:w="1384"/>
        <w:gridCol w:w="1520"/>
        <w:gridCol w:w="1330"/>
        <w:gridCol w:w="1032"/>
        <w:gridCol w:w="1099"/>
        <w:gridCol w:w="1048"/>
        <w:gridCol w:w="1669"/>
      </w:tblGrid>
      <w:tr w:rsidR="00320171" w:rsidRPr="00054269" w14:paraId="60CAFBFE" w14:textId="77777777" w:rsidTr="007C6EBC">
        <w:trPr>
          <w:tblHeader/>
          <w:jc w:val="center"/>
        </w:trPr>
        <w:tc>
          <w:tcPr>
            <w:tcW w:w="762" w:type="pct"/>
            <w:tcBorders>
              <w:top w:val="single" w:sz="4" w:space="0" w:color="auto"/>
              <w:left w:val="single" w:sz="4" w:space="0" w:color="auto"/>
              <w:bottom w:val="nil"/>
              <w:right w:val="nil"/>
            </w:tcBorders>
          </w:tcPr>
          <w:p w14:paraId="3E2523AB" w14:textId="77777777" w:rsidR="00320171" w:rsidRPr="00054269" w:rsidRDefault="00320171" w:rsidP="007C6EBC">
            <w:pPr>
              <w:pStyle w:val="TableText0"/>
              <w:keepLines/>
              <w:spacing w:before="0" w:after="0"/>
              <w:rPr>
                <w:rFonts w:cs="Arial"/>
                <w:color w:val="FFFFFF" w:themeColor="background1"/>
              </w:rPr>
            </w:pPr>
            <w:r w:rsidRPr="00054269">
              <w:rPr>
                <w:rFonts w:cs="Arial"/>
                <w:color w:val="FFFFFF" w:themeColor="background1"/>
              </w:rPr>
              <w:t>─</w:t>
            </w:r>
          </w:p>
        </w:tc>
        <w:tc>
          <w:tcPr>
            <w:tcW w:w="837" w:type="pct"/>
            <w:tcBorders>
              <w:top w:val="single" w:sz="4" w:space="0" w:color="auto"/>
              <w:left w:val="nil"/>
              <w:bottom w:val="nil"/>
              <w:right w:val="single" w:sz="4" w:space="0" w:color="auto"/>
            </w:tcBorders>
          </w:tcPr>
          <w:p w14:paraId="31D63861" w14:textId="77777777" w:rsidR="00320171" w:rsidRPr="00054269" w:rsidRDefault="00320171" w:rsidP="007C6EBC">
            <w:pPr>
              <w:pStyle w:val="TableText0"/>
              <w:keepLines/>
              <w:spacing w:before="0" w:after="0"/>
              <w:rPr>
                <w:rFonts w:cs="Arial"/>
                <w:color w:val="FFFFFF" w:themeColor="background1"/>
              </w:rPr>
            </w:pPr>
            <w:r w:rsidRPr="00054269">
              <w:rPr>
                <w:rFonts w:cs="Arial"/>
                <w:color w:val="FFFFFF" w:themeColor="background1"/>
              </w:rPr>
              <w:t>─</w:t>
            </w:r>
          </w:p>
        </w:tc>
        <w:tc>
          <w:tcPr>
            <w:tcW w:w="732" w:type="pct"/>
            <w:tcBorders>
              <w:top w:val="single" w:sz="4" w:space="0" w:color="auto"/>
              <w:left w:val="single" w:sz="4" w:space="0" w:color="auto"/>
              <w:bottom w:val="single" w:sz="4" w:space="0" w:color="auto"/>
              <w:right w:val="nil"/>
            </w:tcBorders>
          </w:tcPr>
          <w:p w14:paraId="023DB23D" w14:textId="77777777" w:rsidR="00320171" w:rsidRPr="00054269" w:rsidRDefault="00320171" w:rsidP="007C6EBC">
            <w:pPr>
              <w:pStyle w:val="TableText0"/>
              <w:keepLines/>
              <w:spacing w:before="0" w:after="0"/>
              <w:jc w:val="right"/>
              <w:rPr>
                <w:rFonts w:cs="Arial"/>
                <w:b/>
              </w:rPr>
            </w:pPr>
            <w:r w:rsidRPr="00054269">
              <w:rPr>
                <w:rFonts w:cs="Arial"/>
                <w:b/>
              </w:rPr>
              <w:t>Tumour</w:t>
            </w:r>
          </w:p>
        </w:tc>
        <w:tc>
          <w:tcPr>
            <w:tcW w:w="568" w:type="pct"/>
            <w:tcBorders>
              <w:top w:val="single" w:sz="4" w:space="0" w:color="auto"/>
              <w:left w:val="nil"/>
              <w:bottom w:val="single" w:sz="4" w:space="0" w:color="auto"/>
              <w:right w:val="nil"/>
            </w:tcBorders>
          </w:tcPr>
          <w:p w14:paraId="13EB8F33" w14:textId="77777777" w:rsidR="00320171" w:rsidRPr="00054269" w:rsidRDefault="00320171" w:rsidP="007C6EBC">
            <w:pPr>
              <w:pStyle w:val="TableText0"/>
              <w:keepLines/>
              <w:spacing w:before="0" w:after="0"/>
              <w:jc w:val="center"/>
              <w:rPr>
                <w:rFonts w:cs="Arial"/>
                <w:b/>
              </w:rPr>
            </w:pPr>
            <w:r w:rsidRPr="00150194">
              <w:rPr>
                <w:rFonts w:cs="Arial"/>
                <w:b/>
                <w:i/>
              </w:rPr>
              <w:t>BRCA</w:t>
            </w:r>
            <w:r w:rsidRPr="00054269">
              <w:rPr>
                <w:rFonts w:cs="Arial"/>
                <w:b/>
              </w:rPr>
              <w:t>m</w:t>
            </w:r>
          </w:p>
        </w:tc>
        <w:tc>
          <w:tcPr>
            <w:tcW w:w="605" w:type="pct"/>
            <w:tcBorders>
              <w:top w:val="single" w:sz="4" w:space="0" w:color="auto"/>
              <w:left w:val="nil"/>
              <w:bottom w:val="single" w:sz="4" w:space="0" w:color="auto"/>
              <w:right w:val="nil"/>
            </w:tcBorders>
          </w:tcPr>
          <w:p w14:paraId="4EE1647B" w14:textId="77777777" w:rsidR="00320171" w:rsidRPr="00054269" w:rsidRDefault="00320171" w:rsidP="007C6EBC">
            <w:pPr>
              <w:pStyle w:val="TableText0"/>
              <w:keepLines/>
              <w:spacing w:before="0" w:after="0"/>
              <w:rPr>
                <w:rFonts w:cs="Arial"/>
                <w:b/>
              </w:rPr>
            </w:pPr>
            <w:r w:rsidRPr="00054269">
              <w:rPr>
                <w:rFonts w:cs="Arial"/>
                <w:b/>
              </w:rPr>
              <w:t>status (n)</w:t>
            </w:r>
          </w:p>
        </w:tc>
        <w:tc>
          <w:tcPr>
            <w:tcW w:w="577" w:type="pct"/>
            <w:tcBorders>
              <w:top w:val="single" w:sz="4" w:space="0" w:color="auto"/>
              <w:left w:val="nil"/>
              <w:bottom w:val="single" w:sz="4" w:space="0" w:color="auto"/>
              <w:right w:val="nil"/>
            </w:tcBorders>
          </w:tcPr>
          <w:p w14:paraId="37D8A211" w14:textId="77777777" w:rsidR="00320171" w:rsidRPr="00054269" w:rsidRDefault="00320171" w:rsidP="007C6EBC">
            <w:pPr>
              <w:pStyle w:val="TableText0"/>
              <w:keepLines/>
              <w:spacing w:before="0" w:after="0"/>
              <w:rPr>
                <w:rFonts w:cs="Arial"/>
                <w:b/>
                <w:color w:val="FFFFFF" w:themeColor="background1"/>
              </w:rPr>
            </w:pPr>
            <w:r w:rsidRPr="00054269">
              <w:rPr>
                <w:rFonts w:cs="Arial"/>
                <w:b/>
                <w:color w:val="FFFFFF" w:themeColor="background1"/>
              </w:rPr>
              <w:t>─</w:t>
            </w:r>
            <w:r w:rsidRPr="00054269" w:rsidDel="00EE6514">
              <w:rPr>
                <w:rFonts w:cs="Arial"/>
                <w:b/>
                <w:color w:val="FFFFFF" w:themeColor="background1"/>
              </w:rPr>
              <w:t xml:space="preserve"> </w:t>
            </w:r>
          </w:p>
        </w:tc>
        <w:tc>
          <w:tcPr>
            <w:tcW w:w="920" w:type="pct"/>
            <w:tcBorders>
              <w:top w:val="single" w:sz="4" w:space="0" w:color="auto"/>
              <w:left w:val="nil"/>
              <w:bottom w:val="single" w:sz="4" w:space="0" w:color="auto"/>
              <w:right w:val="single" w:sz="4" w:space="0" w:color="auto"/>
            </w:tcBorders>
          </w:tcPr>
          <w:p w14:paraId="0CCE48C9" w14:textId="77777777" w:rsidR="00320171" w:rsidRPr="00054269" w:rsidRDefault="00320171" w:rsidP="007C6EBC">
            <w:pPr>
              <w:pStyle w:val="TableText0"/>
              <w:keepLines/>
              <w:spacing w:before="0" w:after="0"/>
              <w:rPr>
                <w:rFonts w:cs="Arial"/>
                <w:b/>
                <w:color w:val="FFFFFF" w:themeColor="background1"/>
              </w:rPr>
            </w:pPr>
            <w:r w:rsidRPr="00054269">
              <w:rPr>
                <w:rFonts w:cs="Arial"/>
                <w:b/>
                <w:color w:val="FFFFFF" w:themeColor="background1"/>
              </w:rPr>
              <w:t>─</w:t>
            </w:r>
          </w:p>
        </w:tc>
      </w:tr>
      <w:tr w:rsidR="00320171" w:rsidRPr="00054269" w14:paraId="72C2BA74" w14:textId="77777777" w:rsidTr="007C6EBC">
        <w:trPr>
          <w:tblHeader/>
          <w:jc w:val="center"/>
        </w:trPr>
        <w:tc>
          <w:tcPr>
            <w:tcW w:w="762" w:type="pct"/>
            <w:tcBorders>
              <w:top w:val="nil"/>
              <w:left w:val="single" w:sz="4" w:space="0" w:color="auto"/>
              <w:bottom w:val="single" w:sz="4" w:space="0" w:color="auto"/>
              <w:right w:val="nil"/>
            </w:tcBorders>
          </w:tcPr>
          <w:p w14:paraId="66322938" w14:textId="77777777" w:rsidR="00320171" w:rsidRPr="00054269" w:rsidRDefault="00320171" w:rsidP="007C6EBC">
            <w:pPr>
              <w:pStyle w:val="TableText0"/>
              <w:keepLines/>
              <w:spacing w:before="0" w:after="0"/>
              <w:rPr>
                <w:rFonts w:cs="Arial"/>
                <w:color w:val="FFFFFF" w:themeColor="background1"/>
              </w:rPr>
            </w:pPr>
            <w:r w:rsidRPr="00054269">
              <w:rPr>
                <w:rFonts w:cs="Arial"/>
                <w:color w:val="FFFFFF" w:themeColor="background1"/>
              </w:rPr>
              <w:t>─</w:t>
            </w:r>
          </w:p>
        </w:tc>
        <w:tc>
          <w:tcPr>
            <w:tcW w:w="837" w:type="pct"/>
            <w:tcBorders>
              <w:top w:val="nil"/>
              <w:left w:val="nil"/>
              <w:bottom w:val="single" w:sz="4" w:space="0" w:color="auto"/>
              <w:right w:val="single" w:sz="4" w:space="0" w:color="auto"/>
            </w:tcBorders>
          </w:tcPr>
          <w:p w14:paraId="2D644367" w14:textId="77777777" w:rsidR="00320171" w:rsidRPr="00054269" w:rsidRDefault="00320171" w:rsidP="007C6EBC">
            <w:pPr>
              <w:pStyle w:val="TableText0"/>
              <w:keepLines/>
              <w:spacing w:before="0" w:after="0"/>
              <w:rPr>
                <w:rFonts w:cs="Arial"/>
                <w:color w:val="FFFFFF" w:themeColor="background1"/>
              </w:rPr>
            </w:pPr>
            <w:r w:rsidRPr="00054269">
              <w:rPr>
                <w:rFonts w:cs="Arial"/>
                <w:color w:val="FFFFFF" w:themeColor="background1"/>
              </w:rPr>
              <w:t>─</w:t>
            </w:r>
          </w:p>
        </w:tc>
        <w:tc>
          <w:tcPr>
            <w:tcW w:w="732" w:type="pct"/>
            <w:tcBorders>
              <w:top w:val="single" w:sz="4" w:space="0" w:color="auto"/>
              <w:left w:val="single" w:sz="4" w:space="0" w:color="auto"/>
            </w:tcBorders>
          </w:tcPr>
          <w:p w14:paraId="7A7A9C22" w14:textId="77777777" w:rsidR="00320171" w:rsidRPr="00054269" w:rsidRDefault="00320171" w:rsidP="007C6EBC">
            <w:pPr>
              <w:pStyle w:val="TableText0"/>
              <w:keepLines/>
              <w:spacing w:before="0" w:after="0"/>
              <w:jc w:val="center"/>
              <w:rPr>
                <w:rFonts w:cs="Arial"/>
              </w:rPr>
            </w:pPr>
            <w:r w:rsidRPr="00054269">
              <w:rPr>
                <w:rFonts w:cs="Arial"/>
              </w:rPr>
              <w:t>Mutant</w:t>
            </w:r>
          </w:p>
        </w:tc>
        <w:tc>
          <w:tcPr>
            <w:tcW w:w="568" w:type="pct"/>
            <w:tcBorders>
              <w:top w:val="single" w:sz="4" w:space="0" w:color="auto"/>
            </w:tcBorders>
          </w:tcPr>
          <w:p w14:paraId="4CC4BCC3" w14:textId="77777777" w:rsidR="00320171" w:rsidRPr="00054269" w:rsidRDefault="00320171" w:rsidP="007C6EBC">
            <w:pPr>
              <w:pStyle w:val="TableText0"/>
              <w:keepLines/>
              <w:spacing w:before="0" w:after="0"/>
              <w:jc w:val="center"/>
              <w:rPr>
                <w:rFonts w:cs="Arial"/>
              </w:rPr>
            </w:pPr>
            <w:r w:rsidRPr="00054269">
              <w:rPr>
                <w:rFonts w:cs="Arial"/>
              </w:rPr>
              <w:t>Wild-type</w:t>
            </w:r>
          </w:p>
        </w:tc>
        <w:tc>
          <w:tcPr>
            <w:tcW w:w="605" w:type="pct"/>
            <w:tcBorders>
              <w:top w:val="single" w:sz="4" w:space="0" w:color="auto"/>
            </w:tcBorders>
          </w:tcPr>
          <w:p w14:paraId="328A5AC9" w14:textId="77777777" w:rsidR="00320171" w:rsidRPr="00054269" w:rsidRDefault="00320171" w:rsidP="007C6EBC">
            <w:pPr>
              <w:pStyle w:val="TableText0"/>
              <w:keepLines/>
              <w:spacing w:before="0" w:after="0"/>
              <w:jc w:val="center"/>
              <w:rPr>
                <w:rFonts w:cs="Arial"/>
              </w:rPr>
            </w:pPr>
            <w:r w:rsidRPr="00054269">
              <w:rPr>
                <w:rFonts w:cs="Arial"/>
              </w:rPr>
              <w:t>Unknown</w:t>
            </w:r>
          </w:p>
        </w:tc>
        <w:tc>
          <w:tcPr>
            <w:tcW w:w="577" w:type="pct"/>
            <w:tcBorders>
              <w:top w:val="single" w:sz="4" w:space="0" w:color="auto"/>
            </w:tcBorders>
          </w:tcPr>
          <w:p w14:paraId="00C9919D" w14:textId="77777777" w:rsidR="00320171" w:rsidRPr="00054269" w:rsidRDefault="00320171" w:rsidP="007C6EBC">
            <w:pPr>
              <w:pStyle w:val="TableText0"/>
              <w:keepLines/>
              <w:spacing w:before="0" w:after="0"/>
              <w:jc w:val="center"/>
              <w:rPr>
                <w:rFonts w:cs="Arial"/>
              </w:rPr>
            </w:pPr>
            <w:r w:rsidRPr="00054269">
              <w:rPr>
                <w:rFonts w:cs="Arial"/>
              </w:rPr>
              <w:t>Missing</w:t>
            </w:r>
          </w:p>
        </w:tc>
        <w:tc>
          <w:tcPr>
            <w:tcW w:w="920" w:type="pct"/>
            <w:tcBorders>
              <w:top w:val="single" w:sz="4" w:space="0" w:color="auto"/>
            </w:tcBorders>
          </w:tcPr>
          <w:p w14:paraId="4FE3D72D" w14:textId="77777777" w:rsidR="00320171" w:rsidRPr="00054269" w:rsidRDefault="00320171" w:rsidP="007C6EBC">
            <w:pPr>
              <w:pStyle w:val="TableText0"/>
              <w:keepLines/>
              <w:spacing w:before="0" w:after="0"/>
              <w:jc w:val="center"/>
              <w:rPr>
                <w:rFonts w:cs="Arial"/>
                <w:b/>
              </w:rPr>
            </w:pPr>
            <w:r w:rsidRPr="00054269">
              <w:rPr>
                <w:rFonts w:cs="Arial"/>
                <w:b/>
              </w:rPr>
              <w:t>Total</w:t>
            </w:r>
          </w:p>
        </w:tc>
      </w:tr>
      <w:tr w:rsidR="00320171" w:rsidRPr="00054269" w14:paraId="14F2411C" w14:textId="77777777" w:rsidTr="007C6EBC">
        <w:trPr>
          <w:jc w:val="center"/>
        </w:trPr>
        <w:tc>
          <w:tcPr>
            <w:tcW w:w="762" w:type="pct"/>
            <w:tcBorders>
              <w:top w:val="single" w:sz="4" w:space="0" w:color="auto"/>
              <w:left w:val="single" w:sz="4" w:space="0" w:color="auto"/>
              <w:bottom w:val="nil"/>
              <w:right w:val="single" w:sz="4" w:space="0" w:color="auto"/>
            </w:tcBorders>
          </w:tcPr>
          <w:p w14:paraId="3377E908" w14:textId="77777777" w:rsidR="00320171" w:rsidRPr="00054269" w:rsidRDefault="00320171" w:rsidP="007C6EBC">
            <w:pPr>
              <w:pStyle w:val="TableText0"/>
              <w:keepLines/>
              <w:spacing w:before="0" w:after="0"/>
              <w:rPr>
                <w:rFonts w:cs="Arial"/>
                <w:b/>
              </w:rPr>
            </w:pPr>
            <w:r w:rsidRPr="00054269">
              <w:rPr>
                <w:rFonts w:cs="Arial"/>
                <w:b/>
              </w:rPr>
              <w:t>Germline</w:t>
            </w:r>
          </w:p>
        </w:tc>
        <w:tc>
          <w:tcPr>
            <w:tcW w:w="837" w:type="pct"/>
            <w:tcBorders>
              <w:top w:val="single" w:sz="4" w:space="0" w:color="auto"/>
              <w:left w:val="single" w:sz="4" w:space="0" w:color="auto"/>
            </w:tcBorders>
          </w:tcPr>
          <w:p w14:paraId="1A33992C" w14:textId="77777777" w:rsidR="00320171" w:rsidRPr="00054269" w:rsidRDefault="00320171" w:rsidP="007C6EBC">
            <w:pPr>
              <w:pStyle w:val="TableText0"/>
              <w:keepLines/>
              <w:spacing w:before="0" w:after="0"/>
              <w:rPr>
                <w:rFonts w:cs="Arial"/>
              </w:rPr>
            </w:pPr>
            <w:r w:rsidRPr="00054269">
              <w:rPr>
                <w:rFonts w:cs="Arial"/>
              </w:rPr>
              <w:t>Mutant</w:t>
            </w:r>
          </w:p>
        </w:tc>
        <w:tc>
          <w:tcPr>
            <w:tcW w:w="732" w:type="pct"/>
          </w:tcPr>
          <w:p w14:paraId="4887E87A" w14:textId="77777777" w:rsidR="00320171" w:rsidRPr="00054269" w:rsidRDefault="00320171" w:rsidP="007C6EBC">
            <w:pPr>
              <w:pStyle w:val="TableText0"/>
              <w:keepLines/>
              <w:spacing w:before="0" w:after="0"/>
              <w:jc w:val="center"/>
              <w:rPr>
                <w:rFonts w:cs="Arial"/>
              </w:rPr>
            </w:pPr>
            <w:r w:rsidRPr="00054269">
              <w:rPr>
                <w:rFonts w:cs="Arial"/>
              </w:rPr>
              <w:t xml:space="preserve">71 (27%) </w:t>
            </w:r>
            <w:r w:rsidRPr="00054269">
              <w:rPr>
                <w:rFonts w:cs="Arial"/>
                <w:vertAlign w:val="superscript"/>
              </w:rPr>
              <w:t>a</w:t>
            </w:r>
          </w:p>
        </w:tc>
        <w:tc>
          <w:tcPr>
            <w:tcW w:w="568" w:type="pct"/>
          </w:tcPr>
          <w:p w14:paraId="20EE72B4" w14:textId="77777777" w:rsidR="00320171" w:rsidRPr="00054269" w:rsidRDefault="00320171" w:rsidP="007C6EBC">
            <w:pPr>
              <w:pStyle w:val="TableText0"/>
              <w:keepLines/>
              <w:spacing w:before="0" w:after="0"/>
              <w:jc w:val="center"/>
              <w:rPr>
                <w:rFonts w:cs="Arial"/>
              </w:rPr>
            </w:pPr>
            <w:r w:rsidRPr="00054269">
              <w:rPr>
                <w:rFonts w:cs="Arial"/>
              </w:rPr>
              <w:t xml:space="preserve">3 (1%) </w:t>
            </w:r>
            <w:r w:rsidRPr="00054269">
              <w:rPr>
                <w:rFonts w:cs="Arial"/>
                <w:vertAlign w:val="superscript"/>
              </w:rPr>
              <w:t>a</w:t>
            </w:r>
          </w:p>
        </w:tc>
        <w:tc>
          <w:tcPr>
            <w:tcW w:w="605" w:type="pct"/>
          </w:tcPr>
          <w:p w14:paraId="76B329D2" w14:textId="77777777" w:rsidR="00320171" w:rsidRPr="00054269" w:rsidRDefault="00320171" w:rsidP="007C6EBC">
            <w:pPr>
              <w:pStyle w:val="TableText0"/>
              <w:keepLines/>
              <w:spacing w:before="0" w:after="0"/>
              <w:jc w:val="center"/>
              <w:rPr>
                <w:rFonts w:cs="Arial"/>
              </w:rPr>
            </w:pPr>
            <w:r w:rsidRPr="00054269">
              <w:rPr>
                <w:rFonts w:cs="Arial"/>
              </w:rPr>
              <w:t>0</w:t>
            </w:r>
          </w:p>
        </w:tc>
        <w:tc>
          <w:tcPr>
            <w:tcW w:w="577" w:type="pct"/>
          </w:tcPr>
          <w:p w14:paraId="5258539A" w14:textId="77777777" w:rsidR="00320171" w:rsidRPr="00054269" w:rsidRDefault="00320171" w:rsidP="007C6EBC">
            <w:pPr>
              <w:pStyle w:val="TableText0"/>
              <w:keepLines/>
              <w:spacing w:before="0" w:after="0"/>
              <w:jc w:val="center"/>
              <w:rPr>
                <w:rFonts w:cs="Arial"/>
              </w:rPr>
            </w:pPr>
            <w:r w:rsidRPr="00054269">
              <w:rPr>
                <w:rFonts w:cs="Arial"/>
              </w:rPr>
              <w:t xml:space="preserve">22 (8%) </w:t>
            </w:r>
            <w:r w:rsidRPr="00054269">
              <w:rPr>
                <w:rFonts w:cs="Arial"/>
                <w:vertAlign w:val="superscript"/>
              </w:rPr>
              <w:t>a</w:t>
            </w:r>
          </w:p>
        </w:tc>
        <w:tc>
          <w:tcPr>
            <w:tcW w:w="920" w:type="pct"/>
          </w:tcPr>
          <w:p w14:paraId="218C0D98" w14:textId="77777777" w:rsidR="00320171" w:rsidRPr="00054269" w:rsidRDefault="00320171" w:rsidP="007C6EBC">
            <w:pPr>
              <w:pStyle w:val="TableText0"/>
              <w:keepLines/>
              <w:spacing w:before="0" w:after="0"/>
              <w:jc w:val="center"/>
              <w:rPr>
                <w:rFonts w:cs="Arial"/>
                <w:b/>
              </w:rPr>
            </w:pPr>
            <w:r w:rsidRPr="00054269">
              <w:rPr>
                <w:rFonts w:cs="Arial"/>
                <w:b/>
              </w:rPr>
              <w:t>96 (36%)</w:t>
            </w:r>
          </w:p>
        </w:tc>
      </w:tr>
      <w:tr w:rsidR="00320171" w:rsidRPr="00054269" w14:paraId="05D2252F" w14:textId="77777777" w:rsidTr="007C6EBC">
        <w:trPr>
          <w:jc w:val="center"/>
        </w:trPr>
        <w:tc>
          <w:tcPr>
            <w:tcW w:w="762" w:type="pct"/>
            <w:tcBorders>
              <w:top w:val="nil"/>
              <w:left w:val="single" w:sz="4" w:space="0" w:color="auto"/>
              <w:bottom w:val="nil"/>
              <w:right w:val="single" w:sz="4" w:space="0" w:color="auto"/>
            </w:tcBorders>
          </w:tcPr>
          <w:p w14:paraId="2CB88E30" w14:textId="77777777" w:rsidR="00320171" w:rsidRPr="00054269" w:rsidRDefault="00320171" w:rsidP="007C6EBC">
            <w:pPr>
              <w:pStyle w:val="TableText0"/>
              <w:keepLines/>
              <w:spacing w:before="0" w:after="0"/>
              <w:rPr>
                <w:rFonts w:cs="Arial"/>
                <w:b/>
              </w:rPr>
            </w:pPr>
            <w:r w:rsidRPr="00150194">
              <w:rPr>
                <w:rFonts w:cs="Arial"/>
                <w:b/>
                <w:i/>
              </w:rPr>
              <w:t>BRCA</w:t>
            </w:r>
            <w:r w:rsidRPr="00054269">
              <w:rPr>
                <w:rFonts w:cs="Arial"/>
                <w:b/>
              </w:rPr>
              <w:t>m</w:t>
            </w:r>
          </w:p>
        </w:tc>
        <w:tc>
          <w:tcPr>
            <w:tcW w:w="837" w:type="pct"/>
            <w:tcBorders>
              <w:left w:val="single" w:sz="4" w:space="0" w:color="auto"/>
            </w:tcBorders>
          </w:tcPr>
          <w:p w14:paraId="3F339810" w14:textId="77777777" w:rsidR="00320171" w:rsidRPr="00054269" w:rsidRDefault="00320171" w:rsidP="007C6EBC">
            <w:pPr>
              <w:pStyle w:val="TableText0"/>
              <w:keepLines/>
              <w:spacing w:before="0" w:after="0"/>
              <w:rPr>
                <w:rFonts w:cs="Arial"/>
              </w:rPr>
            </w:pPr>
            <w:r w:rsidRPr="00054269">
              <w:rPr>
                <w:rFonts w:cs="Arial"/>
              </w:rPr>
              <w:t>Wild-type</w:t>
            </w:r>
          </w:p>
        </w:tc>
        <w:tc>
          <w:tcPr>
            <w:tcW w:w="732" w:type="pct"/>
          </w:tcPr>
          <w:p w14:paraId="395D625F" w14:textId="77777777" w:rsidR="00320171" w:rsidRPr="00054269" w:rsidRDefault="00320171" w:rsidP="007C6EBC">
            <w:pPr>
              <w:pStyle w:val="TableText0"/>
              <w:keepLines/>
              <w:spacing w:before="0" w:after="0"/>
              <w:jc w:val="center"/>
              <w:rPr>
                <w:rFonts w:cs="Arial"/>
              </w:rPr>
            </w:pPr>
            <w:r w:rsidRPr="00054269">
              <w:rPr>
                <w:rFonts w:cs="Arial"/>
              </w:rPr>
              <w:t xml:space="preserve">18 (7%) </w:t>
            </w:r>
            <w:r w:rsidRPr="00054269">
              <w:rPr>
                <w:rFonts w:cs="Arial"/>
                <w:vertAlign w:val="superscript"/>
              </w:rPr>
              <w:t>a</w:t>
            </w:r>
          </w:p>
        </w:tc>
        <w:tc>
          <w:tcPr>
            <w:tcW w:w="568" w:type="pct"/>
          </w:tcPr>
          <w:p w14:paraId="4E93B811" w14:textId="77777777" w:rsidR="00320171" w:rsidRPr="00054269" w:rsidRDefault="00320171" w:rsidP="007C6EBC">
            <w:pPr>
              <w:pStyle w:val="TableText0"/>
              <w:keepLines/>
              <w:spacing w:before="0" w:after="0"/>
              <w:jc w:val="center"/>
              <w:rPr>
                <w:rFonts w:cs="Arial"/>
              </w:rPr>
            </w:pPr>
            <w:r w:rsidRPr="00054269">
              <w:rPr>
                <w:rFonts w:cs="Arial"/>
              </w:rPr>
              <w:t xml:space="preserve">65 (25%) </w:t>
            </w:r>
            <w:r w:rsidRPr="00054269">
              <w:rPr>
                <w:rFonts w:cs="Arial"/>
                <w:vertAlign w:val="superscript"/>
              </w:rPr>
              <w:t>b</w:t>
            </w:r>
          </w:p>
        </w:tc>
        <w:tc>
          <w:tcPr>
            <w:tcW w:w="605" w:type="pct"/>
          </w:tcPr>
          <w:p w14:paraId="1409510D" w14:textId="77777777" w:rsidR="00320171" w:rsidRPr="00054269" w:rsidRDefault="00320171" w:rsidP="007C6EBC">
            <w:pPr>
              <w:pStyle w:val="TableText0"/>
              <w:keepLines/>
              <w:spacing w:before="0" w:after="0"/>
              <w:jc w:val="center"/>
              <w:rPr>
                <w:rFonts w:cs="Arial"/>
              </w:rPr>
            </w:pPr>
            <w:r w:rsidRPr="00054269">
              <w:rPr>
                <w:rFonts w:cs="Arial"/>
              </w:rPr>
              <w:t xml:space="preserve">4 (2%) </w:t>
            </w:r>
            <w:r w:rsidRPr="00054269">
              <w:rPr>
                <w:rFonts w:cs="Arial"/>
                <w:vertAlign w:val="superscript"/>
              </w:rPr>
              <w:t>b</w:t>
            </w:r>
          </w:p>
        </w:tc>
        <w:tc>
          <w:tcPr>
            <w:tcW w:w="577" w:type="pct"/>
          </w:tcPr>
          <w:p w14:paraId="44771047" w14:textId="77777777" w:rsidR="00320171" w:rsidRPr="00054269" w:rsidRDefault="00320171" w:rsidP="007C6EBC">
            <w:pPr>
              <w:pStyle w:val="TableText0"/>
              <w:keepLines/>
              <w:spacing w:before="0" w:after="0"/>
              <w:jc w:val="center"/>
              <w:rPr>
                <w:rFonts w:cs="Arial"/>
              </w:rPr>
            </w:pPr>
            <w:r w:rsidRPr="00054269">
              <w:rPr>
                <w:rFonts w:cs="Arial"/>
              </w:rPr>
              <w:t xml:space="preserve">23 (9%) </w:t>
            </w:r>
            <w:r w:rsidRPr="00054269">
              <w:rPr>
                <w:rFonts w:cs="Arial"/>
                <w:vertAlign w:val="superscript"/>
              </w:rPr>
              <w:t>b</w:t>
            </w:r>
          </w:p>
        </w:tc>
        <w:tc>
          <w:tcPr>
            <w:tcW w:w="920" w:type="pct"/>
          </w:tcPr>
          <w:p w14:paraId="26B8423F" w14:textId="77777777" w:rsidR="00320171" w:rsidRPr="00054269" w:rsidRDefault="00320171" w:rsidP="007C6EBC">
            <w:pPr>
              <w:pStyle w:val="TableText0"/>
              <w:keepLines/>
              <w:spacing w:before="0" w:after="0"/>
              <w:jc w:val="center"/>
              <w:rPr>
                <w:rFonts w:cs="Arial"/>
                <w:b/>
              </w:rPr>
            </w:pPr>
            <w:r w:rsidRPr="00054269">
              <w:rPr>
                <w:rFonts w:cs="Arial"/>
                <w:b/>
              </w:rPr>
              <w:t>110 (42%)</w:t>
            </w:r>
          </w:p>
        </w:tc>
      </w:tr>
      <w:tr w:rsidR="00320171" w:rsidRPr="00054269" w14:paraId="496F6E68" w14:textId="77777777" w:rsidTr="007C6EBC">
        <w:trPr>
          <w:jc w:val="center"/>
        </w:trPr>
        <w:tc>
          <w:tcPr>
            <w:tcW w:w="762" w:type="pct"/>
            <w:tcBorders>
              <w:top w:val="nil"/>
              <w:left w:val="single" w:sz="4" w:space="0" w:color="auto"/>
              <w:bottom w:val="nil"/>
              <w:right w:val="single" w:sz="4" w:space="0" w:color="auto"/>
            </w:tcBorders>
          </w:tcPr>
          <w:p w14:paraId="69E93BB0" w14:textId="5D26EC79" w:rsidR="00320171" w:rsidRPr="00054269" w:rsidRDefault="001105B6" w:rsidP="007C6EBC">
            <w:pPr>
              <w:pStyle w:val="TableText0"/>
              <w:keepLines/>
              <w:spacing w:before="0" w:after="0"/>
              <w:rPr>
                <w:rFonts w:cs="Arial"/>
                <w:b/>
              </w:rPr>
            </w:pPr>
            <w:r w:rsidRPr="00054269">
              <w:rPr>
                <w:rFonts w:cs="Arial"/>
                <w:b/>
              </w:rPr>
              <w:t>S</w:t>
            </w:r>
            <w:r w:rsidR="00320171" w:rsidRPr="00054269">
              <w:rPr>
                <w:rFonts w:cs="Arial"/>
                <w:b/>
              </w:rPr>
              <w:t>tatus</w:t>
            </w:r>
          </w:p>
        </w:tc>
        <w:tc>
          <w:tcPr>
            <w:tcW w:w="837" w:type="pct"/>
            <w:tcBorders>
              <w:left w:val="single" w:sz="4" w:space="0" w:color="auto"/>
            </w:tcBorders>
          </w:tcPr>
          <w:p w14:paraId="33A3B0F2" w14:textId="77777777" w:rsidR="00320171" w:rsidRPr="00054269" w:rsidRDefault="00320171" w:rsidP="007C6EBC">
            <w:pPr>
              <w:pStyle w:val="TableText0"/>
              <w:keepLines/>
              <w:spacing w:before="0" w:after="0"/>
              <w:rPr>
                <w:rFonts w:cs="Arial"/>
                <w:vertAlign w:val="superscript"/>
              </w:rPr>
            </w:pPr>
            <w:r w:rsidRPr="00054269">
              <w:rPr>
                <w:rFonts w:cs="Arial"/>
              </w:rPr>
              <w:t>Unknown/VUS</w:t>
            </w:r>
          </w:p>
        </w:tc>
        <w:tc>
          <w:tcPr>
            <w:tcW w:w="732" w:type="pct"/>
          </w:tcPr>
          <w:p w14:paraId="29C7FDDF" w14:textId="77777777" w:rsidR="00320171" w:rsidRPr="00054269" w:rsidRDefault="00320171" w:rsidP="007C6EBC">
            <w:pPr>
              <w:pStyle w:val="TableText0"/>
              <w:keepLines/>
              <w:spacing w:before="0" w:after="0"/>
              <w:jc w:val="center"/>
              <w:rPr>
                <w:rFonts w:cs="Arial"/>
              </w:rPr>
            </w:pPr>
            <w:r w:rsidRPr="00054269">
              <w:rPr>
                <w:rFonts w:cs="Arial"/>
              </w:rPr>
              <w:t>0 (0%)</w:t>
            </w:r>
          </w:p>
        </w:tc>
        <w:tc>
          <w:tcPr>
            <w:tcW w:w="568" w:type="pct"/>
          </w:tcPr>
          <w:p w14:paraId="78631233" w14:textId="77777777" w:rsidR="00320171" w:rsidRPr="00054269" w:rsidRDefault="00320171" w:rsidP="007C6EBC">
            <w:pPr>
              <w:pStyle w:val="TableText0"/>
              <w:keepLines/>
              <w:spacing w:before="0" w:after="0"/>
              <w:jc w:val="center"/>
              <w:rPr>
                <w:rFonts w:cs="Arial"/>
              </w:rPr>
            </w:pPr>
            <w:r w:rsidRPr="00054269">
              <w:rPr>
                <w:rFonts w:cs="Arial"/>
              </w:rPr>
              <w:t>0 (0%)</w:t>
            </w:r>
          </w:p>
        </w:tc>
        <w:tc>
          <w:tcPr>
            <w:tcW w:w="605" w:type="pct"/>
          </w:tcPr>
          <w:p w14:paraId="0BBE2598" w14:textId="77777777" w:rsidR="00320171" w:rsidRPr="00054269" w:rsidRDefault="00320171" w:rsidP="007C6EBC">
            <w:pPr>
              <w:pStyle w:val="TableText0"/>
              <w:keepLines/>
              <w:spacing w:before="0" w:after="0"/>
              <w:jc w:val="center"/>
              <w:rPr>
                <w:rFonts w:cs="Arial"/>
              </w:rPr>
            </w:pPr>
            <w:r w:rsidRPr="00054269">
              <w:rPr>
                <w:rFonts w:cs="Arial"/>
              </w:rPr>
              <w:t xml:space="preserve">4 (2%) </w:t>
            </w:r>
            <w:r w:rsidRPr="00054269">
              <w:rPr>
                <w:rFonts w:cs="Arial"/>
                <w:vertAlign w:val="superscript"/>
              </w:rPr>
              <w:t>b</w:t>
            </w:r>
          </w:p>
        </w:tc>
        <w:tc>
          <w:tcPr>
            <w:tcW w:w="577" w:type="pct"/>
          </w:tcPr>
          <w:p w14:paraId="18B4DD76" w14:textId="77777777" w:rsidR="00320171" w:rsidRPr="00054269" w:rsidRDefault="00320171" w:rsidP="007C6EBC">
            <w:pPr>
              <w:pStyle w:val="TableText0"/>
              <w:keepLines/>
              <w:spacing w:before="0" w:after="0"/>
              <w:jc w:val="center"/>
              <w:rPr>
                <w:rFonts w:cs="Arial"/>
              </w:rPr>
            </w:pPr>
            <w:r w:rsidRPr="00054269">
              <w:rPr>
                <w:rFonts w:cs="Arial"/>
              </w:rPr>
              <w:t>0 (0%)</w:t>
            </w:r>
          </w:p>
        </w:tc>
        <w:tc>
          <w:tcPr>
            <w:tcW w:w="920" w:type="pct"/>
          </w:tcPr>
          <w:p w14:paraId="6DA0B5E8" w14:textId="77777777" w:rsidR="00320171" w:rsidRPr="00054269" w:rsidRDefault="00320171" w:rsidP="007C6EBC">
            <w:pPr>
              <w:pStyle w:val="TableText0"/>
              <w:keepLines/>
              <w:spacing w:before="0" w:after="0"/>
              <w:jc w:val="center"/>
              <w:rPr>
                <w:rFonts w:cs="Arial"/>
                <w:b/>
              </w:rPr>
            </w:pPr>
            <w:r w:rsidRPr="00054269">
              <w:rPr>
                <w:rFonts w:cs="Arial"/>
                <w:b/>
              </w:rPr>
              <w:t>4 (2%)</w:t>
            </w:r>
          </w:p>
        </w:tc>
      </w:tr>
      <w:tr w:rsidR="00320171" w:rsidRPr="00054269" w14:paraId="1D358A9A" w14:textId="77777777" w:rsidTr="007C6EBC">
        <w:trPr>
          <w:jc w:val="center"/>
        </w:trPr>
        <w:tc>
          <w:tcPr>
            <w:tcW w:w="762" w:type="pct"/>
            <w:tcBorders>
              <w:top w:val="nil"/>
              <w:left w:val="single" w:sz="4" w:space="0" w:color="auto"/>
              <w:bottom w:val="nil"/>
              <w:right w:val="single" w:sz="4" w:space="0" w:color="auto"/>
            </w:tcBorders>
          </w:tcPr>
          <w:p w14:paraId="52EB5FA0" w14:textId="77777777" w:rsidR="00320171" w:rsidRPr="00054269" w:rsidRDefault="00320171" w:rsidP="007C6EBC">
            <w:pPr>
              <w:pStyle w:val="TableText0"/>
              <w:keepLines/>
              <w:spacing w:before="0" w:after="0"/>
              <w:rPr>
                <w:rFonts w:cs="Arial"/>
                <w:b/>
              </w:rPr>
            </w:pPr>
            <w:r w:rsidRPr="00054269">
              <w:rPr>
                <w:rFonts w:cs="Arial"/>
                <w:b/>
              </w:rPr>
              <w:t>(n)</w:t>
            </w:r>
          </w:p>
        </w:tc>
        <w:tc>
          <w:tcPr>
            <w:tcW w:w="837" w:type="pct"/>
            <w:tcBorders>
              <w:left w:val="single" w:sz="4" w:space="0" w:color="auto"/>
            </w:tcBorders>
          </w:tcPr>
          <w:p w14:paraId="2AC060C8" w14:textId="77777777" w:rsidR="00320171" w:rsidRPr="00054269" w:rsidRDefault="00320171" w:rsidP="007C6EBC">
            <w:pPr>
              <w:pStyle w:val="TableText0"/>
              <w:keepLines/>
              <w:spacing w:before="0" w:after="0"/>
              <w:rPr>
                <w:rFonts w:cs="Arial"/>
              </w:rPr>
            </w:pPr>
            <w:r w:rsidRPr="00054269">
              <w:rPr>
                <w:rFonts w:cs="Arial"/>
              </w:rPr>
              <w:t>Missing</w:t>
            </w:r>
          </w:p>
        </w:tc>
        <w:tc>
          <w:tcPr>
            <w:tcW w:w="732" w:type="pct"/>
          </w:tcPr>
          <w:p w14:paraId="314DA276" w14:textId="77777777" w:rsidR="00320171" w:rsidRPr="00054269" w:rsidRDefault="00320171" w:rsidP="007C6EBC">
            <w:pPr>
              <w:pStyle w:val="TableText0"/>
              <w:keepLines/>
              <w:spacing w:before="0" w:after="0"/>
              <w:jc w:val="center"/>
              <w:rPr>
                <w:rFonts w:cs="Arial"/>
              </w:rPr>
            </w:pPr>
            <w:r w:rsidRPr="00054269">
              <w:rPr>
                <w:rFonts w:cs="Arial"/>
              </w:rPr>
              <w:t xml:space="preserve">22 (8%) </w:t>
            </w:r>
            <w:r w:rsidRPr="00054269">
              <w:rPr>
                <w:rFonts w:cs="Arial"/>
                <w:vertAlign w:val="superscript"/>
              </w:rPr>
              <w:t>a</w:t>
            </w:r>
          </w:p>
        </w:tc>
        <w:tc>
          <w:tcPr>
            <w:tcW w:w="568" w:type="pct"/>
          </w:tcPr>
          <w:p w14:paraId="0A5E5F7D" w14:textId="77777777" w:rsidR="00320171" w:rsidRPr="00054269" w:rsidRDefault="00320171" w:rsidP="007C6EBC">
            <w:pPr>
              <w:pStyle w:val="TableText0"/>
              <w:keepLines/>
              <w:spacing w:before="0" w:after="0"/>
              <w:jc w:val="center"/>
              <w:rPr>
                <w:rFonts w:cs="Arial"/>
              </w:rPr>
            </w:pPr>
            <w:r w:rsidRPr="00054269">
              <w:rPr>
                <w:rFonts w:cs="Arial"/>
              </w:rPr>
              <w:t xml:space="preserve">18 (7%) </w:t>
            </w:r>
            <w:r w:rsidRPr="00054269">
              <w:rPr>
                <w:rFonts w:cs="Arial"/>
                <w:vertAlign w:val="superscript"/>
              </w:rPr>
              <w:t>b</w:t>
            </w:r>
          </w:p>
        </w:tc>
        <w:tc>
          <w:tcPr>
            <w:tcW w:w="605" w:type="pct"/>
          </w:tcPr>
          <w:p w14:paraId="6181F0FC" w14:textId="77777777" w:rsidR="00320171" w:rsidRPr="00054269" w:rsidRDefault="00320171" w:rsidP="007C6EBC">
            <w:pPr>
              <w:pStyle w:val="TableText0"/>
              <w:keepLines/>
              <w:spacing w:before="0" w:after="0"/>
              <w:jc w:val="center"/>
              <w:rPr>
                <w:rFonts w:cs="Arial"/>
              </w:rPr>
            </w:pPr>
            <w:r w:rsidRPr="00054269">
              <w:rPr>
                <w:rFonts w:cs="Arial"/>
              </w:rPr>
              <w:t xml:space="preserve">4 (2%) </w:t>
            </w:r>
            <w:r w:rsidRPr="00054269">
              <w:rPr>
                <w:rFonts w:cs="Arial"/>
                <w:vertAlign w:val="superscript"/>
              </w:rPr>
              <w:t>b</w:t>
            </w:r>
          </w:p>
        </w:tc>
        <w:tc>
          <w:tcPr>
            <w:tcW w:w="577" w:type="pct"/>
          </w:tcPr>
          <w:p w14:paraId="5106E4B0" w14:textId="77777777" w:rsidR="00320171" w:rsidRPr="00054269" w:rsidRDefault="00320171" w:rsidP="007C6EBC">
            <w:pPr>
              <w:pStyle w:val="TableText0"/>
              <w:keepLines/>
              <w:spacing w:before="0" w:after="0"/>
              <w:jc w:val="center"/>
              <w:rPr>
                <w:rFonts w:cs="Arial"/>
              </w:rPr>
            </w:pPr>
            <w:r w:rsidRPr="00054269">
              <w:rPr>
                <w:rFonts w:cs="Arial"/>
              </w:rPr>
              <w:t>11 (4%)</w:t>
            </w:r>
          </w:p>
        </w:tc>
        <w:tc>
          <w:tcPr>
            <w:tcW w:w="920" w:type="pct"/>
          </w:tcPr>
          <w:p w14:paraId="1080186B" w14:textId="77777777" w:rsidR="00320171" w:rsidRPr="00054269" w:rsidRDefault="00320171" w:rsidP="007C6EBC">
            <w:pPr>
              <w:pStyle w:val="TableText0"/>
              <w:keepLines/>
              <w:spacing w:before="0" w:after="0"/>
              <w:jc w:val="center"/>
              <w:rPr>
                <w:rFonts w:cs="Arial"/>
                <w:b/>
              </w:rPr>
            </w:pPr>
            <w:r w:rsidRPr="00054269">
              <w:rPr>
                <w:rFonts w:cs="Arial"/>
                <w:b/>
              </w:rPr>
              <w:t>55 (21%)</w:t>
            </w:r>
          </w:p>
        </w:tc>
      </w:tr>
      <w:tr w:rsidR="00320171" w:rsidRPr="00054269" w14:paraId="648BA25A" w14:textId="77777777" w:rsidTr="007C6EBC">
        <w:trPr>
          <w:jc w:val="center"/>
        </w:trPr>
        <w:tc>
          <w:tcPr>
            <w:tcW w:w="762" w:type="pct"/>
            <w:tcBorders>
              <w:top w:val="nil"/>
              <w:left w:val="single" w:sz="4" w:space="0" w:color="auto"/>
              <w:bottom w:val="single" w:sz="4" w:space="0" w:color="auto"/>
              <w:right w:val="single" w:sz="4" w:space="0" w:color="auto"/>
            </w:tcBorders>
          </w:tcPr>
          <w:p w14:paraId="2A130599" w14:textId="77777777" w:rsidR="00320171" w:rsidRPr="00054269" w:rsidRDefault="00320171" w:rsidP="007C6EBC">
            <w:pPr>
              <w:pStyle w:val="TableText0"/>
              <w:keepLines/>
              <w:spacing w:before="0" w:after="0"/>
              <w:rPr>
                <w:rFonts w:cs="Arial"/>
                <w:b/>
              </w:rPr>
            </w:pPr>
            <w:r w:rsidRPr="00054269">
              <w:rPr>
                <w:rFonts w:cs="Arial"/>
                <w:b/>
                <w:color w:val="FFFFFF" w:themeColor="background1"/>
              </w:rPr>
              <w:t>─</w:t>
            </w:r>
          </w:p>
        </w:tc>
        <w:tc>
          <w:tcPr>
            <w:tcW w:w="837" w:type="pct"/>
            <w:tcBorders>
              <w:left w:val="single" w:sz="4" w:space="0" w:color="auto"/>
            </w:tcBorders>
          </w:tcPr>
          <w:p w14:paraId="36CA7548" w14:textId="77777777" w:rsidR="00320171" w:rsidRPr="00054269" w:rsidRDefault="00320171" w:rsidP="007C6EBC">
            <w:pPr>
              <w:pStyle w:val="TableText0"/>
              <w:keepLines/>
              <w:spacing w:before="0" w:after="0"/>
              <w:rPr>
                <w:rFonts w:cs="Arial"/>
                <w:b/>
              </w:rPr>
            </w:pPr>
            <w:r w:rsidRPr="00054269">
              <w:rPr>
                <w:rFonts w:cs="Arial"/>
                <w:b/>
              </w:rPr>
              <w:t>Total</w:t>
            </w:r>
          </w:p>
        </w:tc>
        <w:tc>
          <w:tcPr>
            <w:tcW w:w="732" w:type="pct"/>
          </w:tcPr>
          <w:p w14:paraId="10021590" w14:textId="77777777" w:rsidR="00320171" w:rsidRPr="00054269" w:rsidRDefault="00320171" w:rsidP="007C6EBC">
            <w:pPr>
              <w:pStyle w:val="TableText0"/>
              <w:keepLines/>
              <w:spacing w:before="0" w:after="0"/>
              <w:jc w:val="center"/>
              <w:rPr>
                <w:rFonts w:cs="Arial"/>
                <w:b/>
              </w:rPr>
            </w:pPr>
            <w:r w:rsidRPr="00054269">
              <w:rPr>
                <w:rFonts w:cs="Arial"/>
                <w:b/>
              </w:rPr>
              <w:t>111 (42%)</w:t>
            </w:r>
          </w:p>
        </w:tc>
        <w:tc>
          <w:tcPr>
            <w:tcW w:w="568" w:type="pct"/>
          </w:tcPr>
          <w:p w14:paraId="3B01F6F3" w14:textId="77777777" w:rsidR="00320171" w:rsidRPr="00054269" w:rsidRDefault="00320171" w:rsidP="007C6EBC">
            <w:pPr>
              <w:pStyle w:val="TableText0"/>
              <w:keepLines/>
              <w:spacing w:before="0" w:after="0"/>
              <w:jc w:val="center"/>
              <w:rPr>
                <w:rFonts w:cs="Arial"/>
                <w:b/>
              </w:rPr>
            </w:pPr>
            <w:r w:rsidRPr="00054269">
              <w:rPr>
                <w:rFonts w:cs="Arial"/>
                <w:b/>
              </w:rPr>
              <w:t>86 (32%)</w:t>
            </w:r>
          </w:p>
        </w:tc>
        <w:tc>
          <w:tcPr>
            <w:tcW w:w="605" w:type="pct"/>
          </w:tcPr>
          <w:p w14:paraId="556BA69C" w14:textId="77777777" w:rsidR="00320171" w:rsidRPr="00054269" w:rsidRDefault="00320171" w:rsidP="007C6EBC">
            <w:pPr>
              <w:pStyle w:val="TableText0"/>
              <w:keepLines/>
              <w:spacing w:before="0" w:after="0"/>
              <w:jc w:val="center"/>
              <w:rPr>
                <w:rFonts w:cs="Arial"/>
                <w:b/>
              </w:rPr>
            </w:pPr>
            <w:r w:rsidRPr="00054269">
              <w:rPr>
                <w:rFonts w:cs="Arial"/>
                <w:b/>
              </w:rPr>
              <w:t>12 (5%)</w:t>
            </w:r>
          </w:p>
        </w:tc>
        <w:tc>
          <w:tcPr>
            <w:tcW w:w="577" w:type="pct"/>
          </w:tcPr>
          <w:p w14:paraId="1DE3A2D0" w14:textId="77777777" w:rsidR="00320171" w:rsidRPr="00054269" w:rsidRDefault="00320171" w:rsidP="007C6EBC">
            <w:pPr>
              <w:pStyle w:val="TableText0"/>
              <w:keepLines/>
              <w:spacing w:before="0" w:after="0"/>
              <w:jc w:val="center"/>
              <w:rPr>
                <w:rFonts w:cs="Arial"/>
                <w:b/>
              </w:rPr>
            </w:pPr>
            <w:r w:rsidRPr="00054269">
              <w:rPr>
                <w:rFonts w:cs="Arial"/>
                <w:b/>
              </w:rPr>
              <w:t>56 (21%)</w:t>
            </w:r>
          </w:p>
        </w:tc>
        <w:tc>
          <w:tcPr>
            <w:tcW w:w="920" w:type="pct"/>
          </w:tcPr>
          <w:p w14:paraId="40E9CDDE" w14:textId="77777777" w:rsidR="00320171" w:rsidRPr="00054269" w:rsidRDefault="00320171" w:rsidP="007C6EBC">
            <w:pPr>
              <w:pStyle w:val="TableText0"/>
              <w:keepLines/>
              <w:spacing w:before="0" w:after="0"/>
              <w:jc w:val="center"/>
              <w:rPr>
                <w:rFonts w:cs="Arial"/>
                <w:b/>
              </w:rPr>
            </w:pPr>
            <w:r w:rsidRPr="00054269">
              <w:rPr>
                <w:rFonts w:cs="Arial"/>
                <w:b/>
              </w:rPr>
              <w:t>265 (100%)</w:t>
            </w:r>
          </w:p>
        </w:tc>
      </w:tr>
    </w:tbl>
    <w:p w14:paraId="5BE03554" w14:textId="77777777" w:rsidR="00320171" w:rsidRPr="00054269" w:rsidRDefault="00320171" w:rsidP="00320171">
      <w:pPr>
        <w:pStyle w:val="TableFooter"/>
      </w:pPr>
      <w:r w:rsidRPr="00054269">
        <w:t>Source: Table BT.9, pp148-149 of the submission; and Table 1, p854 of Ledermann (2014)</w:t>
      </w:r>
    </w:p>
    <w:p w14:paraId="436AC12A" w14:textId="77777777" w:rsidR="00320171" w:rsidRPr="00054269" w:rsidRDefault="00320171" w:rsidP="00320171">
      <w:pPr>
        <w:pStyle w:val="TableFooter"/>
      </w:pPr>
      <w:r w:rsidRPr="00150194">
        <w:rPr>
          <w:i/>
        </w:rPr>
        <w:t>BRCA</w:t>
      </w:r>
      <w:r w:rsidRPr="00054269">
        <w:t xml:space="preserve">m = </w:t>
      </w:r>
      <w:r w:rsidRPr="00150194">
        <w:rPr>
          <w:i/>
        </w:rPr>
        <w:t>BRCA1</w:t>
      </w:r>
      <w:r w:rsidRPr="00054269">
        <w:t xml:space="preserve"> or </w:t>
      </w:r>
      <w:r w:rsidRPr="00150194">
        <w:rPr>
          <w:i/>
        </w:rPr>
        <w:t>BRCA2</w:t>
      </w:r>
      <w:r w:rsidRPr="00054269">
        <w:t xml:space="preserve"> mutation; VUS = variant of uncertain significance</w:t>
      </w:r>
    </w:p>
    <w:p w14:paraId="71814671" w14:textId="77777777" w:rsidR="00320171" w:rsidRPr="00054269" w:rsidRDefault="00320171" w:rsidP="00320171">
      <w:pPr>
        <w:pStyle w:val="TableFooter"/>
      </w:pPr>
      <w:r w:rsidRPr="00054269">
        <w:rPr>
          <w:vertAlign w:val="superscript"/>
        </w:rPr>
        <w:t>a</w:t>
      </w:r>
      <w:r w:rsidRPr="00054269">
        <w:t xml:space="preserve"> 136 patients were found to have a germline </w:t>
      </w:r>
      <w:r w:rsidRPr="00150194">
        <w:rPr>
          <w:i/>
        </w:rPr>
        <w:t>BRCA</w:t>
      </w:r>
      <w:r w:rsidRPr="00054269">
        <w:t xml:space="preserve">m and/or tumour </w:t>
      </w:r>
      <w:r w:rsidRPr="00150194">
        <w:rPr>
          <w:i/>
        </w:rPr>
        <w:t>BRCA</w:t>
      </w:r>
      <w:r w:rsidRPr="00054269">
        <w:t xml:space="preserve">m, and were included in the </w:t>
      </w:r>
      <w:r w:rsidRPr="00150194">
        <w:rPr>
          <w:i/>
        </w:rPr>
        <w:t>BRCA</w:t>
      </w:r>
      <w:r w:rsidRPr="00054269">
        <w:t>m data set.</w:t>
      </w:r>
    </w:p>
    <w:p w14:paraId="07784342" w14:textId="77777777" w:rsidR="00320171" w:rsidRPr="00054269" w:rsidRDefault="00320171" w:rsidP="00320171">
      <w:pPr>
        <w:pStyle w:val="TableFooter"/>
      </w:pPr>
      <w:r w:rsidRPr="00054269">
        <w:rPr>
          <w:vertAlign w:val="superscript"/>
        </w:rPr>
        <w:t xml:space="preserve">b </w:t>
      </w:r>
      <w:r w:rsidRPr="00054269">
        <w:t xml:space="preserve">118 patients were found to be </w:t>
      </w:r>
      <w:r w:rsidRPr="00150194">
        <w:rPr>
          <w:i/>
        </w:rPr>
        <w:t>BRCA</w:t>
      </w:r>
      <w:r w:rsidRPr="00054269">
        <w:t xml:space="preserve"> wild type or </w:t>
      </w:r>
      <w:r w:rsidRPr="00150194">
        <w:rPr>
          <w:i/>
        </w:rPr>
        <w:t>BRCA</w:t>
      </w:r>
      <w:r w:rsidRPr="00054269">
        <w:t xml:space="preserve"> unknown</w:t>
      </w:r>
    </w:p>
    <w:p w14:paraId="612DEA5E" w14:textId="77777777" w:rsidR="00354082" w:rsidRDefault="00354082" w:rsidP="00320171">
      <w:pPr>
        <w:rPr>
          <w:szCs w:val="24"/>
        </w:rPr>
      </w:pPr>
    </w:p>
    <w:p w14:paraId="6F3C39D9" w14:textId="7EBD6B15" w:rsidR="00320171" w:rsidRPr="007C6EBC" w:rsidRDefault="00320171" w:rsidP="00320171">
      <w:pPr>
        <w:rPr>
          <w:szCs w:val="24"/>
        </w:rPr>
      </w:pPr>
      <w:r w:rsidRPr="00320171">
        <w:rPr>
          <w:szCs w:val="24"/>
        </w:rPr>
        <w:t xml:space="preserve">Table </w:t>
      </w:r>
      <w:r w:rsidR="001105B6">
        <w:rPr>
          <w:szCs w:val="24"/>
        </w:rPr>
        <w:t>4</w:t>
      </w:r>
      <w:r w:rsidRPr="00320171">
        <w:rPr>
          <w:szCs w:val="24"/>
        </w:rPr>
        <w:t xml:space="preserve"> presents an estimate of the sensitivity and specificity of Study 19, disregarding the missing data (conducted during evaluation).</w:t>
      </w:r>
      <w:r>
        <w:rPr>
          <w:rFonts w:ascii="Arial" w:hAnsi="Arial" w:cs="Arial"/>
          <w:sz w:val="22"/>
          <w:szCs w:val="22"/>
        </w:rPr>
        <w:t xml:space="preserve"> </w:t>
      </w:r>
      <w:r w:rsidRPr="007C6EBC">
        <w:rPr>
          <w:szCs w:val="24"/>
        </w:rPr>
        <w:t xml:space="preserve">The </w:t>
      </w:r>
      <w:r w:rsidR="007C6EBC">
        <w:rPr>
          <w:szCs w:val="24"/>
        </w:rPr>
        <w:t xml:space="preserve">joint </w:t>
      </w:r>
      <w:r w:rsidRPr="007C6EBC">
        <w:rPr>
          <w:szCs w:val="24"/>
        </w:rPr>
        <w:t>ESCs considered that the usefulness of these calculations was reduced by the fact that 108/265 (41%) study participants had either “unknown” or “missing” status for either germline or tumour testing.</w:t>
      </w:r>
    </w:p>
    <w:p w14:paraId="74841F82" w14:textId="77777777" w:rsidR="00320171" w:rsidRPr="007C6EBC" w:rsidRDefault="00320171" w:rsidP="00320171">
      <w:pPr>
        <w:pStyle w:val="Tabletitle"/>
        <w:spacing w:before="0" w:after="0"/>
        <w:rPr>
          <w:rFonts w:ascii="Times New Roman" w:eastAsia="Times New Roman" w:hAnsi="Times New Roman" w:cs="Times New Roman"/>
          <w:b w:val="0"/>
          <w:sz w:val="24"/>
          <w:szCs w:val="24"/>
          <w:lang w:val="en-AU" w:eastAsia="en-AU"/>
        </w:rPr>
      </w:pPr>
    </w:p>
    <w:p w14:paraId="0BB9AACD" w14:textId="43C1F7CB" w:rsidR="00320171" w:rsidRPr="00150194" w:rsidRDefault="00320171" w:rsidP="00320171">
      <w:pPr>
        <w:pStyle w:val="Tabletitle"/>
        <w:keepNext/>
        <w:spacing w:before="0" w:after="0"/>
        <w:rPr>
          <w:rFonts w:ascii="Arial Narrow" w:hAnsi="Arial Narrow"/>
        </w:rPr>
      </w:pPr>
      <w:r w:rsidRPr="00150194">
        <w:rPr>
          <w:rFonts w:ascii="Arial Narrow" w:hAnsi="Arial Narrow"/>
        </w:rPr>
        <w:t xml:space="preserve">Table </w:t>
      </w:r>
      <w:r w:rsidR="001105B6">
        <w:rPr>
          <w:rFonts w:ascii="Arial Narrow" w:hAnsi="Arial Narrow"/>
        </w:rPr>
        <w:t>4</w:t>
      </w:r>
      <w:r w:rsidRPr="00150194">
        <w:rPr>
          <w:rFonts w:ascii="Arial Narrow" w:hAnsi="Arial Narrow"/>
        </w:rPr>
        <w:t xml:space="preserve">: Summary of concordance of germline and tumour </w:t>
      </w:r>
      <w:r w:rsidRPr="00150194">
        <w:rPr>
          <w:rFonts w:ascii="Arial Narrow" w:hAnsi="Arial Narrow"/>
          <w:i/>
        </w:rPr>
        <w:t>BRCA</w:t>
      </w:r>
      <w:r w:rsidRPr="00150194">
        <w:rPr>
          <w:rFonts w:ascii="Arial Narrow" w:hAnsi="Arial Narrow"/>
        </w:rPr>
        <w:t>m testing</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 Sensitivity and specificity of BRCAm testing in Study 19, calculated during evaluation"/>
      </w:tblPr>
      <w:tblGrid>
        <w:gridCol w:w="2305"/>
        <w:gridCol w:w="1384"/>
        <w:gridCol w:w="1544"/>
        <w:gridCol w:w="1528"/>
        <w:gridCol w:w="1228"/>
        <w:gridCol w:w="1137"/>
      </w:tblGrid>
      <w:tr w:rsidR="00320171" w:rsidRPr="00150194" w14:paraId="1FFD64AE" w14:textId="77777777" w:rsidTr="007C6EBC">
        <w:trPr>
          <w:trHeight w:val="170"/>
        </w:trPr>
        <w:tc>
          <w:tcPr>
            <w:tcW w:w="1263" w:type="pct"/>
            <w:tcBorders>
              <w:top w:val="single" w:sz="4" w:space="0" w:color="auto"/>
              <w:left w:val="single" w:sz="4" w:space="0" w:color="auto"/>
              <w:bottom w:val="nil"/>
              <w:right w:val="nil"/>
            </w:tcBorders>
            <w:shd w:val="clear" w:color="auto" w:fill="auto"/>
            <w:noWrap/>
            <w:vAlign w:val="center"/>
            <w:hideMark/>
          </w:tcPr>
          <w:p w14:paraId="6CDA3597" w14:textId="77777777" w:rsidR="00320171" w:rsidRPr="00150194" w:rsidRDefault="00320171" w:rsidP="007C6EBC">
            <w:pPr>
              <w:pStyle w:val="TableText"/>
              <w:jc w:val="left"/>
              <w:rPr>
                <w:rFonts w:cs="Arial"/>
                <w:b/>
                <w:lang w:val="en-GB" w:eastAsia="en-GB"/>
              </w:rPr>
            </w:pPr>
            <w:r w:rsidRPr="00150194">
              <w:rPr>
                <w:rFonts w:cs="Arial"/>
                <w:b/>
                <w:lang w:val="en-GB" w:eastAsia="en-GB"/>
              </w:rPr>
              <w:t>N</w:t>
            </w:r>
          </w:p>
        </w:tc>
        <w:tc>
          <w:tcPr>
            <w:tcW w:w="758" w:type="pct"/>
            <w:tcBorders>
              <w:top w:val="single" w:sz="4" w:space="0" w:color="auto"/>
              <w:left w:val="nil"/>
              <w:bottom w:val="nil"/>
              <w:right w:val="single" w:sz="4" w:space="0" w:color="auto"/>
            </w:tcBorders>
            <w:shd w:val="clear" w:color="auto" w:fill="auto"/>
            <w:noWrap/>
            <w:vAlign w:val="center"/>
            <w:hideMark/>
          </w:tcPr>
          <w:p w14:paraId="0A46C7C3" w14:textId="77777777" w:rsidR="00320171" w:rsidRPr="00150194" w:rsidRDefault="00320171" w:rsidP="007C6EBC">
            <w:pPr>
              <w:pStyle w:val="TableText"/>
              <w:jc w:val="left"/>
              <w:rPr>
                <w:rFonts w:cs="Arial"/>
                <w:color w:val="FFFFFF" w:themeColor="background1"/>
                <w:lang w:val="en-GB" w:eastAsia="en-GB"/>
              </w:rPr>
            </w:pPr>
            <w:r w:rsidRPr="00150194">
              <w:rPr>
                <w:rFonts w:cs="Arial"/>
                <w:color w:val="FFFFFF" w:themeColor="background1"/>
                <w:lang w:val="en-US"/>
              </w:rPr>
              <w:t>─</w:t>
            </w:r>
          </w:p>
        </w:tc>
        <w:tc>
          <w:tcPr>
            <w:tcW w:w="846" w:type="pct"/>
            <w:tcBorders>
              <w:top w:val="single" w:sz="4" w:space="0" w:color="auto"/>
              <w:left w:val="single" w:sz="4" w:space="0" w:color="auto"/>
              <w:bottom w:val="single" w:sz="4" w:space="0" w:color="auto"/>
              <w:right w:val="nil"/>
            </w:tcBorders>
            <w:shd w:val="clear" w:color="auto" w:fill="auto"/>
            <w:noWrap/>
            <w:tcMar>
              <w:left w:w="28" w:type="dxa"/>
              <w:right w:w="0" w:type="dxa"/>
            </w:tcMar>
            <w:vAlign w:val="center"/>
            <w:hideMark/>
          </w:tcPr>
          <w:p w14:paraId="586A3883" w14:textId="77777777" w:rsidR="00320171" w:rsidRPr="00150194" w:rsidRDefault="00320171" w:rsidP="007C6EBC">
            <w:pPr>
              <w:pStyle w:val="TableText"/>
              <w:ind w:right="67"/>
              <w:jc w:val="right"/>
              <w:rPr>
                <w:rFonts w:cs="Arial"/>
                <w:b/>
                <w:lang w:val="en-GB" w:eastAsia="en-GB"/>
              </w:rPr>
            </w:pPr>
            <w:r w:rsidRPr="00150194">
              <w:rPr>
                <w:rFonts w:cs="Arial"/>
                <w:b/>
                <w:lang w:val="en-GB" w:eastAsia="en-GB"/>
              </w:rPr>
              <w:t xml:space="preserve">Either germline </w:t>
            </w:r>
          </w:p>
        </w:tc>
        <w:tc>
          <w:tcPr>
            <w:tcW w:w="837" w:type="pct"/>
            <w:tcBorders>
              <w:top w:val="single" w:sz="4" w:space="0" w:color="auto"/>
              <w:left w:val="nil"/>
              <w:bottom w:val="single" w:sz="4" w:space="0" w:color="auto"/>
              <w:right w:val="single" w:sz="4" w:space="0" w:color="auto"/>
            </w:tcBorders>
            <w:shd w:val="clear" w:color="auto" w:fill="auto"/>
            <w:vAlign w:val="center"/>
          </w:tcPr>
          <w:p w14:paraId="7E06EE06" w14:textId="77777777" w:rsidR="00320171" w:rsidRPr="00150194" w:rsidRDefault="00320171" w:rsidP="007C6EBC">
            <w:pPr>
              <w:pStyle w:val="TableText"/>
              <w:jc w:val="left"/>
              <w:rPr>
                <w:rFonts w:cs="Arial"/>
                <w:b/>
                <w:lang w:val="en-GB" w:eastAsia="en-GB"/>
              </w:rPr>
            </w:pPr>
            <w:r w:rsidRPr="00150194">
              <w:rPr>
                <w:rFonts w:cs="Arial"/>
                <w:b/>
                <w:lang w:val="en-GB" w:eastAsia="en-GB"/>
              </w:rPr>
              <w:t>or tumour line</w:t>
            </w:r>
          </w:p>
        </w:tc>
        <w:tc>
          <w:tcPr>
            <w:tcW w:w="673" w:type="pct"/>
            <w:tcBorders>
              <w:top w:val="single" w:sz="4" w:space="0" w:color="auto"/>
              <w:left w:val="single" w:sz="4" w:space="0" w:color="auto"/>
              <w:bottom w:val="nil"/>
              <w:right w:val="single" w:sz="4" w:space="0" w:color="auto"/>
            </w:tcBorders>
            <w:shd w:val="clear" w:color="auto" w:fill="auto"/>
            <w:noWrap/>
            <w:vAlign w:val="center"/>
            <w:hideMark/>
          </w:tcPr>
          <w:p w14:paraId="6AE666B8" w14:textId="77777777" w:rsidR="00320171" w:rsidRPr="00150194" w:rsidRDefault="00320171" w:rsidP="007C6EBC">
            <w:pPr>
              <w:pStyle w:val="TableText"/>
              <w:jc w:val="center"/>
              <w:rPr>
                <w:rFonts w:cs="Arial"/>
                <w:b/>
                <w:lang w:val="en-GB" w:eastAsia="en-GB"/>
              </w:rPr>
            </w:pPr>
            <w:r w:rsidRPr="00150194">
              <w:rPr>
                <w:rFonts w:cs="Arial"/>
                <w:b/>
                <w:lang w:val="en-GB" w:eastAsia="en-GB"/>
              </w:rPr>
              <w:t>Sensitivity</w:t>
            </w:r>
          </w:p>
        </w:tc>
        <w:tc>
          <w:tcPr>
            <w:tcW w:w="623" w:type="pct"/>
            <w:tcBorders>
              <w:top w:val="single" w:sz="4" w:space="0" w:color="auto"/>
              <w:left w:val="single" w:sz="4" w:space="0" w:color="auto"/>
              <w:bottom w:val="nil"/>
              <w:right w:val="single" w:sz="4" w:space="0" w:color="auto"/>
            </w:tcBorders>
            <w:shd w:val="clear" w:color="auto" w:fill="auto"/>
            <w:noWrap/>
            <w:vAlign w:val="center"/>
            <w:hideMark/>
          </w:tcPr>
          <w:p w14:paraId="23FF9B81" w14:textId="77777777" w:rsidR="00320171" w:rsidRPr="00150194" w:rsidRDefault="00320171" w:rsidP="007C6EBC">
            <w:pPr>
              <w:pStyle w:val="TableText"/>
              <w:jc w:val="center"/>
              <w:rPr>
                <w:rFonts w:cs="Arial"/>
                <w:b/>
                <w:lang w:val="en-GB" w:eastAsia="en-GB"/>
              </w:rPr>
            </w:pPr>
            <w:r w:rsidRPr="00150194">
              <w:rPr>
                <w:rFonts w:cs="Arial"/>
                <w:b/>
                <w:lang w:val="en-GB" w:eastAsia="en-GB"/>
              </w:rPr>
              <w:t>Specificity</w:t>
            </w:r>
          </w:p>
        </w:tc>
      </w:tr>
      <w:tr w:rsidR="00320171" w:rsidRPr="00150194" w14:paraId="73126CDA" w14:textId="77777777" w:rsidTr="007C6EBC">
        <w:trPr>
          <w:trHeight w:val="170"/>
        </w:trPr>
        <w:tc>
          <w:tcPr>
            <w:tcW w:w="1263" w:type="pct"/>
            <w:tcBorders>
              <w:top w:val="nil"/>
              <w:left w:val="single" w:sz="4" w:space="0" w:color="auto"/>
              <w:bottom w:val="single" w:sz="4" w:space="0" w:color="auto"/>
              <w:right w:val="nil"/>
            </w:tcBorders>
            <w:shd w:val="clear" w:color="auto" w:fill="auto"/>
            <w:noWrap/>
            <w:vAlign w:val="center"/>
            <w:hideMark/>
          </w:tcPr>
          <w:p w14:paraId="570C1F42" w14:textId="77777777" w:rsidR="00320171" w:rsidRPr="00150194" w:rsidRDefault="00320171" w:rsidP="007C6EBC">
            <w:pPr>
              <w:pStyle w:val="TableText"/>
              <w:jc w:val="left"/>
              <w:rPr>
                <w:rFonts w:cs="Arial"/>
                <w:lang w:val="en-GB" w:eastAsia="en-GB"/>
              </w:rPr>
            </w:pPr>
            <w:r w:rsidRPr="00150194">
              <w:rPr>
                <w:rFonts w:cs="Arial"/>
                <w:color w:val="FFFFFF" w:themeColor="background1"/>
                <w:lang w:val="en-US"/>
              </w:rPr>
              <w:t>─</w:t>
            </w:r>
          </w:p>
        </w:tc>
        <w:tc>
          <w:tcPr>
            <w:tcW w:w="758" w:type="pct"/>
            <w:tcBorders>
              <w:top w:val="nil"/>
              <w:left w:val="nil"/>
              <w:bottom w:val="single" w:sz="4" w:space="0" w:color="auto"/>
              <w:right w:val="single" w:sz="4" w:space="0" w:color="auto"/>
            </w:tcBorders>
            <w:shd w:val="clear" w:color="auto" w:fill="auto"/>
            <w:noWrap/>
            <w:vAlign w:val="center"/>
            <w:hideMark/>
          </w:tcPr>
          <w:p w14:paraId="0717FBB9" w14:textId="77777777" w:rsidR="00320171" w:rsidRPr="00150194" w:rsidRDefault="00320171" w:rsidP="007C6EBC">
            <w:pPr>
              <w:pStyle w:val="TableText"/>
              <w:jc w:val="left"/>
              <w:rPr>
                <w:rFonts w:cs="Arial"/>
                <w:color w:val="FFFFFF" w:themeColor="background1"/>
                <w:lang w:val="en-GB" w:eastAsia="en-GB"/>
              </w:rPr>
            </w:pPr>
            <w:r w:rsidRPr="00150194">
              <w:rPr>
                <w:rFonts w:cs="Arial"/>
                <w:color w:val="FFFFFF" w:themeColor="background1"/>
                <w:lang w:val="en-US"/>
              </w:rPr>
              <w:t>─</w:t>
            </w:r>
          </w:p>
        </w:tc>
        <w:tc>
          <w:tcPr>
            <w:tcW w:w="846" w:type="pct"/>
            <w:tcBorders>
              <w:top w:val="single" w:sz="4" w:space="0" w:color="auto"/>
              <w:left w:val="single" w:sz="4" w:space="0" w:color="auto"/>
              <w:bottom w:val="single" w:sz="4" w:space="0" w:color="auto"/>
              <w:right w:val="nil"/>
            </w:tcBorders>
            <w:shd w:val="clear" w:color="auto" w:fill="auto"/>
            <w:noWrap/>
            <w:vAlign w:val="center"/>
            <w:hideMark/>
          </w:tcPr>
          <w:p w14:paraId="3E20AC64" w14:textId="77777777" w:rsidR="00320171" w:rsidRPr="00150194" w:rsidRDefault="00320171" w:rsidP="007C6EBC">
            <w:pPr>
              <w:pStyle w:val="TableText"/>
              <w:jc w:val="center"/>
              <w:rPr>
                <w:rFonts w:cs="Arial"/>
                <w:b/>
                <w:lang w:val="en-GB" w:eastAsia="en-GB"/>
              </w:rPr>
            </w:pPr>
            <w:r w:rsidRPr="00150194">
              <w:rPr>
                <w:rFonts w:cs="Arial"/>
                <w:b/>
                <w:lang w:val="en-GB" w:eastAsia="en-GB"/>
              </w:rPr>
              <w:t>Positive</w:t>
            </w:r>
          </w:p>
        </w:tc>
        <w:tc>
          <w:tcPr>
            <w:tcW w:w="837" w:type="pct"/>
            <w:tcBorders>
              <w:top w:val="single" w:sz="4" w:space="0" w:color="auto"/>
              <w:left w:val="nil"/>
              <w:bottom w:val="single" w:sz="4" w:space="0" w:color="auto"/>
              <w:right w:val="single" w:sz="4" w:space="0" w:color="auto"/>
            </w:tcBorders>
            <w:shd w:val="clear" w:color="auto" w:fill="auto"/>
            <w:noWrap/>
            <w:vAlign w:val="center"/>
            <w:hideMark/>
          </w:tcPr>
          <w:p w14:paraId="06825D69" w14:textId="77777777" w:rsidR="00320171" w:rsidRPr="00150194" w:rsidRDefault="00320171" w:rsidP="007C6EBC">
            <w:pPr>
              <w:pStyle w:val="TableText"/>
              <w:jc w:val="center"/>
              <w:rPr>
                <w:rFonts w:cs="Arial"/>
                <w:b/>
                <w:lang w:val="en-GB" w:eastAsia="en-GB"/>
              </w:rPr>
            </w:pPr>
            <w:r w:rsidRPr="00150194">
              <w:rPr>
                <w:rFonts w:cs="Arial"/>
                <w:b/>
                <w:lang w:val="en-GB" w:eastAsia="en-GB"/>
              </w:rPr>
              <w:t>Negative</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14:paraId="524639E5" w14:textId="77777777" w:rsidR="00320171" w:rsidRPr="00150194" w:rsidRDefault="00320171" w:rsidP="007C6EBC">
            <w:pPr>
              <w:pStyle w:val="TableText"/>
              <w:jc w:val="center"/>
              <w:rPr>
                <w:rFonts w:cs="Arial"/>
                <w:b/>
                <w:color w:val="FFFFFF" w:themeColor="background1"/>
                <w:lang w:val="en-GB" w:eastAsia="en-GB"/>
              </w:rPr>
            </w:pPr>
            <w:r w:rsidRPr="00150194">
              <w:rPr>
                <w:rFonts w:cs="Arial"/>
                <w:color w:val="FFFFFF" w:themeColor="background1"/>
                <w:lang w:val="en-US"/>
              </w:rPr>
              <w:t>─</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B27DB3C" w14:textId="77777777" w:rsidR="00320171" w:rsidRPr="00150194" w:rsidRDefault="00320171" w:rsidP="007C6EBC">
            <w:pPr>
              <w:pStyle w:val="TableText"/>
              <w:jc w:val="center"/>
              <w:rPr>
                <w:rFonts w:cs="Arial"/>
                <w:b/>
                <w:color w:val="FFFFFF" w:themeColor="background1"/>
                <w:lang w:val="en-GB" w:eastAsia="en-GB"/>
              </w:rPr>
            </w:pPr>
            <w:r w:rsidRPr="00150194">
              <w:rPr>
                <w:rFonts w:cs="Arial"/>
                <w:color w:val="FFFFFF" w:themeColor="background1"/>
                <w:lang w:val="en-US"/>
              </w:rPr>
              <w:t>─</w:t>
            </w:r>
          </w:p>
        </w:tc>
      </w:tr>
      <w:tr w:rsidR="00320171" w:rsidRPr="00150194" w14:paraId="7943D09C" w14:textId="77777777" w:rsidTr="007C6EBC">
        <w:trPr>
          <w:trHeight w:val="170"/>
        </w:trPr>
        <w:tc>
          <w:tcPr>
            <w:tcW w:w="1263" w:type="pct"/>
            <w:tcBorders>
              <w:top w:val="single" w:sz="4" w:space="0" w:color="auto"/>
              <w:left w:val="single" w:sz="4" w:space="0" w:color="auto"/>
              <w:bottom w:val="nil"/>
              <w:right w:val="single" w:sz="4" w:space="0" w:color="auto"/>
            </w:tcBorders>
            <w:shd w:val="clear" w:color="auto" w:fill="auto"/>
            <w:noWrap/>
            <w:vAlign w:val="center"/>
            <w:hideMark/>
          </w:tcPr>
          <w:p w14:paraId="24E6E24E" w14:textId="77777777" w:rsidR="00320171" w:rsidRPr="00150194" w:rsidRDefault="00320171" w:rsidP="007C6EBC">
            <w:pPr>
              <w:pStyle w:val="TableText"/>
              <w:jc w:val="left"/>
              <w:rPr>
                <w:rFonts w:cs="Arial"/>
                <w:b/>
                <w:lang w:val="en-GB" w:eastAsia="en-GB"/>
              </w:rPr>
            </w:pPr>
            <w:r w:rsidRPr="00150194">
              <w:rPr>
                <w:rFonts w:cs="Arial"/>
                <w:b/>
                <w:lang w:val="en-GB" w:eastAsia="en-GB"/>
              </w:rPr>
              <w:t>Predicted germline</w:t>
            </w:r>
          </w:p>
        </w:tc>
        <w:tc>
          <w:tcPr>
            <w:tcW w:w="758" w:type="pct"/>
            <w:tcBorders>
              <w:top w:val="single" w:sz="4" w:space="0" w:color="auto"/>
              <w:left w:val="single" w:sz="4" w:space="0" w:color="auto"/>
            </w:tcBorders>
            <w:shd w:val="clear" w:color="auto" w:fill="auto"/>
            <w:noWrap/>
            <w:vAlign w:val="center"/>
            <w:hideMark/>
          </w:tcPr>
          <w:p w14:paraId="48848E98" w14:textId="77777777" w:rsidR="00320171" w:rsidRPr="00150194" w:rsidRDefault="00320171" w:rsidP="007C6EBC">
            <w:pPr>
              <w:pStyle w:val="TableText"/>
              <w:jc w:val="left"/>
              <w:rPr>
                <w:rFonts w:cs="Arial"/>
                <w:lang w:val="en-GB" w:eastAsia="en-GB"/>
              </w:rPr>
            </w:pPr>
            <w:r w:rsidRPr="00150194">
              <w:rPr>
                <w:rFonts w:cs="Arial"/>
                <w:lang w:val="en-GB" w:eastAsia="en-GB"/>
              </w:rPr>
              <w:t>Positive</w:t>
            </w:r>
          </w:p>
        </w:tc>
        <w:tc>
          <w:tcPr>
            <w:tcW w:w="846" w:type="pct"/>
            <w:tcBorders>
              <w:top w:val="single" w:sz="4" w:space="0" w:color="auto"/>
            </w:tcBorders>
            <w:shd w:val="clear" w:color="auto" w:fill="auto"/>
            <w:noWrap/>
            <w:vAlign w:val="center"/>
            <w:hideMark/>
          </w:tcPr>
          <w:p w14:paraId="205F4945" w14:textId="77777777" w:rsidR="00320171" w:rsidRPr="00150194" w:rsidRDefault="00320171" w:rsidP="007C6EBC">
            <w:pPr>
              <w:pStyle w:val="TableText"/>
              <w:jc w:val="center"/>
              <w:rPr>
                <w:rFonts w:cs="Arial"/>
                <w:lang w:val="en-GB" w:eastAsia="en-GB"/>
              </w:rPr>
            </w:pPr>
            <w:r w:rsidRPr="00150194">
              <w:rPr>
                <w:rFonts w:cs="Arial"/>
                <w:lang w:val="en-GB" w:eastAsia="en-GB"/>
              </w:rPr>
              <w:t>96</w:t>
            </w:r>
          </w:p>
        </w:tc>
        <w:tc>
          <w:tcPr>
            <w:tcW w:w="837" w:type="pct"/>
            <w:tcBorders>
              <w:top w:val="single" w:sz="4" w:space="0" w:color="auto"/>
            </w:tcBorders>
            <w:shd w:val="clear" w:color="auto" w:fill="auto"/>
            <w:noWrap/>
            <w:vAlign w:val="center"/>
            <w:hideMark/>
          </w:tcPr>
          <w:p w14:paraId="028A8CB3" w14:textId="77777777" w:rsidR="00320171" w:rsidRPr="00150194" w:rsidRDefault="00320171" w:rsidP="007C6EBC">
            <w:pPr>
              <w:pStyle w:val="TableText"/>
              <w:jc w:val="center"/>
              <w:rPr>
                <w:rFonts w:cs="Arial"/>
                <w:lang w:val="en-GB" w:eastAsia="en-GB"/>
              </w:rPr>
            </w:pPr>
            <w:r w:rsidRPr="00150194">
              <w:rPr>
                <w:rFonts w:cs="Arial"/>
                <w:lang w:val="en-GB" w:eastAsia="en-GB"/>
              </w:rPr>
              <w:t>0</w:t>
            </w:r>
          </w:p>
        </w:tc>
        <w:tc>
          <w:tcPr>
            <w:tcW w:w="673" w:type="pct"/>
            <w:tcBorders>
              <w:top w:val="single" w:sz="4" w:space="0" w:color="auto"/>
            </w:tcBorders>
            <w:shd w:val="clear" w:color="auto" w:fill="auto"/>
            <w:noWrap/>
            <w:vAlign w:val="center"/>
            <w:hideMark/>
          </w:tcPr>
          <w:p w14:paraId="18445E16" w14:textId="77777777" w:rsidR="00320171" w:rsidRPr="00150194" w:rsidRDefault="00320171" w:rsidP="007C6EBC">
            <w:pPr>
              <w:pStyle w:val="TableText"/>
              <w:jc w:val="center"/>
              <w:rPr>
                <w:rFonts w:cs="Arial"/>
                <w:lang w:val="en-GB" w:eastAsia="en-GB"/>
              </w:rPr>
            </w:pPr>
            <w:r w:rsidRPr="00150194">
              <w:rPr>
                <w:rFonts w:cs="Arial"/>
                <w:lang w:val="en-GB" w:eastAsia="en-GB"/>
              </w:rPr>
              <w:t>84%</w:t>
            </w:r>
          </w:p>
        </w:tc>
        <w:tc>
          <w:tcPr>
            <w:tcW w:w="623" w:type="pct"/>
            <w:tcBorders>
              <w:top w:val="single" w:sz="4" w:space="0" w:color="auto"/>
            </w:tcBorders>
            <w:shd w:val="clear" w:color="auto" w:fill="auto"/>
            <w:noWrap/>
            <w:vAlign w:val="center"/>
            <w:hideMark/>
          </w:tcPr>
          <w:p w14:paraId="11DA282C" w14:textId="77777777" w:rsidR="00320171" w:rsidRPr="00150194" w:rsidRDefault="00320171" w:rsidP="007C6EBC">
            <w:pPr>
              <w:pStyle w:val="TableText"/>
              <w:jc w:val="center"/>
              <w:rPr>
                <w:rFonts w:cs="Arial"/>
                <w:lang w:val="en-GB" w:eastAsia="en-GB"/>
              </w:rPr>
            </w:pPr>
            <w:r w:rsidRPr="00150194">
              <w:rPr>
                <w:rFonts w:cs="Arial"/>
                <w:lang w:val="en-GB" w:eastAsia="en-GB"/>
              </w:rPr>
              <w:t>100%</w:t>
            </w:r>
          </w:p>
        </w:tc>
      </w:tr>
      <w:tr w:rsidR="00320171" w:rsidRPr="00150194" w14:paraId="376E4502" w14:textId="77777777" w:rsidTr="007C6EBC">
        <w:trPr>
          <w:trHeight w:val="170"/>
        </w:trPr>
        <w:tc>
          <w:tcPr>
            <w:tcW w:w="1263" w:type="pct"/>
            <w:tcBorders>
              <w:top w:val="nil"/>
              <w:left w:val="single" w:sz="4" w:space="0" w:color="auto"/>
              <w:bottom w:val="single" w:sz="4" w:space="0" w:color="auto"/>
              <w:right w:val="single" w:sz="4" w:space="0" w:color="auto"/>
            </w:tcBorders>
            <w:shd w:val="clear" w:color="auto" w:fill="auto"/>
            <w:noWrap/>
            <w:vAlign w:val="center"/>
            <w:hideMark/>
          </w:tcPr>
          <w:p w14:paraId="39A6EC74" w14:textId="77777777" w:rsidR="00320171" w:rsidRPr="00150194" w:rsidRDefault="00320171" w:rsidP="007C6EBC">
            <w:pPr>
              <w:pStyle w:val="TableText"/>
              <w:jc w:val="left"/>
              <w:rPr>
                <w:rFonts w:cs="Arial"/>
                <w:b/>
                <w:lang w:val="en-GB" w:eastAsia="en-GB"/>
              </w:rPr>
            </w:pPr>
            <w:r w:rsidRPr="00150194">
              <w:rPr>
                <w:rFonts w:cs="Arial"/>
                <w:b/>
                <w:i/>
                <w:lang w:val="en-GB" w:eastAsia="en-GB"/>
              </w:rPr>
              <w:t>BRCA</w:t>
            </w:r>
            <w:r w:rsidRPr="00150194">
              <w:rPr>
                <w:rFonts w:cs="Arial"/>
                <w:b/>
                <w:lang w:val="en-GB" w:eastAsia="en-GB"/>
              </w:rPr>
              <w:t>m</w:t>
            </w:r>
          </w:p>
        </w:tc>
        <w:tc>
          <w:tcPr>
            <w:tcW w:w="758" w:type="pct"/>
            <w:tcBorders>
              <w:left w:val="single" w:sz="4" w:space="0" w:color="auto"/>
            </w:tcBorders>
            <w:shd w:val="clear" w:color="auto" w:fill="auto"/>
            <w:noWrap/>
            <w:vAlign w:val="center"/>
            <w:hideMark/>
          </w:tcPr>
          <w:p w14:paraId="53C9FAAD" w14:textId="77777777" w:rsidR="00320171" w:rsidRPr="00150194" w:rsidRDefault="00320171" w:rsidP="007C6EBC">
            <w:pPr>
              <w:pStyle w:val="TableText"/>
              <w:jc w:val="left"/>
              <w:rPr>
                <w:rFonts w:cs="Arial"/>
                <w:lang w:val="en-GB" w:eastAsia="en-GB"/>
              </w:rPr>
            </w:pPr>
            <w:r w:rsidRPr="00150194">
              <w:rPr>
                <w:rFonts w:cs="Arial"/>
                <w:lang w:val="en-GB" w:eastAsia="en-GB"/>
              </w:rPr>
              <w:t>Negative</w:t>
            </w:r>
          </w:p>
        </w:tc>
        <w:tc>
          <w:tcPr>
            <w:tcW w:w="846" w:type="pct"/>
            <w:shd w:val="clear" w:color="auto" w:fill="auto"/>
            <w:noWrap/>
            <w:vAlign w:val="center"/>
            <w:hideMark/>
          </w:tcPr>
          <w:p w14:paraId="06A2A534" w14:textId="77777777" w:rsidR="00320171" w:rsidRPr="00150194" w:rsidRDefault="00320171" w:rsidP="007C6EBC">
            <w:pPr>
              <w:pStyle w:val="TableText"/>
              <w:jc w:val="center"/>
              <w:rPr>
                <w:rFonts w:cs="Arial"/>
                <w:lang w:val="en-GB" w:eastAsia="en-GB"/>
              </w:rPr>
            </w:pPr>
            <w:r w:rsidRPr="00150194">
              <w:rPr>
                <w:rFonts w:cs="Arial"/>
                <w:lang w:val="en-GB" w:eastAsia="en-GB"/>
              </w:rPr>
              <w:t>18</w:t>
            </w:r>
          </w:p>
        </w:tc>
        <w:tc>
          <w:tcPr>
            <w:tcW w:w="837" w:type="pct"/>
            <w:shd w:val="clear" w:color="auto" w:fill="auto"/>
            <w:noWrap/>
            <w:vAlign w:val="center"/>
            <w:hideMark/>
          </w:tcPr>
          <w:p w14:paraId="28A87403" w14:textId="77777777" w:rsidR="00320171" w:rsidRPr="00150194" w:rsidRDefault="00320171" w:rsidP="007C6EBC">
            <w:pPr>
              <w:pStyle w:val="TableText"/>
              <w:jc w:val="center"/>
              <w:rPr>
                <w:rFonts w:cs="Arial"/>
                <w:lang w:val="en-GB" w:eastAsia="en-GB"/>
              </w:rPr>
            </w:pPr>
            <w:r w:rsidRPr="00150194">
              <w:rPr>
                <w:rFonts w:cs="Arial"/>
                <w:lang w:val="en-GB" w:eastAsia="en-GB"/>
              </w:rPr>
              <w:t>96</w:t>
            </w:r>
          </w:p>
        </w:tc>
        <w:tc>
          <w:tcPr>
            <w:tcW w:w="673" w:type="pct"/>
            <w:shd w:val="clear" w:color="auto" w:fill="auto"/>
            <w:noWrap/>
            <w:vAlign w:val="center"/>
            <w:hideMark/>
          </w:tcPr>
          <w:p w14:paraId="617772CD" w14:textId="77777777" w:rsidR="00320171" w:rsidRPr="00150194" w:rsidRDefault="00320171" w:rsidP="007C6EBC">
            <w:pPr>
              <w:pStyle w:val="TableText"/>
              <w:jc w:val="center"/>
              <w:rPr>
                <w:rFonts w:cs="Arial"/>
                <w:lang w:val="en-GB" w:eastAsia="en-GB"/>
              </w:rPr>
            </w:pPr>
            <w:r w:rsidRPr="00150194">
              <w:rPr>
                <w:rFonts w:cs="Arial"/>
                <w:lang w:val="en-GB" w:eastAsia="en-GB"/>
              </w:rPr>
              <w:t>─</w:t>
            </w:r>
          </w:p>
        </w:tc>
        <w:tc>
          <w:tcPr>
            <w:tcW w:w="623" w:type="pct"/>
            <w:shd w:val="clear" w:color="auto" w:fill="auto"/>
            <w:noWrap/>
            <w:vAlign w:val="center"/>
            <w:hideMark/>
          </w:tcPr>
          <w:p w14:paraId="3E7C08E6" w14:textId="77777777" w:rsidR="00320171" w:rsidRPr="00150194" w:rsidRDefault="00320171" w:rsidP="007C6EBC">
            <w:pPr>
              <w:pStyle w:val="TableText"/>
              <w:jc w:val="center"/>
              <w:rPr>
                <w:rFonts w:cs="Arial"/>
                <w:lang w:val="en-GB" w:eastAsia="en-GB"/>
              </w:rPr>
            </w:pPr>
            <w:r w:rsidRPr="00150194">
              <w:rPr>
                <w:rFonts w:cs="Arial"/>
                <w:lang w:val="en-GB" w:eastAsia="en-GB"/>
              </w:rPr>
              <w:t>─</w:t>
            </w:r>
          </w:p>
        </w:tc>
      </w:tr>
      <w:tr w:rsidR="00320171" w:rsidRPr="00150194" w14:paraId="3BAEC0C6" w14:textId="77777777" w:rsidTr="007C6EBC">
        <w:trPr>
          <w:trHeight w:val="170"/>
        </w:trPr>
        <w:tc>
          <w:tcPr>
            <w:tcW w:w="1263" w:type="pct"/>
            <w:tcBorders>
              <w:top w:val="single" w:sz="4" w:space="0" w:color="auto"/>
              <w:left w:val="single" w:sz="4" w:space="0" w:color="auto"/>
              <w:bottom w:val="nil"/>
              <w:right w:val="single" w:sz="4" w:space="0" w:color="auto"/>
            </w:tcBorders>
            <w:shd w:val="clear" w:color="auto" w:fill="auto"/>
            <w:noWrap/>
            <w:vAlign w:val="center"/>
            <w:hideMark/>
          </w:tcPr>
          <w:p w14:paraId="1C5A3552" w14:textId="77777777" w:rsidR="00320171" w:rsidRPr="00150194" w:rsidRDefault="00320171" w:rsidP="007C6EBC">
            <w:pPr>
              <w:pStyle w:val="TableText"/>
              <w:jc w:val="left"/>
              <w:rPr>
                <w:rFonts w:cs="Arial"/>
                <w:b/>
                <w:lang w:val="en-GB" w:eastAsia="en-GB"/>
              </w:rPr>
            </w:pPr>
            <w:r w:rsidRPr="00150194">
              <w:rPr>
                <w:rFonts w:cs="Arial"/>
                <w:b/>
                <w:lang w:val="en-GB" w:eastAsia="en-GB"/>
              </w:rPr>
              <w:t>Predicted tumour</w:t>
            </w:r>
          </w:p>
        </w:tc>
        <w:tc>
          <w:tcPr>
            <w:tcW w:w="758" w:type="pct"/>
            <w:tcBorders>
              <w:left w:val="single" w:sz="4" w:space="0" w:color="auto"/>
            </w:tcBorders>
            <w:shd w:val="clear" w:color="auto" w:fill="auto"/>
            <w:noWrap/>
            <w:vAlign w:val="center"/>
            <w:hideMark/>
          </w:tcPr>
          <w:p w14:paraId="4BBC4B3A" w14:textId="77777777" w:rsidR="00320171" w:rsidRPr="00150194" w:rsidRDefault="00320171" w:rsidP="007C6EBC">
            <w:pPr>
              <w:pStyle w:val="TableText"/>
              <w:jc w:val="left"/>
              <w:rPr>
                <w:rFonts w:cs="Arial"/>
                <w:lang w:val="en-GB" w:eastAsia="en-GB"/>
              </w:rPr>
            </w:pPr>
            <w:r w:rsidRPr="00150194">
              <w:rPr>
                <w:rFonts w:cs="Arial"/>
                <w:lang w:val="en-GB" w:eastAsia="en-GB"/>
              </w:rPr>
              <w:t>Positive</w:t>
            </w:r>
          </w:p>
        </w:tc>
        <w:tc>
          <w:tcPr>
            <w:tcW w:w="846" w:type="pct"/>
            <w:shd w:val="clear" w:color="auto" w:fill="auto"/>
            <w:noWrap/>
            <w:vAlign w:val="center"/>
            <w:hideMark/>
          </w:tcPr>
          <w:p w14:paraId="119ED201" w14:textId="77777777" w:rsidR="00320171" w:rsidRPr="00150194" w:rsidRDefault="00320171" w:rsidP="007C6EBC">
            <w:pPr>
              <w:pStyle w:val="TableText"/>
              <w:jc w:val="center"/>
              <w:rPr>
                <w:rFonts w:cs="Arial"/>
                <w:lang w:val="en-GB" w:eastAsia="en-GB"/>
              </w:rPr>
            </w:pPr>
            <w:r w:rsidRPr="00150194">
              <w:rPr>
                <w:rFonts w:cs="Arial"/>
                <w:lang w:val="en-GB" w:eastAsia="en-GB"/>
              </w:rPr>
              <w:t>111</w:t>
            </w:r>
          </w:p>
        </w:tc>
        <w:tc>
          <w:tcPr>
            <w:tcW w:w="837" w:type="pct"/>
            <w:shd w:val="clear" w:color="auto" w:fill="auto"/>
            <w:noWrap/>
            <w:vAlign w:val="center"/>
            <w:hideMark/>
          </w:tcPr>
          <w:p w14:paraId="14EB335A" w14:textId="77777777" w:rsidR="00320171" w:rsidRPr="00150194" w:rsidRDefault="00320171" w:rsidP="007C6EBC">
            <w:pPr>
              <w:pStyle w:val="TableText"/>
              <w:jc w:val="center"/>
              <w:rPr>
                <w:rFonts w:cs="Arial"/>
                <w:lang w:val="en-GB" w:eastAsia="en-GB"/>
              </w:rPr>
            </w:pPr>
            <w:r w:rsidRPr="00150194">
              <w:rPr>
                <w:rFonts w:cs="Arial"/>
                <w:lang w:val="en-GB" w:eastAsia="en-GB"/>
              </w:rPr>
              <w:t>0</w:t>
            </w:r>
          </w:p>
        </w:tc>
        <w:tc>
          <w:tcPr>
            <w:tcW w:w="673" w:type="pct"/>
            <w:shd w:val="clear" w:color="auto" w:fill="auto"/>
            <w:noWrap/>
            <w:vAlign w:val="center"/>
            <w:hideMark/>
          </w:tcPr>
          <w:p w14:paraId="1E1DC602" w14:textId="77777777" w:rsidR="00320171" w:rsidRPr="00150194" w:rsidRDefault="00320171" w:rsidP="007C6EBC">
            <w:pPr>
              <w:pStyle w:val="TableText"/>
              <w:jc w:val="center"/>
              <w:rPr>
                <w:rFonts w:cs="Arial"/>
                <w:lang w:val="en-GB" w:eastAsia="en-GB"/>
              </w:rPr>
            </w:pPr>
            <w:r w:rsidRPr="00150194">
              <w:rPr>
                <w:rFonts w:cs="Arial"/>
                <w:lang w:val="en-GB" w:eastAsia="en-GB"/>
              </w:rPr>
              <w:t>97%</w:t>
            </w:r>
          </w:p>
        </w:tc>
        <w:tc>
          <w:tcPr>
            <w:tcW w:w="623" w:type="pct"/>
            <w:shd w:val="clear" w:color="auto" w:fill="auto"/>
            <w:noWrap/>
            <w:vAlign w:val="center"/>
            <w:hideMark/>
          </w:tcPr>
          <w:p w14:paraId="77420B0C" w14:textId="77777777" w:rsidR="00320171" w:rsidRPr="00150194" w:rsidRDefault="00320171" w:rsidP="007C6EBC">
            <w:pPr>
              <w:pStyle w:val="TableText"/>
              <w:jc w:val="center"/>
              <w:rPr>
                <w:rFonts w:cs="Arial"/>
                <w:lang w:val="en-GB" w:eastAsia="en-GB"/>
              </w:rPr>
            </w:pPr>
            <w:r w:rsidRPr="00150194">
              <w:rPr>
                <w:rFonts w:cs="Arial"/>
                <w:lang w:val="en-GB" w:eastAsia="en-GB"/>
              </w:rPr>
              <w:t>100%</w:t>
            </w:r>
          </w:p>
        </w:tc>
      </w:tr>
      <w:tr w:rsidR="00320171" w:rsidRPr="00150194" w14:paraId="4A5BCB72" w14:textId="77777777" w:rsidTr="007C6EBC">
        <w:trPr>
          <w:trHeight w:val="170"/>
        </w:trPr>
        <w:tc>
          <w:tcPr>
            <w:tcW w:w="1263" w:type="pct"/>
            <w:tcBorders>
              <w:top w:val="nil"/>
              <w:left w:val="single" w:sz="4" w:space="0" w:color="auto"/>
              <w:bottom w:val="single" w:sz="4" w:space="0" w:color="auto"/>
              <w:right w:val="single" w:sz="4" w:space="0" w:color="auto"/>
            </w:tcBorders>
            <w:shd w:val="clear" w:color="auto" w:fill="auto"/>
            <w:noWrap/>
            <w:vAlign w:val="center"/>
            <w:hideMark/>
          </w:tcPr>
          <w:p w14:paraId="3A2637AF" w14:textId="77777777" w:rsidR="00320171" w:rsidRPr="00150194" w:rsidRDefault="00320171" w:rsidP="007C6EBC">
            <w:pPr>
              <w:pStyle w:val="TableText"/>
              <w:jc w:val="left"/>
              <w:rPr>
                <w:rFonts w:cs="Arial"/>
                <w:b/>
                <w:lang w:val="en-GB" w:eastAsia="en-GB"/>
              </w:rPr>
            </w:pPr>
            <w:r w:rsidRPr="00150194">
              <w:rPr>
                <w:rFonts w:cs="Arial"/>
                <w:b/>
                <w:i/>
                <w:lang w:val="en-GB" w:eastAsia="en-GB"/>
              </w:rPr>
              <w:t>BRCA</w:t>
            </w:r>
            <w:r w:rsidRPr="00150194">
              <w:rPr>
                <w:rFonts w:cs="Arial"/>
                <w:b/>
                <w:lang w:val="en-GB" w:eastAsia="en-GB"/>
              </w:rPr>
              <w:t>m</w:t>
            </w:r>
          </w:p>
        </w:tc>
        <w:tc>
          <w:tcPr>
            <w:tcW w:w="758" w:type="pct"/>
            <w:tcBorders>
              <w:left w:val="single" w:sz="4" w:space="0" w:color="auto"/>
            </w:tcBorders>
            <w:shd w:val="clear" w:color="auto" w:fill="auto"/>
            <w:noWrap/>
            <w:vAlign w:val="center"/>
            <w:hideMark/>
          </w:tcPr>
          <w:p w14:paraId="6733008D" w14:textId="77777777" w:rsidR="00320171" w:rsidRPr="00150194" w:rsidRDefault="00320171" w:rsidP="007C6EBC">
            <w:pPr>
              <w:pStyle w:val="TableText"/>
              <w:jc w:val="left"/>
              <w:rPr>
                <w:rFonts w:cs="Arial"/>
                <w:lang w:val="en-GB" w:eastAsia="en-GB"/>
              </w:rPr>
            </w:pPr>
            <w:r w:rsidRPr="00150194">
              <w:rPr>
                <w:rFonts w:cs="Arial"/>
                <w:lang w:val="en-GB" w:eastAsia="en-GB"/>
              </w:rPr>
              <w:t>Negative</w:t>
            </w:r>
          </w:p>
        </w:tc>
        <w:tc>
          <w:tcPr>
            <w:tcW w:w="846" w:type="pct"/>
            <w:shd w:val="clear" w:color="auto" w:fill="auto"/>
            <w:noWrap/>
            <w:vAlign w:val="center"/>
            <w:hideMark/>
          </w:tcPr>
          <w:p w14:paraId="2AA9021B" w14:textId="77777777" w:rsidR="00320171" w:rsidRPr="00150194" w:rsidRDefault="00320171" w:rsidP="007C6EBC">
            <w:pPr>
              <w:pStyle w:val="TableText"/>
              <w:jc w:val="center"/>
              <w:rPr>
                <w:rFonts w:cs="Arial"/>
                <w:lang w:val="en-GB" w:eastAsia="en-GB"/>
              </w:rPr>
            </w:pPr>
            <w:r w:rsidRPr="00150194">
              <w:rPr>
                <w:rFonts w:cs="Arial"/>
                <w:lang w:val="en-GB" w:eastAsia="en-GB"/>
              </w:rPr>
              <w:t>3</w:t>
            </w:r>
          </w:p>
        </w:tc>
        <w:tc>
          <w:tcPr>
            <w:tcW w:w="837" w:type="pct"/>
            <w:shd w:val="clear" w:color="auto" w:fill="auto"/>
            <w:noWrap/>
            <w:vAlign w:val="center"/>
            <w:hideMark/>
          </w:tcPr>
          <w:p w14:paraId="30C29A54" w14:textId="77777777" w:rsidR="00320171" w:rsidRPr="00150194" w:rsidRDefault="00320171" w:rsidP="007C6EBC">
            <w:pPr>
              <w:pStyle w:val="TableText"/>
              <w:jc w:val="center"/>
              <w:rPr>
                <w:rFonts w:cs="Arial"/>
                <w:lang w:val="en-GB" w:eastAsia="en-GB"/>
              </w:rPr>
            </w:pPr>
            <w:r w:rsidRPr="00150194">
              <w:rPr>
                <w:rFonts w:cs="Arial"/>
                <w:lang w:val="en-GB" w:eastAsia="en-GB"/>
              </w:rPr>
              <w:t>95</w:t>
            </w:r>
          </w:p>
        </w:tc>
        <w:tc>
          <w:tcPr>
            <w:tcW w:w="673" w:type="pct"/>
            <w:shd w:val="clear" w:color="auto" w:fill="auto"/>
            <w:noWrap/>
            <w:vAlign w:val="center"/>
            <w:hideMark/>
          </w:tcPr>
          <w:p w14:paraId="34A75E29" w14:textId="77777777" w:rsidR="00320171" w:rsidRPr="00150194" w:rsidRDefault="00320171" w:rsidP="007C6EBC">
            <w:pPr>
              <w:pStyle w:val="TableText"/>
              <w:jc w:val="center"/>
              <w:rPr>
                <w:rFonts w:cs="Arial"/>
                <w:lang w:val="en-GB" w:eastAsia="en-GB"/>
              </w:rPr>
            </w:pPr>
            <w:r w:rsidRPr="00150194">
              <w:rPr>
                <w:rFonts w:cs="Arial"/>
                <w:lang w:val="en-GB" w:eastAsia="en-GB"/>
              </w:rPr>
              <w:t>─</w:t>
            </w:r>
          </w:p>
        </w:tc>
        <w:tc>
          <w:tcPr>
            <w:tcW w:w="623" w:type="pct"/>
            <w:shd w:val="clear" w:color="auto" w:fill="auto"/>
            <w:noWrap/>
            <w:vAlign w:val="center"/>
            <w:hideMark/>
          </w:tcPr>
          <w:p w14:paraId="13D415FA" w14:textId="77777777" w:rsidR="00320171" w:rsidRPr="00150194" w:rsidRDefault="00320171" w:rsidP="007C6EBC">
            <w:pPr>
              <w:pStyle w:val="TableText"/>
              <w:jc w:val="center"/>
              <w:rPr>
                <w:rFonts w:cs="Arial"/>
                <w:lang w:val="en-GB" w:eastAsia="en-GB"/>
              </w:rPr>
            </w:pPr>
            <w:r w:rsidRPr="00150194">
              <w:rPr>
                <w:rFonts w:cs="Arial"/>
                <w:lang w:val="en-GB" w:eastAsia="en-GB"/>
              </w:rPr>
              <w:t>─</w:t>
            </w:r>
          </w:p>
        </w:tc>
      </w:tr>
    </w:tbl>
    <w:p w14:paraId="3E98B406" w14:textId="77777777" w:rsidR="00320171" w:rsidRPr="00150194" w:rsidRDefault="00320171" w:rsidP="00320171">
      <w:pPr>
        <w:pStyle w:val="TableFooter"/>
      </w:pPr>
      <w:r w:rsidRPr="00150194">
        <w:t>Source: compiled during evaluation</w:t>
      </w:r>
    </w:p>
    <w:p w14:paraId="033F1B55" w14:textId="77777777" w:rsidR="00320171" w:rsidRPr="00150194" w:rsidRDefault="00320171" w:rsidP="00320171">
      <w:pPr>
        <w:pStyle w:val="TableFooter"/>
      </w:pPr>
      <w:r w:rsidRPr="00150194">
        <w:rPr>
          <w:i/>
        </w:rPr>
        <w:t>BRCA</w:t>
      </w:r>
      <w:r w:rsidRPr="00150194">
        <w:t xml:space="preserve">m = </w:t>
      </w:r>
      <w:r w:rsidRPr="00150194">
        <w:rPr>
          <w:i/>
        </w:rPr>
        <w:t>BRCA1</w:t>
      </w:r>
      <w:r w:rsidRPr="00150194">
        <w:t xml:space="preserve"> or </w:t>
      </w:r>
      <w:r w:rsidRPr="00150194">
        <w:rPr>
          <w:i/>
        </w:rPr>
        <w:t>BRCA2</w:t>
      </w:r>
      <w:r w:rsidRPr="00150194">
        <w:t xml:space="preserve"> mutation</w:t>
      </w:r>
    </w:p>
    <w:p w14:paraId="2708347E" w14:textId="77777777" w:rsidR="00320171" w:rsidRPr="00150194" w:rsidRDefault="00320171" w:rsidP="00320171">
      <w:pPr>
        <w:pStyle w:val="TableFooter"/>
      </w:pPr>
      <w:r w:rsidRPr="00150194">
        <w:t>Note that patients with missing values for the predicted test were excluded from the calculations.</w:t>
      </w:r>
    </w:p>
    <w:p w14:paraId="29699C71" w14:textId="77777777" w:rsidR="001105B6" w:rsidRDefault="001105B6" w:rsidP="00320171">
      <w:pPr>
        <w:rPr>
          <w:szCs w:val="24"/>
        </w:rPr>
      </w:pPr>
    </w:p>
    <w:p w14:paraId="2817972F" w14:textId="4F10FDDA" w:rsidR="00320171" w:rsidRPr="00320171" w:rsidRDefault="00320171" w:rsidP="00320171">
      <w:pPr>
        <w:rPr>
          <w:szCs w:val="24"/>
        </w:rPr>
      </w:pPr>
      <w:r w:rsidRPr="00320171">
        <w:rPr>
          <w:szCs w:val="24"/>
        </w:rPr>
        <w:t xml:space="preserve">In the economic evaluation, the submission assumed 100% sensitivity and 100% specificity for (germline or tumour line) </w:t>
      </w:r>
      <w:r w:rsidRPr="00306933">
        <w:rPr>
          <w:i/>
          <w:szCs w:val="24"/>
        </w:rPr>
        <w:t>BRCA</w:t>
      </w:r>
      <w:r w:rsidRPr="00320171">
        <w:rPr>
          <w:szCs w:val="24"/>
        </w:rPr>
        <w:t>m testing in the baseline model. This might not be appropriate, as described below</w:t>
      </w:r>
      <w:r w:rsidR="003F3678">
        <w:rPr>
          <w:szCs w:val="24"/>
        </w:rPr>
        <w:t>,</w:t>
      </w:r>
      <w:r w:rsidRPr="00320171">
        <w:rPr>
          <w:szCs w:val="24"/>
        </w:rPr>
        <w:t xml:space="preserve"> due to:</w:t>
      </w:r>
    </w:p>
    <w:p w14:paraId="2C0F9B47" w14:textId="77777777" w:rsidR="00320171" w:rsidRPr="00320171" w:rsidRDefault="00320171" w:rsidP="00320171">
      <w:pPr>
        <w:pStyle w:val="ListParagraph"/>
        <w:numPr>
          <w:ilvl w:val="0"/>
          <w:numId w:val="27"/>
        </w:numPr>
        <w:ind w:left="567"/>
        <w:jc w:val="both"/>
        <w:rPr>
          <w:szCs w:val="24"/>
        </w:rPr>
      </w:pPr>
      <w:r w:rsidRPr="00320171">
        <w:rPr>
          <w:szCs w:val="24"/>
        </w:rPr>
        <w:t>uncertainty with the applicability of the germline test from different populations to the proposed population;</w:t>
      </w:r>
    </w:p>
    <w:p w14:paraId="6DC4B06B" w14:textId="77777777" w:rsidR="00320171" w:rsidRPr="00320171" w:rsidRDefault="00320171" w:rsidP="00320171">
      <w:pPr>
        <w:pStyle w:val="ListParagraph"/>
        <w:numPr>
          <w:ilvl w:val="0"/>
          <w:numId w:val="27"/>
        </w:numPr>
        <w:ind w:left="567"/>
        <w:jc w:val="both"/>
        <w:rPr>
          <w:szCs w:val="24"/>
        </w:rPr>
      </w:pPr>
      <w:r w:rsidRPr="00320171">
        <w:rPr>
          <w:szCs w:val="24"/>
        </w:rPr>
        <w:t>the lack of information on the specificity and sensitivity of tumour line testing;</w:t>
      </w:r>
    </w:p>
    <w:p w14:paraId="2DB0F537" w14:textId="77777777" w:rsidR="00320171" w:rsidRPr="00320171" w:rsidRDefault="00320171" w:rsidP="00320171">
      <w:pPr>
        <w:pStyle w:val="ListParagraph"/>
        <w:numPr>
          <w:ilvl w:val="0"/>
          <w:numId w:val="27"/>
        </w:numPr>
        <w:ind w:left="567"/>
        <w:jc w:val="both"/>
        <w:rPr>
          <w:szCs w:val="24"/>
        </w:rPr>
      </w:pPr>
      <w:r w:rsidRPr="00320171">
        <w:rPr>
          <w:szCs w:val="24"/>
        </w:rPr>
        <w:t xml:space="preserve">the additional identification of </w:t>
      </w:r>
      <w:r w:rsidRPr="00306933">
        <w:rPr>
          <w:i/>
          <w:szCs w:val="24"/>
        </w:rPr>
        <w:t>BRCA</w:t>
      </w:r>
      <w:r w:rsidRPr="00320171">
        <w:rPr>
          <w:szCs w:val="24"/>
        </w:rPr>
        <w:t xml:space="preserve"> mutations using tumour line testing in Study 19; and</w:t>
      </w:r>
    </w:p>
    <w:p w14:paraId="78BC1645" w14:textId="77777777" w:rsidR="00320171" w:rsidRPr="00320171" w:rsidRDefault="00320171" w:rsidP="00320171">
      <w:pPr>
        <w:pStyle w:val="ListParagraph"/>
        <w:numPr>
          <w:ilvl w:val="0"/>
          <w:numId w:val="27"/>
        </w:numPr>
        <w:ind w:left="567"/>
        <w:jc w:val="both"/>
        <w:rPr>
          <w:szCs w:val="24"/>
        </w:rPr>
      </w:pPr>
      <w:r w:rsidRPr="00320171">
        <w:rPr>
          <w:szCs w:val="24"/>
        </w:rPr>
        <w:t>the potential need for additional biopsies for retesting of tumour line.</w:t>
      </w:r>
    </w:p>
    <w:p w14:paraId="53A37723" w14:textId="77777777" w:rsidR="001105B6" w:rsidRDefault="001105B6" w:rsidP="00320171">
      <w:pPr>
        <w:rPr>
          <w:szCs w:val="24"/>
        </w:rPr>
      </w:pPr>
    </w:p>
    <w:p w14:paraId="792B0379" w14:textId="7E7A9DB7" w:rsidR="00320171" w:rsidRDefault="00197391" w:rsidP="00320171">
      <w:pPr>
        <w:rPr>
          <w:szCs w:val="24"/>
        </w:rPr>
      </w:pPr>
      <w:r>
        <w:rPr>
          <w:szCs w:val="24"/>
        </w:rPr>
        <w:t>MSAC noted t</w:t>
      </w:r>
      <w:r w:rsidR="00320171" w:rsidRPr="007C6EBC">
        <w:rPr>
          <w:szCs w:val="24"/>
        </w:rPr>
        <w:t xml:space="preserve">he </w:t>
      </w:r>
      <w:r w:rsidR="00306933">
        <w:rPr>
          <w:szCs w:val="24"/>
        </w:rPr>
        <w:t xml:space="preserve">joint </w:t>
      </w:r>
      <w:r w:rsidR="00320171" w:rsidRPr="007C6EBC">
        <w:rPr>
          <w:szCs w:val="24"/>
        </w:rPr>
        <w:t xml:space="preserve">ESCs </w:t>
      </w:r>
      <w:r>
        <w:rPr>
          <w:szCs w:val="24"/>
        </w:rPr>
        <w:t>advice</w:t>
      </w:r>
      <w:r w:rsidR="00320171" w:rsidRPr="007C6EBC">
        <w:rPr>
          <w:szCs w:val="24"/>
        </w:rPr>
        <w:t xml:space="preserve"> that sequencing testing is more complex than simple antibody testing, requiring the development of pathology expertise. For example, an important parameter for analytical test performance (both analytical validity and analytical reliability) is the “read depth”, measured as the number of reads of the sequencing results to be confident in the conclusions drawn. It also involves interacting with software used for alignment of sequences, and judging what constitutes a mutation versus a polymorphism of unknown significance. This complexity raises questions for MSAC over whether </w:t>
      </w:r>
      <w:r w:rsidR="009E45AA">
        <w:rPr>
          <w:szCs w:val="24"/>
        </w:rPr>
        <w:t xml:space="preserve">consistent and reproducible standards for this type of testing are established and assessable. </w:t>
      </w:r>
      <w:r w:rsidR="00320171" w:rsidRPr="007C6EBC">
        <w:rPr>
          <w:szCs w:val="24"/>
        </w:rPr>
        <w:t xml:space="preserve">This is particularly a concern </w:t>
      </w:r>
      <w:r w:rsidR="00AE2319">
        <w:rPr>
          <w:szCs w:val="24"/>
        </w:rPr>
        <w:t>in relation to</w:t>
      </w:r>
      <w:r w:rsidR="00AE2319" w:rsidRPr="007C6EBC">
        <w:rPr>
          <w:szCs w:val="24"/>
        </w:rPr>
        <w:t xml:space="preserve"> </w:t>
      </w:r>
      <w:r w:rsidR="00320171" w:rsidRPr="007C6EBC">
        <w:rPr>
          <w:szCs w:val="24"/>
        </w:rPr>
        <w:t>sequencing of tumour DNA, which is far less standardised than testing for germline mutations. In addition, unlike testing for germline mutations, sequencing of tumour DNA may need to be performed more than once in a patient’s lifetime.</w:t>
      </w:r>
    </w:p>
    <w:p w14:paraId="411E5C9F" w14:textId="77777777" w:rsidR="001105B6" w:rsidRPr="007C6EBC" w:rsidRDefault="001105B6" w:rsidP="00320171">
      <w:pPr>
        <w:rPr>
          <w:szCs w:val="24"/>
        </w:rPr>
      </w:pPr>
    </w:p>
    <w:p w14:paraId="31C475C0" w14:textId="77777777" w:rsidR="00320171" w:rsidRPr="00B60D44" w:rsidRDefault="00320171" w:rsidP="00B60D44">
      <w:pPr>
        <w:pStyle w:val="Heading3"/>
        <w:spacing w:before="0"/>
        <w:rPr>
          <w:rFonts w:ascii="Times New Roman" w:hAnsi="Times New Roman" w:cs="Times New Roman"/>
          <w:b w:val="0"/>
          <w:color w:val="auto"/>
          <w:szCs w:val="24"/>
          <w:u w:val="single"/>
        </w:rPr>
      </w:pPr>
      <w:r w:rsidRPr="00B60D44">
        <w:rPr>
          <w:rFonts w:ascii="Times New Roman" w:hAnsi="Times New Roman" w:cs="Times New Roman"/>
          <w:b w:val="0"/>
          <w:color w:val="auto"/>
          <w:szCs w:val="24"/>
          <w:u w:val="single"/>
        </w:rPr>
        <w:t>Prevalence</w:t>
      </w:r>
    </w:p>
    <w:p w14:paraId="58E60458" w14:textId="26934394" w:rsidR="00320171" w:rsidRPr="00B60D44" w:rsidRDefault="00320171" w:rsidP="00B60D44">
      <w:pPr>
        <w:rPr>
          <w:szCs w:val="24"/>
        </w:rPr>
      </w:pPr>
      <w:r w:rsidRPr="00B60D44">
        <w:rPr>
          <w:szCs w:val="24"/>
        </w:rPr>
        <w:t xml:space="preserve">The submission stated that, as the patients enrolled in Study 19 were representative of the proposed population for </w:t>
      </w:r>
      <w:r w:rsidRPr="00B60D44">
        <w:rPr>
          <w:i/>
          <w:szCs w:val="24"/>
        </w:rPr>
        <w:t>BRCA</w:t>
      </w:r>
      <w:r w:rsidRPr="00B60D44">
        <w:rPr>
          <w:szCs w:val="24"/>
        </w:rPr>
        <w:t xml:space="preserve">m testing and olaparib in Australia, the estimate of 136/254 = </w:t>
      </w:r>
      <w:r w:rsidRPr="00B60D44">
        <w:rPr>
          <w:szCs w:val="24"/>
        </w:rPr>
        <w:lastRenderedPageBreak/>
        <w:t xml:space="preserve">53.5% prevalence was appropriate. This estimate is appropriate for patients who receive both germline and tumour </w:t>
      </w:r>
      <w:r w:rsidRPr="00B60D44">
        <w:rPr>
          <w:i/>
          <w:szCs w:val="24"/>
        </w:rPr>
        <w:t>BRCA</w:t>
      </w:r>
      <w:r w:rsidRPr="00B60D44">
        <w:rPr>
          <w:szCs w:val="24"/>
        </w:rPr>
        <w:t xml:space="preserve"> testing. If patients only receive germline </w:t>
      </w:r>
      <w:r w:rsidRPr="00B60D44">
        <w:rPr>
          <w:i/>
          <w:szCs w:val="24"/>
        </w:rPr>
        <w:t>BRCA</w:t>
      </w:r>
      <w:r w:rsidRPr="00B60D44">
        <w:rPr>
          <w:szCs w:val="24"/>
        </w:rPr>
        <w:t>m testing, the estimate of prevalence could be lower. This was investigated in the financial estimates.</w:t>
      </w:r>
    </w:p>
    <w:p w14:paraId="0B417A4A" w14:textId="77777777" w:rsidR="00320171" w:rsidRPr="00B60D44" w:rsidRDefault="00320171" w:rsidP="00320171">
      <w:pPr>
        <w:pStyle w:val="Heading2"/>
        <w:rPr>
          <w:rFonts w:ascii="Times New Roman" w:hAnsi="Times New Roman" w:cs="Times New Roman"/>
          <w:b w:val="0"/>
          <w:color w:val="auto"/>
          <w:sz w:val="24"/>
          <w:szCs w:val="24"/>
          <w:u w:val="single"/>
        </w:rPr>
      </w:pPr>
      <w:bookmarkStart w:id="4" w:name="_Toc439845554"/>
      <w:r w:rsidRPr="00B60D44">
        <w:rPr>
          <w:rFonts w:ascii="Times New Roman" w:hAnsi="Times New Roman" w:cs="Times New Roman"/>
          <w:b w:val="0"/>
          <w:color w:val="auto"/>
          <w:sz w:val="24"/>
          <w:szCs w:val="24"/>
          <w:u w:val="single"/>
        </w:rPr>
        <w:t>Clinical claim and therapeutic relativity</w:t>
      </w:r>
      <w:bookmarkEnd w:id="4"/>
    </w:p>
    <w:p w14:paraId="69FD25F2" w14:textId="77777777" w:rsidR="00320171" w:rsidRPr="00B60D44" w:rsidRDefault="00320171" w:rsidP="00320171">
      <w:pPr>
        <w:rPr>
          <w:szCs w:val="24"/>
        </w:rPr>
      </w:pPr>
      <w:r w:rsidRPr="00B60D44">
        <w:rPr>
          <w:szCs w:val="24"/>
        </w:rPr>
        <w:t xml:space="preserve">The submission stated that there was strong evidence of the </w:t>
      </w:r>
      <w:r w:rsidRPr="00B60D44">
        <w:rPr>
          <w:i/>
          <w:szCs w:val="24"/>
        </w:rPr>
        <w:t>BRCA</w:t>
      </w:r>
      <w:r w:rsidRPr="00B60D44">
        <w:rPr>
          <w:szCs w:val="24"/>
        </w:rPr>
        <w:t>m test to support diagnostic accuracy, reliability and clinical validity.</w:t>
      </w:r>
    </w:p>
    <w:p w14:paraId="2FA5B68B" w14:textId="77777777" w:rsidR="00320171" w:rsidRPr="00B60D44" w:rsidRDefault="00320171" w:rsidP="00320171">
      <w:pPr>
        <w:rPr>
          <w:szCs w:val="24"/>
        </w:rPr>
      </w:pPr>
    </w:p>
    <w:p w14:paraId="0358AF1E" w14:textId="77777777" w:rsidR="00B60D44" w:rsidRPr="00B60D44" w:rsidRDefault="00B60D44" w:rsidP="007C6EBC">
      <w:pPr>
        <w:rPr>
          <w:szCs w:val="24"/>
        </w:rPr>
      </w:pPr>
      <w:r w:rsidRPr="00B60D44">
        <w:rPr>
          <w:szCs w:val="24"/>
        </w:rPr>
        <w:t xml:space="preserve">The claim that the next-generation sequencing based </w:t>
      </w:r>
      <w:r w:rsidRPr="00B60D44">
        <w:rPr>
          <w:i/>
          <w:szCs w:val="24"/>
        </w:rPr>
        <w:t>BRCA</w:t>
      </w:r>
      <w:r w:rsidRPr="00B60D44">
        <w:rPr>
          <w:szCs w:val="24"/>
        </w:rPr>
        <w:t>m test would correctly identify all platinum-sensitive resistant ovarian cancer patients might not be valid because of:</w:t>
      </w:r>
    </w:p>
    <w:p w14:paraId="7C42C359" w14:textId="77777777" w:rsidR="00B60D44" w:rsidRPr="00B60D44" w:rsidRDefault="00B60D44" w:rsidP="007C6EBC">
      <w:pPr>
        <w:pStyle w:val="ListParagraph"/>
        <w:numPr>
          <w:ilvl w:val="0"/>
          <w:numId w:val="27"/>
        </w:numPr>
        <w:ind w:left="567"/>
        <w:rPr>
          <w:szCs w:val="24"/>
        </w:rPr>
      </w:pPr>
      <w:r w:rsidRPr="00B60D44">
        <w:rPr>
          <w:szCs w:val="24"/>
        </w:rPr>
        <w:t>the uncertainty with the applicability of the germline test from different study populations to the proposed population;</w:t>
      </w:r>
    </w:p>
    <w:p w14:paraId="284D290A" w14:textId="77777777" w:rsidR="00B60D44" w:rsidRPr="00B60D44" w:rsidRDefault="00B60D44" w:rsidP="007C6EBC">
      <w:pPr>
        <w:pStyle w:val="ListParagraph"/>
        <w:numPr>
          <w:ilvl w:val="0"/>
          <w:numId w:val="27"/>
        </w:numPr>
        <w:ind w:left="567"/>
        <w:rPr>
          <w:szCs w:val="24"/>
        </w:rPr>
      </w:pPr>
      <w:r w:rsidRPr="00B60D44">
        <w:rPr>
          <w:szCs w:val="24"/>
        </w:rPr>
        <w:t xml:space="preserve">the lack of information on tumour </w:t>
      </w:r>
      <w:r w:rsidRPr="00B60D44">
        <w:rPr>
          <w:i/>
          <w:szCs w:val="24"/>
        </w:rPr>
        <w:t>BRCA</w:t>
      </w:r>
      <w:r w:rsidRPr="00B60D44">
        <w:rPr>
          <w:szCs w:val="24"/>
        </w:rPr>
        <w:t>m testing in Australia (i.e., extraction of tumour sample), and test-retest reliability for tumour testing. Therefore it was unknown what the specificity and sensitivity of tumour line testing would be;</w:t>
      </w:r>
    </w:p>
    <w:p w14:paraId="332C3A47" w14:textId="77777777" w:rsidR="00B60D44" w:rsidRPr="00B60D44" w:rsidRDefault="00B60D44" w:rsidP="007C6EBC">
      <w:pPr>
        <w:pStyle w:val="ListParagraph"/>
        <w:numPr>
          <w:ilvl w:val="0"/>
          <w:numId w:val="27"/>
        </w:numPr>
        <w:ind w:left="567"/>
        <w:rPr>
          <w:szCs w:val="24"/>
        </w:rPr>
      </w:pPr>
      <w:r w:rsidRPr="00B60D44">
        <w:rPr>
          <w:szCs w:val="24"/>
        </w:rPr>
        <w:t xml:space="preserve">the additional identification of </w:t>
      </w:r>
      <w:r w:rsidRPr="00B60D44">
        <w:rPr>
          <w:i/>
          <w:szCs w:val="24"/>
        </w:rPr>
        <w:t>BRCA</w:t>
      </w:r>
      <w:r w:rsidRPr="00B60D44">
        <w:rPr>
          <w:szCs w:val="24"/>
        </w:rPr>
        <w:t xml:space="preserve"> mutations using tumour line testing in Study 19. This might indicate that more than one test per patient might be required, that is, a patient with a negative germline </w:t>
      </w:r>
      <w:r w:rsidRPr="00B60D44">
        <w:rPr>
          <w:i/>
          <w:szCs w:val="24"/>
        </w:rPr>
        <w:t>BRCA</w:t>
      </w:r>
      <w:r w:rsidRPr="00B60D44">
        <w:rPr>
          <w:szCs w:val="24"/>
        </w:rPr>
        <w:t xml:space="preserve">m test might also be provided with tumour </w:t>
      </w:r>
      <w:r w:rsidRPr="00B60D44">
        <w:rPr>
          <w:i/>
          <w:szCs w:val="24"/>
        </w:rPr>
        <w:t>BRCA</w:t>
      </w:r>
      <w:r w:rsidRPr="00B60D44">
        <w:rPr>
          <w:szCs w:val="24"/>
        </w:rPr>
        <w:t>m testing; and</w:t>
      </w:r>
    </w:p>
    <w:p w14:paraId="42C480DF" w14:textId="77777777" w:rsidR="00B60D44" w:rsidRPr="00B60D44" w:rsidRDefault="00B60D44" w:rsidP="007C6EBC">
      <w:pPr>
        <w:pStyle w:val="ListParagraph"/>
        <w:numPr>
          <w:ilvl w:val="0"/>
          <w:numId w:val="27"/>
        </w:numPr>
        <w:ind w:left="567"/>
        <w:rPr>
          <w:szCs w:val="24"/>
        </w:rPr>
      </w:pPr>
      <w:r w:rsidRPr="00B60D44">
        <w:rPr>
          <w:szCs w:val="24"/>
        </w:rPr>
        <w:t xml:space="preserve">the potential need for additional biopsies for re-testing of tumour line, with its associated harm. This retesting might be due as 16% of </w:t>
      </w:r>
      <w:r w:rsidRPr="00B60D44">
        <w:rPr>
          <w:i/>
          <w:szCs w:val="24"/>
        </w:rPr>
        <w:t>BRCA</w:t>
      </w:r>
      <w:r w:rsidRPr="00B60D44">
        <w:rPr>
          <w:szCs w:val="24"/>
        </w:rPr>
        <w:t xml:space="preserve"> mutations occur alone in the tumour, separate of the germline. Another reason might be due to an insufficient tumour sample or DNA degradation of archived tumour samples.</w:t>
      </w:r>
    </w:p>
    <w:p w14:paraId="0790C501" w14:textId="77777777" w:rsidR="00B60D44" w:rsidRPr="00B60D44" w:rsidRDefault="00B60D44" w:rsidP="00B60D44">
      <w:pPr>
        <w:pStyle w:val="Heading2"/>
        <w:rPr>
          <w:rFonts w:ascii="Times New Roman" w:hAnsi="Times New Roman" w:cs="Times New Roman"/>
          <w:b w:val="0"/>
          <w:color w:val="auto"/>
          <w:sz w:val="24"/>
          <w:szCs w:val="24"/>
          <w:u w:val="single"/>
        </w:rPr>
      </w:pPr>
      <w:r w:rsidRPr="00B60D44">
        <w:rPr>
          <w:rFonts w:ascii="Times New Roman" w:hAnsi="Times New Roman" w:cs="Times New Roman"/>
          <w:b w:val="0"/>
          <w:color w:val="auto"/>
          <w:sz w:val="24"/>
          <w:szCs w:val="24"/>
          <w:u w:val="single"/>
        </w:rPr>
        <w:t>Claim of co-dependence</w:t>
      </w:r>
    </w:p>
    <w:p w14:paraId="57E2709B" w14:textId="77777777" w:rsidR="00B60D44" w:rsidRPr="00B60D44" w:rsidRDefault="00B60D44" w:rsidP="00B60D44">
      <w:pPr>
        <w:rPr>
          <w:szCs w:val="24"/>
        </w:rPr>
      </w:pPr>
      <w:r w:rsidRPr="00B60D44">
        <w:rPr>
          <w:szCs w:val="24"/>
        </w:rPr>
        <w:t>The submission claimed the co-dependent technologies ‘</w:t>
      </w:r>
      <w:r w:rsidRPr="00B60D44">
        <w:rPr>
          <w:i/>
          <w:szCs w:val="24"/>
        </w:rPr>
        <w:t>BRCA</w:t>
      </w:r>
      <w:r w:rsidRPr="00B60D44">
        <w:rPr>
          <w:szCs w:val="24"/>
        </w:rPr>
        <w:t xml:space="preserve"> testing and olaparib’ to be superior to ‘No </w:t>
      </w:r>
      <w:r w:rsidRPr="00B60D44">
        <w:rPr>
          <w:i/>
          <w:szCs w:val="24"/>
        </w:rPr>
        <w:t>BRCA</w:t>
      </w:r>
      <w:r w:rsidRPr="00B60D44">
        <w:rPr>
          <w:szCs w:val="24"/>
        </w:rPr>
        <w:t xml:space="preserve"> testing and standard follow-up care’.</w:t>
      </w:r>
    </w:p>
    <w:p w14:paraId="2506E1D2" w14:textId="77777777" w:rsidR="00B60D44" w:rsidRPr="00B60D44" w:rsidRDefault="00B60D44" w:rsidP="00B60D44">
      <w:pPr>
        <w:rPr>
          <w:szCs w:val="24"/>
        </w:rPr>
      </w:pPr>
    </w:p>
    <w:p w14:paraId="14120444" w14:textId="410175C2" w:rsidR="00B60D44" w:rsidRPr="00B60D44" w:rsidRDefault="00B60D44" w:rsidP="007C6EBC">
      <w:pPr>
        <w:rPr>
          <w:szCs w:val="24"/>
        </w:rPr>
      </w:pPr>
      <w:r w:rsidRPr="00B60D44">
        <w:rPr>
          <w:szCs w:val="24"/>
        </w:rPr>
        <w:t xml:space="preserve">The submission did not provide a detailed comparison of these two scenarios, rather it focussed on the comparison of the effectiveness of olaparib in patients with </w:t>
      </w:r>
      <w:r w:rsidRPr="00B60D44">
        <w:rPr>
          <w:i/>
          <w:szCs w:val="24"/>
        </w:rPr>
        <w:t>BRCA</w:t>
      </w:r>
      <w:r w:rsidRPr="00B60D44">
        <w:rPr>
          <w:szCs w:val="24"/>
        </w:rPr>
        <w:t xml:space="preserve">m. The claim of co-dependence between the technologies of </w:t>
      </w:r>
      <w:r w:rsidRPr="00B60D44">
        <w:rPr>
          <w:i/>
          <w:szCs w:val="24"/>
        </w:rPr>
        <w:t>BRCA</w:t>
      </w:r>
      <w:r w:rsidRPr="00B60D44">
        <w:rPr>
          <w:szCs w:val="24"/>
        </w:rPr>
        <w:t xml:space="preserve"> testing and olaparib relies on an acceptance that </w:t>
      </w:r>
      <w:r w:rsidRPr="00B60D44">
        <w:rPr>
          <w:i/>
          <w:szCs w:val="24"/>
        </w:rPr>
        <w:t>BRCA</w:t>
      </w:r>
      <w:r w:rsidRPr="00B60D44">
        <w:rPr>
          <w:szCs w:val="24"/>
        </w:rPr>
        <w:t xml:space="preserve"> testing predicts an important variation between </w:t>
      </w:r>
      <w:r w:rsidRPr="00B60D44">
        <w:rPr>
          <w:i/>
          <w:szCs w:val="24"/>
        </w:rPr>
        <w:t>BRCA</w:t>
      </w:r>
      <w:r w:rsidRPr="00B60D44">
        <w:rPr>
          <w:szCs w:val="24"/>
        </w:rPr>
        <w:t xml:space="preserve">m and </w:t>
      </w:r>
      <w:r w:rsidR="007110BF">
        <w:rPr>
          <w:szCs w:val="24"/>
        </w:rPr>
        <w:t>non-</w:t>
      </w:r>
      <w:r w:rsidRPr="00B60D44">
        <w:rPr>
          <w:i/>
          <w:szCs w:val="24"/>
        </w:rPr>
        <w:t>BRCA</w:t>
      </w:r>
      <w:r w:rsidR="007110BF">
        <w:rPr>
          <w:szCs w:val="24"/>
        </w:rPr>
        <w:t>m</w:t>
      </w:r>
      <w:r w:rsidRPr="00B60D44">
        <w:rPr>
          <w:szCs w:val="24"/>
        </w:rPr>
        <w:t xml:space="preserve"> patients in the effectiveness of olaparib, and that this is distinguishable from the prognostic value of </w:t>
      </w:r>
      <w:r w:rsidRPr="00B60D44">
        <w:rPr>
          <w:i/>
          <w:szCs w:val="24"/>
        </w:rPr>
        <w:t>BRCA</w:t>
      </w:r>
      <w:r w:rsidRPr="00B60D44">
        <w:rPr>
          <w:szCs w:val="24"/>
        </w:rPr>
        <w:t xml:space="preserve"> testing. This claim might not be reasonable in the Australian setting as the key issues were:</w:t>
      </w:r>
    </w:p>
    <w:p w14:paraId="123A696A" w14:textId="5D742561" w:rsidR="00B60D44" w:rsidRPr="00B60D44" w:rsidRDefault="00B60D44" w:rsidP="007C6EBC">
      <w:pPr>
        <w:pStyle w:val="ListParagraph"/>
        <w:numPr>
          <w:ilvl w:val="0"/>
          <w:numId w:val="27"/>
        </w:numPr>
        <w:ind w:left="567"/>
        <w:rPr>
          <w:szCs w:val="24"/>
        </w:rPr>
      </w:pPr>
      <w:r w:rsidRPr="00B60D44">
        <w:rPr>
          <w:szCs w:val="24"/>
        </w:rPr>
        <w:t xml:space="preserve">The sensitivity and specificity of the tumour </w:t>
      </w:r>
      <w:r w:rsidRPr="00B60D44">
        <w:rPr>
          <w:i/>
          <w:szCs w:val="24"/>
        </w:rPr>
        <w:t>BRCA</w:t>
      </w:r>
      <w:r w:rsidRPr="00B60D44">
        <w:rPr>
          <w:szCs w:val="24"/>
        </w:rPr>
        <w:t xml:space="preserve"> testing might be lower than 100% in the Australian setting:</w:t>
      </w:r>
    </w:p>
    <w:p w14:paraId="65EAD0A3" w14:textId="700F6C1D" w:rsidR="00B60D44" w:rsidRPr="00B60D44" w:rsidRDefault="00B60D44" w:rsidP="007C6EBC">
      <w:pPr>
        <w:pStyle w:val="ListParagraph"/>
        <w:numPr>
          <w:ilvl w:val="1"/>
          <w:numId w:val="28"/>
        </w:numPr>
        <w:ind w:left="993"/>
        <w:rPr>
          <w:szCs w:val="24"/>
        </w:rPr>
      </w:pPr>
      <w:r w:rsidRPr="00B60D44">
        <w:rPr>
          <w:szCs w:val="24"/>
        </w:rPr>
        <w:t xml:space="preserve">If the specificity would be less than 100%, olaparib treatment might be less effective with regards to progression-free survival, as the efficacy was lower in patients with </w:t>
      </w:r>
      <w:r w:rsidR="00E61ECA">
        <w:rPr>
          <w:szCs w:val="24"/>
        </w:rPr>
        <w:t>non-</w:t>
      </w:r>
      <w:r w:rsidR="00E61ECA" w:rsidRPr="00B60D44">
        <w:rPr>
          <w:i/>
          <w:szCs w:val="24"/>
        </w:rPr>
        <w:t>BRCA</w:t>
      </w:r>
      <w:r w:rsidR="00E61ECA">
        <w:rPr>
          <w:szCs w:val="24"/>
        </w:rPr>
        <w:t>m</w:t>
      </w:r>
      <w:r w:rsidR="00E61ECA" w:rsidRPr="00B60D44">
        <w:rPr>
          <w:szCs w:val="24"/>
        </w:rPr>
        <w:t xml:space="preserve"> </w:t>
      </w:r>
      <w:r w:rsidRPr="00B60D44">
        <w:rPr>
          <w:szCs w:val="24"/>
        </w:rPr>
        <w:t>/unknown.</w:t>
      </w:r>
    </w:p>
    <w:p w14:paraId="7C52E1D7" w14:textId="77777777" w:rsidR="00B60D44" w:rsidRPr="00B60D44" w:rsidRDefault="00B60D44" w:rsidP="007C6EBC">
      <w:pPr>
        <w:pStyle w:val="ListParagraph"/>
        <w:numPr>
          <w:ilvl w:val="1"/>
          <w:numId w:val="28"/>
        </w:numPr>
        <w:ind w:left="993"/>
        <w:rPr>
          <w:szCs w:val="24"/>
        </w:rPr>
      </w:pPr>
      <w:r w:rsidRPr="00B60D44">
        <w:rPr>
          <w:szCs w:val="24"/>
        </w:rPr>
        <w:t xml:space="preserve">If the sensitivity would be less than 100%, fewer patients with </w:t>
      </w:r>
      <w:r w:rsidRPr="00B60D44">
        <w:rPr>
          <w:i/>
          <w:szCs w:val="24"/>
        </w:rPr>
        <w:t>BRCA</w:t>
      </w:r>
      <w:r w:rsidRPr="00B60D44">
        <w:rPr>
          <w:szCs w:val="24"/>
        </w:rPr>
        <w:t>m would be treated, reducing the potential efficacy of the ‘</w:t>
      </w:r>
      <w:r w:rsidRPr="00B60D44">
        <w:rPr>
          <w:i/>
          <w:szCs w:val="24"/>
        </w:rPr>
        <w:t>BRCA</w:t>
      </w:r>
      <w:r w:rsidRPr="00B60D44">
        <w:rPr>
          <w:szCs w:val="24"/>
        </w:rPr>
        <w:t xml:space="preserve"> testing and olaparib’ co-dependent technology.</w:t>
      </w:r>
    </w:p>
    <w:p w14:paraId="12AEF323" w14:textId="4FCABF52" w:rsidR="00B60D44" w:rsidRPr="00197391" w:rsidRDefault="00197391" w:rsidP="007C6EBC">
      <w:pPr>
        <w:pStyle w:val="ListParagraph"/>
        <w:numPr>
          <w:ilvl w:val="0"/>
          <w:numId w:val="27"/>
        </w:numPr>
        <w:ind w:left="567"/>
        <w:rPr>
          <w:szCs w:val="24"/>
        </w:rPr>
      </w:pPr>
      <w:r>
        <w:rPr>
          <w:szCs w:val="24"/>
        </w:rPr>
        <w:t>MSAC noted t</w:t>
      </w:r>
      <w:r w:rsidR="00B60D44" w:rsidRPr="00197391">
        <w:rPr>
          <w:szCs w:val="24"/>
        </w:rPr>
        <w:t xml:space="preserve">he </w:t>
      </w:r>
      <w:r w:rsidR="00E61ECA">
        <w:rPr>
          <w:szCs w:val="24"/>
        </w:rPr>
        <w:t xml:space="preserve">joint </w:t>
      </w:r>
      <w:r w:rsidR="00B60D44" w:rsidRPr="00197391">
        <w:rPr>
          <w:szCs w:val="24"/>
        </w:rPr>
        <w:t xml:space="preserve">ESCs </w:t>
      </w:r>
      <w:r>
        <w:rPr>
          <w:szCs w:val="24"/>
        </w:rPr>
        <w:t xml:space="preserve">advice </w:t>
      </w:r>
      <w:r w:rsidR="00B60D44" w:rsidRPr="00197391">
        <w:rPr>
          <w:szCs w:val="24"/>
        </w:rPr>
        <w:t xml:space="preserve">that, although the initial Study 19 results provided by the submission did not show that olaparib treatment resulted in significant overall survival in the ITT population or the prespecified </w:t>
      </w:r>
      <w:r w:rsidR="00B60D44" w:rsidRPr="00E61ECA">
        <w:rPr>
          <w:i/>
          <w:szCs w:val="24"/>
        </w:rPr>
        <w:t>BRCA</w:t>
      </w:r>
      <w:r w:rsidR="00B60D44" w:rsidRPr="00197391">
        <w:rPr>
          <w:szCs w:val="24"/>
        </w:rPr>
        <w:t xml:space="preserve">m or </w:t>
      </w:r>
      <w:r w:rsidR="00E361C4">
        <w:rPr>
          <w:szCs w:val="24"/>
        </w:rPr>
        <w:t>non-</w:t>
      </w:r>
      <w:r w:rsidR="00B60D44" w:rsidRPr="00E61ECA">
        <w:rPr>
          <w:i/>
          <w:szCs w:val="24"/>
        </w:rPr>
        <w:t>BRCA</w:t>
      </w:r>
      <w:r w:rsidR="00E361C4">
        <w:rPr>
          <w:szCs w:val="24"/>
        </w:rPr>
        <w:t>m</w:t>
      </w:r>
      <w:r w:rsidR="00B60D44" w:rsidRPr="00197391">
        <w:rPr>
          <w:szCs w:val="24"/>
        </w:rPr>
        <w:t>/unknown subgroups, the P</w:t>
      </w:r>
      <w:r w:rsidR="006E6A87">
        <w:rPr>
          <w:szCs w:val="24"/>
        </w:rPr>
        <w:t>re-</w:t>
      </w:r>
      <w:r w:rsidR="00B60D44" w:rsidRPr="00197391">
        <w:rPr>
          <w:szCs w:val="24"/>
        </w:rPr>
        <w:t>S</w:t>
      </w:r>
      <w:r w:rsidR="006E6A87">
        <w:rPr>
          <w:szCs w:val="24"/>
        </w:rPr>
        <w:t>ub-</w:t>
      </w:r>
      <w:r w:rsidR="00B60D44" w:rsidRPr="00197391">
        <w:rPr>
          <w:szCs w:val="24"/>
        </w:rPr>
        <w:t>C</w:t>
      </w:r>
      <w:r w:rsidR="006E6A87">
        <w:rPr>
          <w:szCs w:val="24"/>
        </w:rPr>
        <w:t xml:space="preserve">ommittee </w:t>
      </w:r>
      <w:r w:rsidR="00B60D44" w:rsidRPr="00197391">
        <w:rPr>
          <w:szCs w:val="24"/>
        </w:rPr>
        <w:t>R</w:t>
      </w:r>
      <w:r w:rsidR="006E6A87">
        <w:rPr>
          <w:szCs w:val="24"/>
        </w:rPr>
        <w:t>esponse</w:t>
      </w:r>
      <w:r w:rsidR="00B60D44" w:rsidRPr="00197391">
        <w:rPr>
          <w:szCs w:val="24"/>
        </w:rPr>
        <w:t xml:space="preserve"> (Table 1) provided updated survival data from Study 19 which showed statistically significant improvements in overall survival in the </w:t>
      </w:r>
      <w:r w:rsidR="00B60D44" w:rsidRPr="00E61ECA">
        <w:rPr>
          <w:i/>
          <w:szCs w:val="24"/>
        </w:rPr>
        <w:t>BRCA</w:t>
      </w:r>
      <w:r w:rsidR="00B60D44" w:rsidRPr="00197391">
        <w:rPr>
          <w:szCs w:val="24"/>
        </w:rPr>
        <w:t>m subgroups.</w:t>
      </w:r>
    </w:p>
    <w:p w14:paraId="5CB24D45" w14:textId="527AAEEC" w:rsidR="00B60D44" w:rsidRPr="00197391" w:rsidRDefault="00197391" w:rsidP="007C6EBC">
      <w:pPr>
        <w:pStyle w:val="ListParagraph"/>
        <w:numPr>
          <w:ilvl w:val="0"/>
          <w:numId w:val="27"/>
        </w:numPr>
        <w:ind w:left="567"/>
        <w:rPr>
          <w:szCs w:val="24"/>
        </w:rPr>
      </w:pPr>
      <w:r>
        <w:rPr>
          <w:szCs w:val="24"/>
        </w:rPr>
        <w:t>MSAC noted t</w:t>
      </w:r>
      <w:r w:rsidR="00B60D44" w:rsidRPr="00197391">
        <w:rPr>
          <w:szCs w:val="24"/>
        </w:rPr>
        <w:t xml:space="preserve">he </w:t>
      </w:r>
      <w:r w:rsidR="00E61ECA">
        <w:rPr>
          <w:szCs w:val="24"/>
        </w:rPr>
        <w:t xml:space="preserve">joint </w:t>
      </w:r>
      <w:r w:rsidR="00B60D44" w:rsidRPr="00197391">
        <w:rPr>
          <w:szCs w:val="24"/>
        </w:rPr>
        <w:t xml:space="preserve">ESCs </w:t>
      </w:r>
      <w:r>
        <w:rPr>
          <w:szCs w:val="24"/>
        </w:rPr>
        <w:t>advice</w:t>
      </w:r>
      <w:r w:rsidR="00B60D44" w:rsidRPr="00197391">
        <w:rPr>
          <w:szCs w:val="24"/>
        </w:rPr>
        <w:t xml:space="preserve"> that an informative way to help establish the claim of co-dependence between BRCA testing and olaparib would be to present statistical tests of interaction for the treatment effect variations on (a) progression-free survival </w:t>
      </w:r>
      <w:r w:rsidR="00B60D44" w:rsidRPr="00197391">
        <w:rPr>
          <w:szCs w:val="24"/>
        </w:rPr>
        <w:lastRenderedPageBreak/>
        <w:t xml:space="preserve">and (b) updated overall survival hazard ratios across the </w:t>
      </w:r>
      <w:r w:rsidR="00B60D44" w:rsidRPr="00E61ECA">
        <w:rPr>
          <w:i/>
          <w:szCs w:val="24"/>
        </w:rPr>
        <w:t>BRCA</w:t>
      </w:r>
      <w:r w:rsidR="00B60D44" w:rsidRPr="00197391">
        <w:rPr>
          <w:szCs w:val="24"/>
        </w:rPr>
        <w:t xml:space="preserve">m and </w:t>
      </w:r>
      <w:r w:rsidR="00E361C4">
        <w:rPr>
          <w:szCs w:val="24"/>
        </w:rPr>
        <w:t>non-</w:t>
      </w:r>
      <w:r w:rsidR="00B60D44" w:rsidRPr="00E61ECA">
        <w:rPr>
          <w:i/>
          <w:szCs w:val="24"/>
        </w:rPr>
        <w:t>BRCA</w:t>
      </w:r>
      <w:r w:rsidR="00E361C4">
        <w:rPr>
          <w:szCs w:val="24"/>
        </w:rPr>
        <w:t>m</w:t>
      </w:r>
      <w:r w:rsidR="00B60D44" w:rsidRPr="00197391">
        <w:rPr>
          <w:szCs w:val="24"/>
        </w:rPr>
        <w:t>/unknown subgroups from Study 19.</w:t>
      </w:r>
    </w:p>
    <w:p w14:paraId="3F4B3BD0" w14:textId="77777777" w:rsidR="00BC1364" w:rsidRPr="001105B6" w:rsidRDefault="00BC1364" w:rsidP="00DD2858">
      <w:pPr>
        <w:rPr>
          <w:szCs w:val="24"/>
        </w:rPr>
      </w:pPr>
    </w:p>
    <w:p w14:paraId="44427C0B" w14:textId="77777777" w:rsidR="00BC1364" w:rsidRDefault="00BC1364" w:rsidP="007B32D1">
      <w:pPr>
        <w:pStyle w:val="Heading1"/>
        <w:numPr>
          <w:ilvl w:val="0"/>
          <w:numId w:val="23"/>
        </w:numPr>
        <w:ind w:hanging="720"/>
      </w:pPr>
      <w:r w:rsidRPr="008D5885">
        <w:t>Economic evaluation</w:t>
      </w:r>
    </w:p>
    <w:p w14:paraId="459D97E6" w14:textId="77777777" w:rsidR="00B60D44" w:rsidRPr="00B60D44" w:rsidRDefault="00B60D44" w:rsidP="00B60D44">
      <w:pPr>
        <w:pStyle w:val="Heading2"/>
        <w:rPr>
          <w:rFonts w:ascii="Times New Roman" w:hAnsi="Times New Roman" w:cs="Times New Roman"/>
          <w:b w:val="0"/>
          <w:color w:val="auto"/>
          <w:sz w:val="24"/>
          <w:szCs w:val="24"/>
          <w:u w:val="single"/>
        </w:rPr>
      </w:pPr>
      <w:r w:rsidRPr="00B60D44">
        <w:rPr>
          <w:rFonts w:ascii="Times New Roman" w:hAnsi="Times New Roman" w:cs="Times New Roman"/>
          <w:b w:val="0"/>
          <w:color w:val="auto"/>
          <w:sz w:val="24"/>
          <w:szCs w:val="24"/>
          <w:u w:val="single"/>
        </w:rPr>
        <w:t>Test cost per patient</w:t>
      </w:r>
    </w:p>
    <w:p w14:paraId="49D92D98" w14:textId="18DAD50D" w:rsidR="00B60D44" w:rsidRDefault="00B60D44" w:rsidP="00B60D44">
      <w:pPr>
        <w:rPr>
          <w:szCs w:val="24"/>
        </w:rPr>
      </w:pPr>
      <w:r w:rsidRPr="00B60D44">
        <w:rPr>
          <w:szCs w:val="24"/>
        </w:rPr>
        <w:t xml:space="preserve">The proposed fee for the </w:t>
      </w:r>
      <w:r w:rsidRPr="00B60D44">
        <w:rPr>
          <w:i/>
          <w:szCs w:val="24"/>
        </w:rPr>
        <w:t>BRCA</w:t>
      </w:r>
      <w:r w:rsidRPr="00B60D44">
        <w:rPr>
          <w:szCs w:val="24"/>
        </w:rPr>
        <w:t xml:space="preserve"> test (either germline or tumour) was $</w:t>
      </w:r>
      <w:r w:rsidR="00995FB8" w:rsidRPr="00995FB8">
        <w:rPr>
          <w:b/>
          <w:szCs w:val="24"/>
        </w:rPr>
        <w:t>redacted</w:t>
      </w:r>
      <w:r w:rsidRPr="00B60D44">
        <w:rPr>
          <w:szCs w:val="24"/>
        </w:rPr>
        <w:t xml:space="preserve"> per test based on commercial </w:t>
      </w:r>
      <w:r w:rsidRPr="00B60D44">
        <w:rPr>
          <w:i/>
          <w:szCs w:val="24"/>
        </w:rPr>
        <w:t>BRCA</w:t>
      </w:r>
      <w:r w:rsidRPr="00B60D44">
        <w:rPr>
          <w:szCs w:val="24"/>
        </w:rPr>
        <w:t xml:space="preserve"> testing. For the economic model and financial estimates, the submission used the weighted average fee of $</w:t>
      </w:r>
      <w:r w:rsidR="00995FB8" w:rsidRPr="00995FB8">
        <w:rPr>
          <w:b/>
          <w:szCs w:val="24"/>
        </w:rPr>
        <w:t>redacted</w:t>
      </w:r>
      <w:r w:rsidRPr="00B60D44">
        <w:rPr>
          <w:szCs w:val="24"/>
        </w:rPr>
        <w:t xml:space="preserve">, to account for 31% of women estimated to already be tested. The requested fee is 3-fold higher than the fees for </w:t>
      </w:r>
      <w:r w:rsidR="001105B6">
        <w:rPr>
          <w:szCs w:val="24"/>
        </w:rPr>
        <w:t>other MBS-listed genetic tests.</w:t>
      </w:r>
    </w:p>
    <w:p w14:paraId="2BB6EE4C" w14:textId="77777777" w:rsidR="00B60D44" w:rsidRDefault="00B60D44" w:rsidP="00B60D44">
      <w:pPr>
        <w:rPr>
          <w:szCs w:val="24"/>
        </w:rPr>
      </w:pPr>
    </w:p>
    <w:p w14:paraId="23E0976D" w14:textId="287A7347" w:rsidR="00DB5833" w:rsidRPr="00197391" w:rsidRDefault="00197391" w:rsidP="00B60D44">
      <w:pPr>
        <w:rPr>
          <w:szCs w:val="24"/>
        </w:rPr>
      </w:pPr>
      <w:r>
        <w:rPr>
          <w:szCs w:val="24"/>
        </w:rPr>
        <w:t>MSAC noted that th</w:t>
      </w:r>
      <w:r w:rsidR="00B60D44" w:rsidRPr="00197391">
        <w:rPr>
          <w:szCs w:val="24"/>
        </w:rPr>
        <w:t xml:space="preserve">e </w:t>
      </w:r>
      <w:r w:rsidR="00E61ECA">
        <w:rPr>
          <w:szCs w:val="24"/>
        </w:rPr>
        <w:t xml:space="preserve">joint </w:t>
      </w:r>
      <w:r w:rsidR="00B60D44" w:rsidRPr="00197391">
        <w:rPr>
          <w:szCs w:val="24"/>
        </w:rPr>
        <w:t xml:space="preserve">ESCs considered the comparison to other MBS-listed genetic tests was not appropriate, given the relatively higher complexity and greater scope of testing required for </w:t>
      </w:r>
      <w:r w:rsidR="00B60D44" w:rsidRPr="00E61ECA">
        <w:rPr>
          <w:i/>
          <w:szCs w:val="24"/>
        </w:rPr>
        <w:t>BRCA1</w:t>
      </w:r>
      <w:r w:rsidR="00B60D44" w:rsidRPr="00197391">
        <w:rPr>
          <w:szCs w:val="24"/>
        </w:rPr>
        <w:t xml:space="preserve"> and</w:t>
      </w:r>
      <w:r w:rsidR="00E61ECA">
        <w:rPr>
          <w:szCs w:val="24"/>
        </w:rPr>
        <w:t xml:space="preserve"> </w:t>
      </w:r>
      <w:r w:rsidR="00E61ECA" w:rsidRPr="00E61ECA">
        <w:rPr>
          <w:i/>
          <w:szCs w:val="24"/>
        </w:rPr>
        <w:t>BRCA</w:t>
      </w:r>
      <w:r w:rsidR="00B60D44" w:rsidRPr="00E61ECA">
        <w:rPr>
          <w:i/>
          <w:szCs w:val="24"/>
        </w:rPr>
        <w:t>2</w:t>
      </w:r>
      <w:r w:rsidR="00B60D44" w:rsidRPr="00197391">
        <w:rPr>
          <w:szCs w:val="24"/>
        </w:rPr>
        <w:t xml:space="preserve"> testing. The proposed fee in this submission may only reflect the costs of consumables and reagents rather than for providing the service overall (for example including the direct laboratory costs and the costs associated with interpreting th</w:t>
      </w:r>
      <w:r w:rsidR="001105B6">
        <w:rPr>
          <w:szCs w:val="24"/>
        </w:rPr>
        <w:t>e findings and report writing).</w:t>
      </w:r>
    </w:p>
    <w:p w14:paraId="7A1E04D0" w14:textId="77777777" w:rsidR="00BC1364" w:rsidRPr="0075468E" w:rsidRDefault="00BC1364" w:rsidP="00DD2858">
      <w:pPr>
        <w:rPr>
          <w:szCs w:val="24"/>
        </w:rPr>
      </w:pPr>
    </w:p>
    <w:p w14:paraId="6CABA60E" w14:textId="77777777" w:rsidR="00BC1364" w:rsidRDefault="00BC1364" w:rsidP="007B32D1">
      <w:pPr>
        <w:pStyle w:val="Heading1"/>
        <w:numPr>
          <w:ilvl w:val="0"/>
          <w:numId w:val="23"/>
        </w:numPr>
        <w:ind w:hanging="720"/>
      </w:pPr>
      <w:r w:rsidRPr="008D5885">
        <w:t>Financial/budgetary impacts</w:t>
      </w:r>
    </w:p>
    <w:p w14:paraId="100E6917" w14:textId="77777777" w:rsidR="00BC1364" w:rsidRDefault="00BC1364" w:rsidP="00D340DE">
      <w:pPr>
        <w:pStyle w:val="Default"/>
      </w:pPr>
    </w:p>
    <w:p w14:paraId="13E25087" w14:textId="034C07A2" w:rsidR="00B60D44" w:rsidRDefault="00B60D44" w:rsidP="00B60D44">
      <w:pPr>
        <w:rPr>
          <w:szCs w:val="24"/>
        </w:rPr>
      </w:pPr>
      <w:r w:rsidRPr="00B60D44">
        <w:rPr>
          <w:szCs w:val="24"/>
        </w:rPr>
        <w:t xml:space="preserve">The submission used an epidemiological approach to estimate the expected financial impact of </w:t>
      </w:r>
      <w:r w:rsidRPr="00B60D44">
        <w:rPr>
          <w:i/>
          <w:szCs w:val="24"/>
        </w:rPr>
        <w:t>BRCA</w:t>
      </w:r>
      <w:r w:rsidRPr="00B60D44">
        <w:rPr>
          <w:szCs w:val="24"/>
        </w:rPr>
        <w:t xml:space="preserve"> testing and olaparib, over a five year period (Table </w:t>
      </w:r>
      <w:r w:rsidR="001105B6">
        <w:rPr>
          <w:szCs w:val="24"/>
        </w:rPr>
        <w:t>5</w:t>
      </w:r>
      <w:r w:rsidRPr="00B60D44">
        <w:rPr>
          <w:szCs w:val="24"/>
        </w:rPr>
        <w:t>).</w:t>
      </w:r>
    </w:p>
    <w:p w14:paraId="694163CD" w14:textId="77777777" w:rsidR="001105B6" w:rsidRPr="00B60D44" w:rsidRDefault="001105B6" w:rsidP="00B60D44">
      <w:pPr>
        <w:rPr>
          <w:szCs w:val="24"/>
        </w:rPr>
      </w:pPr>
    </w:p>
    <w:p w14:paraId="3E92FECE" w14:textId="578F2567" w:rsidR="00B60D44" w:rsidRPr="00936175" w:rsidRDefault="00B60D44" w:rsidP="00B60D44">
      <w:pPr>
        <w:pStyle w:val="Tabletextboldleft"/>
        <w:rPr>
          <w:lang w:val="en-US"/>
        </w:rPr>
      </w:pPr>
      <w:r>
        <w:rPr>
          <w:lang w:val="en-US"/>
        </w:rPr>
        <w:t xml:space="preserve">Table </w:t>
      </w:r>
      <w:r w:rsidR="001105B6">
        <w:rPr>
          <w:lang w:val="en-US"/>
        </w:rPr>
        <w:t>5</w:t>
      </w:r>
      <w:r w:rsidRPr="00936175">
        <w:rPr>
          <w:lang w:val="en-US"/>
        </w:rPr>
        <w:t>: Estimated use and financial implications</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use and financial implications-Summary of key data of Section E"/>
      </w:tblPr>
      <w:tblGrid>
        <w:gridCol w:w="2835"/>
        <w:gridCol w:w="1134"/>
        <w:gridCol w:w="1134"/>
        <w:gridCol w:w="1134"/>
        <w:gridCol w:w="1135"/>
        <w:gridCol w:w="1133"/>
      </w:tblGrid>
      <w:tr w:rsidR="00B60D44" w:rsidRPr="00936175" w14:paraId="2447CAF8" w14:textId="77777777" w:rsidTr="007C6EBC">
        <w:trPr>
          <w:tblHeader/>
        </w:trPr>
        <w:tc>
          <w:tcPr>
            <w:tcW w:w="2835" w:type="dxa"/>
            <w:shd w:val="clear" w:color="auto" w:fill="auto"/>
            <w:vAlign w:val="center"/>
          </w:tcPr>
          <w:p w14:paraId="2845E93F" w14:textId="77777777" w:rsidR="00B60D44" w:rsidRPr="00936175" w:rsidRDefault="00B60D44" w:rsidP="007C6EBC">
            <w:pPr>
              <w:widowControl w:val="0"/>
              <w:tabs>
                <w:tab w:val="left" w:pos="142"/>
              </w:tabs>
              <w:rPr>
                <w:rFonts w:ascii="Arial Narrow" w:hAnsi="Arial Narrow" w:cs="Arial"/>
                <w:b/>
                <w:sz w:val="20"/>
                <w:lang w:val="en-GB"/>
              </w:rPr>
            </w:pPr>
          </w:p>
        </w:tc>
        <w:tc>
          <w:tcPr>
            <w:tcW w:w="1134" w:type="dxa"/>
            <w:shd w:val="clear" w:color="auto" w:fill="auto"/>
            <w:vAlign w:val="center"/>
          </w:tcPr>
          <w:p w14:paraId="1D11E982" w14:textId="77777777" w:rsidR="00B60D44" w:rsidRPr="00936175" w:rsidRDefault="00B60D44" w:rsidP="007C6EBC">
            <w:pPr>
              <w:widowControl w:val="0"/>
              <w:jc w:val="center"/>
              <w:rPr>
                <w:rFonts w:ascii="Arial Narrow" w:hAnsi="Arial Narrow" w:cs="Arial"/>
                <w:b/>
                <w:sz w:val="20"/>
                <w:lang w:val="en-GB"/>
              </w:rPr>
            </w:pPr>
            <w:r w:rsidRPr="00936175">
              <w:rPr>
                <w:rFonts w:ascii="Arial Narrow" w:hAnsi="Arial Narrow" w:cs="Arial"/>
                <w:b/>
                <w:sz w:val="20"/>
                <w:lang w:val="en-GB"/>
              </w:rPr>
              <w:t>Year 1</w:t>
            </w:r>
          </w:p>
        </w:tc>
        <w:tc>
          <w:tcPr>
            <w:tcW w:w="1134" w:type="dxa"/>
            <w:shd w:val="clear" w:color="auto" w:fill="auto"/>
            <w:vAlign w:val="center"/>
          </w:tcPr>
          <w:p w14:paraId="5337EEFA" w14:textId="77777777" w:rsidR="00B60D44" w:rsidRPr="00936175" w:rsidRDefault="00B60D44" w:rsidP="007C6EBC">
            <w:pPr>
              <w:widowControl w:val="0"/>
              <w:jc w:val="center"/>
              <w:rPr>
                <w:rFonts w:ascii="Arial Narrow" w:hAnsi="Arial Narrow" w:cs="Arial"/>
                <w:b/>
                <w:sz w:val="20"/>
                <w:lang w:val="en-GB"/>
              </w:rPr>
            </w:pPr>
            <w:r w:rsidRPr="00936175">
              <w:rPr>
                <w:rFonts w:ascii="Arial Narrow" w:hAnsi="Arial Narrow" w:cs="Arial"/>
                <w:b/>
                <w:sz w:val="20"/>
                <w:lang w:val="en-GB"/>
              </w:rPr>
              <w:t>Year 2</w:t>
            </w:r>
          </w:p>
        </w:tc>
        <w:tc>
          <w:tcPr>
            <w:tcW w:w="1134" w:type="dxa"/>
            <w:shd w:val="clear" w:color="auto" w:fill="auto"/>
            <w:vAlign w:val="center"/>
          </w:tcPr>
          <w:p w14:paraId="23D7C2FD" w14:textId="77777777" w:rsidR="00B60D44" w:rsidRPr="00936175" w:rsidRDefault="00B60D44" w:rsidP="007C6EBC">
            <w:pPr>
              <w:widowControl w:val="0"/>
              <w:jc w:val="center"/>
              <w:rPr>
                <w:rFonts w:ascii="Arial Narrow" w:hAnsi="Arial Narrow" w:cs="Arial"/>
                <w:b/>
                <w:sz w:val="20"/>
                <w:lang w:val="en-GB"/>
              </w:rPr>
            </w:pPr>
            <w:r w:rsidRPr="00936175">
              <w:rPr>
                <w:rFonts w:ascii="Arial Narrow" w:hAnsi="Arial Narrow" w:cs="Arial"/>
                <w:b/>
                <w:sz w:val="20"/>
                <w:lang w:val="en-GB"/>
              </w:rPr>
              <w:t>Year 3</w:t>
            </w:r>
          </w:p>
        </w:tc>
        <w:tc>
          <w:tcPr>
            <w:tcW w:w="1135" w:type="dxa"/>
            <w:shd w:val="clear" w:color="auto" w:fill="auto"/>
            <w:vAlign w:val="center"/>
          </w:tcPr>
          <w:p w14:paraId="27603968" w14:textId="77777777" w:rsidR="00B60D44" w:rsidRPr="00936175" w:rsidRDefault="00B60D44" w:rsidP="007C6EBC">
            <w:pPr>
              <w:widowControl w:val="0"/>
              <w:jc w:val="center"/>
              <w:rPr>
                <w:rFonts w:ascii="Arial Narrow" w:hAnsi="Arial Narrow" w:cs="Arial"/>
                <w:b/>
                <w:sz w:val="20"/>
                <w:lang w:val="en-GB"/>
              </w:rPr>
            </w:pPr>
            <w:r w:rsidRPr="00936175">
              <w:rPr>
                <w:rFonts w:ascii="Arial Narrow" w:hAnsi="Arial Narrow" w:cs="Arial"/>
                <w:b/>
                <w:sz w:val="20"/>
                <w:lang w:val="en-GB"/>
              </w:rPr>
              <w:t>Year 4</w:t>
            </w:r>
          </w:p>
        </w:tc>
        <w:tc>
          <w:tcPr>
            <w:tcW w:w="1133" w:type="dxa"/>
            <w:shd w:val="clear" w:color="auto" w:fill="auto"/>
            <w:vAlign w:val="center"/>
          </w:tcPr>
          <w:p w14:paraId="318707ED" w14:textId="77777777" w:rsidR="00B60D44" w:rsidRPr="00936175" w:rsidRDefault="00B60D44" w:rsidP="007C6EBC">
            <w:pPr>
              <w:widowControl w:val="0"/>
              <w:jc w:val="center"/>
              <w:rPr>
                <w:rFonts w:ascii="Arial Narrow" w:hAnsi="Arial Narrow" w:cs="Arial"/>
                <w:b/>
                <w:sz w:val="20"/>
                <w:lang w:val="en-GB"/>
              </w:rPr>
            </w:pPr>
            <w:r w:rsidRPr="00936175">
              <w:rPr>
                <w:rFonts w:ascii="Arial Narrow" w:hAnsi="Arial Narrow" w:cs="Arial"/>
                <w:b/>
                <w:sz w:val="20"/>
                <w:lang w:val="en-GB"/>
              </w:rPr>
              <w:t>Year 5</w:t>
            </w:r>
          </w:p>
        </w:tc>
      </w:tr>
      <w:tr w:rsidR="00B60D44" w:rsidRPr="00936175" w14:paraId="2ADAFF39" w14:textId="77777777" w:rsidTr="007C6EBC">
        <w:tc>
          <w:tcPr>
            <w:tcW w:w="2835" w:type="dxa"/>
            <w:tcBorders>
              <w:top w:val="single" w:sz="4" w:space="0" w:color="auto"/>
              <w:left w:val="single" w:sz="4" w:space="0" w:color="auto"/>
              <w:bottom w:val="single" w:sz="4" w:space="0" w:color="auto"/>
              <w:right w:val="nil"/>
            </w:tcBorders>
            <w:shd w:val="clear" w:color="auto" w:fill="auto"/>
            <w:vAlign w:val="center"/>
          </w:tcPr>
          <w:p w14:paraId="71424496" w14:textId="77777777" w:rsidR="00B60D44" w:rsidRPr="00936175" w:rsidRDefault="00B60D44" w:rsidP="007C6EBC">
            <w:pPr>
              <w:pStyle w:val="TableText"/>
              <w:keepNext w:val="0"/>
              <w:widowControl w:val="0"/>
              <w:rPr>
                <w:rFonts w:cs="Arial"/>
                <w:vertAlign w:val="superscript"/>
              </w:rPr>
            </w:pPr>
            <w:r w:rsidRPr="00936175">
              <w:rPr>
                <w:rFonts w:cs="Arial"/>
                <w:b/>
                <w:bCs/>
                <w:color w:val="000000"/>
                <w:lang w:val="en-GB"/>
              </w:rPr>
              <w:t xml:space="preserve">Estimated extent of use </w:t>
            </w:r>
            <w:r w:rsidRPr="0029534A">
              <w:rPr>
                <w:rFonts w:cs="Arial"/>
                <w:b/>
                <w:bCs/>
                <w:i/>
                <w:color w:val="000000"/>
                <w:lang w:val="en-GB"/>
              </w:rPr>
              <w:t>BRCA</w:t>
            </w:r>
            <w:r w:rsidRPr="00936175">
              <w:rPr>
                <w:rFonts w:cs="Arial"/>
                <w:b/>
                <w:bCs/>
                <w:color w:val="000000"/>
                <w:lang w:val="en-GB"/>
              </w:rPr>
              <w:t xml:space="preserve"> test </w:t>
            </w:r>
          </w:p>
        </w:tc>
        <w:tc>
          <w:tcPr>
            <w:tcW w:w="1134" w:type="dxa"/>
            <w:tcBorders>
              <w:top w:val="single" w:sz="4" w:space="0" w:color="auto"/>
              <w:left w:val="nil"/>
              <w:bottom w:val="single" w:sz="4" w:space="0" w:color="auto"/>
              <w:right w:val="nil"/>
            </w:tcBorders>
            <w:shd w:val="clear" w:color="auto" w:fill="auto"/>
            <w:vAlign w:val="bottom"/>
          </w:tcPr>
          <w:p w14:paraId="164E2D0D" w14:textId="77777777" w:rsidR="00B60D44" w:rsidRPr="00936175" w:rsidRDefault="00B60D44" w:rsidP="007C6EBC">
            <w:pPr>
              <w:pStyle w:val="TableText"/>
              <w:keepNext w:val="0"/>
              <w:widowControl w:val="0"/>
              <w:jc w:val="center"/>
              <w:rPr>
                <w:rFonts w:cs="Arial"/>
                <w:b/>
              </w:rPr>
            </w:pPr>
          </w:p>
        </w:tc>
        <w:tc>
          <w:tcPr>
            <w:tcW w:w="1134" w:type="dxa"/>
            <w:tcBorders>
              <w:top w:val="single" w:sz="4" w:space="0" w:color="auto"/>
              <w:left w:val="nil"/>
              <w:bottom w:val="single" w:sz="4" w:space="0" w:color="auto"/>
              <w:right w:val="nil"/>
            </w:tcBorders>
            <w:shd w:val="clear" w:color="auto" w:fill="auto"/>
            <w:vAlign w:val="bottom"/>
          </w:tcPr>
          <w:p w14:paraId="5022F741" w14:textId="77777777" w:rsidR="00B60D44" w:rsidRPr="00936175" w:rsidRDefault="00B60D44" w:rsidP="007C6EBC">
            <w:pPr>
              <w:pStyle w:val="TableText"/>
              <w:keepNext w:val="0"/>
              <w:widowControl w:val="0"/>
              <w:jc w:val="left"/>
              <w:rPr>
                <w:rFonts w:cs="Arial"/>
                <w:b/>
              </w:rPr>
            </w:pPr>
          </w:p>
        </w:tc>
        <w:tc>
          <w:tcPr>
            <w:tcW w:w="1134" w:type="dxa"/>
            <w:tcBorders>
              <w:top w:val="single" w:sz="4" w:space="0" w:color="auto"/>
              <w:left w:val="nil"/>
              <w:bottom w:val="single" w:sz="4" w:space="0" w:color="auto"/>
              <w:right w:val="nil"/>
            </w:tcBorders>
            <w:shd w:val="clear" w:color="auto" w:fill="auto"/>
            <w:vAlign w:val="bottom"/>
          </w:tcPr>
          <w:p w14:paraId="687466E8" w14:textId="77777777" w:rsidR="00B60D44" w:rsidRPr="00936175" w:rsidRDefault="00B60D44" w:rsidP="007C6EBC">
            <w:pPr>
              <w:pStyle w:val="TableText"/>
              <w:keepNext w:val="0"/>
              <w:widowControl w:val="0"/>
              <w:jc w:val="center"/>
              <w:rPr>
                <w:rFonts w:cs="Arial"/>
              </w:rPr>
            </w:pPr>
          </w:p>
        </w:tc>
        <w:tc>
          <w:tcPr>
            <w:tcW w:w="1135" w:type="dxa"/>
            <w:tcBorders>
              <w:top w:val="single" w:sz="4" w:space="0" w:color="auto"/>
              <w:left w:val="nil"/>
              <w:bottom w:val="single" w:sz="4" w:space="0" w:color="auto"/>
              <w:right w:val="nil"/>
            </w:tcBorders>
            <w:shd w:val="clear" w:color="auto" w:fill="auto"/>
            <w:vAlign w:val="bottom"/>
          </w:tcPr>
          <w:p w14:paraId="549CBA81" w14:textId="77777777" w:rsidR="00B60D44" w:rsidRPr="00936175" w:rsidRDefault="00B60D44" w:rsidP="007C6EBC">
            <w:pPr>
              <w:pStyle w:val="TableText"/>
              <w:keepNext w:val="0"/>
              <w:widowControl w:val="0"/>
              <w:jc w:val="center"/>
              <w:rPr>
                <w:rFonts w:cs="Arial"/>
              </w:rPr>
            </w:pPr>
          </w:p>
        </w:tc>
        <w:tc>
          <w:tcPr>
            <w:tcW w:w="1133" w:type="dxa"/>
            <w:tcBorders>
              <w:top w:val="single" w:sz="4" w:space="0" w:color="auto"/>
              <w:left w:val="nil"/>
              <w:bottom w:val="single" w:sz="4" w:space="0" w:color="auto"/>
              <w:right w:val="single" w:sz="4" w:space="0" w:color="auto"/>
            </w:tcBorders>
            <w:shd w:val="clear" w:color="auto" w:fill="auto"/>
            <w:vAlign w:val="bottom"/>
          </w:tcPr>
          <w:p w14:paraId="1BABDA1B" w14:textId="77777777" w:rsidR="00B60D44" w:rsidRPr="00936175" w:rsidRDefault="00B60D44" w:rsidP="007C6EBC">
            <w:pPr>
              <w:pStyle w:val="TableText"/>
              <w:keepNext w:val="0"/>
              <w:widowControl w:val="0"/>
              <w:jc w:val="center"/>
              <w:rPr>
                <w:rFonts w:cs="Arial"/>
              </w:rPr>
            </w:pPr>
          </w:p>
        </w:tc>
      </w:tr>
      <w:tr w:rsidR="00B60D44" w:rsidRPr="00936175" w14:paraId="4D3F232A" w14:textId="77777777" w:rsidTr="007C6EBC">
        <w:tc>
          <w:tcPr>
            <w:tcW w:w="2835" w:type="dxa"/>
            <w:tcBorders>
              <w:top w:val="single" w:sz="4" w:space="0" w:color="auto"/>
            </w:tcBorders>
            <w:shd w:val="clear" w:color="auto" w:fill="auto"/>
            <w:vAlign w:val="center"/>
          </w:tcPr>
          <w:p w14:paraId="2E7DF723" w14:textId="77777777" w:rsidR="00B60D44" w:rsidRPr="00936175" w:rsidRDefault="00B60D44" w:rsidP="007C6EBC">
            <w:pPr>
              <w:pStyle w:val="TableText"/>
              <w:keepNext w:val="0"/>
              <w:widowControl w:val="0"/>
              <w:rPr>
                <w:rFonts w:cs="Arial"/>
                <w:vertAlign w:val="superscript"/>
              </w:rPr>
            </w:pPr>
            <w:r w:rsidRPr="00936175">
              <w:rPr>
                <w:rFonts w:cs="Arial"/>
              </w:rPr>
              <w:t xml:space="preserve">Eligible population </w:t>
            </w:r>
            <w:r w:rsidRPr="00936175">
              <w:rPr>
                <w:rFonts w:cs="Arial"/>
                <w:vertAlign w:val="superscript"/>
              </w:rPr>
              <w:t>a</w:t>
            </w:r>
          </w:p>
        </w:tc>
        <w:tc>
          <w:tcPr>
            <w:tcW w:w="1134" w:type="dxa"/>
            <w:tcBorders>
              <w:top w:val="single" w:sz="4" w:space="0" w:color="auto"/>
            </w:tcBorders>
            <w:shd w:val="clear" w:color="auto" w:fill="auto"/>
            <w:vAlign w:val="bottom"/>
          </w:tcPr>
          <w:p w14:paraId="317ED3DB" w14:textId="1E2C113E"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top w:val="single" w:sz="4" w:space="0" w:color="auto"/>
            </w:tcBorders>
            <w:shd w:val="clear" w:color="auto" w:fill="auto"/>
            <w:vAlign w:val="bottom"/>
          </w:tcPr>
          <w:p w14:paraId="69923FBD" w14:textId="1B9E2FDF"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top w:val="single" w:sz="4" w:space="0" w:color="auto"/>
            </w:tcBorders>
            <w:shd w:val="clear" w:color="auto" w:fill="auto"/>
            <w:vAlign w:val="bottom"/>
          </w:tcPr>
          <w:p w14:paraId="2AA424EE" w14:textId="1E9F4845" w:rsidR="00B60D44" w:rsidRPr="00936175" w:rsidRDefault="00995FB8" w:rsidP="007C6EBC">
            <w:pPr>
              <w:pStyle w:val="TableText"/>
              <w:keepNext w:val="0"/>
              <w:widowControl w:val="0"/>
              <w:jc w:val="center"/>
              <w:rPr>
                <w:rFonts w:cs="Arial"/>
              </w:rPr>
            </w:pPr>
            <w:r w:rsidRPr="00995FB8">
              <w:rPr>
                <w:b/>
                <w:szCs w:val="24"/>
              </w:rPr>
              <w:t>redacted</w:t>
            </w:r>
          </w:p>
        </w:tc>
        <w:tc>
          <w:tcPr>
            <w:tcW w:w="1135" w:type="dxa"/>
            <w:tcBorders>
              <w:top w:val="single" w:sz="4" w:space="0" w:color="auto"/>
            </w:tcBorders>
            <w:shd w:val="clear" w:color="auto" w:fill="auto"/>
            <w:vAlign w:val="bottom"/>
          </w:tcPr>
          <w:p w14:paraId="76298E2F" w14:textId="5FA432C4" w:rsidR="00B60D44" w:rsidRPr="00936175" w:rsidRDefault="00995FB8" w:rsidP="007C6EBC">
            <w:pPr>
              <w:pStyle w:val="TableText"/>
              <w:keepNext w:val="0"/>
              <w:widowControl w:val="0"/>
              <w:jc w:val="center"/>
              <w:rPr>
                <w:rFonts w:cs="Arial"/>
              </w:rPr>
            </w:pPr>
            <w:r w:rsidRPr="00995FB8">
              <w:rPr>
                <w:b/>
                <w:szCs w:val="24"/>
              </w:rPr>
              <w:t>redacted</w:t>
            </w:r>
          </w:p>
        </w:tc>
        <w:tc>
          <w:tcPr>
            <w:tcW w:w="1133" w:type="dxa"/>
            <w:tcBorders>
              <w:top w:val="single" w:sz="4" w:space="0" w:color="auto"/>
            </w:tcBorders>
            <w:shd w:val="clear" w:color="auto" w:fill="auto"/>
            <w:vAlign w:val="bottom"/>
          </w:tcPr>
          <w:p w14:paraId="3340851B" w14:textId="393C6FC8" w:rsidR="00B60D44" w:rsidRPr="00936175" w:rsidRDefault="00995FB8" w:rsidP="007C6EBC">
            <w:pPr>
              <w:pStyle w:val="TableText"/>
              <w:keepNext w:val="0"/>
              <w:widowControl w:val="0"/>
              <w:jc w:val="center"/>
              <w:rPr>
                <w:rFonts w:cs="Arial"/>
              </w:rPr>
            </w:pPr>
            <w:r w:rsidRPr="00995FB8">
              <w:rPr>
                <w:b/>
                <w:szCs w:val="24"/>
              </w:rPr>
              <w:t>redacted</w:t>
            </w:r>
          </w:p>
        </w:tc>
      </w:tr>
      <w:tr w:rsidR="00B60D44" w:rsidRPr="00936175" w14:paraId="5F114304" w14:textId="77777777" w:rsidTr="007C6EBC">
        <w:tc>
          <w:tcPr>
            <w:tcW w:w="2835" w:type="dxa"/>
            <w:tcBorders>
              <w:bottom w:val="single" w:sz="4" w:space="0" w:color="auto"/>
            </w:tcBorders>
            <w:shd w:val="clear" w:color="auto" w:fill="auto"/>
            <w:vAlign w:val="center"/>
          </w:tcPr>
          <w:p w14:paraId="0A34F19B" w14:textId="77777777" w:rsidR="00B60D44" w:rsidRPr="00936175" w:rsidRDefault="00B60D44" w:rsidP="007C6EBC">
            <w:pPr>
              <w:pStyle w:val="TableText"/>
              <w:keepNext w:val="0"/>
              <w:widowControl w:val="0"/>
              <w:rPr>
                <w:rFonts w:cs="Arial"/>
              </w:rPr>
            </w:pPr>
            <w:r w:rsidRPr="00936175">
              <w:rPr>
                <w:rFonts w:cs="Arial"/>
              </w:rPr>
              <w:t xml:space="preserve">Number of </w:t>
            </w:r>
            <w:r w:rsidRPr="0029534A">
              <w:rPr>
                <w:rFonts w:cs="Arial"/>
                <w:i/>
              </w:rPr>
              <w:t>BRCA</w:t>
            </w:r>
            <w:r w:rsidRPr="00936175">
              <w:rPr>
                <w:rFonts w:cs="Arial"/>
              </w:rPr>
              <w:t xml:space="preserve"> tests (90% uptake)</w:t>
            </w:r>
          </w:p>
        </w:tc>
        <w:tc>
          <w:tcPr>
            <w:tcW w:w="1134" w:type="dxa"/>
            <w:tcBorders>
              <w:bottom w:val="single" w:sz="4" w:space="0" w:color="auto"/>
            </w:tcBorders>
            <w:shd w:val="clear" w:color="auto" w:fill="auto"/>
            <w:vAlign w:val="bottom"/>
          </w:tcPr>
          <w:p w14:paraId="2C2577A4" w14:textId="5E9918AE"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bottom w:val="single" w:sz="4" w:space="0" w:color="auto"/>
            </w:tcBorders>
            <w:shd w:val="clear" w:color="auto" w:fill="auto"/>
            <w:vAlign w:val="bottom"/>
          </w:tcPr>
          <w:p w14:paraId="346B8820" w14:textId="3254C0ED"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bottom w:val="single" w:sz="4" w:space="0" w:color="auto"/>
            </w:tcBorders>
            <w:shd w:val="clear" w:color="auto" w:fill="auto"/>
            <w:vAlign w:val="bottom"/>
          </w:tcPr>
          <w:p w14:paraId="1C51FA49" w14:textId="787A0548" w:rsidR="00B60D44" w:rsidRPr="00936175" w:rsidRDefault="00995FB8" w:rsidP="007C6EBC">
            <w:pPr>
              <w:pStyle w:val="TableText"/>
              <w:keepNext w:val="0"/>
              <w:widowControl w:val="0"/>
              <w:jc w:val="center"/>
              <w:rPr>
                <w:rFonts w:cs="Arial"/>
              </w:rPr>
            </w:pPr>
            <w:r w:rsidRPr="00995FB8">
              <w:rPr>
                <w:b/>
                <w:szCs w:val="24"/>
              </w:rPr>
              <w:t>redacted</w:t>
            </w:r>
          </w:p>
        </w:tc>
        <w:tc>
          <w:tcPr>
            <w:tcW w:w="1135" w:type="dxa"/>
            <w:tcBorders>
              <w:bottom w:val="single" w:sz="4" w:space="0" w:color="auto"/>
            </w:tcBorders>
            <w:shd w:val="clear" w:color="auto" w:fill="auto"/>
            <w:vAlign w:val="bottom"/>
          </w:tcPr>
          <w:p w14:paraId="0FFB8103" w14:textId="7C299C67" w:rsidR="00B60D44" w:rsidRPr="00936175" w:rsidRDefault="00995FB8" w:rsidP="007C6EBC">
            <w:pPr>
              <w:pStyle w:val="TableText"/>
              <w:keepNext w:val="0"/>
              <w:widowControl w:val="0"/>
              <w:jc w:val="center"/>
              <w:rPr>
                <w:rFonts w:cs="Arial"/>
              </w:rPr>
            </w:pPr>
            <w:r w:rsidRPr="00995FB8">
              <w:rPr>
                <w:b/>
                <w:szCs w:val="24"/>
              </w:rPr>
              <w:t>redacted</w:t>
            </w:r>
          </w:p>
        </w:tc>
        <w:tc>
          <w:tcPr>
            <w:tcW w:w="1133" w:type="dxa"/>
            <w:tcBorders>
              <w:bottom w:val="single" w:sz="4" w:space="0" w:color="auto"/>
            </w:tcBorders>
            <w:shd w:val="clear" w:color="auto" w:fill="auto"/>
            <w:vAlign w:val="bottom"/>
          </w:tcPr>
          <w:p w14:paraId="3E91164C" w14:textId="6362285B" w:rsidR="00B60D44" w:rsidRPr="00936175" w:rsidRDefault="00995FB8" w:rsidP="007C6EBC">
            <w:pPr>
              <w:pStyle w:val="TableText"/>
              <w:keepNext w:val="0"/>
              <w:widowControl w:val="0"/>
              <w:jc w:val="center"/>
              <w:rPr>
                <w:rFonts w:cs="Arial"/>
              </w:rPr>
            </w:pPr>
            <w:r w:rsidRPr="00995FB8">
              <w:rPr>
                <w:b/>
                <w:szCs w:val="24"/>
              </w:rPr>
              <w:t>redacted</w:t>
            </w:r>
          </w:p>
        </w:tc>
      </w:tr>
      <w:tr w:rsidR="00B60D44" w:rsidRPr="00936175" w14:paraId="3961C413" w14:textId="77777777" w:rsidTr="007C6EBC">
        <w:tc>
          <w:tcPr>
            <w:tcW w:w="2835" w:type="dxa"/>
            <w:tcBorders>
              <w:top w:val="single" w:sz="4" w:space="0" w:color="auto"/>
              <w:left w:val="single" w:sz="4" w:space="0" w:color="auto"/>
              <w:bottom w:val="single" w:sz="4" w:space="0" w:color="auto"/>
              <w:right w:val="nil"/>
            </w:tcBorders>
            <w:shd w:val="clear" w:color="auto" w:fill="auto"/>
            <w:vAlign w:val="center"/>
          </w:tcPr>
          <w:p w14:paraId="3444CF63" w14:textId="77777777" w:rsidR="00B60D44" w:rsidRPr="00936175" w:rsidRDefault="00B60D44" w:rsidP="007C6EBC">
            <w:pPr>
              <w:widowControl w:val="0"/>
              <w:tabs>
                <w:tab w:val="left" w:pos="142"/>
              </w:tabs>
              <w:rPr>
                <w:rFonts w:ascii="Arial Narrow" w:hAnsi="Arial Narrow" w:cs="Arial"/>
                <w:sz w:val="20"/>
                <w:vertAlign w:val="superscript"/>
                <w:lang w:val="en-GB"/>
              </w:rPr>
            </w:pPr>
            <w:r w:rsidRPr="00936175">
              <w:rPr>
                <w:rFonts w:ascii="Arial Narrow" w:hAnsi="Arial Narrow" w:cs="Arial"/>
                <w:b/>
                <w:bCs/>
                <w:color w:val="000000"/>
                <w:sz w:val="20"/>
                <w:lang w:val="en-GB"/>
              </w:rPr>
              <w:t xml:space="preserve">Estimated extent of use, olaparib </w:t>
            </w:r>
          </w:p>
        </w:tc>
        <w:tc>
          <w:tcPr>
            <w:tcW w:w="1134" w:type="dxa"/>
            <w:tcBorders>
              <w:top w:val="single" w:sz="4" w:space="0" w:color="auto"/>
              <w:left w:val="nil"/>
              <w:bottom w:val="single" w:sz="4" w:space="0" w:color="auto"/>
              <w:right w:val="nil"/>
            </w:tcBorders>
            <w:shd w:val="clear" w:color="auto" w:fill="auto"/>
            <w:vAlign w:val="center"/>
          </w:tcPr>
          <w:p w14:paraId="4ED4E820" w14:textId="77777777" w:rsidR="00B60D44" w:rsidRPr="00936175" w:rsidRDefault="00B60D44" w:rsidP="007C6EBC">
            <w:pPr>
              <w:pStyle w:val="TableText"/>
              <w:keepNext w:val="0"/>
              <w:widowControl w:val="0"/>
              <w:jc w:val="left"/>
              <w:rPr>
                <w:rFonts w:cs="Arial"/>
                <w:b/>
              </w:rPr>
            </w:pPr>
          </w:p>
        </w:tc>
        <w:tc>
          <w:tcPr>
            <w:tcW w:w="1134" w:type="dxa"/>
            <w:tcBorders>
              <w:top w:val="single" w:sz="4" w:space="0" w:color="auto"/>
              <w:left w:val="nil"/>
              <w:bottom w:val="single" w:sz="4" w:space="0" w:color="auto"/>
              <w:right w:val="nil"/>
            </w:tcBorders>
            <w:shd w:val="clear" w:color="auto" w:fill="auto"/>
            <w:vAlign w:val="center"/>
          </w:tcPr>
          <w:p w14:paraId="58D9E153" w14:textId="77777777" w:rsidR="00B60D44" w:rsidRPr="00936175" w:rsidRDefault="00B60D44" w:rsidP="007C6EBC">
            <w:pPr>
              <w:pStyle w:val="TableText"/>
              <w:keepNext w:val="0"/>
              <w:widowControl w:val="0"/>
              <w:jc w:val="left"/>
              <w:rPr>
                <w:rFonts w:cs="Arial"/>
                <w:b/>
              </w:rPr>
            </w:pPr>
          </w:p>
        </w:tc>
        <w:tc>
          <w:tcPr>
            <w:tcW w:w="1134" w:type="dxa"/>
            <w:tcBorders>
              <w:top w:val="single" w:sz="4" w:space="0" w:color="auto"/>
              <w:left w:val="nil"/>
              <w:bottom w:val="single" w:sz="4" w:space="0" w:color="auto"/>
              <w:right w:val="nil"/>
            </w:tcBorders>
            <w:shd w:val="clear" w:color="auto" w:fill="auto"/>
            <w:vAlign w:val="center"/>
          </w:tcPr>
          <w:p w14:paraId="39A614DB" w14:textId="77777777" w:rsidR="00B60D44" w:rsidRPr="00936175" w:rsidRDefault="00B60D44" w:rsidP="007C6EBC">
            <w:pPr>
              <w:pStyle w:val="TableText"/>
              <w:keepNext w:val="0"/>
              <w:widowControl w:val="0"/>
              <w:jc w:val="center"/>
              <w:rPr>
                <w:rFonts w:cs="Arial"/>
              </w:rPr>
            </w:pPr>
          </w:p>
        </w:tc>
        <w:tc>
          <w:tcPr>
            <w:tcW w:w="1135" w:type="dxa"/>
            <w:tcBorders>
              <w:top w:val="single" w:sz="4" w:space="0" w:color="auto"/>
              <w:left w:val="nil"/>
              <w:bottom w:val="single" w:sz="4" w:space="0" w:color="auto"/>
              <w:right w:val="nil"/>
            </w:tcBorders>
            <w:shd w:val="clear" w:color="auto" w:fill="auto"/>
            <w:vAlign w:val="center"/>
          </w:tcPr>
          <w:p w14:paraId="337AD805" w14:textId="77777777" w:rsidR="00B60D44" w:rsidRPr="00936175" w:rsidRDefault="00B60D44" w:rsidP="007C6EBC">
            <w:pPr>
              <w:pStyle w:val="TableText"/>
              <w:keepNext w:val="0"/>
              <w:widowControl w:val="0"/>
              <w:jc w:val="center"/>
              <w:rPr>
                <w:rFonts w:cs="Arial"/>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ABE1614" w14:textId="77777777" w:rsidR="00B60D44" w:rsidRPr="00936175" w:rsidRDefault="00B60D44" w:rsidP="007C6EBC">
            <w:pPr>
              <w:pStyle w:val="TableText"/>
              <w:keepNext w:val="0"/>
              <w:widowControl w:val="0"/>
              <w:jc w:val="center"/>
              <w:rPr>
                <w:rFonts w:cs="Arial"/>
              </w:rPr>
            </w:pPr>
          </w:p>
        </w:tc>
      </w:tr>
      <w:tr w:rsidR="00B60D44" w:rsidRPr="00936175" w14:paraId="2DEB6C86" w14:textId="77777777" w:rsidTr="007C6EBC">
        <w:tc>
          <w:tcPr>
            <w:tcW w:w="2835" w:type="dxa"/>
            <w:tcBorders>
              <w:top w:val="single" w:sz="4" w:space="0" w:color="auto"/>
            </w:tcBorders>
            <w:shd w:val="clear" w:color="auto" w:fill="auto"/>
            <w:vAlign w:val="center"/>
          </w:tcPr>
          <w:p w14:paraId="76ABD954" w14:textId="77777777" w:rsidR="00B60D44" w:rsidRPr="00936175" w:rsidRDefault="00B60D44" w:rsidP="007C6EBC">
            <w:pPr>
              <w:widowControl w:val="0"/>
              <w:tabs>
                <w:tab w:val="left" w:pos="142"/>
              </w:tabs>
              <w:rPr>
                <w:rFonts w:ascii="Arial Narrow" w:hAnsi="Arial Narrow" w:cs="Arial"/>
                <w:sz w:val="20"/>
                <w:vertAlign w:val="superscript"/>
                <w:lang w:val="en-GB"/>
              </w:rPr>
            </w:pPr>
            <w:r w:rsidRPr="00936175">
              <w:rPr>
                <w:rFonts w:ascii="Arial Narrow" w:hAnsi="Arial Narrow" w:cs="Arial"/>
                <w:sz w:val="20"/>
                <w:lang w:val="en-GB"/>
              </w:rPr>
              <w:t xml:space="preserve">Eligible population </w:t>
            </w:r>
            <w:r w:rsidRPr="00936175">
              <w:rPr>
                <w:rFonts w:ascii="Arial Narrow" w:hAnsi="Arial Narrow" w:cs="Arial"/>
                <w:sz w:val="20"/>
                <w:vertAlign w:val="superscript"/>
                <w:lang w:val="en-GB"/>
              </w:rPr>
              <w:t>b</w:t>
            </w:r>
          </w:p>
        </w:tc>
        <w:tc>
          <w:tcPr>
            <w:tcW w:w="1134" w:type="dxa"/>
            <w:tcBorders>
              <w:top w:val="single" w:sz="4" w:space="0" w:color="auto"/>
            </w:tcBorders>
            <w:shd w:val="clear" w:color="auto" w:fill="auto"/>
            <w:vAlign w:val="center"/>
          </w:tcPr>
          <w:p w14:paraId="39BD4FD8" w14:textId="47B31E86"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top w:val="single" w:sz="4" w:space="0" w:color="auto"/>
            </w:tcBorders>
            <w:shd w:val="clear" w:color="auto" w:fill="auto"/>
            <w:vAlign w:val="center"/>
          </w:tcPr>
          <w:p w14:paraId="2EACF3B3" w14:textId="3DA6D0FF"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top w:val="single" w:sz="4" w:space="0" w:color="auto"/>
            </w:tcBorders>
            <w:shd w:val="clear" w:color="auto" w:fill="auto"/>
            <w:vAlign w:val="center"/>
          </w:tcPr>
          <w:p w14:paraId="3C0DF8E3" w14:textId="43ACAA11" w:rsidR="00B60D44" w:rsidRPr="00936175" w:rsidRDefault="00995FB8" w:rsidP="007C6EBC">
            <w:pPr>
              <w:pStyle w:val="TableText"/>
              <w:keepNext w:val="0"/>
              <w:widowControl w:val="0"/>
              <w:jc w:val="center"/>
              <w:rPr>
                <w:rFonts w:cs="Arial"/>
              </w:rPr>
            </w:pPr>
            <w:r w:rsidRPr="00995FB8">
              <w:rPr>
                <w:b/>
                <w:szCs w:val="24"/>
              </w:rPr>
              <w:t>redacted</w:t>
            </w:r>
          </w:p>
        </w:tc>
        <w:tc>
          <w:tcPr>
            <w:tcW w:w="1135" w:type="dxa"/>
            <w:tcBorders>
              <w:top w:val="single" w:sz="4" w:space="0" w:color="auto"/>
            </w:tcBorders>
            <w:shd w:val="clear" w:color="auto" w:fill="auto"/>
            <w:vAlign w:val="center"/>
          </w:tcPr>
          <w:p w14:paraId="7F11F4A7" w14:textId="52052970" w:rsidR="00B60D44" w:rsidRPr="00936175" w:rsidRDefault="00995FB8" w:rsidP="007C6EBC">
            <w:pPr>
              <w:pStyle w:val="TableText"/>
              <w:keepNext w:val="0"/>
              <w:widowControl w:val="0"/>
              <w:jc w:val="center"/>
              <w:rPr>
                <w:rFonts w:cs="Arial"/>
              </w:rPr>
            </w:pPr>
            <w:r w:rsidRPr="00995FB8">
              <w:rPr>
                <w:b/>
                <w:szCs w:val="24"/>
              </w:rPr>
              <w:t>redacted</w:t>
            </w:r>
          </w:p>
        </w:tc>
        <w:tc>
          <w:tcPr>
            <w:tcW w:w="1133" w:type="dxa"/>
            <w:tcBorders>
              <w:top w:val="single" w:sz="4" w:space="0" w:color="auto"/>
            </w:tcBorders>
            <w:shd w:val="clear" w:color="auto" w:fill="auto"/>
            <w:vAlign w:val="center"/>
          </w:tcPr>
          <w:p w14:paraId="6EE3A2DA" w14:textId="2B1390AB" w:rsidR="00B60D44" w:rsidRPr="00936175" w:rsidRDefault="00995FB8" w:rsidP="007C6EBC">
            <w:pPr>
              <w:pStyle w:val="TableText"/>
              <w:keepNext w:val="0"/>
              <w:widowControl w:val="0"/>
              <w:jc w:val="center"/>
              <w:rPr>
                <w:rFonts w:cs="Arial"/>
              </w:rPr>
            </w:pPr>
            <w:r w:rsidRPr="00995FB8">
              <w:rPr>
                <w:b/>
                <w:szCs w:val="24"/>
              </w:rPr>
              <w:t>redacted</w:t>
            </w:r>
          </w:p>
        </w:tc>
      </w:tr>
      <w:tr w:rsidR="00B60D44" w:rsidRPr="00936175" w14:paraId="782D1674" w14:textId="77777777" w:rsidTr="007C6EBC">
        <w:tc>
          <w:tcPr>
            <w:tcW w:w="2835" w:type="dxa"/>
            <w:shd w:val="clear" w:color="auto" w:fill="auto"/>
            <w:vAlign w:val="center"/>
          </w:tcPr>
          <w:p w14:paraId="3BAF16BD"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sz w:val="20"/>
                <w:lang w:val="en-GB"/>
              </w:rPr>
              <w:t>Uptake of olaparib</w:t>
            </w:r>
          </w:p>
        </w:tc>
        <w:tc>
          <w:tcPr>
            <w:tcW w:w="1134" w:type="dxa"/>
            <w:shd w:val="clear" w:color="auto" w:fill="auto"/>
            <w:vAlign w:val="center"/>
          </w:tcPr>
          <w:p w14:paraId="47082421" w14:textId="77777777" w:rsidR="00B60D44" w:rsidRPr="00936175" w:rsidRDefault="00B60D44" w:rsidP="007C6EBC">
            <w:pPr>
              <w:pStyle w:val="TableText0"/>
              <w:keepNext w:val="0"/>
              <w:widowControl w:val="0"/>
              <w:spacing w:before="0" w:after="0"/>
              <w:jc w:val="center"/>
              <w:rPr>
                <w:rFonts w:cs="Arial"/>
                <w:bCs/>
                <w:color w:val="000000"/>
                <w:lang w:val="en-GB"/>
              </w:rPr>
            </w:pPr>
            <w:r w:rsidRPr="00936175">
              <w:rPr>
                <w:rFonts w:cs="Arial"/>
                <w:bCs/>
                <w:color w:val="000000"/>
                <w:lang w:val="en-GB"/>
              </w:rPr>
              <w:t>75%</w:t>
            </w:r>
          </w:p>
        </w:tc>
        <w:tc>
          <w:tcPr>
            <w:tcW w:w="1134" w:type="dxa"/>
            <w:shd w:val="clear" w:color="auto" w:fill="auto"/>
            <w:vAlign w:val="center"/>
          </w:tcPr>
          <w:p w14:paraId="1E5EED2B" w14:textId="77777777" w:rsidR="00B60D44" w:rsidRPr="00936175" w:rsidRDefault="00B60D44" w:rsidP="007C6EBC">
            <w:pPr>
              <w:pStyle w:val="TableText0"/>
              <w:keepNext w:val="0"/>
              <w:widowControl w:val="0"/>
              <w:spacing w:before="0" w:after="0"/>
              <w:jc w:val="center"/>
              <w:rPr>
                <w:rFonts w:cs="Arial"/>
                <w:bCs/>
                <w:color w:val="000000"/>
                <w:lang w:val="en-GB"/>
              </w:rPr>
            </w:pPr>
            <w:r w:rsidRPr="00936175">
              <w:rPr>
                <w:rFonts w:cs="Arial"/>
                <w:bCs/>
                <w:color w:val="000000"/>
                <w:lang w:val="en-GB"/>
              </w:rPr>
              <w:t>80%</w:t>
            </w:r>
          </w:p>
        </w:tc>
        <w:tc>
          <w:tcPr>
            <w:tcW w:w="1134" w:type="dxa"/>
            <w:shd w:val="clear" w:color="auto" w:fill="auto"/>
            <w:vAlign w:val="center"/>
          </w:tcPr>
          <w:p w14:paraId="3ABD42AB" w14:textId="77777777" w:rsidR="00B60D44" w:rsidRPr="00936175" w:rsidRDefault="00B60D44" w:rsidP="007C6EBC">
            <w:pPr>
              <w:pStyle w:val="TableText0"/>
              <w:keepNext w:val="0"/>
              <w:widowControl w:val="0"/>
              <w:spacing w:before="0" w:after="0"/>
              <w:jc w:val="center"/>
              <w:rPr>
                <w:rFonts w:cs="Arial"/>
                <w:bCs/>
                <w:color w:val="000000"/>
                <w:lang w:val="en-GB"/>
              </w:rPr>
            </w:pPr>
            <w:r w:rsidRPr="00936175">
              <w:rPr>
                <w:rFonts w:cs="Arial"/>
                <w:bCs/>
                <w:color w:val="000000"/>
                <w:lang w:val="en-GB"/>
              </w:rPr>
              <w:t>85%</w:t>
            </w:r>
          </w:p>
        </w:tc>
        <w:tc>
          <w:tcPr>
            <w:tcW w:w="1135" w:type="dxa"/>
            <w:shd w:val="clear" w:color="auto" w:fill="auto"/>
            <w:vAlign w:val="center"/>
          </w:tcPr>
          <w:p w14:paraId="09B36EDE" w14:textId="77777777" w:rsidR="00B60D44" w:rsidRPr="00936175" w:rsidRDefault="00B60D44" w:rsidP="007C6EBC">
            <w:pPr>
              <w:pStyle w:val="TableText0"/>
              <w:keepNext w:val="0"/>
              <w:widowControl w:val="0"/>
              <w:spacing w:before="0" w:after="0"/>
              <w:jc w:val="center"/>
              <w:rPr>
                <w:rFonts w:cs="Arial"/>
                <w:bCs/>
                <w:color w:val="000000"/>
                <w:lang w:val="en-GB"/>
              </w:rPr>
            </w:pPr>
            <w:r w:rsidRPr="00936175">
              <w:rPr>
                <w:rFonts w:cs="Arial"/>
                <w:bCs/>
                <w:color w:val="000000"/>
                <w:lang w:val="en-GB"/>
              </w:rPr>
              <w:t>90%</w:t>
            </w:r>
          </w:p>
        </w:tc>
        <w:tc>
          <w:tcPr>
            <w:tcW w:w="1133" w:type="dxa"/>
            <w:shd w:val="clear" w:color="auto" w:fill="auto"/>
            <w:vAlign w:val="center"/>
          </w:tcPr>
          <w:p w14:paraId="43B0FED5" w14:textId="77777777" w:rsidR="00B60D44" w:rsidRPr="00936175" w:rsidRDefault="00B60D44" w:rsidP="007C6EBC">
            <w:pPr>
              <w:pStyle w:val="TableText0"/>
              <w:keepNext w:val="0"/>
              <w:widowControl w:val="0"/>
              <w:spacing w:before="0" w:after="0"/>
              <w:jc w:val="center"/>
              <w:rPr>
                <w:rFonts w:cs="Arial"/>
                <w:bCs/>
                <w:color w:val="000000"/>
                <w:lang w:val="en-GB"/>
              </w:rPr>
            </w:pPr>
            <w:r w:rsidRPr="00936175">
              <w:rPr>
                <w:rFonts w:cs="Arial"/>
                <w:bCs/>
                <w:color w:val="000000"/>
                <w:lang w:val="en-GB"/>
              </w:rPr>
              <w:t>90%</w:t>
            </w:r>
          </w:p>
        </w:tc>
      </w:tr>
      <w:tr w:rsidR="00B60D44" w:rsidRPr="00936175" w14:paraId="31E8A1D7" w14:textId="77777777" w:rsidTr="007C6EBC">
        <w:tc>
          <w:tcPr>
            <w:tcW w:w="2835" w:type="dxa"/>
            <w:shd w:val="clear" w:color="auto" w:fill="auto"/>
            <w:vAlign w:val="center"/>
          </w:tcPr>
          <w:p w14:paraId="74C3619D"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sz w:val="20"/>
                <w:lang w:val="en-GB"/>
              </w:rPr>
              <w:t>Number treated</w:t>
            </w:r>
          </w:p>
        </w:tc>
        <w:tc>
          <w:tcPr>
            <w:tcW w:w="1134" w:type="dxa"/>
            <w:shd w:val="clear" w:color="auto" w:fill="auto"/>
            <w:vAlign w:val="center"/>
          </w:tcPr>
          <w:p w14:paraId="0684BF72" w14:textId="28A1C7F0"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shd w:val="clear" w:color="auto" w:fill="auto"/>
            <w:vAlign w:val="center"/>
          </w:tcPr>
          <w:p w14:paraId="2DB1322F" w14:textId="61801787"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shd w:val="clear" w:color="auto" w:fill="auto"/>
            <w:vAlign w:val="center"/>
          </w:tcPr>
          <w:p w14:paraId="01DF10A4" w14:textId="0A1391FA" w:rsidR="00B60D44" w:rsidRPr="00936175" w:rsidRDefault="00995FB8" w:rsidP="007C6EBC">
            <w:pPr>
              <w:pStyle w:val="TableText"/>
              <w:keepNext w:val="0"/>
              <w:widowControl w:val="0"/>
              <w:jc w:val="center"/>
              <w:rPr>
                <w:rFonts w:cs="Arial"/>
              </w:rPr>
            </w:pPr>
            <w:r w:rsidRPr="00995FB8">
              <w:rPr>
                <w:b/>
                <w:szCs w:val="24"/>
              </w:rPr>
              <w:t>redacted</w:t>
            </w:r>
          </w:p>
        </w:tc>
        <w:tc>
          <w:tcPr>
            <w:tcW w:w="1135" w:type="dxa"/>
            <w:shd w:val="clear" w:color="auto" w:fill="auto"/>
            <w:vAlign w:val="center"/>
          </w:tcPr>
          <w:p w14:paraId="658E15B4" w14:textId="2BD3E7EF" w:rsidR="00B60D44" w:rsidRPr="00936175" w:rsidRDefault="00995FB8" w:rsidP="007C6EBC">
            <w:pPr>
              <w:pStyle w:val="TableText"/>
              <w:keepNext w:val="0"/>
              <w:widowControl w:val="0"/>
              <w:jc w:val="center"/>
              <w:rPr>
                <w:rFonts w:cs="Arial"/>
              </w:rPr>
            </w:pPr>
            <w:r w:rsidRPr="00995FB8">
              <w:rPr>
                <w:b/>
                <w:szCs w:val="24"/>
              </w:rPr>
              <w:t>redacted</w:t>
            </w:r>
          </w:p>
        </w:tc>
        <w:tc>
          <w:tcPr>
            <w:tcW w:w="1133" w:type="dxa"/>
            <w:shd w:val="clear" w:color="auto" w:fill="auto"/>
            <w:vAlign w:val="center"/>
          </w:tcPr>
          <w:p w14:paraId="16E38817" w14:textId="7B757391" w:rsidR="00B60D44" w:rsidRPr="00936175" w:rsidRDefault="00995FB8" w:rsidP="007C6EBC">
            <w:pPr>
              <w:pStyle w:val="TableText"/>
              <w:keepNext w:val="0"/>
              <w:widowControl w:val="0"/>
              <w:jc w:val="center"/>
              <w:rPr>
                <w:rFonts w:cs="Arial"/>
              </w:rPr>
            </w:pPr>
            <w:r w:rsidRPr="00995FB8">
              <w:rPr>
                <w:b/>
                <w:szCs w:val="24"/>
              </w:rPr>
              <w:t>redacted</w:t>
            </w:r>
          </w:p>
        </w:tc>
      </w:tr>
      <w:tr w:rsidR="00B60D44" w:rsidRPr="00936175" w14:paraId="06A4C539" w14:textId="77777777" w:rsidTr="007C6EBC">
        <w:tc>
          <w:tcPr>
            <w:tcW w:w="2835" w:type="dxa"/>
            <w:tcBorders>
              <w:bottom w:val="single" w:sz="4" w:space="0" w:color="auto"/>
            </w:tcBorders>
            <w:shd w:val="clear" w:color="auto" w:fill="auto"/>
            <w:vAlign w:val="center"/>
          </w:tcPr>
          <w:p w14:paraId="44957385"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sz w:val="20"/>
                <w:lang w:val="en-GB"/>
              </w:rPr>
              <w:t xml:space="preserve">Scripts (1 pack per script) </w:t>
            </w:r>
          </w:p>
        </w:tc>
        <w:tc>
          <w:tcPr>
            <w:tcW w:w="1134" w:type="dxa"/>
            <w:tcBorders>
              <w:bottom w:val="single" w:sz="4" w:space="0" w:color="auto"/>
            </w:tcBorders>
            <w:shd w:val="clear" w:color="auto" w:fill="auto"/>
            <w:vAlign w:val="center"/>
          </w:tcPr>
          <w:p w14:paraId="347D9AEC" w14:textId="63DF8745" w:rsidR="00B60D44" w:rsidRPr="00936175" w:rsidRDefault="00995FB8" w:rsidP="007C6EBC">
            <w:pPr>
              <w:pStyle w:val="TableText"/>
              <w:keepNext w:val="0"/>
              <w:widowControl w:val="0"/>
              <w:jc w:val="center"/>
              <w:rPr>
                <w:rFonts w:cs="Arial"/>
                <w:lang w:eastAsia="en-AU"/>
              </w:rPr>
            </w:pPr>
            <w:r w:rsidRPr="00995FB8">
              <w:rPr>
                <w:b/>
                <w:szCs w:val="24"/>
              </w:rPr>
              <w:t>redacted</w:t>
            </w:r>
          </w:p>
        </w:tc>
        <w:tc>
          <w:tcPr>
            <w:tcW w:w="1134" w:type="dxa"/>
            <w:tcBorders>
              <w:bottom w:val="single" w:sz="4" w:space="0" w:color="auto"/>
            </w:tcBorders>
            <w:shd w:val="clear" w:color="auto" w:fill="auto"/>
            <w:vAlign w:val="center"/>
          </w:tcPr>
          <w:p w14:paraId="51AD0EE6" w14:textId="11555D2D" w:rsidR="00B60D44" w:rsidRPr="00936175" w:rsidRDefault="00995FB8" w:rsidP="007C6EBC">
            <w:pPr>
              <w:pStyle w:val="TableText"/>
              <w:keepNext w:val="0"/>
              <w:widowControl w:val="0"/>
              <w:jc w:val="center"/>
              <w:rPr>
                <w:rFonts w:cs="Arial"/>
              </w:rPr>
            </w:pPr>
            <w:r w:rsidRPr="00995FB8">
              <w:rPr>
                <w:b/>
                <w:szCs w:val="24"/>
              </w:rPr>
              <w:t>redacted</w:t>
            </w:r>
          </w:p>
        </w:tc>
        <w:tc>
          <w:tcPr>
            <w:tcW w:w="1134" w:type="dxa"/>
            <w:tcBorders>
              <w:bottom w:val="single" w:sz="4" w:space="0" w:color="auto"/>
            </w:tcBorders>
            <w:shd w:val="clear" w:color="auto" w:fill="auto"/>
            <w:vAlign w:val="center"/>
          </w:tcPr>
          <w:p w14:paraId="77216C1C" w14:textId="12E44B89" w:rsidR="00B60D44" w:rsidRPr="00936175" w:rsidRDefault="00821EE5" w:rsidP="007C6EBC">
            <w:pPr>
              <w:pStyle w:val="TableText"/>
              <w:keepNext w:val="0"/>
              <w:widowControl w:val="0"/>
              <w:jc w:val="center"/>
              <w:rPr>
                <w:rFonts w:cs="Arial"/>
              </w:rPr>
            </w:pPr>
            <w:r w:rsidRPr="00995FB8">
              <w:rPr>
                <w:b/>
                <w:szCs w:val="24"/>
              </w:rPr>
              <w:t>redacted</w:t>
            </w:r>
          </w:p>
        </w:tc>
        <w:tc>
          <w:tcPr>
            <w:tcW w:w="1135" w:type="dxa"/>
            <w:tcBorders>
              <w:bottom w:val="single" w:sz="4" w:space="0" w:color="auto"/>
            </w:tcBorders>
            <w:shd w:val="clear" w:color="auto" w:fill="auto"/>
            <w:vAlign w:val="center"/>
          </w:tcPr>
          <w:p w14:paraId="583D7737" w14:textId="5B32857C" w:rsidR="00B60D44" w:rsidRPr="00936175" w:rsidRDefault="00821EE5" w:rsidP="007C6EBC">
            <w:pPr>
              <w:pStyle w:val="TableText"/>
              <w:keepNext w:val="0"/>
              <w:widowControl w:val="0"/>
              <w:jc w:val="center"/>
              <w:rPr>
                <w:rFonts w:cs="Arial"/>
              </w:rPr>
            </w:pPr>
            <w:r w:rsidRPr="00995FB8">
              <w:rPr>
                <w:b/>
                <w:szCs w:val="24"/>
              </w:rPr>
              <w:t>redacted</w:t>
            </w:r>
          </w:p>
        </w:tc>
        <w:tc>
          <w:tcPr>
            <w:tcW w:w="1133" w:type="dxa"/>
            <w:tcBorders>
              <w:bottom w:val="single" w:sz="4" w:space="0" w:color="auto"/>
            </w:tcBorders>
            <w:shd w:val="clear" w:color="auto" w:fill="auto"/>
            <w:vAlign w:val="center"/>
          </w:tcPr>
          <w:p w14:paraId="49135B5C" w14:textId="3C37C129" w:rsidR="00B60D44" w:rsidRPr="00936175" w:rsidRDefault="00821EE5" w:rsidP="007C6EBC">
            <w:pPr>
              <w:pStyle w:val="TableText"/>
              <w:keepNext w:val="0"/>
              <w:widowControl w:val="0"/>
              <w:jc w:val="center"/>
              <w:rPr>
                <w:rFonts w:cs="Arial"/>
              </w:rPr>
            </w:pPr>
            <w:r w:rsidRPr="00995FB8">
              <w:rPr>
                <w:b/>
                <w:szCs w:val="24"/>
              </w:rPr>
              <w:t>redacted</w:t>
            </w:r>
          </w:p>
        </w:tc>
      </w:tr>
      <w:tr w:rsidR="00B60D44" w:rsidRPr="00936175" w14:paraId="4247C847" w14:textId="77777777" w:rsidTr="007C6EBC">
        <w:tc>
          <w:tcPr>
            <w:tcW w:w="2835" w:type="dxa"/>
            <w:tcBorders>
              <w:top w:val="single" w:sz="4" w:space="0" w:color="auto"/>
              <w:left w:val="single" w:sz="4" w:space="0" w:color="auto"/>
              <w:bottom w:val="single" w:sz="4" w:space="0" w:color="auto"/>
              <w:right w:val="nil"/>
            </w:tcBorders>
            <w:shd w:val="clear" w:color="auto" w:fill="auto"/>
            <w:vAlign w:val="center"/>
          </w:tcPr>
          <w:p w14:paraId="7A2EC54A"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b/>
                <w:bCs/>
                <w:color w:val="000000"/>
                <w:sz w:val="20"/>
                <w:lang w:val="en-GB"/>
              </w:rPr>
              <w:t>Estimated net cost to PBS/RPBS/</w:t>
            </w:r>
          </w:p>
        </w:tc>
        <w:tc>
          <w:tcPr>
            <w:tcW w:w="1134" w:type="dxa"/>
            <w:tcBorders>
              <w:top w:val="single" w:sz="4" w:space="0" w:color="auto"/>
              <w:left w:val="nil"/>
              <w:bottom w:val="single" w:sz="4" w:space="0" w:color="auto"/>
              <w:right w:val="nil"/>
            </w:tcBorders>
            <w:shd w:val="clear" w:color="auto" w:fill="auto"/>
            <w:vAlign w:val="center"/>
          </w:tcPr>
          <w:p w14:paraId="6F53A0D1" w14:textId="77777777" w:rsidR="00B60D44" w:rsidRPr="00936175" w:rsidRDefault="00B60D44" w:rsidP="007C6EBC">
            <w:pPr>
              <w:pStyle w:val="TableText"/>
              <w:keepNext w:val="0"/>
              <w:widowControl w:val="0"/>
              <w:jc w:val="left"/>
              <w:rPr>
                <w:rFonts w:cs="Arial"/>
                <w:b/>
              </w:rPr>
            </w:pPr>
            <w:r w:rsidRPr="00936175">
              <w:rPr>
                <w:rFonts w:cs="Arial"/>
                <w:b/>
              </w:rPr>
              <w:t>MBS</w:t>
            </w:r>
          </w:p>
        </w:tc>
        <w:tc>
          <w:tcPr>
            <w:tcW w:w="1134" w:type="dxa"/>
            <w:tcBorders>
              <w:top w:val="single" w:sz="4" w:space="0" w:color="auto"/>
              <w:left w:val="nil"/>
              <w:bottom w:val="single" w:sz="4" w:space="0" w:color="auto"/>
              <w:right w:val="nil"/>
            </w:tcBorders>
            <w:shd w:val="clear" w:color="auto" w:fill="auto"/>
            <w:vAlign w:val="center"/>
          </w:tcPr>
          <w:p w14:paraId="764D525B" w14:textId="77777777" w:rsidR="00B60D44" w:rsidRPr="00936175" w:rsidRDefault="00B60D44" w:rsidP="007C6EBC">
            <w:pPr>
              <w:pStyle w:val="TableText"/>
              <w:keepNext w:val="0"/>
              <w:widowControl w:val="0"/>
              <w:jc w:val="center"/>
              <w:rPr>
                <w:rFonts w:cs="Arial"/>
              </w:rPr>
            </w:pPr>
          </w:p>
        </w:tc>
        <w:tc>
          <w:tcPr>
            <w:tcW w:w="1134" w:type="dxa"/>
            <w:tcBorders>
              <w:top w:val="single" w:sz="4" w:space="0" w:color="auto"/>
              <w:left w:val="nil"/>
              <w:bottom w:val="single" w:sz="4" w:space="0" w:color="auto"/>
              <w:right w:val="nil"/>
            </w:tcBorders>
            <w:shd w:val="clear" w:color="auto" w:fill="auto"/>
            <w:vAlign w:val="center"/>
          </w:tcPr>
          <w:p w14:paraId="0F5D6493" w14:textId="77777777" w:rsidR="00B60D44" w:rsidRPr="00936175" w:rsidRDefault="00B60D44" w:rsidP="007C6EBC">
            <w:pPr>
              <w:pStyle w:val="TableText"/>
              <w:keepNext w:val="0"/>
              <w:widowControl w:val="0"/>
              <w:jc w:val="center"/>
              <w:rPr>
                <w:rFonts w:cs="Arial"/>
              </w:rPr>
            </w:pPr>
          </w:p>
        </w:tc>
        <w:tc>
          <w:tcPr>
            <w:tcW w:w="1135" w:type="dxa"/>
            <w:tcBorders>
              <w:top w:val="single" w:sz="4" w:space="0" w:color="auto"/>
              <w:left w:val="nil"/>
              <w:bottom w:val="single" w:sz="4" w:space="0" w:color="auto"/>
              <w:right w:val="nil"/>
            </w:tcBorders>
            <w:shd w:val="clear" w:color="auto" w:fill="auto"/>
            <w:vAlign w:val="center"/>
          </w:tcPr>
          <w:p w14:paraId="0CE80418" w14:textId="77777777" w:rsidR="00B60D44" w:rsidRPr="00936175" w:rsidRDefault="00B60D44" w:rsidP="007C6EBC">
            <w:pPr>
              <w:pStyle w:val="TableText"/>
              <w:keepNext w:val="0"/>
              <w:widowControl w:val="0"/>
              <w:jc w:val="center"/>
              <w:rPr>
                <w:rFonts w:cs="Arial"/>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BF1B209" w14:textId="77777777" w:rsidR="00B60D44" w:rsidRPr="00936175" w:rsidRDefault="00B60D44" w:rsidP="007C6EBC">
            <w:pPr>
              <w:pStyle w:val="TableText"/>
              <w:keepNext w:val="0"/>
              <w:widowControl w:val="0"/>
              <w:jc w:val="center"/>
              <w:rPr>
                <w:rFonts w:cs="Arial"/>
              </w:rPr>
            </w:pPr>
          </w:p>
        </w:tc>
      </w:tr>
      <w:tr w:rsidR="00B60D44" w:rsidRPr="00936175" w14:paraId="7E0B2C14" w14:textId="77777777" w:rsidTr="007C6EBC">
        <w:tc>
          <w:tcPr>
            <w:tcW w:w="2835" w:type="dxa"/>
            <w:tcBorders>
              <w:top w:val="single" w:sz="4" w:space="0" w:color="auto"/>
            </w:tcBorders>
            <w:shd w:val="clear" w:color="auto" w:fill="auto"/>
            <w:vAlign w:val="center"/>
          </w:tcPr>
          <w:p w14:paraId="56DB30CC"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sz w:val="20"/>
                <w:lang w:val="en-GB"/>
              </w:rPr>
              <w:t>Net cost to MBS ($1,139 per test)</w:t>
            </w:r>
          </w:p>
        </w:tc>
        <w:tc>
          <w:tcPr>
            <w:tcW w:w="1134" w:type="dxa"/>
            <w:tcBorders>
              <w:top w:val="single" w:sz="4" w:space="0" w:color="auto"/>
            </w:tcBorders>
            <w:shd w:val="clear" w:color="auto" w:fill="auto"/>
            <w:vAlign w:val="center"/>
          </w:tcPr>
          <w:p w14:paraId="31EBD641" w14:textId="41FA16F0"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4" w:type="dxa"/>
            <w:tcBorders>
              <w:top w:val="single" w:sz="4" w:space="0" w:color="auto"/>
            </w:tcBorders>
            <w:shd w:val="clear" w:color="auto" w:fill="auto"/>
            <w:vAlign w:val="center"/>
          </w:tcPr>
          <w:p w14:paraId="3F8754C7" w14:textId="324ED53F"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4" w:type="dxa"/>
            <w:tcBorders>
              <w:top w:val="single" w:sz="4" w:space="0" w:color="auto"/>
            </w:tcBorders>
            <w:shd w:val="clear" w:color="auto" w:fill="auto"/>
            <w:vAlign w:val="center"/>
          </w:tcPr>
          <w:p w14:paraId="45CC35FA" w14:textId="1557A67C"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5" w:type="dxa"/>
            <w:tcBorders>
              <w:top w:val="single" w:sz="4" w:space="0" w:color="auto"/>
            </w:tcBorders>
            <w:shd w:val="clear" w:color="auto" w:fill="auto"/>
            <w:vAlign w:val="center"/>
          </w:tcPr>
          <w:p w14:paraId="463F8FF0" w14:textId="5E9A994B"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3" w:type="dxa"/>
            <w:tcBorders>
              <w:top w:val="single" w:sz="4" w:space="0" w:color="auto"/>
            </w:tcBorders>
            <w:shd w:val="clear" w:color="auto" w:fill="auto"/>
            <w:vAlign w:val="center"/>
          </w:tcPr>
          <w:p w14:paraId="0F81B50B" w14:textId="6BF7BF90"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r>
      <w:tr w:rsidR="00B60D44" w:rsidRPr="00936175" w14:paraId="59951A0F" w14:textId="77777777" w:rsidTr="007C6EBC">
        <w:tc>
          <w:tcPr>
            <w:tcW w:w="2835" w:type="dxa"/>
            <w:tcBorders>
              <w:bottom w:val="single" w:sz="4" w:space="0" w:color="auto"/>
            </w:tcBorders>
            <w:shd w:val="clear" w:color="auto" w:fill="auto"/>
            <w:vAlign w:val="center"/>
          </w:tcPr>
          <w:p w14:paraId="0DA6E73E" w14:textId="77777777" w:rsidR="00B60D44" w:rsidRPr="00936175" w:rsidRDefault="00B60D44" w:rsidP="007C6EBC">
            <w:pPr>
              <w:widowControl w:val="0"/>
              <w:tabs>
                <w:tab w:val="left" w:pos="142"/>
              </w:tabs>
              <w:rPr>
                <w:rFonts w:ascii="Arial Narrow" w:hAnsi="Arial Narrow" w:cs="Arial"/>
                <w:sz w:val="20"/>
                <w:lang w:val="en-GB"/>
              </w:rPr>
            </w:pPr>
            <w:r w:rsidRPr="00936175">
              <w:rPr>
                <w:rFonts w:ascii="Arial Narrow" w:hAnsi="Arial Narrow" w:cs="Arial"/>
                <w:sz w:val="20"/>
                <w:lang w:val="en-GB"/>
              </w:rPr>
              <w:t xml:space="preserve">Net cost to PBS/RPBS </w:t>
            </w:r>
          </w:p>
        </w:tc>
        <w:tc>
          <w:tcPr>
            <w:tcW w:w="1134" w:type="dxa"/>
            <w:tcBorders>
              <w:bottom w:val="single" w:sz="4" w:space="0" w:color="auto"/>
            </w:tcBorders>
            <w:shd w:val="clear" w:color="auto" w:fill="auto"/>
            <w:vAlign w:val="center"/>
          </w:tcPr>
          <w:p w14:paraId="5701DF42" w14:textId="1A7CF80B"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4" w:type="dxa"/>
            <w:tcBorders>
              <w:bottom w:val="single" w:sz="4" w:space="0" w:color="auto"/>
            </w:tcBorders>
            <w:shd w:val="clear" w:color="auto" w:fill="auto"/>
            <w:vAlign w:val="center"/>
          </w:tcPr>
          <w:p w14:paraId="7DDEC77B" w14:textId="474473B8"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4" w:type="dxa"/>
            <w:tcBorders>
              <w:bottom w:val="single" w:sz="4" w:space="0" w:color="auto"/>
            </w:tcBorders>
            <w:shd w:val="clear" w:color="auto" w:fill="auto"/>
            <w:vAlign w:val="center"/>
          </w:tcPr>
          <w:p w14:paraId="6697B816" w14:textId="28183CC0"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5" w:type="dxa"/>
            <w:tcBorders>
              <w:bottom w:val="single" w:sz="4" w:space="0" w:color="auto"/>
            </w:tcBorders>
            <w:shd w:val="clear" w:color="auto" w:fill="auto"/>
            <w:vAlign w:val="center"/>
          </w:tcPr>
          <w:p w14:paraId="657E0E50" w14:textId="44DF6299"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c>
          <w:tcPr>
            <w:tcW w:w="1133" w:type="dxa"/>
            <w:tcBorders>
              <w:bottom w:val="single" w:sz="4" w:space="0" w:color="auto"/>
            </w:tcBorders>
            <w:shd w:val="clear" w:color="auto" w:fill="auto"/>
            <w:vAlign w:val="center"/>
          </w:tcPr>
          <w:p w14:paraId="2FF8099A" w14:textId="48D6610C" w:rsidR="00B60D44" w:rsidRPr="00936175" w:rsidRDefault="00B60D44" w:rsidP="007C6EBC">
            <w:pPr>
              <w:pStyle w:val="TableText"/>
              <w:keepNext w:val="0"/>
              <w:widowControl w:val="0"/>
              <w:jc w:val="right"/>
              <w:rPr>
                <w:rFonts w:cs="Arial"/>
              </w:rPr>
            </w:pPr>
            <w:r w:rsidRPr="00936175">
              <w:rPr>
                <w:rFonts w:cs="Arial"/>
              </w:rPr>
              <w:t>$</w:t>
            </w:r>
            <w:r w:rsidR="00821EE5" w:rsidRPr="00995FB8">
              <w:rPr>
                <w:b/>
                <w:szCs w:val="24"/>
              </w:rPr>
              <w:t xml:space="preserve"> redacted</w:t>
            </w:r>
          </w:p>
        </w:tc>
      </w:tr>
      <w:tr w:rsidR="00B60D44" w:rsidRPr="00936175" w14:paraId="17BD16AE" w14:textId="77777777" w:rsidTr="007C6EBC">
        <w:tc>
          <w:tcPr>
            <w:tcW w:w="2835" w:type="dxa"/>
            <w:tcBorders>
              <w:top w:val="single" w:sz="4" w:space="0" w:color="auto"/>
              <w:left w:val="single" w:sz="4" w:space="0" w:color="auto"/>
              <w:bottom w:val="single" w:sz="4" w:space="0" w:color="auto"/>
              <w:right w:val="nil"/>
            </w:tcBorders>
            <w:shd w:val="clear" w:color="auto" w:fill="auto"/>
            <w:vAlign w:val="center"/>
          </w:tcPr>
          <w:p w14:paraId="4815855E" w14:textId="77777777" w:rsidR="00B60D44" w:rsidRPr="00936175" w:rsidRDefault="00B60D44" w:rsidP="007C6EBC">
            <w:pPr>
              <w:widowControl w:val="0"/>
              <w:tabs>
                <w:tab w:val="left" w:pos="142"/>
              </w:tabs>
              <w:rPr>
                <w:rFonts w:ascii="Arial Narrow" w:hAnsi="Arial Narrow" w:cs="Arial"/>
                <w:b/>
                <w:sz w:val="20"/>
                <w:lang w:val="en-GB"/>
              </w:rPr>
            </w:pPr>
            <w:r w:rsidRPr="00936175">
              <w:rPr>
                <w:rFonts w:ascii="Arial Narrow" w:hAnsi="Arial Narrow" w:cs="Arial"/>
                <w:b/>
                <w:sz w:val="20"/>
                <w:lang w:val="en-GB"/>
              </w:rPr>
              <w:t>Estimated total net cost</w:t>
            </w:r>
          </w:p>
        </w:tc>
        <w:tc>
          <w:tcPr>
            <w:tcW w:w="1134" w:type="dxa"/>
            <w:tcBorders>
              <w:top w:val="single" w:sz="4" w:space="0" w:color="auto"/>
              <w:left w:val="nil"/>
              <w:bottom w:val="single" w:sz="4" w:space="0" w:color="auto"/>
              <w:right w:val="nil"/>
            </w:tcBorders>
            <w:shd w:val="clear" w:color="auto" w:fill="auto"/>
            <w:vAlign w:val="center"/>
          </w:tcPr>
          <w:p w14:paraId="7CAA51C5" w14:textId="77777777" w:rsidR="00B60D44" w:rsidRPr="00936175" w:rsidRDefault="00B60D44" w:rsidP="007C6EBC">
            <w:pPr>
              <w:pStyle w:val="TableText"/>
              <w:keepNext w:val="0"/>
              <w:widowControl w:val="0"/>
              <w:jc w:val="right"/>
              <w:rPr>
                <w:rFonts w:cs="Arial"/>
              </w:rPr>
            </w:pPr>
          </w:p>
        </w:tc>
        <w:tc>
          <w:tcPr>
            <w:tcW w:w="1134" w:type="dxa"/>
            <w:tcBorders>
              <w:top w:val="single" w:sz="4" w:space="0" w:color="auto"/>
              <w:left w:val="nil"/>
              <w:bottom w:val="single" w:sz="4" w:space="0" w:color="auto"/>
              <w:right w:val="nil"/>
            </w:tcBorders>
            <w:shd w:val="clear" w:color="auto" w:fill="auto"/>
            <w:vAlign w:val="center"/>
          </w:tcPr>
          <w:p w14:paraId="2D0FDE9D" w14:textId="77777777" w:rsidR="00B60D44" w:rsidRPr="00936175" w:rsidRDefault="00B60D44" w:rsidP="007C6EBC">
            <w:pPr>
              <w:pStyle w:val="TableText"/>
              <w:keepNext w:val="0"/>
              <w:widowControl w:val="0"/>
              <w:jc w:val="right"/>
              <w:rPr>
                <w:rFonts w:cs="Arial"/>
              </w:rPr>
            </w:pPr>
          </w:p>
        </w:tc>
        <w:tc>
          <w:tcPr>
            <w:tcW w:w="1134" w:type="dxa"/>
            <w:tcBorders>
              <w:top w:val="single" w:sz="4" w:space="0" w:color="auto"/>
              <w:left w:val="nil"/>
              <w:bottom w:val="single" w:sz="4" w:space="0" w:color="auto"/>
              <w:right w:val="nil"/>
            </w:tcBorders>
            <w:shd w:val="clear" w:color="auto" w:fill="auto"/>
            <w:vAlign w:val="center"/>
          </w:tcPr>
          <w:p w14:paraId="54DC042D" w14:textId="77777777" w:rsidR="00B60D44" w:rsidRPr="00936175" w:rsidRDefault="00B60D44" w:rsidP="007C6EBC">
            <w:pPr>
              <w:pStyle w:val="TableText"/>
              <w:keepNext w:val="0"/>
              <w:widowControl w:val="0"/>
              <w:jc w:val="right"/>
              <w:rPr>
                <w:rFonts w:cs="Arial"/>
              </w:rPr>
            </w:pPr>
          </w:p>
        </w:tc>
        <w:tc>
          <w:tcPr>
            <w:tcW w:w="1135" w:type="dxa"/>
            <w:tcBorders>
              <w:top w:val="single" w:sz="4" w:space="0" w:color="auto"/>
              <w:left w:val="nil"/>
              <w:bottom w:val="single" w:sz="4" w:space="0" w:color="auto"/>
              <w:right w:val="nil"/>
            </w:tcBorders>
            <w:shd w:val="clear" w:color="auto" w:fill="auto"/>
            <w:vAlign w:val="center"/>
          </w:tcPr>
          <w:p w14:paraId="179915B5" w14:textId="77777777" w:rsidR="00B60D44" w:rsidRPr="00936175" w:rsidRDefault="00B60D44" w:rsidP="007C6EBC">
            <w:pPr>
              <w:pStyle w:val="TableText"/>
              <w:keepNext w:val="0"/>
              <w:widowControl w:val="0"/>
              <w:jc w:val="right"/>
              <w:rPr>
                <w:rFonts w:cs="Arial"/>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6E26EAF" w14:textId="77777777" w:rsidR="00B60D44" w:rsidRPr="00936175" w:rsidRDefault="00B60D44" w:rsidP="007C6EBC">
            <w:pPr>
              <w:pStyle w:val="TableText"/>
              <w:keepNext w:val="0"/>
              <w:widowControl w:val="0"/>
              <w:jc w:val="right"/>
              <w:rPr>
                <w:rFonts w:cs="Arial"/>
              </w:rPr>
            </w:pPr>
          </w:p>
        </w:tc>
      </w:tr>
      <w:tr w:rsidR="00B60D44" w:rsidRPr="00936175" w14:paraId="3733185D" w14:textId="77777777" w:rsidTr="007C6EBC">
        <w:trPr>
          <w:trHeight w:val="68"/>
        </w:trPr>
        <w:tc>
          <w:tcPr>
            <w:tcW w:w="2835" w:type="dxa"/>
            <w:tcBorders>
              <w:top w:val="single" w:sz="4" w:space="0" w:color="auto"/>
            </w:tcBorders>
            <w:shd w:val="clear" w:color="auto" w:fill="auto"/>
            <w:vAlign w:val="center"/>
          </w:tcPr>
          <w:p w14:paraId="4C1BC24A" w14:textId="77777777" w:rsidR="00B60D44" w:rsidRPr="00936175" w:rsidRDefault="00B60D44" w:rsidP="007C6EBC">
            <w:pPr>
              <w:widowControl w:val="0"/>
              <w:tabs>
                <w:tab w:val="left" w:pos="142"/>
              </w:tabs>
              <w:rPr>
                <w:rFonts w:ascii="Arial Narrow" w:hAnsi="Arial Narrow" w:cs="Arial"/>
                <w:b/>
                <w:sz w:val="20"/>
                <w:lang w:val="en-GB"/>
              </w:rPr>
            </w:pPr>
            <w:r w:rsidRPr="00936175">
              <w:rPr>
                <w:rFonts w:ascii="Arial Narrow" w:hAnsi="Arial Narrow" w:cs="Arial"/>
                <w:b/>
                <w:bCs/>
                <w:color w:val="000000"/>
                <w:sz w:val="20"/>
                <w:lang w:val="en-GB"/>
              </w:rPr>
              <w:t>Total net cost to Government</w:t>
            </w:r>
          </w:p>
        </w:tc>
        <w:tc>
          <w:tcPr>
            <w:tcW w:w="1134" w:type="dxa"/>
            <w:tcBorders>
              <w:top w:val="single" w:sz="4" w:space="0" w:color="auto"/>
            </w:tcBorders>
            <w:shd w:val="clear" w:color="auto" w:fill="auto"/>
            <w:vAlign w:val="center"/>
          </w:tcPr>
          <w:p w14:paraId="5FF969BF" w14:textId="6355DE8D" w:rsidR="00B60D44" w:rsidRPr="00936175" w:rsidRDefault="00B60D44" w:rsidP="007C6EBC">
            <w:pPr>
              <w:pStyle w:val="TableText"/>
              <w:keepNext w:val="0"/>
              <w:widowControl w:val="0"/>
              <w:jc w:val="right"/>
              <w:rPr>
                <w:rFonts w:cs="Arial"/>
                <w:b/>
              </w:rPr>
            </w:pPr>
            <w:r w:rsidRPr="00936175">
              <w:rPr>
                <w:rFonts w:cs="Arial"/>
                <w:b/>
              </w:rPr>
              <w:t>$</w:t>
            </w:r>
            <w:r w:rsidR="00821EE5" w:rsidRPr="00995FB8">
              <w:rPr>
                <w:b/>
                <w:szCs w:val="24"/>
              </w:rPr>
              <w:t xml:space="preserve"> redacted</w:t>
            </w:r>
          </w:p>
        </w:tc>
        <w:tc>
          <w:tcPr>
            <w:tcW w:w="1134" w:type="dxa"/>
            <w:tcBorders>
              <w:top w:val="single" w:sz="4" w:space="0" w:color="auto"/>
            </w:tcBorders>
            <w:shd w:val="clear" w:color="auto" w:fill="auto"/>
            <w:vAlign w:val="center"/>
          </w:tcPr>
          <w:p w14:paraId="7E5AAE8E" w14:textId="7047B537" w:rsidR="00B60D44" w:rsidRPr="00936175" w:rsidRDefault="00B60D44" w:rsidP="007C6EBC">
            <w:pPr>
              <w:pStyle w:val="TableText"/>
              <w:keepNext w:val="0"/>
              <w:widowControl w:val="0"/>
              <w:jc w:val="right"/>
              <w:rPr>
                <w:rFonts w:cs="Arial"/>
                <w:b/>
              </w:rPr>
            </w:pPr>
            <w:r w:rsidRPr="00936175">
              <w:rPr>
                <w:rFonts w:cs="Arial"/>
                <w:b/>
              </w:rPr>
              <w:t>$</w:t>
            </w:r>
            <w:r w:rsidR="00821EE5" w:rsidRPr="00995FB8">
              <w:rPr>
                <w:b/>
                <w:szCs w:val="24"/>
              </w:rPr>
              <w:t xml:space="preserve"> redacted</w:t>
            </w:r>
          </w:p>
        </w:tc>
        <w:tc>
          <w:tcPr>
            <w:tcW w:w="1134" w:type="dxa"/>
            <w:tcBorders>
              <w:top w:val="single" w:sz="4" w:space="0" w:color="auto"/>
            </w:tcBorders>
            <w:shd w:val="clear" w:color="auto" w:fill="auto"/>
            <w:vAlign w:val="center"/>
          </w:tcPr>
          <w:p w14:paraId="77E78C8C" w14:textId="09FFF1B3" w:rsidR="00B60D44" w:rsidRPr="00936175" w:rsidRDefault="00B60D44" w:rsidP="007C6EBC">
            <w:pPr>
              <w:pStyle w:val="TableText"/>
              <w:keepNext w:val="0"/>
              <w:widowControl w:val="0"/>
              <w:jc w:val="right"/>
              <w:rPr>
                <w:rFonts w:cs="Arial"/>
                <w:b/>
              </w:rPr>
            </w:pPr>
            <w:r w:rsidRPr="00936175">
              <w:rPr>
                <w:rFonts w:cs="Arial"/>
                <w:b/>
              </w:rPr>
              <w:t>$</w:t>
            </w:r>
            <w:r w:rsidR="00821EE5" w:rsidRPr="00995FB8">
              <w:rPr>
                <w:b/>
                <w:szCs w:val="24"/>
              </w:rPr>
              <w:t xml:space="preserve"> redacted</w:t>
            </w:r>
          </w:p>
        </w:tc>
        <w:tc>
          <w:tcPr>
            <w:tcW w:w="1135" w:type="dxa"/>
            <w:tcBorders>
              <w:top w:val="single" w:sz="4" w:space="0" w:color="auto"/>
            </w:tcBorders>
            <w:shd w:val="clear" w:color="auto" w:fill="auto"/>
            <w:vAlign w:val="center"/>
          </w:tcPr>
          <w:p w14:paraId="0907C695" w14:textId="3AE8171A" w:rsidR="00B60D44" w:rsidRPr="00936175" w:rsidRDefault="00B60D44" w:rsidP="007C6EBC">
            <w:pPr>
              <w:pStyle w:val="TableText"/>
              <w:keepNext w:val="0"/>
              <w:widowControl w:val="0"/>
              <w:jc w:val="right"/>
              <w:rPr>
                <w:rFonts w:cs="Arial"/>
                <w:b/>
              </w:rPr>
            </w:pPr>
            <w:r w:rsidRPr="00936175">
              <w:rPr>
                <w:rFonts w:cs="Arial"/>
                <w:b/>
              </w:rPr>
              <w:t>$</w:t>
            </w:r>
            <w:r w:rsidR="00821EE5" w:rsidRPr="00995FB8">
              <w:rPr>
                <w:b/>
                <w:szCs w:val="24"/>
              </w:rPr>
              <w:t xml:space="preserve"> redacted</w:t>
            </w:r>
          </w:p>
        </w:tc>
        <w:tc>
          <w:tcPr>
            <w:tcW w:w="1133" w:type="dxa"/>
            <w:tcBorders>
              <w:top w:val="single" w:sz="4" w:space="0" w:color="auto"/>
            </w:tcBorders>
            <w:shd w:val="clear" w:color="auto" w:fill="auto"/>
            <w:vAlign w:val="center"/>
          </w:tcPr>
          <w:p w14:paraId="0A59EF04" w14:textId="74CB0753" w:rsidR="00B60D44" w:rsidRPr="00936175" w:rsidRDefault="00B60D44" w:rsidP="007C6EBC">
            <w:pPr>
              <w:pStyle w:val="TableText"/>
              <w:keepNext w:val="0"/>
              <w:widowControl w:val="0"/>
              <w:jc w:val="right"/>
              <w:rPr>
                <w:rFonts w:cs="Arial"/>
                <w:b/>
              </w:rPr>
            </w:pPr>
            <w:r w:rsidRPr="00936175">
              <w:rPr>
                <w:rFonts w:cs="Arial"/>
                <w:b/>
              </w:rPr>
              <w:t>$</w:t>
            </w:r>
            <w:r w:rsidR="00821EE5" w:rsidRPr="00995FB8">
              <w:rPr>
                <w:b/>
                <w:szCs w:val="24"/>
              </w:rPr>
              <w:t xml:space="preserve"> redacted</w:t>
            </w:r>
          </w:p>
        </w:tc>
      </w:tr>
    </w:tbl>
    <w:p w14:paraId="3E3A6C32" w14:textId="77777777" w:rsidR="00B60D44" w:rsidRPr="00936175" w:rsidRDefault="00B60D44" w:rsidP="00B60D44">
      <w:pPr>
        <w:pStyle w:val="TableFooter"/>
        <w:keepNext/>
        <w:widowControl/>
      </w:pPr>
      <w:r w:rsidRPr="00936175">
        <w:t>Source: Table E.11- E.13 pp223-224; Table E.18. p293 of the submission</w:t>
      </w:r>
    </w:p>
    <w:p w14:paraId="62558DC8" w14:textId="77777777" w:rsidR="00B60D44" w:rsidRPr="00936175" w:rsidRDefault="00B60D44" w:rsidP="00B60D44">
      <w:pPr>
        <w:pStyle w:val="TableFooter"/>
        <w:keepNext/>
        <w:widowControl/>
      </w:pPr>
      <w:r w:rsidRPr="0029534A">
        <w:rPr>
          <w:i/>
        </w:rPr>
        <w:t>BRCA</w:t>
      </w:r>
      <w:r w:rsidRPr="00936175">
        <w:t xml:space="preserve">m = </w:t>
      </w:r>
      <w:r w:rsidRPr="0029534A">
        <w:rPr>
          <w:i/>
        </w:rPr>
        <w:t>BRCA1</w:t>
      </w:r>
      <w:r w:rsidRPr="00936175">
        <w:t xml:space="preserve"> or </w:t>
      </w:r>
      <w:r w:rsidRPr="0029534A">
        <w:rPr>
          <w:i/>
        </w:rPr>
        <w:t>BRCA2</w:t>
      </w:r>
      <w:r w:rsidRPr="00936175">
        <w:t xml:space="preserve"> mutation; MBS = Medicare Benefits Schedule; PBS = Pharmaceutical Benefits Scheme; PSR = platinum-sensitive relapsed; RPBS = Repatriation Pharmaceutical Benefits Scheme</w:t>
      </w:r>
    </w:p>
    <w:p w14:paraId="072D26C6" w14:textId="77777777" w:rsidR="00B60D44" w:rsidRPr="00936175" w:rsidRDefault="00B60D44" w:rsidP="00B60D44">
      <w:pPr>
        <w:pStyle w:val="TableFooter"/>
        <w:keepNext/>
        <w:widowControl/>
      </w:pPr>
      <w:r w:rsidRPr="00936175">
        <w:rPr>
          <w:vertAlign w:val="superscript"/>
        </w:rPr>
        <w:t xml:space="preserve">a </w:t>
      </w:r>
      <w:r w:rsidRPr="00936175">
        <w:t xml:space="preserve">PSR ovarian cancer </w:t>
      </w:r>
    </w:p>
    <w:p w14:paraId="6A3529BB" w14:textId="77777777" w:rsidR="00B60D44" w:rsidRPr="00936175" w:rsidRDefault="00B60D44" w:rsidP="00B60D44">
      <w:pPr>
        <w:pStyle w:val="TableFooter"/>
        <w:keepNext/>
        <w:widowControl/>
      </w:pPr>
      <w:r w:rsidRPr="00936175">
        <w:rPr>
          <w:vertAlign w:val="superscript"/>
        </w:rPr>
        <w:t xml:space="preserve">b </w:t>
      </w:r>
      <w:r w:rsidRPr="0029534A">
        <w:rPr>
          <w:i/>
        </w:rPr>
        <w:t>BRCA</w:t>
      </w:r>
      <w:r w:rsidRPr="00936175">
        <w:t>m PSR ovarian cancer</w:t>
      </w:r>
    </w:p>
    <w:p w14:paraId="7CA53724" w14:textId="77777777" w:rsidR="001105B6" w:rsidRDefault="001105B6" w:rsidP="00B60D44">
      <w:pPr>
        <w:rPr>
          <w:szCs w:val="24"/>
          <w:lang w:val="en-GB"/>
        </w:rPr>
      </w:pPr>
    </w:p>
    <w:p w14:paraId="4938B6E3" w14:textId="2BE4F4EA" w:rsidR="00B60D44" w:rsidRPr="00B60D44" w:rsidRDefault="00B60D44" w:rsidP="00B60D44">
      <w:pPr>
        <w:rPr>
          <w:szCs w:val="24"/>
          <w:lang w:val="en-GB"/>
        </w:rPr>
      </w:pPr>
      <w:r w:rsidRPr="00B60D44">
        <w:rPr>
          <w:szCs w:val="24"/>
          <w:lang w:val="en-GB"/>
        </w:rPr>
        <w:t xml:space="preserve">The submission estimated that if </w:t>
      </w:r>
      <w:r w:rsidRPr="00B60D44">
        <w:rPr>
          <w:i/>
          <w:szCs w:val="24"/>
          <w:lang w:val="en-GB"/>
        </w:rPr>
        <w:t>BRCA</w:t>
      </w:r>
      <w:r w:rsidRPr="00B60D44">
        <w:rPr>
          <w:szCs w:val="24"/>
          <w:lang w:val="en-GB"/>
        </w:rPr>
        <w:t xml:space="preserve"> testing and olaparib were both listed, the net cost to the MBS would be approximately $</w:t>
      </w:r>
      <w:r w:rsidR="00821EE5" w:rsidRPr="00995FB8">
        <w:rPr>
          <w:b/>
          <w:szCs w:val="24"/>
        </w:rPr>
        <w:t>redacted</w:t>
      </w:r>
      <w:r w:rsidR="00821EE5" w:rsidRPr="00B60D44" w:rsidDel="00821EE5">
        <w:rPr>
          <w:szCs w:val="24"/>
          <w:lang w:val="en-GB"/>
        </w:rPr>
        <w:t xml:space="preserve"> </w:t>
      </w:r>
      <w:r w:rsidRPr="00B60D44">
        <w:rPr>
          <w:szCs w:val="24"/>
          <w:lang w:val="en-GB"/>
        </w:rPr>
        <w:t>million dollars over the first five years.</w:t>
      </w:r>
    </w:p>
    <w:p w14:paraId="1FCD04B3" w14:textId="77777777" w:rsidR="00BC1364" w:rsidRPr="001105B6" w:rsidRDefault="00BC1364" w:rsidP="00D340DE">
      <w:pPr>
        <w:rPr>
          <w:szCs w:val="24"/>
        </w:rPr>
      </w:pPr>
    </w:p>
    <w:p w14:paraId="1739FF87" w14:textId="77777777" w:rsidR="006A0D97" w:rsidRDefault="006A0D97" w:rsidP="006A0D97">
      <w:pPr>
        <w:pStyle w:val="Heading1"/>
        <w:numPr>
          <w:ilvl w:val="0"/>
          <w:numId w:val="23"/>
        </w:numPr>
        <w:ind w:hanging="720"/>
      </w:pPr>
      <w:r w:rsidRPr="006A0D97">
        <w:t>Key issues from ESC for MSAC</w:t>
      </w:r>
    </w:p>
    <w:p w14:paraId="270C8FDF" w14:textId="77777777" w:rsidR="006A0D97" w:rsidRDefault="006A0D97" w:rsidP="006A0D97"/>
    <w:p w14:paraId="27F82FD6" w14:textId="77777777" w:rsidR="00B60D44" w:rsidRPr="006E6A87" w:rsidRDefault="00B60D44" w:rsidP="00885907">
      <w:pPr>
        <w:pStyle w:val="Heading5"/>
        <w:spacing w:before="0"/>
        <w:rPr>
          <w:rFonts w:ascii="Times New Roman" w:hAnsi="Times New Roman" w:cs="Times New Roman"/>
          <w:i/>
          <w:color w:val="auto"/>
          <w:szCs w:val="24"/>
          <w:u w:val="single"/>
        </w:rPr>
      </w:pPr>
      <w:r w:rsidRPr="00B60D44">
        <w:rPr>
          <w:rFonts w:ascii="Times New Roman" w:hAnsi="Times New Roman" w:cs="Times New Roman"/>
          <w:color w:val="auto"/>
          <w:szCs w:val="24"/>
          <w:u w:val="single"/>
        </w:rPr>
        <w:t>Clinical issues</w:t>
      </w:r>
      <w:r w:rsidRPr="00B60D44">
        <w:rPr>
          <w:rFonts w:ascii="Times New Roman" w:hAnsi="Times New Roman" w:cs="Times New Roman"/>
          <w:color w:val="auto"/>
          <w:szCs w:val="24"/>
        </w:rPr>
        <w:t>:</w:t>
      </w:r>
    </w:p>
    <w:p w14:paraId="774FE5B4" w14:textId="03CE2FF2" w:rsidR="00B60D44" w:rsidRPr="00E61ECA" w:rsidRDefault="00B60D44" w:rsidP="00885907">
      <w:pPr>
        <w:pStyle w:val="ListParagraph"/>
        <w:numPr>
          <w:ilvl w:val="0"/>
          <w:numId w:val="29"/>
        </w:numPr>
        <w:rPr>
          <w:szCs w:val="24"/>
        </w:rPr>
      </w:pPr>
      <w:r w:rsidRPr="00E61ECA">
        <w:rPr>
          <w:szCs w:val="24"/>
        </w:rPr>
        <w:t xml:space="preserve">The </w:t>
      </w:r>
      <w:r w:rsidR="00E61ECA" w:rsidRPr="00E61ECA">
        <w:rPr>
          <w:szCs w:val="24"/>
        </w:rPr>
        <w:t xml:space="preserve">joint </w:t>
      </w:r>
      <w:r w:rsidRPr="00E61ECA">
        <w:rPr>
          <w:szCs w:val="24"/>
        </w:rPr>
        <w:t xml:space="preserve">ESCs advised that pooling of sensitivity and specificity data is questionable, given that next generation sequencing </w:t>
      </w:r>
      <w:r w:rsidR="00E361C4" w:rsidRPr="00E61ECA">
        <w:rPr>
          <w:szCs w:val="24"/>
        </w:rPr>
        <w:t xml:space="preserve">for somatic mutations </w:t>
      </w:r>
      <w:r w:rsidRPr="00E61ECA">
        <w:rPr>
          <w:szCs w:val="24"/>
        </w:rPr>
        <w:t xml:space="preserve">is not a standard or uniform test, there is variation about such parameters as the read depth and the software used for alignment of sequences, and judgement is needed about what </w:t>
      </w:r>
      <w:r w:rsidRPr="00E61ECA">
        <w:rPr>
          <w:szCs w:val="24"/>
        </w:rPr>
        <w:lastRenderedPageBreak/>
        <w:t>constitutes a mutation versus a polymorphism of unknown significance. Hence consideration about the experience and competence of the pathology laboratory must also be taken into account;</w:t>
      </w:r>
    </w:p>
    <w:p w14:paraId="4F2C16BD" w14:textId="77777777" w:rsidR="00B60D44" w:rsidRPr="00B60D44" w:rsidRDefault="00B60D44" w:rsidP="00885907">
      <w:pPr>
        <w:pStyle w:val="ListParagraph"/>
        <w:numPr>
          <w:ilvl w:val="0"/>
          <w:numId w:val="29"/>
        </w:numPr>
        <w:rPr>
          <w:szCs w:val="24"/>
        </w:rPr>
      </w:pPr>
      <w:r w:rsidRPr="00B60D44">
        <w:rPr>
          <w:szCs w:val="24"/>
        </w:rPr>
        <w:t xml:space="preserve">The submission requested both germline and tumour testing for the assessment of the </w:t>
      </w:r>
      <w:r w:rsidRPr="00B60D44">
        <w:rPr>
          <w:i/>
          <w:szCs w:val="24"/>
        </w:rPr>
        <w:t>BRCA</w:t>
      </w:r>
      <w:r w:rsidRPr="00B60D44">
        <w:rPr>
          <w:szCs w:val="24"/>
        </w:rPr>
        <w:t xml:space="preserve"> mutation (</w:t>
      </w:r>
      <w:r w:rsidRPr="00B60D44">
        <w:rPr>
          <w:i/>
          <w:szCs w:val="24"/>
        </w:rPr>
        <w:t>BRCA</w:t>
      </w:r>
      <w:r w:rsidRPr="00B60D44">
        <w:rPr>
          <w:szCs w:val="24"/>
        </w:rPr>
        <w:t xml:space="preserve">m: either </w:t>
      </w:r>
      <w:r w:rsidRPr="00B60D44">
        <w:rPr>
          <w:i/>
          <w:szCs w:val="24"/>
        </w:rPr>
        <w:t>BRCA1</w:t>
      </w:r>
      <w:r w:rsidRPr="00B60D44">
        <w:rPr>
          <w:szCs w:val="24"/>
        </w:rPr>
        <w:t xml:space="preserve"> or </w:t>
      </w:r>
      <w:r w:rsidRPr="00B60D44">
        <w:rPr>
          <w:i/>
          <w:szCs w:val="24"/>
        </w:rPr>
        <w:t>BRCA2</w:t>
      </w:r>
      <w:r w:rsidRPr="00B60D44">
        <w:rPr>
          <w:szCs w:val="24"/>
        </w:rPr>
        <w:t xml:space="preserve"> mutation). There is discordance between </w:t>
      </w:r>
      <w:r w:rsidRPr="00B60D44">
        <w:rPr>
          <w:i/>
          <w:szCs w:val="24"/>
        </w:rPr>
        <w:t>BRCA</w:t>
      </w:r>
      <w:r w:rsidRPr="00B60D44">
        <w:rPr>
          <w:szCs w:val="24"/>
        </w:rPr>
        <w:t xml:space="preserve">m status in the germline and tumour. In the key clinical trial, Study 19, the germline test identified fewer </w:t>
      </w:r>
      <w:r w:rsidRPr="00B60D44">
        <w:rPr>
          <w:i/>
          <w:szCs w:val="24"/>
        </w:rPr>
        <w:t>BRCA</w:t>
      </w:r>
      <w:r w:rsidRPr="00B60D44">
        <w:rPr>
          <w:szCs w:val="24"/>
        </w:rPr>
        <w:t xml:space="preserve"> mutations (96/210; 45.7%) than the tumour test (111/209; 53.1%), with a concordance of 140/165 (84.8%). The marginal value or practical implications of adding germline testing to tumour testing (or tumour testing to germline testing) were not assessed;</w:t>
      </w:r>
    </w:p>
    <w:p w14:paraId="69711D4F" w14:textId="77777777" w:rsidR="00B60D44" w:rsidRPr="00B60D44" w:rsidRDefault="00B60D44" w:rsidP="00885907">
      <w:pPr>
        <w:pStyle w:val="ListParagraph"/>
        <w:numPr>
          <w:ilvl w:val="0"/>
          <w:numId w:val="29"/>
        </w:numPr>
        <w:rPr>
          <w:szCs w:val="24"/>
        </w:rPr>
      </w:pPr>
      <w:r w:rsidRPr="00B60D44">
        <w:rPr>
          <w:szCs w:val="24"/>
        </w:rPr>
        <w:t xml:space="preserve">Tumour </w:t>
      </w:r>
      <w:r w:rsidRPr="00B60D44">
        <w:rPr>
          <w:i/>
          <w:szCs w:val="24"/>
        </w:rPr>
        <w:t>BRCA</w:t>
      </w:r>
      <w:r w:rsidRPr="00B60D44">
        <w:rPr>
          <w:szCs w:val="24"/>
        </w:rPr>
        <w:t xml:space="preserve"> mutations are not stable overtime. The submission did not address the consequences of this in terms of the timing of the test or how recent the tumour sample should be;</w:t>
      </w:r>
    </w:p>
    <w:p w14:paraId="337E58EF" w14:textId="0A2C4A50" w:rsidR="00B60D44" w:rsidRPr="00B60D44" w:rsidRDefault="00B60D44" w:rsidP="00885907">
      <w:pPr>
        <w:pStyle w:val="ListParagraph"/>
        <w:numPr>
          <w:ilvl w:val="0"/>
          <w:numId w:val="29"/>
        </w:numPr>
        <w:rPr>
          <w:szCs w:val="24"/>
        </w:rPr>
      </w:pPr>
      <w:r w:rsidRPr="00B60D44">
        <w:rPr>
          <w:szCs w:val="24"/>
        </w:rPr>
        <w:t xml:space="preserve">The submission did not provide details on extraction of the tumour sample, and test-retest reliability for tumour testing. Therefore, the estimated sensitivity of 100% and specificity of 100% for </w:t>
      </w:r>
      <w:r w:rsidRPr="00B60D44">
        <w:rPr>
          <w:i/>
          <w:szCs w:val="24"/>
        </w:rPr>
        <w:t>BRCA</w:t>
      </w:r>
      <w:r w:rsidRPr="00B60D44">
        <w:rPr>
          <w:szCs w:val="24"/>
        </w:rPr>
        <w:t xml:space="preserve"> mutation testing </w:t>
      </w:r>
      <w:r w:rsidR="00E361C4">
        <w:rPr>
          <w:szCs w:val="24"/>
        </w:rPr>
        <w:t xml:space="preserve">of tumour tissue </w:t>
      </w:r>
      <w:r w:rsidRPr="00B60D44">
        <w:rPr>
          <w:szCs w:val="24"/>
        </w:rPr>
        <w:t>might be invalid;</w:t>
      </w:r>
    </w:p>
    <w:p w14:paraId="11269E9F" w14:textId="77777777" w:rsidR="00B60D44" w:rsidRPr="00B60D44" w:rsidRDefault="00B60D44" w:rsidP="00885907">
      <w:pPr>
        <w:pStyle w:val="ListParagraph"/>
        <w:numPr>
          <w:ilvl w:val="0"/>
          <w:numId w:val="29"/>
        </w:numPr>
        <w:rPr>
          <w:szCs w:val="24"/>
        </w:rPr>
      </w:pPr>
      <w:r w:rsidRPr="00B60D44">
        <w:rPr>
          <w:szCs w:val="24"/>
        </w:rPr>
        <w:t xml:space="preserve">There might be potential harms if additional biopsies for </w:t>
      </w:r>
      <w:r w:rsidRPr="00B60D44">
        <w:rPr>
          <w:i/>
          <w:szCs w:val="24"/>
        </w:rPr>
        <w:t>BRCA</w:t>
      </w:r>
      <w:r w:rsidRPr="00B60D44">
        <w:rPr>
          <w:szCs w:val="24"/>
        </w:rPr>
        <w:t xml:space="preserve"> mutation tumour testing would be required to determine eligibility for treatment with olaparib;</w:t>
      </w:r>
    </w:p>
    <w:p w14:paraId="119FEC6B" w14:textId="06A135F4" w:rsidR="00B60D44" w:rsidRPr="00E61ECA" w:rsidRDefault="00B60D44" w:rsidP="00885907">
      <w:pPr>
        <w:pStyle w:val="ListParagraph"/>
        <w:numPr>
          <w:ilvl w:val="0"/>
          <w:numId w:val="29"/>
        </w:numPr>
        <w:rPr>
          <w:szCs w:val="24"/>
        </w:rPr>
      </w:pPr>
      <w:r w:rsidRPr="00E61ECA">
        <w:rPr>
          <w:szCs w:val="24"/>
        </w:rPr>
        <w:t xml:space="preserve">The </w:t>
      </w:r>
      <w:r w:rsidR="00E61ECA" w:rsidRPr="00E61ECA">
        <w:rPr>
          <w:szCs w:val="24"/>
        </w:rPr>
        <w:t xml:space="preserve">joint </w:t>
      </w:r>
      <w:r w:rsidRPr="00E61ECA">
        <w:rPr>
          <w:szCs w:val="24"/>
        </w:rPr>
        <w:t xml:space="preserve">ESCs noted that the evidence for using olaparib in patients who have acquired a tumour </w:t>
      </w:r>
      <w:r w:rsidRPr="00E61ECA">
        <w:rPr>
          <w:i/>
          <w:szCs w:val="24"/>
        </w:rPr>
        <w:t>BRCA</w:t>
      </w:r>
      <w:r w:rsidRPr="00E61ECA">
        <w:rPr>
          <w:szCs w:val="24"/>
        </w:rPr>
        <w:t xml:space="preserve"> mutation, but not a germline </w:t>
      </w:r>
      <w:r w:rsidRPr="00E61ECA">
        <w:rPr>
          <w:i/>
          <w:szCs w:val="24"/>
        </w:rPr>
        <w:t>BRCA</w:t>
      </w:r>
      <w:r w:rsidRPr="00E61ECA">
        <w:rPr>
          <w:szCs w:val="24"/>
        </w:rPr>
        <w:t xml:space="preserve"> mutation, was based on a small sample size (eighteen Study 19 participants, of whom eight received olaparib). Given that adding tumour </w:t>
      </w:r>
      <w:r w:rsidRPr="00E61ECA">
        <w:rPr>
          <w:i/>
          <w:szCs w:val="24"/>
        </w:rPr>
        <w:t>BRCA</w:t>
      </w:r>
      <w:r w:rsidRPr="00E61ECA">
        <w:rPr>
          <w:szCs w:val="24"/>
        </w:rPr>
        <w:t xml:space="preserve"> mutation testing to germline </w:t>
      </w:r>
      <w:r w:rsidRPr="00E61ECA">
        <w:rPr>
          <w:i/>
          <w:szCs w:val="24"/>
        </w:rPr>
        <w:t>BRCA</w:t>
      </w:r>
      <w:r w:rsidRPr="00E61ECA">
        <w:rPr>
          <w:szCs w:val="24"/>
        </w:rPr>
        <w:t xml:space="preserve"> mutation testing adds complexity and cost, but has unproven additional validity or diagnostic performance, the </w:t>
      </w:r>
      <w:r w:rsidR="006E6A87">
        <w:rPr>
          <w:szCs w:val="24"/>
        </w:rPr>
        <w:t xml:space="preserve">joint </w:t>
      </w:r>
      <w:r w:rsidRPr="00E61ECA">
        <w:rPr>
          <w:szCs w:val="24"/>
        </w:rPr>
        <w:t>ESCs advised that MSAC consider limiting any support for MBS funding to germline mutation testing only; and</w:t>
      </w:r>
    </w:p>
    <w:p w14:paraId="3F3D7041" w14:textId="36557F9A" w:rsidR="00B60D44" w:rsidRPr="00E61ECA" w:rsidRDefault="00B60D44" w:rsidP="00885907">
      <w:pPr>
        <w:pStyle w:val="ListParagraph"/>
        <w:numPr>
          <w:ilvl w:val="0"/>
          <w:numId w:val="29"/>
        </w:numPr>
        <w:rPr>
          <w:szCs w:val="24"/>
        </w:rPr>
      </w:pPr>
      <w:r w:rsidRPr="00E61ECA">
        <w:rPr>
          <w:szCs w:val="24"/>
        </w:rPr>
        <w:t xml:space="preserve">The </w:t>
      </w:r>
      <w:r w:rsidR="00E61ECA" w:rsidRPr="00E61ECA">
        <w:rPr>
          <w:szCs w:val="24"/>
        </w:rPr>
        <w:t xml:space="preserve">joint </w:t>
      </w:r>
      <w:r w:rsidRPr="00E61ECA">
        <w:rPr>
          <w:szCs w:val="24"/>
        </w:rPr>
        <w:t xml:space="preserve">ESCs advised that an informative way to help establish the co-dependency claim between </w:t>
      </w:r>
      <w:r w:rsidRPr="00E61ECA">
        <w:rPr>
          <w:i/>
          <w:szCs w:val="24"/>
        </w:rPr>
        <w:t>BRCA</w:t>
      </w:r>
      <w:r w:rsidRPr="00E61ECA">
        <w:rPr>
          <w:szCs w:val="24"/>
        </w:rPr>
        <w:t xml:space="preserve"> testing and olaparib (and thus the clinical utility of </w:t>
      </w:r>
      <w:r w:rsidRPr="00E61ECA">
        <w:rPr>
          <w:i/>
          <w:szCs w:val="24"/>
        </w:rPr>
        <w:t>BRCA</w:t>
      </w:r>
      <w:r w:rsidRPr="00E61ECA">
        <w:rPr>
          <w:szCs w:val="24"/>
        </w:rPr>
        <w:t xml:space="preserve"> testing in this context) would be to present </w:t>
      </w:r>
      <w:r w:rsidRPr="00E61ECA">
        <w:rPr>
          <w:rStyle w:val="CommentReference"/>
          <w:sz w:val="24"/>
          <w:szCs w:val="24"/>
        </w:rPr>
        <w:t xml:space="preserve">statistical tests of interaction for the treatment effect variations on (a) progression-free survival and (b) updated overall survival hazard ratios across the </w:t>
      </w:r>
      <w:r w:rsidRPr="00E61ECA">
        <w:rPr>
          <w:rStyle w:val="CommentReference"/>
          <w:i/>
          <w:sz w:val="24"/>
          <w:szCs w:val="24"/>
        </w:rPr>
        <w:t>BRCA</w:t>
      </w:r>
      <w:r w:rsidRPr="00E61ECA">
        <w:rPr>
          <w:rStyle w:val="CommentReference"/>
          <w:sz w:val="24"/>
          <w:szCs w:val="24"/>
        </w:rPr>
        <w:t xml:space="preserve">m and </w:t>
      </w:r>
      <w:r w:rsidR="00E361C4" w:rsidRPr="00E61ECA">
        <w:rPr>
          <w:rStyle w:val="CommentReference"/>
          <w:sz w:val="24"/>
          <w:szCs w:val="24"/>
        </w:rPr>
        <w:t>non-</w:t>
      </w:r>
      <w:r w:rsidRPr="00E61ECA">
        <w:rPr>
          <w:rStyle w:val="CommentReference"/>
          <w:i/>
          <w:sz w:val="24"/>
          <w:szCs w:val="24"/>
        </w:rPr>
        <w:t>BRCA</w:t>
      </w:r>
      <w:r w:rsidR="00E361C4" w:rsidRPr="00E61ECA">
        <w:rPr>
          <w:rStyle w:val="CommentReference"/>
          <w:sz w:val="24"/>
          <w:szCs w:val="24"/>
        </w:rPr>
        <w:t>m</w:t>
      </w:r>
      <w:r w:rsidRPr="00E61ECA">
        <w:rPr>
          <w:rStyle w:val="CommentReference"/>
          <w:sz w:val="24"/>
          <w:szCs w:val="24"/>
        </w:rPr>
        <w:t>/unknown subgroups from Study 19.</w:t>
      </w:r>
    </w:p>
    <w:p w14:paraId="33084DF9" w14:textId="77777777" w:rsidR="00B60D44" w:rsidRPr="006E6A87" w:rsidRDefault="00B60D44" w:rsidP="00885907">
      <w:pPr>
        <w:pStyle w:val="Heading5"/>
        <w:rPr>
          <w:rFonts w:ascii="Times New Roman" w:hAnsi="Times New Roman" w:cs="Times New Roman"/>
          <w:i/>
          <w:color w:val="auto"/>
          <w:szCs w:val="24"/>
          <w:u w:val="single"/>
        </w:rPr>
      </w:pPr>
      <w:r w:rsidRPr="00B60D44">
        <w:rPr>
          <w:rFonts w:ascii="Times New Roman" w:hAnsi="Times New Roman" w:cs="Times New Roman"/>
          <w:color w:val="auto"/>
          <w:szCs w:val="24"/>
          <w:u w:val="single"/>
        </w:rPr>
        <w:t>Economic/financial issues</w:t>
      </w:r>
      <w:r w:rsidRPr="00B60D44">
        <w:rPr>
          <w:rFonts w:ascii="Times New Roman" w:hAnsi="Times New Roman" w:cs="Times New Roman"/>
          <w:color w:val="auto"/>
          <w:szCs w:val="24"/>
        </w:rPr>
        <w:t>:</w:t>
      </w:r>
    </w:p>
    <w:p w14:paraId="60A4138F" w14:textId="77777777" w:rsidR="00B60D44" w:rsidRPr="00B60D44" w:rsidRDefault="00B60D44" w:rsidP="00885907">
      <w:pPr>
        <w:pStyle w:val="ListParagraph"/>
        <w:numPr>
          <w:ilvl w:val="0"/>
          <w:numId w:val="29"/>
        </w:numPr>
        <w:rPr>
          <w:szCs w:val="24"/>
        </w:rPr>
      </w:pPr>
      <w:r w:rsidRPr="00B60D44">
        <w:rPr>
          <w:szCs w:val="24"/>
          <w:lang w:val="en-GB"/>
        </w:rPr>
        <w:t xml:space="preserve">The proposed fee for </w:t>
      </w:r>
      <w:r w:rsidRPr="00B60D44">
        <w:rPr>
          <w:i/>
          <w:szCs w:val="24"/>
          <w:lang w:val="en-GB"/>
        </w:rPr>
        <w:t>BRCA</w:t>
      </w:r>
      <w:r w:rsidRPr="00B60D44">
        <w:rPr>
          <w:szCs w:val="24"/>
          <w:lang w:val="en-GB"/>
        </w:rPr>
        <w:t xml:space="preserve">m testing was based on commercial </w:t>
      </w:r>
      <w:r w:rsidRPr="00B60D44">
        <w:rPr>
          <w:i/>
          <w:szCs w:val="24"/>
          <w:lang w:val="en-GB"/>
        </w:rPr>
        <w:t>BRCA</w:t>
      </w:r>
      <w:r w:rsidRPr="00B60D44">
        <w:rPr>
          <w:szCs w:val="24"/>
          <w:lang w:val="en-GB"/>
        </w:rPr>
        <w:t xml:space="preserve"> testing in a different clinical setting, which might not be appropriate;</w:t>
      </w:r>
    </w:p>
    <w:p w14:paraId="118F4771" w14:textId="77777777" w:rsidR="00B60D44" w:rsidRPr="00E61ECA" w:rsidRDefault="00B60D44" w:rsidP="00885907">
      <w:pPr>
        <w:pStyle w:val="ListParagraph"/>
        <w:numPr>
          <w:ilvl w:val="0"/>
          <w:numId w:val="29"/>
        </w:numPr>
        <w:rPr>
          <w:szCs w:val="24"/>
        </w:rPr>
      </w:pPr>
      <w:r w:rsidRPr="00E61ECA">
        <w:rPr>
          <w:szCs w:val="24"/>
        </w:rPr>
        <w:t xml:space="preserve">The costs and health outcomes of cascade testing of family members resulting from germline </w:t>
      </w:r>
      <w:r w:rsidRPr="00E61ECA">
        <w:rPr>
          <w:i/>
          <w:szCs w:val="24"/>
        </w:rPr>
        <w:t>BRCA</w:t>
      </w:r>
      <w:r w:rsidRPr="00E61ECA">
        <w:rPr>
          <w:szCs w:val="24"/>
        </w:rPr>
        <w:t xml:space="preserve"> testing have not been considered</w:t>
      </w:r>
      <w:r w:rsidRPr="00E61ECA">
        <w:rPr>
          <w:szCs w:val="24"/>
          <w:lang w:val="en-GB"/>
        </w:rPr>
        <w:t>; and</w:t>
      </w:r>
    </w:p>
    <w:p w14:paraId="40B48282" w14:textId="77777777" w:rsidR="00B60D44" w:rsidRPr="00B60D44" w:rsidRDefault="00B60D44" w:rsidP="00885907">
      <w:pPr>
        <w:pStyle w:val="ListParagraph"/>
        <w:numPr>
          <w:ilvl w:val="0"/>
          <w:numId w:val="29"/>
        </w:numPr>
        <w:rPr>
          <w:szCs w:val="24"/>
        </w:rPr>
      </w:pPr>
      <w:r w:rsidRPr="00B60D44">
        <w:rPr>
          <w:szCs w:val="24"/>
          <w:lang w:val="en-GB"/>
        </w:rPr>
        <w:t xml:space="preserve">The timing of the </w:t>
      </w:r>
      <w:r w:rsidRPr="00B60D44">
        <w:rPr>
          <w:i/>
          <w:szCs w:val="24"/>
          <w:lang w:val="en-GB"/>
        </w:rPr>
        <w:t>BRCA</w:t>
      </w:r>
      <w:r w:rsidRPr="00B60D44">
        <w:rPr>
          <w:szCs w:val="24"/>
          <w:lang w:val="en-GB"/>
        </w:rPr>
        <w:t>m test is consistent with the proposed clinical management algorithm, where patients are tested before response to platinum-based chemotherapy has been verified, but inconsistent with the proposed restriction for olaparib, where patients are tested after response to platinum-based chemotherapy. However, using this scenario for the base case provides an upward estimate for the financial estimates.</w:t>
      </w:r>
    </w:p>
    <w:p w14:paraId="2D6FACCA" w14:textId="77777777" w:rsidR="00B60D44" w:rsidRPr="006E6A87" w:rsidRDefault="00B60D44" w:rsidP="00885907">
      <w:pPr>
        <w:pStyle w:val="Heading5"/>
        <w:rPr>
          <w:rFonts w:ascii="Times New Roman" w:hAnsi="Times New Roman" w:cs="Times New Roman"/>
          <w:i/>
          <w:color w:val="auto"/>
          <w:szCs w:val="24"/>
          <w:u w:val="single"/>
        </w:rPr>
      </w:pPr>
      <w:r w:rsidRPr="00B60D44">
        <w:rPr>
          <w:rFonts w:ascii="Times New Roman" w:hAnsi="Times New Roman" w:cs="Times New Roman"/>
          <w:color w:val="auto"/>
          <w:szCs w:val="24"/>
          <w:u w:val="single"/>
        </w:rPr>
        <w:t>Other issues</w:t>
      </w:r>
      <w:r w:rsidRPr="006E6A87">
        <w:rPr>
          <w:rFonts w:ascii="Times New Roman" w:hAnsi="Times New Roman" w:cs="Times New Roman"/>
          <w:color w:val="auto"/>
          <w:szCs w:val="24"/>
        </w:rPr>
        <w:t>:</w:t>
      </w:r>
    </w:p>
    <w:p w14:paraId="304495AE" w14:textId="090D05A0" w:rsidR="00B60D44" w:rsidRPr="00B60D44" w:rsidRDefault="00B60D44" w:rsidP="00885907">
      <w:pPr>
        <w:pStyle w:val="ListParagraph"/>
        <w:numPr>
          <w:ilvl w:val="0"/>
          <w:numId w:val="29"/>
        </w:numPr>
        <w:rPr>
          <w:szCs w:val="24"/>
        </w:rPr>
      </w:pPr>
      <w:r w:rsidRPr="00B60D44">
        <w:rPr>
          <w:szCs w:val="24"/>
        </w:rPr>
        <w:t>The sensitivity and specificity of the tumour testing might be lower than 100% in the Australian setting:</w:t>
      </w:r>
    </w:p>
    <w:p w14:paraId="2F7C115B" w14:textId="77777777" w:rsidR="006E6A87" w:rsidRDefault="00B60D44" w:rsidP="00885907">
      <w:pPr>
        <w:pStyle w:val="ListParagraph"/>
        <w:numPr>
          <w:ilvl w:val="1"/>
          <w:numId w:val="29"/>
        </w:numPr>
        <w:rPr>
          <w:szCs w:val="24"/>
        </w:rPr>
      </w:pPr>
      <w:r w:rsidRPr="00B60D44">
        <w:rPr>
          <w:szCs w:val="24"/>
        </w:rPr>
        <w:t xml:space="preserve">If the specificity would be less than 100%, olaparib treatment might be less effective with regards to progression-free survival, as the efficacy was lower in patients with </w:t>
      </w:r>
      <w:r w:rsidR="00E61ECA">
        <w:rPr>
          <w:szCs w:val="24"/>
        </w:rPr>
        <w:t>non-</w:t>
      </w:r>
      <w:r w:rsidR="00E61ECA" w:rsidRPr="00B60D44">
        <w:rPr>
          <w:i/>
          <w:szCs w:val="24"/>
        </w:rPr>
        <w:t>BRCA</w:t>
      </w:r>
      <w:r w:rsidR="00E61ECA">
        <w:rPr>
          <w:szCs w:val="24"/>
        </w:rPr>
        <w:t>m</w:t>
      </w:r>
      <w:r w:rsidRPr="00B60D44">
        <w:rPr>
          <w:szCs w:val="24"/>
        </w:rPr>
        <w:t>/unknown; and</w:t>
      </w:r>
    </w:p>
    <w:p w14:paraId="08B49CB6" w14:textId="4D1103A6" w:rsidR="006A0D97" w:rsidRPr="00C52440" w:rsidRDefault="00B60D44" w:rsidP="006A0D97">
      <w:pPr>
        <w:pStyle w:val="ListParagraph"/>
        <w:numPr>
          <w:ilvl w:val="1"/>
          <w:numId w:val="29"/>
        </w:numPr>
        <w:rPr>
          <w:szCs w:val="24"/>
        </w:rPr>
      </w:pPr>
      <w:r w:rsidRPr="006E6A87">
        <w:rPr>
          <w:szCs w:val="24"/>
        </w:rPr>
        <w:t xml:space="preserve">If the sensitivity would be less than 100%, fewer patients with </w:t>
      </w:r>
      <w:r w:rsidRPr="006E6A87">
        <w:rPr>
          <w:i/>
          <w:szCs w:val="24"/>
        </w:rPr>
        <w:t>BRCA</w:t>
      </w:r>
      <w:r w:rsidRPr="006E6A87">
        <w:rPr>
          <w:szCs w:val="24"/>
        </w:rPr>
        <w:t>m would be treated, reducing the potential efficacy of the ‘</w:t>
      </w:r>
      <w:r w:rsidRPr="006E6A87">
        <w:rPr>
          <w:i/>
          <w:szCs w:val="24"/>
        </w:rPr>
        <w:t>BRCA</w:t>
      </w:r>
      <w:r w:rsidRPr="006E6A87">
        <w:rPr>
          <w:szCs w:val="24"/>
        </w:rPr>
        <w:t xml:space="preserve"> testing and olaparib’ co-dependent technology.</w:t>
      </w:r>
    </w:p>
    <w:p w14:paraId="13ECB615" w14:textId="77777777" w:rsidR="00BC1364" w:rsidRDefault="00BC1364" w:rsidP="007B32D1">
      <w:pPr>
        <w:pStyle w:val="Heading1"/>
        <w:numPr>
          <w:ilvl w:val="0"/>
          <w:numId w:val="23"/>
        </w:numPr>
        <w:ind w:hanging="720"/>
      </w:pPr>
      <w:r w:rsidRPr="008D5885">
        <w:lastRenderedPageBreak/>
        <w:t>Other significant factors</w:t>
      </w:r>
    </w:p>
    <w:p w14:paraId="7B11ED70" w14:textId="77777777" w:rsidR="00D90A38" w:rsidRDefault="00D90A38" w:rsidP="00DD2858">
      <w:pPr>
        <w:rPr>
          <w:szCs w:val="24"/>
        </w:rPr>
      </w:pPr>
    </w:p>
    <w:p w14:paraId="79CEC929" w14:textId="64B4A25F" w:rsidR="00B60D44" w:rsidRDefault="00E61ECA" w:rsidP="00B60D44">
      <w:pPr>
        <w:rPr>
          <w:szCs w:val="24"/>
        </w:rPr>
      </w:pPr>
      <w:r>
        <w:rPr>
          <w:szCs w:val="24"/>
        </w:rPr>
        <w:t xml:space="preserve">Table </w:t>
      </w:r>
      <w:r w:rsidR="001105B6">
        <w:rPr>
          <w:szCs w:val="24"/>
        </w:rPr>
        <w:t>6</w:t>
      </w:r>
      <w:r w:rsidR="00B60D44" w:rsidRPr="00B60D44">
        <w:rPr>
          <w:szCs w:val="24"/>
        </w:rPr>
        <w:t xml:space="preserve"> presents the scenarios </w:t>
      </w:r>
      <w:r w:rsidR="001105B6">
        <w:rPr>
          <w:szCs w:val="24"/>
        </w:rPr>
        <w:t xml:space="preserve">for MBS and PBS listing </w:t>
      </w:r>
      <w:r w:rsidR="00B60D44" w:rsidRPr="00B60D44">
        <w:rPr>
          <w:szCs w:val="24"/>
        </w:rPr>
        <w:t xml:space="preserve">presented in the submission and </w:t>
      </w:r>
      <w:r w:rsidR="006E6A87">
        <w:rPr>
          <w:szCs w:val="24"/>
        </w:rPr>
        <w:t xml:space="preserve">in </w:t>
      </w:r>
      <w:r w:rsidR="00B60D44" w:rsidRPr="00B60D44">
        <w:rPr>
          <w:szCs w:val="24"/>
        </w:rPr>
        <w:t>the Protocol ratified by the Protocol Advisory Sub-Committee of MSAC.</w:t>
      </w:r>
    </w:p>
    <w:p w14:paraId="217985E7" w14:textId="77777777" w:rsidR="001105B6" w:rsidRPr="00B60D44" w:rsidRDefault="001105B6" w:rsidP="00B60D44">
      <w:pPr>
        <w:rPr>
          <w:szCs w:val="24"/>
        </w:rPr>
      </w:pPr>
    </w:p>
    <w:p w14:paraId="0C639CEB" w14:textId="00C5F899" w:rsidR="00B60D44" w:rsidRPr="001105B6" w:rsidRDefault="00E61ECA" w:rsidP="00B60D44">
      <w:pPr>
        <w:keepNext/>
        <w:rPr>
          <w:rStyle w:val="CommentReference"/>
          <w:rFonts w:ascii="Arial Narrow" w:hAnsi="Arial Narrow" w:cs="Arial"/>
          <w:b/>
          <w:sz w:val="20"/>
          <w:szCs w:val="20"/>
        </w:rPr>
      </w:pPr>
      <w:r w:rsidRPr="001105B6">
        <w:rPr>
          <w:rStyle w:val="CommentReference"/>
          <w:rFonts w:ascii="Arial Narrow" w:hAnsi="Arial Narrow" w:cs="Arial"/>
          <w:b/>
          <w:sz w:val="20"/>
          <w:szCs w:val="20"/>
        </w:rPr>
        <w:t xml:space="preserve">Table </w:t>
      </w:r>
      <w:r w:rsidR="001105B6" w:rsidRPr="001105B6">
        <w:rPr>
          <w:rStyle w:val="CommentReference"/>
          <w:rFonts w:ascii="Arial Narrow" w:hAnsi="Arial Narrow" w:cs="Arial"/>
          <w:b/>
          <w:sz w:val="20"/>
          <w:szCs w:val="20"/>
        </w:rPr>
        <w:t>6</w:t>
      </w:r>
      <w:r w:rsidR="00B60D44" w:rsidRPr="001105B6">
        <w:rPr>
          <w:rStyle w:val="CommentReference"/>
          <w:rFonts w:ascii="Arial Narrow" w:hAnsi="Arial Narrow" w:cs="Arial"/>
          <w:b/>
          <w:sz w:val="20"/>
          <w:szCs w:val="20"/>
        </w:rPr>
        <w:t>: Scenarios presented in the submission and Protocol</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Description w:val="Scenarios presented in the submission and Protocol-Description of scenarios presented in the submission and Protocol"/>
      </w:tblPr>
      <w:tblGrid>
        <w:gridCol w:w="993"/>
        <w:gridCol w:w="992"/>
        <w:gridCol w:w="992"/>
        <w:gridCol w:w="1985"/>
        <w:gridCol w:w="2268"/>
        <w:gridCol w:w="1111"/>
      </w:tblGrid>
      <w:tr w:rsidR="00B60D44" w:rsidRPr="00054269" w14:paraId="0C24FED8" w14:textId="77777777" w:rsidTr="007C6EBC">
        <w:trPr>
          <w:tblHeader/>
        </w:trPr>
        <w:tc>
          <w:tcPr>
            <w:tcW w:w="993" w:type="dxa"/>
            <w:tcBorders>
              <w:bottom w:val="single" w:sz="4" w:space="0" w:color="auto"/>
            </w:tcBorders>
            <w:shd w:val="clear" w:color="auto" w:fill="auto"/>
          </w:tcPr>
          <w:p w14:paraId="6487ABE6" w14:textId="77777777" w:rsidR="00B60D44" w:rsidRPr="00054269" w:rsidRDefault="00B60D44" w:rsidP="007C6EBC">
            <w:pPr>
              <w:pStyle w:val="TableText"/>
              <w:rPr>
                <w:rFonts w:cs="Arial"/>
                <w:b/>
              </w:rPr>
            </w:pPr>
            <w:r w:rsidRPr="00054269">
              <w:rPr>
                <w:rFonts w:cs="Arial"/>
                <w:b/>
              </w:rPr>
              <w:t>Scenario</w:t>
            </w:r>
          </w:p>
        </w:tc>
        <w:tc>
          <w:tcPr>
            <w:tcW w:w="992" w:type="dxa"/>
            <w:tcBorders>
              <w:bottom w:val="single" w:sz="4" w:space="0" w:color="auto"/>
            </w:tcBorders>
            <w:shd w:val="clear" w:color="auto" w:fill="auto"/>
          </w:tcPr>
          <w:p w14:paraId="43DA902A" w14:textId="77777777" w:rsidR="00B60D44" w:rsidRPr="00054269" w:rsidRDefault="00B60D44" w:rsidP="007C6EBC">
            <w:pPr>
              <w:pStyle w:val="TableText"/>
              <w:rPr>
                <w:rFonts w:cs="Arial"/>
                <w:b/>
              </w:rPr>
            </w:pPr>
            <w:r w:rsidRPr="00054269">
              <w:rPr>
                <w:rFonts w:cs="Arial"/>
                <w:b/>
              </w:rPr>
              <w:t>Biomarker for testing</w:t>
            </w:r>
          </w:p>
        </w:tc>
        <w:tc>
          <w:tcPr>
            <w:tcW w:w="992" w:type="dxa"/>
            <w:tcBorders>
              <w:bottom w:val="single" w:sz="4" w:space="0" w:color="auto"/>
            </w:tcBorders>
            <w:shd w:val="clear" w:color="auto" w:fill="auto"/>
          </w:tcPr>
          <w:p w14:paraId="32D96D88" w14:textId="77777777" w:rsidR="00B60D44" w:rsidRPr="00054269" w:rsidRDefault="00B60D44" w:rsidP="007C6EBC">
            <w:pPr>
              <w:pStyle w:val="TableText"/>
              <w:rPr>
                <w:rFonts w:cs="Arial"/>
                <w:b/>
              </w:rPr>
            </w:pPr>
            <w:r w:rsidRPr="00054269">
              <w:rPr>
                <w:rFonts w:cs="Arial"/>
                <w:b/>
              </w:rPr>
              <w:t>Disease subgroup</w:t>
            </w:r>
          </w:p>
        </w:tc>
        <w:tc>
          <w:tcPr>
            <w:tcW w:w="1985" w:type="dxa"/>
            <w:tcBorders>
              <w:bottom w:val="single" w:sz="4" w:space="0" w:color="auto"/>
            </w:tcBorders>
            <w:shd w:val="clear" w:color="auto" w:fill="auto"/>
          </w:tcPr>
          <w:p w14:paraId="5A4BBED1" w14:textId="77777777" w:rsidR="00B60D44" w:rsidRPr="00054269" w:rsidRDefault="00B60D44" w:rsidP="007C6EBC">
            <w:pPr>
              <w:pStyle w:val="TableText"/>
              <w:rPr>
                <w:rFonts w:cs="Arial"/>
                <w:b/>
              </w:rPr>
            </w:pPr>
            <w:r w:rsidRPr="00054269">
              <w:rPr>
                <w:rFonts w:cs="Arial"/>
                <w:b/>
              </w:rPr>
              <w:t>Time of testing</w:t>
            </w:r>
          </w:p>
        </w:tc>
        <w:tc>
          <w:tcPr>
            <w:tcW w:w="2268" w:type="dxa"/>
            <w:tcBorders>
              <w:bottom w:val="single" w:sz="4" w:space="0" w:color="auto"/>
            </w:tcBorders>
            <w:shd w:val="clear" w:color="auto" w:fill="auto"/>
          </w:tcPr>
          <w:p w14:paraId="26E42B8C" w14:textId="77777777" w:rsidR="00B60D44" w:rsidRPr="00054269" w:rsidRDefault="00B60D44" w:rsidP="007C6EBC">
            <w:pPr>
              <w:pStyle w:val="TableText"/>
              <w:rPr>
                <w:rFonts w:cs="Arial"/>
                <w:b/>
              </w:rPr>
            </w:pPr>
            <w:r w:rsidRPr="00054269">
              <w:rPr>
                <w:rFonts w:cs="Arial"/>
                <w:b/>
              </w:rPr>
              <w:t>Time of treatment</w:t>
            </w:r>
          </w:p>
        </w:tc>
        <w:tc>
          <w:tcPr>
            <w:tcW w:w="1111" w:type="dxa"/>
            <w:tcBorders>
              <w:bottom w:val="single" w:sz="4" w:space="0" w:color="auto"/>
            </w:tcBorders>
            <w:shd w:val="clear" w:color="auto" w:fill="auto"/>
          </w:tcPr>
          <w:p w14:paraId="1A67689D" w14:textId="77777777" w:rsidR="00B60D44" w:rsidRPr="00054269" w:rsidRDefault="00B60D44" w:rsidP="007C6EBC">
            <w:pPr>
              <w:pStyle w:val="TableText"/>
              <w:jc w:val="left"/>
              <w:rPr>
                <w:rFonts w:cs="Arial"/>
                <w:b/>
              </w:rPr>
            </w:pPr>
            <w:r w:rsidRPr="00054269">
              <w:rPr>
                <w:rFonts w:cs="Arial"/>
                <w:b/>
              </w:rPr>
              <w:t>Analysis presented in submission</w:t>
            </w:r>
          </w:p>
        </w:tc>
      </w:tr>
      <w:tr w:rsidR="00B60D44" w:rsidRPr="00054269" w14:paraId="55232757" w14:textId="77777777" w:rsidTr="007C6EBC">
        <w:tc>
          <w:tcPr>
            <w:tcW w:w="993" w:type="dxa"/>
            <w:tcBorders>
              <w:top w:val="single" w:sz="4" w:space="0" w:color="auto"/>
              <w:left w:val="single" w:sz="4" w:space="0" w:color="auto"/>
              <w:bottom w:val="single" w:sz="4" w:space="0" w:color="auto"/>
              <w:right w:val="nil"/>
            </w:tcBorders>
            <w:shd w:val="clear" w:color="auto" w:fill="auto"/>
          </w:tcPr>
          <w:p w14:paraId="0251539A" w14:textId="77777777" w:rsidR="00B60D44" w:rsidRPr="00054269" w:rsidRDefault="00B60D44" w:rsidP="007C6EBC">
            <w:pPr>
              <w:pStyle w:val="TableText"/>
              <w:rPr>
                <w:rFonts w:cs="Arial"/>
                <w:b/>
              </w:rPr>
            </w:pPr>
            <w:r w:rsidRPr="00054269">
              <w:rPr>
                <w:rFonts w:cs="Arial"/>
                <w:b/>
              </w:rPr>
              <w:t>Submission</w:t>
            </w:r>
          </w:p>
        </w:tc>
        <w:tc>
          <w:tcPr>
            <w:tcW w:w="992" w:type="dxa"/>
            <w:tcBorders>
              <w:top w:val="single" w:sz="4" w:space="0" w:color="auto"/>
              <w:left w:val="nil"/>
              <w:bottom w:val="single" w:sz="4" w:space="0" w:color="auto"/>
              <w:right w:val="nil"/>
            </w:tcBorders>
            <w:shd w:val="clear" w:color="auto" w:fill="auto"/>
          </w:tcPr>
          <w:p w14:paraId="0500F817"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992" w:type="dxa"/>
            <w:tcBorders>
              <w:top w:val="single" w:sz="4" w:space="0" w:color="auto"/>
              <w:left w:val="nil"/>
              <w:bottom w:val="single" w:sz="4" w:space="0" w:color="auto"/>
              <w:right w:val="nil"/>
            </w:tcBorders>
            <w:shd w:val="clear" w:color="auto" w:fill="auto"/>
          </w:tcPr>
          <w:p w14:paraId="113A463B"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1985" w:type="dxa"/>
            <w:tcBorders>
              <w:top w:val="single" w:sz="4" w:space="0" w:color="auto"/>
              <w:left w:val="nil"/>
              <w:bottom w:val="single" w:sz="4" w:space="0" w:color="auto"/>
              <w:right w:val="nil"/>
            </w:tcBorders>
            <w:shd w:val="clear" w:color="auto" w:fill="auto"/>
          </w:tcPr>
          <w:p w14:paraId="03A4EE90"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2268" w:type="dxa"/>
            <w:tcBorders>
              <w:top w:val="single" w:sz="4" w:space="0" w:color="auto"/>
              <w:left w:val="nil"/>
              <w:bottom w:val="single" w:sz="4" w:space="0" w:color="auto"/>
              <w:right w:val="nil"/>
            </w:tcBorders>
            <w:shd w:val="clear" w:color="auto" w:fill="auto"/>
          </w:tcPr>
          <w:p w14:paraId="6960CA30"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1111" w:type="dxa"/>
            <w:tcBorders>
              <w:top w:val="single" w:sz="4" w:space="0" w:color="auto"/>
              <w:left w:val="nil"/>
              <w:bottom w:val="single" w:sz="4" w:space="0" w:color="auto"/>
              <w:right w:val="single" w:sz="4" w:space="0" w:color="auto"/>
            </w:tcBorders>
            <w:shd w:val="clear" w:color="auto" w:fill="auto"/>
          </w:tcPr>
          <w:p w14:paraId="41397AA7"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r>
      <w:tr w:rsidR="00B60D44" w:rsidRPr="00054269" w14:paraId="1549CA88" w14:textId="77777777" w:rsidTr="007C6EBC">
        <w:tc>
          <w:tcPr>
            <w:tcW w:w="993" w:type="dxa"/>
            <w:tcBorders>
              <w:top w:val="single" w:sz="4" w:space="0" w:color="auto"/>
            </w:tcBorders>
            <w:shd w:val="clear" w:color="auto" w:fill="auto"/>
          </w:tcPr>
          <w:p w14:paraId="40A92A2B" w14:textId="77777777" w:rsidR="00B60D44" w:rsidRPr="00054269" w:rsidRDefault="00B60D44" w:rsidP="007C6EBC">
            <w:pPr>
              <w:pStyle w:val="TableText"/>
              <w:jc w:val="left"/>
              <w:rPr>
                <w:rFonts w:cs="Arial"/>
              </w:rPr>
            </w:pPr>
            <w:r w:rsidRPr="00054269">
              <w:rPr>
                <w:rFonts w:cs="Arial"/>
              </w:rPr>
              <w:t>Submission base case (Scenario 1)</w:t>
            </w:r>
          </w:p>
        </w:tc>
        <w:tc>
          <w:tcPr>
            <w:tcW w:w="992" w:type="dxa"/>
            <w:tcBorders>
              <w:top w:val="single" w:sz="4" w:space="0" w:color="auto"/>
            </w:tcBorders>
            <w:shd w:val="clear" w:color="auto" w:fill="auto"/>
          </w:tcPr>
          <w:p w14:paraId="34C38D3D" w14:textId="77777777" w:rsidR="00B60D44" w:rsidRPr="00054269" w:rsidRDefault="00B60D44" w:rsidP="007C6EBC">
            <w:pPr>
              <w:pStyle w:val="TableText"/>
              <w:jc w:val="left"/>
              <w:rPr>
                <w:rFonts w:cs="Arial"/>
              </w:rPr>
            </w:pPr>
            <w:r w:rsidRPr="00054269">
              <w:rPr>
                <w:rFonts w:cs="Arial"/>
              </w:rPr>
              <w:t>Germline and tumour</w:t>
            </w:r>
          </w:p>
        </w:tc>
        <w:tc>
          <w:tcPr>
            <w:tcW w:w="992" w:type="dxa"/>
            <w:tcBorders>
              <w:top w:val="single" w:sz="4" w:space="0" w:color="auto"/>
            </w:tcBorders>
            <w:shd w:val="clear" w:color="auto" w:fill="auto"/>
          </w:tcPr>
          <w:p w14:paraId="4D0E19ED" w14:textId="77777777" w:rsidR="00B60D44" w:rsidRPr="00054269" w:rsidRDefault="00B60D44" w:rsidP="007C6EBC">
            <w:pPr>
              <w:pStyle w:val="TableText"/>
              <w:jc w:val="left"/>
              <w:rPr>
                <w:rFonts w:cs="Arial"/>
              </w:rPr>
            </w:pPr>
            <w:r w:rsidRPr="0029534A">
              <w:rPr>
                <w:rFonts w:cs="Arial"/>
                <w:i/>
              </w:rPr>
              <w:t>BRCA</w:t>
            </w:r>
            <w:r w:rsidRPr="00054269">
              <w:rPr>
                <w:rFonts w:cs="Arial"/>
              </w:rPr>
              <w:t>m PSR ovarian cancer</w:t>
            </w:r>
          </w:p>
        </w:tc>
        <w:tc>
          <w:tcPr>
            <w:tcW w:w="1985" w:type="dxa"/>
            <w:tcBorders>
              <w:top w:val="single" w:sz="4" w:space="0" w:color="auto"/>
            </w:tcBorders>
            <w:shd w:val="clear" w:color="auto" w:fill="auto"/>
          </w:tcPr>
          <w:p w14:paraId="31057EDA" w14:textId="77777777" w:rsidR="00B60D44" w:rsidRPr="00054269" w:rsidRDefault="00B60D44" w:rsidP="007C6EBC">
            <w:pPr>
              <w:pStyle w:val="TableText"/>
              <w:jc w:val="left"/>
              <w:rPr>
                <w:rFonts w:cs="Arial"/>
              </w:rPr>
            </w:pPr>
            <w:r w:rsidRPr="00054269">
              <w:rPr>
                <w:rFonts w:cs="Arial"/>
              </w:rPr>
              <w:t xml:space="preserve">At relapse </w:t>
            </w:r>
            <w:r>
              <w:rPr>
                <w:rFonts w:cs="Arial"/>
              </w:rPr>
              <w:t>after first course of platinum-based chemotherapy</w:t>
            </w:r>
          </w:p>
        </w:tc>
        <w:tc>
          <w:tcPr>
            <w:tcW w:w="2268" w:type="dxa"/>
            <w:tcBorders>
              <w:top w:val="single" w:sz="4" w:space="0" w:color="auto"/>
            </w:tcBorders>
            <w:shd w:val="clear" w:color="auto" w:fill="auto"/>
          </w:tcPr>
          <w:p w14:paraId="3AE03E4C" w14:textId="77777777" w:rsidR="00B60D44" w:rsidRPr="00054269" w:rsidRDefault="00B60D44" w:rsidP="007C6EBC">
            <w:pPr>
              <w:pStyle w:val="TableText"/>
              <w:jc w:val="left"/>
              <w:rPr>
                <w:rFonts w:cs="Arial"/>
              </w:rPr>
            </w:pPr>
            <w:r w:rsidRPr="00054269">
              <w:rPr>
                <w:rFonts w:cs="Arial"/>
              </w:rPr>
              <w:t>Within 8 weeks of completing</w:t>
            </w:r>
            <w:r>
              <w:rPr>
                <w:rFonts w:cs="Arial"/>
              </w:rPr>
              <w:t xml:space="preserve"> second course of</w:t>
            </w:r>
            <w:r w:rsidRPr="00054269">
              <w:rPr>
                <w:rFonts w:cs="Arial"/>
              </w:rPr>
              <w:t xml:space="preserve"> platinum-based chemotherapy</w:t>
            </w:r>
          </w:p>
        </w:tc>
        <w:tc>
          <w:tcPr>
            <w:tcW w:w="1111" w:type="dxa"/>
            <w:tcBorders>
              <w:top w:val="single" w:sz="4" w:space="0" w:color="auto"/>
            </w:tcBorders>
            <w:shd w:val="clear" w:color="auto" w:fill="auto"/>
          </w:tcPr>
          <w:p w14:paraId="47C2BFED" w14:textId="77777777" w:rsidR="00B60D44" w:rsidRPr="00054269" w:rsidRDefault="00B60D44" w:rsidP="007C6EBC">
            <w:pPr>
              <w:pStyle w:val="TableText"/>
              <w:jc w:val="left"/>
              <w:rPr>
                <w:rFonts w:cs="Arial"/>
              </w:rPr>
            </w:pPr>
            <w:r w:rsidRPr="00054269">
              <w:rPr>
                <w:rFonts w:cs="Arial"/>
              </w:rPr>
              <w:t>Yes</w:t>
            </w:r>
          </w:p>
        </w:tc>
      </w:tr>
      <w:tr w:rsidR="00B60D44" w:rsidRPr="00054269" w14:paraId="4B5D8741" w14:textId="77777777" w:rsidTr="007C6EBC">
        <w:tc>
          <w:tcPr>
            <w:tcW w:w="993" w:type="dxa"/>
            <w:shd w:val="clear" w:color="auto" w:fill="auto"/>
          </w:tcPr>
          <w:p w14:paraId="4AEB784E" w14:textId="77777777" w:rsidR="00B60D44" w:rsidRPr="00054269" w:rsidRDefault="00B60D44" w:rsidP="007C6EBC">
            <w:pPr>
              <w:pStyle w:val="TableText"/>
              <w:jc w:val="left"/>
              <w:rPr>
                <w:rFonts w:cs="Arial"/>
              </w:rPr>
            </w:pPr>
            <w:r w:rsidRPr="00054269">
              <w:rPr>
                <w:rFonts w:cs="Arial"/>
              </w:rPr>
              <w:t>Submission alternative (Scenario 2)</w:t>
            </w:r>
          </w:p>
        </w:tc>
        <w:tc>
          <w:tcPr>
            <w:tcW w:w="992" w:type="dxa"/>
            <w:shd w:val="clear" w:color="auto" w:fill="auto"/>
          </w:tcPr>
          <w:p w14:paraId="46732B51" w14:textId="77777777" w:rsidR="00B60D44" w:rsidRPr="00054269" w:rsidRDefault="00B60D44" w:rsidP="007C6EBC">
            <w:pPr>
              <w:pStyle w:val="TableText"/>
              <w:jc w:val="left"/>
              <w:rPr>
                <w:rFonts w:cs="Arial"/>
              </w:rPr>
            </w:pPr>
            <w:r w:rsidRPr="00054269">
              <w:rPr>
                <w:rFonts w:cs="Arial"/>
              </w:rPr>
              <w:t>Germline and tumour</w:t>
            </w:r>
          </w:p>
        </w:tc>
        <w:tc>
          <w:tcPr>
            <w:tcW w:w="992" w:type="dxa"/>
            <w:shd w:val="clear" w:color="auto" w:fill="auto"/>
          </w:tcPr>
          <w:p w14:paraId="4B519A3E" w14:textId="77777777" w:rsidR="00B60D44" w:rsidRPr="00054269" w:rsidRDefault="00B60D44" w:rsidP="007C6EBC">
            <w:pPr>
              <w:pStyle w:val="TableText"/>
              <w:jc w:val="left"/>
              <w:rPr>
                <w:rFonts w:cs="Arial"/>
              </w:rPr>
            </w:pPr>
            <w:r w:rsidRPr="0029534A">
              <w:rPr>
                <w:rFonts w:cs="Arial"/>
                <w:i/>
              </w:rPr>
              <w:t>BRCA</w:t>
            </w:r>
            <w:r w:rsidRPr="00054269">
              <w:rPr>
                <w:rFonts w:cs="Arial"/>
              </w:rPr>
              <w:t>m PSR ovarian cancer</w:t>
            </w:r>
          </w:p>
        </w:tc>
        <w:tc>
          <w:tcPr>
            <w:tcW w:w="1985" w:type="dxa"/>
            <w:shd w:val="clear" w:color="auto" w:fill="auto"/>
          </w:tcPr>
          <w:p w14:paraId="149711DF" w14:textId="77777777" w:rsidR="00B60D44" w:rsidRPr="00054269" w:rsidRDefault="00B60D44" w:rsidP="007C6EBC">
            <w:pPr>
              <w:pStyle w:val="TableText"/>
              <w:jc w:val="left"/>
              <w:rPr>
                <w:rFonts w:cs="Arial"/>
              </w:rPr>
            </w:pPr>
            <w:r w:rsidRPr="00054269">
              <w:rPr>
                <w:rFonts w:cs="Arial"/>
              </w:rPr>
              <w:t xml:space="preserve">After response to </w:t>
            </w:r>
            <w:r>
              <w:rPr>
                <w:rFonts w:cs="Arial"/>
              </w:rPr>
              <w:t xml:space="preserve">second course of </w:t>
            </w:r>
            <w:r w:rsidRPr="00054269">
              <w:rPr>
                <w:rFonts w:cs="Arial"/>
              </w:rPr>
              <w:t>platinum-based chemoth</w:t>
            </w:r>
            <w:r>
              <w:rPr>
                <w:rFonts w:cs="Arial"/>
              </w:rPr>
              <w:t>erapy</w:t>
            </w:r>
          </w:p>
        </w:tc>
        <w:tc>
          <w:tcPr>
            <w:tcW w:w="2268" w:type="dxa"/>
            <w:shd w:val="clear" w:color="auto" w:fill="auto"/>
          </w:tcPr>
          <w:p w14:paraId="02954738" w14:textId="77777777" w:rsidR="00B60D44" w:rsidRPr="00054269" w:rsidRDefault="00B60D44" w:rsidP="007C6EBC">
            <w:pPr>
              <w:pStyle w:val="TableText"/>
              <w:jc w:val="left"/>
              <w:rPr>
                <w:rFonts w:cs="Arial"/>
              </w:rPr>
            </w:pPr>
            <w:r w:rsidRPr="00054269">
              <w:rPr>
                <w:rFonts w:cs="Arial"/>
              </w:rPr>
              <w:t xml:space="preserve">Within 8 weeks of completing </w:t>
            </w:r>
            <w:r>
              <w:rPr>
                <w:rFonts w:cs="Arial"/>
              </w:rPr>
              <w:t xml:space="preserve">second course of </w:t>
            </w:r>
            <w:r w:rsidRPr="00054269">
              <w:rPr>
                <w:rFonts w:cs="Arial"/>
              </w:rPr>
              <w:t>platinum-based chemotherapy</w:t>
            </w:r>
          </w:p>
        </w:tc>
        <w:tc>
          <w:tcPr>
            <w:tcW w:w="1111" w:type="dxa"/>
            <w:shd w:val="clear" w:color="auto" w:fill="auto"/>
          </w:tcPr>
          <w:p w14:paraId="33D9F374" w14:textId="77777777" w:rsidR="00B60D44" w:rsidRPr="00054269" w:rsidRDefault="00B60D44" w:rsidP="007C6EBC">
            <w:pPr>
              <w:pStyle w:val="TableText"/>
              <w:jc w:val="left"/>
              <w:rPr>
                <w:rFonts w:cs="Arial"/>
              </w:rPr>
            </w:pPr>
            <w:r w:rsidRPr="00054269">
              <w:rPr>
                <w:rFonts w:cs="Arial"/>
              </w:rPr>
              <w:t>No</w:t>
            </w:r>
          </w:p>
        </w:tc>
      </w:tr>
      <w:tr w:rsidR="00B60D44" w:rsidRPr="00054269" w14:paraId="64E75107" w14:textId="77777777" w:rsidTr="007C6EBC">
        <w:tc>
          <w:tcPr>
            <w:tcW w:w="993" w:type="dxa"/>
            <w:tcBorders>
              <w:top w:val="single" w:sz="4" w:space="0" w:color="auto"/>
              <w:left w:val="single" w:sz="4" w:space="0" w:color="auto"/>
              <w:bottom w:val="single" w:sz="4" w:space="0" w:color="auto"/>
              <w:right w:val="nil"/>
            </w:tcBorders>
            <w:shd w:val="clear" w:color="auto" w:fill="auto"/>
          </w:tcPr>
          <w:p w14:paraId="5E1A987C" w14:textId="77777777" w:rsidR="00B60D44" w:rsidRPr="00054269" w:rsidRDefault="00B60D44" w:rsidP="007C6EBC">
            <w:pPr>
              <w:pStyle w:val="TableText"/>
              <w:jc w:val="left"/>
              <w:rPr>
                <w:rFonts w:cs="Arial"/>
                <w:b/>
              </w:rPr>
            </w:pPr>
            <w:r w:rsidRPr="00054269">
              <w:rPr>
                <w:rFonts w:cs="Arial"/>
                <w:b/>
              </w:rPr>
              <w:t>Protocol</w:t>
            </w:r>
          </w:p>
        </w:tc>
        <w:tc>
          <w:tcPr>
            <w:tcW w:w="992" w:type="dxa"/>
            <w:tcBorders>
              <w:top w:val="single" w:sz="4" w:space="0" w:color="auto"/>
              <w:left w:val="nil"/>
              <w:bottom w:val="single" w:sz="4" w:space="0" w:color="auto"/>
              <w:right w:val="nil"/>
            </w:tcBorders>
            <w:shd w:val="clear" w:color="auto" w:fill="auto"/>
          </w:tcPr>
          <w:p w14:paraId="3D58BF03"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992" w:type="dxa"/>
            <w:tcBorders>
              <w:top w:val="single" w:sz="4" w:space="0" w:color="auto"/>
              <w:left w:val="nil"/>
              <w:bottom w:val="single" w:sz="4" w:space="0" w:color="auto"/>
              <w:right w:val="nil"/>
            </w:tcBorders>
            <w:shd w:val="clear" w:color="auto" w:fill="auto"/>
          </w:tcPr>
          <w:p w14:paraId="10A4BA7F"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1985" w:type="dxa"/>
            <w:tcBorders>
              <w:top w:val="single" w:sz="4" w:space="0" w:color="auto"/>
              <w:left w:val="nil"/>
              <w:bottom w:val="single" w:sz="4" w:space="0" w:color="auto"/>
              <w:right w:val="nil"/>
            </w:tcBorders>
            <w:shd w:val="clear" w:color="auto" w:fill="auto"/>
          </w:tcPr>
          <w:p w14:paraId="1A935CE7"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2268" w:type="dxa"/>
            <w:tcBorders>
              <w:top w:val="single" w:sz="4" w:space="0" w:color="auto"/>
              <w:left w:val="nil"/>
              <w:bottom w:val="single" w:sz="4" w:space="0" w:color="auto"/>
              <w:right w:val="nil"/>
            </w:tcBorders>
            <w:shd w:val="clear" w:color="auto" w:fill="auto"/>
          </w:tcPr>
          <w:p w14:paraId="225FB754"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c>
          <w:tcPr>
            <w:tcW w:w="1111" w:type="dxa"/>
            <w:tcBorders>
              <w:top w:val="single" w:sz="4" w:space="0" w:color="auto"/>
              <w:left w:val="nil"/>
              <w:bottom w:val="single" w:sz="4" w:space="0" w:color="auto"/>
              <w:right w:val="single" w:sz="4" w:space="0" w:color="auto"/>
            </w:tcBorders>
            <w:shd w:val="clear" w:color="auto" w:fill="auto"/>
          </w:tcPr>
          <w:p w14:paraId="4D08C7D7" w14:textId="77777777" w:rsidR="00B60D44" w:rsidRPr="00054269" w:rsidRDefault="00B60D44" w:rsidP="007C6EBC">
            <w:pPr>
              <w:pStyle w:val="TableText"/>
              <w:rPr>
                <w:rFonts w:cs="Arial"/>
                <w:b/>
                <w:color w:val="FFFFFF" w:themeColor="background1"/>
              </w:rPr>
            </w:pPr>
            <w:r w:rsidRPr="00054269">
              <w:rPr>
                <w:rFonts w:cs="Arial"/>
                <w:b/>
                <w:color w:val="FFFFFF" w:themeColor="background1"/>
              </w:rPr>
              <w:t>─</w:t>
            </w:r>
          </w:p>
        </w:tc>
      </w:tr>
      <w:tr w:rsidR="00B60D44" w:rsidRPr="00054269" w14:paraId="2054D657" w14:textId="77777777" w:rsidTr="007C6EBC">
        <w:tc>
          <w:tcPr>
            <w:tcW w:w="993" w:type="dxa"/>
            <w:tcBorders>
              <w:top w:val="single" w:sz="4" w:space="0" w:color="auto"/>
            </w:tcBorders>
            <w:shd w:val="clear" w:color="auto" w:fill="auto"/>
          </w:tcPr>
          <w:p w14:paraId="191C7627" w14:textId="77777777" w:rsidR="00B60D44" w:rsidRPr="00054269" w:rsidRDefault="00B60D44" w:rsidP="007C6EBC">
            <w:pPr>
              <w:pStyle w:val="TableText"/>
              <w:jc w:val="left"/>
              <w:rPr>
                <w:rFonts w:cs="Arial"/>
              </w:rPr>
            </w:pPr>
            <w:r w:rsidRPr="00054269">
              <w:rPr>
                <w:rFonts w:cs="Arial"/>
              </w:rPr>
              <w:t>Protocol base case</w:t>
            </w:r>
          </w:p>
          <w:p w14:paraId="73ED6C43" w14:textId="77777777" w:rsidR="00B60D44" w:rsidRPr="00054269" w:rsidRDefault="00B60D44" w:rsidP="007C6EBC">
            <w:pPr>
              <w:pStyle w:val="TableText"/>
              <w:jc w:val="left"/>
              <w:rPr>
                <w:rFonts w:cs="Arial"/>
              </w:rPr>
            </w:pPr>
            <w:r w:rsidRPr="00054269">
              <w:rPr>
                <w:rFonts w:cs="Arial"/>
              </w:rPr>
              <w:t>(Scenario 1)</w:t>
            </w:r>
          </w:p>
        </w:tc>
        <w:tc>
          <w:tcPr>
            <w:tcW w:w="992" w:type="dxa"/>
            <w:tcBorders>
              <w:top w:val="single" w:sz="4" w:space="0" w:color="auto"/>
            </w:tcBorders>
            <w:shd w:val="clear" w:color="auto" w:fill="auto"/>
          </w:tcPr>
          <w:p w14:paraId="765F4C15" w14:textId="77777777" w:rsidR="00B60D44" w:rsidRPr="00054269" w:rsidRDefault="00B60D44" w:rsidP="007C6EBC">
            <w:pPr>
              <w:pStyle w:val="TableText"/>
              <w:jc w:val="left"/>
              <w:rPr>
                <w:rFonts w:cs="Arial"/>
              </w:rPr>
            </w:pPr>
            <w:r w:rsidRPr="00054269">
              <w:rPr>
                <w:rFonts w:cs="Arial"/>
              </w:rPr>
              <w:t>Germline</w:t>
            </w:r>
          </w:p>
        </w:tc>
        <w:tc>
          <w:tcPr>
            <w:tcW w:w="992" w:type="dxa"/>
            <w:tcBorders>
              <w:top w:val="single" w:sz="4" w:space="0" w:color="auto"/>
            </w:tcBorders>
            <w:shd w:val="clear" w:color="auto" w:fill="auto"/>
          </w:tcPr>
          <w:p w14:paraId="40F6CAAC" w14:textId="77777777" w:rsidR="00B60D44" w:rsidRPr="00054269" w:rsidRDefault="00B60D44" w:rsidP="007C6EBC">
            <w:pPr>
              <w:pStyle w:val="TableText"/>
              <w:jc w:val="left"/>
              <w:rPr>
                <w:rFonts w:cs="Arial"/>
              </w:rPr>
            </w:pPr>
            <w:r w:rsidRPr="0029534A">
              <w:rPr>
                <w:rFonts w:cs="Arial"/>
                <w:i/>
              </w:rPr>
              <w:t>BRCA</w:t>
            </w:r>
            <w:r w:rsidRPr="00054269">
              <w:rPr>
                <w:rFonts w:cs="Arial"/>
              </w:rPr>
              <w:t>m PSR ovarian cancer</w:t>
            </w:r>
          </w:p>
        </w:tc>
        <w:tc>
          <w:tcPr>
            <w:tcW w:w="1985" w:type="dxa"/>
            <w:tcBorders>
              <w:top w:val="single" w:sz="4" w:space="0" w:color="auto"/>
            </w:tcBorders>
            <w:shd w:val="clear" w:color="auto" w:fill="auto"/>
          </w:tcPr>
          <w:p w14:paraId="56CA0ADD" w14:textId="77777777" w:rsidR="00B60D44" w:rsidRPr="00054269" w:rsidRDefault="00B60D44" w:rsidP="007C6EBC">
            <w:pPr>
              <w:pStyle w:val="TableText"/>
              <w:jc w:val="left"/>
              <w:rPr>
                <w:rFonts w:cs="Arial"/>
              </w:rPr>
            </w:pPr>
            <w:r w:rsidRPr="00054269">
              <w:rPr>
                <w:rFonts w:cs="Arial"/>
              </w:rPr>
              <w:t xml:space="preserve">At relapse </w:t>
            </w:r>
            <w:r>
              <w:rPr>
                <w:rFonts w:cs="Arial"/>
              </w:rPr>
              <w:t xml:space="preserve">after first course </w:t>
            </w:r>
            <w:r w:rsidRPr="00054269">
              <w:rPr>
                <w:rFonts w:cs="Arial"/>
              </w:rPr>
              <w:t>of platinum-based chemotherapy</w:t>
            </w:r>
          </w:p>
        </w:tc>
        <w:tc>
          <w:tcPr>
            <w:tcW w:w="2268" w:type="dxa"/>
            <w:tcBorders>
              <w:top w:val="single" w:sz="4" w:space="0" w:color="auto"/>
            </w:tcBorders>
            <w:shd w:val="clear" w:color="auto" w:fill="auto"/>
          </w:tcPr>
          <w:p w14:paraId="200FAD15" w14:textId="77777777" w:rsidR="00B60D44" w:rsidRPr="00054269" w:rsidRDefault="00B60D44" w:rsidP="007C6EBC">
            <w:pPr>
              <w:pStyle w:val="TableText"/>
              <w:jc w:val="left"/>
              <w:rPr>
                <w:rFonts w:cs="Arial"/>
              </w:rPr>
            </w:pPr>
            <w:r w:rsidRPr="00054269">
              <w:rPr>
                <w:rFonts w:cs="Arial"/>
              </w:rPr>
              <w:t>Within 8 weeks of completing</w:t>
            </w:r>
            <w:r>
              <w:rPr>
                <w:rFonts w:cs="Arial"/>
              </w:rPr>
              <w:t xml:space="preserve"> second course of</w:t>
            </w:r>
            <w:r w:rsidRPr="00054269">
              <w:rPr>
                <w:rFonts w:cs="Arial"/>
              </w:rPr>
              <w:t xml:space="preserve"> platinum-based chemotherapy</w:t>
            </w:r>
          </w:p>
        </w:tc>
        <w:tc>
          <w:tcPr>
            <w:tcW w:w="1111" w:type="dxa"/>
            <w:tcBorders>
              <w:top w:val="single" w:sz="4" w:space="0" w:color="auto"/>
            </w:tcBorders>
            <w:shd w:val="clear" w:color="auto" w:fill="auto"/>
          </w:tcPr>
          <w:p w14:paraId="146FCE95" w14:textId="77777777" w:rsidR="00B60D44" w:rsidRPr="00054269" w:rsidRDefault="00B60D44" w:rsidP="007C6EBC">
            <w:pPr>
              <w:pStyle w:val="TableText"/>
              <w:jc w:val="left"/>
              <w:rPr>
                <w:rFonts w:cs="Arial"/>
              </w:rPr>
            </w:pPr>
            <w:r w:rsidRPr="00054269">
              <w:rPr>
                <w:rFonts w:cs="Arial"/>
              </w:rPr>
              <w:t>Yes</w:t>
            </w:r>
          </w:p>
        </w:tc>
      </w:tr>
      <w:tr w:rsidR="00B60D44" w:rsidRPr="00054269" w14:paraId="7D020015" w14:textId="77777777" w:rsidTr="007C6EBC">
        <w:trPr>
          <w:trHeight w:val="64"/>
        </w:trPr>
        <w:tc>
          <w:tcPr>
            <w:tcW w:w="993" w:type="dxa"/>
            <w:shd w:val="clear" w:color="auto" w:fill="auto"/>
          </w:tcPr>
          <w:p w14:paraId="71AF8186" w14:textId="77777777" w:rsidR="00B60D44" w:rsidRPr="00054269" w:rsidRDefault="00B60D44" w:rsidP="007C6EBC">
            <w:pPr>
              <w:pStyle w:val="TableText"/>
              <w:jc w:val="left"/>
              <w:rPr>
                <w:rFonts w:cs="Arial"/>
              </w:rPr>
            </w:pPr>
            <w:r w:rsidRPr="00054269">
              <w:rPr>
                <w:rFonts w:cs="Arial"/>
              </w:rPr>
              <w:t>Protocol alternative</w:t>
            </w:r>
          </w:p>
          <w:p w14:paraId="7508DB2D" w14:textId="77777777" w:rsidR="00B60D44" w:rsidRPr="00054269" w:rsidRDefault="00B60D44" w:rsidP="007C6EBC">
            <w:pPr>
              <w:pStyle w:val="TableText"/>
              <w:jc w:val="left"/>
              <w:rPr>
                <w:rFonts w:cs="Arial"/>
              </w:rPr>
            </w:pPr>
            <w:r w:rsidRPr="00054269">
              <w:rPr>
                <w:rFonts w:cs="Arial"/>
              </w:rPr>
              <w:t>(Scenario 2)</w:t>
            </w:r>
          </w:p>
        </w:tc>
        <w:tc>
          <w:tcPr>
            <w:tcW w:w="992" w:type="dxa"/>
            <w:shd w:val="clear" w:color="auto" w:fill="auto"/>
          </w:tcPr>
          <w:p w14:paraId="6FCD43F5" w14:textId="77777777" w:rsidR="00B60D44" w:rsidRPr="00054269" w:rsidRDefault="00B60D44" w:rsidP="007C6EBC">
            <w:pPr>
              <w:pStyle w:val="TableText"/>
              <w:jc w:val="left"/>
              <w:rPr>
                <w:rFonts w:cs="Arial"/>
              </w:rPr>
            </w:pPr>
            <w:r w:rsidRPr="00054269">
              <w:rPr>
                <w:rFonts w:cs="Arial"/>
              </w:rPr>
              <w:t>Germline</w:t>
            </w:r>
          </w:p>
        </w:tc>
        <w:tc>
          <w:tcPr>
            <w:tcW w:w="992" w:type="dxa"/>
            <w:shd w:val="clear" w:color="auto" w:fill="auto"/>
          </w:tcPr>
          <w:p w14:paraId="30B4FC86" w14:textId="77777777" w:rsidR="00B60D44" w:rsidRPr="00054269" w:rsidRDefault="00B60D44" w:rsidP="007C6EBC">
            <w:pPr>
              <w:pStyle w:val="TableText"/>
              <w:jc w:val="left"/>
              <w:rPr>
                <w:rFonts w:cs="Arial"/>
              </w:rPr>
            </w:pPr>
            <w:r w:rsidRPr="0029534A">
              <w:rPr>
                <w:rFonts w:cs="Arial"/>
                <w:i/>
              </w:rPr>
              <w:t>BRCA</w:t>
            </w:r>
            <w:r w:rsidRPr="00054269">
              <w:rPr>
                <w:rFonts w:cs="Arial"/>
              </w:rPr>
              <w:t>m PSR ovarian cancer</w:t>
            </w:r>
          </w:p>
        </w:tc>
        <w:tc>
          <w:tcPr>
            <w:tcW w:w="1985" w:type="dxa"/>
            <w:shd w:val="clear" w:color="auto" w:fill="auto"/>
          </w:tcPr>
          <w:p w14:paraId="2A487786" w14:textId="77777777" w:rsidR="00B60D44" w:rsidRPr="00054269" w:rsidRDefault="00B60D44" w:rsidP="007C6EBC">
            <w:pPr>
              <w:pStyle w:val="TableText"/>
              <w:jc w:val="left"/>
              <w:rPr>
                <w:rFonts w:cs="Arial"/>
              </w:rPr>
            </w:pPr>
            <w:r w:rsidRPr="00054269">
              <w:rPr>
                <w:rFonts w:cs="Arial"/>
              </w:rPr>
              <w:t xml:space="preserve">After response to </w:t>
            </w:r>
            <w:r>
              <w:rPr>
                <w:rFonts w:cs="Arial"/>
              </w:rPr>
              <w:t xml:space="preserve">second course of </w:t>
            </w:r>
            <w:r w:rsidRPr="00054269">
              <w:rPr>
                <w:rFonts w:cs="Arial"/>
              </w:rPr>
              <w:t>platinum-based chemotherapy</w:t>
            </w:r>
          </w:p>
        </w:tc>
        <w:tc>
          <w:tcPr>
            <w:tcW w:w="2268" w:type="dxa"/>
            <w:shd w:val="clear" w:color="auto" w:fill="auto"/>
          </w:tcPr>
          <w:p w14:paraId="391E1729" w14:textId="77777777" w:rsidR="00B60D44" w:rsidRPr="00054269" w:rsidRDefault="00B60D44" w:rsidP="007C6EBC">
            <w:pPr>
              <w:pStyle w:val="TableText"/>
              <w:jc w:val="left"/>
              <w:rPr>
                <w:rFonts w:cs="Arial"/>
              </w:rPr>
            </w:pPr>
            <w:r w:rsidRPr="00054269">
              <w:rPr>
                <w:rFonts w:cs="Arial"/>
              </w:rPr>
              <w:t>Within 8 weeks of completing</w:t>
            </w:r>
            <w:r>
              <w:rPr>
                <w:rFonts w:cs="Arial"/>
              </w:rPr>
              <w:t xml:space="preserve"> second course of</w:t>
            </w:r>
            <w:r w:rsidRPr="00054269">
              <w:rPr>
                <w:rFonts w:cs="Arial"/>
              </w:rPr>
              <w:t xml:space="preserve"> platinum-based chemotherapy</w:t>
            </w:r>
          </w:p>
        </w:tc>
        <w:tc>
          <w:tcPr>
            <w:tcW w:w="1111" w:type="dxa"/>
            <w:shd w:val="clear" w:color="auto" w:fill="auto"/>
          </w:tcPr>
          <w:p w14:paraId="526B64AC" w14:textId="77777777" w:rsidR="00B60D44" w:rsidRPr="00054269" w:rsidRDefault="00B60D44" w:rsidP="007C6EBC">
            <w:pPr>
              <w:pStyle w:val="TableText"/>
              <w:jc w:val="left"/>
              <w:rPr>
                <w:rFonts w:cs="Arial"/>
              </w:rPr>
            </w:pPr>
            <w:r w:rsidRPr="00054269">
              <w:rPr>
                <w:rFonts w:cs="Arial"/>
              </w:rPr>
              <w:t>No</w:t>
            </w:r>
          </w:p>
        </w:tc>
      </w:tr>
    </w:tbl>
    <w:p w14:paraId="50CA3185" w14:textId="77777777" w:rsidR="00B60D44" w:rsidRPr="00033A7A" w:rsidRDefault="00B60D44" w:rsidP="00B60D44">
      <w:pPr>
        <w:pStyle w:val="TableFooter"/>
      </w:pPr>
      <w:r w:rsidRPr="00033A7A">
        <w:t>Source: compiled during evaluation</w:t>
      </w:r>
    </w:p>
    <w:p w14:paraId="41F08720" w14:textId="3163B694" w:rsidR="001105B6" w:rsidRPr="00D4659F" w:rsidRDefault="00B60D44" w:rsidP="00C52440">
      <w:pPr>
        <w:pStyle w:val="TableFooter"/>
        <w:spacing w:after="240"/>
      </w:pPr>
      <w:r w:rsidRPr="0029534A">
        <w:rPr>
          <w:i/>
        </w:rPr>
        <w:t>BRCA</w:t>
      </w:r>
      <w:r w:rsidRPr="00054269">
        <w:t xml:space="preserve">m = </w:t>
      </w:r>
      <w:r w:rsidRPr="0029534A">
        <w:rPr>
          <w:i/>
        </w:rPr>
        <w:t>BRCA1</w:t>
      </w:r>
      <w:r w:rsidRPr="00054269">
        <w:t xml:space="preserve"> or </w:t>
      </w:r>
      <w:r w:rsidRPr="0029534A">
        <w:rPr>
          <w:i/>
        </w:rPr>
        <w:t>BRCA2</w:t>
      </w:r>
      <w:r w:rsidRPr="00054269">
        <w:t xml:space="preserve"> mutation; PSR = platinum-sensitive relapsed</w:t>
      </w:r>
    </w:p>
    <w:p w14:paraId="1F299084" w14:textId="77777777" w:rsidR="00E61ECA" w:rsidRDefault="00B60D44" w:rsidP="00B60D44">
      <w:pPr>
        <w:rPr>
          <w:szCs w:val="24"/>
        </w:rPr>
      </w:pPr>
      <w:r w:rsidRPr="00B60D44">
        <w:rPr>
          <w:szCs w:val="24"/>
        </w:rPr>
        <w:t xml:space="preserve">The submission explained the advantage of Scenario 1 was that it provided a longer window for the turnaround of </w:t>
      </w:r>
      <w:r w:rsidRPr="00B60D44">
        <w:rPr>
          <w:i/>
          <w:szCs w:val="24"/>
        </w:rPr>
        <w:t>BRCA</w:t>
      </w:r>
      <w:r w:rsidRPr="00B60D44">
        <w:rPr>
          <w:szCs w:val="24"/>
        </w:rPr>
        <w:t xml:space="preserve">m test results, and therefore promoted timely treatment with olaparib. However, given the expected increase in next-generation sequencing technology, which is known to improve turnaround time, and the eight-week window allowed before maintenance treatment with olaparib is required, Scenario 2 represents the PBS-aligned setting, where </w:t>
      </w:r>
      <w:r w:rsidRPr="00B60D44">
        <w:rPr>
          <w:i/>
          <w:szCs w:val="24"/>
        </w:rPr>
        <w:t>BRCA</w:t>
      </w:r>
      <w:r w:rsidRPr="00B60D44">
        <w:rPr>
          <w:szCs w:val="24"/>
        </w:rPr>
        <w:t xml:space="preserve">m testing is done after response to platinum-based chemotherapy has been verified. </w:t>
      </w:r>
    </w:p>
    <w:p w14:paraId="5EF5CE71" w14:textId="77777777" w:rsidR="00E61ECA" w:rsidRDefault="00E61ECA" w:rsidP="00B60D44">
      <w:pPr>
        <w:rPr>
          <w:szCs w:val="24"/>
        </w:rPr>
      </w:pPr>
    </w:p>
    <w:p w14:paraId="7304AA6E" w14:textId="5C00E216" w:rsidR="00B60D44" w:rsidRPr="00E61ECA" w:rsidRDefault="00B60D44" w:rsidP="00B60D44">
      <w:pPr>
        <w:rPr>
          <w:szCs w:val="24"/>
        </w:rPr>
      </w:pPr>
      <w:r w:rsidRPr="00E61ECA">
        <w:rPr>
          <w:szCs w:val="24"/>
        </w:rPr>
        <w:t xml:space="preserve">The </w:t>
      </w:r>
      <w:r w:rsidR="00E61ECA" w:rsidRPr="00E61ECA">
        <w:rPr>
          <w:szCs w:val="24"/>
        </w:rPr>
        <w:t xml:space="preserve">joint </w:t>
      </w:r>
      <w:r w:rsidRPr="00E61ECA">
        <w:rPr>
          <w:szCs w:val="24"/>
        </w:rPr>
        <w:t xml:space="preserve">ESCs noted that the prevalence of a </w:t>
      </w:r>
      <w:r w:rsidRPr="00E61ECA">
        <w:rPr>
          <w:i/>
          <w:szCs w:val="24"/>
        </w:rPr>
        <w:t>BRCA</w:t>
      </w:r>
      <w:r w:rsidRPr="00E61ECA">
        <w:rPr>
          <w:szCs w:val="24"/>
        </w:rPr>
        <w:t xml:space="preserve"> mutation in serous epithelial ovarian cancer is 16%, which suggests that having platinum-sensitive relapsed </w:t>
      </w:r>
      <w:r w:rsidR="00E26081">
        <w:rPr>
          <w:szCs w:val="24"/>
        </w:rPr>
        <w:t xml:space="preserve">ovarian </w:t>
      </w:r>
      <w:r w:rsidRPr="00E61ECA">
        <w:rPr>
          <w:szCs w:val="24"/>
        </w:rPr>
        <w:t xml:space="preserve">cancer selects an enriched population for </w:t>
      </w:r>
      <w:r w:rsidRPr="00E61ECA">
        <w:rPr>
          <w:i/>
          <w:szCs w:val="24"/>
        </w:rPr>
        <w:t>BRCA</w:t>
      </w:r>
      <w:r w:rsidRPr="00E61ECA">
        <w:rPr>
          <w:szCs w:val="24"/>
        </w:rPr>
        <w:t xml:space="preserve"> testing. This has consequences for when to conduct </w:t>
      </w:r>
      <w:r w:rsidRPr="00E61ECA">
        <w:rPr>
          <w:i/>
          <w:szCs w:val="24"/>
        </w:rPr>
        <w:t>BRCA</w:t>
      </w:r>
      <w:r w:rsidRPr="00E61ECA">
        <w:rPr>
          <w:szCs w:val="24"/>
        </w:rPr>
        <w:t xml:space="preserve"> testing: rather than testing all patients with ovarian cancer, it </w:t>
      </w:r>
      <w:r w:rsidR="006D5666" w:rsidRPr="00E61ECA">
        <w:rPr>
          <w:szCs w:val="24"/>
        </w:rPr>
        <w:t xml:space="preserve">may </w:t>
      </w:r>
      <w:r w:rsidRPr="00E61ECA">
        <w:rPr>
          <w:szCs w:val="24"/>
        </w:rPr>
        <w:t xml:space="preserve">be more efficient to determine which of these patients remains platinum-sensitive after a relapse following earlier platinum-based therapy, and then test only this subset, as is proposed in the item descriptor. </w:t>
      </w:r>
      <w:r w:rsidR="006D5666" w:rsidRPr="00E61ECA">
        <w:rPr>
          <w:szCs w:val="24"/>
        </w:rPr>
        <w:t xml:space="preserve">However, there are no Australian data on which to estimate the potential improvement in efficiency. </w:t>
      </w:r>
      <w:r w:rsidRPr="00E61ECA">
        <w:rPr>
          <w:szCs w:val="24"/>
        </w:rPr>
        <w:t xml:space="preserve">Depending on how long it takes to determine platinum sensitivity, and whether tumour </w:t>
      </w:r>
      <w:r w:rsidRPr="00E61ECA">
        <w:rPr>
          <w:i/>
          <w:szCs w:val="24"/>
        </w:rPr>
        <w:t>BRCA</w:t>
      </w:r>
      <w:r w:rsidRPr="00E61ECA">
        <w:rPr>
          <w:szCs w:val="24"/>
        </w:rPr>
        <w:t xml:space="preserve"> testing is to be conducted as well as germline </w:t>
      </w:r>
      <w:r w:rsidRPr="00E61ECA">
        <w:rPr>
          <w:i/>
          <w:szCs w:val="24"/>
        </w:rPr>
        <w:t>BRCA</w:t>
      </w:r>
      <w:r w:rsidRPr="00E61ECA">
        <w:rPr>
          <w:szCs w:val="24"/>
        </w:rPr>
        <w:t xml:space="preserve"> testing, this may involve retrieval of archived resected tumour material or even additional biopsies.</w:t>
      </w:r>
    </w:p>
    <w:p w14:paraId="150B321A" w14:textId="77777777" w:rsidR="00B60D44" w:rsidRPr="00E61ECA" w:rsidRDefault="00B60D44" w:rsidP="00B60D44">
      <w:pPr>
        <w:rPr>
          <w:szCs w:val="24"/>
        </w:rPr>
      </w:pPr>
    </w:p>
    <w:p w14:paraId="698DD7E6" w14:textId="16E9B74C" w:rsidR="00B60D44" w:rsidRPr="00B60D44" w:rsidRDefault="00B60D44" w:rsidP="00B60D44">
      <w:pPr>
        <w:rPr>
          <w:szCs w:val="24"/>
        </w:rPr>
      </w:pPr>
      <w:r w:rsidRPr="00E61ECA">
        <w:rPr>
          <w:szCs w:val="24"/>
        </w:rPr>
        <w:t xml:space="preserve">The </w:t>
      </w:r>
      <w:r w:rsidR="00E61ECA" w:rsidRPr="00E61ECA">
        <w:rPr>
          <w:szCs w:val="24"/>
        </w:rPr>
        <w:t xml:space="preserve">joint </w:t>
      </w:r>
      <w:r w:rsidRPr="00E61ECA">
        <w:rPr>
          <w:szCs w:val="24"/>
        </w:rPr>
        <w:t xml:space="preserve">ESCs considered that Scenario 2 would be more appropriate, noting that this would optimise the efficiency of </w:t>
      </w:r>
      <w:r w:rsidRPr="00E61ECA">
        <w:rPr>
          <w:i/>
          <w:szCs w:val="24"/>
        </w:rPr>
        <w:t>BRCA</w:t>
      </w:r>
      <w:r w:rsidRPr="00E61ECA">
        <w:rPr>
          <w:szCs w:val="24"/>
        </w:rPr>
        <w:t xml:space="preserve"> testing. The proposed clinical management algorithm,</w:t>
      </w:r>
      <w:r w:rsidRPr="00B60D44">
        <w:rPr>
          <w:szCs w:val="24"/>
        </w:rPr>
        <w:t xml:space="preserve"> economic model and financial estimates used Scenario 1.</w:t>
      </w:r>
    </w:p>
    <w:p w14:paraId="01A08533" w14:textId="77777777" w:rsidR="00BC1364" w:rsidRPr="00707064" w:rsidRDefault="00BC1364" w:rsidP="00DD2858">
      <w:pPr>
        <w:tabs>
          <w:tab w:val="left" w:pos="720"/>
        </w:tabs>
        <w:ind w:left="709" w:hanging="709"/>
        <w:rPr>
          <w:szCs w:val="24"/>
        </w:rPr>
      </w:pPr>
    </w:p>
    <w:p w14:paraId="0622A58F"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7A3622FB" w14:textId="77777777" w:rsidR="00BC1364" w:rsidRPr="001105B6" w:rsidRDefault="00BC1364" w:rsidP="00230D6B">
      <w:pPr>
        <w:tabs>
          <w:tab w:val="left" w:pos="720"/>
        </w:tabs>
        <w:ind w:left="709" w:hanging="709"/>
        <w:rPr>
          <w:szCs w:val="24"/>
        </w:rPr>
      </w:pPr>
    </w:p>
    <w:p w14:paraId="09E90030" w14:textId="0B1E39C3" w:rsidR="000F75DF" w:rsidRDefault="00FD49D0" w:rsidP="000F75DF">
      <w:pPr>
        <w:rPr>
          <w:color w:val="0070C0"/>
          <w:szCs w:val="24"/>
        </w:rPr>
      </w:pPr>
      <w:r w:rsidRPr="00B25376">
        <w:rPr>
          <w:szCs w:val="24"/>
        </w:rPr>
        <w:t>The applicant had no comments.</w:t>
      </w:r>
    </w:p>
    <w:p w14:paraId="31C4AB99" w14:textId="77777777" w:rsidR="00FD5DE0" w:rsidRDefault="00FD5DE0" w:rsidP="000F75DF">
      <w:pPr>
        <w:rPr>
          <w:color w:val="0070C0"/>
          <w:szCs w:val="24"/>
        </w:rPr>
      </w:pPr>
    </w:p>
    <w:p w14:paraId="3C2BC6EB" w14:textId="77777777" w:rsidR="00483A02" w:rsidRDefault="00483A02">
      <w:pPr>
        <w:rPr>
          <w:rFonts w:ascii="Arial" w:hAnsi="Arial"/>
          <w:b/>
          <w:bCs/>
          <w:szCs w:val="28"/>
        </w:rPr>
      </w:pPr>
      <w:r>
        <w:br w:type="page"/>
      </w:r>
    </w:p>
    <w:p w14:paraId="34B0D9F8" w14:textId="68B328A9" w:rsidR="00BC1364" w:rsidRDefault="00271F18" w:rsidP="007B32D1">
      <w:pPr>
        <w:pStyle w:val="Heading1"/>
        <w:numPr>
          <w:ilvl w:val="0"/>
          <w:numId w:val="23"/>
        </w:numPr>
        <w:ind w:hanging="720"/>
      </w:pPr>
      <w:r>
        <w:lastRenderedPageBreak/>
        <w:t>Further information on MSAC</w:t>
      </w:r>
    </w:p>
    <w:p w14:paraId="7FA6DE53" w14:textId="77777777" w:rsidR="00BC1364" w:rsidRPr="001105B6" w:rsidRDefault="00BC1364" w:rsidP="00DD2858">
      <w:pPr>
        <w:tabs>
          <w:tab w:val="left" w:pos="720"/>
        </w:tabs>
        <w:ind w:left="709" w:hanging="709"/>
        <w:rPr>
          <w:szCs w:val="24"/>
        </w:rPr>
      </w:pPr>
    </w:p>
    <w:p w14:paraId="3FAC112F" w14:textId="7907F936"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1105B6">
        <w:rPr>
          <w:szCs w:val="24"/>
        </w:rPr>
        <w:t>.</w:t>
      </w:r>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81D100" w15:done="0"/>
  <w15:commentEx w15:paraId="6B3B9FB9" w15:done="0"/>
  <w15:commentEx w15:paraId="39E165B8" w15:done="0"/>
  <w15:commentEx w15:paraId="53BE944B" w15:done="0"/>
  <w15:commentEx w15:paraId="5CD1E18B" w15:done="0"/>
  <w15:commentEx w15:paraId="09B0213D" w15:done="0"/>
  <w15:commentEx w15:paraId="59AA1BBA" w15:done="0"/>
  <w15:commentEx w15:paraId="6B4711B0" w15:done="0"/>
  <w15:commentEx w15:paraId="59E78470" w15:done="0"/>
  <w15:commentEx w15:paraId="715C2680" w15:done="0"/>
  <w15:commentEx w15:paraId="37E0DE72" w15:done="0"/>
  <w15:commentEx w15:paraId="034A7137" w15:done="0"/>
  <w15:commentEx w15:paraId="4239E993" w15:done="0"/>
  <w15:commentEx w15:paraId="0C904FFA" w15:done="0"/>
  <w15:commentEx w15:paraId="66CBCB76" w15:done="0"/>
  <w15:commentEx w15:paraId="6A7E25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B8C5C" w14:textId="77777777" w:rsidR="006444EF" w:rsidRDefault="006444EF" w:rsidP="00065623">
      <w:r>
        <w:separator/>
      </w:r>
    </w:p>
  </w:endnote>
  <w:endnote w:type="continuationSeparator" w:id="0">
    <w:p w14:paraId="0CDAF27D" w14:textId="77777777" w:rsidR="006444EF" w:rsidRDefault="006444E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B177" w14:textId="77777777" w:rsidR="00254749" w:rsidRDefault="00254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7DA70D0" w14:textId="77777777" w:rsidR="00685D77" w:rsidRDefault="00685D77">
        <w:pPr>
          <w:pStyle w:val="Footer"/>
          <w:jc w:val="right"/>
        </w:pPr>
        <w:r>
          <w:fldChar w:fldCharType="begin"/>
        </w:r>
        <w:r>
          <w:instrText xml:space="preserve"> PAGE   \* MERGEFORMAT </w:instrText>
        </w:r>
        <w:r>
          <w:fldChar w:fldCharType="separate"/>
        </w:r>
        <w:r w:rsidR="00254749">
          <w:rPr>
            <w:noProof/>
          </w:rPr>
          <w:t>8</w:t>
        </w:r>
        <w:r>
          <w:rPr>
            <w:noProof/>
          </w:rPr>
          <w:fldChar w:fldCharType="end"/>
        </w:r>
      </w:p>
    </w:sdtContent>
  </w:sdt>
  <w:p w14:paraId="4226C5E3" w14:textId="77777777" w:rsidR="00685D77" w:rsidRDefault="00685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56BD" w14:textId="77777777" w:rsidR="00254749" w:rsidRDefault="0025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46512" w14:textId="77777777" w:rsidR="006444EF" w:rsidRDefault="006444EF" w:rsidP="00065623">
      <w:r>
        <w:separator/>
      </w:r>
    </w:p>
  </w:footnote>
  <w:footnote w:type="continuationSeparator" w:id="0">
    <w:p w14:paraId="0A8DCA61" w14:textId="77777777" w:rsidR="006444EF" w:rsidRDefault="006444E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9467" w14:textId="77777777" w:rsidR="00254749" w:rsidRDefault="00254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2D530" w14:textId="77777777" w:rsidR="00254749" w:rsidRDefault="00254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D0FC" w14:textId="77777777" w:rsidR="00254749" w:rsidRDefault="00254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922949"/>
    <w:multiLevelType w:val="hybridMultilevel"/>
    <w:tmpl w:val="3660828E"/>
    <w:lvl w:ilvl="0" w:tplc="CD7464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5E34AC"/>
    <w:multiLevelType w:val="hybridMultilevel"/>
    <w:tmpl w:val="EE5E4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DC44E6"/>
    <w:multiLevelType w:val="hybridMultilevel"/>
    <w:tmpl w:val="EDD6B8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C0C2882"/>
    <w:multiLevelType w:val="hybridMultilevel"/>
    <w:tmpl w:val="9D00AB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pStyle w:val="C1H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84D033C"/>
    <w:multiLevelType w:val="multilevel"/>
    <w:tmpl w:val="51245C7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9"/>
  </w:num>
  <w:num w:numId="5">
    <w:abstractNumId w:val="11"/>
  </w:num>
  <w:num w:numId="6">
    <w:abstractNumId w:val="18"/>
  </w:num>
  <w:num w:numId="7">
    <w:abstractNumId w:val="22"/>
  </w:num>
  <w:num w:numId="8">
    <w:abstractNumId w:val="12"/>
  </w:num>
  <w:num w:numId="9">
    <w:abstractNumId w:val="29"/>
  </w:num>
  <w:num w:numId="10">
    <w:abstractNumId w:val="0"/>
  </w:num>
  <w:num w:numId="11">
    <w:abstractNumId w:val="21"/>
  </w:num>
  <w:num w:numId="12">
    <w:abstractNumId w:val="23"/>
  </w:num>
  <w:num w:numId="13">
    <w:abstractNumId w:val="5"/>
  </w:num>
  <w:num w:numId="14">
    <w:abstractNumId w:val="27"/>
  </w:num>
  <w:num w:numId="15">
    <w:abstractNumId w:val="20"/>
  </w:num>
  <w:num w:numId="16">
    <w:abstractNumId w:val="24"/>
  </w:num>
  <w:num w:numId="17">
    <w:abstractNumId w:val="13"/>
  </w:num>
  <w:num w:numId="18">
    <w:abstractNumId w:val="16"/>
  </w:num>
  <w:num w:numId="19">
    <w:abstractNumId w:val="26"/>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28"/>
  </w:num>
  <w:num w:numId="27">
    <w:abstractNumId w:val="14"/>
  </w:num>
  <w:num w:numId="28">
    <w:abstractNumId w:val="15"/>
  </w:num>
  <w:num w:numId="29">
    <w:abstractNumId w:val="10"/>
  </w:num>
  <w:num w:numId="3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eme Suthers">
    <w15:presenceInfo w15:providerId="None" w15:userId="Graeme Suthers"/>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37E80FA-1F1E-4935-B13B-AA4A47F073AF}"/>
    <w:docVar w:name="dgnword-eventsink" w:val="603801161504"/>
  </w:docVars>
  <w:rsids>
    <w:rsidRoot w:val="00065623"/>
    <w:rsid w:val="00011A36"/>
    <w:rsid w:val="00020C01"/>
    <w:rsid w:val="000413F0"/>
    <w:rsid w:val="00047606"/>
    <w:rsid w:val="00065623"/>
    <w:rsid w:val="000661A0"/>
    <w:rsid w:val="000756B9"/>
    <w:rsid w:val="00093462"/>
    <w:rsid w:val="00094039"/>
    <w:rsid w:val="00096B67"/>
    <w:rsid w:val="00096DAF"/>
    <w:rsid w:val="000A1151"/>
    <w:rsid w:val="000A17BD"/>
    <w:rsid w:val="000C2F47"/>
    <w:rsid w:val="000D4FF8"/>
    <w:rsid w:val="000D6C00"/>
    <w:rsid w:val="000E4E04"/>
    <w:rsid w:val="000F14B4"/>
    <w:rsid w:val="000F75DF"/>
    <w:rsid w:val="001105B6"/>
    <w:rsid w:val="00130695"/>
    <w:rsid w:val="001328FA"/>
    <w:rsid w:val="00137DF5"/>
    <w:rsid w:val="00147AAF"/>
    <w:rsid w:val="001552C0"/>
    <w:rsid w:val="001640B1"/>
    <w:rsid w:val="00167635"/>
    <w:rsid w:val="00171D25"/>
    <w:rsid w:val="001730D0"/>
    <w:rsid w:val="0018435E"/>
    <w:rsid w:val="00187184"/>
    <w:rsid w:val="001913E2"/>
    <w:rsid w:val="00197128"/>
    <w:rsid w:val="00197391"/>
    <w:rsid w:val="001B001E"/>
    <w:rsid w:val="001F352E"/>
    <w:rsid w:val="002041A1"/>
    <w:rsid w:val="002054F0"/>
    <w:rsid w:val="002060B6"/>
    <w:rsid w:val="00230D6B"/>
    <w:rsid w:val="00232068"/>
    <w:rsid w:val="002330F2"/>
    <w:rsid w:val="00243D9E"/>
    <w:rsid w:val="002516AB"/>
    <w:rsid w:val="00253B66"/>
    <w:rsid w:val="00254749"/>
    <w:rsid w:val="00261DF1"/>
    <w:rsid w:val="00271F18"/>
    <w:rsid w:val="00282779"/>
    <w:rsid w:val="0028334D"/>
    <w:rsid w:val="002938CB"/>
    <w:rsid w:val="002B7FFA"/>
    <w:rsid w:val="002C2A1B"/>
    <w:rsid w:val="002C2BCF"/>
    <w:rsid w:val="002C64AF"/>
    <w:rsid w:val="002E7B1B"/>
    <w:rsid w:val="002F0644"/>
    <w:rsid w:val="002F279D"/>
    <w:rsid w:val="002F2A9D"/>
    <w:rsid w:val="002F43B8"/>
    <w:rsid w:val="00306933"/>
    <w:rsid w:val="00320171"/>
    <w:rsid w:val="00336856"/>
    <w:rsid w:val="0034554D"/>
    <w:rsid w:val="00345926"/>
    <w:rsid w:val="00352224"/>
    <w:rsid w:val="00354082"/>
    <w:rsid w:val="003575DA"/>
    <w:rsid w:val="003671E6"/>
    <w:rsid w:val="00384272"/>
    <w:rsid w:val="00385B4F"/>
    <w:rsid w:val="00386D67"/>
    <w:rsid w:val="003945B8"/>
    <w:rsid w:val="003A52F4"/>
    <w:rsid w:val="003D41C3"/>
    <w:rsid w:val="003D7F29"/>
    <w:rsid w:val="003E01F1"/>
    <w:rsid w:val="003E0BBA"/>
    <w:rsid w:val="003E5F2A"/>
    <w:rsid w:val="003F3678"/>
    <w:rsid w:val="004002DF"/>
    <w:rsid w:val="00405A6B"/>
    <w:rsid w:val="00407726"/>
    <w:rsid w:val="00407B1F"/>
    <w:rsid w:val="00414C57"/>
    <w:rsid w:val="00416A30"/>
    <w:rsid w:val="0041758C"/>
    <w:rsid w:val="004240E2"/>
    <w:rsid w:val="004539DE"/>
    <w:rsid w:val="00472C54"/>
    <w:rsid w:val="00473808"/>
    <w:rsid w:val="00483A02"/>
    <w:rsid w:val="00483C50"/>
    <w:rsid w:val="004A2CF1"/>
    <w:rsid w:val="004C3035"/>
    <w:rsid w:val="004C307F"/>
    <w:rsid w:val="004E439B"/>
    <w:rsid w:val="004E4BA8"/>
    <w:rsid w:val="004F340F"/>
    <w:rsid w:val="004F7B7C"/>
    <w:rsid w:val="0052243D"/>
    <w:rsid w:val="00532435"/>
    <w:rsid w:val="005455C6"/>
    <w:rsid w:val="00550354"/>
    <w:rsid w:val="00554C8D"/>
    <w:rsid w:val="0056099D"/>
    <w:rsid w:val="00571236"/>
    <w:rsid w:val="00581A35"/>
    <w:rsid w:val="005953A1"/>
    <w:rsid w:val="005A3D47"/>
    <w:rsid w:val="005C24CC"/>
    <w:rsid w:val="005C6F87"/>
    <w:rsid w:val="005D0332"/>
    <w:rsid w:val="005D0D8C"/>
    <w:rsid w:val="006444EF"/>
    <w:rsid w:val="006776AE"/>
    <w:rsid w:val="00685D77"/>
    <w:rsid w:val="006A0D97"/>
    <w:rsid w:val="006B1F86"/>
    <w:rsid w:val="006C0A91"/>
    <w:rsid w:val="006D5666"/>
    <w:rsid w:val="006E6A87"/>
    <w:rsid w:val="007054BB"/>
    <w:rsid w:val="00707064"/>
    <w:rsid w:val="007110BF"/>
    <w:rsid w:val="00720CED"/>
    <w:rsid w:val="00730683"/>
    <w:rsid w:val="0075261F"/>
    <w:rsid w:val="0075468E"/>
    <w:rsid w:val="007665D8"/>
    <w:rsid w:val="00766E36"/>
    <w:rsid w:val="007715A1"/>
    <w:rsid w:val="007765F4"/>
    <w:rsid w:val="00776633"/>
    <w:rsid w:val="00784D53"/>
    <w:rsid w:val="00797797"/>
    <w:rsid w:val="007A63C9"/>
    <w:rsid w:val="007B32D1"/>
    <w:rsid w:val="007B7095"/>
    <w:rsid w:val="007C5400"/>
    <w:rsid w:val="007C6EBC"/>
    <w:rsid w:val="007D24E1"/>
    <w:rsid w:val="007D6C52"/>
    <w:rsid w:val="007D7DD5"/>
    <w:rsid w:val="007F37D2"/>
    <w:rsid w:val="007F4CE9"/>
    <w:rsid w:val="007F4E20"/>
    <w:rsid w:val="0080482F"/>
    <w:rsid w:val="00821EE5"/>
    <w:rsid w:val="00822C7E"/>
    <w:rsid w:val="00832D59"/>
    <w:rsid w:val="0083362D"/>
    <w:rsid w:val="00847060"/>
    <w:rsid w:val="00856A33"/>
    <w:rsid w:val="00871E01"/>
    <w:rsid w:val="00885907"/>
    <w:rsid w:val="00892620"/>
    <w:rsid w:val="00896637"/>
    <w:rsid w:val="008C29F2"/>
    <w:rsid w:val="008C7D37"/>
    <w:rsid w:val="008D5885"/>
    <w:rsid w:val="008E110B"/>
    <w:rsid w:val="00923FA2"/>
    <w:rsid w:val="00927E95"/>
    <w:rsid w:val="00947376"/>
    <w:rsid w:val="0096060D"/>
    <w:rsid w:val="00974A50"/>
    <w:rsid w:val="0097585A"/>
    <w:rsid w:val="009924B0"/>
    <w:rsid w:val="009942C9"/>
    <w:rsid w:val="00995FB8"/>
    <w:rsid w:val="009B35C4"/>
    <w:rsid w:val="009B4A85"/>
    <w:rsid w:val="009C630A"/>
    <w:rsid w:val="009E0D98"/>
    <w:rsid w:val="009E45AA"/>
    <w:rsid w:val="00A01FCB"/>
    <w:rsid w:val="00A068A1"/>
    <w:rsid w:val="00A1207D"/>
    <w:rsid w:val="00A12FD8"/>
    <w:rsid w:val="00A346FC"/>
    <w:rsid w:val="00A36AAF"/>
    <w:rsid w:val="00A84F93"/>
    <w:rsid w:val="00AB1AC5"/>
    <w:rsid w:val="00AB3BFC"/>
    <w:rsid w:val="00AC4F2E"/>
    <w:rsid w:val="00AD0C37"/>
    <w:rsid w:val="00AD385F"/>
    <w:rsid w:val="00AE2319"/>
    <w:rsid w:val="00AE6E2A"/>
    <w:rsid w:val="00AF7A40"/>
    <w:rsid w:val="00B25376"/>
    <w:rsid w:val="00B31E9C"/>
    <w:rsid w:val="00B35595"/>
    <w:rsid w:val="00B40B88"/>
    <w:rsid w:val="00B51C6D"/>
    <w:rsid w:val="00B60D44"/>
    <w:rsid w:val="00B71FEA"/>
    <w:rsid w:val="00B83D04"/>
    <w:rsid w:val="00B86D64"/>
    <w:rsid w:val="00BA41E5"/>
    <w:rsid w:val="00BA4AC5"/>
    <w:rsid w:val="00BB5DF1"/>
    <w:rsid w:val="00BC1364"/>
    <w:rsid w:val="00BC7DE9"/>
    <w:rsid w:val="00BD63E6"/>
    <w:rsid w:val="00BF479B"/>
    <w:rsid w:val="00C02577"/>
    <w:rsid w:val="00C204FB"/>
    <w:rsid w:val="00C20BEE"/>
    <w:rsid w:val="00C2158D"/>
    <w:rsid w:val="00C2243B"/>
    <w:rsid w:val="00C52440"/>
    <w:rsid w:val="00C5437C"/>
    <w:rsid w:val="00C67DD2"/>
    <w:rsid w:val="00C725CB"/>
    <w:rsid w:val="00C76F5C"/>
    <w:rsid w:val="00C96BAD"/>
    <w:rsid w:val="00CA2DA5"/>
    <w:rsid w:val="00CA6944"/>
    <w:rsid w:val="00CB0F8E"/>
    <w:rsid w:val="00CB7E7D"/>
    <w:rsid w:val="00CC2911"/>
    <w:rsid w:val="00CE1C59"/>
    <w:rsid w:val="00CE6A4A"/>
    <w:rsid w:val="00CF0C6D"/>
    <w:rsid w:val="00CF47CE"/>
    <w:rsid w:val="00CF7307"/>
    <w:rsid w:val="00CF7C68"/>
    <w:rsid w:val="00D124FA"/>
    <w:rsid w:val="00D340DE"/>
    <w:rsid w:val="00D36BF2"/>
    <w:rsid w:val="00D43437"/>
    <w:rsid w:val="00D4659F"/>
    <w:rsid w:val="00D55723"/>
    <w:rsid w:val="00D62FAD"/>
    <w:rsid w:val="00D70450"/>
    <w:rsid w:val="00D83BFD"/>
    <w:rsid w:val="00D90A38"/>
    <w:rsid w:val="00DA0515"/>
    <w:rsid w:val="00DA171E"/>
    <w:rsid w:val="00DA56AA"/>
    <w:rsid w:val="00DA64E0"/>
    <w:rsid w:val="00DB5833"/>
    <w:rsid w:val="00DD2858"/>
    <w:rsid w:val="00DD472A"/>
    <w:rsid w:val="00E03E33"/>
    <w:rsid w:val="00E06107"/>
    <w:rsid w:val="00E221FF"/>
    <w:rsid w:val="00E26081"/>
    <w:rsid w:val="00E35B83"/>
    <w:rsid w:val="00E361C4"/>
    <w:rsid w:val="00E3642A"/>
    <w:rsid w:val="00E415C4"/>
    <w:rsid w:val="00E50016"/>
    <w:rsid w:val="00E50BBB"/>
    <w:rsid w:val="00E50EAA"/>
    <w:rsid w:val="00E61ECA"/>
    <w:rsid w:val="00E656D6"/>
    <w:rsid w:val="00E977EE"/>
    <w:rsid w:val="00EA67A2"/>
    <w:rsid w:val="00EB4CDC"/>
    <w:rsid w:val="00EC4F98"/>
    <w:rsid w:val="00ED14ED"/>
    <w:rsid w:val="00EF14E6"/>
    <w:rsid w:val="00EF44E9"/>
    <w:rsid w:val="00F12F02"/>
    <w:rsid w:val="00F32E0D"/>
    <w:rsid w:val="00F35134"/>
    <w:rsid w:val="00F41812"/>
    <w:rsid w:val="00F5054B"/>
    <w:rsid w:val="00F73333"/>
    <w:rsid w:val="00F74F1C"/>
    <w:rsid w:val="00F764E6"/>
    <w:rsid w:val="00F82C92"/>
    <w:rsid w:val="00F95D8F"/>
    <w:rsid w:val="00F97D60"/>
    <w:rsid w:val="00FB350A"/>
    <w:rsid w:val="00FD49D0"/>
    <w:rsid w:val="00FD5DE0"/>
    <w:rsid w:val="00FE731D"/>
    <w:rsid w:val="00FE78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8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2017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locked/>
    <w:rsid w:val="00B60D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72"/>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DD472A"/>
    <w:pPr>
      <w:keepNext/>
      <w:jc w:val="both"/>
    </w:pPr>
    <w:rPr>
      <w:rFonts w:ascii="Arial Narrow" w:hAnsi="Arial Narrow"/>
      <w:sz w:val="20"/>
      <w:lang w:eastAsia="en-US"/>
    </w:rPr>
  </w:style>
  <w:style w:type="character" w:customStyle="1" w:styleId="TableTextChar">
    <w:name w:val="Table Text Char"/>
    <w:link w:val="TableText"/>
    <w:rsid w:val="00DD472A"/>
    <w:rPr>
      <w:rFonts w:ascii="Arial Narrow" w:eastAsia="Times New Roman" w:hAnsi="Arial Narrow"/>
      <w:sz w:val="20"/>
      <w:szCs w:val="20"/>
      <w:lang w:eastAsia="en-US"/>
    </w:rPr>
  </w:style>
  <w:style w:type="table" w:styleId="TableGrid">
    <w:name w:val="Table Grid"/>
    <w:basedOn w:val="TableNormal"/>
    <w:uiPriority w:val="39"/>
    <w:locked/>
    <w:rsid w:val="00320171"/>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Reference">
    <w:name w:val="Intense Reference"/>
    <w:uiPriority w:val="32"/>
    <w:rsid w:val="00320171"/>
    <w:rPr>
      <w:b/>
      <w:bCs/>
      <w:smallCaps/>
      <w:color w:val="C0504D"/>
      <w:spacing w:val="5"/>
      <w:u w:val="single"/>
    </w:rPr>
  </w:style>
  <w:style w:type="paragraph" w:customStyle="1" w:styleId="TableFooter">
    <w:name w:val="Table Footer"/>
    <w:basedOn w:val="Normal"/>
    <w:qFormat/>
    <w:rsid w:val="00320171"/>
    <w:pPr>
      <w:widowControl w:val="0"/>
      <w:jc w:val="both"/>
    </w:pPr>
    <w:rPr>
      <w:rFonts w:ascii="Arial Narrow" w:hAnsi="Arial Narrow" w:cs="Arial"/>
      <w:snapToGrid w:val="0"/>
      <w:sz w:val="18"/>
      <w:lang w:eastAsia="en-US"/>
    </w:rPr>
  </w:style>
  <w:style w:type="paragraph" w:customStyle="1" w:styleId="Paragraphheading1">
    <w:name w:val="Paragraph heading 1"/>
    <w:qFormat/>
    <w:rsid w:val="00320171"/>
    <w:pPr>
      <w:ind w:left="720" w:hanging="720"/>
    </w:pPr>
    <w:rPr>
      <w:rFonts w:asciiTheme="majorHAnsi" w:eastAsia="Times New Roman" w:hAnsiTheme="majorHAnsi" w:cs="Arial"/>
      <w:i/>
      <w:snapToGrid w:val="0"/>
      <w:sz w:val="32"/>
      <w:szCs w:val="32"/>
      <w:lang w:eastAsia="en-US"/>
    </w:rPr>
  </w:style>
  <w:style w:type="character" w:customStyle="1" w:styleId="ListParagraphChar">
    <w:name w:val="List Paragraph Char"/>
    <w:basedOn w:val="DefaultParagraphFont"/>
    <w:link w:val="ListParagraph"/>
    <w:uiPriority w:val="72"/>
    <w:locked/>
    <w:rsid w:val="00320171"/>
    <w:rPr>
      <w:rFonts w:eastAsia="Times New Roman"/>
      <w:sz w:val="24"/>
      <w:szCs w:val="20"/>
    </w:rPr>
  </w:style>
  <w:style w:type="character" w:customStyle="1" w:styleId="Heading3Char">
    <w:name w:val="Heading 3 Char"/>
    <w:basedOn w:val="DefaultParagraphFont"/>
    <w:link w:val="Heading3"/>
    <w:semiHidden/>
    <w:rsid w:val="00320171"/>
    <w:rPr>
      <w:rFonts w:asciiTheme="majorHAnsi" w:eastAsiaTheme="majorEastAsia" w:hAnsiTheme="majorHAnsi" w:cstheme="majorBidi"/>
      <w:b/>
      <w:bCs/>
      <w:color w:val="4F81BD" w:themeColor="accent1"/>
      <w:sz w:val="24"/>
      <w:szCs w:val="20"/>
    </w:rPr>
  </w:style>
  <w:style w:type="paragraph" w:customStyle="1" w:styleId="TableText0">
    <w:name w:val="TableText"/>
    <w:basedOn w:val="Normal"/>
    <w:qFormat/>
    <w:rsid w:val="00320171"/>
    <w:pPr>
      <w:keepNext/>
      <w:spacing w:before="40" w:after="40"/>
      <w:jc w:val="both"/>
    </w:pPr>
    <w:rPr>
      <w:rFonts w:ascii="Arial Narrow" w:hAnsi="Arial Narrow" w:cs="Arial Narrow"/>
      <w:sz w:val="20"/>
      <w:lang w:eastAsia="en-US"/>
    </w:rPr>
  </w:style>
  <w:style w:type="paragraph" w:customStyle="1" w:styleId="TableHeading">
    <w:name w:val="Table Heading"/>
    <w:basedOn w:val="TableText"/>
    <w:link w:val="TableHeadingChar"/>
    <w:qFormat/>
    <w:rsid w:val="00320171"/>
    <w:pPr>
      <w:keepNext w:val="0"/>
      <w:spacing w:before="20" w:after="20" w:line="276" w:lineRule="auto"/>
    </w:pPr>
    <w:rPr>
      <w:rFonts w:ascii="Arial" w:eastAsiaTheme="majorEastAsia" w:hAnsi="Arial" w:cs="Arial"/>
      <w:b/>
      <w:lang w:eastAsia="en-AU" w:bidi="en-US"/>
    </w:rPr>
  </w:style>
  <w:style w:type="character" w:customStyle="1" w:styleId="TableHeadingChar">
    <w:name w:val="Table Heading Char"/>
    <w:basedOn w:val="DefaultParagraphFont"/>
    <w:link w:val="TableHeading"/>
    <w:locked/>
    <w:rsid w:val="00320171"/>
    <w:rPr>
      <w:rFonts w:ascii="Arial" w:eastAsiaTheme="majorEastAsia" w:hAnsi="Arial" w:cs="Arial"/>
      <w:b/>
      <w:sz w:val="20"/>
      <w:szCs w:val="20"/>
      <w:lang w:bidi="en-US"/>
    </w:rPr>
  </w:style>
  <w:style w:type="paragraph" w:customStyle="1" w:styleId="Tabletitle">
    <w:name w:val="Table title"/>
    <w:basedOn w:val="Normal"/>
    <w:next w:val="Normal"/>
    <w:link w:val="TabletitleChar"/>
    <w:qFormat/>
    <w:rsid w:val="00320171"/>
    <w:pPr>
      <w:tabs>
        <w:tab w:val="num" w:pos="720"/>
      </w:tabs>
      <w:spacing w:before="240" w:after="120"/>
      <w:jc w:val="both"/>
    </w:pPr>
    <w:rPr>
      <w:rFonts w:ascii="Arial" w:eastAsiaTheme="minorEastAsia" w:hAnsi="Arial" w:cs="Arial"/>
      <w:b/>
      <w:sz w:val="20"/>
      <w:szCs w:val="22"/>
      <w:lang w:val="en-GB" w:eastAsia="en-GB"/>
    </w:rPr>
  </w:style>
  <w:style w:type="character" w:customStyle="1" w:styleId="TabletitleChar">
    <w:name w:val="Table title Char"/>
    <w:basedOn w:val="DefaultParagraphFont"/>
    <w:link w:val="Tabletitle"/>
    <w:rsid w:val="00320171"/>
    <w:rPr>
      <w:rFonts w:ascii="Arial" w:eastAsiaTheme="minorEastAsia" w:hAnsi="Arial" w:cs="Arial"/>
      <w:b/>
      <w:sz w:val="20"/>
      <w:lang w:val="en-GB" w:eastAsia="en-GB"/>
    </w:rPr>
  </w:style>
  <w:style w:type="paragraph" w:customStyle="1" w:styleId="Tabletextboldleft">
    <w:name w:val="Table text bold left"/>
    <w:basedOn w:val="Normal"/>
    <w:link w:val="TabletextboldleftChar"/>
    <w:qFormat/>
    <w:rsid w:val="00B60D44"/>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B60D44"/>
    <w:rPr>
      <w:rFonts w:ascii="Arial Narrow" w:eastAsia="Times New Roman" w:hAnsi="Arial Narrow" w:cs="Arial"/>
      <w:b/>
      <w:sz w:val="20"/>
      <w:szCs w:val="20"/>
      <w:lang w:eastAsia="en-US"/>
    </w:rPr>
  </w:style>
  <w:style w:type="character" w:customStyle="1" w:styleId="Heading5Char">
    <w:name w:val="Heading 5 Char"/>
    <w:basedOn w:val="DefaultParagraphFont"/>
    <w:link w:val="Heading5"/>
    <w:semiHidden/>
    <w:rsid w:val="00B60D44"/>
    <w:rPr>
      <w:rFonts w:asciiTheme="majorHAnsi" w:eastAsiaTheme="majorEastAsia" w:hAnsiTheme="majorHAnsi" w:cstheme="majorBidi"/>
      <w:color w:val="243F60" w:themeColor="accent1" w:themeShade="7F"/>
      <w:sz w:val="24"/>
      <w:szCs w:val="20"/>
    </w:rPr>
  </w:style>
  <w:style w:type="paragraph" w:customStyle="1" w:styleId="C1HBullet">
    <w:name w:val="C1H Bullet"/>
    <w:basedOn w:val="Normal"/>
    <w:uiPriority w:val="99"/>
    <w:rsid w:val="002938CB"/>
    <w:pPr>
      <w:numPr>
        <w:numId w:val="2"/>
      </w:numPr>
    </w:pPr>
    <w:rPr>
      <w:szCs w:val="24"/>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2017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locked/>
    <w:rsid w:val="00B60D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72"/>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DD472A"/>
    <w:pPr>
      <w:keepNext/>
      <w:jc w:val="both"/>
    </w:pPr>
    <w:rPr>
      <w:rFonts w:ascii="Arial Narrow" w:hAnsi="Arial Narrow"/>
      <w:sz w:val="20"/>
      <w:lang w:eastAsia="en-US"/>
    </w:rPr>
  </w:style>
  <w:style w:type="character" w:customStyle="1" w:styleId="TableTextChar">
    <w:name w:val="Table Text Char"/>
    <w:link w:val="TableText"/>
    <w:rsid w:val="00DD472A"/>
    <w:rPr>
      <w:rFonts w:ascii="Arial Narrow" w:eastAsia="Times New Roman" w:hAnsi="Arial Narrow"/>
      <w:sz w:val="20"/>
      <w:szCs w:val="20"/>
      <w:lang w:eastAsia="en-US"/>
    </w:rPr>
  </w:style>
  <w:style w:type="table" w:styleId="TableGrid">
    <w:name w:val="Table Grid"/>
    <w:basedOn w:val="TableNormal"/>
    <w:uiPriority w:val="39"/>
    <w:locked/>
    <w:rsid w:val="00320171"/>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Reference">
    <w:name w:val="Intense Reference"/>
    <w:uiPriority w:val="32"/>
    <w:rsid w:val="00320171"/>
    <w:rPr>
      <w:b/>
      <w:bCs/>
      <w:smallCaps/>
      <w:color w:val="C0504D"/>
      <w:spacing w:val="5"/>
      <w:u w:val="single"/>
    </w:rPr>
  </w:style>
  <w:style w:type="paragraph" w:customStyle="1" w:styleId="TableFooter">
    <w:name w:val="Table Footer"/>
    <w:basedOn w:val="Normal"/>
    <w:qFormat/>
    <w:rsid w:val="00320171"/>
    <w:pPr>
      <w:widowControl w:val="0"/>
      <w:jc w:val="both"/>
    </w:pPr>
    <w:rPr>
      <w:rFonts w:ascii="Arial Narrow" w:hAnsi="Arial Narrow" w:cs="Arial"/>
      <w:snapToGrid w:val="0"/>
      <w:sz w:val="18"/>
      <w:lang w:eastAsia="en-US"/>
    </w:rPr>
  </w:style>
  <w:style w:type="paragraph" w:customStyle="1" w:styleId="Paragraphheading1">
    <w:name w:val="Paragraph heading 1"/>
    <w:qFormat/>
    <w:rsid w:val="00320171"/>
    <w:pPr>
      <w:ind w:left="720" w:hanging="720"/>
    </w:pPr>
    <w:rPr>
      <w:rFonts w:asciiTheme="majorHAnsi" w:eastAsia="Times New Roman" w:hAnsiTheme="majorHAnsi" w:cs="Arial"/>
      <w:i/>
      <w:snapToGrid w:val="0"/>
      <w:sz w:val="32"/>
      <w:szCs w:val="32"/>
      <w:lang w:eastAsia="en-US"/>
    </w:rPr>
  </w:style>
  <w:style w:type="character" w:customStyle="1" w:styleId="ListParagraphChar">
    <w:name w:val="List Paragraph Char"/>
    <w:basedOn w:val="DefaultParagraphFont"/>
    <w:link w:val="ListParagraph"/>
    <w:uiPriority w:val="72"/>
    <w:locked/>
    <w:rsid w:val="00320171"/>
    <w:rPr>
      <w:rFonts w:eastAsia="Times New Roman"/>
      <w:sz w:val="24"/>
      <w:szCs w:val="20"/>
    </w:rPr>
  </w:style>
  <w:style w:type="character" w:customStyle="1" w:styleId="Heading3Char">
    <w:name w:val="Heading 3 Char"/>
    <w:basedOn w:val="DefaultParagraphFont"/>
    <w:link w:val="Heading3"/>
    <w:semiHidden/>
    <w:rsid w:val="00320171"/>
    <w:rPr>
      <w:rFonts w:asciiTheme="majorHAnsi" w:eastAsiaTheme="majorEastAsia" w:hAnsiTheme="majorHAnsi" w:cstheme="majorBidi"/>
      <w:b/>
      <w:bCs/>
      <w:color w:val="4F81BD" w:themeColor="accent1"/>
      <w:sz w:val="24"/>
      <w:szCs w:val="20"/>
    </w:rPr>
  </w:style>
  <w:style w:type="paragraph" w:customStyle="1" w:styleId="TableText0">
    <w:name w:val="TableText"/>
    <w:basedOn w:val="Normal"/>
    <w:qFormat/>
    <w:rsid w:val="00320171"/>
    <w:pPr>
      <w:keepNext/>
      <w:spacing w:before="40" w:after="40"/>
      <w:jc w:val="both"/>
    </w:pPr>
    <w:rPr>
      <w:rFonts w:ascii="Arial Narrow" w:hAnsi="Arial Narrow" w:cs="Arial Narrow"/>
      <w:sz w:val="20"/>
      <w:lang w:eastAsia="en-US"/>
    </w:rPr>
  </w:style>
  <w:style w:type="paragraph" w:customStyle="1" w:styleId="TableHeading">
    <w:name w:val="Table Heading"/>
    <w:basedOn w:val="TableText"/>
    <w:link w:val="TableHeadingChar"/>
    <w:qFormat/>
    <w:rsid w:val="00320171"/>
    <w:pPr>
      <w:keepNext w:val="0"/>
      <w:spacing w:before="20" w:after="20" w:line="276" w:lineRule="auto"/>
    </w:pPr>
    <w:rPr>
      <w:rFonts w:ascii="Arial" w:eastAsiaTheme="majorEastAsia" w:hAnsi="Arial" w:cs="Arial"/>
      <w:b/>
      <w:lang w:eastAsia="en-AU" w:bidi="en-US"/>
    </w:rPr>
  </w:style>
  <w:style w:type="character" w:customStyle="1" w:styleId="TableHeadingChar">
    <w:name w:val="Table Heading Char"/>
    <w:basedOn w:val="DefaultParagraphFont"/>
    <w:link w:val="TableHeading"/>
    <w:locked/>
    <w:rsid w:val="00320171"/>
    <w:rPr>
      <w:rFonts w:ascii="Arial" w:eastAsiaTheme="majorEastAsia" w:hAnsi="Arial" w:cs="Arial"/>
      <w:b/>
      <w:sz w:val="20"/>
      <w:szCs w:val="20"/>
      <w:lang w:bidi="en-US"/>
    </w:rPr>
  </w:style>
  <w:style w:type="paragraph" w:customStyle="1" w:styleId="Tabletitle">
    <w:name w:val="Table title"/>
    <w:basedOn w:val="Normal"/>
    <w:next w:val="Normal"/>
    <w:link w:val="TabletitleChar"/>
    <w:qFormat/>
    <w:rsid w:val="00320171"/>
    <w:pPr>
      <w:tabs>
        <w:tab w:val="num" w:pos="720"/>
      </w:tabs>
      <w:spacing w:before="240" w:after="120"/>
      <w:jc w:val="both"/>
    </w:pPr>
    <w:rPr>
      <w:rFonts w:ascii="Arial" w:eastAsiaTheme="minorEastAsia" w:hAnsi="Arial" w:cs="Arial"/>
      <w:b/>
      <w:sz w:val="20"/>
      <w:szCs w:val="22"/>
      <w:lang w:val="en-GB" w:eastAsia="en-GB"/>
    </w:rPr>
  </w:style>
  <w:style w:type="character" w:customStyle="1" w:styleId="TabletitleChar">
    <w:name w:val="Table title Char"/>
    <w:basedOn w:val="DefaultParagraphFont"/>
    <w:link w:val="Tabletitle"/>
    <w:rsid w:val="00320171"/>
    <w:rPr>
      <w:rFonts w:ascii="Arial" w:eastAsiaTheme="minorEastAsia" w:hAnsi="Arial" w:cs="Arial"/>
      <w:b/>
      <w:sz w:val="20"/>
      <w:lang w:val="en-GB" w:eastAsia="en-GB"/>
    </w:rPr>
  </w:style>
  <w:style w:type="paragraph" w:customStyle="1" w:styleId="Tabletextboldleft">
    <w:name w:val="Table text bold left"/>
    <w:basedOn w:val="Normal"/>
    <w:link w:val="TabletextboldleftChar"/>
    <w:qFormat/>
    <w:rsid w:val="00B60D44"/>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B60D44"/>
    <w:rPr>
      <w:rFonts w:ascii="Arial Narrow" w:eastAsia="Times New Roman" w:hAnsi="Arial Narrow" w:cs="Arial"/>
      <w:b/>
      <w:sz w:val="20"/>
      <w:szCs w:val="20"/>
      <w:lang w:eastAsia="en-US"/>
    </w:rPr>
  </w:style>
  <w:style w:type="character" w:customStyle="1" w:styleId="Heading5Char">
    <w:name w:val="Heading 5 Char"/>
    <w:basedOn w:val="DefaultParagraphFont"/>
    <w:link w:val="Heading5"/>
    <w:semiHidden/>
    <w:rsid w:val="00B60D44"/>
    <w:rPr>
      <w:rFonts w:asciiTheme="majorHAnsi" w:eastAsiaTheme="majorEastAsia" w:hAnsiTheme="majorHAnsi" w:cstheme="majorBidi"/>
      <w:color w:val="243F60" w:themeColor="accent1" w:themeShade="7F"/>
      <w:sz w:val="24"/>
      <w:szCs w:val="20"/>
    </w:rPr>
  </w:style>
  <w:style w:type="paragraph" w:customStyle="1" w:styleId="C1HBullet">
    <w:name w:val="C1H Bullet"/>
    <w:basedOn w:val="Normal"/>
    <w:uiPriority w:val="99"/>
    <w:rsid w:val="002938CB"/>
    <w:pPr>
      <w:numPr>
        <w:numId w:val="2"/>
      </w:numPr>
    </w:pPr>
    <w:rPr>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37B8-170E-4008-AE40-E166BDEC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6736</Words>
  <Characters>37616</Characters>
  <Application>Microsoft Office Word</Application>
  <DocSecurity>0</DocSecurity>
  <Lines>800</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1380 Final PSD</dc:title>
  <dc:creator/>
  <cp:lastModifiedBy/>
  <cp:revision>1</cp:revision>
  <dcterms:created xsi:type="dcterms:W3CDTF">2017-02-14T02:54:00Z</dcterms:created>
  <dcterms:modified xsi:type="dcterms:W3CDTF">2017-02-14T02:54:00Z</dcterms:modified>
</cp:coreProperties>
</file>