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8B73381"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4270F32C" wp14:editId="022DB72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73FE25D" w14:textId="77777777" w:rsidR="008B2610" w:rsidRPr="006F20CF" w:rsidRDefault="008B2610" w:rsidP="00F971CC">
      <w:pPr>
        <w:pStyle w:val="Title"/>
        <w:spacing w:before="2600"/>
      </w:pPr>
      <w:r w:rsidRPr="001906CD">
        <w:t>Application Form</w:t>
      </w:r>
    </w:p>
    <w:p w14:paraId="58DBBF0F"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013D81E9"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2FAD8ADB"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2FB4CAC7"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5D403C1"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1A0E1EF"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40875AD" w14:textId="77777777" w:rsidR="008B2610" w:rsidRPr="00154B00" w:rsidRDefault="009F5758" w:rsidP="003F7CB9">
      <w:pPr>
        <w:spacing w:before="0" w:after="0"/>
      </w:pPr>
      <w:r w:rsidRPr="00154B00">
        <w:t>Phone:  +61 2 6289 7550</w:t>
      </w:r>
    </w:p>
    <w:p w14:paraId="13973E66" w14:textId="77777777" w:rsidR="009F5758" w:rsidRPr="00154B00" w:rsidRDefault="009F5758" w:rsidP="003F7CB9">
      <w:pPr>
        <w:spacing w:before="0" w:after="0"/>
      </w:pPr>
      <w:r w:rsidRPr="00154B00">
        <w:t>Fax:  +61 2 6289 5540</w:t>
      </w:r>
    </w:p>
    <w:p w14:paraId="2C418CA6"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69BD7B9E"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53C48E6"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14C553A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1262A8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0B069D">
        <w:t>Edwards Lifesciences Pty Ltd</w:t>
      </w:r>
    </w:p>
    <w:p w14:paraId="603AF54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
    <w:p w14:paraId="50E09C74" w14:textId="657F375D" w:rsidR="00C171FB" w:rsidRDefault="00C171FB" w:rsidP="00C171FB">
      <w:pPr>
        <w:pBdr>
          <w:top w:val="single" w:sz="4" w:space="1" w:color="auto"/>
          <w:left w:val="single" w:sz="4" w:space="4" w:color="auto"/>
          <w:bottom w:val="single" w:sz="4" w:space="1" w:color="auto"/>
          <w:right w:val="single" w:sz="4" w:space="4" w:color="auto"/>
        </w:pBdr>
      </w:pPr>
      <w:r>
        <w:t xml:space="preserve">ABN: </w:t>
      </w:r>
    </w:p>
    <w:p w14:paraId="53DEEB0D" w14:textId="4A2AC2C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
    <w:p w14:paraId="29EC348E" w14:textId="77777777" w:rsidR="00C171FB" w:rsidRPr="00C171FB" w:rsidRDefault="00C171FB" w:rsidP="00C171FB"/>
    <w:p w14:paraId="1DDDB3D1" w14:textId="5C7BDA47" w:rsidR="00C171FB" w:rsidRDefault="00C171FB" w:rsidP="00F91FBC">
      <w:r>
        <w:rPr>
          <w:b/>
        </w:rPr>
        <w:t xml:space="preserve">Primary contact name: </w:t>
      </w:r>
    </w:p>
    <w:p w14:paraId="5D482DBE" w14:textId="1F3B9D5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350FC38A" w14:textId="240998E7" w:rsidR="00C171FB" w:rsidRDefault="00C171FB" w:rsidP="00C171FB">
      <w:pPr>
        <w:pBdr>
          <w:top w:val="single" w:sz="4" w:space="1" w:color="auto"/>
          <w:left w:val="single" w:sz="4" w:space="4" w:color="auto"/>
          <w:bottom w:val="single" w:sz="4" w:space="1" w:color="auto"/>
          <w:right w:val="single" w:sz="4" w:space="4" w:color="auto"/>
        </w:pBdr>
      </w:pPr>
      <w:r>
        <w:t>Mobile:</w:t>
      </w:r>
      <w:r w:rsidR="00C67797">
        <w:t xml:space="preserve"> </w:t>
      </w:r>
    </w:p>
    <w:p w14:paraId="38CD6617" w14:textId="4D0F56F6" w:rsidR="00C171FB" w:rsidRDefault="00C171FB" w:rsidP="00C171FB">
      <w:pPr>
        <w:pBdr>
          <w:top w:val="single" w:sz="4" w:space="1" w:color="auto"/>
          <w:left w:val="single" w:sz="4" w:space="4" w:color="auto"/>
          <w:bottom w:val="single" w:sz="4" w:space="1" w:color="auto"/>
          <w:right w:val="single" w:sz="4" w:space="4" w:color="auto"/>
        </w:pBdr>
      </w:pPr>
      <w:r>
        <w:t xml:space="preserve">Email: </w:t>
      </w:r>
    </w:p>
    <w:p w14:paraId="3AD25BD8" w14:textId="77777777" w:rsidR="00C171FB" w:rsidRDefault="00C171FB" w:rsidP="00C171FB">
      <w:pPr>
        <w:rPr>
          <w:b/>
        </w:rPr>
      </w:pPr>
    </w:p>
    <w:p w14:paraId="331A3EFE" w14:textId="60880517" w:rsidR="00C171FB" w:rsidRPr="00C171FB" w:rsidRDefault="00C171FB" w:rsidP="00C171FB">
      <w:pPr>
        <w:rPr>
          <w:b/>
        </w:rPr>
      </w:pPr>
      <w:r>
        <w:rPr>
          <w:b/>
        </w:rPr>
        <w:t xml:space="preserve">Alternative contact name: </w:t>
      </w:r>
    </w:p>
    <w:p w14:paraId="10EF61BB"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A84F30A" w14:textId="5D382882"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696C91A2" w14:textId="4E76E54F" w:rsidR="00C171FB" w:rsidRDefault="00C171FB" w:rsidP="00C171FB">
      <w:pPr>
        <w:pBdr>
          <w:top w:val="single" w:sz="4" w:space="1" w:color="auto"/>
          <w:left w:val="single" w:sz="4" w:space="4" w:color="auto"/>
          <w:bottom w:val="single" w:sz="4" w:space="1" w:color="auto"/>
          <w:right w:val="single" w:sz="4" w:space="4" w:color="auto"/>
        </w:pBdr>
      </w:pPr>
      <w:r>
        <w:t xml:space="preserve">Mobile: </w:t>
      </w:r>
    </w:p>
    <w:p w14:paraId="051BED3D" w14:textId="4247D89F" w:rsidR="00C171FB" w:rsidRDefault="00C171FB" w:rsidP="00C171FB">
      <w:pPr>
        <w:pBdr>
          <w:top w:val="single" w:sz="4" w:space="1" w:color="auto"/>
          <w:left w:val="single" w:sz="4" w:space="4" w:color="auto"/>
          <w:bottom w:val="single" w:sz="4" w:space="1" w:color="auto"/>
          <w:right w:val="single" w:sz="4" w:space="4" w:color="auto"/>
        </w:pBdr>
      </w:pPr>
      <w:r>
        <w:t xml:space="preserve">Email: </w:t>
      </w:r>
    </w:p>
    <w:p w14:paraId="1B68FA87" w14:textId="77777777" w:rsidR="00C171FB" w:rsidRPr="00C171FB" w:rsidRDefault="00C171FB" w:rsidP="00C171FB"/>
    <w:p w14:paraId="255FDDD1" w14:textId="77777777" w:rsidR="00534C5F" w:rsidRPr="00154B00" w:rsidRDefault="00494011" w:rsidP="004A0BF4">
      <w:pPr>
        <w:pStyle w:val="Heading2"/>
      </w:pPr>
      <w:r>
        <w:t xml:space="preserve">(a) </w:t>
      </w:r>
      <w:r w:rsidR="00534C5F">
        <w:t>Are you a lobbyist acting on behalf of an Applicant?</w:t>
      </w:r>
    </w:p>
    <w:p w14:paraId="69CD6D6B" w14:textId="25CC8759" w:rsidR="00A6491A" w:rsidRDefault="00CF7FF1" w:rsidP="00A6491A">
      <w:pPr>
        <w:spacing w:before="0" w:after="0"/>
        <w:ind w:left="426"/>
        <w:rPr>
          <w:szCs w:val="20"/>
        </w:rPr>
      </w:pPr>
      <w:r>
        <w:rPr>
          <w:szCs w:val="20"/>
        </w:rPr>
        <w:fldChar w:fldCharType="begin">
          <w:ffData>
            <w:name w:val="Check1"/>
            <w:enabled/>
            <w:calcOnExit w:val="0"/>
            <w:checkBox>
              <w:sizeAuto/>
              <w:default w:val="0"/>
            </w:checkBox>
          </w:ffData>
        </w:fldChar>
      </w:r>
      <w:r>
        <w:rPr>
          <w:szCs w:val="20"/>
        </w:rPr>
        <w:instrText xml:space="preserve"> </w:instrText>
      </w:r>
      <w:bookmarkStart w:id="2" w:name="Check1"/>
      <w:r>
        <w:rPr>
          <w:szCs w:val="20"/>
        </w:rPr>
        <w:instrText xml:space="preserve">FORMCHECKBOX </w:instrText>
      </w:r>
      <w:r w:rsidR="00DA79DA">
        <w:rPr>
          <w:szCs w:val="20"/>
        </w:rPr>
      </w:r>
      <w:r w:rsidR="00DA79DA">
        <w:rPr>
          <w:szCs w:val="20"/>
        </w:rPr>
        <w:fldChar w:fldCharType="separate"/>
      </w:r>
      <w:r>
        <w:rPr>
          <w:szCs w:val="20"/>
        </w:rPr>
        <w:fldChar w:fldCharType="end"/>
      </w:r>
      <w:bookmarkEnd w:id="2"/>
      <w:r w:rsidR="00A6491A">
        <w:rPr>
          <w:szCs w:val="20"/>
        </w:rPr>
        <w:t xml:space="preserve"> Yes</w:t>
      </w:r>
    </w:p>
    <w:p w14:paraId="08EBA18D" w14:textId="1B583C55" w:rsidR="00A6491A" w:rsidRPr="00753C44" w:rsidRDefault="00CF7FF1"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A6491A">
        <w:rPr>
          <w:szCs w:val="20"/>
        </w:rPr>
        <w:t xml:space="preserve"> No</w:t>
      </w:r>
      <w:r w:rsidR="00A6491A" w:rsidRPr="00753C44">
        <w:rPr>
          <w:szCs w:val="20"/>
        </w:rPr>
        <w:t xml:space="preserve">  </w:t>
      </w:r>
    </w:p>
    <w:p w14:paraId="52A1657B"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4BEEF8F" w14:textId="0805C937" w:rsidR="00A6491A" w:rsidRDefault="00CF7FF1" w:rsidP="00A6491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A6491A">
        <w:rPr>
          <w:szCs w:val="20"/>
        </w:rPr>
        <w:t xml:space="preserve"> Yes</w:t>
      </w:r>
    </w:p>
    <w:p w14:paraId="7BF90C8C" w14:textId="230F4F50" w:rsidR="00A6491A" w:rsidRPr="00753C44" w:rsidRDefault="00CF7FF1"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A6491A">
        <w:rPr>
          <w:szCs w:val="20"/>
        </w:rPr>
        <w:t xml:space="preserve"> No</w:t>
      </w:r>
      <w:r w:rsidR="00A6491A" w:rsidRPr="00753C44">
        <w:rPr>
          <w:szCs w:val="20"/>
        </w:rPr>
        <w:t xml:space="preserve">  </w:t>
      </w:r>
    </w:p>
    <w:p w14:paraId="1C6361A1" w14:textId="77777777" w:rsidR="00E04FB3" w:rsidRDefault="00E04FB3" w:rsidP="005C333E">
      <w:pPr>
        <w:spacing w:before="0" w:after="0"/>
        <w:ind w:left="426"/>
        <w:rPr>
          <w:b/>
          <w:szCs w:val="20"/>
        </w:rPr>
      </w:pPr>
      <w:r w:rsidRPr="00154B00">
        <w:rPr>
          <w:b/>
          <w:szCs w:val="20"/>
        </w:rPr>
        <w:br w:type="page"/>
      </w:r>
    </w:p>
    <w:p w14:paraId="2BA52040"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8D30B04" w14:textId="77777777" w:rsidR="000B3CD0" w:rsidRDefault="000B3CD0" w:rsidP="00730C04">
      <w:pPr>
        <w:pStyle w:val="Heading2"/>
      </w:pPr>
      <w:r w:rsidRPr="00154B00">
        <w:t>Application title</w:t>
      </w:r>
      <w:r w:rsidR="00A8732C">
        <w:t xml:space="preserve"> </w:t>
      </w:r>
    </w:p>
    <w:p w14:paraId="535A9B80" w14:textId="77777777" w:rsidR="009056C5" w:rsidRPr="009056C5" w:rsidRDefault="00302473" w:rsidP="00A6491A">
      <w:pPr>
        <w:ind w:left="284"/>
      </w:pPr>
      <w:r>
        <w:t>Transcatheter Aortic Valve Implantation</w:t>
      </w:r>
      <w:r w:rsidR="00252351">
        <w:t xml:space="preserve"> (TAVI)</w:t>
      </w:r>
      <w:r>
        <w:t xml:space="preserve"> via Transfemoral Delivery for Patients at Intermediate Risk for Surgery</w:t>
      </w:r>
    </w:p>
    <w:p w14:paraId="560C71D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679087F" w14:textId="77777777" w:rsidR="00252351" w:rsidRPr="00252351" w:rsidRDefault="00252351" w:rsidP="00252351">
      <w:pPr>
        <w:ind w:left="360"/>
      </w:pPr>
      <w:r w:rsidRPr="00252351">
        <w:t>Severe Aortic Stenosis (AS) is a narrowing of the aortic valve restricting the flow.</w:t>
      </w:r>
      <w:r>
        <w:t xml:space="preserve"> Aortic stenosis is often caused by a build-up of calcium on the valve leaflets, causing them to become stiff and reducing their ability to open and close efficiently.</w:t>
      </w:r>
      <w:r w:rsidRPr="00252351">
        <w:t xml:space="preserve">  AS is associated with high pressure inside the left ventricle and </w:t>
      </w:r>
      <w:r>
        <w:t xml:space="preserve">as a result of the excessive workload, </w:t>
      </w:r>
      <w:r w:rsidRPr="00252351">
        <w:t>the muscle of the left ventricle hypertrophies.  This results in inefficient pumping of blood</w:t>
      </w:r>
      <w:r>
        <w:t xml:space="preserve"> throughout the body</w:t>
      </w:r>
      <w:r w:rsidRPr="00252351">
        <w:t>.  Left untreated</w:t>
      </w:r>
      <w:r>
        <w:t>, congestive heart failure develops and death is likely.</w:t>
      </w:r>
    </w:p>
    <w:p w14:paraId="5C47C87A"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8E2D014" w14:textId="13EB62AB" w:rsidR="00252351" w:rsidRPr="00252351" w:rsidRDefault="005600E9" w:rsidP="00252351">
      <w:pPr>
        <w:ind w:left="360"/>
      </w:pPr>
      <w:r>
        <w:t xml:space="preserve">The </w:t>
      </w:r>
      <w:r w:rsidR="00252351">
        <w:t>T</w:t>
      </w:r>
      <w:r>
        <w:t xml:space="preserve">AVI procedure is a transfemoral percutaneous </w:t>
      </w:r>
      <w:r w:rsidR="00307CBF">
        <w:t xml:space="preserve">minimally invasive insertion </w:t>
      </w:r>
      <w:r>
        <w:t>of a prosthetic heart valve that is positioned within the native aortic annulus.  Once in situ, the valve is expanded while the heart is rapidly paced.  The procedure is performed under fluoroscopic and transosophageal guidance and under general anaesthesia</w:t>
      </w:r>
      <w:r w:rsidR="00F91FBC">
        <w:t xml:space="preserve"> or</w:t>
      </w:r>
      <w:r w:rsidR="00307CBF">
        <w:t xml:space="preserve"> local anaesthetic</w:t>
      </w:r>
      <w:r w:rsidR="00F91FBC">
        <w:t>.</w:t>
      </w:r>
    </w:p>
    <w:p w14:paraId="40556E5A" w14:textId="77777777" w:rsidR="00D11EB1" w:rsidRPr="0011036E" w:rsidRDefault="00252351"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877396E" w14:textId="77777777" w:rsidR="00753C44" w:rsidRDefault="007E23A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6B6390">
        <w:rPr>
          <w:szCs w:val="20"/>
        </w:rPr>
        <w:t xml:space="preserve"> Yes</w:t>
      </w:r>
    </w:p>
    <w:p w14:paraId="00E2F66C"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A79DA">
        <w:rPr>
          <w:szCs w:val="20"/>
        </w:rPr>
      </w:r>
      <w:r w:rsidR="00DA79DA">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E144F53"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C33DE93" w14:textId="77777777" w:rsidR="00753C44" w:rsidRDefault="00ED061E" w:rsidP="00A6491A">
      <w:pPr>
        <w:spacing w:before="0" w:after="0"/>
        <w:ind w:left="284"/>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DA79DA">
        <w:rPr>
          <w:szCs w:val="20"/>
        </w:rPr>
      </w:r>
      <w:r w:rsidR="00DA79DA">
        <w:rPr>
          <w:szCs w:val="20"/>
        </w:rPr>
        <w:fldChar w:fldCharType="separate"/>
      </w:r>
      <w:r>
        <w:rPr>
          <w:szCs w:val="20"/>
        </w:rPr>
        <w:fldChar w:fldCharType="end"/>
      </w:r>
      <w:bookmarkEnd w:id="3"/>
      <w:r w:rsidR="006B6390">
        <w:rPr>
          <w:szCs w:val="20"/>
        </w:rPr>
        <w:t xml:space="preserve"> </w:t>
      </w:r>
      <w:r w:rsidR="00753C44" w:rsidRPr="00154B00">
        <w:rPr>
          <w:szCs w:val="20"/>
        </w:rPr>
        <w:t>Amendment to existing MBS item</w:t>
      </w:r>
      <w:r w:rsidR="00753C44">
        <w:rPr>
          <w:szCs w:val="20"/>
        </w:rPr>
        <w:t>(s)</w:t>
      </w:r>
    </w:p>
    <w:p w14:paraId="3CEE6DF4"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A79DA">
        <w:rPr>
          <w:szCs w:val="20"/>
        </w:rPr>
      </w:r>
      <w:r w:rsidR="00DA79DA">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21FD02D8" w14:textId="77777777" w:rsidR="00ED061E" w:rsidRDefault="00ED061E" w:rsidP="00A6491A">
      <w:pPr>
        <w:spacing w:before="0" w:after="0"/>
        <w:ind w:left="284"/>
        <w:rPr>
          <w:szCs w:val="20"/>
        </w:rPr>
      </w:pPr>
    </w:p>
    <w:p w14:paraId="0262E87F" w14:textId="5E486DAE" w:rsidR="00ED061E" w:rsidRPr="00753C44" w:rsidRDefault="00ED061E" w:rsidP="00A6491A">
      <w:pPr>
        <w:spacing w:before="0" w:after="0"/>
        <w:ind w:left="284"/>
        <w:rPr>
          <w:szCs w:val="20"/>
        </w:rPr>
      </w:pPr>
      <w:r>
        <w:rPr>
          <w:szCs w:val="20"/>
        </w:rPr>
        <w:t>The existing MBS item number 38495 adequately describes the proposed service.  At the time of implementation of this item number, TGA approval of an intermediate risk for surgery indication was not available.  Therefore</w:t>
      </w:r>
      <w:r w:rsidR="00E955AF">
        <w:rPr>
          <w:szCs w:val="20"/>
        </w:rPr>
        <w:t>,</w:t>
      </w:r>
      <w:r>
        <w:rPr>
          <w:szCs w:val="20"/>
        </w:rPr>
        <w:t xml:space="preserve"> the existing item number would suffice.</w:t>
      </w:r>
    </w:p>
    <w:p w14:paraId="277E035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851F03A" w14:textId="77777777" w:rsidR="003D795C" w:rsidRPr="00CB12EC" w:rsidRDefault="003D795C"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14:paraId="6A79BB95"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B1E2D2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FB70BD5" w14:textId="77777777" w:rsidR="002A270B" w:rsidRPr="004A263B" w:rsidRDefault="00ED061E"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DA79DA">
        <w:rPr>
          <w:b/>
          <w:szCs w:val="20"/>
        </w:rPr>
      </w:r>
      <w:r w:rsidR="00DA79DA">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1C4DBBF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6D31383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44774D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45B5A7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FAA5DB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5D9670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05270ED"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DA79DA">
        <w:rPr>
          <w:b/>
          <w:szCs w:val="20"/>
        </w:rPr>
      </w:r>
      <w:r w:rsidR="00DA79DA">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5C317D5"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2875F0CA"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FA347E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DA79DA">
        <w:rPr>
          <w:b/>
          <w:szCs w:val="20"/>
        </w:rPr>
      </w:r>
      <w:r w:rsidR="00DA79DA">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6095C0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A79DA">
        <w:rPr>
          <w:b/>
          <w:szCs w:val="20"/>
        </w:rPr>
      </w:r>
      <w:r w:rsidR="00DA79DA">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701D4C5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A79DA">
        <w:rPr>
          <w:b/>
          <w:szCs w:val="20"/>
        </w:rPr>
      </w:r>
      <w:r w:rsidR="00DA79D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F069BD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A79DA">
        <w:rPr>
          <w:b/>
          <w:szCs w:val="20"/>
        </w:rPr>
      </w:r>
      <w:r w:rsidR="00DA79D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B957939"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0584BB0"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Yes</w:t>
      </w:r>
    </w:p>
    <w:p w14:paraId="765C5974" w14:textId="77777777" w:rsidR="00626365" w:rsidRDefault="00ED061E"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0A5B32" w:rsidRPr="000A5B32">
        <w:rPr>
          <w:szCs w:val="20"/>
        </w:rPr>
        <w:t xml:space="preserve"> No</w:t>
      </w:r>
    </w:p>
    <w:p w14:paraId="7A1A65D2"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61C11ABB"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82B5212"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40F86A16" w14:textId="77777777" w:rsidR="000B3CD0" w:rsidRDefault="000B3CD0" w:rsidP="00730C04">
      <w:pPr>
        <w:pStyle w:val="Heading2"/>
      </w:pPr>
      <w:r w:rsidRPr="00154B00">
        <w:t>What is the type of service:</w:t>
      </w:r>
    </w:p>
    <w:p w14:paraId="150A96E6" w14:textId="77777777" w:rsidR="00A6594E" w:rsidRDefault="00ED061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A79DA">
        <w:rPr>
          <w:b/>
          <w:szCs w:val="20"/>
        </w:rPr>
      </w:r>
      <w:r w:rsidR="00DA79DA">
        <w:rPr>
          <w:b/>
          <w:szCs w:val="20"/>
        </w:rPr>
        <w:fldChar w:fldCharType="separate"/>
      </w:r>
      <w:r>
        <w:rPr>
          <w:b/>
          <w:szCs w:val="20"/>
        </w:rPr>
        <w:fldChar w:fldCharType="end"/>
      </w:r>
      <w:r w:rsidR="00A6594E" w:rsidRPr="0027105F">
        <w:rPr>
          <w:b/>
          <w:szCs w:val="20"/>
        </w:rPr>
        <w:t xml:space="preserve"> </w:t>
      </w:r>
      <w:r w:rsidR="00A6594E">
        <w:t>Therapeutic medical service</w:t>
      </w:r>
    </w:p>
    <w:p w14:paraId="524BC54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Investigative medical service</w:t>
      </w:r>
    </w:p>
    <w:p w14:paraId="3FDC18D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Single consultation medical service</w:t>
      </w:r>
    </w:p>
    <w:p w14:paraId="79B11CE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Global consultation medical service</w:t>
      </w:r>
    </w:p>
    <w:p w14:paraId="1AAFE53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Allied health service</w:t>
      </w:r>
    </w:p>
    <w:p w14:paraId="68F8B06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Co-dependent technology</w:t>
      </w:r>
    </w:p>
    <w:p w14:paraId="2794B903"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Hybrid health technology</w:t>
      </w:r>
    </w:p>
    <w:p w14:paraId="0F8A6E27"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CB07B4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A79DA">
        <w:rPr>
          <w:b/>
          <w:szCs w:val="20"/>
        </w:rPr>
      </w:r>
      <w:r w:rsidR="00DA79DA">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2976139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A79DA">
        <w:rPr>
          <w:b/>
          <w:szCs w:val="20"/>
        </w:rPr>
      </w:r>
      <w:r w:rsidR="00DA79DA">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31DAFFB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A79DA">
        <w:rPr>
          <w:b/>
          <w:szCs w:val="20"/>
        </w:rPr>
      </w:r>
      <w:r w:rsidR="00DA79DA">
        <w:rPr>
          <w:b/>
          <w:szCs w:val="20"/>
        </w:rPr>
        <w:fldChar w:fldCharType="separate"/>
      </w:r>
      <w:r w:rsidRPr="00AF4466">
        <w:rPr>
          <w:b/>
          <w:szCs w:val="20"/>
        </w:rPr>
        <w:fldChar w:fldCharType="end"/>
      </w:r>
      <w:r w:rsidRPr="00AF4466">
        <w:rPr>
          <w:b/>
          <w:szCs w:val="20"/>
        </w:rPr>
        <w:t xml:space="preserve"> </w:t>
      </w:r>
      <w:r>
        <w:t>Provides information about prognosis</w:t>
      </w:r>
    </w:p>
    <w:p w14:paraId="39910A9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A79DA">
        <w:rPr>
          <w:b/>
          <w:szCs w:val="20"/>
        </w:rPr>
      </w:r>
      <w:r w:rsidR="00DA79DA">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C50070B"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A79DA">
        <w:rPr>
          <w:b/>
          <w:szCs w:val="20"/>
        </w:rPr>
      </w:r>
      <w:r w:rsidR="00DA79DA">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52AEFB5"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B3AF43C"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Pharmaceutical / Biological</w:t>
      </w:r>
    </w:p>
    <w:p w14:paraId="6FB8507A" w14:textId="77777777" w:rsidR="00FE16C1" w:rsidRDefault="00ED061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A79DA">
        <w:rPr>
          <w:b/>
          <w:szCs w:val="20"/>
        </w:rPr>
      </w:r>
      <w:r w:rsidR="00DA79DA">
        <w:rPr>
          <w:b/>
          <w:szCs w:val="20"/>
        </w:rPr>
        <w:fldChar w:fldCharType="separate"/>
      </w:r>
      <w:r>
        <w:rPr>
          <w:b/>
          <w:szCs w:val="20"/>
        </w:rPr>
        <w:fldChar w:fldCharType="end"/>
      </w:r>
      <w:r w:rsidR="00FE16C1" w:rsidRPr="0027105F">
        <w:rPr>
          <w:b/>
          <w:szCs w:val="20"/>
        </w:rPr>
        <w:t xml:space="preserve"> </w:t>
      </w:r>
      <w:r w:rsidR="00FE16C1">
        <w:t>Prosthesis or device</w:t>
      </w:r>
    </w:p>
    <w:p w14:paraId="0CF43862"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A79DA">
        <w:rPr>
          <w:b/>
          <w:szCs w:val="20"/>
        </w:rPr>
      </w:r>
      <w:r w:rsidR="00DA79DA">
        <w:rPr>
          <w:b/>
          <w:szCs w:val="20"/>
        </w:rPr>
        <w:fldChar w:fldCharType="separate"/>
      </w:r>
      <w:r w:rsidRPr="0027105F">
        <w:rPr>
          <w:b/>
          <w:szCs w:val="20"/>
        </w:rPr>
        <w:fldChar w:fldCharType="end"/>
      </w:r>
      <w:r w:rsidRPr="0027105F">
        <w:rPr>
          <w:b/>
          <w:szCs w:val="20"/>
        </w:rPr>
        <w:t xml:space="preserve"> </w:t>
      </w:r>
      <w:r>
        <w:t>No</w:t>
      </w:r>
    </w:p>
    <w:p w14:paraId="1023B5FC" w14:textId="77777777"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50948BB" w14:textId="77777777" w:rsidR="00ED061E" w:rsidRPr="00ED061E" w:rsidRDefault="00ED061E" w:rsidP="00ED061E">
      <w:pPr>
        <w:ind w:left="284"/>
      </w:pPr>
      <w:r>
        <w:t>Not applicable</w:t>
      </w:r>
    </w:p>
    <w:p w14:paraId="10381304"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Yes</w:t>
      </w:r>
    </w:p>
    <w:p w14:paraId="523E3534"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  </w:t>
      </w:r>
    </w:p>
    <w:p w14:paraId="378BE0EF" w14:textId="77777777" w:rsidR="00EC127A"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C4110E3" w14:textId="77777777" w:rsidR="00ED061E" w:rsidRPr="00ED061E" w:rsidRDefault="00ED061E" w:rsidP="00ED061E">
      <w:pPr>
        <w:ind w:left="284"/>
      </w:pPr>
      <w:r>
        <w:t>Not applicable</w:t>
      </w:r>
    </w:p>
    <w:p w14:paraId="373182B2"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016FC348" w14:textId="77777777"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7A341C0" w14:textId="77777777" w:rsidR="00ED061E" w:rsidRPr="00ED061E" w:rsidRDefault="00ED061E" w:rsidP="00ED061E">
      <w:pPr>
        <w:ind w:left="284"/>
      </w:pPr>
      <w:r>
        <w:t>Not applicable</w:t>
      </w:r>
    </w:p>
    <w:p w14:paraId="0D1E3D1E"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C1B6916"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001E6919">
        <w:rPr>
          <w:szCs w:val="20"/>
        </w:rPr>
        <w:t xml:space="preserve"> No</w:t>
      </w:r>
    </w:p>
    <w:p w14:paraId="229B4BE2"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3ABADD3E" w14:textId="77777777"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14:paraId="2DC65995" w14:textId="77777777" w:rsidR="00ED061E" w:rsidRPr="00ED061E" w:rsidRDefault="00ED061E" w:rsidP="00ED061E">
      <w:pPr>
        <w:ind w:left="284"/>
      </w:pPr>
      <w:r>
        <w:t>Not Applicable</w:t>
      </w:r>
    </w:p>
    <w:p w14:paraId="2D677C9A"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7623E0C1"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597250E3"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1195E936" w14:textId="77777777" w:rsidR="001E6958" w:rsidRDefault="00ED061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1E6958" w:rsidRPr="000A5B32">
        <w:rPr>
          <w:szCs w:val="20"/>
        </w:rPr>
        <w:t xml:space="preserve"> Yes</w:t>
      </w:r>
    </w:p>
    <w:p w14:paraId="024C8557" w14:textId="2E0EF2C1" w:rsidR="00B75965" w:rsidRDefault="001E6958" w:rsidP="0038682F">
      <w:pPr>
        <w:spacing w:before="0" w:after="0"/>
        <w:ind w:left="284"/>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w:t>
      </w:r>
      <w:r w:rsidR="00B75965" w:rsidRPr="001E6958">
        <w:t xml:space="preserve">If yes, </w:t>
      </w:r>
      <w:r w:rsidR="00C73B62" w:rsidRPr="001E6958">
        <w:t xml:space="preserve">please provide the following information (where relevant): </w:t>
      </w:r>
    </w:p>
    <w:p w14:paraId="4CA40949" w14:textId="77777777" w:rsidR="001E6958" w:rsidRDefault="001E6958" w:rsidP="00A6491A">
      <w:pPr>
        <w:spacing w:before="0" w:after="0"/>
        <w:ind w:left="284"/>
      </w:pPr>
      <w:r>
        <w:t xml:space="preserve">Billing code(s): </w:t>
      </w:r>
      <w:r w:rsidR="003127C4">
        <w:t>EL063</w:t>
      </w:r>
    </w:p>
    <w:p w14:paraId="4C051594" w14:textId="77777777" w:rsidR="001E6958" w:rsidRDefault="001E6958" w:rsidP="00A6491A">
      <w:pPr>
        <w:spacing w:before="0" w:after="0"/>
        <w:ind w:left="284"/>
      </w:pPr>
      <w:r>
        <w:t xml:space="preserve">Trade name of prostheses: </w:t>
      </w:r>
      <w:r w:rsidR="003127C4">
        <w:t>Edwards SAPIEN 3 Transcatheter Heart Valve</w:t>
      </w:r>
    </w:p>
    <w:p w14:paraId="7A19BA5C" w14:textId="77777777" w:rsidR="001E6958" w:rsidRDefault="001E6958" w:rsidP="00A6491A">
      <w:pPr>
        <w:spacing w:before="0" w:after="0"/>
        <w:ind w:left="284"/>
      </w:pPr>
      <w:r>
        <w:t xml:space="preserve">Clinical name of prostheses: </w:t>
      </w:r>
      <w:r w:rsidR="003127C4">
        <w:t>Transcatheter, balloon expanded aortic heart valve with Commander Delivery System</w:t>
      </w:r>
    </w:p>
    <w:p w14:paraId="480F5554" w14:textId="77777777" w:rsidR="003127C4" w:rsidRDefault="003127C4" w:rsidP="00A6491A">
      <w:pPr>
        <w:spacing w:before="0" w:after="0"/>
        <w:ind w:left="284"/>
      </w:pPr>
    </w:p>
    <w:p w14:paraId="0F4965BD" w14:textId="76C674DE" w:rsidR="001E6958" w:rsidRPr="001E6958" w:rsidRDefault="001E6958" w:rsidP="00A6491A">
      <w:pPr>
        <w:spacing w:before="0" w:after="0"/>
        <w:ind w:left="284"/>
      </w:pPr>
      <w:r>
        <w:t xml:space="preserve">Other device components delivered as part of the service: </w:t>
      </w:r>
      <w:r w:rsidR="003127C4">
        <w:t xml:space="preserve">The Prostheses Listing </w:t>
      </w:r>
      <w:r w:rsidR="00325F61">
        <w:t>includes the valve and delivery system.</w:t>
      </w:r>
      <w:r w:rsidR="0080580D">
        <w:t>.</w:t>
      </w:r>
    </w:p>
    <w:p w14:paraId="0DD0BE8F" w14:textId="77777777" w:rsidR="009939DC" w:rsidRDefault="009939DC" w:rsidP="009939DC"/>
    <w:p w14:paraId="1C2B1E96"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D412188" w14:textId="77777777" w:rsidR="003127C4" w:rsidRPr="003127C4" w:rsidRDefault="003127C4" w:rsidP="003127C4">
      <w:pPr>
        <w:ind w:left="284"/>
      </w:pPr>
      <w:r>
        <w:t>Not Applicable</w:t>
      </w:r>
    </w:p>
    <w:p w14:paraId="06B02B5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Yes</w:t>
      </w:r>
    </w:p>
    <w:p w14:paraId="2F7C30CE"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  </w:t>
      </w:r>
    </w:p>
    <w:p w14:paraId="4A691425"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C36A9F5" w14:textId="77777777" w:rsidR="009939DC" w:rsidRDefault="003127C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9939DC" w:rsidRPr="000A5B32">
        <w:rPr>
          <w:szCs w:val="20"/>
        </w:rPr>
        <w:t xml:space="preserve"> Yes</w:t>
      </w:r>
    </w:p>
    <w:p w14:paraId="1822DFAB"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  </w:t>
      </w:r>
    </w:p>
    <w:p w14:paraId="0CEB576D"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B859BD5" w14:textId="77777777" w:rsidR="00016B6E" w:rsidRDefault="003127C4" w:rsidP="00A6491A">
      <w:pPr>
        <w:ind w:left="284"/>
      </w:pPr>
      <w:r>
        <w:t>St Jude Medical</w:t>
      </w:r>
      <w:r w:rsidR="0080580D">
        <w:t xml:space="preserve"> Australia Pty Ltd</w:t>
      </w:r>
    </w:p>
    <w:p w14:paraId="0FB80CCE" w14:textId="77777777" w:rsidR="0080580D" w:rsidRDefault="0080580D" w:rsidP="00A6491A">
      <w:pPr>
        <w:ind w:left="284"/>
      </w:pPr>
      <w:r>
        <w:t>Medtronic Australasia Pty Ltd</w:t>
      </w:r>
    </w:p>
    <w:p w14:paraId="22CFE6D2" w14:textId="77777777" w:rsidR="0080580D" w:rsidRPr="009939DC" w:rsidRDefault="0080580D" w:rsidP="00A6491A">
      <w:pPr>
        <w:ind w:left="284"/>
      </w:pPr>
    </w:p>
    <w:p w14:paraId="1CD6D1AB"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FDDE870" w14:textId="77777777" w:rsidR="00CF7FF1" w:rsidRDefault="009939DC" w:rsidP="00A6491A">
      <w:pPr>
        <w:spacing w:before="0" w:after="0"/>
        <w:ind w:left="284"/>
      </w:pPr>
      <w:r>
        <w:t xml:space="preserve">Single use consumables: </w:t>
      </w:r>
      <w:r w:rsidR="00CF7FF1">
        <w:t xml:space="preserve">Angioplasty kit which includes drapes, manifolds and extensions tubing.  </w:t>
      </w:r>
    </w:p>
    <w:p w14:paraId="12644767" w14:textId="367E59CB" w:rsidR="00CF7FF1" w:rsidRDefault="00CF7FF1" w:rsidP="00A6491A">
      <w:pPr>
        <w:spacing w:before="0" w:after="0"/>
        <w:ind w:left="284"/>
      </w:pPr>
      <w:r>
        <w:t xml:space="preserve">Sheaths, </w:t>
      </w:r>
    </w:p>
    <w:p w14:paraId="28477F03" w14:textId="3D564F77" w:rsidR="00325F61" w:rsidRDefault="00325F61" w:rsidP="00A6491A">
      <w:pPr>
        <w:spacing w:before="0" w:after="0"/>
        <w:ind w:left="284"/>
      </w:pPr>
      <w:r>
        <w:t>Lock syringes</w:t>
      </w:r>
    </w:p>
    <w:p w14:paraId="33335C60" w14:textId="70D68EEA" w:rsidR="00325F61" w:rsidRDefault="00325F61" w:rsidP="00A6491A">
      <w:pPr>
        <w:spacing w:before="0" w:after="0"/>
        <w:ind w:left="284"/>
      </w:pPr>
      <w:r>
        <w:t>3 way taps X 2</w:t>
      </w:r>
    </w:p>
    <w:p w14:paraId="72359D3E" w14:textId="3D810FB7" w:rsidR="00325F61" w:rsidRDefault="00325F61" w:rsidP="00A6491A">
      <w:pPr>
        <w:spacing w:before="0" w:after="0"/>
        <w:ind w:left="284"/>
      </w:pPr>
      <w:r>
        <w:t>3 X bowls</w:t>
      </w:r>
    </w:p>
    <w:p w14:paraId="1B44AFCE" w14:textId="0B9A122C" w:rsidR="00325F61" w:rsidRDefault="00325F61" w:rsidP="00A6491A">
      <w:pPr>
        <w:spacing w:before="0" w:after="0"/>
        <w:ind w:left="284"/>
      </w:pPr>
      <w:r>
        <w:t>2 X Galley pot</w:t>
      </w:r>
    </w:p>
    <w:p w14:paraId="30B7E6D8" w14:textId="49828D77" w:rsidR="00325F61" w:rsidRDefault="00325F61" w:rsidP="00A6491A">
      <w:pPr>
        <w:spacing w:before="0" w:after="0"/>
        <w:ind w:left="284"/>
      </w:pPr>
      <w:r>
        <w:t>Temporary pacing wire</w:t>
      </w:r>
    </w:p>
    <w:p w14:paraId="3079DE7B" w14:textId="05818989" w:rsidR="00325F61" w:rsidRDefault="00325F61" w:rsidP="00A6491A">
      <w:pPr>
        <w:spacing w:before="0" w:after="0"/>
        <w:ind w:left="284"/>
      </w:pPr>
      <w:r>
        <w:t>Variety of pre-shaped catheters</w:t>
      </w:r>
    </w:p>
    <w:p w14:paraId="558602CB" w14:textId="5A75F13E" w:rsidR="00325F61" w:rsidRDefault="00325F61" w:rsidP="00A6491A">
      <w:pPr>
        <w:spacing w:before="0" w:after="0"/>
        <w:ind w:left="284"/>
      </w:pPr>
      <w:r>
        <w:t>Variety of wires</w:t>
      </w:r>
    </w:p>
    <w:p w14:paraId="78365C9E" w14:textId="1CB9BD48" w:rsidR="009939DC" w:rsidRDefault="00CF7FF1" w:rsidP="00A6491A">
      <w:pPr>
        <w:spacing w:before="0" w:after="0"/>
        <w:ind w:left="284"/>
      </w:pPr>
      <w:r>
        <w:t xml:space="preserve">. </w:t>
      </w:r>
    </w:p>
    <w:p w14:paraId="41870DED" w14:textId="21323FAC" w:rsidR="00325F61" w:rsidRDefault="009939DC" w:rsidP="00A6491A">
      <w:pPr>
        <w:spacing w:before="0" w:after="0"/>
        <w:ind w:left="284"/>
      </w:pPr>
      <w:r>
        <w:t>Multi-use consumables:</w:t>
      </w:r>
      <w:r w:rsidR="00CF7FF1">
        <w:t xml:space="preserve"> </w:t>
      </w:r>
    </w:p>
    <w:p w14:paraId="265ADC17" w14:textId="77777777" w:rsidR="00325F61" w:rsidRDefault="00325F61" w:rsidP="00A6491A">
      <w:pPr>
        <w:spacing w:before="0" w:after="0"/>
        <w:ind w:left="284"/>
      </w:pPr>
      <w:r>
        <w:t>Temporary pacing cable</w:t>
      </w:r>
    </w:p>
    <w:p w14:paraId="7D1BEC6C" w14:textId="77777777" w:rsidR="00325F61" w:rsidRDefault="00325F61" w:rsidP="00A6491A">
      <w:pPr>
        <w:spacing w:before="0" w:after="0"/>
        <w:ind w:left="284"/>
      </w:pPr>
      <w:r>
        <w:t>Temporary pacing box</w:t>
      </w:r>
    </w:p>
    <w:p w14:paraId="588C0EE3" w14:textId="7421D3D0" w:rsidR="00F301F1" w:rsidRPr="00855944" w:rsidRDefault="00325F61" w:rsidP="00A6491A">
      <w:pPr>
        <w:spacing w:before="0" w:after="0"/>
        <w:ind w:left="284"/>
      </w:pPr>
      <w:r>
        <w:t>Transthoracic or transoesophageal probe</w:t>
      </w:r>
      <w:r w:rsidR="00F301F1" w:rsidRPr="00855944">
        <w:br w:type="page"/>
      </w:r>
    </w:p>
    <w:p w14:paraId="1023ED1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4D4C326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F373E9C" w14:textId="27CFFE4D"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79108A">
        <w:t>Transfemoral – Aortic transcatheter heart valve bioprosthesis, stent-like framework</w:t>
      </w:r>
    </w:p>
    <w:p w14:paraId="0569DDA9" w14:textId="57CCD0F5" w:rsidR="00A26343" w:rsidRPr="00A26343" w:rsidRDefault="00A26343" w:rsidP="00A6491A">
      <w:pPr>
        <w:spacing w:before="0" w:after="0"/>
        <w:ind w:left="284"/>
        <w:rPr>
          <w:szCs w:val="20"/>
        </w:rPr>
      </w:pPr>
      <w:r w:rsidRPr="00A26343">
        <w:rPr>
          <w:szCs w:val="20"/>
        </w:rPr>
        <w:t>Manufacturer’s name</w:t>
      </w:r>
      <w:r>
        <w:rPr>
          <w:szCs w:val="20"/>
        </w:rPr>
        <w:t xml:space="preserve">: </w:t>
      </w:r>
      <w:r w:rsidR="0079108A">
        <w:t>Edwards Lifesciences LLC</w:t>
      </w:r>
    </w:p>
    <w:p w14:paraId="496960F4" w14:textId="2678233A" w:rsidR="00A26343" w:rsidRPr="00A26343" w:rsidRDefault="00A26343" w:rsidP="00A6491A">
      <w:pPr>
        <w:spacing w:before="0" w:after="0"/>
        <w:ind w:left="284"/>
        <w:rPr>
          <w:szCs w:val="20"/>
        </w:rPr>
      </w:pPr>
      <w:r w:rsidRPr="00A26343">
        <w:rPr>
          <w:szCs w:val="20"/>
        </w:rPr>
        <w:t>Sponsor’s name</w:t>
      </w:r>
      <w:r>
        <w:rPr>
          <w:szCs w:val="20"/>
        </w:rPr>
        <w:t xml:space="preserve">: </w:t>
      </w:r>
      <w:r w:rsidR="0079108A">
        <w:t>Edwards Lifesciences Pty Ltd</w:t>
      </w:r>
    </w:p>
    <w:p w14:paraId="6AB95232"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62933508" w14:textId="03811CDA" w:rsidR="00615F42" w:rsidRPr="00615F42" w:rsidRDefault="0079108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4667130"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w:t>
      </w:r>
      <w:r w:rsidRPr="00615F42">
        <w:rPr>
          <w:szCs w:val="20"/>
        </w:rPr>
        <w:t>AIMD</w:t>
      </w:r>
    </w:p>
    <w:p w14:paraId="29110CE4"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sidRPr="000A5B32">
        <w:rPr>
          <w:szCs w:val="20"/>
        </w:rPr>
        <w:t xml:space="preserve"> </w:t>
      </w:r>
      <w:r w:rsidRPr="00615F42">
        <w:rPr>
          <w:szCs w:val="20"/>
        </w:rPr>
        <w:t>N/A</w:t>
      </w:r>
    </w:p>
    <w:p w14:paraId="0E284120"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957283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FAF8E2A" w14:textId="0A71FCAA" w:rsidR="003421AE" w:rsidRPr="00615F42" w:rsidRDefault="0079108A"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615F42">
        <w:rPr>
          <w:szCs w:val="20"/>
        </w:rPr>
        <w:t xml:space="preserve"> No</w:t>
      </w:r>
    </w:p>
    <w:p w14:paraId="6CEDD193"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A8DD8F4" w14:textId="66D5C5A9" w:rsidR="0043654D" w:rsidRDefault="00CF7FF1"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43654D">
        <w:rPr>
          <w:szCs w:val="20"/>
        </w:rPr>
        <w:t xml:space="preserve"> Yes (if yes, please provide details below)</w:t>
      </w:r>
    </w:p>
    <w:p w14:paraId="2EC8FFDA"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w:t>
      </w:r>
    </w:p>
    <w:p w14:paraId="700C27BB" w14:textId="77777777" w:rsidR="0043654D" w:rsidRPr="00615F42" w:rsidRDefault="0043654D" w:rsidP="0043654D">
      <w:pPr>
        <w:spacing w:before="0" w:after="0"/>
        <w:ind w:left="284"/>
        <w:rPr>
          <w:b/>
          <w:szCs w:val="20"/>
        </w:rPr>
      </w:pPr>
    </w:p>
    <w:p w14:paraId="1D5D3376" w14:textId="2FE28E3B" w:rsidR="0043654D" w:rsidRDefault="0043654D" w:rsidP="0043654D">
      <w:pPr>
        <w:spacing w:before="0" w:after="0"/>
        <w:ind w:left="284"/>
        <w:rPr>
          <w:szCs w:val="20"/>
        </w:rPr>
      </w:pPr>
      <w:r w:rsidRPr="0043654D">
        <w:rPr>
          <w:szCs w:val="20"/>
        </w:rPr>
        <w:t>ARTG listing, registration or inclusion number:</w:t>
      </w:r>
      <w:r>
        <w:rPr>
          <w:szCs w:val="20"/>
        </w:rPr>
        <w:t xml:space="preserve">  </w:t>
      </w:r>
      <w:r w:rsidR="00E955AF">
        <w:rPr>
          <w:szCs w:val="20"/>
        </w:rPr>
        <w:t>284496</w:t>
      </w:r>
    </w:p>
    <w:p w14:paraId="21773178" w14:textId="77777777" w:rsidR="00E96299" w:rsidRPr="0043654D" w:rsidRDefault="00E96299" w:rsidP="0043654D">
      <w:pPr>
        <w:spacing w:before="0" w:after="0"/>
        <w:ind w:left="284"/>
        <w:rPr>
          <w:szCs w:val="20"/>
        </w:rPr>
      </w:pPr>
    </w:p>
    <w:p w14:paraId="1B8BF988" w14:textId="11945275" w:rsidR="0043654D" w:rsidRDefault="0043654D" w:rsidP="00640990">
      <w:pPr>
        <w:spacing w:before="0" w:after="0"/>
        <w:ind w:left="284"/>
        <w:rPr>
          <w:szCs w:val="20"/>
        </w:rPr>
      </w:pPr>
      <w:r w:rsidRPr="0043654D">
        <w:rPr>
          <w:szCs w:val="20"/>
        </w:rPr>
        <w:t>TGA approved indication(s), if applicable:</w:t>
      </w:r>
      <w:r>
        <w:rPr>
          <w:szCs w:val="20"/>
        </w:rPr>
        <w:t xml:space="preserve">  </w:t>
      </w:r>
      <w:r w:rsidR="00E955AF">
        <w:rPr>
          <w:szCs w:val="20"/>
        </w:rPr>
        <w:t>The Edwards SAPIEN 3 THV, Edwards Commander delivery system and accessories are indic</w:t>
      </w:r>
      <w:r w:rsidR="000D206C">
        <w:rPr>
          <w:szCs w:val="20"/>
        </w:rPr>
        <w:t>a</w:t>
      </w:r>
      <w:r w:rsidR="00E955AF">
        <w:rPr>
          <w:szCs w:val="20"/>
        </w:rPr>
        <w:t xml:space="preserve">ted for use in patients </w:t>
      </w:r>
      <w:r w:rsidR="00730247">
        <w:rPr>
          <w:szCs w:val="20"/>
        </w:rPr>
        <w:t>with severe, symptomatic, calcific aortic valve stenosis</w:t>
      </w:r>
      <w:r w:rsidR="00DB281E">
        <w:rPr>
          <w:szCs w:val="20"/>
        </w:rPr>
        <w:t xml:space="preserve"> with an STS-PROM of 8 or Logistic EuroSCORE &gt; 15</w:t>
      </w:r>
      <w:r w:rsidR="00730247">
        <w:rPr>
          <w:szCs w:val="20"/>
        </w:rPr>
        <w:t xml:space="preserve"> </w:t>
      </w:r>
    </w:p>
    <w:p w14:paraId="5D49D2A6" w14:textId="77777777" w:rsidR="00E96299" w:rsidRPr="0043654D" w:rsidRDefault="00E96299" w:rsidP="0043654D">
      <w:pPr>
        <w:spacing w:before="0" w:after="0"/>
        <w:ind w:left="284"/>
        <w:rPr>
          <w:szCs w:val="20"/>
        </w:rPr>
      </w:pPr>
    </w:p>
    <w:p w14:paraId="63F08AB4" w14:textId="34E94549"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730247">
        <w:rPr>
          <w:szCs w:val="20"/>
        </w:rPr>
        <w:t>As above</w:t>
      </w:r>
    </w:p>
    <w:p w14:paraId="1E06135A"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A21361D"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Yes (please provide details below)</w:t>
      </w:r>
    </w:p>
    <w:p w14:paraId="1725EF3F" w14:textId="7413C15B"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No</w:t>
      </w:r>
    </w:p>
    <w:p w14:paraId="34EDB6F9" w14:textId="1E912C20" w:rsidR="00730247" w:rsidRDefault="00730247" w:rsidP="0047581D">
      <w:pPr>
        <w:spacing w:before="0" w:after="0"/>
        <w:ind w:left="284"/>
        <w:rPr>
          <w:szCs w:val="20"/>
        </w:rPr>
      </w:pPr>
    </w:p>
    <w:p w14:paraId="42568DE8" w14:textId="2A312048" w:rsidR="00730247" w:rsidRDefault="00730247" w:rsidP="0047581D">
      <w:pPr>
        <w:spacing w:before="0" w:after="0"/>
        <w:ind w:left="284"/>
        <w:rPr>
          <w:szCs w:val="20"/>
        </w:rPr>
      </w:pPr>
      <w:r>
        <w:rPr>
          <w:szCs w:val="20"/>
        </w:rPr>
        <w:t>There is an application with the TGA to extend the approved indication to include patients who are at intermediate risk for surgery</w:t>
      </w:r>
    </w:p>
    <w:p w14:paraId="25580F44" w14:textId="77777777" w:rsidR="0047581D" w:rsidRDefault="0047581D" w:rsidP="0047581D">
      <w:pPr>
        <w:spacing w:before="0" w:after="0"/>
        <w:rPr>
          <w:b/>
          <w:szCs w:val="20"/>
        </w:rPr>
      </w:pPr>
    </w:p>
    <w:p w14:paraId="3E4E7334" w14:textId="5E2064C6" w:rsidR="0047581D" w:rsidRPr="008310E2" w:rsidRDefault="0047581D" w:rsidP="0047581D">
      <w:pPr>
        <w:spacing w:before="0" w:after="0"/>
        <w:rPr>
          <w:szCs w:val="20"/>
        </w:rPr>
      </w:pPr>
      <w:r w:rsidRPr="008310E2">
        <w:rPr>
          <w:szCs w:val="20"/>
        </w:rPr>
        <w:t xml:space="preserve">Date of submission to TGA:  </w:t>
      </w:r>
      <w:r w:rsidR="00546A53" w:rsidRPr="008310E2">
        <w:t>23rd May 2017</w:t>
      </w:r>
    </w:p>
    <w:p w14:paraId="62A66103" w14:textId="1BC6D8F2" w:rsidR="0047581D" w:rsidRPr="008310E2" w:rsidRDefault="0047581D" w:rsidP="0047581D">
      <w:pPr>
        <w:spacing w:before="0" w:after="0"/>
        <w:rPr>
          <w:szCs w:val="20"/>
        </w:rPr>
      </w:pPr>
      <w:r w:rsidRPr="008310E2">
        <w:rPr>
          <w:szCs w:val="20"/>
        </w:rPr>
        <w:t xml:space="preserve">Estimated date by which TGA approval can be expected:  </w:t>
      </w:r>
      <w:r w:rsidR="00546A53" w:rsidRPr="008310E2">
        <w:t>15th August 2018</w:t>
      </w:r>
    </w:p>
    <w:p w14:paraId="23E4A91A" w14:textId="367D8DA9" w:rsidR="0047581D" w:rsidRPr="008310E2" w:rsidRDefault="0047581D" w:rsidP="0047581D">
      <w:pPr>
        <w:spacing w:before="0" w:after="0"/>
        <w:rPr>
          <w:szCs w:val="20"/>
        </w:rPr>
      </w:pPr>
      <w:r w:rsidRPr="008310E2">
        <w:rPr>
          <w:szCs w:val="20"/>
        </w:rPr>
        <w:t>TGA Application ID</w:t>
      </w:r>
      <w:r w:rsidRPr="00325F61">
        <w:rPr>
          <w:szCs w:val="20"/>
        </w:rPr>
        <w:t xml:space="preserve">:  </w:t>
      </w:r>
      <w:r w:rsidR="00546A53" w:rsidRPr="00325F61">
        <w:fldChar w:fldCharType="begin">
          <w:ffData>
            <w:name w:val=""/>
            <w:enabled/>
            <w:calcOnExit w:val="0"/>
            <w:textInput>
              <w:default w:val="DC-2017-02153-1"/>
            </w:textInput>
          </w:ffData>
        </w:fldChar>
      </w:r>
      <w:r w:rsidR="00546A53" w:rsidRPr="00325F61">
        <w:instrText xml:space="preserve"> FORMTEXT </w:instrText>
      </w:r>
      <w:r w:rsidR="00546A53" w:rsidRPr="00325F61">
        <w:fldChar w:fldCharType="separate"/>
      </w:r>
      <w:r w:rsidR="00546A53" w:rsidRPr="00325F61">
        <w:rPr>
          <w:noProof/>
        </w:rPr>
        <w:t>DC-2017-02153-1</w:t>
      </w:r>
      <w:r w:rsidR="00546A53" w:rsidRPr="00325F61">
        <w:fldChar w:fldCharType="end"/>
      </w:r>
    </w:p>
    <w:p w14:paraId="4470B40E" w14:textId="3F77F5C1" w:rsidR="00546A53" w:rsidRPr="007422D7" w:rsidRDefault="0047581D" w:rsidP="00546A53">
      <w:pPr>
        <w:spacing w:before="0" w:after="0"/>
      </w:pPr>
      <w:r w:rsidRPr="008310E2">
        <w:rPr>
          <w:szCs w:val="20"/>
        </w:rPr>
        <w:t xml:space="preserve">TGA approved indication(s), if applicable: </w:t>
      </w:r>
      <w:r w:rsidR="00546A53" w:rsidRPr="00936B5D">
        <w:rPr>
          <w:szCs w:val="20"/>
        </w:rPr>
        <w:t xml:space="preserve"> </w:t>
      </w:r>
      <w:r w:rsidR="00546A53" w:rsidRPr="007422D7">
        <w:t>The Edwards SAPIEN 3 valve, Edwards Commander delivery system</w:t>
      </w:r>
    </w:p>
    <w:p w14:paraId="32B84E02" w14:textId="77777777" w:rsidR="00546A53" w:rsidRDefault="00546A53" w:rsidP="00546A53">
      <w:pPr>
        <w:spacing w:before="0" w:after="0"/>
      </w:pPr>
      <w:r w:rsidRPr="007422D7">
        <w:t>and accessories are indicated for use in patients with severe,</w:t>
      </w:r>
      <w:r>
        <w:t xml:space="preserve"> </w:t>
      </w:r>
      <w:r w:rsidRPr="007422D7">
        <w:t>symptomatic, calcific aortic valve stenosis who are judged by a Heart</w:t>
      </w:r>
      <w:r>
        <w:t xml:space="preserve"> </w:t>
      </w:r>
      <w:r w:rsidRPr="007422D7">
        <w:t>Team, to be at intermediate or greater risk for open surgical therapy</w:t>
      </w:r>
      <w:r>
        <w:t xml:space="preserve"> </w:t>
      </w:r>
      <w:r w:rsidRPr="007422D7">
        <w:t xml:space="preserve">(i.e., predicted risk of surgical mortality </w:t>
      </w:r>
      <w:r w:rsidRPr="007422D7">
        <w:rPr>
          <w:rFonts w:hint="eastAsia"/>
        </w:rPr>
        <w:t>≥</w:t>
      </w:r>
      <w:r w:rsidRPr="007422D7">
        <w:t xml:space="preserve"> 3% at 30 days, based on the</w:t>
      </w:r>
      <w:r>
        <w:t xml:space="preserve"> </w:t>
      </w:r>
      <w:r w:rsidRPr="007422D7">
        <w:t>Society of Thoracic Surgeons (STS) risk score and other clinical</w:t>
      </w:r>
      <w:r>
        <w:t xml:space="preserve"> </w:t>
      </w:r>
      <w:r w:rsidRPr="007422D7">
        <w:t>comorbidities unmeasured by the STS risk calculator).</w:t>
      </w:r>
    </w:p>
    <w:p w14:paraId="16380B56" w14:textId="6E9224A7" w:rsidR="0047581D" w:rsidRPr="00753A92" w:rsidRDefault="0047581D" w:rsidP="0047581D">
      <w:pPr>
        <w:spacing w:before="0" w:after="0"/>
        <w:rPr>
          <w:szCs w:val="20"/>
          <w:highlight w:val="yellow"/>
        </w:rPr>
      </w:pPr>
    </w:p>
    <w:p w14:paraId="7F17A141" w14:textId="77777777" w:rsidR="003433D1" w:rsidRPr="0047581D" w:rsidRDefault="0047581D" w:rsidP="0047581D">
      <w:pPr>
        <w:spacing w:before="0" w:after="0"/>
        <w:rPr>
          <w:szCs w:val="20"/>
        </w:rPr>
      </w:pPr>
      <w:r w:rsidRPr="008310E2">
        <w:rPr>
          <w:szCs w:val="20"/>
        </w:rPr>
        <w:t xml:space="preserve">TGA approved purpose(s), if applicable:  </w:t>
      </w:r>
      <w:r w:rsidR="00971EDB" w:rsidRPr="00F91FBC">
        <w:fldChar w:fldCharType="begin">
          <w:ffData>
            <w:name w:val=""/>
            <w:enabled/>
            <w:calcOnExit w:val="0"/>
            <w:textInput>
              <w:default w:val="If applicable, insert description of TGA approved purpose(s) here"/>
            </w:textInput>
          </w:ffData>
        </w:fldChar>
      </w:r>
      <w:r w:rsidR="00971EDB" w:rsidRPr="00F91FBC">
        <w:instrText xml:space="preserve"> FORMTEXT </w:instrText>
      </w:r>
      <w:r w:rsidR="00971EDB" w:rsidRPr="00F91FBC">
        <w:fldChar w:fldCharType="separate"/>
      </w:r>
      <w:r w:rsidR="00971EDB" w:rsidRPr="00F91FBC">
        <w:rPr>
          <w:noProof/>
        </w:rPr>
        <w:t>If applicable, insert description of TGA approved purpose(s) here</w:t>
      </w:r>
      <w:r w:rsidR="00971EDB" w:rsidRPr="00F91FBC">
        <w:fldChar w:fldCharType="end"/>
      </w:r>
    </w:p>
    <w:p w14:paraId="48923199" w14:textId="6914A28A" w:rsidR="00C0796F" w:rsidRDefault="000A110D" w:rsidP="00530204">
      <w:pPr>
        <w:pStyle w:val="Heading2"/>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7AC7261" w14:textId="40E6F592" w:rsidR="00730247" w:rsidRPr="00730247" w:rsidRDefault="00730247" w:rsidP="00730247">
      <w:r>
        <w:t>Not applicable</w:t>
      </w:r>
    </w:p>
    <w:p w14:paraId="2B85A582"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Yes (please provide details below)</w:t>
      </w:r>
    </w:p>
    <w:p w14:paraId="412B276C" w14:textId="781BC214" w:rsidR="000A110D" w:rsidRDefault="007E06A4"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0A110D">
        <w:rPr>
          <w:szCs w:val="20"/>
        </w:rPr>
        <w:t xml:space="preserve"> No</w:t>
      </w:r>
    </w:p>
    <w:p w14:paraId="2F9420BE" w14:textId="77777777" w:rsidR="000A110D" w:rsidRDefault="000A110D" w:rsidP="00971EDB">
      <w:pPr>
        <w:spacing w:before="0" w:after="0"/>
        <w:rPr>
          <w:szCs w:val="20"/>
        </w:rPr>
      </w:pPr>
    </w:p>
    <w:p w14:paraId="60B8EFF0"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31D9BF00"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098143A9"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3F0D6A02" w14:textId="77777777" w:rsidR="00F83A9D" w:rsidRPr="00154B00" w:rsidRDefault="00F83A9D" w:rsidP="00F83A9D">
      <w:pPr>
        <w:rPr>
          <w:szCs w:val="20"/>
        </w:rPr>
      </w:pPr>
    </w:p>
    <w:p w14:paraId="00A8B0BD"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6290E640"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6BDE09CD"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9"/>
        <w:gridCol w:w="1616"/>
        <w:gridCol w:w="2424"/>
        <w:gridCol w:w="2823"/>
        <w:gridCol w:w="4088"/>
        <w:gridCol w:w="2744"/>
      </w:tblGrid>
      <w:tr w:rsidR="00DD308E" w14:paraId="6B9992A1" w14:textId="77777777" w:rsidTr="006748D4">
        <w:trPr>
          <w:cantSplit/>
          <w:tblHeader/>
        </w:trPr>
        <w:tc>
          <w:tcPr>
            <w:tcW w:w="169" w:type="pct"/>
          </w:tcPr>
          <w:p w14:paraId="402B0000" w14:textId="77777777" w:rsidR="00DD308E" w:rsidRDefault="00DD308E" w:rsidP="00855944">
            <w:pPr>
              <w:pStyle w:val="TableHEADER"/>
            </w:pPr>
          </w:p>
        </w:tc>
        <w:tc>
          <w:tcPr>
            <w:tcW w:w="570" w:type="pct"/>
          </w:tcPr>
          <w:p w14:paraId="4CABC3A9" w14:textId="77777777" w:rsidR="00DD308E" w:rsidRDefault="00DD308E" w:rsidP="00855944">
            <w:pPr>
              <w:pStyle w:val="TableHEADER"/>
            </w:pPr>
            <w:r>
              <w:t>Type of study design*</w:t>
            </w:r>
          </w:p>
        </w:tc>
        <w:tc>
          <w:tcPr>
            <w:tcW w:w="855" w:type="pct"/>
          </w:tcPr>
          <w:p w14:paraId="747E050E" w14:textId="77777777" w:rsidR="00DD308E" w:rsidRDefault="00DD308E" w:rsidP="00855944">
            <w:pPr>
              <w:pStyle w:val="TableHEADER"/>
            </w:pPr>
            <w:r>
              <w:t>Title of journal article  or research project (including any trial identifier or study lead if relevant)</w:t>
            </w:r>
          </w:p>
        </w:tc>
        <w:tc>
          <w:tcPr>
            <w:tcW w:w="996" w:type="pct"/>
          </w:tcPr>
          <w:p w14:paraId="2194E20C" w14:textId="77777777" w:rsidR="00DD308E" w:rsidRDefault="00DD308E" w:rsidP="00855944">
            <w:pPr>
              <w:pStyle w:val="TableHEADER"/>
            </w:pPr>
            <w:r>
              <w:t>Short description of research  (max 50 words)**</w:t>
            </w:r>
          </w:p>
        </w:tc>
        <w:tc>
          <w:tcPr>
            <w:tcW w:w="1442" w:type="pct"/>
          </w:tcPr>
          <w:p w14:paraId="67B0B8DA" w14:textId="77777777" w:rsidR="00DD308E" w:rsidRDefault="00DD308E" w:rsidP="00855944">
            <w:pPr>
              <w:pStyle w:val="TableHEADER"/>
            </w:pPr>
            <w:r w:rsidRPr="00E82F54">
              <w:t xml:space="preserve">Website link to </w:t>
            </w:r>
            <w:r>
              <w:t>journal article or research (if available)</w:t>
            </w:r>
          </w:p>
        </w:tc>
        <w:tc>
          <w:tcPr>
            <w:tcW w:w="968" w:type="pct"/>
          </w:tcPr>
          <w:p w14:paraId="01B082E1" w14:textId="77777777" w:rsidR="00DD308E" w:rsidRDefault="00DD308E" w:rsidP="00855944">
            <w:pPr>
              <w:pStyle w:val="TableHEADER"/>
            </w:pPr>
            <w:r w:rsidRPr="00E82F54">
              <w:t>Date</w:t>
            </w:r>
            <w:r>
              <w:t xml:space="preserve"> of publication</w:t>
            </w:r>
            <w:r w:rsidRPr="00E82F54">
              <w:t>*</w:t>
            </w:r>
            <w:r>
              <w:t>**</w:t>
            </w:r>
          </w:p>
        </w:tc>
      </w:tr>
      <w:tr w:rsidR="00DD308E" w14:paraId="6C836569" w14:textId="77777777" w:rsidTr="006748D4">
        <w:trPr>
          <w:cantSplit/>
        </w:trPr>
        <w:tc>
          <w:tcPr>
            <w:tcW w:w="169" w:type="pct"/>
          </w:tcPr>
          <w:p w14:paraId="7D9B20B9" w14:textId="77777777" w:rsidR="00DD308E" w:rsidRPr="00965B6B" w:rsidRDefault="00DD308E" w:rsidP="00DD308E">
            <w:pPr>
              <w:rPr>
                <w:szCs w:val="20"/>
              </w:rPr>
            </w:pPr>
            <w:r w:rsidRPr="00965B6B">
              <w:rPr>
                <w:szCs w:val="20"/>
              </w:rPr>
              <w:t>1</w:t>
            </w:r>
            <w:r>
              <w:rPr>
                <w:szCs w:val="20"/>
              </w:rPr>
              <w:t>.</w:t>
            </w:r>
          </w:p>
        </w:tc>
        <w:tc>
          <w:tcPr>
            <w:tcW w:w="570" w:type="pct"/>
          </w:tcPr>
          <w:p w14:paraId="43436240" w14:textId="19888727" w:rsidR="00DD308E" w:rsidRDefault="00730247" w:rsidP="00DD308E">
            <w:pPr>
              <w:rPr>
                <w:b/>
                <w:szCs w:val="20"/>
              </w:rPr>
            </w:pPr>
            <w:r>
              <w:rPr>
                <w:b/>
                <w:szCs w:val="20"/>
              </w:rPr>
              <w:t xml:space="preserve">Propensity Score Analysis </w:t>
            </w:r>
          </w:p>
        </w:tc>
        <w:tc>
          <w:tcPr>
            <w:tcW w:w="855" w:type="pct"/>
          </w:tcPr>
          <w:p w14:paraId="0B1D13A2" w14:textId="1A0BAF12" w:rsidR="00DD308E" w:rsidRPr="00730247" w:rsidRDefault="00730247" w:rsidP="00DD308E">
            <w:pPr>
              <w:rPr>
                <w:b/>
                <w:szCs w:val="20"/>
              </w:rPr>
            </w:pPr>
            <w:r>
              <w:rPr>
                <w:b/>
                <w:szCs w:val="20"/>
              </w:rPr>
              <w:t xml:space="preserve">Thourani VH et al </w:t>
            </w:r>
            <w:r>
              <w:rPr>
                <w:b/>
                <w:i/>
                <w:szCs w:val="20"/>
              </w:rPr>
              <w:t xml:space="preserve">‘Transcatheter aortic valve replacement versus surgical valve replacement in intermediate-risk patients: propensity score analysis’ </w:t>
            </w:r>
            <w:r w:rsidR="00CF54E5">
              <w:rPr>
                <w:b/>
                <w:szCs w:val="20"/>
              </w:rPr>
              <w:t>Lancet 2016 387 (10034): p.2218-25</w:t>
            </w:r>
          </w:p>
        </w:tc>
        <w:tc>
          <w:tcPr>
            <w:tcW w:w="996" w:type="pct"/>
          </w:tcPr>
          <w:p w14:paraId="7586F448" w14:textId="76F4F2AA" w:rsidR="00DD308E" w:rsidRDefault="00CF54E5" w:rsidP="00DD308E">
            <w:pPr>
              <w:rPr>
                <w:b/>
                <w:szCs w:val="20"/>
              </w:rPr>
            </w:pPr>
            <w:r>
              <w:rPr>
                <w:b/>
                <w:szCs w:val="20"/>
              </w:rPr>
              <w:t>The results of an observational study of 1077 intermediate risk patients at 51 sites receiving TAVI were compared with an historical cohort of intermediate risk patients receiving SAVR using propensity score analysis</w:t>
            </w:r>
          </w:p>
        </w:tc>
        <w:tc>
          <w:tcPr>
            <w:tcW w:w="1442" w:type="pct"/>
          </w:tcPr>
          <w:p w14:paraId="55566478" w14:textId="2F311523" w:rsidR="00DD308E" w:rsidRPr="00E82F54" w:rsidRDefault="00CF54E5" w:rsidP="00DD308E">
            <w:pPr>
              <w:rPr>
                <w:b/>
                <w:szCs w:val="20"/>
              </w:rPr>
            </w:pPr>
            <w:r w:rsidRPr="00CF54E5">
              <w:rPr>
                <w:b/>
                <w:szCs w:val="20"/>
              </w:rPr>
              <w:t>https://www.ncbi.nlm.nih.gov/pubmed/27053442</w:t>
            </w:r>
          </w:p>
        </w:tc>
        <w:tc>
          <w:tcPr>
            <w:tcW w:w="968" w:type="pct"/>
          </w:tcPr>
          <w:p w14:paraId="6E59223D" w14:textId="0D7019C0" w:rsidR="00DD308E" w:rsidRPr="00E82F54" w:rsidRDefault="00CF54E5" w:rsidP="00DD308E">
            <w:pPr>
              <w:rPr>
                <w:b/>
                <w:szCs w:val="20"/>
              </w:rPr>
            </w:pPr>
            <w:r>
              <w:rPr>
                <w:b/>
                <w:szCs w:val="20"/>
              </w:rPr>
              <w:t>May 2016</w:t>
            </w:r>
          </w:p>
        </w:tc>
      </w:tr>
      <w:tr w:rsidR="00DD308E" w14:paraId="036411DC" w14:textId="77777777" w:rsidTr="006748D4">
        <w:trPr>
          <w:cantSplit/>
        </w:trPr>
        <w:tc>
          <w:tcPr>
            <w:tcW w:w="169" w:type="pct"/>
          </w:tcPr>
          <w:p w14:paraId="07D652AD" w14:textId="5DA26DC7" w:rsidR="00DD308E" w:rsidRPr="00965B6B" w:rsidRDefault="008715DF" w:rsidP="00DD308E">
            <w:pPr>
              <w:rPr>
                <w:szCs w:val="20"/>
              </w:rPr>
            </w:pPr>
            <w:r>
              <w:rPr>
                <w:szCs w:val="20"/>
              </w:rPr>
              <w:t>2.</w:t>
            </w:r>
          </w:p>
        </w:tc>
        <w:tc>
          <w:tcPr>
            <w:tcW w:w="570" w:type="pct"/>
          </w:tcPr>
          <w:p w14:paraId="442E6F1E" w14:textId="5AD9A8F0" w:rsidR="00DD308E" w:rsidRDefault="009A6929" w:rsidP="00DD308E">
            <w:pPr>
              <w:rPr>
                <w:b/>
                <w:szCs w:val="20"/>
              </w:rPr>
            </w:pPr>
            <w:r>
              <w:t>Randomised Controlled Trial</w:t>
            </w:r>
          </w:p>
        </w:tc>
        <w:tc>
          <w:tcPr>
            <w:tcW w:w="855" w:type="pct"/>
          </w:tcPr>
          <w:p w14:paraId="4469BB8C" w14:textId="1511AE00" w:rsidR="00DD308E" w:rsidRPr="009A6929" w:rsidRDefault="009A6929" w:rsidP="00DD308E">
            <w:pPr>
              <w:rPr>
                <w:b/>
                <w:szCs w:val="20"/>
              </w:rPr>
            </w:pPr>
            <w:r>
              <w:rPr>
                <w:b/>
                <w:szCs w:val="20"/>
              </w:rPr>
              <w:t xml:space="preserve">Leon MB et al </w:t>
            </w:r>
            <w:r>
              <w:rPr>
                <w:b/>
                <w:i/>
                <w:szCs w:val="20"/>
              </w:rPr>
              <w:t xml:space="preserve">‘Transcatheter or Surgical Aortic-Valve Replacement in Intermediate-Risk Patients’ </w:t>
            </w:r>
            <w:r>
              <w:rPr>
                <w:b/>
                <w:szCs w:val="20"/>
              </w:rPr>
              <w:t>NEJM 2016, 374 (17): p. 2252-62</w:t>
            </w:r>
          </w:p>
        </w:tc>
        <w:tc>
          <w:tcPr>
            <w:tcW w:w="996" w:type="pct"/>
          </w:tcPr>
          <w:p w14:paraId="274CC80C" w14:textId="09A49360" w:rsidR="00DD308E" w:rsidRDefault="009A6929" w:rsidP="00C17330">
            <w:pPr>
              <w:rPr>
                <w:b/>
                <w:szCs w:val="20"/>
              </w:rPr>
            </w:pPr>
            <w:r>
              <w:rPr>
                <w:b/>
                <w:szCs w:val="20"/>
              </w:rPr>
              <w:t xml:space="preserve">Randomised Controlled Trial of 2032 intermediate-risk patients with severe aortic stenosis at 57 centres who </w:t>
            </w:r>
            <w:r w:rsidR="00C15C9A">
              <w:rPr>
                <w:b/>
                <w:szCs w:val="20"/>
              </w:rPr>
              <w:t>underwent either TAVR or SAVR. Primary endpoint was death from any cause or disabling stroke at 2 years</w:t>
            </w:r>
            <w:r w:rsidR="00C17330">
              <w:rPr>
                <w:b/>
                <w:szCs w:val="20"/>
              </w:rPr>
              <w:t xml:space="preserve">. Please note that reported results for the transfemoral cohort are </w:t>
            </w:r>
            <w:r w:rsidR="00F35C0A">
              <w:rPr>
                <w:b/>
                <w:szCs w:val="20"/>
              </w:rPr>
              <w:t xml:space="preserve">most </w:t>
            </w:r>
            <w:r w:rsidR="00C17330">
              <w:rPr>
                <w:b/>
                <w:szCs w:val="20"/>
              </w:rPr>
              <w:t>relevant to this application.</w:t>
            </w:r>
          </w:p>
        </w:tc>
        <w:tc>
          <w:tcPr>
            <w:tcW w:w="1442" w:type="pct"/>
          </w:tcPr>
          <w:p w14:paraId="47A33433" w14:textId="193954B2" w:rsidR="00DD308E" w:rsidRPr="00E82F54" w:rsidRDefault="00C15C9A" w:rsidP="00DD308E">
            <w:pPr>
              <w:rPr>
                <w:b/>
                <w:szCs w:val="20"/>
              </w:rPr>
            </w:pPr>
            <w:r w:rsidRPr="00C15C9A">
              <w:rPr>
                <w:b/>
                <w:szCs w:val="20"/>
              </w:rPr>
              <w:t>https://www.nejm.org/doi/full/10.1056/NEJMoa1514616</w:t>
            </w:r>
          </w:p>
        </w:tc>
        <w:tc>
          <w:tcPr>
            <w:tcW w:w="968" w:type="pct"/>
          </w:tcPr>
          <w:p w14:paraId="5B165913" w14:textId="2FF72777" w:rsidR="00DD308E" w:rsidRPr="00E82F54" w:rsidRDefault="00C15C9A" w:rsidP="00DD308E">
            <w:pPr>
              <w:rPr>
                <w:b/>
                <w:szCs w:val="20"/>
              </w:rPr>
            </w:pPr>
            <w:r>
              <w:t>April 2016</w:t>
            </w:r>
          </w:p>
        </w:tc>
      </w:tr>
      <w:tr w:rsidR="00DD308E" w14:paraId="6518F2D0" w14:textId="77777777" w:rsidTr="006748D4">
        <w:trPr>
          <w:cantSplit/>
        </w:trPr>
        <w:tc>
          <w:tcPr>
            <w:tcW w:w="169" w:type="pct"/>
          </w:tcPr>
          <w:p w14:paraId="310DE43D" w14:textId="77777777" w:rsidR="00DD308E" w:rsidRPr="00965B6B" w:rsidRDefault="00DD308E" w:rsidP="00DD308E">
            <w:pPr>
              <w:rPr>
                <w:szCs w:val="20"/>
              </w:rPr>
            </w:pPr>
            <w:r>
              <w:rPr>
                <w:szCs w:val="20"/>
              </w:rPr>
              <w:lastRenderedPageBreak/>
              <w:t>3.</w:t>
            </w:r>
          </w:p>
        </w:tc>
        <w:tc>
          <w:tcPr>
            <w:tcW w:w="570" w:type="pct"/>
          </w:tcPr>
          <w:p w14:paraId="7CF9BE4A" w14:textId="264DD736" w:rsidR="00DD308E" w:rsidRDefault="00761BB1" w:rsidP="00DD308E">
            <w:pPr>
              <w:rPr>
                <w:b/>
                <w:szCs w:val="20"/>
              </w:rPr>
            </w:pPr>
            <w:r>
              <w:rPr>
                <w:b/>
                <w:szCs w:val="20"/>
              </w:rPr>
              <w:t>Multi-centre non-randomised registry</w:t>
            </w:r>
          </w:p>
        </w:tc>
        <w:tc>
          <w:tcPr>
            <w:tcW w:w="855" w:type="pct"/>
          </w:tcPr>
          <w:p w14:paraId="14061DB0" w14:textId="5975AEF2" w:rsidR="00DD308E" w:rsidRPr="00761BB1" w:rsidRDefault="00761BB1" w:rsidP="00DD308E">
            <w:pPr>
              <w:rPr>
                <w:b/>
                <w:szCs w:val="20"/>
              </w:rPr>
            </w:pPr>
            <w:r>
              <w:rPr>
                <w:b/>
                <w:szCs w:val="20"/>
              </w:rPr>
              <w:t xml:space="preserve">Kodali S et al </w:t>
            </w:r>
            <w:r>
              <w:rPr>
                <w:b/>
                <w:i/>
                <w:szCs w:val="20"/>
              </w:rPr>
              <w:t xml:space="preserve">‘Early clinical and echocardiographic outcomes after SAPIEN 3 transcatheter aortic valve replacement in inoperable, high-risk and intermediate-risk patients with aortic stenosis’ </w:t>
            </w:r>
            <w:r>
              <w:rPr>
                <w:b/>
                <w:szCs w:val="20"/>
              </w:rPr>
              <w:t>Eur Heart J, 2016</w:t>
            </w:r>
          </w:p>
        </w:tc>
        <w:tc>
          <w:tcPr>
            <w:tcW w:w="996" w:type="pct"/>
          </w:tcPr>
          <w:p w14:paraId="49ADA5B4" w14:textId="03539837" w:rsidR="00DD308E" w:rsidRDefault="00761BB1" w:rsidP="00DD308E">
            <w:pPr>
              <w:rPr>
                <w:b/>
                <w:szCs w:val="20"/>
              </w:rPr>
            </w:pPr>
            <w:r>
              <w:rPr>
                <w:b/>
                <w:szCs w:val="20"/>
              </w:rPr>
              <w:t xml:space="preserve">Patients with severe, symptomatic AS (high surgical risk or inoperable </w:t>
            </w:r>
            <w:r w:rsidR="006748D4">
              <w:rPr>
                <w:b/>
                <w:szCs w:val="20"/>
              </w:rPr>
              <w:t>N=583, Intermediate risk N</w:t>
            </w:r>
            <w:r w:rsidR="00E96299">
              <w:rPr>
                <w:b/>
                <w:szCs w:val="20"/>
              </w:rPr>
              <w:t>=</w:t>
            </w:r>
            <w:r w:rsidR="006748D4">
              <w:rPr>
                <w:b/>
                <w:szCs w:val="20"/>
              </w:rPr>
              <w:t xml:space="preserve">1078) were enrolled in a non-randomised registry at 57 sites in the USA and Canada and received TAVR with SAPIEN 3 </w:t>
            </w:r>
          </w:p>
        </w:tc>
        <w:tc>
          <w:tcPr>
            <w:tcW w:w="1442" w:type="pct"/>
          </w:tcPr>
          <w:p w14:paraId="25BAD025" w14:textId="6DF4FB7A" w:rsidR="00DD308E" w:rsidRPr="00E82F54" w:rsidRDefault="006748D4" w:rsidP="00DD308E">
            <w:pPr>
              <w:rPr>
                <w:b/>
                <w:szCs w:val="20"/>
              </w:rPr>
            </w:pPr>
            <w:r w:rsidRPr="006748D4">
              <w:t>https://www.ncbi.nlm.nih.gov/pubmed/27190101</w:t>
            </w:r>
          </w:p>
        </w:tc>
        <w:tc>
          <w:tcPr>
            <w:tcW w:w="968" w:type="pct"/>
          </w:tcPr>
          <w:p w14:paraId="0ACFE88C" w14:textId="25898A1D" w:rsidR="00DD308E" w:rsidRPr="00E82F54" w:rsidRDefault="006748D4" w:rsidP="00DD308E">
            <w:pPr>
              <w:rPr>
                <w:b/>
                <w:szCs w:val="20"/>
              </w:rPr>
            </w:pPr>
            <w:r>
              <w:rPr>
                <w:b/>
                <w:szCs w:val="20"/>
              </w:rPr>
              <w:t>July 2016</w:t>
            </w:r>
          </w:p>
        </w:tc>
      </w:tr>
      <w:tr w:rsidR="00DD308E" w14:paraId="02204415" w14:textId="77777777" w:rsidTr="006748D4">
        <w:trPr>
          <w:cantSplit/>
        </w:trPr>
        <w:tc>
          <w:tcPr>
            <w:tcW w:w="169" w:type="pct"/>
          </w:tcPr>
          <w:p w14:paraId="0927F8FF" w14:textId="77777777" w:rsidR="00DD308E" w:rsidRPr="00965B6B" w:rsidRDefault="00DD308E" w:rsidP="00DD308E">
            <w:pPr>
              <w:rPr>
                <w:szCs w:val="20"/>
              </w:rPr>
            </w:pPr>
            <w:r>
              <w:rPr>
                <w:szCs w:val="20"/>
              </w:rPr>
              <w:t>4.</w:t>
            </w:r>
          </w:p>
        </w:tc>
        <w:tc>
          <w:tcPr>
            <w:tcW w:w="570" w:type="pct"/>
          </w:tcPr>
          <w:p w14:paraId="5D880389" w14:textId="13029844" w:rsidR="00DD308E" w:rsidRDefault="00202AF6" w:rsidP="00DD308E">
            <w:pPr>
              <w:rPr>
                <w:b/>
                <w:szCs w:val="20"/>
              </w:rPr>
            </w:pPr>
            <w:r>
              <w:rPr>
                <w:b/>
                <w:szCs w:val="20"/>
              </w:rPr>
              <w:t>Randomised Controlled Trial</w:t>
            </w:r>
          </w:p>
        </w:tc>
        <w:tc>
          <w:tcPr>
            <w:tcW w:w="855" w:type="pct"/>
          </w:tcPr>
          <w:p w14:paraId="45FC81C0" w14:textId="093491CD" w:rsidR="00DD308E" w:rsidRPr="00202AF6" w:rsidRDefault="00202AF6" w:rsidP="00DD308E">
            <w:pPr>
              <w:rPr>
                <w:b/>
                <w:szCs w:val="20"/>
              </w:rPr>
            </w:pPr>
            <w:r>
              <w:t xml:space="preserve">Baron SJ </w:t>
            </w:r>
            <w:r>
              <w:rPr>
                <w:i/>
              </w:rPr>
              <w:t>‘Health Status Benfits of Transcatheter vs Surgical Aortic Valve Replacement in Patients with Severe Aortic Stenosis at Intermediate Surgical Risk’</w:t>
            </w:r>
            <w:r>
              <w:t xml:space="preserve"> JAMA Cardiol. 2017;2 (8):837-845</w:t>
            </w:r>
          </w:p>
        </w:tc>
        <w:tc>
          <w:tcPr>
            <w:tcW w:w="996" w:type="pct"/>
          </w:tcPr>
          <w:p w14:paraId="030A7A92" w14:textId="7F419437" w:rsidR="00DD308E" w:rsidRDefault="00202AF6" w:rsidP="00DD308E">
            <w:pPr>
              <w:rPr>
                <w:b/>
                <w:szCs w:val="20"/>
              </w:rPr>
            </w:pPr>
            <w:r>
              <w:rPr>
                <w:b/>
                <w:szCs w:val="20"/>
              </w:rPr>
              <w:t>Randomised Controlled Trial of 2032 intermediate-risk patients with severe aortic stenosis at 57 centres who underwent either TAVR or SAVR. Health related quality of life was assessed at baseline, 1 month, 1 year and 2 years</w:t>
            </w:r>
            <w:r w:rsidR="00F35C0A">
              <w:rPr>
                <w:b/>
                <w:szCs w:val="20"/>
              </w:rPr>
              <w:t>. Note, reported results for the transfemoral cohort are most relevant to this application.</w:t>
            </w:r>
          </w:p>
        </w:tc>
        <w:tc>
          <w:tcPr>
            <w:tcW w:w="1442" w:type="pct"/>
          </w:tcPr>
          <w:p w14:paraId="440CE205" w14:textId="66545B08" w:rsidR="00DD308E" w:rsidRPr="00E82F54" w:rsidRDefault="00CE19A2" w:rsidP="00DD308E">
            <w:pPr>
              <w:rPr>
                <w:b/>
                <w:szCs w:val="20"/>
              </w:rPr>
            </w:pPr>
            <w:r w:rsidRPr="00CE19A2">
              <w:rPr>
                <w:b/>
                <w:szCs w:val="20"/>
              </w:rPr>
              <w:t>https://jamanetwork.com/journals/jamacardiology/article-abstract/2635358</w:t>
            </w:r>
          </w:p>
        </w:tc>
        <w:tc>
          <w:tcPr>
            <w:tcW w:w="968" w:type="pct"/>
          </w:tcPr>
          <w:p w14:paraId="3D47AF63" w14:textId="0DCFCD57" w:rsidR="00DD308E" w:rsidRPr="00E82F54" w:rsidRDefault="00CE19A2" w:rsidP="00DD308E">
            <w:pPr>
              <w:rPr>
                <w:b/>
                <w:szCs w:val="20"/>
              </w:rPr>
            </w:pPr>
            <w:r>
              <w:rPr>
                <w:b/>
                <w:szCs w:val="20"/>
              </w:rPr>
              <w:t>August 2017</w:t>
            </w:r>
          </w:p>
        </w:tc>
      </w:tr>
      <w:tr w:rsidR="00C17330" w14:paraId="2CFF739B" w14:textId="77777777" w:rsidTr="006748D4">
        <w:trPr>
          <w:cantSplit/>
        </w:trPr>
        <w:tc>
          <w:tcPr>
            <w:tcW w:w="169" w:type="pct"/>
          </w:tcPr>
          <w:p w14:paraId="310142E8" w14:textId="36A9BD1B" w:rsidR="00C17330" w:rsidRDefault="008715DF" w:rsidP="00DD308E">
            <w:pPr>
              <w:rPr>
                <w:szCs w:val="20"/>
              </w:rPr>
            </w:pPr>
            <w:r>
              <w:rPr>
                <w:szCs w:val="20"/>
              </w:rPr>
              <w:lastRenderedPageBreak/>
              <w:t>5.</w:t>
            </w:r>
          </w:p>
        </w:tc>
        <w:tc>
          <w:tcPr>
            <w:tcW w:w="570" w:type="pct"/>
          </w:tcPr>
          <w:p w14:paraId="187095CD" w14:textId="61124F52" w:rsidR="00C17330" w:rsidRDefault="00F35C0A" w:rsidP="00DD308E">
            <w:pPr>
              <w:rPr>
                <w:b/>
                <w:szCs w:val="20"/>
              </w:rPr>
            </w:pPr>
            <w:r>
              <w:rPr>
                <w:b/>
                <w:szCs w:val="20"/>
              </w:rPr>
              <w:t>Propensity score analysis</w:t>
            </w:r>
          </w:p>
        </w:tc>
        <w:tc>
          <w:tcPr>
            <w:tcW w:w="855" w:type="pct"/>
          </w:tcPr>
          <w:p w14:paraId="322F92F2" w14:textId="4243FA64" w:rsidR="00C17330" w:rsidRPr="008310E2" w:rsidRDefault="00F35C0A" w:rsidP="008310E2">
            <w:pPr>
              <w:autoSpaceDE w:val="0"/>
              <w:autoSpaceDN w:val="0"/>
              <w:adjustRightInd w:val="0"/>
              <w:spacing w:before="0" w:after="0"/>
              <w:rPr>
                <w:rFonts w:ascii="Segoe UI" w:hAnsi="Segoe UI" w:cs="Segoe UI"/>
                <w:sz w:val="18"/>
                <w:szCs w:val="18"/>
                <w:lang w:val="en-US"/>
              </w:rPr>
            </w:pPr>
            <w:r>
              <w:rPr>
                <w:rFonts w:ascii="Segoe UI" w:hAnsi="Segoe UI" w:cs="Segoe UI"/>
                <w:sz w:val="18"/>
                <w:szCs w:val="18"/>
                <w:lang w:val="en-US"/>
              </w:rPr>
              <w:t xml:space="preserve">Baron, S. J., et al. (2018). "Effect of SAPIEN 3 Transcatheter Valve Implantation on Health Status in Patients With Severe Aortic Stenosis at Intermediate Surgical Risk: Results From the PARTNER S3i Trial." </w:t>
            </w:r>
            <w:r>
              <w:rPr>
                <w:rFonts w:ascii="Segoe UI" w:hAnsi="Segoe UI" w:cs="Segoe UI"/>
                <w:sz w:val="18"/>
                <w:szCs w:val="18"/>
                <w:u w:val="single"/>
                <w:lang w:val="en-US"/>
              </w:rPr>
              <w:t>JACC Cardiovasc Interv</w:t>
            </w:r>
            <w:r>
              <w:rPr>
                <w:rFonts w:ascii="Segoe UI" w:hAnsi="Segoe UI" w:cs="Segoe UI"/>
                <w:sz w:val="18"/>
                <w:szCs w:val="18"/>
                <w:lang w:val="en-US"/>
              </w:rPr>
              <w:t xml:space="preserve"> </w:t>
            </w:r>
            <w:r>
              <w:rPr>
                <w:rFonts w:ascii="Segoe UI" w:hAnsi="Segoe UI" w:cs="Segoe UI"/>
                <w:b/>
                <w:bCs/>
                <w:sz w:val="18"/>
                <w:szCs w:val="18"/>
                <w:lang w:val="en-US"/>
              </w:rPr>
              <w:t>11</w:t>
            </w:r>
            <w:r>
              <w:rPr>
                <w:rFonts w:ascii="Segoe UI" w:hAnsi="Segoe UI" w:cs="Segoe UI"/>
                <w:sz w:val="18"/>
                <w:szCs w:val="18"/>
                <w:lang w:val="en-US"/>
              </w:rPr>
              <w:t>(12): 1188-1198.</w:t>
            </w:r>
          </w:p>
        </w:tc>
        <w:tc>
          <w:tcPr>
            <w:tcW w:w="996" w:type="pct"/>
          </w:tcPr>
          <w:p w14:paraId="66250D9A" w14:textId="32484F1B" w:rsidR="00C17330" w:rsidRDefault="00F35C0A" w:rsidP="00F35C0A">
            <w:pPr>
              <w:rPr>
                <w:b/>
                <w:szCs w:val="20"/>
              </w:rPr>
            </w:pPr>
            <w:r>
              <w:rPr>
                <w:rFonts w:ascii="Segoe UI" w:hAnsi="Segoe UI" w:cs="Segoe UI"/>
                <w:sz w:val="18"/>
                <w:szCs w:val="18"/>
                <w:lang w:val="en-US"/>
              </w:rPr>
              <w:t>1,078 patients at intermediate surgical risk were treated with SAPIEN 3 TAVR in the PARTNER S3i trial. Based on the KCCQ instrument,</w:t>
            </w:r>
            <w:r w:rsidRPr="00F35C0A">
              <w:rPr>
                <w:rFonts w:ascii="Segoe UI" w:hAnsi="Segoe UI" w:cs="Segoe UI"/>
                <w:sz w:val="18"/>
                <w:szCs w:val="18"/>
                <w:lang w:val="en-US"/>
              </w:rPr>
              <w:t xml:space="preserve"> S3 resulted in improved QOL at both 1 month and 1 year compared with both SAVR and XT-TAVR</w:t>
            </w:r>
          </w:p>
        </w:tc>
        <w:tc>
          <w:tcPr>
            <w:tcW w:w="1442" w:type="pct"/>
          </w:tcPr>
          <w:p w14:paraId="3687B5EC" w14:textId="310A749E" w:rsidR="00C17330" w:rsidRPr="00CE19A2" w:rsidRDefault="00F35C0A" w:rsidP="00DD308E">
            <w:pPr>
              <w:rPr>
                <w:b/>
                <w:szCs w:val="20"/>
              </w:rPr>
            </w:pPr>
            <w:r>
              <w:rPr>
                <w:rFonts w:ascii="Segoe UI" w:hAnsi="Segoe UI" w:cs="Segoe UI"/>
                <w:sz w:val="18"/>
                <w:szCs w:val="18"/>
                <w:lang w:val="en-US"/>
              </w:rPr>
              <w:t>https://www.ncbi.nlm.nih.gov/pubmed/29860075</w:t>
            </w:r>
          </w:p>
        </w:tc>
        <w:tc>
          <w:tcPr>
            <w:tcW w:w="968" w:type="pct"/>
          </w:tcPr>
          <w:p w14:paraId="0F5AE492" w14:textId="43B9B91F" w:rsidR="00C17330" w:rsidRDefault="00F35C0A" w:rsidP="00DD308E">
            <w:pPr>
              <w:rPr>
                <w:b/>
                <w:szCs w:val="20"/>
              </w:rPr>
            </w:pPr>
            <w:r>
              <w:rPr>
                <w:b/>
                <w:szCs w:val="20"/>
              </w:rPr>
              <w:t>June 2018</w:t>
            </w:r>
          </w:p>
        </w:tc>
      </w:tr>
      <w:tr w:rsidR="00F35C0A" w14:paraId="7FA587CA" w14:textId="77777777" w:rsidTr="006748D4">
        <w:trPr>
          <w:cantSplit/>
        </w:trPr>
        <w:tc>
          <w:tcPr>
            <w:tcW w:w="169" w:type="pct"/>
          </w:tcPr>
          <w:p w14:paraId="402C2D8B" w14:textId="2E6077FB" w:rsidR="00F35C0A" w:rsidRDefault="008715DF" w:rsidP="00DD308E">
            <w:pPr>
              <w:rPr>
                <w:szCs w:val="20"/>
              </w:rPr>
            </w:pPr>
            <w:r>
              <w:rPr>
                <w:szCs w:val="20"/>
              </w:rPr>
              <w:t>6.</w:t>
            </w:r>
          </w:p>
        </w:tc>
        <w:tc>
          <w:tcPr>
            <w:tcW w:w="570" w:type="pct"/>
          </w:tcPr>
          <w:p w14:paraId="79DC0DED" w14:textId="05A8ECB0" w:rsidR="00F35C0A" w:rsidRDefault="002D70D9" w:rsidP="002D70D9">
            <w:pPr>
              <w:rPr>
                <w:b/>
                <w:szCs w:val="20"/>
              </w:rPr>
            </w:pPr>
            <w:r>
              <w:rPr>
                <w:b/>
                <w:szCs w:val="20"/>
              </w:rPr>
              <w:t>Retrospective</w:t>
            </w:r>
          </w:p>
        </w:tc>
        <w:tc>
          <w:tcPr>
            <w:tcW w:w="855" w:type="pct"/>
          </w:tcPr>
          <w:p w14:paraId="0A0F3489" w14:textId="60CBEBBA" w:rsidR="00F35C0A" w:rsidRDefault="00F35C0A" w:rsidP="00F35C0A">
            <w:pPr>
              <w:autoSpaceDE w:val="0"/>
              <w:autoSpaceDN w:val="0"/>
              <w:adjustRightInd w:val="0"/>
              <w:spacing w:before="0" w:after="0"/>
              <w:rPr>
                <w:rFonts w:ascii="Segoe UI" w:hAnsi="Segoe UI" w:cs="Segoe UI"/>
                <w:sz w:val="18"/>
                <w:szCs w:val="18"/>
                <w:lang w:val="en-US"/>
              </w:rPr>
            </w:pPr>
            <w:r w:rsidRPr="00F35C0A">
              <w:rPr>
                <w:rFonts w:ascii="Segoe UI" w:hAnsi="Segoe UI" w:cs="Segoe UI"/>
                <w:sz w:val="18"/>
                <w:szCs w:val="18"/>
                <w:lang w:val="en-US"/>
              </w:rPr>
              <w:t>Coylewright, M., et al., Patient-defined goals for the treatment of severe aortic stenosis: a qualitative analysis. Health Expect, 2016. 19(5): p. 1036-43.</w:t>
            </w:r>
          </w:p>
        </w:tc>
        <w:tc>
          <w:tcPr>
            <w:tcW w:w="996" w:type="pct"/>
          </w:tcPr>
          <w:p w14:paraId="045F33EE" w14:textId="5BF178B8" w:rsidR="00F35C0A" w:rsidRPr="008715DF" w:rsidRDefault="008715DF" w:rsidP="00F35C0A">
            <w:pPr>
              <w:rPr>
                <w:rFonts w:ascii="Segoe UI" w:hAnsi="Segoe UI" w:cs="Segoe UI"/>
                <w:sz w:val="18"/>
                <w:szCs w:val="18"/>
                <w:lang w:val="en-US"/>
              </w:rPr>
            </w:pPr>
            <w:r w:rsidRPr="008310E2">
              <w:rPr>
                <w:rFonts w:ascii="Segoe UI" w:hAnsi="Segoe UI" w:cs="Segoe UI"/>
                <w:bCs/>
                <w:sz w:val="18"/>
                <w:szCs w:val="18"/>
              </w:rPr>
              <w:t xml:space="preserve">Out of 100 severe aortic stenosis (AS) patients treated with TAVI, 93% of patients have a quality of life treatment goal, including ability </w:t>
            </w:r>
            <w:r w:rsidR="00DB281E">
              <w:rPr>
                <w:rFonts w:ascii="Segoe UI" w:hAnsi="Segoe UI" w:cs="Segoe UI"/>
                <w:bCs/>
                <w:sz w:val="18"/>
                <w:szCs w:val="18"/>
              </w:rPr>
              <w:t xml:space="preserve">to </w:t>
            </w:r>
            <w:r w:rsidRPr="008310E2">
              <w:rPr>
                <w:rFonts w:ascii="Segoe UI" w:hAnsi="Segoe UI" w:cs="Segoe UI"/>
                <w:bCs/>
                <w:sz w:val="18"/>
                <w:szCs w:val="18"/>
              </w:rPr>
              <w:t>do activity and maintaining independence.</w:t>
            </w:r>
          </w:p>
        </w:tc>
        <w:tc>
          <w:tcPr>
            <w:tcW w:w="1442" w:type="pct"/>
          </w:tcPr>
          <w:p w14:paraId="5357E1DD" w14:textId="70A2C12C" w:rsidR="00F35C0A" w:rsidRDefault="008715DF" w:rsidP="00DD308E">
            <w:pPr>
              <w:rPr>
                <w:rFonts w:ascii="Segoe UI" w:hAnsi="Segoe UI" w:cs="Segoe UI"/>
                <w:sz w:val="18"/>
                <w:szCs w:val="18"/>
                <w:lang w:val="en-US"/>
              </w:rPr>
            </w:pPr>
            <w:r w:rsidRPr="008715DF">
              <w:rPr>
                <w:rFonts w:ascii="Segoe UI" w:hAnsi="Segoe UI" w:cs="Segoe UI"/>
                <w:sz w:val="18"/>
                <w:szCs w:val="18"/>
                <w:lang w:val="en-US"/>
              </w:rPr>
              <w:t>https://www.ncbi.nlm.nih.gov/pubmed/26275070</w:t>
            </w:r>
          </w:p>
        </w:tc>
        <w:tc>
          <w:tcPr>
            <w:tcW w:w="968" w:type="pct"/>
          </w:tcPr>
          <w:p w14:paraId="6D80C229" w14:textId="31B438BA" w:rsidR="00F35C0A" w:rsidRDefault="008715DF" w:rsidP="008715DF">
            <w:pPr>
              <w:rPr>
                <w:b/>
                <w:szCs w:val="20"/>
              </w:rPr>
            </w:pPr>
            <w:r>
              <w:rPr>
                <w:b/>
                <w:szCs w:val="20"/>
              </w:rPr>
              <w:t>October 2016</w:t>
            </w:r>
          </w:p>
        </w:tc>
      </w:tr>
      <w:tr w:rsidR="00DD308E" w14:paraId="7FC71785" w14:textId="77777777" w:rsidTr="006748D4">
        <w:trPr>
          <w:cantSplit/>
        </w:trPr>
        <w:tc>
          <w:tcPr>
            <w:tcW w:w="169" w:type="pct"/>
          </w:tcPr>
          <w:p w14:paraId="2AE08850" w14:textId="59B103A2" w:rsidR="00DD308E" w:rsidRPr="00965B6B" w:rsidRDefault="008715DF" w:rsidP="00DD308E">
            <w:pPr>
              <w:rPr>
                <w:szCs w:val="20"/>
              </w:rPr>
            </w:pPr>
            <w:r>
              <w:rPr>
                <w:szCs w:val="20"/>
              </w:rPr>
              <w:t>7.</w:t>
            </w:r>
          </w:p>
        </w:tc>
        <w:tc>
          <w:tcPr>
            <w:tcW w:w="570" w:type="pct"/>
          </w:tcPr>
          <w:p w14:paraId="02DA1EC4" w14:textId="36351751" w:rsidR="00DD308E" w:rsidRDefault="00DD308E" w:rsidP="00DD308E">
            <w:pPr>
              <w:rPr>
                <w:b/>
                <w:szCs w:val="20"/>
              </w:rPr>
            </w:pPr>
          </w:p>
        </w:tc>
        <w:tc>
          <w:tcPr>
            <w:tcW w:w="855" w:type="pct"/>
          </w:tcPr>
          <w:p w14:paraId="04DAE414" w14:textId="52A1F423" w:rsidR="00DD308E" w:rsidRPr="00B7798E" w:rsidRDefault="00DD308E" w:rsidP="00DD308E">
            <w:pPr>
              <w:rPr>
                <w:b/>
                <w:szCs w:val="20"/>
              </w:rPr>
            </w:pPr>
          </w:p>
        </w:tc>
        <w:tc>
          <w:tcPr>
            <w:tcW w:w="996" w:type="pct"/>
          </w:tcPr>
          <w:p w14:paraId="5C6C8073" w14:textId="1FED359D" w:rsidR="00DD308E" w:rsidRDefault="00DD308E" w:rsidP="00DD308E">
            <w:pPr>
              <w:rPr>
                <w:b/>
                <w:szCs w:val="20"/>
              </w:rPr>
            </w:pPr>
          </w:p>
        </w:tc>
        <w:tc>
          <w:tcPr>
            <w:tcW w:w="1442" w:type="pct"/>
          </w:tcPr>
          <w:p w14:paraId="49889A8D" w14:textId="6A2E7B22" w:rsidR="00DD308E" w:rsidRPr="00E82F54" w:rsidRDefault="00DD308E" w:rsidP="00DD308E">
            <w:pPr>
              <w:rPr>
                <w:b/>
                <w:szCs w:val="20"/>
              </w:rPr>
            </w:pPr>
          </w:p>
        </w:tc>
        <w:tc>
          <w:tcPr>
            <w:tcW w:w="968" w:type="pct"/>
          </w:tcPr>
          <w:p w14:paraId="189DFB87" w14:textId="13E02C47" w:rsidR="00DD308E" w:rsidRPr="00E82F54" w:rsidRDefault="00DD308E" w:rsidP="00DD308E">
            <w:pPr>
              <w:rPr>
                <w:b/>
                <w:szCs w:val="20"/>
              </w:rPr>
            </w:pPr>
          </w:p>
        </w:tc>
      </w:tr>
    </w:tbl>
    <w:p w14:paraId="31994DF1"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14FE333"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0CC14C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404552A2" w14:textId="77777777" w:rsidR="00DD308E" w:rsidRDefault="00DD308E" w:rsidP="00DD308E">
      <w:pPr>
        <w:rPr>
          <w:i/>
          <w:szCs w:val="20"/>
        </w:rPr>
      </w:pPr>
      <w:r>
        <w:rPr>
          <w:i/>
          <w:szCs w:val="20"/>
        </w:rPr>
        <w:br w:type="page"/>
      </w:r>
    </w:p>
    <w:p w14:paraId="3E7FE9DE"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4C3BBB65"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440"/>
        <w:gridCol w:w="2056"/>
        <w:gridCol w:w="2709"/>
        <w:gridCol w:w="2026"/>
        <w:gridCol w:w="5941"/>
        <w:gridCol w:w="1002"/>
      </w:tblGrid>
      <w:tr w:rsidR="004C49EF" w14:paraId="250DECF8" w14:textId="77777777" w:rsidTr="000A7F6A">
        <w:trPr>
          <w:cantSplit/>
          <w:tblHeader/>
        </w:trPr>
        <w:tc>
          <w:tcPr>
            <w:tcW w:w="284" w:type="pct"/>
          </w:tcPr>
          <w:p w14:paraId="2A90F20D" w14:textId="77777777" w:rsidR="004C49EF" w:rsidRDefault="004C49EF" w:rsidP="00855944">
            <w:pPr>
              <w:pStyle w:val="TableHEADER"/>
            </w:pPr>
          </w:p>
        </w:tc>
        <w:tc>
          <w:tcPr>
            <w:tcW w:w="854" w:type="pct"/>
          </w:tcPr>
          <w:p w14:paraId="15A2A6D4" w14:textId="77777777" w:rsidR="004C49EF" w:rsidRDefault="004C49EF" w:rsidP="00855944">
            <w:pPr>
              <w:pStyle w:val="TableHEADER"/>
            </w:pPr>
            <w:r>
              <w:t>Type of study design*</w:t>
            </w:r>
          </w:p>
        </w:tc>
        <w:tc>
          <w:tcPr>
            <w:tcW w:w="1084" w:type="pct"/>
          </w:tcPr>
          <w:p w14:paraId="1BE6DF25" w14:textId="77777777" w:rsidR="004C49EF" w:rsidRDefault="004C49EF" w:rsidP="00855944">
            <w:pPr>
              <w:pStyle w:val="TableHEADER"/>
            </w:pPr>
            <w:r>
              <w:t>Title of research (including any trial identifier if relevant)</w:t>
            </w:r>
          </w:p>
        </w:tc>
        <w:tc>
          <w:tcPr>
            <w:tcW w:w="843" w:type="pct"/>
          </w:tcPr>
          <w:p w14:paraId="030B56E7" w14:textId="77777777" w:rsidR="004C49EF" w:rsidRDefault="00367C1B" w:rsidP="00855944">
            <w:pPr>
              <w:pStyle w:val="TableHEADER"/>
            </w:pPr>
            <w:r>
              <w:t xml:space="preserve">Short description of research </w:t>
            </w:r>
            <w:r w:rsidR="004C49EF">
              <w:t>(max 50 words)**</w:t>
            </w:r>
          </w:p>
        </w:tc>
        <w:tc>
          <w:tcPr>
            <w:tcW w:w="1453" w:type="pct"/>
          </w:tcPr>
          <w:p w14:paraId="651181D4" w14:textId="77777777" w:rsidR="004C49EF" w:rsidRDefault="004C49EF" w:rsidP="00855944">
            <w:pPr>
              <w:pStyle w:val="TableHEADER"/>
            </w:pPr>
            <w:r w:rsidRPr="00E82F54">
              <w:t xml:space="preserve">Website link to </w:t>
            </w:r>
            <w:r>
              <w:t>research (if available)</w:t>
            </w:r>
          </w:p>
        </w:tc>
        <w:tc>
          <w:tcPr>
            <w:tcW w:w="482" w:type="pct"/>
          </w:tcPr>
          <w:p w14:paraId="6BAE9EC5" w14:textId="77777777" w:rsidR="004C49EF" w:rsidRDefault="004C49EF" w:rsidP="00855944">
            <w:pPr>
              <w:pStyle w:val="TableHEADER"/>
            </w:pPr>
            <w:r w:rsidRPr="00E82F54">
              <w:t>Date*</w:t>
            </w:r>
            <w:r>
              <w:t>**</w:t>
            </w:r>
          </w:p>
        </w:tc>
      </w:tr>
      <w:tr w:rsidR="004C49EF" w14:paraId="4B65DE7D" w14:textId="77777777" w:rsidTr="000A7F6A">
        <w:trPr>
          <w:cantSplit/>
        </w:trPr>
        <w:tc>
          <w:tcPr>
            <w:tcW w:w="284" w:type="pct"/>
          </w:tcPr>
          <w:p w14:paraId="2248B43F" w14:textId="77777777" w:rsidR="004C49EF" w:rsidRPr="00965B6B" w:rsidRDefault="004C49EF" w:rsidP="00526478">
            <w:pPr>
              <w:rPr>
                <w:szCs w:val="20"/>
              </w:rPr>
            </w:pPr>
            <w:r w:rsidRPr="00965B6B">
              <w:rPr>
                <w:szCs w:val="20"/>
              </w:rPr>
              <w:t>1</w:t>
            </w:r>
            <w:r>
              <w:rPr>
                <w:szCs w:val="20"/>
              </w:rPr>
              <w:t>.</w:t>
            </w:r>
          </w:p>
        </w:tc>
        <w:tc>
          <w:tcPr>
            <w:tcW w:w="854" w:type="pct"/>
          </w:tcPr>
          <w:p w14:paraId="5A3799AB" w14:textId="13A1B293" w:rsidR="004C49EF" w:rsidRDefault="00F552F6" w:rsidP="00526478">
            <w:pPr>
              <w:rPr>
                <w:b/>
                <w:szCs w:val="20"/>
              </w:rPr>
            </w:pPr>
            <w:r>
              <w:rPr>
                <w:b/>
                <w:szCs w:val="20"/>
              </w:rPr>
              <w:t xml:space="preserve">Single Arm multi-centre registry </w:t>
            </w:r>
          </w:p>
        </w:tc>
        <w:tc>
          <w:tcPr>
            <w:tcW w:w="1084" w:type="pct"/>
          </w:tcPr>
          <w:p w14:paraId="18A2A60A" w14:textId="77777777" w:rsidR="004C49EF" w:rsidRDefault="00F552F6" w:rsidP="00526478">
            <w:r>
              <w:rPr>
                <w:b/>
                <w:szCs w:val="20"/>
              </w:rPr>
              <w:t xml:space="preserve">SOLACE AU Trial </w:t>
            </w:r>
            <w:r w:rsidRPr="0074457E">
              <w:t>(NCT01675596)</w:t>
            </w:r>
          </w:p>
          <w:p w14:paraId="220F2B96" w14:textId="4E5AB811" w:rsidR="00F552F6" w:rsidRDefault="00F552F6" w:rsidP="00526478">
            <w:pPr>
              <w:rPr>
                <w:b/>
                <w:szCs w:val="20"/>
              </w:rPr>
            </w:pPr>
          </w:p>
        </w:tc>
        <w:tc>
          <w:tcPr>
            <w:tcW w:w="843" w:type="pct"/>
          </w:tcPr>
          <w:p w14:paraId="3B07D3A3" w14:textId="457B54CE" w:rsidR="004C49EF" w:rsidRDefault="000A7F6A" w:rsidP="00526478">
            <w:pPr>
              <w:rPr>
                <w:b/>
                <w:szCs w:val="20"/>
              </w:rPr>
            </w:pPr>
            <w:r>
              <w:rPr>
                <w:b/>
                <w:szCs w:val="20"/>
              </w:rPr>
              <w:t>Single arm open label clinical trial of 200 patients at 11 clinical sites within Australia. Safety and efficacy is to be evaluated at baseline, discharge, 30 days, 6 months and 1-5 years</w:t>
            </w:r>
          </w:p>
        </w:tc>
        <w:tc>
          <w:tcPr>
            <w:tcW w:w="1453" w:type="pct"/>
          </w:tcPr>
          <w:p w14:paraId="364EEC42" w14:textId="23D0807E" w:rsidR="004C49EF" w:rsidRPr="00E82F54" w:rsidRDefault="000A7F6A" w:rsidP="00526478">
            <w:pPr>
              <w:rPr>
                <w:b/>
                <w:szCs w:val="20"/>
              </w:rPr>
            </w:pPr>
            <w:r w:rsidRPr="000A7F6A">
              <w:rPr>
                <w:b/>
                <w:szCs w:val="20"/>
              </w:rPr>
              <w:t>https://www.heartlungcirc.org/article/S1443-9506(16)30730-2/pdf</w:t>
            </w:r>
          </w:p>
        </w:tc>
        <w:tc>
          <w:tcPr>
            <w:tcW w:w="482" w:type="pct"/>
          </w:tcPr>
          <w:p w14:paraId="0CCA63DD" w14:textId="3EFF7B2C" w:rsidR="004C49EF" w:rsidRPr="00E82F54" w:rsidRDefault="000A7F6A" w:rsidP="00526478">
            <w:pPr>
              <w:rPr>
                <w:b/>
                <w:szCs w:val="20"/>
              </w:rPr>
            </w:pPr>
            <w:r>
              <w:rPr>
                <w:b/>
                <w:szCs w:val="20"/>
              </w:rPr>
              <w:t>TBC</w:t>
            </w:r>
          </w:p>
        </w:tc>
      </w:tr>
      <w:tr w:rsidR="008715DF" w14:paraId="30467996" w14:textId="77777777" w:rsidTr="000A7F6A">
        <w:trPr>
          <w:cantSplit/>
        </w:trPr>
        <w:tc>
          <w:tcPr>
            <w:tcW w:w="284" w:type="pct"/>
          </w:tcPr>
          <w:p w14:paraId="7C8B56F1" w14:textId="0D1776DD" w:rsidR="008715DF" w:rsidRPr="00965B6B" w:rsidRDefault="008715DF" w:rsidP="008715DF">
            <w:pPr>
              <w:rPr>
                <w:szCs w:val="20"/>
              </w:rPr>
            </w:pPr>
          </w:p>
        </w:tc>
        <w:tc>
          <w:tcPr>
            <w:tcW w:w="854" w:type="pct"/>
          </w:tcPr>
          <w:p w14:paraId="089368F2" w14:textId="7C7876AD" w:rsidR="008715DF" w:rsidRDefault="008715DF" w:rsidP="008715DF">
            <w:pPr>
              <w:rPr>
                <w:b/>
                <w:szCs w:val="20"/>
              </w:rPr>
            </w:pPr>
            <w:r>
              <w:rPr>
                <w:b/>
                <w:szCs w:val="20"/>
              </w:rPr>
              <w:t>Cost effectiveness analysis</w:t>
            </w:r>
          </w:p>
        </w:tc>
        <w:tc>
          <w:tcPr>
            <w:tcW w:w="1084" w:type="pct"/>
          </w:tcPr>
          <w:p w14:paraId="1A2DB61A" w14:textId="346DCF19" w:rsidR="008715DF" w:rsidRDefault="008715DF" w:rsidP="008715DF">
            <w:pPr>
              <w:rPr>
                <w:b/>
                <w:szCs w:val="20"/>
              </w:rPr>
            </w:pPr>
            <w:r w:rsidRPr="002D70D9">
              <w:rPr>
                <w:rFonts w:ascii="Segoe UI" w:hAnsi="Segoe UI" w:cs="Segoe UI"/>
                <w:sz w:val="18"/>
                <w:szCs w:val="18"/>
                <w:lang w:val="en-US"/>
              </w:rPr>
              <w:t>Cohen, D., Cost-effectiveness of transcatheter vs. surgical aortiv valve replacement in intermediate risk patients. Results from the PARTNER 2A and SAPIEN 3 intermediate risk trials. Presented at TCT. October 31, 2017. Denver, CO. 2017.</w:t>
            </w:r>
          </w:p>
        </w:tc>
        <w:tc>
          <w:tcPr>
            <w:tcW w:w="843" w:type="pct"/>
          </w:tcPr>
          <w:p w14:paraId="66AFC109" w14:textId="05EEE920" w:rsidR="008715DF" w:rsidRPr="00F90A70" w:rsidRDefault="00753EA1" w:rsidP="00753EA1">
            <w:pPr>
              <w:rPr>
                <w:szCs w:val="20"/>
              </w:rPr>
            </w:pPr>
            <w:r>
              <w:t xml:space="preserve">The index hospitalization costs (excluding MD fees) were lower for TAVR with SAPIEN 3 than SAVR in intermediate-risk patients ($52,035 vs. $53,796).  </w:t>
            </w:r>
            <w:r>
              <w:rPr>
                <w:szCs w:val="20"/>
              </w:rPr>
              <w:t>S</w:t>
            </w:r>
            <w:r w:rsidRPr="00F90A70">
              <w:rPr>
                <w:szCs w:val="20"/>
              </w:rPr>
              <w:t xml:space="preserve">ubstantially lower follow-up costs were reported for SAPIEN XT and SAPIEN 3 compared to surgery (-$9,304 and -$11,377, respectively p&lt;0.001).  </w:t>
            </w:r>
          </w:p>
        </w:tc>
        <w:tc>
          <w:tcPr>
            <w:tcW w:w="1453" w:type="pct"/>
          </w:tcPr>
          <w:p w14:paraId="7F8D5BF2" w14:textId="547C7117" w:rsidR="008715DF" w:rsidRPr="000A7F6A" w:rsidRDefault="00753EA1" w:rsidP="008715DF">
            <w:pPr>
              <w:rPr>
                <w:b/>
                <w:szCs w:val="20"/>
              </w:rPr>
            </w:pPr>
            <w:r w:rsidRPr="00753EA1">
              <w:rPr>
                <w:b/>
                <w:szCs w:val="20"/>
              </w:rPr>
              <w:t>https://www.acc.org/~/media/Clinical/PDF-Files/Approved-PDFs/2017/10/24/TCT17_Presentation_Slides/Tue_Oct31/PARTNER-2A-SAPIEN-3-Cost-Effectiveness-TCT-2017.pdf</w:t>
            </w:r>
          </w:p>
        </w:tc>
        <w:tc>
          <w:tcPr>
            <w:tcW w:w="482" w:type="pct"/>
          </w:tcPr>
          <w:p w14:paraId="6D0D3F68" w14:textId="70B41480" w:rsidR="008715DF" w:rsidRDefault="00753EA1" w:rsidP="008715DF">
            <w:pPr>
              <w:rPr>
                <w:b/>
                <w:szCs w:val="20"/>
              </w:rPr>
            </w:pPr>
            <w:r>
              <w:rPr>
                <w:b/>
                <w:szCs w:val="20"/>
              </w:rPr>
              <w:t>October 2017</w:t>
            </w:r>
          </w:p>
        </w:tc>
      </w:tr>
    </w:tbl>
    <w:p w14:paraId="475C8C4D"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47F36AC"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5F613003" w14:textId="77777777" w:rsidR="004C49EF" w:rsidRPr="00E82F54" w:rsidRDefault="004C49EF" w:rsidP="004C49EF">
      <w:pPr>
        <w:spacing w:after="0"/>
        <w:ind w:left="426"/>
        <w:rPr>
          <w:i/>
          <w:szCs w:val="20"/>
        </w:rPr>
      </w:pPr>
      <w:r w:rsidRPr="00E82F54">
        <w:rPr>
          <w:i/>
          <w:szCs w:val="20"/>
        </w:rPr>
        <w:lastRenderedPageBreak/>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E7BC08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5C95C1EC"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783D747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27621ED" w14:textId="271FA828" w:rsidR="00DA1FCB" w:rsidRPr="00A727B6" w:rsidRDefault="00DA1FCB" w:rsidP="00A727B6">
      <w:pPr>
        <w:ind w:left="426"/>
      </w:pPr>
      <w:r>
        <w:t>Cardiac Society of Australis and New Zealand (CSANZ)</w:t>
      </w:r>
    </w:p>
    <w:p w14:paraId="7F45B0B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F9930DA" w14:textId="055625E4" w:rsidR="00EA173C" w:rsidRDefault="00DA1FCB" w:rsidP="00A727B6">
      <w:pPr>
        <w:ind w:left="426"/>
      </w:pPr>
      <w:r w:rsidRPr="00DA1FCB">
        <w:t>Australian and New Zealand Society of Cardiac and Thoracic Surgeons</w:t>
      </w:r>
    </w:p>
    <w:p w14:paraId="49D0BEC7" w14:textId="6C373640" w:rsidR="00001DAD" w:rsidRPr="00A727B6" w:rsidRDefault="00001DAD" w:rsidP="00001DAD">
      <w:pPr>
        <w:ind w:left="426"/>
      </w:pPr>
      <w:r>
        <w:t>Cardiac Society of Australi</w:t>
      </w:r>
      <w:r w:rsidR="00325F61">
        <w:t>a</w:t>
      </w:r>
      <w:r>
        <w:t xml:space="preserve"> and New Zealand (CSANZ)</w:t>
      </w:r>
    </w:p>
    <w:p w14:paraId="54F843EA" w14:textId="77777777" w:rsidR="0049398A" w:rsidRDefault="0049398A" w:rsidP="00A727B6">
      <w:pPr>
        <w:ind w:left="426"/>
      </w:pPr>
    </w:p>
    <w:p w14:paraId="22F3E30E" w14:textId="558EEBB5" w:rsidR="00E82F54" w:rsidRDefault="00E82F54" w:rsidP="00530204">
      <w:pPr>
        <w:pStyle w:val="Heading2"/>
      </w:pPr>
      <w:r w:rsidRPr="008310E2">
        <w:t>List the relevant consumer organisations relevant to the proposed medical service</w:t>
      </w:r>
      <w:r w:rsidR="00C12C5C" w:rsidRPr="008310E2">
        <w:t xml:space="preserve"> (please attach a letter of support for each consumer organisation nominated)</w:t>
      </w:r>
      <w:r w:rsidR="00197D29" w:rsidRPr="008310E2">
        <w:t>:</w:t>
      </w:r>
    </w:p>
    <w:p w14:paraId="66F56F5E" w14:textId="7C5D2682" w:rsidR="00001DAD" w:rsidRPr="00001DAD" w:rsidRDefault="00001DAD" w:rsidP="00325F61">
      <w:r>
        <w:t>Heart Foundation &amp; Consumer Health Forum</w:t>
      </w:r>
    </w:p>
    <w:p w14:paraId="7FFB502D"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73FDC1C" w14:textId="0979C7F5" w:rsidR="00EE6450" w:rsidRDefault="00DA1FCB" w:rsidP="00EE6450">
      <w:pPr>
        <w:ind w:left="426"/>
      </w:pPr>
      <w:r>
        <w:t>Medtronic Australasia Pty Ltd</w:t>
      </w:r>
    </w:p>
    <w:p w14:paraId="1FF8B93A" w14:textId="2D3E7ECB" w:rsidR="00DA1FCB" w:rsidRDefault="00427E58" w:rsidP="00EE6450">
      <w:pPr>
        <w:ind w:left="426"/>
        <w:rPr>
          <w:szCs w:val="20"/>
        </w:rPr>
      </w:pPr>
      <w:r>
        <w:rPr>
          <w:szCs w:val="20"/>
        </w:rPr>
        <w:t>Abbott</w:t>
      </w:r>
    </w:p>
    <w:p w14:paraId="17EC1D07" w14:textId="77777777" w:rsidR="00E82F54" w:rsidRPr="008310E2" w:rsidRDefault="00E82F54" w:rsidP="00530204">
      <w:pPr>
        <w:pStyle w:val="Heading2"/>
      </w:pPr>
      <w:r w:rsidRPr="008310E2">
        <w:t>Nominate two experts who could be approached about the proposed medical service and the current clinical management of the service(s):</w:t>
      </w:r>
    </w:p>
    <w:p w14:paraId="58225CE0" w14:textId="77777777" w:rsidR="00A96329" w:rsidRPr="008310E2" w:rsidRDefault="00A96329" w:rsidP="00A96329"/>
    <w:p w14:paraId="3951D438" w14:textId="606D345F" w:rsidR="00987ABE" w:rsidRPr="003F4F1B" w:rsidRDefault="00987ABE" w:rsidP="00987ABE">
      <w:pPr>
        <w:ind w:left="426"/>
        <w:rPr>
          <w:szCs w:val="20"/>
        </w:rPr>
      </w:pPr>
      <w:r w:rsidRPr="008310E2">
        <w:rPr>
          <w:szCs w:val="20"/>
        </w:rPr>
        <w:t xml:space="preserve">Name of expert 1: </w:t>
      </w:r>
    </w:p>
    <w:p w14:paraId="13472FD4" w14:textId="338495CE" w:rsidR="00987ABE" w:rsidRPr="003F4F1B" w:rsidRDefault="00987ABE" w:rsidP="00987ABE">
      <w:pPr>
        <w:ind w:left="426"/>
        <w:rPr>
          <w:szCs w:val="20"/>
        </w:rPr>
      </w:pPr>
      <w:r w:rsidRPr="003F4F1B">
        <w:rPr>
          <w:szCs w:val="20"/>
        </w:rPr>
        <w:t xml:space="preserve">Telephone number(s): </w:t>
      </w:r>
    </w:p>
    <w:p w14:paraId="2D02966F" w14:textId="06CD35BB" w:rsidR="00987ABE" w:rsidRPr="003F4F1B" w:rsidRDefault="00987ABE" w:rsidP="00987ABE">
      <w:pPr>
        <w:ind w:left="426"/>
        <w:rPr>
          <w:szCs w:val="20"/>
        </w:rPr>
      </w:pPr>
      <w:r w:rsidRPr="003F4F1B">
        <w:rPr>
          <w:szCs w:val="20"/>
        </w:rPr>
        <w:t xml:space="preserve">Email address: </w:t>
      </w:r>
    </w:p>
    <w:p w14:paraId="5751DF90" w14:textId="0347AD48" w:rsidR="00987ABE" w:rsidRPr="003F4F1B" w:rsidRDefault="00987ABE" w:rsidP="00987ABE">
      <w:pPr>
        <w:ind w:left="426"/>
        <w:rPr>
          <w:szCs w:val="20"/>
        </w:rPr>
      </w:pPr>
      <w:r w:rsidRPr="003F4F1B">
        <w:rPr>
          <w:szCs w:val="20"/>
        </w:rPr>
        <w:t xml:space="preserve">Justification of expertise: </w:t>
      </w:r>
    </w:p>
    <w:p w14:paraId="7AFA7CD6" w14:textId="77777777" w:rsidR="00987ABE" w:rsidRPr="003F4F1B" w:rsidRDefault="00987ABE" w:rsidP="00987ABE">
      <w:pPr>
        <w:ind w:left="426"/>
        <w:rPr>
          <w:szCs w:val="20"/>
        </w:rPr>
      </w:pPr>
    </w:p>
    <w:p w14:paraId="769422A9" w14:textId="5BE774DB" w:rsidR="00987ABE" w:rsidRPr="003F4F1B" w:rsidRDefault="00987ABE" w:rsidP="00987ABE">
      <w:pPr>
        <w:ind w:left="426"/>
        <w:rPr>
          <w:szCs w:val="20"/>
        </w:rPr>
      </w:pPr>
      <w:r w:rsidRPr="003F4F1B">
        <w:rPr>
          <w:szCs w:val="20"/>
        </w:rPr>
        <w:t xml:space="preserve">Name of expert 2: </w:t>
      </w:r>
    </w:p>
    <w:p w14:paraId="2C02B697" w14:textId="50D248E1" w:rsidR="00987ABE" w:rsidRPr="003F4F1B" w:rsidRDefault="00987ABE" w:rsidP="00987ABE">
      <w:pPr>
        <w:ind w:left="426"/>
        <w:rPr>
          <w:szCs w:val="20"/>
        </w:rPr>
      </w:pPr>
      <w:r w:rsidRPr="003F4F1B">
        <w:rPr>
          <w:szCs w:val="20"/>
        </w:rPr>
        <w:t xml:space="preserve">Telephone number(s): </w:t>
      </w:r>
    </w:p>
    <w:p w14:paraId="7F2388CE" w14:textId="5AF9A77B" w:rsidR="00987ABE" w:rsidRPr="003F4F1B" w:rsidRDefault="00987ABE" w:rsidP="00987ABE">
      <w:pPr>
        <w:ind w:left="426"/>
        <w:rPr>
          <w:szCs w:val="20"/>
        </w:rPr>
      </w:pPr>
      <w:r w:rsidRPr="003F4F1B">
        <w:rPr>
          <w:szCs w:val="20"/>
        </w:rPr>
        <w:t xml:space="preserve">Email address: </w:t>
      </w:r>
    </w:p>
    <w:p w14:paraId="114451C2" w14:textId="37DCE931" w:rsidR="00E82F54" w:rsidRPr="003F4F1B" w:rsidRDefault="00987ABE" w:rsidP="00987ABE">
      <w:pPr>
        <w:ind w:left="426"/>
        <w:rPr>
          <w:szCs w:val="20"/>
        </w:rPr>
      </w:pPr>
      <w:r w:rsidRPr="003F4F1B">
        <w:rPr>
          <w:szCs w:val="20"/>
        </w:rPr>
        <w:t xml:space="preserve">Justification of expertise: </w:t>
      </w:r>
    </w:p>
    <w:p w14:paraId="050129F7" w14:textId="77777777" w:rsidR="00987ABE" w:rsidRPr="003F4F1B" w:rsidRDefault="00987ABE" w:rsidP="00E82F54">
      <w:pPr>
        <w:ind w:left="426"/>
        <w:rPr>
          <w:i/>
          <w:szCs w:val="20"/>
        </w:rPr>
      </w:pPr>
    </w:p>
    <w:p w14:paraId="18B39BD6" w14:textId="77777777" w:rsidR="00E82F54" w:rsidRPr="00154B00" w:rsidRDefault="00E82F54" w:rsidP="00E82F54">
      <w:pPr>
        <w:ind w:left="426"/>
        <w:rPr>
          <w:i/>
          <w:szCs w:val="20"/>
        </w:rPr>
      </w:pPr>
      <w:r w:rsidRPr="003F4F1B">
        <w:rPr>
          <w:i/>
          <w:szCs w:val="20"/>
        </w:rPr>
        <w:t>Please note that the Department may also consult with other referrers, proceduralists and disease specialists to obtain their insight.</w:t>
      </w:r>
    </w:p>
    <w:p w14:paraId="3D6E0F93" w14:textId="77777777" w:rsidR="003433D1" w:rsidRDefault="003433D1">
      <w:pPr>
        <w:rPr>
          <w:b/>
          <w:sz w:val="32"/>
          <w:szCs w:val="32"/>
        </w:rPr>
      </w:pPr>
      <w:r>
        <w:rPr>
          <w:b/>
          <w:sz w:val="32"/>
          <w:szCs w:val="32"/>
        </w:rPr>
        <w:br w:type="page"/>
      </w:r>
    </w:p>
    <w:p w14:paraId="42584209"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4EEA1F9F" w14:textId="77777777" w:rsidR="0021185D" w:rsidRPr="005C3AE7" w:rsidRDefault="005C3AE7" w:rsidP="005C3AE7">
      <w:pPr>
        <w:pStyle w:val="Subtitle"/>
      </w:pPr>
      <w:r w:rsidRPr="005C3AE7">
        <w:t xml:space="preserve">PART 6a – </w:t>
      </w:r>
      <w:r w:rsidR="0021185D" w:rsidRPr="005C3AE7">
        <w:t>INFORMATION ABOUT THE PROPOSED POPULATION</w:t>
      </w:r>
    </w:p>
    <w:p w14:paraId="06CBF420"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9612F8A" w14:textId="258E223E" w:rsidR="002A6753" w:rsidRDefault="004E32C5" w:rsidP="00E357B9">
      <w:pPr>
        <w:ind w:left="426"/>
        <w:rPr>
          <w:szCs w:val="20"/>
        </w:rPr>
      </w:pPr>
      <w:r>
        <w:rPr>
          <w:szCs w:val="20"/>
        </w:rPr>
        <w:t xml:space="preserve">Aortic stenosis (AS) is one of the most common and most serious valve disease problems.  AS is a narrowing of the aortic valve opening.  AS restricts the blood flow from the left ventricle to the aorta and may also affect the pressure in the left atrium.  Although some people have AS </w:t>
      </w:r>
      <w:r w:rsidR="00E96299">
        <w:rPr>
          <w:szCs w:val="20"/>
        </w:rPr>
        <w:t xml:space="preserve">due to </w:t>
      </w:r>
      <w:r>
        <w:rPr>
          <w:szCs w:val="20"/>
        </w:rPr>
        <w:t xml:space="preserve">a congenital heart defect (bicuspid aortic valve) this condition more commonly develops during aging as calcium and/or scarring damages the valve and restricts the flow rate of blood through the valve.  </w:t>
      </w:r>
      <w:r w:rsidR="001A7815">
        <w:rPr>
          <w:szCs w:val="20"/>
        </w:rPr>
        <w:t>AS is not merely a result of aging but is a process of inflammation, lipid accumulation and calcification characterised by subendothelial thickening</w:t>
      </w:r>
      <w:r w:rsidR="001A7815">
        <w:rPr>
          <w:rStyle w:val="FootnoteReference"/>
          <w:szCs w:val="20"/>
        </w:rPr>
        <w:footnoteReference w:id="1"/>
      </w:r>
    </w:p>
    <w:p w14:paraId="723AC0EC" w14:textId="57B14345" w:rsidR="00F91FBC" w:rsidRPr="00F91FBC" w:rsidRDefault="004E32C5" w:rsidP="00F91FBC">
      <w:pPr>
        <w:pStyle w:val="Heading2"/>
        <w:numPr>
          <w:ilvl w:val="0"/>
          <w:numId w:val="0"/>
        </w:numPr>
        <w:ind w:left="360"/>
        <w:rPr>
          <w:b w:val="0"/>
        </w:rPr>
      </w:pPr>
      <w:r w:rsidRPr="00F91FBC">
        <w:rPr>
          <w:b w:val="0"/>
        </w:rPr>
        <w:t>AS results in</w:t>
      </w:r>
      <w:r w:rsidR="00890A19" w:rsidRPr="00F91FBC">
        <w:rPr>
          <w:b w:val="0"/>
        </w:rPr>
        <w:t xml:space="preserve"> structural changes to the heart from </w:t>
      </w:r>
      <w:r w:rsidRPr="00F91FBC">
        <w:rPr>
          <w:b w:val="0"/>
        </w:rPr>
        <w:t>increased load on the left ventricle</w:t>
      </w:r>
      <w:r w:rsidR="0012666E" w:rsidRPr="00F91FBC">
        <w:rPr>
          <w:b w:val="0"/>
        </w:rPr>
        <w:t xml:space="preserve"> (LV)</w:t>
      </w:r>
      <w:r w:rsidRPr="00F91FBC">
        <w:rPr>
          <w:b w:val="0"/>
        </w:rPr>
        <w:t xml:space="preserve"> and hypertrophy </w:t>
      </w:r>
      <w:r w:rsidR="00890A19" w:rsidRPr="00F91FBC">
        <w:rPr>
          <w:b w:val="0"/>
        </w:rPr>
        <w:t xml:space="preserve">(or enlargement of the heart).  Stenotic valves may not close fully resulting in regurgitation back into the left ventricle.  AS is a progressive disease that is asymptomatic </w:t>
      </w:r>
      <w:r w:rsidR="0012666E" w:rsidRPr="00F91FBC">
        <w:rPr>
          <w:b w:val="0"/>
        </w:rPr>
        <w:t xml:space="preserve">until the latest stages of the disease.  </w:t>
      </w:r>
      <w:r w:rsidR="00753EA1" w:rsidRPr="00F91FBC">
        <w:rPr>
          <w:b w:val="0"/>
        </w:rPr>
        <w:t>Symptomatic severe AS is classified as Stage D AS and can be confirmed by the presence of symptoms (eg, dyspnea, angina, syncope, heart failure), severely calcified valve leaflets with reduced opening, jet velocity (V</w:t>
      </w:r>
      <w:r w:rsidR="00753EA1" w:rsidRPr="00F91FBC">
        <w:rPr>
          <w:b w:val="0"/>
          <w:vertAlign w:val="subscript"/>
        </w:rPr>
        <w:t>max</w:t>
      </w:r>
      <w:r w:rsidR="00753EA1" w:rsidRPr="00F91FBC">
        <w:rPr>
          <w:b w:val="0"/>
        </w:rPr>
        <w:t>) ≥4 m/s, and mean gradient ≥40 mm Hg. Variations in valve h</w:t>
      </w:r>
      <w:r w:rsidR="003F4F1B" w:rsidRPr="00F91FBC">
        <w:rPr>
          <w:b w:val="0"/>
        </w:rPr>
        <w:t>a</w:t>
      </w:r>
      <w:r w:rsidR="00753EA1" w:rsidRPr="00F91FBC">
        <w:rPr>
          <w:b w:val="0"/>
        </w:rPr>
        <w:t>emodynamics and the presence of symptoms are used to further subclassify symptomatic severe AS</w:t>
      </w:r>
      <w:r w:rsidR="00E93203" w:rsidRPr="00F91FBC">
        <w:rPr>
          <w:b w:val="0"/>
        </w:rPr>
        <w:t>.</w:t>
      </w:r>
      <w:r w:rsidR="00E93203" w:rsidRPr="00F91FBC">
        <w:rPr>
          <w:b w:val="0"/>
          <w:vertAlign w:val="superscript"/>
        </w:rPr>
        <w:t>2</w:t>
      </w:r>
      <w:r w:rsidR="00753EA1" w:rsidRPr="00F91FBC">
        <w:rPr>
          <w:b w:val="0"/>
          <w:highlight w:val="yellow"/>
        </w:rPr>
        <w:t xml:space="preserve"> </w:t>
      </w:r>
      <w:r w:rsidR="0012666E" w:rsidRPr="00F91FBC">
        <w:rPr>
          <w:b w:val="0"/>
        </w:rPr>
        <w:t>AS becomes symptomatic at the most severe stage of the disease.  Symptoms include exertional dyspn</w:t>
      </w:r>
      <w:r w:rsidR="00521519" w:rsidRPr="00F91FBC">
        <w:rPr>
          <w:b w:val="0"/>
        </w:rPr>
        <w:t>o</w:t>
      </w:r>
      <w:r w:rsidR="0012666E" w:rsidRPr="00F91FBC">
        <w:rPr>
          <w:b w:val="0"/>
        </w:rPr>
        <w:t>ea or decreased exercise tolerance, exertional angina or exertional syncope or presyncope. Left untreated patients will experience heart failure and angina.</w:t>
      </w:r>
      <w:r w:rsidR="0012666E" w:rsidRPr="00F91FBC">
        <w:rPr>
          <w:rStyle w:val="FootnoteReference"/>
          <w:b w:val="0"/>
        </w:rPr>
        <w:footnoteReference w:id="2"/>
      </w:r>
      <w:r w:rsidR="00F94EBD" w:rsidRPr="00F91FBC">
        <w:rPr>
          <w:b w:val="0"/>
        </w:rPr>
        <w:t xml:space="preserve"> </w:t>
      </w:r>
      <w:r w:rsidR="00CD76A3" w:rsidRPr="00F91FBC">
        <w:rPr>
          <w:b w:val="0"/>
        </w:rPr>
        <w:t>Patients are then at high risk for sudden death. Prognosis is poor once there is a mean aortic valve gradient greater than 40mmhg. Severe AS is associated with high death rates of 38%, 32% and 18% at 1 year, 5 years and 10 years respectively</w:t>
      </w:r>
      <w:r w:rsidR="00CD76A3" w:rsidRPr="00F91FBC">
        <w:rPr>
          <w:rStyle w:val="FootnoteReference"/>
          <w:b w:val="0"/>
        </w:rPr>
        <w:footnoteReference w:id="3"/>
      </w:r>
      <w:r w:rsidR="00E93203" w:rsidRPr="00F91FBC">
        <w:rPr>
          <w:b w:val="0"/>
        </w:rPr>
        <w:t>. In the absence of aortic valve replacement (AVR), the survival of these patients can be as low as 50% at two years and 20% at five years.</w:t>
      </w:r>
      <w:r w:rsidR="00E93203" w:rsidRPr="00F91FBC">
        <w:rPr>
          <w:rStyle w:val="FootnoteReference"/>
          <w:b w:val="0"/>
        </w:rPr>
        <w:footnoteReference w:id="4"/>
      </w:r>
    </w:p>
    <w:p w14:paraId="466EA2F4" w14:textId="77777777" w:rsidR="00F91FBC" w:rsidRPr="00F91FBC" w:rsidRDefault="00F91FBC" w:rsidP="00F91FBC"/>
    <w:p w14:paraId="006998A7" w14:textId="530815EB" w:rsidR="00AA5FDA" w:rsidRPr="00154B00" w:rsidRDefault="00E93203" w:rsidP="00530204">
      <w:pPr>
        <w:pStyle w:val="Heading2"/>
      </w:pPr>
      <w:r>
        <w:t xml:space="preserve"> </w:t>
      </w:r>
      <w:r w:rsidR="00AA5FDA" w:rsidRPr="00154B00">
        <w:t>Specify any characteristics of patients with the medical condition</w:t>
      </w:r>
      <w:r w:rsidR="00707D4D">
        <w:t>, or suspected of,</w:t>
      </w:r>
      <w:r w:rsidR="00AA5FDA" w:rsidRPr="00154B00">
        <w:t xml:space="preserve"> who are proposed to be eligible for the </w:t>
      </w:r>
      <w:r w:rsidR="00AA5FDA" w:rsidRPr="00DA7D0C">
        <w:t>proposed</w:t>
      </w:r>
      <w:r w:rsidR="00AA5FDA"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6E11F823" w14:textId="21C9BFB6" w:rsidR="00AA5FDA" w:rsidRDefault="007642F7" w:rsidP="00E357B9">
      <w:pPr>
        <w:ind w:left="426"/>
      </w:pPr>
      <w:r>
        <w:t xml:space="preserve">Patients with severe AS are typically elderly, although younger adults may present with a congenital malformation of the valve. </w:t>
      </w:r>
      <w:r w:rsidR="00BE0ACB">
        <w:t>Patients may present to either a general practitioner (GP) or alternatively an unexplained episode of shortness of breath</w:t>
      </w:r>
      <w:r w:rsidR="00811E28">
        <w:t xml:space="preserve">, angina </w:t>
      </w:r>
      <w:r w:rsidR="00BE0ACB">
        <w:t xml:space="preserve">or syncope may trigger a presentation to an emergency room.  Regardless of presentation an echocardiograph is the </w:t>
      </w:r>
      <w:r w:rsidR="00C66BBF">
        <w:t>investigation</w:t>
      </w:r>
      <w:r w:rsidR="00BE0ACB">
        <w:t xml:space="preserve"> to confirm the diagnosis of AS. Echocardiographic criteria for the definition of severe AS are as follows.</w:t>
      </w:r>
      <w:r w:rsidR="00811E28">
        <w:rPr>
          <w:rStyle w:val="FootnoteReference"/>
        </w:rPr>
        <w:footnoteReference w:id="5"/>
      </w:r>
    </w:p>
    <w:tbl>
      <w:tblPr>
        <w:tblStyle w:val="TableGrid"/>
        <w:tblW w:w="0" w:type="auto"/>
        <w:tblInd w:w="426" w:type="dxa"/>
        <w:tblLook w:val="04A0" w:firstRow="1" w:lastRow="0" w:firstColumn="1" w:lastColumn="0" w:noHBand="0" w:noVBand="1"/>
        <w:tblCaption w:val="Question 25 table"/>
        <w:tblDescription w:val="Table showing echocardiographic criteria for the definition of severe AS "/>
      </w:tblPr>
      <w:tblGrid>
        <w:gridCol w:w="4313"/>
        <w:gridCol w:w="4277"/>
      </w:tblGrid>
      <w:tr w:rsidR="00BE0ACB" w14:paraId="4FB86951" w14:textId="77777777" w:rsidTr="000D5B57">
        <w:trPr>
          <w:tblHeader/>
        </w:trPr>
        <w:tc>
          <w:tcPr>
            <w:tcW w:w="4313" w:type="dxa"/>
          </w:tcPr>
          <w:p w14:paraId="74ACF231" w14:textId="480DCD8C" w:rsidR="00BE0ACB" w:rsidRPr="00811E28" w:rsidRDefault="00BE0ACB" w:rsidP="00BE0ACB">
            <w:pPr>
              <w:jc w:val="center"/>
              <w:rPr>
                <w:b/>
                <w:szCs w:val="20"/>
              </w:rPr>
            </w:pPr>
            <w:r w:rsidRPr="00811E28">
              <w:rPr>
                <w:b/>
                <w:szCs w:val="20"/>
              </w:rPr>
              <w:t>Valve area (cm</w:t>
            </w:r>
            <w:r w:rsidRPr="00811E28">
              <w:rPr>
                <w:rFonts w:cstheme="minorHAnsi"/>
                <w:b/>
                <w:szCs w:val="20"/>
              </w:rPr>
              <w:t>²)</w:t>
            </w:r>
          </w:p>
        </w:tc>
        <w:tc>
          <w:tcPr>
            <w:tcW w:w="4277" w:type="dxa"/>
          </w:tcPr>
          <w:p w14:paraId="29D4471A" w14:textId="61FB8E5D" w:rsidR="00BE0ACB" w:rsidRPr="00811E28" w:rsidRDefault="00BE0ACB" w:rsidP="00BE0ACB">
            <w:pPr>
              <w:jc w:val="center"/>
              <w:rPr>
                <w:b/>
                <w:szCs w:val="20"/>
              </w:rPr>
            </w:pPr>
            <w:r w:rsidRPr="00811E28">
              <w:rPr>
                <w:b/>
                <w:szCs w:val="20"/>
              </w:rPr>
              <w:t>&lt;1.0</w:t>
            </w:r>
          </w:p>
        </w:tc>
      </w:tr>
      <w:tr w:rsidR="00BE0ACB" w14:paraId="4BD21DE2" w14:textId="77777777" w:rsidTr="00811E28">
        <w:tc>
          <w:tcPr>
            <w:tcW w:w="4313" w:type="dxa"/>
          </w:tcPr>
          <w:p w14:paraId="70AD1D18" w14:textId="6DBCC70E" w:rsidR="00BE0ACB" w:rsidRPr="00811E28" w:rsidRDefault="00BE0ACB" w:rsidP="00BE0ACB">
            <w:pPr>
              <w:jc w:val="center"/>
              <w:rPr>
                <w:b/>
                <w:szCs w:val="20"/>
              </w:rPr>
            </w:pPr>
            <w:r w:rsidRPr="00811E28">
              <w:rPr>
                <w:b/>
                <w:szCs w:val="20"/>
              </w:rPr>
              <w:t>Indexed valve area (cm</w:t>
            </w:r>
            <w:r w:rsidRPr="00811E28">
              <w:rPr>
                <w:rFonts w:cstheme="minorHAnsi"/>
                <w:b/>
                <w:szCs w:val="20"/>
              </w:rPr>
              <w:t>²</w:t>
            </w:r>
            <w:r w:rsidRPr="00811E28">
              <w:rPr>
                <w:b/>
                <w:szCs w:val="20"/>
              </w:rPr>
              <w:t>/m</w:t>
            </w:r>
            <w:r w:rsidRPr="00811E28">
              <w:rPr>
                <w:rFonts w:cstheme="minorHAnsi"/>
                <w:b/>
                <w:szCs w:val="20"/>
              </w:rPr>
              <w:t>²</w:t>
            </w:r>
            <w:r w:rsidRPr="00811E28">
              <w:rPr>
                <w:b/>
                <w:szCs w:val="20"/>
              </w:rPr>
              <w:t>BSA)</w:t>
            </w:r>
          </w:p>
        </w:tc>
        <w:tc>
          <w:tcPr>
            <w:tcW w:w="4277" w:type="dxa"/>
          </w:tcPr>
          <w:p w14:paraId="3C42054D" w14:textId="0457DBA7" w:rsidR="00BE0ACB" w:rsidRPr="00811E28" w:rsidRDefault="00BE0ACB" w:rsidP="00BE0ACB">
            <w:pPr>
              <w:jc w:val="center"/>
              <w:rPr>
                <w:b/>
                <w:szCs w:val="20"/>
              </w:rPr>
            </w:pPr>
            <w:r w:rsidRPr="00811E28">
              <w:rPr>
                <w:b/>
                <w:szCs w:val="20"/>
              </w:rPr>
              <w:t>&lt;0.6</w:t>
            </w:r>
          </w:p>
        </w:tc>
      </w:tr>
      <w:tr w:rsidR="00BE0ACB" w14:paraId="60C2E59D" w14:textId="77777777" w:rsidTr="00811E28">
        <w:tc>
          <w:tcPr>
            <w:tcW w:w="4313" w:type="dxa"/>
          </w:tcPr>
          <w:p w14:paraId="56D148CF" w14:textId="2615907F" w:rsidR="00BE0ACB" w:rsidRPr="00811E28" w:rsidRDefault="00BE0ACB" w:rsidP="00BE0ACB">
            <w:pPr>
              <w:jc w:val="center"/>
              <w:rPr>
                <w:b/>
                <w:szCs w:val="20"/>
              </w:rPr>
            </w:pPr>
            <w:r w:rsidRPr="00811E28">
              <w:rPr>
                <w:b/>
                <w:szCs w:val="20"/>
              </w:rPr>
              <w:lastRenderedPageBreak/>
              <w:t>Mean gradient (mmhg)</w:t>
            </w:r>
          </w:p>
        </w:tc>
        <w:tc>
          <w:tcPr>
            <w:tcW w:w="4277" w:type="dxa"/>
          </w:tcPr>
          <w:p w14:paraId="35E301A5" w14:textId="7075ABE5" w:rsidR="00BE0ACB" w:rsidRPr="00811E28" w:rsidRDefault="00BE0ACB" w:rsidP="00BE0ACB">
            <w:pPr>
              <w:jc w:val="center"/>
              <w:rPr>
                <w:b/>
                <w:szCs w:val="20"/>
              </w:rPr>
            </w:pPr>
            <w:r w:rsidRPr="00811E28">
              <w:rPr>
                <w:b/>
                <w:szCs w:val="20"/>
              </w:rPr>
              <w:t>&gt;4.0</w:t>
            </w:r>
          </w:p>
        </w:tc>
      </w:tr>
      <w:tr w:rsidR="00BE0ACB" w14:paraId="6F85814B" w14:textId="77777777" w:rsidTr="00811E28">
        <w:tc>
          <w:tcPr>
            <w:tcW w:w="4313" w:type="dxa"/>
          </w:tcPr>
          <w:p w14:paraId="2FEFAD99" w14:textId="77D639D6" w:rsidR="00BE0ACB" w:rsidRPr="00811E28" w:rsidRDefault="00BE0ACB" w:rsidP="00BE0ACB">
            <w:pPr>
              <w:jc w:val="center"/>
              <w:rPr>
                <w:b/>
                <w:szCs w:val="20"/>
              </w:rPr>
            </w:pPr>
            <w:r w:rsidRPr="00811E28">
              <w:rPr>
                <w:b/>
                <w:szCs w:val="20"/>
              </w:rPr>
              <w:t>Maximum jet velocity (m/s)</w:t>
            </w:r>
          </w:p>
        </w:tc>
        <w:tc>
          <w:tcPr>
            <w:tcW w:w="4277" w:type="dxa"/>
          </w:tcPr>
          <w:p w14:paraId="18E3A033" w14:textId="76D94E39" w:rsidR="00BE0ACB" w:rsidRPr="00811E28" w:rsidRDefault="00BE0ACB" w:rsidP="00BE0ACB">
            <w:pPr>
              <w:jc w:val="center"/>
              <w:rPr>
                <w:b/>
                <w:szCs w:val="20"/>
              </w:rPr>
            </w:pPr>
            <w:r w:rsidRPr="00811E28">
              <w:rPr>
                <w:b/>
                <w:szCs w:val="20"/>
              </w:rPr>
              <w:t>&gt;4.0</w:t>
            </w:r>
          </w:p>
        </w:tc>
      </w:tr>
      <w:tr w:rsidR="00BE0ACB" w14:paraId="5758F494" w14:textId="77777777" w:rsidTr="00811E28">
        <w:tc>
          <w:tcPr>
            <w:tcW w:w="4313" w:type="dxa"/>
          </w:tcPr>
          <w:p w14:paraId="6FBDFFFF" w14:textId="2779BEAA" w:rsidR="00BE0ACB" w:rsidRPr="00811E28" w:rsidRDefault="00BE0ACB" w:rsidP="00BE0ACB">
            <w:pPr>
              <w:jc w:val="center"/>
              <w:rPr>
                <w:b/>
                <w:szCs w:val="20"/>
              </w:rPr>
            </w:pPr>
            <w:r w:rsidRPr="00811E28">
              <w:rPr>
                <w:b/>
                <w:szCs w:val="20"/>
              </w:rPr>
              <w:t>Velocity ratio</w:t>
            </w:r>
          </w:p>
        </w:tc>
        <w:tc>
          <w:tcPr>
            <w:tcW w:w="4277" w:type="dxa"/>
          </w:tcPr>
          <w:p w14:paraId="6712CD40" w14:textId="698AE1F7" w:rsidR="00BE0ACB" w:rsidRPr="00811E28" w:rsidRDefault="00BE0ACB" w:rsidP="00BE0ACB">
            <w:pPr>
              <w:jc w:val="center"/>
              <w:rPr>
                <w:b/>
                <w:szCs w:val="20"/>
              </w:rPr>
            </w:pPr>
            <w:r w:rsidRPr="00811E28">
              <w:rPr>
                <w:b/>
                <w:szCs w:val="20"/>
              </w:rPr>
              <w:t>&lt;0.25</w:t>
            </w:r>
          </w:p>
        </w:tc>
      </w:tr>
    </w:tbl>
    <w:p w14:paraId="7CFD37EE" w14:textId="026FE838" w:rsidR="00884947" w:rsidRDefault="00811E28" w:rsidP="00884947">
      <w:pPr>
        <w:ind w:left="426"/>
        <w:rPr>
          <w:szCs w:val="20"/>
        </w:rPr>
      </w:pPr>
      <w:r>
        <w:rPr>
          <w:szCs w:val="20"/>
        </w:rPr>
        <w:t xml:space="preserve">Transoesophageal echocardiography </w:t>
      </w:r>
      <w:r w:rsidR="00A6275F">
        <w:rPr>
          <w:szCs w:val="20"/>
        </w:rPr>
        <w:t xml:space="preserve">may also </w:t>
      </w:r>
      <w:r w:rsidR="00CC58C1">
        <w:rPr>
          <w:szCs w:val="20"/>
        </w:rPr>
        <w:t xml:space="preserve">be considered. </w:t>
      </w:r>
      <w:r>
        <w:rPr>
          <w:szCs w:val="20"/>
        </w:rPr>
        <w:t>Other tests that may be conducted include cardiac MRI, exercise echocardiography</w:t>
      </w:r>
      <w:r w:rsidR="005C7B6C">
        <w:rPr>
          <w:szCs w:val="20"/>
        </w:rPr>
        <w:t xml:space="preserve">, multi-slice computed tomography and coronary angiography. </w:t>
      </w:r>
      <w:r w:rsidR="00884947">
        <w:rPr>
          <w:szCs w:val="20"/>
        </w:rPr>
        <w:t>Valvular regurgitation is also assessed. Functional status is assessed by the New York Heart Association functional class system.</w:t>
      </w:r>
    </w:p>
    <w:p w14:paraId="165FD259" w14:textId="15956246" w:rsidR="005C7B6C" w:rsidRDefault="00CC58C1" w:rsidP="00E357B9">
      <w:pPr>
        <w:ind w:left="426"/>
        <w:rPr>
          <w:szCs w:val="20"/>
        </w:rPr>
      </w:pPr>
      <w:r>
        <w:rPr>
          <w:szCs w:val="20"/>
        </w:rPr>
        <w:t>Assessment of surgical risk is determined by either a multi-disciplinary heart team</w:t>
      </w:r>
      <w:r w:rsidR="000037DC">
        <w:rPr>
          <w:szCs w:val="20"/>
        </w:rPr>
        <w:t>.</w:t>
      </w:r>
      <w:r>
        <w:rPr>
          <w:szCs w:val="20"/>
        </w:rPr>
        <w:t xml:space="preserve">  This application pertains to patients who are determined to be at intermediate risk of surgery</w:t>
      </w:r>
      <w:r w:rsidR="008310E2">
        <w:rPr>
          <w:szCs w:val="20"/>
        </w:rPr>
        <w:t>.</w:t>
      </w:r>
      <w:r>
        <w:rPr>
          <w:szCs w:val="20"/>
        </w:rPr>
        <w:t xml:space="preserve"> by a heart tea</w:t>
      </w:r>
      <w:r w:rsidR="008310E2">
        <w:rPr>
          <w:szCs w:val="20"/>
        </w:rPr>
        <w:t>m</w:t>
      </w:r>
      <w:r>
        <w:rPr>
          <w:rStyle w:val="FootnoteReference"/>
          <w:szCs w:val="20"/>
        </w:rPr>
        <w:footnoteReference w:id="6"/>
      </w:r>
      <w:r w:rsidR="00E96299">
        <w:rPr>
          <w:szCs w:val="20"/>
        </w:rPr>
        <w:t xml:space="preserve"> </w:t>
      </w:r>
    </w:p>
    <w:p w14:paraId="3F029206" w14:textId="77777777" w:rsidR="00887888" w:rsidRPr="00154B00" w:rsidRDefault="00887888" w:rsidP="00E357B9">
      <w:pPr>
        <w:ind w:left="426"/>
        <w:rPr>
          <w:szCs w:val="20"/>
        </w:rPr>
      </w:pPr>
    </w:p>
    <w:p w14:paraId="42693CC5" w14:textId="49938A03"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C22767F" w14:textId="7BC9F025" w:rsidR="003D3BFE" w:rsidRDefault="00C66BBF" w:rsidP="00887888">
      <w:pPr>
        <w:ind w:left="357"/>
      </w:pPr>
      <w:r>
        <w:t>Patients usually present to a GP who will order the initial investigations as described in Question 25.</w:t>
      </w:r>
      <w:r w:rsidR="003261CC">
        <w:t xml:space="preserve"> </w:t>
      </w:r>
      <w:r w:rsidR="00887888">
        <w:t xml:space="preserve">Three treatment options are available to target these goals: medical management, surgical aortic valve replacement (SAVR), and TAVR. Medical management consists of pharmacologic treatment to alleviate symptoms and, in certain cases, balloon aortic valvuloplasty (BAV) to enlarge the aortic valve opening. However, these treatments have not been found to provide sustained symptom relief, alter the disease course, or improve survival in patients with severe symptomatic AS. </w:t>
      </w:r>
      <w:r w:rsidR="003261CC">
        <w:t xml:space="preserve">Medical management is not usually first line therapy for an operable patient so a referral is made to either a cardiologist or to a cardiothoracic surgeon.  Referral is then made to a TAVI Heart Team to determine the patient’s suitability for the </w:t>
      </w:r>
      <w:r w:rsidR="00F62123">
        <w:t>TAVI procedure</w:t>
      </w:r>
    </w:p>
    <w:p w14:paraId="641D22B2" w14:textId="77777777" w:rsidR="003D3BFE" w:rsidRPr="003D3BFE" w:rsidRDefault="003D3BFE" w:rsidP="003D3BFE"/>
    <w:p w14:paraId="5A4D2290" w14:textId="7973473C" w:rsidR="00BC424B" w:rsidRPr="00BC424B" w:rsidRDefault="00BC424B" w:rsidP="00BE0ACB">
      <w:pPr>
        <w:ind w:left="357"/>
      </w:pPr>
    </w:p>
    <w:p w14:paraId="5C33D5B6" w14:textId="77777777" w:rsidR="002A50FD" w:rsidRPr="00881F93" w:rsidRDefault="005C3AE7" w:rsidP="005C3AE7">
      <w:pPr>
        <w:pStyle w:val="Subtitle"/>
      </w:pPr>
      <w:r>
        <w:t xml:space="preserve">PART 6b – </w:t>
      </w:r>
      <w:r w:rsidR="002A50FD" w:rsidRPr="00881F93">
        <w:t>INFORMATION ABOUT THE INTERVENTION</w:t>
      </w:r>
    </w:p>
    <w:p w14:paraId="4B9A9A6E"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5235CB5" w14:textId="08C61108" w:rsidR="002A50FD" w:rsidRDefault="006F7493" w:rsidP="006F7493">
      <w:pPr>
        <w:ind w:left="360"/>
        <w:rPr>
          <w:szCs w:val="20"/>
        </w:rPr>
      </w:pPr>
      <w:r>
        <w:rPr>
          <w:szCs w:val="20"/>
        </w:rPr>
        <w:t>In Australia TAVI is performed in a cardiac catheterisation or an operating room. TAVI is generally performed under general</w:t>
      </w:r>
      <w:r w:rsidR="008310E2">
        <w:rPr>
          <w:szCs w:val="20"/>
        </w:rPr>
        <w:t xml:space="preserve"> or local</w:t>
      </w:r>
      <w:r>
        <w:rPr>
          <w:szCs w:val="20"/>
        </w:rPr>
        <w:t xml:space="preserve"> anaesthesia</w:t>
      </w:r>
      <w:r w:rsidR="008310E2">
        <w:rPr>
          <w:szCs w:val="20"/>
        </w:rPr>
        <w:t xml:space="preserve"> and sedation</w:t>
      </w:r>
      <w:r>
        <w:rPr>
          <w:szCs w:val="20"/>
        </w:rPr>
        <w:t>, but for transfemoral delivery which this application is concerned with, sedation and analgesia may be sufficient.  The procedure is performed without cardio-pulmonary bypass</w:t>
      </w:r>
      <w:r w:rsidR="009F3E3D">
        <w:rPr>
          <w:szCs w:val="20"/>
        </w:rPr>
        <w:t>.</w:t>
      </w:r>
    </w:p>
    <w:p w14:paraId="0E4D1333" w14:textId="0F319557" w:rsidR="006F7493" w:rsidRDefault="006F7493" w:rsidP="006F7493">
      <w:pPr>
        <w:ind w:left="360"/>
        <w:rPr>
          <w:szCs w:val="20"/>
        </w:rPr>
      </w:pPr>
      <w:r>
        <w:rPr>
          <w:szCs w:val="20"/>
        </w:rPr>
        <w:t>The procedure is performed under the guidance of fluoroscopy and transoesophageal echocardiography</w:t>
      </w:r>
      <w:r w:rsidR="000037DC">
        <w:rPr>
          <w:szCs w:val="20"/>
        </w:rPr>
        <w:t xml:space="preserve"> (TOE), however this is not always necessary in an intermediate risk patient</w:t>
      </w:r>
      <w:r>
        <w:rPr>
          <w:szCs w:val="20"/>
        </w:rPr>
        <w:t xml:space="preserve">.  </w:t>
      </w:r>
      <w:r w:rsidR="00B206B0">
        <w:rPr>
          <w:szCs w:val="20"/>
        </w:rPr>
        <w:t xml:space="preserve">Aortography may also be used. </w:t>
      </w:r>
      <w:r>
        <w:rPr>
          <w:szCs w:val="20"/>
        </w:rPr>
        <w:t>A percutaneous sheath is inserted into the femoral artery</w:t>
      </w:r>
      <w:r w:rsidR="009F3E3D">
        <w:rPr>
          <w:szCs w:val="20"/>
        </w:rPr>
        <w:t xml:space="preserve"> with a guide wire that crosses the aortic valve. The aortic valve is predilated via balloon valvuloplasty while the heart is rapidly paced.  The valve is provided mounted on a balloon catheter.  It is inserted percutaneously over the guidewire until it crosses the aortic valve.  Optimum positioning is confirmed by fluoroscopy.  Once the correct position is confirmed, the heart is again rapidly paced, the balloon is expanded until the device </w:t>
      </w:r>
      <w:r w:rsidR="00B206B0">
        <w:rPr>
          <w:szCs w:val="20"/>
        </w:rPr>
        <w:t>meets the native annular walls.  The balloon is deflated and the catheter and guidewire are removed.</w:t>
      </w:r>
    </w:p>
    <w:p w14:paraId="764DB735" w14:textId="23CF5031" w:rsidR="00B206B0" w:rsidRDefault="00B206B0" w:rsidP="006F7493">
      <w:pPr>
        <w:ind w:left="360"/>
        <w:rPr>
          <w:szCs w:val="20"/>
        </w:rPr>
      </w:pPr>
      <w:r>
        <w:rPr>
          <w:szCs w:val="20"/>
        </w:rPr>
        <w:lastRenderedPageBreak/>
        <w:t>Immediately following the procedure, aortography and</w:t>
      </w:r>
      <w:r w:rsidR="000037DC">
        <w:rPr>
          <w:szCs w:val="20"/>
        </w:rPr>
        <w:t xml:space="preserve"> transthoracic</w:t>
      </w:r>
      <w:r>
        <w:rPr>
          <w:szCs w:val="20"/>
        </w:rPr>
        <w:t xml:space="preserve"> echocardiography are again performed to assess the location and the degree of any aortic regurgitation, and the functioning of the coronary arteries.</w:t>
      </w:r>
    </w:p>
    <w:p w14:paraId="18BF2C03" w14:textId="7B7FB3AA" w:rsidR="00B206B0" w:rsidRPr="00154B00" w:rsidRDefault="00B206B0" w:rsidP="006F7493">
      <w:pPr>
        <w:ind w:left="360"/>
        <w:rPr>
          <w:szCs w:val="20"/>
        </w:rPr>
      </w:pPr>
      <w:r>
        <w:rPr>
          <w:szCs w:val="20"/>
        </w:rPr>
        <w:t>Patients are then transferred for monitoring to either a coronary care</w:t>
      </w:r>
      <w:r w:rsidR="00187346">
        <w:rPr>
          <w:szCs w:val="20"/>
        </w:rPr>
        <w:t>,</w:t>
      </w:r>
      <w:r>
        <w:rPr>
          <w:szCs w:val="20"/>
        </w:rPr>
        <w:t xml:space="preserve"> high dependency or intensive care unit.</w:t>
      </w:r>
    </w:p>
    <w:p w14:paraId="38A85110"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C3AAD54" w14:textId="600698EB" w:rsidR="002A6753" w:rsidRPr="00154B00" w:rsidRDefault="00B206B0" w:rsidP="00E357B9">
      <w:pPr>
        <w:ind w:left="426"/>
        <w:rPr>
          <w:szCs w:val="20"/>
        </w:rPr>
      </w:pPr>
      <w:r>
        <w:t>The SAPIEN 3 is a register trademarks of Edwards Lifesciences Corporation or its affiliates.  There are other TAVI valves available in Australia</w:t>
      </w:r>
      <w:r w:rsidR="00464D73">
        <w:t>,</w:t>
      </w:r>
      <w:r>
        <w:t xml:space="preserve"> but these valves are self-expanded </w:t>
      </w:r>
      <w:r w:rsidR="00C5775D">
        <w:t>rather than balloon expanded, so do not employ a balloon catheter.</w:t>
      </w:r>
      <w:r w:rsidR="007D31F9">
        <w:t xml:space="preserve"> Balloon expanded valves have been demonstrated to have different outcomes </w:t>
      </w:r>
      <w:r w:rsidR="00187346">
        <w:t xml:space="preserve">compared </w:t>
      </w:r>
      <w:r w:rsidR="007D31F9">
        <w:t>to self-expanded valves</w:t>
      </w:r>
      <w:r w:rsidR="007D31F9">
        <w:rPr>
          <w:rStyle w:val="FootnoteReference"/>
        </w:rPr>
        <w:footnoteReference w:id="7"/>
      </w:r>
      <w:r w:rsidR="00C5775D">
        <w:t xml:space="preserve"> </w:t>
      </w:r>
      <w:r w:rsidR="00C54183">
        <w:rPr>
          <w:rStyle w:val="FootnoteReference"/>
        </w:rPr>
        <w:footnoteReference w:id="8"/>
      </w:r>
    </w:p>
    <w:p w14:paraId="6218332D"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5702003" w14:textId="13DB3076" w:rsidR="00DF0C51" w:rsidRDefault="007D31F9" w:rsidP="00E357B9">
      <w:pPr>
        <w:ind w:left="426"/>
        <w:rPr>
          <w:b/>
          <w:szCs w:val="20"/>
        </w:rPr>
      </w:pPr>
      <w:r>
        <w:t>TAVI is currently included on the MBS for patients with symptomatic severe aortic stenosis who are at high risk of surgical aortic valve replacement (SAVR) or who are inoperable. TAVI is a new approach in Australia for treating patients who are have symptomatic severe aortic stenosis who are at intermediate risk for SAVR.</w:t>
      </w:r>
    </w:p>
    <w:p w14:paraId="4988E4B0"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3BA065C" w14:textId="21550DD7" w:rsidR="00CC09D7" w:rsidRPr="00154B00" w:rsidRDefault="007D31F9" w:rsidP="00E357B9">
      <w:pPr>
        <w:ind w:left="426"/>
        <w:rPr>
          <w:szCs w:val="20"/>
        </w:rPr>
      </w:pPr>
      <w:r>
        <w:t xml:space="preserve">It is anticipated that in </w:t>
      </w:r>
      <w:r w:rsidR="00C66BBF">
        <w:t>nearly all</w:t>
      </w:r>
      <w:r>
        <w:t xml:space="preserve"> cases that TAVI would be delivered only once in a lifetime.</w:t>
      </w:r>
    </w:p>
    <w:p w14:paraId="3292C9C5"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45355F2" w14:textId="10AEFBAB" w:rsidR="00791C8D" w:rsidRPr="00154B00" w:rsidRDefault="007D31F9" w:rsidP="00884E69">
      <w:pPr>
        <w:ind w:left="426"/>
        <w:rPr>
          <w:szCs w:val="20"/>
        </w:rPr>
      </w:pPr>
      <w:r>
        <w:t xml:space="preserve">It is not anticipated that additional resources or medical services would be delivered at the same time, other than those that would occur during the TAVI </w:t>
      </w:r>
      <w:r w:rsidR="00283152">
        <w:t>admission.</w:t>
      </w:r>
    </w:p>
    <w:p w14:paraId="4C14F46A"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AF155A1" w14:textId="50DADA87" w:rsidR="00B17E26" w:rsidRPr="00154B00" w:rsidRDefault="00283152" w:rsidP="00884E69">
      <w:pPr>
        <w:ind w:left="426"/>
        <w:rPr>
          <w:szCs w:val="20"/>
        </w:rPr>
      </w:pPr>
      <w:r>
        <w:t>An interventional cardiologist or a cardiothoracic surgeon must perform the procedure</w:t>
      </w:r>
    </w:p>
    <w:p w14:paraId="776EFA7F"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78CC163" w14:textId="3E9B64B2" w:rsidR="00B17E26" w:rsidRPr="00154B00" w:rsidRDefault="00283152" w:rsidP="00884E69">
      <w:pPr>
        <w:ind w:left="426"/>
        <w:rPr>
          <w:szCs w:val="20"/>
        </w:rPr>
      </w:pPr>
      <w:r>
        <w:t>The service cannot be delegated</w:t>
      </w:r>
    </w:p>
    <w:p w14:paraId="6DE3D87D"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8F53868" w14:textId="2E02ADFC" w:rsidR="00EA0E25" w:rsidRPr="00154B00" w:rsidRDefault="00283152" w:rsidP="00BC424B">
      <w:pPr>
        <w:ind w:left="426"/>
        <w:rPr>
          <w:szCs w:val="20"/>
        </w:rPr>
      </w:pPr>
      <w:r>
        <w:t>MBS funding is only available for cardiothoracic surgeons or interventional cardiologists who are accredited TAVI practitioners</w:t>
      </w:r>
    </w:p>
    <w:p w14:paraId="5281D781"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60D9944" w14:textId="03934B3B" w:rsidR="00677C28" w:rsidRDefault="00283152" w:rsidP="0073597B">
      <w:pPr>
        <w:ind w:left="426"/>
      </w:pPr>
      <w:r>
        <w:t>Cardiothoracic surgeons</w:t>
      </w:r>
      <w:r w:rsidR="00187346">
        <w:t xml:space="preserve"> must </w:t>
      </w:r>
      <w:r>
        <w:t>have completed the Cardiothoracic Surgery Program and be eligible to be a Fellow of the Royal Australasian College of Surgeons</w:t>
      </w:r>
      <w:r w:rsidR="00677C28">
        <w:t xml:space="preserve"> or otherwise qualified to practice cardiothoracic surgery in Australia</w:t>
      </w:r>
      <w:r>
        <w:t>.</w:t>
      </w:r>
    </w:p>
    <w:p w14:paraId="5A355504" w14:textId="0CC8B8A6" w:rsidR="00EA0E25" w:rsidRDefault="00677C28" w:rsidP="0073597B">
      <w:pPr>
        <w:ind w:left="426"/>
      </w:pPr>
      <w:r>
        <w:t>Interventional Cardiologists must have completed the Advanced Training Curriculum in Cardiology and be eligible to be a Fellow of the Royal Australasian College of Physicians or otherwise qualified to practice interventional cardiology in Australia.</w:t>
      </w:r>
    </w:p>
    <w:p w14:paraId="0B606A23" w14:textId="29B346CB" w:rsidR="00677C28" w:rsidRDefault="00677C28" w:rsidP="0073597B">
      <w:pPr>
        <w:ind w:left="426"/>
      </w:pPr>
      <w:r>
        <w:lastRenderedPageBreak/>
        <w:t>Additionally, the Interventional cardiologist of cardiothoracic surgeon must be an accredited TAVI Practitioner.  Accreditation is conducted by the Accreditation Committee appointed by Cardiac Accreditation Services Limited</w:t>
      </w:r>
      <w:r w:rsidR="000838D3">
        <w:rPr>
          <w:rStyle w:val="FootnoteReference"/>
        </w:rPr>
        <w:footnoteReference w:id="9"/>
      </w:r>
    </w:p>
    <w:p w14:paraId="527CCA8A" w14:textId="77777777" w:rsidR="00677C28" w:rsidRPr="00154B00" w:rsidRDefault="00677C28" w:rsidP="0073597B">
      <w:pPr>
        <w:ind w:left="426"/>
        <w:rPr>
          <w:szCs w:val="20"/>
        </w:rPr>
      </w:pPr>
    </w:p>
    <w:p w14:paraId="4B0B5C89"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0DE9C4B2" w14:textId="34FD98EB" w:rsidR="000A478F" w:rsidRDefault="000838D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0A478F">
        <w:rPr>
          <w:szCs w:val="20"/>
        </w:rPr>
        <w:t xml:space="preserve"> </w:t>
      </w:r>
      <w:r w:rsidR="000A478F">
        <w:t>Inpatient private hospital</w:t>
      </w:r>
    </w:p>
    <w:p w14:paraId="5C2B9ABB" w14:textId="6C0C576F" w:rsidR="000A478F" w:rsidRDefault="000838D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0A478F">
        <w:rPr>
          <w:szCs w:val="20"/>
        </w:rPr>
        <w:t xml:space="preserve"> </w:t>
      </w:r>
      <w:r w:rsidR="000A478F">
        <w:t>Inpatient public hospital</w:t>
      </w:r>
    </w:p>
    <w:p w14:paraId="0FDBEF5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Outpatient clinic</w:t>
      </w:r>
    </w:p>
    <w:p w14:paraId="037AD78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Emergency Department</w:t>
      </w:r>
    </w:p>
    <w:p w14:paraId="1AAAD22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Consulting rooms</w:t>
      </w:r>
    </w:p>
    <w:p w14:paraId="264CC4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Day surgery centre</w:t>
      </w:r>
    </w:p>
    <w:p w14:paraId="6A1D8A1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Residential aged care facility</w:t>
      </w:r>
    </w:p>
    <w:p w14:paraId="0A47CD5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Patient’s home</w:t>
      </w:r>
    </w:p>
    <w:p w14:paraId="7F9DE19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Laboratory</w:t>
      </w:r>
    </w:p>
    <w:p w14:paraId="66E44D46"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A79DA">
        <w:rPr>
          <w:szCs w:val="20"/>
        </w:rPr>
      </w:r>
      <w:r w:rsidR="00DA79DA">
        <w:rPr>
          <w:szCs w:val="20"/>
        </w:rPr>
        <w:fldChar w:fldCharType="separate"/>
      </w:r>
      <w:r w:rsidRPr="000A5B32">
        <w:rPr>
          <w:szCs w:val="20"/>
        </w:rPr>
        <w:fldChar w:fldCharType="end"/>
      </w:r>
      <w:r>
        <w:rPr>
          <w:szCs w:val="20"/>
        </w:rPr>
        <w:t xml:space="preserve"> </w:t>
      </w:r>
      <w:r>
        <w:t>Other – please specify below</w:t>
      </w:r>
    </w:p>
    <w:p w14:paraId="5F75542A" w14:textId="177A1C5C" w:rsidR="005F3F07" w:rsidRDefault="000838D3" w:rsidP="0073597B">
      <w:pPr>
        <w:ind w:left="426"/>
        <w:rPr>
          <w:b/>
          <w:szCs w:val="20"/>
        </w:rPr>
      </w:pPr>
      <w:r>
        <w:t>The service must be provided in a hospital that has been clinically accepted as being a suitable hospital in which Medicare Item number 38495 may be performed.</w:t>
      </w:r>
      <w:r>
        <w:rPr>
          <w:rStyle w:val="FootnoteReference"/>
        </w:rPr>
        <w:footnoteReference w:id="10"/>
      </w:r>
    </w:p>
    <w:p w14:paraId="332AB204"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7FC065E" w14:textId="5EC8FFB5" w:rsidR="0073597B" w:rsidRDefault="000838D3" w:rsidP="0073597B">
      <w:pPr>
        <w:ind w:left="426"/>
        <w:rPr>
          <w:b/>
          <w:szCs w:val="20"/>
        </w:rPr>
      </w:pPr>
      <w:r>
        <w:t xml:space="preserve">The TAVI service may be provided in either a public or private hospital </w:t>
      </w:r>
      <w:r w:rsidR="00C54183">
        <w:t>provided</w:t>
      </w:r>
      <w:r>
        <w:t xml:space="preserve"> the hospital is clinically accepted as able to provide TAVI</w:t>
      </w:r>
    </w:p>
    <w:p w14:paraId="6A8CFF7D" w14:textId="77777777" w:rsidR="003E30FB" w:rsidRDefault="003E30FB" w:rsidP="00530204">
      <w:pPr>
        <w:pStyle w:val="Heading2"/>
      </w:pPr>
      <w:r>
        <w:t xml:space="preserve">Is the </w:t>
      </w:r>
      <w:r w:rsidRPr="001B29A1">
        <w:t>proposed</w:t>
      </w:r>
      <w:r>
        <w:t xml:space="preserve"> medical service intended to be entirely rendered in Australia?</w:t>
      </w:r>
    </w:p>
    <w:p w14:paraId="3E325938" w14:textId="5E7E8012" w:rsidR="000A478F" w:rsidRDefault="000838D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0A478F">
        <w:rPr>
          <w:szCs w:val="20"/>
        </w:rPr>
        <w:t xml:space="preserve"> Yes</w:t>
      </w:r>
    </w:p>
    <w:p w14:paraId="2C958805"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A79DA">
        <w:rPr>
          <w:szCs w:val="20"/>
        </w:rPr>
      </w:r>
      <w:r w:rsidR="00DA79DA">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F8FF703"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51042E11" w14:textId="77777777" w:rsidR="000A478F" w:rsidRDefault="000A478F" w:rsidP="00881F93">
      <w:pPr>
        <w:rPr>
          <w:b/>
          <w:i/>
          <w:szCs w:val="20"/>
          <w:u w:val="single"/>
        </w:rPr>
      </w:pPr>
      <w:r>
        <w:rPr>
          <w:b/>
          <w:i/>
          <w:szCs w:val="20"/>
          <w:u w:val="single"/>
        </w:rPr>
        <w:br w:type="page"/>
      </w:r>
    </w:p>
    <w:p w14:paraId="2868254F"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3E6C0717"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158CA75" w14:textId="185CB147" w:rsidR="00E60529" w:rsidRPr="00154B00" w:rsidRDefault="000838D3" w:rsidP="001B29A1">
      <w:pPr>
        <w:ind w:left="426"/>
        <w:rPr>
          <w:szCs w:val="20"/>
        </w:rPr>
      </w:pPr>
      <w:r>
        <w:t>The comparator is SAVR with a bioprosthesis or mechanical aortic valve. As with TAVI, it is not anticipated that other resources would be required at the same time other than those that are provided during the SAVR admission</w:t>
      </w:r>
    </w:p>
    <w:p w14:paraId="565BC0D2"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19011BB9" w14:textId="6AE47545" w:rsidR="006A1038" w:rsidRDefault="000838D3"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6A1038">
        <w:rPr>
          <w:szCs w:val="20"/>
        </w:rPr>
        <w:t xml:space="preserve"> Yes (please provide all relevant MBS item numbers below)</w:t>
      </w:r>
    </w:p>
    <w:p w14:paraId="5A913D1B" w14:textId="35436419" w:rsidR="000159B9" w:rsidRDefault="003B402C" w:rsidP="006A1038">
      <w:pPr>
        <w:spacing w:before="0" w:after="0"/>
        <w:ind w:left="426"/>
        <w:rPr>
          <w:szCs w:val="20"/>
        </w:rPr>
      </w:pPr>
      <w:r w:rsidRPr="003B402C">
        <w:rPr>
          <w:noProof/>
          <w:szCs w:val="20"/>
          <w:lang w:eastAsia="en-AU"/>
        </w:rPr>
        <mc:AlternateContent>
          <mc:Choice Requires="wps">
            <w:drawing>
              <wp:inline distT="0" distB="0" distL="0" distR="0" wp14:anchorId="0E98A6E2" wp14:editId="25382615">
                <wp:extent cx="5276850" cy="8763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76300"/>
                        </a:xfrm>
                        <a:prstGeom prst="rect">
                          <a:avLst/>
                        </a:prstGeom>
                        <a:solidFill>
                          <a:srgbClr val="FFFFFF"/>
                        </a:solidFill>
                        <a:ln w="9525">
                          <a:solidFill>
                            <a:srgbClr val="000000"/>
                          </a:solidFill>
                          <a:miter lim="800000"/>
                          <a:headEnd/>
                          <a:tailEnd/>
                        </a:ln>
                      </wps:spPr>
                      <wps:txbx>
                        <w:txbxContent>
                          <w:p w14:paraId="3A7A17BF" w14:textId="07009A5E" w:rsidR="00325F61" w:rsidRDefault="00325F61">
                            <w:pPr>
                              <w:rPr>
                                <w:b/>
                              </w:rPr>
                            </w:pPr>
                            <w:r w:rsidRPr="003B402C">
                              <w:rPr>
                                <w:b/>
                              </w:rPr>
                              <w:t>38488</w:t>
                            </w:r>
                          </w:p>
                          <w:p w14:paraId="03B16D74" w14:textId="77777777" w:rsidR="00325F61" w:rsidRPr="003B402C" w:rsidRDefault="00325F61" w:rsidP="003B402C">
                            <w:pPr>
                              <w:rPr>
                                <w:b/>
                              </w:rPr>
                            </w:pPr>
                            <w:r w:rsidRPr="003B402C">
                              <w:rPr>
                                <w:b/>
                              </w:rPr>
                              <w:t>VALVE REPLACEMENT with BIOPROSTHESIS OR MECHANICAL PROSTHESIS</w:t>
                            </w:r>
                          </w:p>
                          <w:p w14:paraId="3D2EB09C" w14:textId="5E245239" w:rsidR="00325F61" w:rsidRPr="003B402C" w:rsidRDefault="00325F61">
                            <w:pPr>
                              <w:rPr>
                                <w:b/>
                              </w:rPr>
                            </w:pPr>
                            <w:r w:rsidRPr="003B402C">
                              <w:rPr>
                                <w:b/>
                                <w:bCs/>
                              </w:rPr>
                              <w:t>Fee:</w:t>
                            </w:r>
                            <w:r w:rsidRPr="003B402C">
                              <w:rPr>
                                <w:b/>
                              </w:rPr>
                              <w:t> $1,909.60</w:t>
                            </w:r>
                          </w:p>
                          <w:p w14:paraId="2D072AC5" w14:textId="77777777" w:rsidR="00325F61" w:rsidRDefault="00325F61"/>
                        </w:txbxContent>
                      </wps:txbx>
                      <wps:bodyPr rot="0"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98A6E2" id="_x0000_t202" coordsize="21600,21600" o:spt="202" path="m,l,21600r21600,l21600,xe">
                <v:stroke joinstyle="miter"/>
                <v:path gradientshapeok="t" o:connecttype="rect"/>
              </v:shapetype>
              <v:shape id="Text Box 2" o:spid="_x0000_s1026" type="#_x0000_t202" style="width:415.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EAIwIAAEY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">
                <v:textbox>
                  <w:txbxContent>
                    <w:p w14:paraId="3A7A17BF" w14:textId="07009A5E" w:rsidR="00325F61" w:rsidRDefault="00325F61">
                      <w:pPr>
                        <w:rPr>
                          <w:b/>
                        </w:rPr>
                      </w:pPr>
                      <w:r w:rsidRPr="003B402C">
                        <w:rPr>
                          <w:b/>
                        </w:rPr>
                        <w:t>38488</w:t>
                      </w:r>
                    </w:p>
                    <w:p w14:paraId="03B16D74" w14:textId="77777777" w:rsidR="00325F61" w:rsidRPr="003B402C" w:rsidRDefault="00325F61" w:rsidP="003B402C">
                      <w:pPr>
                        <w:rPr>
                          <w:b/>
                        </w:rPr>
                      </w:pPr>
                      <w:r w:rsidRPr="003B402C">
                        <w:rPr>
                          <w:b/>
                        </w:rPr>
                        <w:t>VALVE REPLACEMENT with BIOPROSTHESIS OR MECHANICAL PROSTHESIS</w:t>
                      </w:r>
                    </w:p>
                    <w:p w14:paraId="3D2EB09C" w14:textId="5E245239" w:rsidR="00325F61" w:rsidRPr="003B402C" w:rsidRDefault="00325F61">
                      <w:pPr>
                        <w:rPr>
                          <w:b/>
                        </w:rPr>
                      </w:pPr>
                      <w:r w:rsidRPr="003B402C">
                        <w:rPr>
                          <w:b/>
                          <w:bCs/>
                        </w:rPr>
                        <w:t>Fee:</w:t>
                      </w:r>
                      <w:r w:rsidRPr="003B402C">
                        <w:rPr>
                          <w:b/>
                        </w:rPr>
                        <w:t> $1,909.60</w:t>
                      </w:r>
                    </w:p>
                    <w:p w14:paraId="2D072AC5" w14:textId="77777777" w:rsidR="00325F61" w:rsidRDefault="00325F61"/>
                  </w:txbxContent>
                </v:textbox>
                <w10:anchorlock/>
              </v:shape>
            </w:pict>
          </mc:Fallback>
        </mc:AlternateContent>
      </w:r>
      <w:r w:rsidR="006A1038" w:rsidRPr="00753C44">
        <w:rPr>
          <w:szCs w:val="20"/>
        </w:rPr>
        <w:fldChar w:fldCharType="begin">
          <w:ffData>
            <w:name w:val="Check2"/>
            <w:enabled/>
            <w:calcOnExit w:val="0"/>
            <w:checkBox>
              <w:sizeAuto/>
              <w:default w:val="0"/>
            </w:checkBox>
          </w:ffData>
        </w:fldChar>
      </w:r>
      <w:r w:rsidR="006A1038" w:rsidRPr="00753C44">
        <w:rPr>
          <w:szCs w:val="20"/>
        </w:rPr>
        <w:instrText xml:space="preserve"> FORMCHECKBOX </w:instrText>
      </w:r>
      <w:r w:rsidR="00DA79DA">
        <w:rPr>
          <w:szCs w:val="20"/>
        </w:rPr>
      </w:r>
      <w:r w:rsidR="00DA79DA">
        <w:rPr>
          <w:szCs w:val="20"/>
        </w:rPr>
        <w:fldChar w:fldCharType="separate"/>
      </w:r>
      <w:r w:rsidR="006A1038" w:rsidRPr="00753C44">
        <w:rPr>
          <w:szCs w:val="20"/>
        </w:rPr>
        <w:fldChar w:fldCharType="end"/>
      </w:r>
      <w:r w:rsidR="006A1038">
        <w:rPr>
          <w:szCs w:val="20"/>
        </w:rPr>
        <w:t xml:space="preserve"> No  </w:t>
      </w:r>
    </w:p>
    <w:p w14:paraId="10E217CB" w14:textId="7563E02E" w:rsidR="000159B9" w:rsidRPr="00154B00" w:rsidRDefault="003B402C" w:rsidP="001B29A1">
      <w:pPr>
        <w:ind w:left="426"/>
        <w:rPr>
          <w:szCs w:val="20"/>
        </w:rPr>
      </w:pPr>
      <w:r w:rsidRPr="003B402C">
        <w:rPr>
          <w:noProof/>
          <w:szCs w:val="20"/>
          <w:lang w:eastAsia="en-AU"/>
        </w:rPr>
        <mc:AlternateContent>
          <mc:Choice Requires="wps">
            <w:drawing>
              <wp:inline distT="0" distB="0" distL="0" distR="0" wp14:anchorId="499D35D0" wp14:editId="517D04DC">
                <wp:extent cx="5276850" cy="8858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85825"/>
                        </a:xfrm>
                        <a:prstGeom prst="rect">
                          <a:avLst/>
                        </a:prstGeom>
                        <a:solidFill>
                          <a:srgbClr val="FFFFFF"/>
                        </a:solidFill>
                        <a:ln w="9525">
                          <a:solidFill>
                            <a:srgbClr val="000000"/>
                          </a:solidFill>
                          <a:miter lim="800000"/>
                          <a:headEnd/>
                          <a:tailEnd/>
                        </a:ln>
                      </wps:spPr>
                      <wps:txbx>
                        <w:txbxContent>
                          <w:p w14:paraId="4C1F8795" w14:textId="2DABF7E8" w:rsidR="00325F61" w:rsidRPr="003B402C" w:rsidRDefault="00325F61">
                            <w:pPr>
                              <w:rPr>
                                <w:b/>
                              </w:rPr>
                            </w:pPr>
                            <w:r w:rsidRPr="003B402C">
                              <w:rPr>
                                <w:b/>
                              </w:rPr>
                              <w:t>38489</w:t>
                            </w:r>
                          </w:p>
                          <w:p w14:paraId="3DD5FFAB" w14:textId="77777777" w:rsidR="00325F61" w:rsidRPr="003B402C" w:rsidRDefault="00325F61" w:rsidP="003B402C">
                            <w:pPr>
                              <w:rPr>
                                <w:b/>
                              </w:rPr>
                            </w:pPr>
                            <w:r w:rsidRPr="003B402C">
                              <w:rPr>
                                <w:b/>
                              </w:rPr>
                              <w:t>VALVE REPLACEMENT with allograft (subcoronary or cylindrical implant), or unstented xenograft</w:t>
                            </w:r>
                          </w:p>
                          <w:p w14:paraId="7B4E0D52" w14:textId="2E7B4C97" w:rsidR="00325F61" w:rsidRPr="003B402C" w:rsidRDefault="00325F61" w:rsidP="003B402C">
                            <w:pPr>
                              <w:rPr>
                                <w:b/>
                              </w:rPr>
                            </w:pPr>
                            <w:r w:rsidRPr="003B402C">
                              <w:rPr>
                                <w:b/>
                                <w:bCs/>
                              </w:rPr>
                              <w:t>Fee:</w:t>
                            </w:r>
                            <w:r w:rsidRPr="003B402C">
                              <w:rPr>
                                <w:b/>
                              </w:rPr>
                              <w:t> $2,271.05 </w:t>
                            </w:r>
                          </w:p>
                          <w:p w14:paraId="39525779" w14:textId="77777777" w:rsidR="00325F61" w:rsidRDefault="00325F61"/>
                        </w:txbxContent>
                      </wps:txbx>
                      <wps:bodyPr rot="0"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9D35D0" id="_x0000_s1027" type="#_x0000_t202" style="width:41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">
                <v:textbox>
                  <w:txbxContent>
                    <w:p w14:paraId="4C1F8795" w14:textId="2DABF7E8" w:rsidR="00325F61" w:rsidRPr="003B402C" w:rsidRDefault="00325F61">
                      <w:pPr>
                        <w:rPr>
                          <w:b/>
                        </w:rPr>
                      </w:pPr>
                      <w:r w:rsidRPr="003B402C">
                        <w:rPr>
                          <w:b/>
                        </w:rPr>
                        <w:t>38489</w:t>
                      </w:r>
                    </w:p>
                    <w:p w14:paraId="3DD5FFAB" w14:textId="77777777" w:rsidR="00325F61" w:rsidRPr="003B402C" w:rsidRDefault="00325F61" w:rsidP="003B402C">
                      <w:pPr>
                        <w:rPr>
                          <w:b/>
                        </w:rPr>
                      </w:pPr>
                      <w:r w:rsidRPr="003B402C">
                        <w:rPr>
                          <w:b/>
                        </w:rPr>
                        <w:t>VALVE REPLACEMENT with allograft (subcoronary or cylindrical implant), or unstented xenograft</w:t>
                      </w:r>
                    </w:p>
                    <w:p w14:paraId="7B4E0D52" w14:textId="2E7B4C97" w:rsidR="00325F61" w:rsidRPr="003B402C" w:rsidRDefault="00325F61" w:rsidP="003B402C">
                      <w:pPr>
                        <w:rPr>
                          <w:b/>
                        </w:rPr>
                      </w:pPr>
                      <w:r w:rsidRPr="003B402C">
                        <w:rPr>
                          <w:b/>
                          <w:bCs/>
                        </w:rPr>
                        <w:t>Fee:</w:t>
                      </w:r>
                      <w:r w:rsidRPr="003B402C">
                        <w:rPr>
                          <w:b/>
                        </w:rPr>
                        <w:t> $2,271.05 </w:t>
                      </w:r>
                    </w:p>
                    <w:p w14:paraId="39525779" w14:textId="77777777" w:rsidR="00325F61" w:rsidRDefault="00325F61"/>
                  </w:txbxContent>
                </v:textbox>
                <w10:anchorlock/>
              </v:shape>
            </w:pict>
          </mc:Fallback>
        </mc:AlternateContent>
      </w:r>
    </w:p>
    <w:p w14:paraId="4CB77833"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358B11DF" w14:textId="11BEAA80" w:rsidR="003433D1" w:rsidRDefault="00DF2299" w:rsidP="00DF2299">
      <w:pPr>
        <w:ind w:left="360"/>
        <w:rPr>
          <w:b/>
          <w:szCs w:val="20"/>
        </w:rPr>
      </w:pPr>
      <w:r>
        <w:t xml:space="preserve">Patients receiving SAVR </w:t>
      </w:r>
      <w:r w:rsidR="00AB4B84">
        <w:t>will receive an echocardiogram at one month, 6 months and at 3 years.  Complications of SAVR include stroke, heart failure, permanent pacemaker implantation, and other cardiovascular events.  If these events occur, patients will receive the customary treatment and follow-up. It is also possible that a re-operation will be needed, although this is rare.  Subsequent re-operation may be TAVI or SAVR</w:t>
      </w:r>
      <w:r w:rsidR="0046738D">
        <w:t>. Please see the attached ‘Clinical Pathway after SAVR</w:t>
      </w:r>
    </w:p>
    <w:p w14:paraId="33396D95" w14:textId="06EDE10A" w:rsidR="00A83EC6"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EDEF3B4" w14:textId="3CAC3092" w:rsidR="00AB4B84" w:rsidRPr="00AB4B84" w:rsidRDefault="00AB4B84" w:rsidP="00AB4B84">
      <w:pPr>
        <w:ind w:left="360"/>
      </w:pPr>
      <w:r>
        <w:t>It will be instead of the nominated comparator</w:t>
      </w:r>
    </w:p>
    <w:p w14:paraId="3D2DB13D"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A79DA">
        <w:rPr>
          <w:szCs w:val="20"/>
        </w:rPr>
      </w:r>
      <w:r w:rsidR="00DA79DA">
        <w:rPr>
          <w:szCs w:val="20"/>
        </w:rPr>
        <w:fldChar w:fldCharType="separate"/>
      </w:r>
      <w:r w:rsidRPr="00753C44">
        <w:rPr>
          <w:szCs w:val="20"/>
        </w:rPr>
        <w:fldChar w:fldCharType="end"/>
      </w:r>
      <w:r>
        <w:rPr>
          <w:szCs w:val="20"/>
        </w:rPr>
        <w:t xml:space="preserve"> Yes </w:t>
      </w:r>
    </w:p>
    <w:p w14:paraId="1CF54F46"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A79DA">
        <w:rPr>
          <w:szCs w:val="20"/>
        </w:rPr>
      </w:r>
      <w:r w:rsidR="00DA79DA">
        <w:rPr>
          <w:szCs w:val="20"/>
        </w:rPr>
        <w:fldChar w:fldCharType="separate"/>
      </w:r>
      <w:r w:rsidRPr="00753C44">
        <w:rPr>
          <w:szCs w:val="20"/>
        </w:rPr>
        <w:fldChar w:fldCharType="end"/>
      </w:r>
      <w:r>
        <w:rPr>
          <w:szCs w:val="20"/>
        </w:rPr>
        <w:t xml:space="preserve"> No  </w:t>
      </w:r>
    </w:p>
    <w:p w14:paraId="09EEE94E"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D7903A5" w14:textId="06A419A6" w:rsidR="003433D1" w:rsidRPr="001B29A1" w:rsidRDefault="00C66BBF" w:rsidP="001B29A1">
      <w:pPr>
        <w:ind w:left="426"/>
        <w:rPr>
          <w:szCs w:val="20"/>
        </w:rPr>
      </w:pPr>
      <w:r>
        <w:rPr>
          <w:szCs w:val="20"/>
        </w:rPr>
        <w:t>It is estimated that as many as 80 percent of intermediate risk patients may access TAVI, should the service be included on the MBS. Please see Questions 49 and 50 for further information.</w:t>
      </w:r>
    </w:p>
    <w:p w14:paraId="168D8E29"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F937DBB" w14:textId="7EB56DC1" w:rsidR="0054594B" w:rsidRDefault="00B52F91" w:rsidP="00D10B47">
      <w:pPr>
        <w:pStyle w:val="ListParagraph"/>
        <w:ind w:left="360"/>
        <w:rPr>
          <w:b/>
          <w:szCs w:val="20"/>
        </w:rPr>
      </w:pPr>
      <w:r>
        <w:t xml:space="preserve">The clinical pathway will be </w:t>
      </w:r>
      <w:r w:rsidR="000037DC">
        <w:t xml:space="preserve">essentially </w:t>
      </w:r>
      <w:r>
        <w:t xml:space="preserve">the same after TAVI as it is for SAVR however survival at one year is higher for TAVI (92.6% vs 87%), major stroke is lower for TAVI (2.3% vs 5.9%) but pacemaker implantation </w:t>
      </w:r>
      <w:r>
        <w:lastRenderedPageBreak/>
        <w:t>is slightly higher (12.4% vs 9.4%)</w:t>
      </w:r>
      <w:r w:rsidR="000E6705">
        <w:rPr>
          <w:rStyle w:val="FootnoteReference"/>
        </w:rPr>
        <w:footnoteReference w:id="11"/>
      </w:r>
      <w:r w:rsidR="000037DC">
        <w:t xml:space="preserve">. It should also be noted that SAVR, as on open chest procedure necessarily </w:t>
      </w:r>
      <w:r w:rsidR="00AA7A6C">
        <w:t>will involve a longer hospital stay, including longer ICU/high dependency unit time than TAVI. Recovery time is also likely to be longer.</w:t>
      </w:r>
    </w:p>
    <w:p w14:paraId="684B49AB" w14:textId="77777777" w:rsidR="002053F2" w:rsidRPr="00154B00" w:rsidRDefault="002053F2" w:rsidP="00D10B47">
      <w:pPr>
        <w:pStyle w:val="ListParagraph"/>
        <w:ind w:left="360"/>
        <w:rPr>
          <w:b/>
          <w:szCs w:val="20"/>
        </w:rPr>
      </w:pPr>
    </w:p>
    <w:p w14:paraId="2B56240D" w14:textId="77777777" w:rsidR="001B29A1" w:rsidRDefault="001B29A1" w:rsidP="00881F93">
      <w:pPr>
        <w:rPr>
          <w:b/>
          <w:i/>
          <w:szCs w:val="20"/>
          <w:u w:val="single"/>
        </w:rPr>
      </w:pPr>
      <w:r>
        <w:rPr>
          <w:b/>
          <w:i/>
          <w:szCs w:val="20"/>
          <w:u w:val="single"/>
        </w:rPr>
        <w:br w:type="page"/>
      </w:r>
    </w:p>
    <w:p w14:paraId="22B1D506"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1B4619E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B5C7AC6" w14:textId="2D7742D1" w:rsidR="004E3CC7" w:rsidRPr="00154B00" w:rsidRDefault="0082616B" w:rsidP="001B29A1">
      <w:pPr>
        <w:ind w:left="426"/>
        <w:rPr>
          <w:szCs w:val="20"/>
        </w:rPr>
      </w:pPr>
      <w:r>
        <w:t xml:space="preserve">TAVI is superior to SAVR in patients with symptomatic severe aortic stenosis of intermediate risk of surgery in terms of overall </w:t>
      </w:r>
      <w:r w:rsidR="000F5D2C">
        <w:t>survival</w:t>
      </w:r>
      <w:r w:rsidR="0046738D">
        <w:t xml:space="preserve"> and</w:t>
      </w:r>
      <w:r w:rsidR="000F5D2C">
        <w:t xml:space="preserve"> incidence of disabling stroke. TAVI</w:t>
      </w:r>
      <w:r w:rsidR="0046738D">
        <w:t xml:space="preserve"> also</w:t>
      </w:r>
      <w:r w:rsidR="000F5D2C">
        <w:t xml:space="preserve"> results in significantly lower rates for new onset atrial fibrillation (AF), major bleeding events and renal failure</w:t>
      </w:r>
    </w:p>
    <w:p w14:paraId="55DEDF30"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2250595" w14:textId="5BE980CA" w:rsidR="001B29A1" w:rsidRPr="001B29A1" w:rsidRDefault="0082616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A79DA">
        <w:rPr>
          <w:szCs w:val="20"/>
        </w:rPr>
      </w:r>
      <w:r w:rsidR="00DA79DA">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41541A78"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Non-inferiority</w:t>
      </w:r>
      <w:r w:rsidRPr="001B29A1">
        <w:rPr>
          <w:szCs w:val="20"/>
        </w:rPr>
        <w:tab/>
      </w:r>
    </w:p>
    <w:p w14:paraId="5288324D"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4DFEA377" w14:textId="013D8E1F"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181E346" w14:textId="07804D4F"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Major Stroke</w:t>
      </w:r>
    </w:p>
    <w:p w14:paraId="60229741" w14:textId="4DB6B6DC"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New onset AF</w:t>
      </w:r>
    </w:p>
    <w:p w14:paraId="7591F899" w14:textId="3B15409D"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New permanent pacemaker</w:t>
      </w:r>
    </w:p>
    <w:p w14:paraId="395CAC6A" w14:textId="69028DD7"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Major bleeding events</w:t>
      </w:r>
    </w:p>
    <w:p w14:paraId="22085583" w14:textId="3FEF07FE"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Major vascular complications</w:t>
      </w:r>
    </w:p>
    <w:p w14:paraId="50126EBE" w14:textId="1FB11792" w:rsidR="000F5D2C" w:rsidRDefault="000F5D2C" w:rsidP="001B29A1">
      <w:pPr>
        <w:pBdr>
          <w:top w:val="single" w:sz="4" w:space="1" w:color="auto"/>
          <w:left w:val="single" w:sz="4" w:space="4" w:color="auto"/>
          <w:bottom w:val="single" w:sz="4" w:space="1" w:color="auto"/>
          <w:right w:val="single" w:sz="4" w:space="4" w:color="auto"/>
        </w:pBdr>
        <w:rPr>
          <w:b/>
          <w:szCs w:val="20"/>
        </w:rPr>
      </w:pPr>
      <w:r>
        <w:rPr>
          <w:b/>
          <w:szCs w:val="20"/>
        </w:rPr>
        <w:t>Renal Failure</w:t>
      </w:r>
    </w:p>
    <w:p w14:paraId="3CD1F0DC"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5D11FF96" w14:textId="638E7707"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6B792341" w14:textId="0D052EEA" w:rsidR="000F5D2C" w:rsidRDefault="000F5D2C" w:rsidP="001B29A1">
      <w:pPr>
        <w:pBdr>
          <w:top w:val="single" w:sz="4" w:space="1" w:color="auto"/>
          <w:left w:val="single" w:sz="4" w:space="4" w:color="auto"/>
          <w:bottom w:val="single" w:sz="4" w:space="1" w:color="auto"/>
          <w:right w:val="single" w:sz="4" w:space="4" w:color="auto"/>
        </w:pBdr>
        <w:rPr>
          <w:szCs w:val="20"/>
        </w:rPr>
      </w:pPr>
      <w:r>
        <w:rPr>
          <w:szCs w:val="20"/>
        </w:rPr>
        <w:t xml:space="preserve">Overall Survival </w:t>
      </w:r>
    </w:p>
    <w:p w14:paraId="1AE58E7E" w14:textId="06728DC5" w:rsidR="000F5D2C" w:rsidRPr="001B29A1" w:rsidRDefault="000F5D2C" w:rsidP="001B29A1">
      <w:pPr>
        <w:pBdr>
          <w:top w:val="single" w:sz="4" w:space="1" w:color="auto"/>
          <w:left w:val="single" w:sz="4" w:space="4" w:color="auto"/>
          <w:bottom w:val="single" w:sz="4" w:space="1" w:color="auto"/>
          <w:right w:val="single" w:sz="4" w:space="4" w:color="auto"/>
        </w:pBdr>
        <w:rPr>
          <w:szCs w:val="20"/>
        </w:rPr>
      </w:pPr>
      <w:r>
        <w:rPr>
          <w:szCs w:val="20"/>
        </w:rPr>
        <w:t>Quality of Life</w:t>
      </w:r>
    </w:p>
    <w:p w14:paraId="16870B44"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5C7E726"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0FB8687" w14:textId="5555CDEE"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A614A2A" w14:textId="46E2A4DB" w:rsidR="00EE20FA" w:rsidRDefault="00837987" w:rsidP="00133F25">
      <w:pPr>
        <w:ind w:left="426"/>
      </w:pPr>
      <w:r>
        <w:t xml:space="preserve">Osnabrugge estimated that 3.4% of the population over 75 years would have severe AS. Of those, 75.6% would be symptomatic. </w:t>
      </w:r>
      <w:r w:rsidR="00133F25">
        <w:t>It is estimated that 15.8% of patients with severe symptomatic AS are at intermediate risk of surgery.</w:t>
      </w:r>
      <w:r w:rsidR="00133F25">
        <w:rPr>
          <w:rStyle w:val="FootnoteReference"/>
        </w:rPr>
        <w:footnoteReference w:id="12"/>
      </w:r>
      <w:r>
        <w:t xml:space="preserve"> </w:t>
      </w:r>
      <w:r w:rsidR="00AA7A6C">
        <w:t xml:space="preserve"> Thourani et al </w:t>
      </w:r>
      <w:r w:rsidR="00AA7A6C">
        <w:rPr>
          <w:rStyle w:val="FootnoteReference"/>
        </w:rPr>
        <w:footnoteReference w:id="13"/>
      </w:r>
      <w:r w:rsidR="00AA7A6C">
        <w:t xml:space="preserve"> estimated from the STS data set that 13.9% of patients who underwent SAVR were of intermediate risk. Assuming the higher Osnabrugge figure of 15.8%,</w:t>
      </w:r>
      <w:r>
        <w:t xml:space="preserve"> we can estimate the number of intermediate risk patients who would be eligible for TAVI.  To not underestimate the population, it will be assumed that the same risk identified in the over 75 population exists in the over 65 population.</w:t>
      </w:r>
    </w:p>
    <w:p w14:paraId="3C0AEBE5" w14:textId="534B1821" w:rsidR="00BE7973" w:rsidRPr="00D16F23" w:rsidRDefault="00D16F23" w:rsidP="00133F25">
      <w:pPr>
        <w:ind w:left="426"/>
        <w:rPr>
          <w:b/>
        </w:rPr>
      </w:pPr>
      <w:r w:rsidRPr="00D16F23">
        <w:rPr>
          <w:b/>
        </w:rPr>
        <w:t xml:space="preserve">Australian </w:t>
      </w:r>
      <w:r w:rsidR="00BE7973" w:rsidRPr="00D16F23">
        <w:rPr>
          <w:b/>
        </w:rPr>
        <w:t>population</w:t>
      </w:r>
      <w:r w:rsidRPr="00D16F23">
        <w:rPr>
          <w:b/>
        </w:rPr>
        <w:t xml:space="preserve"> over 65 years</w:t>
      </w:r>
      <w:r w:rsidR="0046738D">
        <w:rPr>
          <w:rStyle w:val="FootnoteReference"/>
          <w:b/>
        </w:rPr>
        <w:footnoteReference w:id="14"/>
      </w:r>
    </w:p>
    <w:tbl>
      <w:tblPr>
        <w:tblStyle w:val="TableGrid"/>
        <w:tblW w:w="0" w:type="auto"/>
        <w:tblInd w:w="426" w:type="dxa"/>
        <w:tblLook w:val="04A0" w:firstRow="1" w:lastRow="0" w:firstColumn="1" w:lastColumn="0" w:noHBand="0" w:noVBand="1"/>
        <w:tblCaption w:val="Question 46 table"/>
        <w:tblDescription w:val="Table showing Australian population over 65 years"/>
      </w:tblPr>
      <w:tblGrid>
        <w:gridCol w:w="2155"/>
        <w:gridCol w:w="2145"/>
        <w:gridCol w:w="2145"/>
        <w:gridCol w:w="2145"/>
      </w:tblGrid>
      <w:tr w:rsidR="00D16F23" w14:paraId="73B18BF3" w14:textId="77777777" w:rsidTr="000D5B57">
        <w:trPr>
          <w:tblHeader/>
        </w:trPr>
        <w:tc>
          <w:tcPr>
            <w:tcW w:w="2155" w:type="dxa"/>
          </w:tcPr>
          <w:p w14:paraId="67B0B3B7" w14:textId="52A9A5D2" w:rsidR="00D16F23" w:rsidRPr="00D16F23" w:rsidRDefault="00D16F23" w:rsidP="00D16F23">
            <w:pPr>
              <w:jc w:val="center"/>
              <w:rPr>
                <w:b/>
              </w:rPr>
            </w:pPr>
          </w:p>
        </w:tc>
        <w:tc>
          <w:tcPr>
            <w:tcW w:w="2145" w:type="dxa"/>
            <w:shd w:val="clear" w:color="auto" w:fill="D9D9D9" w:themeFill="background1" w:themeFillShade="D9"/>
          </w:tcPr>
          <w:p w14:paraId="00EB5FE8" w14:textId="402D5172" w:rsidR="00D16F23" w:rsidRPr="00D16F23" w:rsidRDefault="00D16F23" w:rsidP="00D16F23">
            <w:pPr>
              <w:jc w:val="center"/>
              <w:rPr>
                <w:b/>
              </w:rPr>
            </w:pPr>
            <w:r w:rsidRPr="00D16F23">
              <w:rPr>
                <w:b/>
              </w:rPr>
              <w:t>2017</w:t>
            </w:r>
          </w:p>
        </w:tc>
        <w:tc>
          <w:tcPr>
            <w:tcW w:w="2145" w:type="dxa"/>
            <w:shd w:val="clear" w:color="auto" w:fill="D9D9D9" w:themeFill="background1" w:themeFillShade="D9"/>
          </w:tcPr>
          <w:p w14:paraId="60CAF463" w14:textId="079A44C3" w:rsidR="00D16F23" w:rsidRPr="00D16F23" w:rsidRDefault="00D16F23" w:rsidP="00D16F23">
            <w:pPr>
              <w:jc w:val="center"/>
              <w:rPr>
                <w:b/>
              </w:rPr>
            </w:pPr>
            <w:r w:rsidRPr="00D16F23">
              <w:rPr>
                <w:b/>
              </w:rPr>
              <w:t>2018</w:t>
            </w:r>
          </w:p>
        </w:tc>
        <w:tc>
          <w:tcPr>
            <w:tcW w:w="2145" w:type="dxa"/>
            <w:shd w:val="clear" w:color="auto" w:fill="D9D9D9" w:themeFill="background1" w:themeFillShade="D9"/>
          </w:tcPr>
          <w:p w14:paraId="650E6124" w14:textId="01685D22" w:rsidR="00D16F23" w:rsidRPr="00D16F23" w:rsidRDefault="00D16F23" w:rsidP="00D16F23">
            <w:pPr>
              <w:jc w:val="center"/>
              <w:rPr>
                <w:b/>
              </w:rPr>
            </w:pPr>
            <w:r w:rsidRPr="00D16F23">
              <w:rPr>
                <w:b/>
              </w:rPr>
              <w:t>2019</w:t>
            </w:r>
          </w:p>
        </w:tc>
      </w:tr>
      <w:tr w:rsidR="00D16F23" w14:paraId="282B794E" w14:textId="77777777" w:rsidTr="00D16F23">
        <w:tc>
          <w:tcPr>
            <w:tcW w:w="2155" w:type="dxa"/>
            <w:shd w:val="clear" w:color="auto" w:fill="D9D9D9" w:themeFill="background1" w:themeFillShade="D9"/>
          </w:tcPr>
          <w:p w14:paraId="7D52DC5D" w14:textId="775C4DF6" w:rsidR="00D16F23" w:rsidRPr="00D16F23" w:rsidRDefault="00D16F23" w:rsidP="00D16F23">
            <w:pPr>
              <w:jc w:val="center"/>
              <w:rPr>
                <w:b/>
              </w:rPr>
            </w:pPr>
            <w:r w:rsidRPr="00D16F23">
              <w:rPr>
                <w:b/>
              </w:rPr>
              <w:t>Australian Population over 65 years of age</w:t>
            </w:r>
          </w:p>
        </w:tc>
        <w:tc>
          <w:tcPr>
            <w:tcW w:w="2145" w:type="dxa"/>
          </w:tcPr>
          <w:p w14:paraId="6EDCDBFC" w14:textId="6822C328" w:rsidR="00D16F23" w:rsidRPr="00D16F23" w:rsidRDefault="00D16F23" w:rsidP="00D16F23">
            <w:pPr>
              <w:jc w:val="center"/>
              <w:rPr>
                <w:b/>
              </w:rPr>
            </w:pPr>
            <w:r w:rsidRPr="00D16F23">
              <w:rPr>
                <w:b/>
              </w:rPr>
              <w:t>3,804,770</w:t>
            </w:r>
          </w:p>
        </w:tc>
        <w:tc>
          <w:tcPr>
            <w:tcW w:w="2145" w:type="dxa"/>
          </w:tcPr>
          <w:p w14:paraId="29F04AA9" w14:textId="050DFF43" w:rsidR="00D16F23" w:rsidRPr="00D16F23" w:rsidRDefault="00D16F23" w:rsidP="00D16F23">
            <w:pPr>
              <w:jc w:val="center"/>
              <w:rPr>
                <w:b/>
              </w:rPr>
            </w:pPr>
            <w:r w:rsidRPr="00D16F23">
              <w:rPr>
                <w:b/>
              </w:rPr>
              <w:t>3,929,281</w:t>
            </w:r>
          </w:p>
        </w:tc>
        <w:tc>
          <w:tcPr>
            <w:tcW w:w="2145" w:type="dxa"/>
          </w:tcPr>
          <w:p w14:paraId="026CEF78" w14:textId="4D55AC2F" w:rsidR="00D16F23" w:rsidRPr="00D16F23" w:rsidRDefault="00D16F23" w:rsidP="00D16F23">
            <w:pPr>
              <w:jc w:val="center"/>
              <w:rPr>
                <w:b/>
              </w:rPr>
            </w:pPr>
            <w:r w:rsidRPr="00D16F23">
              <w:rPr>
                <w:b/>
              </w:rPr>
              <w:t>4,053,834</w:t>
            </w:r>
          </w:p>
        </w:tc>
      </w:tr>
    </w:tbl>
    <w:p w14:paraId="641F1513" w14:textId="77777777" w:rsidR="00D16F23" w:rsidRDefault="00D16F23" w:rsidP="00D16F23">
      <w:pPr>
        <w:ind w:left="426"/>
        <w:rPr>
          <w:szCs w:val="20"/>
        </w:rPr>
      </w:pPr>
    </w:p>
    <w:p w14:paraId="7F38A1FD" w14:textId="7F39B699" w:rsidR="00D16F23" w:rsidRDefault="00D16F23" w:rsidP="00D16F23">
      <w:pPr>
        <w:ind w:left="426"/>
        <w:rPr>
          <w:szCs w:val="20"/>
        </w:rPr>
      </w:pPr>
      <w:r>
        <w:rPr>
          <w:szCs w:val="20"/>
        </w:rPr>
        <w:t>An estimate of the number of patients who would be eligible for the proposed service can be made from the number of MBS item numbers that have been claimed for SAVR procedures. TAVI became available on the MBS in November 2017.  This is likely to reduce the overall population that will receive SAVR past this date.  Therefore, Medicare statistics prior to November 2017 have been accessed to avoid underestimating the population</w:t>
      </w:r>
    </w:p>
    <w:p w14:paraId="0C7A6FC0" w14:textId="77777777" w:rsidR="00A006A6" w:rsidRDefault="00D16F23" w:rsidP="00D16F23">
      <w:pPr>
        <w:ind w:left="426"/>
        <w:rPr>
          <w:szCs w:val="20"/>
        </w:rPr>
      </w:pPr>
      <w:r>
        <w:rPr>
          <w:szCs w:val="20"/>
        </w:rPr>
        <w:t>In the year from Quarter 4 2016 to end Quarter 3 2017 MBS Item 38488 was claimed 2601 times and MBS Item 38489 was claimed 90 times. 80% of these patients were over 65 years old and likely to be eligible for TAVI.</w:t>
      </w:r>
      <w:r>
        <w:rPr>
          <w:rStyle w:val="FootnoteReference"/>
          <w:szCs w:val="20"/>
        </w:rPr>
        <w:footnoteReference w:id="15"/>
      </w:r>
      <w:r>
        <w:rPr>
          <w:szCs w:val="20"/>
        </w:rPr>
        <w:t xml:space="preserve"> </w:t>
      </w:r>
    </w:p>
    <w:p w14:paraId="454009E3" w14:textId="39CFC1AA" w:rsidR="00877C92" w:rsidRDefault="00A006A6" w:rsidP="00D16F23">
      <w:pPr>
        <w:ind w:left="426"/>
        <w:rPr>
          <w:szCs w:val="20"/>
        </w:rPr>
      </w:pPr>
      <w:r>
        <w:rPr>
          <w:szCs w:val="20"/>
        </w:rPr>
        <w:t>According to Australian Institute of Health and Welfare statistics</w:t>
      </w:r>
      <w:r w:rsidR="002C7453">
        <w:rPr>
          <w:rStyle w:val="FootnoteReference"/>
          <w:szCs w:val="20"/>
        </w:rPr>
        <w:footnoteReference w:id="16"/>
      </w:r>
      <w:r>
        <w:rPr>
          <w:szCs w:val="20"/>
        </w:rPr>
        <w:t>, 926 patients received TAVI in Australia</w:t>
      </w:r>
      <w:r w:rsidR="00FE1F97">
        <w:rPr>
          <w:szCs w:val="20"/>
        </w:rPr>
        <w:t xml:space="preserve"> during 2015/2016</w:t>
      </w:r>
      <w:r>
        <w:rPr>
          <w:szCs w:val="20"/>
        </w:rPr>
        <w:t>.  As TAVI was not included on the MBS at that time, these procedures were more likely to have been performed in the public sector.  It is possible that some of these patients would have been treated in private hospitals should the option have been available. To avoid underestimation of the population</w:t>
      </w:r>
      <w:r w:rsidR="00877C92">
        <w:rPr>
          <w:szCs w:val="20"/>
        </w:rPr>
        <w:t>, it is assumed that all these patients would have been treated in the private sector if TAVI had been available</w:t>
      </w:r>
      <w:r w:rsidR="00362EC4">
        <w:rPr>
          <w:szCs w:val="20"/>
        </w:rPr>
        <w:t>.</w:t>
      </w:r>
    </w:p>
    <w:p w14:paraId="3AAB5CC6" w14:textId="13E0BC3D" w:rsidR="00D16F23" w:rsidRDefault="00D16F23" w:rsidP="00D16F23">
      <w:pPr>
        <w:ind w:left="426"/>
        <w:rPr>
          <w:szCs w:val="20"/>
        </w:rPr>
      </w:pPr>
      <w:r>
        <w:rPr>
          <w:szCs w:val="20"/>
        </w:rPr>
        <w:t xml:space="preserve">The following estimates are made using the utilisation of MBS item numbers 38488 and 38489 as a proportion of the population over 65. </w:t>
      </w:r>
      <w:r w:rsidR="00362EC4">
        <w:rPr>
          <w:szCs w:val="20"/>
        </w:rPr>
        <w:t xml:space="preserve">The same methodology is applied to TAVI procedures. </w:t>
      </w:r>
      <w:r>
        <w:rPr>
          <w:szCs w:val="20"/>
        </w:rPr>
        <w:t>Only 80% of patients receiving SAVR under these item numbers are 65 or older so this is likely to be a conservative estimate.</w:t>
      </w:r>
    </w:p>
    <w:tbl>
      <w:tblPr>
        <w:tblStyle w:val="TableGrid"/>
        <w:tblW w:w="0" w:type="auto"/>
        <w:tblInd w:w="426" w:type="dxa"/>
        <w:tblLook w:val="04A0" w:firstRow="1" w:lastRow="0" w:firstColumn="1" w:lastColumn="0" w:noHBand="0" w:noVBand="1"/>
        <w:tblCaption w:val="Question 46"/>
        <w:tblDescription w:val="Table showing estimate of the number of patients who would be eligible for the proposed service"/>
      </w:tblPr>
      <w:tblGrid>
        <w:gridCol w:w="816"/>
        <w:gridCol w:w="1534"/>
        <w:gridCol w:w="1174"/>
        <w:gridCol w:w="1341"/>
        <w:gridCol w:w="1225"/>
        <w:gridCol w:w="1276"/>
        <w:gridCol w:w="1224"/>
      </w:tblGrid>
      <w:tr w:rsidR="00362EC4" w14:paraId="58FC8A8A" w14:textId="73BAB5DC" w:rsidTr="000D5B57">
        <w:trPr>
          <w:tblHeader/>
        </w:trPr>
        <w:tc>
          <w:tcPr>
            <w:tcW w:w="816" w:type="dxa"/>
          </w:tcPr>
          <w:p w14:paraId="3AD1C11D" w14:textId="77777777" w:rsidR="00362EC4" w:rsidRDefault="00362EC4" w:rsidP="00362EC4">
            <w:pPr>
              <w:jc w:val="center"/>
            </w:pPr>
          </w:p>
        </w:tc>
        <w:tc>
          <w:tcPr>
            <w:tcW w:w="1534" w:type="dxa"/>
          </w:tcPr>
          <w:p w14:paraId="6801EC82" w14:textId="34D3C24D" w:rsidR="00362EC4" w:rsidRDefault="00362EC4" w:rsidP="00362EC4">
            <w:pPr>
              <w:jc w:val="center"/>
            </w:pPr>
          </w:p>
        </w:tc>
        <w:tc>
          <w:tcPr>
            <w:tcW w:w="1174" w:type="dxa"/>
            <w:shd w:val="clear" w:color="auto" w:fill="D9D9D9" w:themeFill="background1" w:themeFillShade="D9"/>
          </w:tcPr>
          <w:p w14:paraId="098307C2" w14:textId="60BADEED" w:rsidR="00362EC4" w:rsidRPr="00C87C31" w:rsidRDefault="00362EC4" w:rsidP="00362EC4">
            <w:pPr>
              <w:jc w:val="center"/>
              <w:rPr>
                <w:b/>
              </w:rPr>
            </w:pPr>
            <w:r w:rsidRPr="00C87C31">
              <w:rPr>
                <w:b/>
              </w:rPr>
              <w:t>2016</w:t>
            </w:r>
          </w:p>
        </w:tc>
        <w:tc>
          <w:tcPr>
            <w:tcW w:w="1341" w:type="dxa"/>
            <w:shd w:val="clear" w:color="auto" w:fill="D9D9D9" w:themeFill="background1" w:themeFillShade="D9"/>
          </w:tcPr>
          <w:p w14:paraId="2CDB1D6E" w14:textId="09046AD4" w:rsidR="00362EC4" w:rsidRPr="00C87C31" w:rsidRDefault="00362EC4" w:rsidP="00362EC4">
            <w:pPr>
              <w:jc w:val="center"/>
              <w:rPr>
                <w:b/>
              </w:rPr>
            </w:pPr>
            <w:r w:rsidRPr="00C87C31">
              <w:rPr>
                <w:b/>
              </w:rPr>
              <w:t>2017</w:t>
            </w:r>
          </w:p>
        </w:tc>
        <w:tc>
          <w:tcPr>
            <w:tcW w:w="1225" w:type="dxa"/>
            <w:shd w:val="clear" w:color="auto" w:fill="D9D9D9" w:themeFill="background1" w:themeFillShade="D9"/>
          </w:tcPr>
          <w:p w14:paraId="6D04D582" w14:textId="4AD4DBEC" w:rsidR="00362EC4" w:rsidRPr="00C87C31" w:rsidRDefault="00362EC4" w:rsidP="00362EC4">
            <w:pPr>
              <w:jc w:val="center"/>
              <w:rPr>
                <w:b/>
              </w:rPr>
            </w:pPr>
            <w:r w:rsidRPr="00C87C31">
              <w:rPr>
                <w:b/>
              </w:rPr>
              <w:t>2018</w:t>
            </w:r>
          </w:p>
        </w:tc>
        <w:tc>
          <w:tcPr>
            <w:tcW w:w="1276" w:type="dxa"/>
            <w:shd w:val="clear" w:color="auto" w:fill="D9D9D9" w:themeFill="background1" w:themeFillShade="D9"/>
          </w:tcPr>
          <w:p w14:paraId="6D7FC02E" w14:textId="6426FD86" w:rsidR="00362EC4" w:rsidRPr="00C87C31" w:rsidRDefault="00362EC4" w:rsidP="00362EC4">
            <w:pPr>
              <w:jc w:val="center"/>
              <w:rPr>
                <w:b/>
              </w:rPr>
            </w:pPr>
            <w:r w:rsidRPr="00C87C31">
              <w:rPr>
                <w:b/>
              </w:rPr>
              <w:t>2019</w:t>
            </w:r>
          </w:p>
        </w:tc>
        <w:tc>
          <w:tcPr>
            <w:tcW w:w="1224" w:type="dxa"/>
            <w:shd w:val="clear" w:color="auto" w:fill="D9D9D9" w:themeFill="background1" w:themeFillShade="D9"/>
          </w:tcPr>
          <w:p w14:paraId="5CDF9CA6" w14:textId="64DD7D7C" w:rsidR="00362EC4" w:rsidRPr="00C87C31" w:rsidRDefault="00362EC4" w:rsidP="00362EC4">
            <w:pPr>
              <w:jc w:val="center"/>
              <w:rPr>
                <w:b/>
              </w:rPr>
            </w:pPr>
            <w:r w:rsidRPr="00C87C31">
              <w:rPr>
                <w:b/>
              </w:rPr>
              <w:t>2020</w:t>
            </w:r>
          </w:p>
        </w:tc>
      </w:tr>
      <w:tr w:rsidR="00362EC4" w14:paraId="1FFA25B9" w14:textId="09898385" w:rsidTr="00362EC4">
        <w:tc>
          <w:tcPr>
            <w:tcW w:w="816" w:type="dxa"/>
          </w:tcPr>
          <w:p w14:paraId="0835D911" w14:textId="5C26D9EB" w:rsidR="00362EC4" w:rsidRPr="00D16F23" w:rsidRDefault="00362EC4" w:rsidP="00362EC4">
            <w:pPr>
              <w:jc w:val="center"/>
              <w:rPr>
                <w:b/>
              </w:rPr>
            </w:pPr>
            <w:r>
              <w:rPr>
                <w:b/>
              </w:rPr>
              <w:t>A</w:t>
            </w:r>
          </w:p>
        </w:tc>
        <w:tc>
          <w:tcPr>
            <w:tcW w:w="1534" w:type="dxa"/>
          </w:tcPr>
          <w:p w14:paraId="6B5BA446" w14:textId="1BEA57C5" w:rsidR="00362EC4" w:rsidRDefault="00362EC4" w:rsidP="00362EC4">
            <w:pPr>
              <w:jc w:val="center"/>
            </w:pPr>
            <w:r w:rsidRPr="00D16F23">
              <w:rPr>
                <w:b/>
              </w:rPr>
              <w:t xml:space="preserve">Australian Population </w:t>
            </w:r>
            <w:r w:rsidRPr="00D16F23">
              <w:rPr>
                <w:b/>
              </w:rPr>
              <w:lastRenderedPageBreak/>
              <w:t>over 65 years of age</w:t>
            </w:r>
          </w:p>
        </w:tc>
        <w:tc>
          <w:tcPr>
            <w:tcW w:w="1174" w:type="dxa"/>
          </w:tcPr>
          <w:p w14:paraId="194B7674" w14:textId="6BA6D1B6" w:rsidR="00362EC4" w:rsidRPr="00D16F23" w:rsidRDefault="00362EC4" w:rsidP="00362EC4">
            <w:pPr>
              <w:jc w:val="center"/>
              <w:rPr>
                <w:b/>
              </w:rPr>
            </w:pPr>
            <w:r>
              <w:rPr>
                <w:b/>
              </w:rPr>
              <w:lastRenderedPageBreak/>
              <w:t>3,686,083</w:t>
            </w:r>
          </w:p>
        </w:tc>
        <w:tc>
          <w:tcPr>
            <w:tcW w:w="1341" w:type="dxa"/>
          </w:tcPr>
          <w:p w14:paraId="35BA10F5" w14:textId="02CD4E8F" w:rsidR="00362EC4" w:rsidRDefault="00362EC4" w:rsidP="00362EC4">
            <w:pPr>
              <w:jc w:val="center"/>
            </w:pPr>
            <w:r w:rsidRPr="00D16F23">
              <w:rPr>
                <w:b/>
              </w:rPr>
              <w:t>3,804,770</w:t>
            </w:r>
          </w:p>
        </w:tc>
        <w:tc>
          <w:tcPr>
            <w:tcW w:w="1225" w:type="dxa"/>
          </w:tcPr>
          <w:p w14:paraId="3E2966D6" w14:textId="6EB6D1EB" w:rsidR="00362EC4" w:rsidRDefault="00362EC4" w:rsidP="00362EC4">
            <w:pPr>
              <w:jc w:val="center"/>
            </w:pPr>
            <w:r w:rsidRPr="00D16F23">
              <w:rPr>
                <w:b/>
              </w:rPr>
              <w:t>3,929,281</w:t>
            </w:r>
          </w:p>
        </w:tc>
        <w:tc>
          <w:tcPr>
            <w:tcW w:w="1276" w:type="dxa"/>
          </w:tcPr>
          <w:p w14:paraId="555B05CB" w14:textId="76A01104" w:rsidR="00362EC4" w:rsidRDefault="00362EC4" w:rsidP="00362EC4">
            <w:pPr>
              <w:jc w:val="center"/>
            </w:pPr>
            <w:r w:rsidRPr="00D16F23">
              <w:rPr>
                <w:b/>
              </w:rPr>
              <w:t>4,053,834</w:t>
            </w:r>
          </w:p>
        </w:tc>
        <w:tc>
          <w:tcPr>
            <w:tcW w:w="1224" w:type="dxa"/>
          </w:tcPr>
          <w:p w14:paraId="7B87386A" w14:textId="310D85E6" w:rsidR="00362EC4" w:rsidRPr="00D16F23" w:rsidRDefault="00362EC4" w:rsidP="00362EC4">
            <w:pPr>
              <w:jc w:val="center"/>
              <w:rPr>
                <w:b/>
              </w:rPr>
            </w:pPr>
            <w:r>
              <w:rPr>
                <w:b/>
              </w:rPr>
              <w:t>4,183,738</w:t>
            </w:r>
          </w:p>
        </w:tc>
      </w:tr>
      <w:tr w:rsidR="00362EC4" w14:paraId="1BC57BF4" w14:textId="0D8C3611" w:rsidTr="00362EC4">
        <w:tc>
          <w:tcPr>
            <w:tcW w:w="816" w:type="dxa"/>
          </w:tcPr>
          <w:p w14:paraId="4D46DF2F" w14:textId="5982F7AB" w:rsidR="00362EC4" w:rsidRDefault="00362EC4" w:rsidP="00362EC4">
            <w:pPr>
              <w:jc w:val="center"/>
              <w:rPr>
                <w:b/>
              </w:rPr>
            </w:pPr>
            <w:r>
              <w:rPr>
                <w:b/>
              </w:rPr>
              <w:lastRenderedPageBreak/>
              <w:t>B</w:t>
            </w:r>
          </w:p>
        </w:tc>
        <w:tc>
          <w:tcPr>
            <w:tcW w:w="1534" w:type="dxa"/>
          </w:tcPr>
          <w:p w14:paraId="27F8D738" w14:textId="14D51302" w:rsidR="00362EC4" w:rsidRPr="00D16F23" w:rsidRDefault="00362EC4" w:rsidP="00362EC4">
            <w:pPr>
              <w:jc w:val="center"/>
              <w:rPr>
                <w:b/>
              </w:rPr>
            </w:pPr>
            <w:r>
              <w:rPr>
                <w:b/>
              </w:rPr>
              <w:t>MBS item numbers 38488 and 38489</w:t>
            </w:r>
          </w:p>
        </w:tc>
        <w:tc>
          <w:tcPr>
            <w:tcW w:w="1174" w:type="dxa"/>
          </w:tcPr>
          <w:p w14:paraId="0B0080E2" w14:textId="1E7D8AB9" w:rsidR="00362EC4" w:rsidRDefault="00362EC4" w:rsidP="00362EC4">
            <w:pPr>
              <w:jc w:val="center"/>
              <w:rPr>
                <w:b/>
              </w:rPr>
            </w:pPr>
            <w:r>
              <w:rPr>
                <w:b/>
              </w:rPr>
              <w:t>2755</w:t>
            </w:r>
          </w:p>
        </w:tc>
        <w:tc>
          <w:tcPr>
            <w:tcW w:w="1341" w:type="dxa"/>
          </w:tcPr>
          <w:p w14:paraId="10653991" w14:textId="1D92FBA2" w:rsidR="00362EC4" w:rsidRPr="00D16F23" w:rsidRDefault="00362EC4" w:rsidP="00362EC4">
            <w:pPr>
              <w:jc w:val="center"/>
              <w:rPr>
                <w:b/>
              </w:rPr>
            </w:pPr>
            <w:r>
              <w:rPr>
                <w:b/>
              </w:rPr>
              <w:t>2843</w:t>
            </w:r>
          </w:p>
        </w:tc>
        <w:tc>
          <w:tcPr>
            <w:tcW w:w="1225" w:type="dxa"/>
          </w:tcPr>
          <w:p w14:paraId="165E2853" w14:textId="0D4373AD" w:rsidR="00362EC4" w:rsidRPr="00D16F23" w:rsidRDefault="00362EC4" w:rsidP="00362EC4">
            <w:pPr>
              <w:jc w:val="center"/>
              <w:rPr>
                <w:b/>
              </w:rPr>
            </w:pPr>
            <w:r>
              <w:rPr>
                <w:b/>
              </w:rPr>
              <w:t>2936</w:t>
            </w:r>
          </w:p>
        </w:tc>
        <w:tc>
          <w:tcPr>
            <w:tcW w:w="1276" w:type="dxa"/>
          </w:tcPr>
          <w:p w14:paraId="353DB7EB" w14:textId="48027DBE" w:rsidR="00362EC4" w:rsidRPr="00D16F23" w:rsidRDefault="00362EC4" w:rsidP="00362EC4">
            <w:pPr>
              <w:jc w:val="center"/>
              <w:rPr>
                <w:b/>
              </w:rPr>
            </w:pPr>
            <w:r>
              <w:rPr>
                <w:b/>
              </w:rPr>
              <w:t>3029</w:t>
            </w:r>
          </w:p>
        </w:tc>
        <w:tc>
          <w:tcPr>
            <w:tcW w:w="1224" w:type="dxa"/>
          </w:tcPr>
          <w:p w14:paraId="5702F1E2" w14:textId="147EB310" w:rsidR="00362EC4" w:rsidRDefault="00362EC4" w:rsidP="00362EC4">
            <w:pPr>
              <w:jc w:val="center"/>
              <w:rPr>
                <w:b/>
              </w:rPr>
            </w:pPr>
            <w:r>
              <w:rPr>
                <w:b/>
              </w:rPr>
              <w:t>3126</w:t>
            </w:r>
          </w:p>
        </w:tc>
      </w:tr>
      <w:tr w:rsidR="00362EC4" w14:paraId="25817929" w14:textId="27063E6C" w:rsidTr="00362EC4">
        <w:tc>
          <w:tcPr>
            <w:tcW w:w="816" w:type="dxa"/>
          </w:tcPr>
          <w:p w14:paraId="0347FA83" w14:textId="7311ED5D" w:rsidR="00362EC4" w:rsidRDefault="00362EC4" w:rsidP="00362EC4">
            <w:pPr>
              <w:jc w:val="center"/>
              <w:rPr>
                <w:b/>
              </w:rPr>
            </w:pPr>
            <w:r>
              <w:rPr>
                <w:b/>
              </w:rPr>
              <w:t>C</w:t>
            </w:r>
          </w:p>
        </w:tc>
        <w:tc>
          <w:tcPr>
            <w:tcW w:w="1534" w:type="dxa"/>
          </w:tcPr>
          <w:p w14:paraId="7B6212FB" w14:textId="471331E7" w:rsidR="00362EC4" w:rsidRDefault="00362EC4" w:rsidP="00362EC4">
            <w:pPr>
              <w:jc w:val="center"/>
              <w:rPr>
                <w:b/>
              </w:rPr>
            </w:pPr>
            <w:r>
              <w:rPr>
                <w:b/>
              </w:rPr>
              <w:t>TAVI Procedures</w:t>
            </w:r>
          </w:p>
        </w:tc>
        <w:tc>
          <w:tcPr>
            <w:tcW w:w="1174" w:type="dxa"/>
          </w:tcPr>
          <w:p w14:paraId="7C7F2B82" w14:textId="4AD36164" w:rsidR="00362EC4" w:rsidRDefault="00362EC4" w:rsidP="00362EC4">
            <w:pPr>
              <w:jc w:val="center"/>
              <w:rPr>
                <w:b/>
              </w:rPr>
            </w:pPr>
            <w:r>
              <w:rPr>
                <w:b/>
              </w:rPr>
              <w:t>926</w:t>
            </w:r>
          </w:p>
        </w:tc>
        <w:tc>
          <w:tcPr>
            <w:tcW w:w="1341" w:type="dxa"/>
          </w:tcPr>
          <w:p w14:paraId="35B5029A" w14:textId="3C6014FB" w:rsidR="00362EC4" w:rsidRDefault="00362EC4" w:rsidP="00362EC4">
            <w:pPr>
              <w:jc w:val="center"/>
              <w:rPr>
                <w:b/>
              </w:rPr>
            </w:pPr>
            <w:r>
              <w:rPr>
                <w:b/>
              </w:rPr>
              <w:t>955</w:t>
            </w:r>
          </w:p>
        </w:tc>
        <w:tc>
          <w:tcPr>
            <w:tcW w:w="1225" w:type="dxa"/>
          </w:tcPr>
          <w:p w14:paraId="7C31A8D4" w14:textId="179108F5" w:rsidR="00362EC4" w:rsidRDefault="00362EC4" w:rsidP="00362EC4">
            <w:pPr>
              <w:jc w:val="center"/>
              <w:rPr>
                <w:b/>
              </w:rPr>
            </w:pPr>
            <w:r>
              <w:rPr>
                <w:b/>
              </w:rPr>
              <w:t>987</w:t>
            </w:r>
          </w:p>
        </w:tc>
        <w:tc>
          <w:tcPr>
            <w:tcW w:w="1276" w:type="dxa"/>
          </w:tcPr>
          <w:p w14:paraId="1826D9E2" w14:textId="65BA0591" w:rsidR="00362EC4" w:rsidRDefault="00362EC4" w:rsidP="00362EC4">
            <w:pPr>
              <w:jc w:val="center"/>
              <w:rPr>
                <w:b/>
              </w:rPr>
            </w:pPr>
            <w:r>
              <w:rPr>
                <w:b/>
              </w:rPr>
              <w:t>1018</w:t>
            </w:r>
          </w:p>
        </w:tc>
        <w:tc>
          <w:tcPr>
            <w:tcW w:w="1224" w:type="dxa"/>
          </w:tcPr>
          <w:p w14:paraId="35958E7A" w14:textId="0B615CD9" w:rsidR="00362EC4" w:rsidRDefault="00362EC4" w:rsidP="00362EC4">
            <w:pPr>
              <w:jc w:val="center"/>
              <w:rPr>
                <w:b/>
              </w:rPr>
            </w:pPr>
            <w:r>
              <w:rPr>
                <w:b/>
              </w:rPr>
              <w:t>1051</w:t>
            </w:r>
          </w:p>
        </w:tc>
      </w:tr>
      <w:tr w:rsidR="00362EC4" w14:paraId="6AFF8051" w14:textId="45879E9C" w:rsidTr="00362EC4">
        <w:tc>
          <w:tcPr>
            <w:tcW w:w="816" w:type="dxa"/>
          </w:tcPr>
          <w:p w14:paraId="0A8679B8" w14:textId="66EA8667" w:rsidR="00362EC4" w:rsidRDefault="00362EC4" w:rsidP="00362EC4">
            <w:pPr>
              <w:jc w:val="center"/>
              <w:rPr>
                <w:b/>
              </w:rPr>
            </w:pPr>
            <w:r>
              <w:rPr>
                <w:b/>
              </w:rPr>
              <w:t>D</w:t>
            </w:r>
          </w:p>
        </w:tc>
        <w:tc>
          <w:tcPr>
            <w:tcW w:w="1534" w:type="dxa"/>
          </w:tcPr>
          <w:p w14:paraId="63F8449C" w14:textId="27B47F5C" w:rsidR="00362EC4" w:rsidRDefault="00362EC4" w:rsidP="00362EC4">
            <w:pPr>
              <w:jc w:val="center"/>
              <w:rPr>
                <w:b/>
              </w:rPr>
            </w:pPr>
            <w:r>
              <w:rPr>
                <w:b/>
              </w:rPr>
              <w:t>Total AVR population (B+C)</w:t>
            </w:r>
          </w:p>
        </w:tc>
        <w:tc>
          <w:tcPr>
            <w:tcW w:w="1174" w:type="dxa"/>
          </w:tcPr>
          <w:p w14:paraId="466CFA6D" w14:textId="30B529F4" w:rsidR="00362EC4" w:rsidRDefault="00362EC4" w:rsidP="00362EC4">
            <w:pPr>
              <w:jc w:val="center"/>
              <w:rPr>
                <w:b/>
              </w:rPr>
            </w:pPr>
            <w:r>
              <w:rPr>
                <w:b/>
              </w:rPr>
              <w:t>3681</w:t>
            </w:r>
          </w:p>
        </w:tc>
        <w:tc>
          <w:tcPr>
            <w:tcW w:w="1341" w:type="dxa"/>
          </w:tcPr>
          <w:p w14:paraId="5DCFF4B3" w14:textId="4C554D14" w:rsidR="00362EC4" w:rsidRDefault="00362EC4" w:rsidP="00362EC4">
            <w:pPr>
              <w:jc w:val="center"/>
              <w:rPr>
                <w:b/>
              </w:rPr>
            </w:pPr>
            <w:r>
              <w:rPr>
                <w:b/>
              </w:rPr>
              <w:t>3798</w:t>
            </w:r>
          </w:p>
        </w:tc>
        <w:tc>
          <w:tcPr>
            <w:tcW w:w="1225" w:type="dxa"/>
          </w:tcPr>
          <w:p w14:paraId="0DEB4D59" w14:textId="643024AA" w:rsidR="00362EC4" w:rsidRDefault="00362EC4" w:rsidP="00362EC4">
            <w:pPr>
              <w:jc w:val="center"/>
              <w:rPr>
                <w:b/>
              </w:rPr>
            </w:pPr>
            <w:r>
              <w:rPr>
                <w:b/>
              </w:rPr>
              <w:t>3923</w:t>
            </w:r>
          </w:p>
        </w:tc>
        <w:tc>
          <w:tcPr>
            <w:tcW w:w="1276" w:type="dxa"/>
          </w:tcPr>
          <w:p w14:paraId="17030C67" w14:textId="00F5F83B" w:rsidR="00362EC4" w:rsidRDefault="00362EC4" w:rsidP="00362EC4">
            <w:pPr>
              <w:jc w:val="center"/>
              <w:rPr>
                <w:b/>
              </w:rPr>
            </w:pPr>
            <w:r>
              <w:rPr>
                <w:b/>
              </w:rPr>
              <w:t>4047</w:t>
            </w:r>
          </w:p>
        </w:tc>
        <w:tc>
          <w:tcPr>
            <w:tcW w:w="1224" w:type="dxa"/>
          </w:tcPr>
          <w:p w14:paraId="7EDC9AAA" w14:textId="74A1FC8D" w:rsidR="00362EC4" w:rsidRDefault="00362EC4" w:rsidP="00362EC4">
            <w:pPr>
              <w:jc w:val="center"/>
              <w:rPr>
                <w:b/>
              </w:rPr>
            </w:pPr>
            <w:r>
              <w:rPr>
                <w:b/>
              </w:rPr>
              <w:t>4177</w:t>
            </w:r>
          </w:p>
        </w:tc>
      </w:tr>
      <w:tr w:rsidR="00362EC4" w14:paraId="51D50DDD" w14:textId="70265D59" w:rsidTr="00362EC4">
        <w:tc>
          <w:tcPr>
            <w:tcW w:w="816" w:type="dxa"/>
          </w:tcPr>
          <w:p w14:paraId="6FF18BCB" w14:textId="77777777" w:rsidR="00362EC4" w:rsidRDefault="00362EC4" w:rsidP="00362EC4">
            <w:pPr>
              <w:jc w:val="center"/>
              <w:rPr>
                <w:b/>
              </w:rPr>
            </w:pPr>
          </w:p>
          <w:p w14:paraId="478F3667" w14:textId="208CE9E7" w:rsidR="00362EC4" w:rsidRDefault="00362EC4" w:rsidP="00362EC4">
            <w:pPr>
              <w:jc w:val="center"/>
              <w:rPr>
                <w:b/>
              </w:rPr>
            </w:pPr>
            <w:r>
              <w:rPr>
                <w:b/>
              </w:rPr>
              <w:t>C</w:t>
            </w:r>
          </w:p>
        </w:tc>
        <w:tc>
          <w:tcPr>
            <w:tcW w:w="1534" w:type="dxa"/>
          </w:tcPr>
          <w:p w14:paraId="3B38B5A0" w14:textId="6193E9EE" w:rsidR="00362EC4" w:rsidRDefault="00362EC4" w:rsidP="00362EC4">
            <w:pPr>
              <w:jc w:val="center"/>
              <w:rPr>
                <w:b/>
              </w:rPr>
            </w:pPr>
            <w:r>
              <w:rPr>
                <w:b/>
              </w:rPr>
              <w:t>Intermediate Risk Group (15.8% of D)</w:t>
            </w:r>
          </w:p>
        </w:tc>
        <w:tc>
          <w:tcPr>
            <w:tcW w:w="1174" w:type="dxa"/>
          </w:tcPr>
          <w:p w14:paraId="68669631" w14:textId="5D13A967" w:rsidR="00362EC4" w:rsidRDefault="00362EC4" w:rsidP="00362EC4">
            <w:pPr>
              <w:jc w:val="center"/>
              <w:rPr>
                <w:b/>
              </w:rPr>
            </w:pPr>
            <w:r>
              <w:rPr>
                <w:b/>
              </w:rPr>
              <w:t>581</w:t>
            </w:r>
          </w:p>
        </w:tc>
        <w:tc>
          <w:tcPr>
            <w:tcW w:w="1341" w:type="dxa"/>
          </w:tcPr>
          <w:p w14:paraId="099C9B69" w14:textId="30320C69" w:rsidR="00362EC4" w:rsidRDefault="00362EC4" w:rsidP="00362EC4">
            <w:pPr>
              <w:jc w:val="center"/>
              <w:rPr>
                <w:b/>
              </w:rPr>
            </w:pPr>
            <w:r>
              <w:rPr>
                <w:b/>
              </w:rPr>
              <w:t>600</w:t>
            </w:r>
          </w:p>
        </w:tc>
        <w:tc>
          <w:tcPr>
            <w:tcW w:w="1225" w:type="dxa"/>
          </w:tcPr>
          <w:p w14:paraId="5802CE47" w14:textId="7FEE125A" w:rsidR="00362EC4" w:rsidRDefault="00362EC4" w:rsidP="00362EC4">
            <w:pPr>
              <w:jc w:val="center"/>
              <w:rPr>
                <w:b/>
              </w:rPr>
            </w:pPr>
            <w:r>
              <w:rPr>
                <w:b/>
              </w:rPr>
              <w:t>619</w:t>
            </w:r>
          </w:p>
        </w:tc>
        <w:tc>
          <w:tcPr>
            <w:tcW w:w="1276" w:type="dxa"/>
          </w:tcPr>
          <w:p w14:paraId="7EB07067" w14:textId="634199C0" w:rsidR="00362EC4" w:rsidRDefault="00362EC4" w:rsidP="00362EC4">
            <w:pPr>
              <w:jc w:val="center"/>
              <w:rPr>
                <w:b/>
              </w:rPr>
            </w:pPr>
            <w:r>
              <w:rPr>
                <w:b/>
              </w:rPr>
              <w:t>639</w:t>
            </w:r>
          </w:p>
        </w:tc>
        <w:tc>
          <w:tcPr>
            <w:tcW w:w="1224" w:type="dxa"/>
          </w:tcPr>
          <w:p w14:paraId="0AD80743" w14:textId="6444B7F1" w:rsidR="00362EC4" w:rsidRDefault="00362EC4" w:rsidP="00362EC4">
            <w:pPr>
              <w:jc w:val="center"/>
              <w:rPr>
                <w:b/>
              </w:rPr>
            </w:pPr>
            <w:r>
              <w:rPr>
                <w:b/>
              </w:rPr>
              <w:t>659</w:t>
            </w:r>
          </w:p>
        </w:tc>
      </w:tr>
    </w:tbl>
    <w:p w14:paraId="24936A4F" w14:textId="77777777" w:rsidR="00BE7973" w:rsidRDefault="00BE7973" w:rsidP="00133F25">
      <w:pPr>
        <w:ind w:left="426"/>
      </w:pPr>
    </w:p>
    <w:p w14:paraId="272C0E3C" w14:textId="10D1A68C" w:rsidR="00133F25" w:rsidRDefault="00133F25" w:rsidP="00133F25">
      <w:pPr>
        <w:ind w:left="426"/>
      </w:pPr>
    </w:p>
    <w:p w14:paraId="53FC4824" w14:textId="77777777" w:rsidR="00C61B4A" w:rsidRPr="00154B00" w:rsidRDefault="00C61B4A" w:rsidP="00AE1188">
      <w:pPr>
        <w:ind w:left="426"/>
        <w:rPr>
          <w:szCs w:val="20"/>
        </w:rPr>
      </w:pPr>
    </w:p>
    <w:p w14:paraId="4247366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0FE9FA0" w14:textId="2A680B8F" w:rsidR="00382407" w:rsidRPr="00154B00" w:rsidRDefault="00362EC4" w:rsidP="00AE1188">
      <w:pPr>
        <w:ind w:left="426"/>
        <w:rPr>
          <w:szCs w:val="20"/>
        </w:rPr>
      </w:pPr>
      <w:r>
        <w:t>As this intervention is usually performed late in life, it is anticipated that the service would only be delivered once per patient</w:t>
      </w:r>
    </w:p>
    <w:p w14:paraId="033E9C4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3FE6A39" w14:textId="1B8B8410" w:rsidR="00382407" w:rsidRPr="00154B00" w:rsidRDefault="00FB5F38" w:rsidP="00362EC4">
      <w:pPr>
        <w:ind w:left="360"/>
        <w:rPr>
          <w:b/>
          <w:szCs w:val="20"/>
        </w:rPr>
      </w:pPr>
      <w:r>
        <w:t>1</w:t>
      </w:r>
      <w:r w:rsidR="00362EC4">
        <w:t xml:space="preserve"> year</w:t>
      </w:r>
    </w:p>
    <w:p w14:paraId="223DCE0D"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1ABF2AF" w14:textId="1EAEB7B5" w:rsidR="00FB5F38" w:rsidRDefault="00362EC4" w:rsidP="00FB5F38">
      <w:pPr>
        <w:ind w:left="426"/>
        <w:rPr>
          <w:szCs w:val="20"/>
        </w:rPr>
      </w:pPr>
      <w:r>
        <w:rPr>
          <w:szCs w:val="20"/>
        </w:rPr>
        <w:t>It is estimated that 659 patients would be eligible for the proposed service</w:t>
      </w:r>
      <w:r w:rsidR="00857CC2">
        <w:rPr>
          <w:szCs w:val="20"/>
        </w:rPr>
        <w:t xml:space="preserve"> in 2020.  </w:t>
      </w:r>
      <w:r w:rsidR="009167F8">
        <w:rPr>
          <w:szCs w:val="20"/>
        </w:rPr>
        <w:t xml:space="preserve">It is however, unlikely that all these patients would access TAVI.  Australian referral patterns are such that </w:t>
      </w:r>
      <w:r w:rsidR="00A54C41">
        <w:rPr>
          <w:szCs w:val="20"/>
        </w:rPr>
        <w:t>referral to a Heart Team is not yet routine. Therefore, if a patient is referred to a cardiologist or a surgeon who is not part of a TAVI Heart Team, the</w:t>
      </w:r>
      <w:r w:rsidR="002C7453">
        <w:rPr>
          <w:szCs w:val="20"/>
        </w:rPr>
        <w:t xml:space="preserve"> patient </w:t>
      </w:r>
      <w:r w:rsidR="00A54C41">
        <w:rPr>
          <w:szCs w:val="20"/>
        </w:rPr>
        <w:t xml:space="preserve">may not be given the option of receiving TAVI.  </w:t>
      </w:r>
      <w:r w:rsidR="00086144">
        <w:rPr>
          <w:szCs w:val="20"/>
        </w:rPr>
        <w:t>This figure is therefore likely to be an overestimate.</w:t>
      </w:r>
      <w:r w:rsidR="00FB5F38">
        <w:rPr>
          <w:szCs w:val="20"/>
        </w:rPr>
        <w:t xml:space="preserve"> </w:t>
      </w:r>
    </w:p>
    <w:p w14:paraId="38167BD3" w14:textId="0B16620B" w:rsidR="00AE1188" w:rsidRPr="00154B00" w:rsidRDefault="00FB5F38" w:rsidP="00AE1188">
      <w:pPr>
        <w:ind w:left="426"/>
        <w:rPr>
          <w:szCs w:val="20"/>
        </w:rPr>
      </w:pPr>
      <w:r w:rsidRPr="00FB5F38">
        <w:rPr>
          <w:szCs w:val="20"/>
        </w:rPr>
        <w:t xml:space="preserve">Osnabrugge estimated that 80% of </w:t>
      </w:r>
      <w:r>
        <w:rPr>
          <w:szCs w:val="20"/>
        </w:rPr>
        <w:t xml:space="preserve">high risk/inoperable patients </w:t>
      </w:r>
      <w:r w:rsidRPr="00FB5F38">
        <w:rPr>
          <w:szCs w:val="20"/>
        </w:rPr>
        <w:t xml:space="preserve">eligible for TAVI received the procedure.  </w:t>
      </w:r>
      <w:r>
        <w:rPr>
          <w:szCs w:val="20"/>
        </w:rPr>
        <w:t xml:space="preserve">If we apply this figure to </w:t>
      </w:r>
      <w:r w:rsidR="008A5194">
        <w:rPr>
          <w:szCs w:val="20"/>
        </w:rPr>
        <w:t>intermediate risk patients who are</w:t>
      </w:r>
      <w:r>
        <w:rPr>
          <w:szCs w:val="20"/>
        </w:rPr>
        <w:t xml:space="preserve"> eligible</w:t>
      </w:r>
      <w:r w:rsidR="008A5194">
        <w:rPr>
          <w:szCs w:val="20"/>
        </w:rPr>
        <w:t>,</w:t>
      </w:r>
      <w:r>
        <w:rPr>
          <w:szCs w:val="20"/>
        </w:rPr>
        <w:t xml:space="preserve"> then in the first year, 527 patients would receive </w:t>
      </w:r>
      <w:r w:rsidR="008A5194">
        <w:rPr>
          <w:szCs w:val="20"/>
        </w:rPr>
        <w:t>TAVI</w:t>
      </w:r>
      <w:r>
        <w:rPr>
          <w:szCs w:val="20"/>
        </w:rPr>
        <w:t>.</w:t>
      </w:r>
    </w:p>
    <w:p w14:paraId="519922D8" w14:textId="48853ADD"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A3005DB" w14:textId="42120085" w:rsidR="00522175" w:rsidRDefault="00522175" w:rsidP="00522175">
      <w:pPr>
        <w:ind w:left="360"/>
      </w:pPr>
      <w:r>
        <w:t>A TAVI procedure must be performed by a TAVI practitioner in a TAVI hospital.  It is possible that there will be capacity restraints if there are not enough available facilities and trained medical staff to meet demand.  It is likely that capacity will increase in coming years.  However</w:t>
      </w:r>
      <w:r w:rsidR="00C87C31">
        <w:t>,</w:t>
      </w:r>
      <w:r>
        <w:t xml:space="preserve"> assuming that capacity is available to meet demand, the following uptake is likely.</w:t>
      </w:r>
    </w:p>
    <w:tbl>
      <w:tblPr>
        <w:tblStyle w:val="TableGrid"/>
        <w:tblW w:w="0" w:type="auto"/>
        <w:tblInd w:w="360" w:type="dxa"/>
        <w:tblLook w:val="04A0" w:firstRow="1" w:lastRow="0" w:firstColumn="1" w:lastColumn="0" w:noHBand="0" w:noVBand="1"/>
        <w:tblCaption w:val="Question 50"/>
        <w:tblDescription w:val="Table showing estimated anticipated uptake of the proposed medical service over the next three years."/>
      </w:tblPr>
      <w:tblGrid>
        <w:gridCol w:w="1500"/>
        <w:gridCol w:w="1804"/>
        <w:gridCol w:w="1784"/>
        <w:gridCol w:w="1784"/>
        <w:gridCol w:w="1784"/>
      </w:tblGrid>
      <w:tr w:rsidR="00C87C31" w14:paraId="1588D0EE" w14:textId="77777777" w:rsidTr="000D5B57">
        <w:trPr>
          <w:tblHeader/>
        </w:trPr>
        <w:tc>
          <w:tcPr>
            <w:tcW w:w="1500" w:type="dxa"/>
          </w:tcPr>
          <w:p w14:paraId="50B89F71" w14:textId="77777777" w:rsidR="00C87C31" w:rsidRPr="00C87C31" w:rsidRDefault="00C87C31" w:rsidP="00C87C31">
            <w:pPr>
              <w:jc w:val="center"/>
              <w:rPr>
                <w:b/>
              </w:rPr>
            </w:pPr>
          </w:p>
        </w:tc>
        <w:tc>
          <w:tcPr>
            <w:tcW w:w="1804" w:type="dxa"/>
          </w:tcPr>
          <w:p w14:paraId="3386DC15" w14:textId="29021A53" w:rsidR="00C87C31" w:rsidRPr="00C87C31" w:rsidRDefault="00C87C31" w:rsidP="00C87C31">
            <w:pPr>
              <w:jc w:val="center"/>
              <w:rPr>
                <w:b/>
              </w:rPr>
            </w:pPr>
          </w:p>
        </w:tc>
        <w:tc>
          <w:tcPr>
            <w:tcW w:w="1784" w:type="dxa"/>
            <w:shd w:val="clear" w:color="auto" w:fill="D9D9D9" w:themeFill="background1" w:themeFillShade="D9"/>
          </w:tcPr>
          <w:p w14:paraId="57B5DE21" w14:textId="3E9E1325" w:rsidR="00C87C31" w:rsidRPr="00C87C31" w:rsidRDefault="00C87C31" w:rsidP="00C87C31">
            <w:pPr>
              <w:jc w:val="center"/>
              <w:rPr>
                <w:b/>
              </w:rPr>
            </w:pPr>
            <w:r w:rsidRPr="00C87C31">
              <w:rPr>
                <w:b/>
              </w:rPr>
              <w:t>2021</w:t>
            </w:r>
          </w:p>
        </w:tc>
        <w:tc>
          <w:tcPr>
            <w:tcW w:w="1784" w:type="dxa"/>
            <w:shd w:val="clear" w:color="auto" w:fill="D9D9D9" w:themeFill="background1" w:themeFillShade="D9"/>
          </w:tcPr>
          <w:p w14:paraId="77178348" w14:textId="04438674" w:rsidR="00C87C31" w:rsidRPr="00C87C31" w:rsidRDefault="00C87C31" w:rsidP="00C87C31">
            <w:pPr>
              <w:jc w:val="center"/>
              <w:rPr>
                <w:b/>
              </w:rPr>
            </w:pPr>
            <w:r w:rsidRPr="00C87C31">
              <w:rPr>
                <w:b/>
              </w:rPr>
              <w:t>2022</w:t>
            </w:r>
          </w:p>
        </w:tc>
        <w:tc>
          <w:tcPr>
            <w:tcW w:w="1784" w:type="dxa"/>
            <w:shd w:val="clear" w:color="auto" w:fill="D9D9D9" w:themeFill="background1" w:themeFillShade="D9"/>
          </w:tcPr>
          <w:p w14:paraId="5C14658E" w14:textId="03B8AD86" w:rsidR="00C87C31" w:rsidRPr="00C87C31" w:rsidRDefault="00C87C31" w:rsidP="00C87C31">
            <w:pPr>
              <w:jc w:val="center"/>
              <w:rPr>
                <w:b/>
              </w:rPr>
            </w:pPr>
            <w:r w:rsidRPr="00C87C31">
              <w:rPr>
                <w:b/>
              </w:rPr>
              <w:t>2023</w:t>
            </w:r>
          </w:p>
        </w:tc>
      </w:tr>
      <w:tr w:rsidR="00C87C31" w14:paraId="52A795DC" w14:textId="77777777" w:rsidTr="00C87C31">
        <w:tc>
          <w:tcPr>
            <w:tcW w:w="1500" w:type="dxa"/>
          </w:tcPr>
          <w:p w14:paraId="336114F6" w14:textId="71C69F89" w:rsidR="00C87C31" w:rsidRPr="00C87C31" w:rsidRDefault="00C87C31" w:rsidP="00C87C31">
            <w:pPr>
              <w:jc w:val="center"/>
              <w:rPr>
                <w:b/>
              </w:rPr>
            </w:pPr>
            <w:r w:rsidRPr="00C87C31">
              <w:rPr>
                <w:b/>
              </w:rPr>
              <w:t>A</w:t>
            </w:r>
          </w:p>
        </w:tc>
        <w:tc>
          <w:tcPr>
            <w:tcW w:w="1804" w:type="dxa"/>
          </w:tcPr>
          <w:p w14:paraId="3CC3F3DB" w14:textId="55C9A238" w:rsidR="00C87C31" w:rsidRPr="00C87C31" w:rsidRDefault="00C87C31" w:rsidP="00C87C31">
            <w:pPr>
              <w:jc w:val="center"/>
              <w:rPr>
                <w:b/>
              </w:rPr>
            </w:pPr>
            <w:r w:rsidRPr="00C87C31">
              <w:rPr>
                <w:b/>
              </w:rPr>
              <w:t xml:space="preserve">Australian Population over 65 </w:t>
            </w:r>
            <w:r w:rsidRPr="00C87C31">
              <w:rPr>
                <w:b/>
              </w:rPr>
              <w:lastRenderedPageBreak/>
              <w:t>years of age</w:t>
            </w:r>
          </w:p>
        </w:tc>
        <w:tc>
          <w:tcPr>
            <w:tcW w:w="1784" w:type="dxa"/>
          </w:tcPr>
          <w:p w14:paraId="446EF7A5" w14:textId="31CD31BD" w:rsidR="00C87C31" w:rsidRPr="00C87C31" w:rsidRDefault="00C87C31" w:rsidP="00C87C31">
            <w:pPr>
              <w:jc w:val="center"/>
              <w:rPr>
                <w:b/>
              </w:rPr>
            </w:pPr>
            <w:r w:rsidRPr="00C87C31">
              <w:rPr>
                <w:b/>
              </w:rPr>
              <w:lastRenderedPageBreak/>
              <w:t>4,318,848</w:t>
            </w:r>
          </w:p>
        </w:tc>
        <w:tc>
          <w:tcPr>
            <w:tcW w:w="1784" w:type="dxa"/>
          </w:tcPr>
          <w:p w14:paraId="701F3BAC" w14:textId="7DF609F5" w:rsidR="00C87C31" w:rsidRPr="00C87C31" w:rsidRDefault="00C87C31" w:rsidP="00C87C31">
            <w:pPr>
              <w:jc w:val="center"/>
              <w:rPr>
                <w:b/>
              </w:rPr>
            </w:pPr>
            <w:r w:rsidRPr="00C87C31">
              <w:rPr>
                <w:b/>
              </w:rPr>
              <w:t>4,454,687</w:t>
            </w:r>
          </w:p>
        </w:tc>
        <w:tc>
          <w:tcPr>
            <w:tcW w:w="1784" w:type="dxa"/>
          </w:tcPr>
          <w:p w14:paraId="7941214E" w14:textId="20E95A84" w:rsidR="00C87C31" w:rsidRPr="00C87C31" w:rsidRDefault="00C87C31" w:rsidP="00C87C31">
            <w:pPr>
              <w:jc w:val="center"/>
              <w:rPr>
                <w:b/>
              </w:rPr>
            </w:pPr>
            <w:r w:rsidRPr="00C87C31">
              <w:rPr>
                <w:b/>
              </w:rPr>
              <w:t>4,593,986</w:t>
            </w:r>
          </w:p>
        </w:tc>
      </w:tr>
      <w:tr w:rsidR="00C87C31" w14:paraId="2FADAEFF" w14:textId="77777777" w:rsidTr="00C87C31">
        <w:tc>
          <w:tcPr>
            <w:tcW w:w="1500" w:type="dxa"/>
          </w:tcPr>
          <w:p w14:paraId="4C28737A" w14:textId="6BE34E31" w:rsidR="00C87C31" w:rsidRPr="00C87C31" w:rsidRDefault="00C87C31" w:rsidP="00C87C31">
            <w:pPr>
              <w:jc w:val="center"/>
              <w:rPr>
                <w:b/>
              </w:rPr>
            </w:pPr>
            <w:r w:rsidRPr="00C87C31">
              <w:rPr>
                <w:b/>
              </w:rPr>
              <w:lastRenderedPageBreak/>
              <w:t>B</w:t>
            </w:r>
          </w:p>
        </w:tc>
        <w:tc>
          <w:tcPr>
            <w:tcW w:w="1804" w:type="dxa"/>
          </w:tcPr>
          <w:p w14:paraId="022D01C0" w14:textId="2E6DFA4F" w:rsidR="00C87C31" w:rsidRPr="00C87C31" w:rsidRDefault="00C87C31" w:rsidP="00C87C31">
            <w:pPr>
              <w:jc w:val="center"/>
              <w:rPr>
                <w:b/>
              </w:rPr>
            </w:pPr>
            <w:r w:rsidRPr="00C87C31">
              <w:rPr>
                <w:b/>
              </w:rPr>
              <w:t>Eligible Population</w:t>
            </w:r>
          </w:p>
        </w:tc>
        <w:tc>
          <w:tcPr>
            <w:tcW w:w="1784" w:type="dxa"/>
          </w:tcPr>
          <w:p w14:paraId="13A8DAA6" w14:textId="346856FF" w:rsidR="00C87C31" w:rsidRPr="00C87C31" w:rsidRDefault="00C87C31" w:rsidP="00C87C31">
            <w:pPr>
              <w:jc w:val="center"/>
              <w:rPr>
                <w:b/>
              </w:rPr>
            </w:pPr>
            <w:r w:rsidRPr="00C87C31">
              <w:rPr>
                <w:b/>
              </w:rPr>
              <w:t>680</w:t>
            </w:r>
          </w:p>
        </w:tc>
        <w:tc>
          <w:tcPr>
            <w:tcW w:w="1784" w:type="dxa"/>
          </w:tcPr>
          <w:p w14:paraId="4FD8D91D" w14:textId="5FA73C57" w:rsidR="00C87C31" w:rsidRPr="00C87C31" w:rsidRDefault="00C87C31" w:rsidP="00C87C31">
            <w:pPr>
              <w:jc w:val="center"/>
              <w:rPr>
                <w:b/>
              </w:rPr>
            </w:pPr>
            <w:r w:rsidRPr="00C87C31">
              <w:rPr>
                <w:b/>
              </w:rPr>
              <w:t>702</w:t>
            </w:r>
          </w:p>
        </w:tc>
        <w:tc>
          <w:tcPr>
            <w:tcW w:w="1784" w:type="dxa"/>
          </w:tcPr>
          <w:p w14:paraId="4D0E10F7" w14:textId="281E30CC" w:rsidR="00C87C31" w:rsidRPr="00C87C31" w:rsidRDefault="00C87C31" w:rsidP="00C87C31">
            <w:pPr>
              <w:jc w:val="center"/>
              <w:rPr>
                <w:b/>
              </w:rPr>
            </w:pPr>
            <w:r w:rsidRPr="00C87C31">
              <w:rPr>
                <w:b/>
              </w:rPr>
              <w:t>723</w:t>
            </w:r>
          </w:p>
        </w:tc>
      </w:tr>
      <w:tr w:rsidR="00C87C31" w14:paraId="776FD463" w14:textId="77777777" w:rsidTr="00C87C31">
        <w:tc>
          <w:tcPr>
            <w:tcW w:w="1500" w:type="dxa"/>
          </w:tcPr>
          <w:p w14:paraId="0BAFC935" w14:textId="6F9EB654" w:rsidR="00C87C31" w:rsidRPr="00C87C31" w:rsidRDefault="00C87C31" w:rsidP="00C87C31">
            <w:pPr>
              <w:jc w:val="center"/>
              <w:rPr>
                <w:b/>
              </w:rPr>
            </w:pPr>
            <w:r w:rsidRPr="00C87C31">
              <w:rPr>
                <w:b/>
              </w:rPr>
              <w:t>C</w:t>
            </w:r>
          </w:p>
        </w:tc>
        <w:tc>
          <w:tcPr>
            <w:tcW w:w="1804" w:type="dxa"/>
          </w:tcPr>
          <w:p w14:paraId="3AA30917" w14:textId="46E2F3CD" w:rsidR="00C87C31" w:rsidRPr="00C87C31" w:rsidRDefault="00C87C31" w:rsidP="00C87C31">
            <w:pPr>
              <w:jc w:val="center"/>
              <w:rPr>
                <w:b/>
              </w:rPr>
            </w:pPr>
            <w:r w:rsidRPr="00C87C31">
              <w:rPr>
                <w:b/>
              </w:rPr>
              <w:t>Patients accessing TAVI</w:t>
            </w:r>
          </w:p>
          <w:p w14:paraId="351F2941" w14:textId="36C59938" w:rsidR="00C87C31" w:rsidRPr="00C87C31" w:rsidRDefault="00C87C31" w:rsidP="00C87C31">
            <w:pPr>
              <w:jc w:val="center"/>
              <w:rPr>
                <w:b/>
              </w:rPr>
            </w:pPr>
            <w:r w:rsidRPr="00C87C31">
              <w:rPr>
                <w:b/>
              </w:rPr>
              <w:t>80% X B</w:t>
            </w:r>
          </w:p>
        </w:tc>
        <w:tc>
          <w:tcPr>
            <w:tcW w:w="1784" w:type="dxa"/>
          </w:tcPr>
          <w:p w14:paraId="077E7A6F" w14:textId="367A88C8" w:rsidR="00C87C31" w:rsidRPr="00C87C31" w:rsidRDefault="00C87C31" w:rsidP="00C87C31">
            <w:pPr>
              <w:jc w:val="center"/>
              <w:rPr>
                <w:b/>
              </w:rPr>
            </w:pPr>
            <w:r w:rsidRPr="00C87C31">
              <w:rPr>
                <w:b/>
              </w:rPr>
              <w:t>544</w:t>
            </w:r>
          </w:p>
        </w:tc>
        <w:tc>
          <w:tcPr>
            <w:tcW w:w="1784" w:type="dxa"/>
          </w:tcPr>
          <w:p w14:paraId="1A2BA34F" w14:textId="1178C683" w:rsidR="00C87C31" w:rsidRPr="00C87C31" w:rsidRDefault="00C87C31" w:rsidP="00C87C31">
            <w:pPr>
              <w:jc w:val="center"/>
              <w:rPr>
                <w:b/>
              </w:rPr>
            </w:pPr>
            <w:r w:rsidRPr="00C87C31">
              <w:rPr>
                <w:b/>
              </w:rPr>
              <w:t>561</w:t>
            </w:r>
          </w:p>
        </w:tc>
        <w:tc>
          <w:tcPr>
            <w:tcW w:w="1784" w:type="dxa"/>
          </w:tcPr>
          <w:p w14:paraId="1724BCE8" w14:textId="090C7982" w:rsidR="00C87C31" w:rsidRPr="00C87C31" w:rsidRDefault="00C87C31" w:rsidP="00C87C31">
            <w:pPr>
              <w:jc w:val="center"/>
              <w:rPr>
                <w:b/>
              </w:rPr>
            </w:pPr>
            <w:r w:rsidRPr="00C87C31">
              <w:rPr>
                <w:b/>
              </w:rPr>
              <w:t>578</w:t>
            </w:r>
          </w:p>
        </w:tc>
      </w:tr>
    </w:tbl>
    <w:p w14:paraId="02DE0169" w14:textId="77777777" w:rsidR="00522175" w:rsidRDefault="00522175" w:rsidP="00522175">
      <w:pPr>
        <w:ind w:left="360"/>
      </w:pPr>
    </w:p>
    <w:p w14:paraId="034DC462" w14:textId="050322C7" w:rsidR="00522175" w:rsidRPr="00522175" w:rsidRDefault="00522175" w:rsidP="00522175">
      <w:pPr>
        <w:ind w:left="360"/>
      </w:pPr>
      <w:r>
        <w:t>As access to TAVI is determined by the TAVI Heart Team, it is unlikely that there will be leakage to populations outside the eligible population.</w:t>
      </w:r>
    </w:p>
    <w:p w14:paraId="3D640491" w14:textId="77777777" w:rsidR="00951933" w:rsidRPr="00C776B1" w:rsidRDefault="001B5169" w:rsidP="00AE1188">
      <w:pPr>
        <w:pStyle w:val="Heading1"/>
      </w:pPr>
      <w:r>
        <w:t>PART 8</w:t>
      </w:r>
      <w:r w:rsidR="00F93784">
        <w:t xml:space="preserve"> – </w:t>
      </w:r>
      <w:r w:rsidR="005A58BA">
        <w:t>COST</w:t>
      </w:r>
      <w:r w:rsidR="00951933" w:rsidRPr="00C776B1">
        <w:t xml:space="preserve"> INFORMATION</w:t>
      </w:r>
    </w:p>
    <w:p w14:paraId="410FF58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C4C4259" w14:textId="3C178414" w:rsidR="00951933" w:rsidRDefault="00C87C31" w:rsidP="00AE1188">
      <w:pPr>
        <w:ind w:left="426"/>
        <w:rPr>
          <w:szCs w:val="20"/>
        </w:rPr>
      </w:pPr>
      <w:r>
        <w:rPr>
          <w:szCs w:val="20"/>
        </w:rPr>
        <w:t>TAVI implants are</w:t>
      </w:r>
      <w:r w:rsidR="00FE1F97">
        <w:rPr>
          <w:szCs w:val="20"/>
        </w:rPr>
        <w:t xml:space="preserve"> currently</w:t>
      </w:r>
      <w:r>
        <w:rPr>
          <w:szCs w:val="20"/>
        </w:rPr>
        <w:t xml:space="preserve"> included on the Prostheses List at $22,932.  </w:t>
      </w:r>
    </w:p>
    <w:p w14:paraId="41848EBA" w14:textId="614E1552" w:rsidR="00C87C31" w:rsidRDefault="00C87C31" w:rsidP="00AE1188">
      <w:pPr>
        <w:ind w:left="426"/>
        <w:rPr>
          <w:szCs w:val="20"/>
        </w:rPr>
      </w:pPr>
      <w:r>
        <w:rPr>
          <w:szCs w:val="20"/>
        </w:rPr>
        <w:t>Other cost items include the following MBS Item numbers</w:t>
      </w:r>
    </w:p>
    <w:p w14:paraId="0B94DDA8" w14:textId="77777777" w:rsidR="006D1974" w:rsidRDefault="006D1974" w:rsidP="00AE1188">
      <w:pPr>
        <w:ind w:left="426"/>
        <w:rPr>
          <w:szCs w:val="20"/>
        </w:rPr>
      </w:pPr>
    </w:p>
    <w:tbl>
      <w:tblPr>
        <w:tblStyle w:val="TableGrid"/>
        <w:tblW w:w="0" w:type="auto"/>
        <w:tblInd w:w="426" w:type="dxa"/>
        <w:tblLook w:val="04A0" w:firstRow="1" w:lastRow="0" w:firstColumn="1" w:lastColumn="0" w:noHBand="0" w:noVBand="1"/>
        <w:tblCaption w:val="Question 51"/>
        <w:tblDescription w:val="Table showing Other cost items "/>
      </w:tblPr>
      <w:tblGrid>
        <w:gridCol w:w="3175"/>
        <w:gridCol w:w="1781"/>
        <w:gridCol w:w="1657"/>
        <w:gridCol w:w="1977"/>
      </w:tblGrid>
      <w:tr w:rsidR="006D1974" w14:paraId="6BD5029B" w14:textId="77777777" w:rsidTr="000D5B57">
        <w:trPr>
          <w:tblHeader/>
        </w:trPr>
        <w:tc>
          <w:tcPr>
            <w:tcW w:w="3175" w:type="dxa"/>
            <w:shd w:val="clear" w:color="auto" w:fill="D9D9D9" w:themeFill="background1" w:themeFillShade="D9"/>
          </w:tcPr>
          <w:p w14:paraId="3CF4B55D" w14:textId="22EA2C94" w:rsidR="006D1974" w:rsidRPr="000A4E91" w:rsidRDefault="006D1974" w:rsidP="000A4E91">
            <w:pPr>
              <w:jc w:val="center"/>
              <w:rPr>
                <w:b/>
                <w:szCs w:val="20"/>
              </w:rPr>
            </w:pPr>
            <w:r w:rsidRPr="000A4E91">
              <w:rPr>
                <w:b/>
                <w:szCs w:val="20"/>
              </w:rPr>
              <w:t>Cost Item</w:t>
            </w:r>
          </w:p>
        </w:tc>
        <w:tc>
          <w:tcPr>
            <w:tcW w:w="1781" w:type="dxa"/>
            <w:shd w:val="clear" w:color="auto" w:fill="D9D9D9" w:themeFill="background1" w:themeFillShade="D9"/>
          </w:tcPr>
          <w:p w14:paraId="12DE8562" w14:textId="591E65F6" w:rsidR="006D1974" w:rsidRPr="000A4E91" w:rsidRDefault="006D1974" w:rsidP="000A4E91">
            <w:pPr>
              <w:jc w:val="center"/>
              <w:rPr>
                <w:b/>
                <w:szCs w:val="20"/>
              </w:rPr>
            </w:pPr>
            <w:r w:rsidRPr="000A4E91">
              <w:rPr>
                <w:b/>
                <w:szCs w:val="20"/>
              </w:rPr>
              <w:t>MBS Item Number</w:t>
            </w:r>
          </w:p>
        </w:tc>
        <w:tc>
          <w:tcPr>
            <w:tcW w:w="1657" w:type="dxa"/>
            <w:shd w:val="clear" w:color="auto" w:fill="D9D9D9" w:themeFill="background1" w:themeFillShade="D9"/>
          </w:tcPr>
          <w:p w14:paraId="7DAFB6D9" w14:textId="44F20AB8" w:rsidR="006D1974" w:rsidRPr="000A4E91" w:rsidRDefault="006D1974" w:rsidP="000A4E91">
            <w:pPr>
              <w:jc w:val="center"/>
              <w:rPr>
                <w:b/>
                <w:szCs w:val="20"/>
              </w:rPr>
            </w:pPr>
            <w:r w:rsidRPr="000A4E91">
              <w:rPr>
                <w:b/>
                <w:szCs w:val="20"/>
              </w:rPr>
              <w:t>100% MBS Fee</w:t>
            </w:r>
          </w:p>
        </w:tc>
        <w:tc>
          <w:tcPr>
            <w:tcW w:w="1977" w:type="dxa"/>
            <w:shd w:val="clear" w:color="auto" w:fill="D9D9D9" w:themeFill="background1" w:themeFillShade="D9"/>
          </w:tcPr>
          <w:p w14:paraId="59069027" w14:textId="3A1E6756" w:rsidR="006D1974" w:rsidRPr="000A4E91" w:rsidRDefault="006D1974" w:rsidP="000A4E91">
            <w:pPr>
              <w:jc w:val="center"/>
              <w:rPr>
                <w:b/>
                <w:szCs w:val="20"/>
              </w:rPr>
            </w:pPr>
            <w:r w:rsidRPr="000A4E91">
              <w:rPr>
                <w:b/>
                <w:szCs w:val="20"/>
              </w:rPr>
              <w:t>75% Benefit</w:t>
            </w:r>
          </w:p>
        </w:tc>
      </w:tr>
      <w:tr w:rsidR="006D1974" w14:paraId="482F0083" w14:textId="77777777" w:rsidTr="000A4E91">
        <w:tc>
          <w:tcPr>
            <w:tcW w:w="3175" w:type="dxa"/>
            <w:shd w:val="clear" w:color="auto" w:fill="BFBFBF" w:themeFill="background1" w:themeFillShade="BF"/>
          </w:tcPr>
          <w:p w14:paraId="65D1D75D" w14:textId="16EE78D7" w:rsidR="006D1974" w:rsidRPr="000A4E91" w:rsidRDefault="006D1974" w:rsidP="000A4E91">
            <w:pPr>
              <w:jc w:val="center"/>
              <w:rPr>
                <w:b/>
                <w:szCs w:val="20"/>
              </w:rPr>
            </w:pPr>
            <w:r w:rsidRPr="000A4E91">
              <w:rPr>
                <w:b/>
                <w:szCs w:val="20"/>
              </w:rPr>
              <w:t>TAVI Case Conference -Organiser</w:t>
            </w:r>
          </w:p>
        </w:tc>
        <w:tc>
          <w:tcPr>
            <w:tcW w:w="1781" w:type="dxa"/>
          </w:tcPr>
          <w:p w14:paraId="3E3FE9B8" w14:textId="0DF8911C" w:rsidR="006D1974" w:rsidRPr="000A4E91" w:rsidRDefault="006D1974" w:rsidP="000A4E91">
            <w:pPr>
              <w:jc w:val="center"/>
              <w:rPr>
                <w:b/>
                <w:szCs w:val="20"/>
              </w:rPr>
            </w:pPr>
            <w:r w:rsidRPr="000A4E91">
              <w:rPr>
                <w:b/>
                <w:szCs w:val="20"/>
              </w:rPr>
              <w:t>6080</w:t>
            </w:r>
          </w:p>
        </w:tc>
        <w:tc>
          <w:tcPr>
            <w:tcW w:w="1657" w:type="dxa"/>
          </w:tcPr>
          <w:p w14:paraId="34F61701" w14:textId="38291500" w:rsidR="006D1974" w:rsidRPr="000A4E91" w:rsidRDefault="006D1974" w:rsidP="000A4E91">
            <w:pPr>
              <w:jc w:val="center"/>
              <w:rPr>
                <w:b/>
                <w:szCs w:val="20"/>
              </w:rPr>
            </w:pPr>
            <w:r w:rsidRPr="000A4E91">
              <w:rPr>
                <w:b/>
                <w:szCs w:val="20"/>
              </w:rPr>
              <w:t>$50.15</w:t>
            </w:r>
          </w:p>
        </w:tc>
        <w:tc>
          <w:tcPr>
            <w:tcW w:w="1977" w:type="dxa"/>
          </w:tcPr>
          <w:p w14:paraId="5FDD4F10" w14:textId="27986B1F" w:rsidR="006D1974" w:rsidRPr="000A4E91" w:rsidRDefault="006D1974" w:rsidP="000A4E91">
            <w:pPr>
              <w:jc w:val="center"/>
              <w:rPr>
                <w:b/>
                <w:szCs w:val="20"/>
              </w:rPr>
            </w:pPr>
            <w:r w:rsidRPr="000A4E91">
              <w:rPr>
                <w:b/>
                <w:szCs w:val="20"/>
              </w:rPr>
              <w:t>$37.65</w:t>
            </w:r>
          </w:p>
        </w:tc>
      </w:tr>
      <w:tr w:rsidR="006D1974" w14:paraId="7A3F36A6" w14:textId="77777777" w:rsidTr="000A4E91">
        <w:tc>
          <w:tcPr>
            <w:tcW w:w="3175" w:type="dxa"/>
            <w:shd w:val="clear" w:color="auto" w:fill="BFBFBF" w:themeFill="background1" w:themeFillShade="BF"/>
          </w:tcPr>
          <w:p w14:paraId="3248F908" w14:textId="2C3F3B93" w:rsidR="006D1974" w:rsidRPr="000A4E91" w:rsidRDefault="006D1974" w:rsidP="000A4E91">
            <w:pPr>
              <w:jc w:val="center"/>
              <w:rPr>
                <w:b/>
                <w:szCs w:val="20"/>
              </w:rPr>
            </w:pPr>
            <w:r w:rsidRPr="000A4E91">
              <w:rPr>
                <w:b/>
                <w:szCs w:val="20"/>
              </w:rPr>
              <w:t>TAVI Case Conference Attendance X 3</w:t>
            </w:r>
          </w:p>
        </w:tc>
        <w:tc>
          <w:tcPr>
            <w:tcW w:w="1781" w:type="dxa"/>
          </w:tcPr>
          <w:p w14:paraId="34867FA6" w14:textId="279AD5E6" w:rsidR="006D1974" w:rsidRPr="000A4E91" w:rsidRDefault="006D1974" w:rsidP="000A4E91">
            <w:pPr>
              <w:jc w:val="center"/>
              <w:rPr>
                <w:b/>
                <w:szCs w:val="20"/>
              </w:rPr>
            </w:pPr>
            <w:r w:rsidRPr="000A4E91">
              <w:rPr>
                <w:b/>
                <w:szCs w:val="20"/>
              </w:rPr>
              <w:t>6081</w:t>
            </w:r>
          </w:p>
        </w:tc>
        <w:tc>
          <w:tcPr>
            <w:tcW w:w="1657" w:type="dxa"/>
          </w:tcPr>
          <w:p w14:paraId="26DBD1AE" w14:textId="70446181" w:rsidR="006D1974" w:rsidRPr="000A4E91" w:rsidRDefault="006D1974" w:rsidP="000A4E91">
            <w:pPr>
              <w:jc w:val="center"/>
              <w:rPr>
                <w:b/>
                <w:szCs w:val="20"/>
              </w:rPr>
            </w:pPr>
            <w:r w:rsidRPr="000A4E91">
              <w:rPr>
                <w:b/>
                <w:szCs w:val="20"/>
              </w:rPr>
              <w:t>$37.40</w:t>
            </w:r>
          </w:p>
        </w:tc>
        <w:tc>
          <w:tcPr>
            <w:tcW w:w="1977" w:type="dxa"/>
          </w:tcPr>
          <w:p w14:paraId="5A07D9E6" w14:textId="546F9A23" w:rsidR="006D1974" w:rsidRPr="000A4E91" w:rsidRDefault="006D1974" w:rsidP="000A4E91">
            <w:pPr>
              <w:jc w:val="center"/>
              <w:rPr>
                <w:b/>
                <w:szCs w:val="20"/>
              </w:rPr>
            </w:pPr>
            <w:r w:rsidRPr="000A4E91">
              <w:rPr>
                <w:b/>
                <w:szCs w:val="20"/>
              </w:rPr>
              <w:t>$28.05</w:t>
            </w:r>
          </w:p>
        </w:tc>
      </w:tr>
      <w:tr w:rsidR="006D1974" w14:paraId="6D5603F8" w14:textId="77777777" w:rsidTr="000A4E91">
        <w:tc>
          <w:tcPr>
            <w:tcW w:w="3175" w:type="dxa"/>
            <w:shd w:val="clear" w:color="auto" w:fill="BFBFBF" w:themeFill="background1" w:themeFillShade="BF"/>
          </w:tcPr>
          <w:p w14:paraId="17FC6D18" w14:textId="7FAE85E9" w:rsidR="006D1974" w:rsidRPr="000A4E91" w:rsidRDefault="006D1974" w:rsidP="000A4E91">
            <w:pPr>
              <w:jc w:val="center"/>
              <w:rPr>
                <w:b/>
                <w:szCs w:val="20"/>
              </w:rPr>
            </w:pPr>
            <w:r w:rsidRPr="000A4E91">
              <w:rPr>
                <w:b/>
                <w:szCs w:val="20"/>
              </w:rPr>
              <w:t>TAVI Procedure including all intraoperative diagnostic imaging</w:t>
            </w:r>
          </w:p>
        </w:tc>
        <w:tc>
          <w:tcPr>
            <w:tcW w:w="1781" w:type="dxa"/>
          </w:tcPr>
          <w:p w14:paraId="49F1EA84" w14:textId="709F69F6" w:rsidR="006D1974" w:rsidRPr="000A4E91" w:rsidRDefault="006D1974" w:rsidP="000A4E91">
            <w:pPr>
              <w:jc w:val="center"/>
              <w:rPr>
                <w:b/>
                <w:szCs w:val="20"/>
              </w:rPr>
            </w:pPr>
            <w:r w:rsidRPr="000A4E91">
              <w:rPr>
                <w:b/>
                <w:szCs w:val="20"/>
              </w:rPr>
              <w:t>38495</w:t>
            </w:r>
          </w:p>
        </w:tc>
        <w:tc>
          <w:tcPr>
            <w:tcW w:w="1657" w:type="dxa"/>
          </w:tcPr>
          <w:p w14:paraId="60BE97A7" w14:textId="5E33FCF1" w:rsidR="006D1974" w:rsidRPr="000A4E91" w:rsidRDefault="006D1974" w:rsidP="000A4E91">
            <w:pPr>
              <w:jc w:val="center"/>
              <w:rPr>
                <w:b/>
                <w:szCs w:val="20"/>
              </w:rPr>
            </w:pPr>
            <w:r w:rsidRPr="000A4E91">
              <w:rPr>
                <w:b/>
                <w:szCs w:val="20"/>
              </w:rPr>
              <w:t>$1,432.20</w:t>
            </w:r>
          </w:p>
        </w:tc>
        <w:tc>
          <w:tcPr>
            <w:tcW w:w="1977" w:type="dxa"/>
          </w:tcPr>
          <w:p w14:paraId="0ACCC95F" w14:textId="0E760943" w:rsidR="006D1974" w:rsidRPr="000A4E91" w:rsidRDefault="006D1974" w:rsidP="000A4E91">
            <w:pPr>
              <w:jc w:val="center"/>
              <w:rPr>
                <w:b/>
                <w:szCs w:val="20"/>
              </w:rPr>
            </w:pPr>
            <w:r w:rsidRPr="000A4E91">
              <w:rPr>
                <w:b/>
                <w:szCs w:val="20"/>
              </w:rPr>
              <w:t>$1,074</w:t>
            </w:r>
          </w:p>
        </w:tc>
      </w:tr>
      <w:tr w:rsidR="006D1974" w14:paraId="46B73EAB" w14:textId="77777777" w:rsidTr="000A4E91">
        <w:tc>
          <w:tcPr>
            <w:tcW w:w="3175" w:type="dxa"/>
            <w:shd w:val="clear" w:color="auto" w:fill="BFBFBF" w:themeFill="background1" w:themeFillShade="BF"/>
          </w:tcPr>
          <w:p w14:paraId="5179B4EC" w14:textId="0F0C18FE" w:rsidR="006D1974" w:rsidRPr="000A4E91" w:rsidRDefault="006D1974" w:rsidP="000A4E91">
            <w:pPr>
              <w:jc w:val="center"/>
              <w:rPr>
                <w:b/>
                <w:szCs w:val="20"/>
              </w:rPr>
            </w:pPr>
            <w:r w:rsidRPr="000A4E91">
              <w:rPr>
                <w:b/>
                <w:szCs w:val="20"/>
              </w:rPr>
              <w:t>Assistant</w:t>
            </w:r>
          </w:p>
        </w:tc>
        <w:tc>
          <w:tcPr>
            <w:tcW w:w="1781" w:type="dxa"/>
          </w:tcPr>
          <w:p w14:paraId="451E961B" w14:textId="01922BDC" w:rsidR="006D1974" w:rsidRPr="000A4E91" w:rsidRDefault="00273B08" w:rsidP="000A4E91">
            <w:pPr>
              <w:jc w:val="center"/>
              <w:rPr>
                <w:b/>
                <w:szCs w:val="20"/>
              </w:rPr>
            </w:pPr>
            <w:r w:rsidRPr="000A4E91">
              <w:rPr>
                <w:b/>
                <w:szCs w:val="20"/>
              </w:rPr>
              <w:t>51303</w:t>
            </w:r>
          </w:p>
        </w:tc>
        <w:tc>
          <w:tcPr>
            <w:tcW w:w="1657" w:type="dxa"/>
          </w:tcPr>
          <w:p w14:paraId="41715184" w14:textId="6A010868" w:rsidR="006D1974" w:rsidRPr="000A4E91" w:rsidRDefault="00273B08" w:rsidP="000A4E91">
            <w:pPr>
              <w:jc w:val="center"/>
              <w:rPr>
                <w:b/>
                <w:szCs w:val="20"/>
              </w:rPr>
            </w:pPr>
            <w:r w:rsidRPr="000A4E91">
              <w:rPr>
                <w:b/>
                <w:szCs w:val="20"/>
              </w:rPr>
              <w:t>$286.40</w:t>
            </w:r>
          </w:p>
        </w:tc>
        <w:tc>
          <w:tcPr>
            <w:tcW w:w="1977" w:type="dxa"/>
          </w:tcPr>
          <w:p w14:paraId="33510846" w14:textId="4025F22C" w:rsidR="006D1974" w:rsidRPr="000A4E91" w:rsidRDefault="00273B08" w:rsidP="000A4E91">
            <w:pPr>
              <w:jc w:val="center"/>
              <w:rPr>
                <w:b/>
                <w:szCs w:val="20"/>
              </w:rPr>
            </w:pPr>
            <w:r w:rsidRPr="000A4E91">
              <w:rPr>
                <w:b/>
                <w:szCs w:val="20"/>
              </w:rPr>
              <w:t>$214.80</w:t>
            </w:r>
          </w:p>
        </w:tc>
      </w:tr>
      <w:tr w:rsidR="00273B08" w14:paraId="0ECFCC40" w14:textId="77777777" w:rsidTr="000A4E91">
        <w:tc>
          <w:tcPr>
            <w:tcW w:w="3175" w:type="dxa"/>
            <w:shd w:val="clear" w:color="auto" w:fill="BFBFBF" w:themeFill="background1" w:themeFillShade="BF"/>
          </w:tcPr>
          <w:p w14:paraId="5B1BD0FA" w14:textId="43C5D2C7" w:rsidR="00273B08" w:rsidRPr="000A4E91" w:rsidRDefault="00273B08" w:rsidP="000A4E91">
            <w:pPr>
              <w:jc w:val="center"/>
              <w:rPr>
                <w:b/>
                <w:szCs w:val="20"/>
              </w:rPr>
            </w:pPr>
            <w:r w:rsidRPr="000A4E91">
              <w:rPr>
                <w:b/>
                <w:szCs w:val="20"/>
              </w:rPr>
              <w:t>Initiation of Anaesthesia</w:t>
            </w:r>
          </w:p>
        </w:tc>
        <w:tc>
          <w:tcPr>
            <w:tcW w:w="1781" w:type="dxa"/>
          </w:tcPr>
          <w:p w14:paraId="552CFA49" w14:textId="3C01E2FB" w:rsidR="00273B08" w:rsidRPr="000A4E91" w:rsidRDefault="00273B08" w:rsidP="000A4E91">
            <w:pPr>
              <w:jc w:val="center"/>
              <w:rPr>
                <w:b/>
                <w:szCs w:val="20"/>
              </w:rPr>
            </w:pPr>
            <w:r w:rsidRPr="000A4E91">
              <w:rPr>
                <w:b/>
                <w:szCs w:val="20"/>
              </w:rPr>
              <w:t>21941</w:t>
            </w:r>
          </w:p>
        </w:tc>
        <w:tc>
          <w:tcPr>
            <w:tcW w:w="1657" w:type="dxa"/>
          </w:tcPr>
          <w:p w14:paraId="398A98D6" w14:textId="647660FA" w:rsidR="00273B08" w:rsidRPr="000A4E91" w:rsidRDefault="00273B08" w:rsidP="000A4E91">
            <w:pPr>
              <w:jc w:val="center"/>
              <w:rPr>
                <w:b/>
                <w:szCs w:val="20"/>
              </w:rPr>
            </w:pPr>
            <w:r w:rsidRPr="000A4E91">
              <w:rPr>
                <w:b/>
                <w:szCs w:val="20"/>
              </w:rPr>
              <w:t>$138.60</w:t>
            </w:r>
          </w:p>
        </w:tc>
        <w:tc>
          <w:tcPr>
            <w:tcW w:w="1977" w:type="dxa"/>
          </w:tcPr>
          <w:p w14:paraId="15162D2D" w14:textId="281D521E" w:rsidR="00273B08" w:rsidRPr="000A4E91" w:rsidRDefault="00273B08" w:rsidP="000A4E91">
            <w:pPr>
              <w:jc w:val="center"/>
              <w:rPr>
                <w:b/>
                <w:szCs w:val="20"/>
              </w:rPr>
            </w:pPr>
            <w:r w:rsidRPr="000A4E91">
              <w:rPr>
                <w:b/>
                <w:szCs w:val="20"/>
              </w:rPr>
              <w:t>$103.95</w:t>
            </w:r>
          </w:p>
        </w:tc>
      </w:tr>
      <w:tr w:rsidR="00273B08" w14:paraId="66511597" w14:textId="77777777" w:rsidTr="000A4E91">
        <w:tc>
          <w:tcPr>
            <w:tcW w:w="3175" w:type="dxa"/>
            <w:shd w:val="clear" w:color="auto" w:fill="BFBFBF" w:themeFill="background1" w:themeFillShade="BF"/>
          </w:tcPr>
          <w:p w14:paraId="3039204A" w14:textId="7E759641" w:rsidR="00273B08" w:rsidRPr="000A4E91" w:rsidRDefault="00273B08" w:rsidP="000A4E91">
            <w:pPr>
              <w:jc w:val="center"/>
              <w:rPr>
                <w:b/>
                <w:szCs w:val="20"/>
              </w:rPr>
            </w:pPr>
            <w:r w:rsidRPr="000A4E91">
              <w:rPr>
                <w:b/>
                <w:szCs w:val="20"/>
              </w:rPr>
              <w:t>Anaesthesia Time Units 1:41 to 1:45 hours</w:t>
            </w:r>
          </w:p>
        </w:tc>
        <w:tc>
          <w:tcPr>
            <w:tcW w:w="1781" w:type="dxa"/>
          </w:tcPr>
          <w:p w14:paraId="1A989020" w14:textId="53776A37" w:rsidR="00273B08" w:rsidRPr="000A4E91" w:rsidRDefault="00273B08" w:rsidP="000A4E91">
            <w:pPr>
              <w:jc w:val="center"/>
              <w:rPr>
                <w:b/>
                <w:szCs w:val="20"/>
              </w:rPr>
            </w:pPr>
            <w:r w:rsidRPr="000A4E91">
              <w:rPr>
                <w:b/>
                <w:szCs w:val="20"/>
              </w:rPr>
              <w:t>23073</w:t>
            </w:r>
          </w:p>
        </w:tc>
        <w:tc>
          <w:tcPr>
            <w:tcW w:w="1657" w:type="dxa"/>
          </w:tcPr>
          <w:p w14:paraId="69DDDBE9" w14:textId="30396ECE" w:rsidR="00273B08" w:rsidRPr="000A4E91" w:rsidRDefault="00273B08" w:rsidP="000A4E91">
            <w:pPr>
              <w:jc w:val="center"/>
              <w:rPr>
                <w:b/>
                <w:szCs w:val="20"/>
              </w:rPr>
            </w:pPr>
            <w:r w:rsidRPr="000A4E91">
              <w:rPr>
                <w:b/>
                <w:szCs w:val="20"/>
              </w:rPr>
              <w:t>$138.60</w:t>
            </w:r>
          </w:p>
        </w:tc>
        <w:tc>
          <w:tcPr>
            <w:tcW w:w="1977" w:type="dxa"/>
          </w:tcPr>
          <w:p w14:paraId="7F4A7400" w14:textId="02AD1DCC" w:rsidR="00273B08" w:rsidRPr="000A4E91" w:rsidRDefault="00273B08" w:rsidP="000A4E91">
            <w:pPr>
              <w:jc w:val="center"/>
              <w:rPr>
                <w:b/>
                <w:szCs w:val="20"/>
              </w:rPr>
            </w:pPr>
            <w:r w:rsidRPr="000A4E91">
              <w:rPr>
                <w:b/>
                <w:szCs w:val="20"/>
              </w:rPr>
              <w:t>$103.95</w:t>
            </w:r>
          </w:p>
        </w:tc>
      </w:tr>
      <w:tr w:rsidR="00273B08" w14:paraId="7A138223" w14:textId="77777777" w:rsidTr="000A4E91">
        <w:tc>
          <w:tcPr>
            <w:tcW w:w="3175" w:type="dxa"/>
            <w:shd w:val="clear" w:color="auto" w:fill="BFBFBF" w:themeFill="background1" w:themeFillShade="BF"/>
          </w:tcPr>
          <w:p w14:paraId="2FB6253D" w14:textId="6ADA425E" w:rsidR="00273B08" w:rsidRPr="000A4E91" w:rsidRDefault="00273B08" w:rsidP="000A4E91">
            <w:pPr>
              <w:jc w:val="center"/>
              <w:rPr>
                <w:b/>
                <w:szCs w:val="20"/>
              </w:rPr>
            </w:pPr>
            <w:r w:rsidRPr="000A4E91">
              <w:rPr>
                <w:b/>
                <w:szCs w:val="20"/>
              </w:rPr>
              <w:t>ICU Attendance</w:t>
            </w:r>
          </w:p>
        </w:tc>
        <w:tc>
          <w:tcPr>
            <w:tcW w:w="1781" w:type="dxa"/>
          </w:tcPr>
          <w:p w14:paraId="79BF6D59" w14:textId="0F0BE7DA" w:rsidR="00273B08" w:rsidRPr="000A4E91" w:rsidRDefault="00273B08" w:rsidP="000A4E91">
            <w:pPr>
              <w:jc w:val="center"/>
              <w:rPr>
                <w:b/>
                <w:szCs w:val="20"/>
              </w:rPr>
            </w:pPr>
            <w:r w:rsidRPr="000A4E91">
              <w:rPr>
                <w:b/>
                <w:szCs w:val="20"/>
              </w:rPr>
              <w:t>13870</w:t>
            </w:r>
          </w:p>
        </w:tc>
        <w:tc>
          <w:tcPr>
            <w:tcW w:w="1657" w:type="dxa"/>
          </w:tcPr>
          <w:p w14:paraId="3FD2E784" w14:textId="1D4E8FFA" w:rsidR="00273B08" w:rsidRPr="000A4E91" w:rsidRDefault="00273B08" w:rsidP="000A4E91">
            <w:pPr>
              <w:jc w:val="center"/>
              <w:rPr>
                <w:b/>
                <w:szCs w:val="20"/>
              </w:rPr>
            </w:pPr>
            <w:r w:rsidRPr="000A4E91">
              <w:rPr>
                <w:b/>
                <w:szCs w:val="20"/>
              </w:rPr>
              <w:t>$362.10</w:t>
            </w:r>
          </w:p>
        </w:tc>
        <w:tc>
          <w:tcPr>
            <w:tcW w:w="1977" w:type="dxa"/>
          </w:tcPr>
          <w:p w14:paraId="19089A48" w14:textId="05566443" w:rsidR="00273B08" w:rsidRPr="000A4E91" w:rsidRDefault="00273B08" w:rsidP="000A4E91">
            <w:pPr>
              <w:jc w:val="center"/>
              <w:rPr>
                <w:b/>
                <w:szCs w:val="20"/>
              </w:rPr>
            </w:pPr>
            <w:r w:rsidRPr="000A4E91">
              <w:rPr>
                <w:b/>
                <w:szCs w:val="20"/>
              </w:rPr>
              <w:t>$271.60</w:t>
            </w:r>
          </w:p>
        </w:tc>
      </w:tr>
      <w:tr w:rsidR="00273B08" w14:paraId="300E24ED" w14:textId="77777777" w:rsidTr="000A4E91">
        <w:tc>
          <w:tcPr>
            <w:tcW w:w="3175" w:type="dxa"/>
            <w:shd w:val="clear" w:color="auto" w:fill="BFBFBF" w:themeFill="background1" w:themeFillShade="BF"/>
          </w:tcPr>
          <w:p w14:paraId="1093DDA2" w14:textId="46BAF794" w:rsidR="00273B08" w:rsidRPr="000A4E91" w:rsidRDefault="00273B08" w:rsidP="000A4E91">
            <w:pPr>
              <w:jc w:val="center"/>
              <w:rPr>
                <w:b/>
                <w:szCs w:val="20"/>
              </w:rPr>
            </w:pPr>
            <w:r w:rsidRPr="000A4E91">
              <w:rPr>
                <w:b/>
                <w:szCs w:val="20"/>
              </w:rPr>
              <w:t>Transthoracic echocardiography</w:t>
            </w:r>
          </w:p>
        </w:tc>
        <w:tc>
          <w:tcPr>
            <w:tcW w:w="1781" w:type="dxa"/>
          </w:tcPr>
          <w:p w14:paraId="13AA3AB7" w14:textId="105180C5" w:rsidR="00273B08" w:rsidRPr="000A4E91" w:rsidRDefault="00273B08" w:rsidP="000A4E91">
            <w:pPr>
              <w:jc w:val="center"/>
              <w:rPr>
                <w:b/>
                <w:szCs w:val="20"/>
              </w:rPr>
            </w:pPr>
            <w:r w:rsidRPr="000A4E91">
              <w:rPr>
                <w:b/>
                <w:szCs w:val="20"/>
              </w:rPr>
              <w:t>55113</w:t>
            </w:r>
          </w:p>
        </w:tc>
        <w:tc>
          <w:tcPr>
            <w:tcW w:w="1657" w:type="dxa"/>
          </w:tcPr>
          <w:p w14:paraId="049B2E10" w14:textId="6D0ADC9F" w:rsidR="00273B08" w:rsidRPr="000A4E91" w:rsidRDefault="000A4E91" w:rsidP="000A4E91">
            <w:pPr>
              <w:jc w:val="center"/>
              <w:rPr>
                <w:b/>
                <w:szCs w:val="20"/>
              </w:rPr>
            </w:pPr>
            <w:r w:rsidRPr="000A4E91">
              <w:rPr>
                <w:b/>
                <w:szCs w:val="20"/>
              </w:rPr>
              <w:t>$230.65</w:t>
            </w:r>
          </w:p>
        </w:tc>
        <w:tc>
          <w:tcPr>
            <w:tcW w:w="1977" w:type="dxa"/>
          </w:tcPr>
          <w:p w14:paraId="5042DC66" w14:textId="6D7FB91C" w:rsidR="00273B08" w:rsidRPr="000A4E91" w:rsidRDefault="000A4E91" w:rsidP="000A4E91">
            <w:pPr>
              <w:jc w:val="center"/>
              <w:rPr>
                <w:b/>
                <w:szCs w:val="20"/>
              </w:rPr>
            </w:pPr>
            <w:r w:rsidRPr="000A4E91">
              <w:rPr>
                <w:b/>
                <w:szCs w:val="20"/>
              </w:rPr>
              <w:t>$173.00</w:t>
            </w:r>
          </w:p>
        </w:tc>
      </w:tr>
    </w:tbl>
    <w:p w14:paraId="76133E36" w14:textId="77777777" w:rsidR="006D1974" w:rsidRDefault="006D1974" w:rsidP="00AE1188">
      <w:pPr>
        <w:ind w:left="426"/>
        <w:rPr>
          <w:szCs w:val="20"/>
        </w:rPr>
      </w:pPr>
    </w:p>
    <w:p w14:paraId="1CDBAE54" w14:textId="77777777" w:rsidR="00C87C31" w:rsidRPr="00154B00" w:rsidRDefault="00C87C31" w:rsidP="00AE1188">
      <w:pPr>
        <w:ind w:left="426"/>
        <w:rPr>
          <w:szCs w:val="20"/>
        </w:rPr>
      </w:pPr>
    </w:p>
    <w:p w14:paraId="349A0A2D"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48542E2" w14:textId="6D27A265" w:rsidR="00951933" w:rsidRDefault="004A4870" w:rsidP="00AE1188">
      <w:pPr>
        <w:ind w:left="426"/>
        <w:rPr>
          <w:b/>
          <w:szCs w:val="20"/>
        </w:rPr>
      </w:pPr>
      <w:r>
        <w:t>The procedure will take 1</w:t>
      </w:r>
      <w:r w:rsidR="00FE1F97">
        <w:t xml:space="preserve"> – 1.5</w:t>
      </w:r>
      <w:r>
        <w:t xml:space="preserve"> hours</w:t>
      </w:r>
    </w:p>
    <w:p w14:paraId="5763861B" w14:textId="2EE0BDF1"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EE38F74" w14:textId="0EF6D9D8" w:rsidR="004A4870" w:rsidRPr="004A4870" w:rsidRDefault="004A4870" w:rsidP="004A4870">
      <w:r>
        <w:t xml:space="preserve">The existing MBS item number will suffice for the new </w:t>
      </w:r>
      <w:r w:rsidR="00815AF3">
        <w:t>indication.</w:t>
      </w:r>
    </w:p>
    <w:p w14:paraId="201CA7E1" w14:textId="3ABD6682"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lastRenderedPageBreak/>
        <w:t xml:space="preserve">Category </w:t>
      </w:r>
      <w:r w:rsidR="004A4870">
        <w:rPr>
          <w:szCs w:val="20"/>
        </w:rPr>
        <w:t>3 – Therapeutic Procedures</w:t>
      </w:r>
      <w:r w:rsidRPr="00AE1188">
        <w:rPr>
          <w:szCs w:val="20"/>
        </w:rPr>
        <w:t xml:space="preserve"> – </w:t>
      </w:r>
      <w:r w:rsidR="00815AF3">
        <w:t>Surgical Operations</w:t>
      </w:r>
      <w:r w:rsidRPr="00AE1188">
        <w:rPr>
          <w:szCs w:val="20"/>
        </w:rPr>
        <w:t xml:space="preserve"> </w:t>
      </w:r>
    </w:p>
    <w:p w14:paraId="06613610" w14:textId="0ADDE526" w:rsidR="00AE1188" w:rsidRDefault="009C0916" w:rsidP="00AE1188">
      <w:pPr>
        <w:pBdr>
          <w:top w:val="single" w:sz="4" w:space="1" w:color="auto"/>
          <w:left w:val="single" w:sz="4" w:space="4" w:color="auto"/>
          <w:bottom w:val="single" w:sz="4" w:space="1" w:color="auto"/>
          <w:right w:val="single" w:sz="4" w:space="4" w:color="auto"/>
        </w:pBdr>
        <w:rPr>
          <w:szCs w:val="20"/>
        </w:rPr>
      </w:pPr>
      <w:r>
        <w:rPr>
          <w:szCs w:val="20"/>
        </w:rPr>
        <w:t>Proposed Descriptor: 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6D5FF2C5" w14:textId="77777777" w:rsidR="009C0916" w:rsidRPr="00AE1188" w:rsidRDefault="009C0916" w:rsidP="00AE1188">
      <w:pPr>
        <w:pBdr>
          <w:top w:val="single" w:sz="4" w:space="1" w:color="auto"/>
          <w:left w:val="single" w:sz="4" w:space="4" w:color="auto"/>
          <w:bottom w:val="single" w:sz="4" w:space="1" w:color="auto"/>
          <w:right w:val="single" w:sz="4" w:space="4" w:color="auto"/>
        </w:pBdr>
        <w:rPr>
          <w:szCs w:val="20"/>
        </w:rPr>
      </w:pPr>
    </w:p>
    <w:p w14:paraId="2C73C8DA" w14:textId="77777777" w:rsidR="00AE1188" w:rsidRDefault="00AE1188" w:rsidP="004A0BF4">
      <w:pPr>
        <w:pStyle w:val="Heading2"/>
        <w:numPr>
          <w:ilvl w:val="0"/>
          <w:numId w:val="0"/>
        </w:numPr>
        <w:ind w:left="360"/>
      </w:pPr>
      <w:r>
        <w:br w:type="page"/>
      </w:r>
    </w:p>
    <w:p w14:paraId="70ED1E6C" w14:textId="77777777" w:rsidR="00E058F2" w:rsidRPr="00C776B1" w:rsidRDefault="001B5169" w:rsidP="00AE1188">
      <w:pPr>
        <w:pStyle w:val="Heading1"/>
      </w:pPr>
      <w:r>
        <w:lastRenderedPageBreak/>
        <w:t>PART 9</w:t>
      </w:r>
      <w:r w:rsidR="00F93784">
        <w:t xml:space="preserve"> – </w:t>
      </w:r>
      <w:r w:rsidR="00E058F2" w:rsidRPr="00C776B1">
        <w:t>FEEDBACK</w:t>
      </w:r>
    </w:p>
    <w:p w14:paraId="53B4FD29"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6160E556" w14:textId="77777777" w:rsidR="00E058F2" w:rsidRPr="00AE1188" w:rsidRDefault="00E058F2" w:rsidP="001B5169">
      <w:pPr>
        <w:pStyle w:val="Heading2"/>
      </w:pPr>
      <w:r w:rsidRPr="00AE1188">
        <w:t>How long did it take to complete the Application Form?</w:t>
      </w:r>
    </w:p>
    <w:p w14:paraId="5D4AED1B"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1E770EFC"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58869BC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F13376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No</w:t>
      </w:r>
    </w:p>
    <w:p w14:paraId="5F40310B" w14:textId="77777777" w:rsidR="003D6DE1" w:rsidRPr="00154B00" w:rsidRDefault="00603D04" w:rsidP="001B5169">
      <w:pPr>
        <w:pStyle w:val="Heading2"/>
        <w:numPr>
          <w:ilvl w:val="0"/>
          <w:numId w:val="31"/>
        </w:numPr>
      </w:pPr>
      <w:r>
        <w:t>If no, provide areas of concern:</w:t>
      </w:r>
    </w:p>
    <w:p w14:paraId="3CA664AA"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670964A"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38426821"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6A18C42"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No</w:t>
      </w:r>
    </w:p>
    <w:p w14:paraId="5E8EAABF" w14:textId="77777777" w:rsidR="003D6DE1" w:rsidRPr="00154B00" w:rsidRDefault="003D6DE1" w:rsidP="001B5169">
      <w:pPr>
        <w:pStyle w:val="Heading2"/>
        <w:numPr>
          <w:ilvl w:val="0"/>
          <w:numId w:val="32"/>
        </w:numPr>
      </w:pPr>
      <w:r>
        <w:t>If no, what areas did you find not to be useful?</w:t>
      </w:r>
    </w:p>
    <w:p w14:paraId="22395B5F"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D731A44"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13C3528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47411AB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A79DA">
        <w:rPr>
          <w:szCs w:val="20"/>
        </w:rPr>
      </w:r>
      <w:r w:rsidR="00DA79DA">
        <w:rPr>
          <w:szCs w:val="20"/>
        </w:rPr>
        <w:fldChar w:fldCharType="separate"/>
      </w:r>
      <w:r w:rsidRPr="001B29A1">
        <w:rPr>
          <w:szCs w:val="20"/>
        </w:rPr>
        <w:fldChar w:fldCharType="end"/>
      </w:r>
      <w:r w:rsidRPr="001B29A1">
        <w:rPr>
          <w:szCs w:val="20"/>
        </w:rPr>
        <w:t xml:space="preserve"> </w:t>
      </w:r>
      <w:r>
        <w:rPr>
          <w:szCs w:val="20"/>
        </w:rPr>
        <w:t>No</w:t>
      </w:r>
    </w:p>
    <w:p w14:paraId="27AAE85A" w14:textId="77777777" w:rsidR="001845D9" w:rsidRPr="00154B00" w:rsidRDefault="001845D9" w:rsidP="001B5169">
      <w:pPr>
        <w:pStyle w:val="Heading2"/>
        <w:numPr>
          <w:ilvl w:val="0"/>
          <w:numId w:val="33"/>
        </w:numPr>
      </w:pPr>
      <w:r w:rsidRPr="00154B00">
        <w:t>If yes, please advise:</w:t>
      </w:r>
    </w:p>
    <w:p w14:paraId="406A0E31" w14:textId="77777777" w:rsidR="00E93203"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4481378C" w14:textId="77777777" w:rsidR="00E93203" w:rsidRDefault="00E93203" w:rsidP="00603D04">
      <w:pPr>
        <w:ind w:left="426"/>
      </w:pPr>
    </w:p>
    <w:p w14:paraId="62A08090" w14:textId="58059595" w:rsidR="00451840" w:rsidRDefault="00E93203" w:rsidP="00561235">
      <w:pPr>
        <w:rPr>
          <w:szCs w:val="20"/>
        </w:rPr>
      </w:pPr>
      <w:r>
        <w:rPr>
          <w:szCs w:val="20"/>
        </w:rPr>
        <w:fldChar w:fldCharType="begin"/>
      </w:r>
      <w:r>
        <w:rPr>
          <w:szCs w:val="20"/>
        </w:rPr>
        <w:instrText xml:space="preserve"> ADDIN EN.REFLIST </w:instrText>
      </w: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2B58" w14:textId="77777777" w:rsidR="00F33981" w:rsidRDefault="00F33981" w:rsidP="00CF2DFA">
      <w:pPr>
        <w:spacing w:after="0"/>
      </w:pPr>
      <w:r>
        <w:separator/>
      </w:r>
    </w:p>
  </w:endnote>
  <w:endnote w:type="continuationSeparator" w:id="0">
    <w:p w14:paraId="6BA22556" w14:textId="77777777" w:rsidR="00F33981" w:rsidRDefault="00F3398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aker2Lance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90576312"/>
      <w:docPartObj>
        <w:docPartGallery w:val="Page Numbers (Bottom of Page)"/>
        <w:docPartUnique/>
      </w:docPartObj>
    </w:sdtPr>
    <w:sdtEndPr>
      <w:rPr>
        <w:color w:val="000000" w:themeColor="text1"/>
        <w:spacing w:val="60"/>
      </w:rPr>
    </w:sdtEndPr>
    <w:sdtContent>
      <w:p w14:paraId="083E6D8A" w14:textId="1326111D" w:rsidR="00325F61" w:rsidRDefault="00325F6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A79DA" w:rsidRPr="00DA79DA">
          <w:rPr>
            <w:b/>
            <w:bCs/>
            <w:noProof/>
            <w:sz w:val="18"/>
            <w:szCs w:val="18"/>
          </w:rPr>
          <w:t>1</w:t>
        </w:r>
        <w:r w:rsidRPr="00CF2DFA">
          <w:rPr>
            <w:b/>
            <w:bCs/>
            <w:noProof/>
            <w:sz w:val="18"/>
            <w:szCs w:val="18"/>
          </w:rPr>
          <w:fldChar w:fldCharType="end"/>
        </w:r>
        <w:r w:rsidRPr="00CF2DFA">
          <w:rPr>
            <w:b/>
            <w:bCs/>
            <w:sz w:val="18"/>
            <w:szCs w:val="18"/>
          </w:rPr>
          <w:t xml:space="preserve"> | </w:t>
        </w:r>
        <w:r w:rsidRPr="0038682F">
          <w:rPr>
            <w:spacing w:val="60"/>
            <w:sz w:val="18"/>
            <w:szCs w:val="18"/>
          </w:rPr>
          <w:t>Page</w:t>
        </w:r>
        <w:r w:rsidRPr="0038682F">
          <w:rPr>
            <w:spacing w:val="60"/>
            <w:sz w:val="18"/>
            <w:szCs w:val="18"/>
          </w:rPr>
          <w:tab/>
          <w:t>Application Form</w:t>
        </w:r>
      </w:p>
      <w:p w14:paraId="5DFD0266" w14:textId="77777777" w:rsidR="00325F61" w:rsidRPr="003F7CB9" w:rsidRDefault="00325F61" w:rsidP="003F7CB9">
        <w:pPr>
          <w:pStyle w:val="Footer"/>
          <w:pBdr>
            <w:top w:val="single" w:sz="4" w:space="1" w:color="D9D9D9" w:themeColor="background1" w:themeShade="D9"/>
          </w:pBdr>
          <w:rPr>
            <w:b/>
            <w:bCs/>
            <w:sz w:val="18"/>
            <w:szCs w:val="18"/>
          </w:rPr>
        </w:pPr>
        <w:r w:rsidRPr="001C5986">
          <w:rPr>
            <w:color w:val="000000" w:themeColor="text1"/>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2D07D" w14:textId="77777777" w:rsidR="00F33981" w:rsidRDefault="00F33981" w:rsidP="00CF2DFA">
      <w:pPr>
        <w:spacing w:after="0"/>
      </w:pPr>
      <w:r>
        <w:separator/>
      </w:r>
    </w:p>
  </w:footnote>
  <w:footnote w:type="continuationSeparator" w:id="0">
    <w:p w14:paraId="16F38C37" w14:textId="77777777" w:rsidR="00F33981" w:rsidRDefault="00F33981" w:rsidP="00CF2DFA">
      <w:pPr>
        <w:spacing w:after="0"/>
      </w:pPr>
      <w:r>
        <w:continuationSeparator/>
      </w:r>
    </w:p>
  </w:footnote>
  <w:footnote w:id="1">
    <w:p w14:paraId="575B547E" w14:textId="34ED247D" w:rsidR="00325F61" w:rsidRPr="001A7815" w:rsidRDefault="00325F61">
      <w:pPr>
        <w:pStyle w:val="FootnoteText"/>
      </w:pPr>
      <w:r>
        <w:rPr>
          <w:rStyle w:val="FootnoteReference"/>
        </w:rPr>
        <w:footnoteRef/>
      </w:r>
      <w:r>
        <w:t xml:space="preserve"> Thaden J.J. et al </w:t>
      </w:r>
      <w:r>
        <w:rPr>
          <w:i/>
        </w:rPr>
        <w:t xml:space="preserve">‘The Global Burden of Aortic Stenosis’ </w:t>
      </w:r>
      <w:r>
        <w:t>Prog. CardVasc. Dis 56 (2014) 565-571</w:t>
      </w:r>
    </w:p>
  </w:footnote>
  <w:footnote w:id="2">
    <w:p w14:paraId="52B498DD" w14:textId="0381FBDB" w:rsidR="00325F61" w:rsidRPr="0012666E" w:rsidRDefault="00325F61">
      <w:pPr>
        <w:pStyle w:val="FootnoteText"/>
        <w:rPr>
          <w:i/>
        </w:rPr>
      </w:pPr>
      <w:r>
        <w:rPr>
          <w:rStyle w:val="FootnoteReference"/>
        </w:rPr>
        <w:footnoteRef/>
      </w:r>
      <w:r>
        <w:t xml:space="preserve"> Nishamura R A., et al </w:t>
      </w:r>
      <w:r>
        <w:rPr>
          <w:i/>
        </w:rPr>
        <w:t>‘2014 AHA/ACC Guideline for the Management of Patients with Valvular Heart Disease: Executive Summary.’ JACC Vol 63, Iss 22, 2014</w:t>
      </w:r>
    </w:p>
  </w:footnote>
  <w:footnote w:id="3">
    <w:p w14:paraId="77E23508" w14:textId="2C9E2A56" w:rsidR="00325F61" w:rsidRPr="00CD76A3" w:rsidRDefault="00325F61">
      <w:pPr>
        <w:pStyle w:val="FootnoteText"/>
      </w:pPr>
      <w:r>
        <w:rPr>
          <w:rStyle w:val="FootnoteReference"/>
        </w:rPr>
        <w:footnoteRef/>
      </w:r>
      <w:r>
        <w:t xml:space="preserve"> Varadarajan P et al </w:t>
      </w:r>
      <w:r>
        <w:rPr>
          <w:i/>
        </w:rPr>
        <w:t xml:space="preserve">‘Clinical profile and natural history of 453 nonsurgically managed patients with severe aortic stenosis’ </w:t>
      </w:r>
      <w:r>
        <w:t>Ann Thorac Surg. 2006 Dec; 82(6):2111-5</w:t>
      </w:r>
    </w:p>
  </w:footnote>
  <w:footnote w:id="4">
    <w:p w14:paraId="091EF3CA" w14:textId="556B0A5F" w:rsidR="00325F61" w:rsidRPr="008310E2" w:rsidRDefault="00325F61">
      <w:pPr>
        <w:pStyle w:val="FootnoteText"/>
        <w:rPr>
          <w:lang w:val="en-US"/>
        </w:rPr>
      </w:pPr>
      <w:r>
        <w:rPr>
          <w:rStyle w:val="FootnoteReference"/>
        </w:rPr>
        <w:footnoteRef/>
      </w:r>
      <w:r>
        <w:t xml:space="preserve"> </w:t>
      </w:r>
      <w:r w:rsidRPr="00E93203">
        <w:rPr>
          <w:noProof/>
        </w:rPr>
        <w:t xml:space="preserve">Otto CM. Timing of aortic valve surgery. </w:t>
      </w:r>
      <w:r w:rsidRPr="00E93203">
        <w:rPr>
          <w:i/>
          <w:noProof/>
        </w:rPr>
        <w:t>Heart</w:t>
      </w:r>
      <w:r w:rsidRPr="00E93203">
        <w:rPr>
          <w:noProof/>
        </w:rPr>
        <w:t>. 2000;84:211-8.</w:t>
      </w:r>
    </w:p>
  </w:footnote>
  <w:footnote w:id="5">
    <w:p w14:paraId="3C64BE68" w14:textId="502666F9" w:rsidR="00325F61" w:rsidRPr="00811E28" w:rsidRDefault="00325F61">
      <w:pPr>
        <w:pStyle w:val="FootnoteText"/>
      </w:pPr>
      <w:r>
        <w:rPr>
          <w:rStyle w:val="FootnoteReference"/>
        </w:rPr>
        <w:footnoteRef/>
      </w:r>
      <w:r>
        <w:t xml:space="preserve"> Andeotti F et al </w:t>
      </w:r>
      <w:r>
        <w:rPr>
          <w:i/>
        </w:rPr>
        <w:t xml:space="preserve">‘Guidelines on the management of valvular heart disease (version 2012): The Joint Task Force on the Management of Valvular Heart Disease of the European Society of Cardiology (ESD) and the European Association for Cardio-Thoracic Surgery (EACTS) </w:t>
      </w:r>
      <w:r>
        <w:t>Eur Heart Journ Vol 33, Iss 19, 1 Oct 2012</w:t>
      </w:r>
    </w:p>
  </w:footnote>
  <w:footnote w:id="6">
    <w:p w14:paraId="5FD0F5A4" w14:textId="7B8F5E12" w:rsidR="00325F61" w:rsidRPr="00A6275F" w:rsidRDefault="00325F61">
      <w:pPr>
        <w:pStyle w:val="FootnoteText"/>
      </w:pPr>
      <w:r>
        <w:rPr>
          <w:rStyle w:val="FootnoteReference"/>
        </w:rPr>
        <w:footnoteRef/>
      </w:r>
      <w:r>
        <w:t xml:space="preserve"> Kodali S et al </w:t>
      </w:r>
      <w:r>
        <w:rPr>
          <w:i/>
        </w:rPr>
        <w:t xml:space="preserve">‘Early clinical and echocardiographic outcomes after SAPIEN 3 transcatheter aortic valve replacement inoperable, high-risk and intermediate -risk patients with aortic stenosis’ </w:t>
      </w:r>
      <w:r>
        <w:t xml:space="preserve">Eur Heart Journ </w:t>
      </w:r>
      <w:r w:rsidRPr="00A6275F">
        <w:t>doi:10.1093/eurheartj/ehw112</w:t>
      </w:r>
    </w:p>
  </w:footnote>
  <w:footnote w:id="7">
    <w:p w14:paraId="2E6AEC90" w14:textId="1448D628" w:rsidR="00325F61" w:rsidRPr="007D31F9" w:rsidRDefault="00325F61">
      <w:pPr>
        <w:pStyle w:val="FootnoteText"/>
      </w:pPr>
      <w:r>
        <w:rPr>
          <w:rStyle w:val="FootnoteReference"/>
        </w:rPr>
        <w:footnoteRef/>
      </w:r>
      <w:r>
        <w:t xml:space="preserve"> Noorani et al </w:t>
      </w:r>
      <w:r>
        <w:rPr>
          <w:i/>
        </w:rPr>
        <w:t>‘Differences in Outcomes and Indications between SAPIEN and CoreValve Transcatheter Aortic Valve’</w:t>
      </w:r>
      <w:r>
        <w:t xml:space="preserve"> Interv Card Rev Vol 9 Issue 2 2014</w:t>
      </w:r>
    </w:p>
  </w:footnote>
  <w:footnote w:id="8">
    <w:p w14:paraId="78256B39" w14:textId="14C8676B" w:rsidR="00325F61" w:rsidRPr="00C54183" w:rsidRDefault="00325F61">
      <w:pPr>
        <w:pStyle w:val="FootnoteText"/>
      </w:pPr>
      <w:r>
        <w:rPr>
          <w:rStyle w:val="FootnoteReference"/>
        </w:rPr>
        <w:footnoteRef/>
      </w:r>
      <w:r>
        <w:t xml:space="preserve"> Wijeysundera H.C. </w:t>
      </w:r>
      <w:r>
        <w:rPr>
          <w:i/>
        </w:rPr>
        <w:t>‘Comparison of Outcomes of Balloon-Expandable Versus Self-Expandable Transcatheter Heart Valves foe Severe Aortic Stenosis’</w:t>
      </w:r>
      <w:r>
        <w:t xml:space="preserve"> Am J Cardiol 2017; 119: 1094-1099</w:t>
      </w:r>
    </w:p>
  </w:footnote>
  <w:footnote w:id="9">
    <w:p w14:paraId="5DAF98AF" w14:textId="73398427" w:rsidR="00325F61" w:rsidRDefault="00325F61">
      <w:pPr>
        <w:pStyle w:val="FootnoteText"/>
      </w:pPr>
      <w:r>
        <w:rPr>
          <w:rStyle w:val="FootnoteReference"/>
        </w:rPr>
        <w:footnoteRef/>
      </w:r>
      <w:r>
        <w:t xml:space="preserve"> </w:t>
      </w:r>
      <w:r w:rsidRPr="000838D3">
        <w:t>http://tavi.org.au/</w:t>
      </w:r>
    </w:p>
  </w:footnote>
  <w:footnote w:id="10">
    <w:p w14:paraId="429EABBF" w14:textId="5184699C" w:rsidR="00325F61" w:rsidRDefault="00325F61">
      <w:pPr>
        <w:pStyle w:val="FootnoteText"/>
      </w:pPr>
      <w:r>
        <w:rPr>
          <w:rStyle w:val="FootnoteReference"/>
        </w:rPr>
        <w:footnoteRef/>
      </w:r>
      <w:r>
        <w:t xml:space="preserve"> </w:t>
      </w:r>
      <w:r w:rsidRPr="000838D3">
        <w:t>http://www.mbsonline.gov.au/internet/mbsonline/publishing.nsf/Content/7F459C457DBE500ECA2581C5001C0773/$File/Factsheet%20-%20TAVI.pdf</w:t>
      </w:r>
    </w:p>
  </w:footnote>
  <w:footnote w:id="11">
    <w:p w14:paraId="45A5693E" w14:textId="0236392D" w:rsidR="00325F61" w:rsidRPr="0082616B" w:rsidRDefault="00325F61">
      <w:pPr>
        <w:pStyle w:val="FootnoteText"/>
      </w:pPr>
      <w:r>
        <w:rPr>
          <w:rStyle w:val="FootnoteReference"/>
        </w:rPr>
        <w:footnoteRef/>
      </w:r>
      <w:r>
        <w:t xml:space="preserve"> Thourani VH et al </w:t>
      </w:r>
      <w:r>
        <w:rPr>
          <w:i/>
        </w:rPr>
        <w:t xml:space="preserve">‘Transcatheter aortic valve replacement versus surgical valve replacement in intermediate-risk patients: a propensity score analysis’ </w:t>
      </w:r>
      <w:r>
        <w:t>The Lancet April 3</w:t>
      </w:r>
      <w:r w:rsidRPr="0082616B">
        <w:rPr>
          <w:sz w:val="16"/>
          <w:szCs w:val="16"/>
        </w:rPr>
        <w:t xml:space="preserve">, </w:t>
      </w:r>
      <w:r w:rsidRPr="0082616B">
        <w:rPr>
          <w:rFonts w:ascii="Shaker2Lancet-Bold" w:hAnsi="Shaker2Lancet-Bold" w:cs="Shaker2Lancet-Bold"/>
          <w:bCs/>
          <w:sz w:val="16"/>
          <w:szCs w:val="16"/>
        </w:rPr>
        <w:t>http://dx.doi.org/10.1016/S0140-6736(16)30073-3</w:t>
      </w:r>
    </w:p>
  </w:footnote>
  <w:footnote w:id="12">
    <w:p w14:paraId="5FBEE10F" w14:textId="5976B6B2" w:rsidR="00325F61" w:rsidRPr="00837987" w:rsidRDefault="00325F61">
      <w:pPr>
        <w:pStyle w:val="FootnoteText"/>
      </w:pPr>
      <w:r>
        <w:rPr>
          <w:rStyle w:val="FootnoteReference"/>
        </w:rPr>
        <w:footnoteRef/>
      </w:r>
      <w:r>
        <w:t xml:space="preserve"> Osnabrugge MS et al </w:t>
      </w:r>
      <w:r>
        <w:rPr>
          <w:i/>
        </w:rPr>
        <w:t xml:space="preserve">‘Aortic Stenosis in the Elderly.  Disease Prevalence and Number of Candidates for Transcatheter Aortic Valve Replacement: A Meta-Analysis and Modelling Study’ </w:t>
      </w:r>
      <w:r>
        <w:t>JACC 2013 Vol. 62, No 11, 2013</w:t>
      </w:r>
    </w:p>
  </w:footnote>
  <w:footnote w:id="13">
    <w:p w14:paraId="4896F0AE" w14:textId="46735F04" w:rsidR="00325F61" w:rsidRPr="00AA7A6C" w:rsidRDefault="00325F61">
      <w:pPr>
        <w:pStyle w:val="FootnoteText"/>
      </w:pPr>
      <w:r>
        <w:rPr>
          <w:rStyle w:val="FootnoteReference"/>
        </w:rPr>
        <w:footnoteRef/>
      </w:r>
      <w:r>
        <w:t xml:space="preserve"> Thourani VH et al </w:t>
      </w:r>
      <w:r>
        <w:rPr>
          <w:i/>
        </w:rPr>
        <w:t>‘</w:t>
      </w:r>
      <w:r w:rsidRPr="00DA43D6">
        <w:rPr>
          <w:i/>
          <w:lang w:val="en-US"/>
        </w:rPr>
        <w:t>Contemporary real-world outcomes of surgical aortic valve replacement in 141,905 low-risk, intermediate-risk, and high-risk patients</w:t>
      </w:r>
      <w:r w:rsidRPr="00DA43D6">
        <w:rPr>
          <w:lang w:val="en-US"/>
        </w:rPr>
        <w:t>.’ Ann Thorac Surg 2015;99:55-61</w:t>
      </w:r>
    </w:p>
  </w:footnote>
  <w:footnote w:id="14">
    <w:p w14:paraId="02E9796B" w14:textId="638D1084" w:rsidR="00325F61" w:rsidRDefault="00325F61">
      <w:pPr>
        <w:pStyle w:val="FootnoteText"/>
      </w:pPr>
      <w:r>
        <w:rPr>
          <w:rStyle w:val="FootnoteReference"/>
        </w:rPr>
        <w:footnoteRef/>
      </w:r>
      <w:r>
        <w:t xml:space="preserve"> Australian Bureau of Statistics Population Projections Australia 2012. Series B</w:t>
      </w:r>
    </w:p>
  </w:footnote>
  <w:footnote w:id="15">
    <w:p w14:paraId="5B12E721" w14:textId="77777777" w:rsidR="00325F61" w:rsidRDefault="00325F61" w:rsidP="00D16F23">
      <w:pPr>
        <w:pStyle w:val="FootnoteText"/>
      </w:pPr>
      <w:r>
        <w:rPr>
          <w:rStyle w:val="FootnoteReference"/>
        </w:rPr>
        <w:footnoteRef/>
      </w:r>
      <w:r>
        <w:t xml:space="preserve"> </w:t>
      </w:r>
      <w:r w:rsidRPr="00837987">
        <w:t>http://medicarestatistics.humanservices.gov.au/statistics/mbs_item.jsp</w:t>
      </w:r>
    </w:p>
  </w:footnote>
  <w:footnote w:id="16">
    <w:p w14:paraId="75D6F78D" w14:textId="664B9F4B" w:rsidR="00325F61" w:rsidRDefault="00325F61">
      <w:pPr>
        <w:pStyle w:val="FootnoteText"/>
      </w:pPr>
      <w:r>
        <w:rPr>
          <w:rStyle w:val="FootnoteReference"/>
        </w:rPr>
        <w:footnoteRef/>
      </w:r>
      <w:r>
        <w:t xml:space="preserve"> Australian Institute of Health and Welfare, Procedures and healthcare interventions (ACHI 9</w:t>
      </w:r>
      <w:r w:rsidRPr="002C7453">
        <w:rPr>
          <w:vertAlign w:val="superscript"/>
        </w:rPr>
        <w:t>th</w:t>
      </w:r>
      <w:r>
        <w:t xml:space="preserve"> edition), Australia, 2015-16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617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Circul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x9asxr8wd0vnedtz2p2wee9rezzpa0rsva&quot;&gt;My EndNote Library&lt;record-ids&gt;&lt;item&gt;36&lt;/item&gt;&lt;/record-ids&gt;&lt;/item&gt;&lt;/Libraries&gt;"/>
  </w:docVars>
  <w:rsids>
    <w:rsidRoot w:val="00BF6AC5"/>
    <w:rsid w:val="00001DAD"/>
    <w:rsid w:val="000037DC"/>
    <w:rsid w:val="000062BA"/>
    <w:rsid w:val="000110DC"/>
    <w:rsid w:val="000158AA"/>
    <w:rsid w:val="000159B9"/>
    <w:rsid w:val="00016B6E"/>
    <w:rsid w:val="00023E21"/>
    <w:rsid w:val="00025ABC"/>
    <w:rsid w:val="00026412"/>
    <w:rsid w:val="00031F6F"/>
    <w:rsid w:val="00034D6E"/>
    <w:rsid w:val="00037EB6"/>
    <w:rsid w:val="0005089D"/>
    <w:rsid w:val="00052063"/>
    <w:rsid w:val="000525BC"/>
    <w:rsid w:val="00073222"/>
    <w:rsid w:val="000770BA"/>
    <w:rsid w:val="000838D3"/>
    <w:rsid w:val="00086144"/>
    <w:rsid w:val="00092580"/>
    <w:rsid w:val="000955E7"/>
    <w:rsid w:val="000A110D"/>
    <w:rsid w:val="000A25FE"/>
    <w:rsid w:val="000A478F"/>
    <w:rsid w:val="000A4E91"/>
    <w:rsid w:val="000A5B32"/>
    <w:rsid w:val="000A7F6A"/>
    <w:rsid w:val="000B069D"/>
    <w:rsid w:val="000B3CD0"/>
    <w:rsid w:val="000D066E"/>
    <w:rsid w:val="000D0831"/>
    <w:rsid w:val="000D0B0E"/>
    <w:rsid w:val="000D206C"/>
    <w:rsid w:val="000D35EE"/>
    <w:rsid w:val="000D5B57"/>
    <w:rsid w:val="000E47E7"/>
    <w:rsid w:val="000E5439"/>
    <w:rsid w:val="000E6705"/>
    <w:rsid w:val="000F5D2C"/>
    <w:rsid w:val="001022F8"/>
    <w:rsid w:val="00102686"/>
    <w:rsid w:val="001040C6"/>
    <w:rsid w:val="0011036E"/>
    <w:rsid w:val="001130B0"/>
    <w:rsid w:val="0011369B"/>
    <w:rsid w:val="0011742E"/>
    <w:rsid w:val="00123D10"/>
    <w:rsid w:val="0012666E"/>
    <w:rsid w:val="00126B33"/>
    <w:rsid w:val="00133F25"/>
    <w:rsid w:val="00141746"/>
    <w:rsid w:val="00154B00"/>
    <w:rsid w:val="001644E9"/>
    <w:rsid w:val="001845D9"/>
    <w:rsid w:val="0018630F"/>
    <w:rsid w:val="00187346"/>
    <w:rsid w:val="001906CD"/>
    <w:rsid w:val="00191B99"/>
    <w:rsid w:val="0019694B"/>
    <w:rsid w:val="0019724D"/>
    <w:rsid w:val="00197D29"/>
    <w:rsid w:val="001A02E3"/>
    <w:rsid w:val="001A1ADF"/>
    <w:rsid w:val="001A365C"/>
    <w:rsid w:val="001A7815"/>
    <w:rsid w:val="001B171D"/>
    <w:rsid w:val="001B29A1"/>
    <w:rsid w:val="001B5169"/>
    <w:rsid w:val="001B6164"/>
    <w:rsid w:val="001C5986"/>
    <w:rsid w:val="001D77ED"/>
    <w:rsid w:val="001E1180"/>
    <w:rsid w:val="001E23EA"/>
    <w:rsid w:val="001E2B92"/>
    <w:rsid w:val="001E6919"/>
    <w:rsid w:val="001E6958"/>
    <w:rsid w:val="001F0067"/>
    <w:rsid w:val="001F2A83"/>
    <w:rsid w:val="00201924"/>
    <w:rsid w:val="00202473"/>
    <w:rsid w:val="00202AF6"/>
    <w:rsid w:val="002053F2"/>
    <w:rsid w:val="00206D63"/>
    <w:rsid w:val="00210384"/>
    <w:rsid w:val="0021185D"/>
    <w:rsid w:val="00226777"/>
    <w:rsid w:val="00235BD1"/>
    <w:rsid w:val="00237659"/>
    <w:rsid w:val="00237ABB"/>
    <w:rsid w:val="00242B0E"/>
    <w:rsid w:val="00247DF0"/>
    <w:rsid w:val="00252351"/>
    <w:rsid w:val="00254813"/>
    <w:rsid w:val="00257FF2"/>
    <w:rsid w:val="002614BA"/>
    <w:rsid w:val="00265822"/>
    <w:rsid w:val="0027105F"/>
    <w:rsid w:val="002711FB"/>
    <w:rsid w:val="00273B08"/>
    <w:rsid w:val="00283152"/>
    <w:rsid w:val="00283318"/>
    <w:rsid w:val="00285525"/>
    <w:rsid w:val="00294CD8"/>
    <w:rsid w:val="002A270B"/>
    <w:rsid w:val="002A50FD"/>
    <w:rsid w:val="002A6753"/>
    <w:rsid w:val="002B28D7"/>
    <w:rsid w:val="002B7EB6"/>
    <w:rsid w:val="002C0B61"/>
    <w:rsid w:val="002C15E6"/>
    <w:rsid w:val="002C247D"/>
    <w:rsid w:val="002C3345"/>
    <w:rsid w:val="002C7453"/>
    <w:rsid w:val="002D088D"/>
    <w:rsid w:val="002D409A"/>
    <w:rsid w:val="002D70D9"/>
    <w:rsid w:val="002F30E7"/>
    <w:rsid w:val="00300EEB"/>
    <w:rsid w:val="003013A9"/>
    <w:rsid w:val="003020B5"/>
    <w:rsid w:val="00302473"/>
    <w:rsid w:val="003027BB"/>
    <w:rsid w:val="00307CBF"/>
    <w:rsid w:val="00310A10"/>
    <w:rsid w:val="003127C4"/>
    <w:rsid w:val="00325F61"/>
    <w:rsid w:val="003261CC"/>
    <w:rsid w:val="00326B5D"/>
    <w:rsid w:val="00327D25"/>
    <w:rsid w:val="003319A7"/>
    <w:rsid w:val="00334FE3"/>
    <w:rsid w:val="00340C92"/>
    <w:rsid w:val="003421AE"/>
    <w:rsid w:val="003433D1"/>
    <w:rsid w:val="00344B24"/>
    <w:rsid w:val="003456B9"/>
    <w:rsid w:val="0035067D"/>
    <w:rsid w:val="00353A16"/>
    <w:rsid w:val="0035776D"/>
    <w:rsid w:val="00362EC4"/>
    <w:rsid w:val="00364FD9"/>
    <w:rsid w:val="00367C1B"/>
    <w:rsid w:val="00376B61"/>
    <w:rsid w:val="00382407"/>
    <w:rsid w:val="0038682F"/>
    <w:rsid w:val="00386A64"/>
    <w:rsid w:val="00386FA1"/>
    <w:rsid w:val="00390142"/>
    <w:rsid w:val="00392F00"/>
    <w:rsid w:val="00397377"/>
    <w:rsid w:val="003A22DE"/>
    <w:rsid w:val="003A2860"/>
    <w:rsid w:val="003A3C35"/>
    <w:rsid w:val="003A7D30"/>
    <w:rsid w:val="003B3C5C"/>
    <w:rsid w:val="003B402C"/>
    <w:rsid w:val="003C47CA"/>
    <w:rsid w:val="003D3BFE"/>
    <w:rsid w:val="003D6DE1"/>
    <w:rsid w:val="003D795C"/>
    <w:rsid w:val="003E30FB"/>
    <w:rsid w:val="003F2711"/>
    <w:rsid w:val="003F4F1B"/>
    <w:rsid w:val="003F6C70"/>
    <w:rsid w:val="003F7CB9"/>
    <w:rsid w:val="00403333"/>
    <w:rsid w:val="0040350B"/>
    <w:rsid w:val="00411735"/>
    <w:rsid w:val="00415C74"/>
    <w:rsid w:val="0042050B"/>
    <w:rsid w:val="004238D6"/>
    <w:rsid w:val="00427E58"/>
    <w:rsid w:val="0043654D"/>
    <w:rsid w:val="00451840"/>
    <w:rsid w:val="00460C9A"/>
    <w:rsid w:val="00464924"/>
    <w:rsid w:val="00464D73"/>
    <w:rsid w:val="0046738D"/>
    <w:rsid w:val="0047581D"/>
    <w:rsid w:val="00480289"/>
    <w:rsid w:val="00481279"/>
    <w:rsid w:val="00483368"/>
    <w:rsid w:val="0049398A"/>
    <w:rsid w:val="00494011"/>
    <w:rsid w:val="004A0BF4"/>
    <w:rsid w:val="004A25D2"/>
    <w:rsid w:val="004A263B"/>
    <w:rsid w:val="004A4870"/>
    <w:rsid w:val="004B68AE"/>
    <w:rsid w:val="004C35B0"/>
    <w:rsid w:val="004C49EF"/>
    <w:rsid w:val="004C4A19"/>
    <w:rsid w:val="004C5570"/>
    <w:rsid w:val="004D00C9"/>
    <w:rsid w:val="004E16F5"/>
    <w:rsid w:val="004E32C5"/>
    <w:rsid w:val="004E3CC7"/>
    <w:rsid w:val="004E5B69"/>
    <w:rsid w:val="004F2A87"/>
    <w:rsid w:val="00506314"/>
    <w:rsid w:val="00507C56"/>
    <w:rsid w:val="00521519"/>
    <w:rsid w:val="00522175"/>
    <w:rsid w:val="0052344E"/>
    <w:rsid w:val="00526478"/>
    <w:rsid w:val="00530204"/>
    <w:rsid w:val="00534C5F"/>
    <w:rsid w:val="00540257"/>
    <w:rsid w:val="0054192F"/>
    <w:rsid w:val="00544EB3"/>
    <w:rsid w:val="0054594B"/>
    <w:rsid w:val="00546A53"/>
    <w:rsid w:val="0054749B"/>
    <w:rsid w:val="00551CC6"/>
    <w:rsid w:val="005600E9"/>
    <w:rsid w:val="00560541"/>
    <w:rsid w:val="00560886"/>
    <w:rsid w:val="00561235"/>
    <w:rsid w:val="005672D0"/>
    <w:rsid w:val="00572CEB"/>
    <w:rsid w:val="005834C9"/>
    <w:rsid w:val="005A3BEE"/>
    <w:rsid w:val="005A58BA"/>
    <w:rsid w:val="005A5D30"/>
    <w:rsid w:val="005A6AB9"/>
    <w:rsid w:val="005B3921"/>
    <w:rsid w:val="005C2DFF"/>
    <w:rsid w:val="005C333E"/>
    <w:rsid w:val="005C3AE7"/>
    <w:rsid w:val="005C7A12"/>
    <w:rsid w:val="005C7B6C"/>
    <w:rsid w:val="005D0677"/>
    <w:rsid w:val="005E294C"/>
    <w:rsid w:val="005E2CE3"/>
    <w:rsid w:val="005F3F07"/>
    <w:rsid w:val="00603D04"/>
    <w:rsid w:val="00606857"/>
    <w:rsid w:val="00615F42"/>
    <w:rsid w:val="006258C2"/>
    <w:rsid w:val="00626365"/>
    <w:rsid w:val="00630E22"/>
    <w:rsid w:val="00640990"/>
    <w:rsid w:val="0064168C"/>
    <w:rsid w:val="00657B46"/>
    <w:rsid w:val="006748D4"/>
    <w:rsid w:val="006764EC"/>
    <w:rsid w:val="00677C28"/>
    <w:rsid w:val="006835FE"/>
    <w:rsid w:val="00684835"/>
    <w:rsid w:val="00693BFD"/>
    <w:rsid w:val="00695065"/>
    <w:rsid w:val="006A1038"/>
    <w:rsid w:val="006A236F"/>
    <w:rsid w:val="006A649A"/>
    <w:rsid w:val="006B1B49"/>
    <w:rsid w:val="006B6390"/>
    <w:rsid w:val="006C0356"/>
    <w:rsid w:val="006C0843"/>
    <w:rsid w:val="006C6616"/>
    <w:rsid w:val="006C74B1"/>
    <w:rsid w:val="006D1974"/>
    <w:rsid w:val="006E57AA"/>
    <w:rsid w:val="006F20CF"/>
    <w:rsid w:val="006F38ED"/>
    <w:rsid w:val="006F7493"/>
    <w:rsid w:val="00707D4D"/>
    <w:rsid w:val="00723503"/>
    <w:rsid w:val="00730247"/>
    <w:rsid w:val="00730C04"/>
    <w:rsid w:val="0073597B"/>
    <w:rsid w:val="007378F6"/>
    <w:rsid w:val="0074545D"/>
    <w:rsid w:val="007522E3"/>
    <w:rsid w:val="00752475"/>
    <w:rsid w:val="0075335B"/>
    <w:rsid w:val="00753A92"/>
    <w:rsid w:val="00753C44"/>
    <w:rsid w:val="00753EA1"/>
    <w:rsid w:val="00754383"/>
    <w:rsid w:val="007564D1"/>
    <w:rsid w:val="00757232"/>
    <w:rsid w:val="00760679"/>
    <w:rsid w:val="00760859"/>
    <w:rsid w:val="00761BB1"/>
    <w:rsid w:val="00763628"/>
    <w:rsid w:val="007642F7"/>
    <w:rsid w:val="00767E99"/>
    <w:rsid w:val="00772E62"/>
    <w:rsid w:val="0077789B"/>
    <w:rsid w:val="00780D29"/>
    <w:rsid w:val="0079108A"/>
    <w:rsid w:val="00791C8D"/>
    <w:rsid w:val="00794181"/>
    <w:rsid w:val="007A7F6F"/>
    <w:rsid w:val="007B4C76"/>
    <w:rsid w:val="007C2260"/>
    <w:rsid w:val="007D1E52"/>
    <w:rsid w:val="007D2358"/>
    <w:rsid w:val="007D31F9"/>
    <w:rsid w:val="007E06A4"/>
    <w:rsid w:val="007E23AE"/>
    <w:rsid w:val="007E39E4"/>
    <w:rsid w:val="007E6FB3"/>
    <w:rsid w:val="007F14CB"/>
    <w:rsid w:val="007F21B4"/>
    <w:rsid w:val="00802553"/>
    <w:rsid w:val="00803EAB"/>
    <w:rsid w:val="008046B5"/>
    <w:rsid w:val="0080580D"/>
    <w:rsid w:val="00811E28"/>
    <w:rsid w:val="008127C0"/>
    <w:rsid w:val="00812EDD"/>
    <w:rsid w:val="008139C5"/>
    <w:rsid w:val="00815AF3"/>
    <w:rsid w:val="0081650F"/>
    <w:rsid w:val="0082616B"/>
    <w:rsid w:val="008310E2"/>
    <w:rsid w:val="00832B31"/>
    <w:rsid w:val="00837987"/>
    <w:rsid w:val="008403E0"/>
    <w:rsid w:val="0084426F"/>
    <w:rsid w:val="0084657B"/>
    <w:rsid w:val="00855944"/>
    <w:rsid w:val="00857CC2"/>
    <w:rsid w:val="00864A18"/>
    <w:rsid w:val="00870833"/>
    <w:rsid w:val="008715DF"/>
    <w:rsid w:val="00874571"/>
    <w:rsid w:val="00877C92"/>
    <w:rsid w:val="00881F93"/>
    <w:rsid w:val="00882CB5"/>
    <w:rsid w:val="00883641"/>
    <w:rsid w:val="00884947"/>
    <w:rsid w:val="00884E69"/>
    <w:rsid w:val="00887888"/>
    <w:rsid w:val="00890082"/>
    <w:rsid w:val="00890A19"/>
    <w:rsid w:val="008A48D2"/>
    <w:rsid w:val="008A5194"/>
    <w:rsid w:val="008B2610"/>
    <w:rsid w:val="008B471D"/>
    <w:rsid w:val="008B49E4"/>
    <w:rsid w:val="008B729C"/>
    <w:rsid w:val="008C4A93"/>
    <w:rsid w:val="008E0E49"/>
    <w:rsid w:val="008E35FD"/>
    <w:rsid w:val="008E6227"/>
    <w:rsid w:val="008E78B9"/>
    <w:rsid w:val="008F4F9F"/>
    <w:rsid w:val="00901608"/>
    <w:rsid w:val="0090543D"/>
    <w:rsid w:val="009056C5"/>
    <w:rsid w:val="009167F8"/>
    <w:rsid w:val="009179A1"/>
    <w:rsid w:val="009262F2"/>
    <w:rsid w:val="0093389F"/>
    <w:rsid w:val="009352BC"/>
    <w:rsid w:val="00937791"/>
    <w:rsid w:val="00951933"/>
    <w:rsid w:val="00954343"/>
    <w:rsid w:val="00955271"/>
    <w:rsid w:val="00963C9C"/>
    <w:rsid w:val="00965B6B"/>
    <w:rsid w:val="00971E21"/>
    <w:rsid w:val="00971EDB"/>
    <w:rsid w:val="00974D50"/>
    <w:rsid w:val="00986989"/>
    <w:rsid w:val="00987ABE"/>
    <w:rsid w:val="00991EE4"/>
    <w:rsid w:val="009939DC"/>
    <w:rsid w:val="00993B9C"/>
    <w:rsid w:val="009A6929"/>
    <w:rsid w:val="009B4469"/>
    <w:rsid w:val="009B4E1E"/>
    <w:rsid w:val="009C03FB"/>
    <w:rsid w:val="009C0916"/>
    <w:rsid w:val="009C4B4F"/>
    <w:rsid w:val="009D2242"/>
    <w:rsid w:val="009F0C02"/>
    <w:rsid w:val="009F3E3D"/>
    <w:rsid w:val="009F5758"/>
    <w:rsid w:val="00A006A6"/>
    <w:rsid w:val="00A0283F"/>
    <w:rsid w:val="00A04F4A"/>
    <w:rsid w:val="00A203AE"/>
    <w:rsid w:val="00A26343"/>
    <w:rsid w:val="00A408B5"/>
    <w:rsid w:val="00A529E2"/>
    <w:rsid w:val="00A539F8"/>
    <w:rsid w:val="00A54C41"/>
    <w:rsid w:val="00A6275F"/>
    <w:rsid w:val="00A6491A"/>
    <w:rsid w:val="00A6594E"/>
    <w:rsid w:val="00A727B6"/>
    <w:rsid w:val="00A76640"/>
    <w:rsid w:val="00A808C6"/>
    <w:rsid w:val="00A81CC6"/>
    <w:rsid w:val="00A83EC6"/>
    <w:rsid w:val="00A84433"/>
    <w:rsid w:val="00A8732C"/>
    <w:rsid w:val="00A9062D"/>
    <w:rsid w:val="00A93F58"/>
    <w:rsid w:val="00A96329"/>
    <w:rsid w:val="00A9648C"/>
    <w:rsid w:val="00AA134B"/>
    <w:rsid w:val="00AA2CFE"/>
    <w:rsid w:val="00AA5FDA"/>
    <w:rsid w:val="00AA6291"/>
    <w:rsid w:val="00AA714E"/>
    <w:rsid w:val="00AA7A08"/>
    <w:rsid w:val="00AA7A6C"/>
    <w:rsid w:val="00AB4B84"/>
    <w:rsid w:val="00AC0C91"/>
    <w:rsid w:val="00AC2D01"/>
    <w:rsid w:val="00AD37D4"/>
    <w:rsid w:val="00AD7986"/>
    <w:rsid w:val="00AE1188"/>
    <w:rsid w:val="00AE738C"/>
    <w:rsid w:val="00AE7AFB"/>
    <w:rsid w:val="00AF0E71"/>
    <w:rsid w:val="00AF1046"/>
    <w:rsid w:val="00AF4466"/>
    <w:rsid w:val="00AF4BB6"/>
    <w:rsid w:val="00AF5D1E"/>
    <w:rsid w:val="00B040A9"/>
    <w:rsid w:val="00B143F3"/>
    <w:rsid w:val="00B14692"/>
    <w:rsid w:val="00B1711E"/>
    <w:rsid w:val="00B17CBE"/>
    <w:rsid w:val="00B17E26"/>
    <w:rsid w:val="00B206B0"/>
    <w:rsid w:val="00B231A4"/>
    <w:rsid w:val="00B25D20"/>
    <w:rsid w:val="00B31C99"/>
    <w:rsid w:val="00B52F91"/>
    <w:rsid w:val="00B53BA6"/>
    <w:rsid w:val="00B5731D"/>
    <w:rsid w:val="00B6378B"/>
    <w:rsid w:val="00B63E3A"/>
    <w:rsid w:val="00B75965"/>
    <w:rsid w:val="00B771AD"/>
    <w:rsid w:val="00B7798E"/>
    <w:rsid w:val="00B814CB"/>
    <w:rsid w:val="00B91785"/>
    <w:rsid w:val="00B97BE4"/>
    <w:rsid w:val="00BA0CF8"/>
    <w:rsid w:val="00BA1ADF"/>
    <w:rsid w:val="00BA28D2"/>
    <w:rsid w:val="00BA4CED"/>
    <w:rsid w:val="00BA51FC"/>
    <w:rsid w:val="00BB003A"/>
    <w:rsid w:val="00BB3358"/>
    <w:rsid w:val="00BB3382"/>
    <w:rsid w:val="00BB3643"/>
    <w:rsid w:val="00BB52F6"/>
    <w:rsid w:val="00BC3DA0"/>
    <w:rsid w:val="00BC424B"/>
    <w:rsid w:val="00BD5DEE"/>
    <w:rsid w:val="00BD6786"/>
    <w:rsid w:val="00BE0ACB"/>
    <w:rsid w:val="00BE0FDE"/>
    <w:rsid w:val="00BE7973"/>
    <w:rsid w:val="00BF6AC5"/>
    <w:rsid w:val="00C01121"/>
    <w:rsid w:val="00C030A5"/>
    <w:rsid w:val="00C05A45"/>
    <w:rsid w:val="00C0796F"/>
    <w:rsid w:val="00C11B34"/>
    <w:rsid w:val="00C12C5C"/>
    <w:rsid w:val="00C15C9A"/>
    <w:rsid w:val="00C171FB"/>
    <w:rsid w:val="00C17330"/>
    <w:rsid w:val="00C209C2"/>
    <w:rsid w:val="00C2267F"/>
    <w:rsid w:val="00C22AD8"/>
    <w:rsid w:val="00C3557E"/>
    <w:rsid w:val="00C3594B"/>
    <w:rsid w:val="00C43102"/>
    <w:rsid w:val="00C4696B"/>
    <w:rsid w:val="00C50513"/>
    <w:rsid w:val="00C54183"/>
    <w:rsid w:val="00C54503"/>
    <w:rsid w:val="00C5775D"/>
    <w:rsid w:val="00C61B4A"/>
    <w:rsid w:val="00C61F13"/>
    <w:rsid w:val="00C63055"/>
    <w:rsid w:val="00C66BBF"/>
    <w:rsid w:val="00C67797"/>
    <w:rsid w:val="00C73B62"/>
    <w:rsid w:val="00C776B1"/>
    <w:rsid w:val="00C815FE"/>
    <w:rsid w:val="00C847AE"/>
    <w:rsid w:val="00C87C31"/>
    <w:rsid w:val="00CA04C6"/>
    <w:rsid w:val="00CA26DD"/>
    <w:rsid w:val="00CB12EC"/>
    <w:rsid w:val="00CC09D7"/>
    <w:rsid w:val="00CC12B8"/>
    <w:rsid w:val="00CC2102"/>
    <w:rsid w:val="00CC58C1"/>
    <w:rsid w:val="00CD22E3"/>
    <w:rsid w:val="00CD4E44"/>
    <w:rsid w:val="00CD5AE4"/>
    <w:rsid w:val="00CD76A3"/>
    <w:rsid w:val="00CD7A7D"/>
    <w:rsid w:val="00CE19A2"/>
    <w:rsid w:val="00CF08F9"/>
    <w:rsid w:val="00CF2D8E"/>
    <w:rsid w:val="00CF2DFA"/>
    <w:rsid w:val="00CF54E5"/>
    <w:rsid w:val="00CF5AD8"/>
    <w:rsid w:val="00CF7FF1"/>
    <w:rsid w:val="00D00122"/>
    <w:rsid w:val="00D01D2A"/>
    <w:rsid w:val="00D10B47"/>
    <w:rsid w:val="00D11EB1"/>
    <w:rsid w:val="00D16F23"/>
    <w:rsid w:val="00D17F17"/>
    <w:rsid w:val="00D22976"/>
    <w:rsid w:val="00D23597"/>
    <w:rsid w:val="00D30BDC"/>
    <w:rsid w:val="00D57F88"/>
    <w:rsid w:val="00D7105C"/>
    <w:rsid w:val="00D73646"/>
    <w:rsid w:val="00D777B4"/>
    <w:rsid w:val="00D77A90"/>
    <w:rsid w:val="00D8360B"/>
    <w:rsid w:val="00D85676"/>
    <w:rsid w:val="00D96ADA"/>
    <w:rsid w:val="00DA1FCB"/>
    <w:rsid w:val="00DA2886"/>
    <w:rsid w:val="00DA43D6"/>
    <w:rsid w:val="00DA5E50"/>
    <w:rsid w:val="00DA79DA"/>
    <w:rsid w:val="00DA7D0C"/>
    <w:rsid w:val="00DB281E"/>
    <w:rsid w:val="00DB311C"/>
    <w:rsid w:val="00DB432D"/>
    <w:rsid w:val="00DB519B"/>
    <w:rsid w:val="00DB7971"/>
    <w:rsid w:val="00DC64FD"/>
    <w:rsid w:val="00DC7694"/>
    <w:rsid w:val="00DC7FBE"/>
    <w:rsid w:val="00DD130E"/>
    <w:rsid w:val="00DD308E"/>
    <w:rsid w:val="00DF0C51"/>
    <w:rsid w:val="00DF0D47"/>
    <w:rsid w:val="00DF1652"/>
    <w:rsid w:val="00DF2299"/>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3203"/>
    <w:rsid w:val="00E955AF"/>
    <w:rsid w:val="00E95D3D"/>
    <w:rsid w:val="00E96299"/>
    <w:rsid w:val="00EA0E25"/>
    <w:rsid w:val="00EA173C"/>
    <w:rsid w:val="00EB20C0"/>
    <w:rsid w:val="00EB38CD"/>
    <w:rsid w:val="00EC127A"/>
    <w:rsid w:val="00EC1FF9"/>
    <w:rsid w:val="00EC2737"/>
    <w:rsid w:val="00EC67B8"/>
    <w:rsid w:val="00ED061E"/>
    <w:rsid w:val="00EE20FA"/>
    <w:rsid w:val="00EE2716"/>
    <w:rsid w:val="00EE6450"/>
    <w:rsid w:val="00EF0D3B"/>
    <w:rsid w:val="00EF297E"/>
    <w:rsid w:val="00F01C2C"/>
    <w:rsid w:val="00F10ED8"/>
    <w:rsid w:val="00F222BE"/>
    <w:rsid w:val="00F24179"/>
    <w:rsid w:val="00F301F1"/>
    <w:rsid w:val="00F30C22"/>
    <w:rsid w:val="00F33981"/>
    <w:rsid w:val="00F33F1A"/>
    <w:rsid w:val="00F35C0A"/>
    <w:rsid w:val="00F547F7"/>
    <w:rsid w:val="00F54CCF"/>
    <w:rsid w:val="00F552F6"/>
    <w:rsid w:val="00F61D7A"/>
    <w:rsid w:val="00F62123"/>
    <w:rsid w:val="00F637B3"/>
    <w:rsid w:val="00F66CF7"/>
    <w:rsid w:val="00F67BCB"/>
    <w:rsid w:val="00F77C57"/>
    <w:rsid w:val="00F807F9"/>
    <w:rsid w:val="00F813C7"/>
    <w:rsid w:val="00F83566"/>
    <w:rsid w:val="00F83A9D"/>
    <w:rsid w:val="00F906B5"/>
    <w:rsid w:val="00F90A70"/>
    <w:rsid w:val="00F91FBC"/>
    <w:rsid w:val="00F93784"/>
    <w:rsid w:val="00F94EBD"/>
    <w:rsid w:val="00F971CC"/>
    <w:rsid w:val="00FA2CAA"/>
    <w:rsid w:val="00FA3DA1"/>
    <w:rsid w:val="00FA5295"/>
    <w:rsid w:val="00FA6554"/>
    <w:rsid w:val="00FB5F38"/>
    <w:rsid w:val="00FD643A"/>
    <w:rsid w:val="00FE16C1"/>
    <w:rsid w:val="00FE19FF"/>
    <w:rsid w:val="00FE1F97"/>
    <w:rsid w:val="00FE33A6"/>
    <w:rsid w:val="00FE5452"/>
    <w:rsid w:val="00FE710C"/>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D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12666E"/>
    <w:pPr>
      <w:spacing w:before="0" w:after="0"/>
    </w:pPr>
    <w:rPr>
      <w:szCs w:val="20"/>
    </w:rPr>
  </w:style>
  <w:style w:type="character" w:customStyle="1" w:styleId="FootnoteTextChar">
    <w:name w:val="Footnote Text Char"/>
    <w:basedOn w:val="DefaultParagraphFont"/>
    <w:link w:val="FootnoteText"/>
    <w:uiPriority w:val="99"/>
    <w:semiHidden/>
    <w:rsid w:val="0012666E"/>
    <w:rPr>
      <w:sz w:val="20"/>
      <w:szCs w:val="20"/>
    </w:rPr>
  </w:style>
  <w:style w:type="character" w:styleId="FootnoteReference">
    <w:name w:val="footnote reference"/>
    <w:basedOn w:val="DefaultParagraphFont"/>
    <w:uiPriority w:val="99"/>
    <w:semiHidden/>
    <w:unhideWhenUsed/>
    <w:rsid w:val="0012666E"/>
    <w:rPr>
      <w:vertAlign w:val="superscript"/>
    </w:rPr>
  </w:style>
  <w:style w:type="character" w:customStyle="1" w:styleId="UnresolvedMention1">
    <w:name w:val="Unresolved Mention1"/>
    <w:basedOn w:val="DefaultParagraphFont"/>
    <w:uiPriority w:val="99"/>
    <w:semiHidden/>
    <w:unhideWhenUsed/>
    <w:rsid w:val="003B402C"/>
    <w:rPr>
      <w:color w:val="605E5C"/>
      <w:shd w:val="clear" w:color="auto" w:fill="E1DFDD"/>
    </w:rPr>
  </w:style>
  <w:style w:type="character" w:customStyle="1" w:styleId="highlight">
    <w:name w:val="highlight"/>
    <w:basedOn w:val="DefaultParagraphFont"/>
    <w:rsid w:val="009C0916"/>
  </w:style>
  <w:style w:type="paragraph" w:customStyle="1" w:styleId="EndNoteBibliographyTitle">
    <w:name w:val="EndNote Bibliography Title"/>
    <w:basedOn w:val="Normal"/>
    <w:link w:val="EndNoteBibliographyTitleChar"/>
    <w:rsid w:val="00E932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3203"/>
    <w:rPr>
      <w:rFonts w:ascii="Calibri" w:hAnsi="Calibri" w:cs="Calibri"/>
      <w:noProof/>
      <w:sz w:val="20"/>
      <w:lang w:val="en-US"/>
    </w:rPr>
  </w:style>
  <w:style w:type="paragraph" w:customStyle="1" w:styleId="EndNoteBibliography">
    <w:name w:val="EndNote Bibliography"/>
    <w:basedOn w:val="Normal"/>
    <w:link w:val="EndNoteBibliographyChar"/>
    <w:uiPriority w:val="8"/>
    <w:rsid w:val="00E93203"/>
    <w:rPr>
      <w:rFonts w:ascii="Calibri" w:hAnsi="Calibri" w:cs="Calibri"/>
      <w:noProof/>
      <w:lang w:val="en-US"/>
    </w:rPr>
  </w:style>
  <w:style w:type="character" w:customStyle="1" w:styleId="EndNoteBibliographyChar">
    <w:name w:val="EndNote Bibliography Char"/>
    <w:basedOn w:val="DefaultParagraphFont"/>
    <w:link w:val="EndNoteBibliography"/>
    <w:uiPriority w:val="8"/>
    <w:rsid w:val="00E93203"/>
    <w:rPr>
      <w:rFonts w:ascii="Calibri" w:hAnsi="Calibri" w:cs="Calibri"/>
      <w:noProof/>
      <w:sz w:val="20"/>
      <w:lang w:val="en-US"/>
    </w:rPr>
  </w:style>
  <w:style w:type="paragraph" w:styleId="EndnoteText">
    <w:name w:val="endnote text"/>
    <w:basedOn w:val="Normal"/>
    <w:link w:val="EndnoteTextChar"/>
    <w:uiPriority w:val="99"/>
    <w:semiHidden/>
    <w:unhideWhenUsed/>
    <w:rsid w:val="00E93203"/>
    <w:pPr>
      <w:spacing w:before="0" w:after="0"/>
    </w:pPr>
    <w:rPr>
      <w:szCs w:val="20"/>
    </w:rPr>
  </w:style>
  <w:style w:type="character" w:customStyle="1" w:styleId="EndnoteTextChar">
    <w:name w:val="Endnote Text Char"/>
    <w:basedOn w:val="DefaultParagraphFont"/>
    <w:link w:val="EndnoteText"/>
    <w:uiPriority w:val="99"/>
    <w:semiHidden/>
    <w:rsid w:val="00E93203"/>
    <w:rPr>
      <w:sz w:val="20"/>
      <w:szCs w:val="20"/>
    </w:rPr>
  </w:style>
  <w:style w:type="character" w:styleId="EndnoteReference">
    <w:name w:val="endnote reference"/>
    <w:basedOn w:val="DefaultParagraphFont"/>
    <w:uiPriority w:val="99"/>
    <w:semiHidden/>
    <w:unhideWhenUsed/>
    <w:rsid w:val="00E93203"/>
    <w:rPr>
      <w:vertAlign w:val="superscript"/>
    </w:rPr>
  </w:style>
  <w:style w:type="paragraph" w:styleId="Caption">
    <w:name w:val="caption"/>
    <w:basedOn w:val="Normal"/>
    <w:next w:val="Normal"/>
    <w:uiPriority w:val="35"/>
    <w:qFormat/>
    <w:rsid w:val="00887888"/>
    <w:pPr>
      <w:spacing w:before="240"/>
      <w:jc w:val="both"/>
    </w:pPr>
    <w:rPr>
      <w:rFonts w:ascii="Arial" w:hAnsi="Arial"/>
      <w:b/>
      <w:bCs/>
      <w:color w:val="505759"/>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12666E"/>
    <w:pPr>
      <w:spacing w:before="0" w:after="0"/>
    </w:pPr>
    <w:rPr>
      <w:szCs w:val="20"/>
    </w:rPr>
  </w:style>
  <w:style w:type="character" w:customStyle="1" w:styleId="FootnoteTextChar">
    <w:name w:val="Footnote Text Char"/>
    <w:basedOn w:val="DefaultParagraphFont"/>
    <w:link w:val="FootnoteText"/>
    <w:uiPriority w:val="99"/>
    <w:semiHidden/>
    <w:rsid w:val="0012666E"/>
    <w:rPr>
      <w:sz w:val="20"/>
      <w:szCs w:val="20"/>
    </w:rPr>
  </w:style>
  <w:style w:type="character" w:styleId="FootnoteReference">
    <w:name w:val="footnote reference"/>
    <w:basedOn w:val="DefaultParagraphFont"/>
    <w:uiPriority w:val="99"/>
    <w:semiHidden/>
    <w:unhideWhenUsed/>
    <w:rsid w:val="0012666E"/>
    <w:rPr>
      <w:vertAlign w:val="superscript"/>
    </w:rPr>
  </w:style>
  <w:style w:type="character" w:customStyle="1" w:styleId="UnresolvedMention1">
    <w:name w:val="Unresolved Mention1"/>
    <w:basedOn w:val="DefaultParagraphFont"/>
    <w:uiPriority w:val="99"/>
    <w:semiHidden/>
    <w:unhideWhenUsed/>
    <w:rsid w:val="003B402C"/>
    <w:rPr>
      <w:color w:val="605E5C"/>
      <w:shd w:val="clear" w:color="auto" w:fill="E1DFDD"/>
    </w:rPr>
  </w:style>
  <w:style w:type="character" w:customStyle="1" w:styleId="highlight">
    <w:name w:val="highlight"/>
    <w:basedOn w:val="DefaultParagraphFont"/>
    <w:rsid w:val="009C0916"/>
  </w:style>
  <w:style w:type="paragraph" w:customStyle="1" w:styleId="EndNoteBibliographyTitle">
    <w:name w:val="EndNote Bibliography Title"/>
    <w:basedOn w:val="Normal"/>
    <w:link w:val="EndNoteBibliographyTitleChar"/>
    <w:rsid w:val="00E932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3203"/>
    <w:rPr>
      <w:rFonts w:ascii="Calibri" w:hAnsi="Calibri" w:cs="Calibri"/>
      <w:noProof/>
      <w:sz w:val="20"/>
      <w:lang w:val="en-US"/>
    </w:rPr>
  </w:style>
  <w:style w:type="paragraph" w:customStyle="1" w:styleId="EndNoteBibliography">
    <w:name w:val="EndNote Bibliography"/>
    <w:basedOn w:val="Normal"/>
    <w:link w:val="EndNoteBibliographyChar"/>
    <w:uiPriority w:val="8"/>
    <w:rsid w:val="00E93203"/>
    <w:rPr>
      <w:rFonts w:ascii="Calibri" w:hAnsi="Calibri" w:cs="Calibri"/>
      <w:noProof/>
      <w:lang w:val="en-US"/>
    </w:rPr>
  </w:style>
  <w:style w:type="character" w:customStyle="1" w:styleId="EndNoteBibliographyChar">
    <w:name w:val="EndNote Bibliography Char"/>
    <w:basedOn w:val="DefaultParagraphFont"/>
    <w:link w:val="EndNoteBibliography"/>
    <w:uiPriority w:val="8"/>
    <w:rsid w:val="00E93203"/>
    <w:rPr>
      <w:rFonts w:ascii="Calibri" w:hAnsi="Calibri" w:cs="Calibri"/>
      <w:noProof/>
      <w:sz w:val="20"/>
      <w:lang w:val="en-US"/>
    </w:rPr>
  </w:style>
  <w:style w:type="paragraph" w:styleId="EndnoteText">
    <w:name w:val="endnote text"/>
    <w:basedOn w:val="Normal"/>
    <w:link w:val="EndnoteTextChar"/>
    <w:uiPriority w:val="99"/>
    <w:semiHidden/>
    <w:unhideWhenUsed/>
    <w:rsid w:val="00E93203"/>
    <w:pPr>
      <w:spacing w:before="0" w:after="0"/>
    </w:pPr>
    <w:rPr>
      <w:szCs w:val="20"/>
    </w:rPr>
  </w:style>
  <w:style w:type="character" w:customStyle="1" w:styleId="EndnoteTextChar">
    <w:name w:val="Endnote Text Char"/>
    <w:basedOn w:val="DefaultParagraphFont"/>
    <w:link w:val="EndnoteText"/>
    <w:uiPriority w:val="99"/>
    <w:semiHidden/>
    <w:rsid w:val="00E93203"/>
    <w:rPr>
      <w:sz w:val="20"/>
      <w:szCs w:val="20"/>
    </w:rPr>
  </w:style>
  <w:style w:type="character" w:styleId="EndnoteReference">
    <w:name w:val="endnote reference"/>
    <w:basedOn w:val="DefaultParagraphFont"/>
    <w:uiPriority w:val="99"/>
    <w:semiHidden/>
    <w:unhideWhenUsed/>
    <w:rsid w:val="00E93203"/>
    <w:rPr>
      <w:vertAlign w:val="superscript"/>
    </w:rPr>
  </w:style>
  <w:style w:type="paragraph" w:styleId="Caption">
    <w:name w:val="caption"/>
    <w:basedOn w:val="Normal"/>
    <w:next w:val="Normal"/>
    <w:uiPriority w:val="35"/>
    <w:qFormat/>
    <w:rsid w:val="00887888"/>
    <w:pPr>
      <w:spacing w:before="240"/>
      <w:jc w:val="both"/>
    </w:pPr>
    <w:rPr>
      <w:rFonts w:ascii="Arial" w:hAnsi="Arial"/>
      <w:b/>
      <w:bCs/>
      <w:color w:val="505759"/>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90203687">
      <w:bodyDiv w:val="1"/>
      <w:marLeft w:val="0"/>
      <w:marRight w:val="0"/>
      <w:marTop w:val="0"/>
      <w:marBottom w:val="0"/>
      <w:divBdr>
        <w:top w:val="none" w:sz="0" w:space="0" w:color="auto"/>
        <w:left w:val="none" w:sz="0" w:space="0" w:color="auto"/>
        <w:bottom w:val="none" w:sz="0" w:space="0" w:color="auto"/>
        <w:right w:val="none" w:sz="0" w:space="0" w:color="auto"/>
      </w:divBdr>
      <w:divsChild>
        <w:div w:id="263148770">
          <w:marLeft w:val="0"/>
          <w:marRight w:val="0"/>
          <w:marTop w:val="0"/>
          <w:marBottom w:val="0"/>
          <w:divBdr>
            <w:top w:val="none" w:sz="0" w:space="0" w:color="auto"/>
            <w:left w:val="none" w:sz="0" w:space="0" w:color="auto"/>
            <w:bottom w:val="none" w:sz="0" w:space="0" w:color="auto"/>
            <w:right w:val="none" w:sz="0" w:space="0" w:color="auto"/>
          </w:divBdr>
          <w:divsChild>
            <w:div w:id="1785075704">
              <w:marLeft w:val="0"/>
              <w:marRight w:val="0"/>
              <w:marTop w:val="0"/>
              <w:marBottom w:val="0"/>
              <w:divBdr>
                <w:top w:val="none" w:sz="0" w:space="0" w:color="auto"/>
                <w:left w:val="none" w:sz="0" w:space="0" w:color="auto"/>
                <w:bottom w:val="none" w:sz="0" w:space="0" w:color="auto"/>
                <w:right w:val="none" w:sz="0" w:space="0" w:color="auto"/>
              </w:divBdr>
            </w:div>
            <w:div w:id="1204903196">
              <w:marLeft w:val="439"/>
              <w:marRight w:val="0"/>
              <w:marTop w:val="0"/>
              <w:marBottom w:val="0"/>
              <w:divBdr>
                <w:top w:val="none" w:sz="0" w:space="0" w:color="auto"/>
                <w:left w:val="none" w:sz="0" w:space="0" w:color="auto"/>
                <w:bottom w:val="none" w:sz="0" w:space="0" w:color="auto"/>
                <w:right w:val="none" w:sz="0" w:space="0" w:color="auto"/>
              </w:divBdr>
              <w:divsChild>
                <w:div w:id="233783041">
                  <w:marLeft w:val="0"/>
                  <w:marRight w:val="0"/>
                  <w:marTop w:val="0"/>
                  <w:marBottom w:val="0"/>
                  <w:divBdr>
                    <w:top w:val="none" w:sz="0" w:space="0" w:color="auto"/>
                    <w:left w:val="none" w:sz="0" w:space="0" w:color="auto"/>
                    <w:bottom w:val="none" w:sz="0" w:space="0" w:color="auto"/>
                    <w:right w:val="none" w:sz="0" w:space="0" w:color="auto"/>
                  </w:divBdr>
                  <w:divsChild>
                    <w:div w:id="559094426">
                      <w:marLeft w:val="0"/>
                      <w:marRight w:val="0"/>
                      <w:marTop w:val="0"/>
                      <w:marBottom w:val="0"/>
                      <w:divBdr>
                        <w:top w:val="none" w:sz="0" w:space="0" w:color="auto"/>
                        <w:left w:val="none" w:sz="0" w:space="0" w:color="auto"/>
                        <w:bottom w:val="none" w:sz="0" w:space="0" w:color="auto"/>
                        <w:right w:val="none" w:sz="0" w:space="0" w:color="auto"/>
                      </w:divBdr>
                    </w:div>
                    <w:div w:id="173611731">
                      <w:marLeft w:val="176"/>
                      <w:marRight w:val="0"/>
                      <w:marTop w:val="0"/>
                      <w:marBottom w:val="0"/>
                      <w:divBdr>
                        <w:top w:val="none" w:sz="0" w:space="0" w:color="auto"/>
                        <w:left w:val="none" w:sz="0" w:space="0" w:color="auto"/>
                        <w:bottom w:val="none" w:sz="0" w:space="0" w:color="auto"/>
                        <w:right w:val="none" w:sz="0" w:space="0" w:color="auto"/>
                      </w:divBdr>
                    </w:div>
                  </w:divsChild>
                </w:div>
                <w:div w:id="718937261">
                  <w:marLeft w:val="0"/>
                  <w:marRight w:val="0"/>
                  <w:marTop w:val="0"/>
                  <w:marBottom w:val="0"/>
                  <w:divBdr>
                    <w:top w:val="none" w:sz="0" w:space="0" w:color="auto"/>
                    <w:left w:val="none" w:sz="0" w:space="0" w:color="auto"/>
                    <w:bottom w:val="none" w:sz="0" w:space="0" w:color="auto"/>
                    <w:right w:val="none" w:sz="0" w:space="0" w:color="auto"/>
                  </w:divBdr>
                  <w:divsChild>
                    <w:div w:id="368069003">
                      <w:marLeft w:val="0"/>
                      <w:marRight w:val="0"/>
                      <w:marTop w:val="0"/>
                      <w:marBottom w:val="0"/>
                      <w:divBdr>
                        <w:top w:val="none" w:sz="0" w:space="0" w:color="auto"/>
                        <w:left w:val="none" w:sz="0" w:space="0" w:color="auto"/>
                        <w:bottom w:val="none" w:sz="0" w:space="0" w:color="auto"/>
                        <w:right w:val="none" w:sz="0" w:space="0" w:color="auto"/>
                      </w:divBdr>
                    </w:div>
                    <w:div w:id="2130934854">
                      <w:marLeft w:val="176"/>
                      <w:marRight w:val="0"/>
                      <w:marTop w:val="0"/>
                      <w:marBottom w:val="0"/>
                      <w:divBdr>
                        <w:top w:val="none" w:sz="0" w:space="0" w:color="auto"/>
                        <w:left w:val="none" w:sz="0" w:space="0" w:color="auto"/>
                        <w:bottom w:val="none" w:sz="0" w:space="0" w:color="auto"/>
                        <w:right w:val="none" w:sz="0" w:space="0" w:color="auto"/>
                      </w:divBdr>
                    </w:div>
                  </w:divsChild>
                </w:div>
                <w:div w:id="386687271">
                  <w:marLeft w:val="0"/>
                  <w:marRight w:val="0"/>
                  <w:marTop w:val="0"/>
                  <w:marBottom w:val="0"/>
                  <w:divBdr>
                    <w:top w:val="none" w:sz="0" w:space="0" w:color="auto"/>
                    <w:left w:val="none" w:sz="0" w:space="0" w:color="auto"/>
                    <w:bottom w:val="none" w:sz="0" w:space="0" w:color="auto"/>
                    <w:right w:val="none" w:sz="0" w:space="0" w:color="auto"/>
                  </w:divBdr>
                  <w:divsChild>
                    <w:div w:id="932275100">
                      <w:marLeft w:val="0"/>
                      <w:marRight w:val="0"/>
                      <w:marTop w:val="0"/>
                      <w:marBottom w:val="0"/>
                      <w:divBdr>
                        <w:top w:val="none" w:sz="0" w:space="0" w:color="auto"/>
                        <w:left w:val="none" w:sz="0" w:space="0" w:color="auto"/>
                        <w:bottom w:val="none" w:sz="0" w:space="0" w:color="auto"/>
                        <w:right w:val="none" w:sz="0" w:space="0" w:color="auto"/>
                      </w:divBdr>
                    </w:div>
                    <w:div w:id="21400759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941">
          <w:marLeft w:val="0"/>
          <w:marRight w:val="0"/>
          <w:marTop w:val="0"/>
          <w:marBottom w:val="0"/>
          <w:divBdr>
            <w:top w:val="none" w:sz="0" w:space="0" w:color="auto"/>
            <w:left w:val="none" w:sz="0" w:space="0" w:color="auto"/>
            <w:bottom w:val="none" w:sz="0" w:space="0" w:color="auto"/>
            <w:right w:val="none" w:sz="0" w:space="0" w:color="auto"/>
          </w:divBdr>
        </w:div>
      </w:divsChild>
    </w:div>
    <w:div w:id="125366031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5DF9-2C84-4A07-9E99-AB397904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6301</Words>
  <Characters>35916</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2</cp:revision>
  <cp:lastPrinted>2016-07-12T05:04:00Z</cp:lastPrinted>
  <dcterms:created xsi:type="dcterms:W3CDTF">2018-09-17T05:23:00Z</dcterms:created>
  <dcterms:modified xsi:type="dcterms:W3CDTF">2018-09-17T05:23:00Z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