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37F3" w14:textId="77FD09F9" w:rsidR="009E15C1" w:rsidRDefault="009E15C1" w:rsidP="009E15C1">
      <w:pPr>
        <w:pStyle w:val="Heading1"/>
        <w:numPr>
          <w:ilvl w:val="0"/>
          <w:numId w:val="0"/>
        </w:numPr>
        <w:pBdr>
          <w:bottom w:val="none" w:sz="0" w:space="0" w:color="auto"/>
        </w:pBdr>
        <w:spacing w:before="0" w:after="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00C51DFC" w:rsidRPr="00F76D74">
        <w:rPr>
          <w:rFonts w:ascii="Arial" w:hAnsi="Arial" w:cs="Arial"/>
          <w:b/>
          <w:bCs/>
          <w:color w:val="000080"/>
          <w:sz w:val="36"/>
          <w:szCs w:val="36"/>
        </w:rPr>
        <w:t>Public Summary Document</w:t>
      </w:r>
    </w:p>
    <w:p w14:paraId="69900609" w14:textId="39B39148" w:rsidR="009E15C1" w:rsidRPr="00CE28E3" w:rsidRDefault="009E15C1" w:rsidP="00C51DFC">
      <w:pPr>
        <w:pStyle w:val="Subtitle"/>
        <w:spacing w:before="360"/>
      </w:pPr>
      <w:r w:rsidRPr="00CE28E3">
        <w:t xml:space="preserve">Application No. </w:t>
      </w:r>
      <w:r>
        <w:t>1732</w:t>
      </w:r>
      <w:r w:rsidRPr="0044745D">
        <w:t xml:space="preserve"> – </w:t>
      </w:r>
      <w:r w:rsidR="001130D6">
        <w:t>I</w:t>
      </w:r>
      <w:r w:rsidRPr="00693641">
        <w:t xml:space="preserve">mlifidase in the desensitisation treatment of highly sensitised adult kidney transplant patients with a positive crossmatch against an available deceased donor or living donor, who are unlikely to be transplanted under current kidney allocation </w:t>
      </w:r>
      <w:proofErr w:type="gramStart"/>
      <w:r w:rsidRPr="00693641">
        <w:t>systems</w:t>
      </w:r>
      <w:proofErr w:type="gramEnd"/>
    </w:p>
    <w:p w14:paraId="5544689A" w14:textId="26A46E69" w:rsidR="009E15C1" w:rsidRPr="00CE28E3" w:rsidRDefault="0033447A" w:rsidP="009E15C1">
      <w:pPr>
        <w:tabs>
          <w:tab w:val="left" w:pos="3686"/>
        </w:tabs>
        <w:spacing w:after="240"/>
        <w:rPr>
          <w:rFonts w:ascii="Arial" w:hAnsi="Arial" w:cs="Arial"/>
          <w:b/>
          <w:szCs w:val="24"/>
        </w:rPr>
      </w:pPr>
      <w:r>
        <w:rPr>
          <w:rFonts w:ascii="Arial" w:hAnsi="Arial" w:cs="Arial"/>
          <w:b/>
          <w:szCs w:val="24"/>
        </w:rPr>
        <w:t>Applicant</w:t>
      </w:r>
      <w:r w:rsidR="009E15C1" w:rsidRPr="00CE28E3">
        <w:rPr>
          <w:rFonts w:ascii="Arial" w:hAnsi="Arial" w:cs="Arial"/>
          <w:b/>
          <w:szCs w:val="24"/>
        </w:rPr>
        <w:t>:</w:t>
      </w:r>
      <w:r w:rsidR="009E15C1" w:rsidRPr="00CE28E3">
        <w:rPr>
          <w:rFonts w:ascii="Arial" w:hAnsi="Arial" w:cs="Arial"/>
          <w:b/>
          <w:szCs w:val="24"/>
        </w:rPr>
        <w:tab/>
      </w:r>
      <w:r w:rsidR="009E15C1" w:rsidRPr="009536AD">
        <w:rPr>
          <w:rFonts w:ascii="Arial" w:hAnsi="Arial" w:cs="Arial"/>
          <w:b/>
          <w:szCs w:val="24"/>
        </w:rPr>
        <w:t>Hansa Biopharma Australia</w:t>
      </w:r>
    </w:p>
    <w:p w14:paraId="20A2F7B6" w14:textId="1B54FC10" w:rsidR="009E66C2" w:rsidRDefault="009E66C2" w:rsidP="009E66C2">
      <w:pPr>
        <w:spacing w:before="320"/>
        <w:rPr>
          <w:rFonts w:ascii="Arial" w:hAnsi="Arial" w:cs="Arial"/>
          <w:b/>
          <w:bCs/>
        </w:rPr>
      </w:pPr>
      <w:r w:rsidRPr="00C85269">
        <w:rPr>
          <w:rFonts w:ascii="Arial" w:hAnsi="Arial" w:cs="Arial"/>
          <w:b/>
          <w:bCs/>
        </w:rPr>
        <w:t xml:space="preserve">Date of </w:t>
      </w:r>
      <w:r w:rsidR="005552BA">
        <w:rPr>
          <w:rFonts w:ascii="Arial" w:hAnsi="Arial" w:cs="Arial"/>
          <w:b/>
          <w:bCs/>
        </w:rPr>
        <w:t>MSAC</w:t>
      </w:r>
      <w:r w:rsidRPr="00C85269">
        <w:rPr>
          <w:rFonts w:ascii="Arial" w:hAnsi="Arial" w:cs="Arial"/>
          <w:b/>
          <w:bCs/>
        </w:rPr>
        <w:t xml:space="preserve"> consideration:</w:t>
      </w:r>
      <w:r w:rsidRPr="00C85269">
        <w:rPr>
          <w:rFonts w:ascii="Arial" w:hAnsi="Arial" w:cs="Arial"/>
          <w:b/>
          <w:bCs/>
        </w:rPr>
        <w:tab/>
      </w:r>
      <w:r w:rsidR="005552BA">
        <w:rPr>
          <w:rFonts w:ascii="Arial" w:hAnsi="Arial" w:cs="Arial"/>
          <w:b/>
          <w:bCs/>
        </w:rPr>
        <w:t>27 July</w:t>
      </w:r>
      <w:r>
        <w:rPr>
          <w:rFonts w:ascii="Arial" w:hAnsi="Arial" w:cs="Arial"/>
          <w:b/>
          <w:bCs/>
        </w:rPr>
        <w:t xml:space="preserve"> 2023</w:t>
      </w:r>
    </w:p>
    <w:p w14:paraId="4E05A8B8" w14:textId="77777777" w:rsidR="007107FB" w:rsidRPr="00775E8C" w:rsidRDefault="007107FB" w:rsidP="007107FB">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1C90080C" w:rsidR="00772829" w:rsidRPr="00CE28E3" w:rsidRDefault="00C36633" w:rsidP="009E15C1">
      <w:pPr>
        <w:pStyle w:val="Heading2"/>
        <w:numPr>
          <w:ilvl w:val="0"/>
          <w:numId w:val="0"/>
        </w:numPr>
      </w:pPr>
      <w:bookmarkStart w:id="0" w:name="_Toc69491415"/>
      <w:r>
        <w:t>1.</w:t>
      </w:r>
      <w:r>
        <w:tab/>
      </w:r>
      <w:r w:rsidR="00772829" w:rsidRPr="00CE28E3">
        <w:t xml:space="preserve">Purpose </w:t>
      </w:r>
      <w:r w:rsidR="00772829" w:rsidRPr="009E15C1">
        <w:t>of</w:t>
      </w:r>
      <w:r w:rsidR="00772829" w:rsidRPr="00CE28E3">
        <w:t xml:space="preserve"> application</w:t>
      </w:r>
      <w:bookmarkEnd w:id="0"/>
    </w:p>
    <w:p w14:paraId="371A19B8" w14:textId="5212FBB2" w:rsidR="00F25ECB" w:rsidRDefault="00F25ECB" w:rsidP="00F25ECB">
      <w:pPr>
        <w:spacing w:before="0"/>
      </w:pPr>
      <w:bookmarkStart w:id="1" w:name="_Hlk69734469"/>
      <w:r w:rsidRPr="00F16623">
        <w:t>An</w:t>
      </w:r>
      <w:r>
        <w:t xml:space="preserve"> application </w:t>
      </w:r>
      <w:r w:rsidR="003D48D3">
        <w:t>requesting</w:t>
      </w:r>
      <w:r w:rsidR="003D48D3" w:rsidRPr="003D48D3">
        <w:t xml:space="preserve"> </w:t>
      </w:r>
      <w:r w:rsidR="00E849F1">
        <w:t>the use of</w:t>
      </w:r>
      <w:r w:rsidR="003D48D3" w:rsidRPr="003D48D3">
        <w:t xml:space="preserve"> </w:t>
      </w:r>
      <w:bookmarkStart w:id="2" w:name="_Hlk128484542"/>
      <w:r w:rsidR="003D48D3" w:rsidRPr="003D48D3">
        <w:t xml:space="preserve">imlifidase </w:t>
      </w:r>
      <w:bookmarkEnd w:id="2"/>
      <w:r w:rsidR="003D48D3" w:rsidRPr="003D48D3">
        <w:t>in the desensitisation treatment of highly sensitised (HS) adult kidney transplant patients with a positive crossmatch against an available deceased donor (DD) or living donor (LD) who are unlikely to be transplanted under current kidney allocation systems</w:t>
      </w:r>
      <w:r w:rsidR="00283E52">
        <w:t xml:space="preserve"> </w:t>
      </w:r>
      <w:r>
        <w:t xml:space="preserve">was received </w:t>
      </w:r>
      <w:r w:rsidR="00E10DE3">
        <w:t xml:space="preserve">by the Department of Health </w:t>
      </w:r>
      <w:r>
        <w:t xml:space="preserve">from </w:t>
      </w:r>
      <w:r w:rsidR="00283E52" w:rsidRPr="00283E52">
        <w:rPr>
          <w:lang w:val="en-NZ"/>
        </w:rPr>
        <w:t>Hansa Biopharma Australia</w:t>
      </w:r>
      <w:r>
        <w:t xml:space="preserve">. </w:t>
      </w:r>
    </w:p>
    <w:p w14:paraId="5CFD7421" w14:textId="77777777" w:rsidR="001C139D" w:rsidRDefault="00C36633" w:rsidP="001C139D">
      <w:pPr>
        <w:pStyle w:val="Heading2"/>
        <w:numPr>
          <w:ilvl w:val="1"/>
          <w:numId w:val="0"/>
        </w:numPr>
      </w:pPr>
      <w:bookmarkStart w:id="3" w:name="_Toc69491416"/>
      <w:bookmarkEnd w:id="1"/>
      <w:r>
        <w:t>2.</w:t>
      </w:r>
      <w:r>
        <w:tab/>
      </w:r>
      <w:r w:rsidR="001C139D">
        <w:t>MSAC’s advice to the Minister</w:t>
      </w:r>
    </w:p>
    <w:p w14:paraId="57EAD575" w14:textId="77777777" w:rsidR="008C308B" w:rsidRDefault="001C139D" w:rsidP="00593248">
      <w:pPr>
        <w:spacing w:after="240"/>
      </w:pPr>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00593248">
        <w:t>MSAC did not support public funding of imlifidase as desensitisation treatment of highly sensitised (HS) adult kidney transplant patients with a positive crossmatch against an available deceased donor (DD) or living donor (LD) who are unlikely to be transplanted under current kidney allocation systems, with a calculated panel-reactive antibody (</w:t>
      </w:r>
      <w:proofErr w:type="spellStart"/>
      <w:r w:rsidR="00593248">
        <w:t>cPRA</w:t>
      </w:r>
      <w:proofErr w:type="spellEnd"/>
      <w:r w:rsidR="00593248">
        <w:t>) of 95% or higher.</w:t>
      </w:r>
    </w:p>
    <w:p w14:paraId="679A20C2" w14:textId="2F5787FD" w:rsidR="00C415A1" w:rsidRDefault="008C308B" w:rsidP="00593248">
      <w:pPr>
        <w:spacing w:after="240"/>
      </w:pPr>
      <w:r>
        <w:t xml:space="preserve">MSAC noted the very positive impact of the recent change in the algorithm for the allocation of deceased donor kidneys on access to kidney transplantation for </w:t>
      </w:r>
      <w:r w:rsidR="00593248">
        <w:t xml:space="preserve">patients with a </w:t>
      </w:r>
      <w:proofErr w:type="spellStart"/>
      <w:r w:rsidR="00593248">
        <w:t>cPRA</w:t>
      </w:r>
      <w:proofErr w:type="spellEnd"/>
      <w:r w:rsidR="00593248">
        <w:t xml:space="preserve"> level </w:t>
      </w:r>
      <w:r w:rsidR="00BB7B0C">
        <w:t>from</w:t>
      </w:r>
      <w:r>
        <w:t xml:space="preserve"> 95% </w:t>
      </w:r>
      <w:r w:rsidR="00BB7B0C">
        <w:t>to</w:t>
      </w:r>
      <w:r>
        <w:t xml:space="preserve"> </w:t>
      </w:r>
      <w:r w:rsidR="001901BE">
        <w:t>less than</w:t>
      </w:r>
      <w:r>
        <w:t xml:space="preserve"> </w:t>
      </w:r>
      <w:r w:rsidR="00593248">
        <w:t>9</w:t>
      </w:r>
      <w:r w:rsidR="00E75D6D">
        <w:t>9</w:t>
      </w:r>
      <w:r w:rsidR="00593248">
        <w:t>%</w:t>
      </w:r>
      <w:r>
        <w:t xml:space="preserve">, but noted </w:t>
      </w:r>
      <w:r w:rsidR="00593248">
        <w:t xml:space="preserve">a clinical need for </w:t>
      </w:r>
      <w:r>
        <w:t xml:space="preserve">equity of access in the subgroup of patients with a </w:t>
      </w:r>
      <w:proofErr w:type="spellStart"/>
      <w:r>
        <w:t>cPRA</w:t>
      </w:r>
      <w:proofErr w:type="spellEnd"/>
      <w:r>
        <w:t xml:space="preserve"> level of 99% or more. </w:t>
      </w:r>
      <w:r w:rsidR="00593248">
        <w:t>MSAC did not accept that imlifidase is comparatively safe, effective or cost-effective in the proposed target population</w:t>
      </w:r>
      <w:r>
        <w:t xml:space="preserve"> (</w:t>
      </w:r>
      <w:proofErr w:type="spellStart"/>
      <w:r w:rsidR="00A37A8E">
        <w:t>cPRA</w:t>
      </w:r>
      <w:proofErr w:type="spellEnd"/>
      <w:r w:rsidR="00A37A8E">
        <w:t xml:space="preserve"> </w:t>
      </w:r>
      <w:r>
        <w:t>95% or higher)</w:t>
      </w:r>
      <w:r w:rsidR="00A37A8E">
        <w:t xml:space="preserve">, noting a number of issues in relation to </w:t>
      </w:r>
      <w:r w:rsidR="005E2D32">
        <w:t xml:space="preserve">the </w:t>
      </w:r>
      <w:r w:rsidR="00F61582">
        <w:t>clinical place</w:t>
      </w:r>
      <w:r w:rsidR="0003339F">
        <w:t xml:space="preserve"> of therapy</w:t>
      </w:r>
      <w:r w:rsidR="00A37A8E">
        <w:t xml:space="preserve">, clinical data, cost and economics. </w:t>
      </w:r>
      <w:r w:rsidR="00FB0DBF">
        <w:t>MSAC considered that t</w:t>
      </w:r>
      <w:r w:rsidR="00A37A8E">
        <w:t xml:space="preserve">he clinical need only remains in a subset of patients - the higher immunological risk group (99% or more). There are alternative treatments available for both deceased and living donor recipients that need to be considered. </w:t>
      </w:r>
      <w:r w:rsidR="003B651A">
        <w:t>MSAC noted t</w:t>
      </w:r>
      <w:r w:rsidR="00A37A8E">
        <w:t xml:space="preserve">he clinical data are of low confidence given the design and conduct issues (small sample size, heterogeneous immunological risk, single arm, and short term), and </w:t>
      </w:r>
      <w:r w:rsidR="003B0279">
        <w:t xml:space="preserve">that </w:t>
      </w:r>
      <w:r w:rsidR="00A37A8E">
        <w:t xml:space="preserve">the underlying processes for </w:t>
      </w:r>
      <w:r w:rsidR="007510C3">
        <w:t xml:space="preserve">graft </w:t>
      </w:r>
      <w:r w:rsidR="00A37A8E">
        <w:t>rejection remain</w:t>
      </w:r>
      <w:r w:rsidR="00BA4ECC">
        <w:t>,</w:t>
      </w:r>
      <w:r w:rsidR="00590083">
        <w:t xml:space="preserve"> </w:t>
      </w:r>
      <w:r w:rsidR="00BA4ECC">
        <w:t xml:space="preserve">being </w:t>
      </w:r>
      <w:r w:rsidR="00A37A8E">
        <w:t xml:space="preserve">only mitigated for up to </w:t>
      </w:r>
      <w:r w:rsidR="003B651A">
        <w:t>one</w:t>
      </w:r>
      <w:r w:rsidR="00A37A8E">
        <w:t xml:space="preserve"> week</w:t>
      </w:r>
      <w:r w:rsidR="00593248">
        <w:t xml:space="preserve">. </w:t>
      </w:r>
      <w:r w:rsidR="00E14194">
        <w:t xml:space="preserve">There are also complex implementation issues and a requirement for more immunological tests in the acute setting than would be used in routine clinical practice. </w:t>
      </w:r>
      <w:r w:rsidR="00ED0CB6">
        <w:t>MSAC noted t</w:t>
      </w:r>
      <w:r w:rsidR="00E14194">
        <w:t xml:space="preserve">here are displacement issues in the setting of deceased donor recipients with patients of lower immunological risk, who would have </w:t>
      </w:r>
      <w:r w:rsidR="00E14194">
        <w:lastRenderedPageBreak/>
        <w:t>received a kidney, being replaced by a higher immunological risk recipient (noting that deceased donor kidneys are a scarce resource).</w:t>
      </w:r>
    </w:p>
    <w:p w14:paraId="46DBB679" w14:textId="6442FEA3" w:rsidR="001C139D" w:rsidRPr="00523EFA" w:rsidRDefault="00593248" w:rsidP="00593248">
      <w:pPr>
        <w:spacing w:after="240"/>
      </w:pPr>
      <w:r>
        <w:t xml:space="preserve">MSAC </w:t>
      </w:r>
      <w:r w:rsidR="00E14194">
        <w:t>did consider that there was a clinical need for therapies like imlifidase in the very high immunological risk setting, for a small group of patients who would otherwise not be transplanted or receive a transplant after a considerable period of waiting (</w:t>
      </w:r>
      <w:proofErr w:type="spellStart"/>
      <w:r>
        <w:t>cPRA</w:t>
      </w:r>
      <w:proofErr w:type="spellEnd"/>
      <w:r>
        <w:t xml:space="preserve"> 99</w:t>
      </w:r>
      <w:r w:rsidR="00190973">
        <w:t>%</w:t>
      </w:r>
      <w:r w:rsidR="00E14194">
        <w:t xml:space="preserve"> or above) in whom alternative therapies were not effective or possible. F</w:t>
      </w:r>
      <w:r>
        <w:t xml:space="preserve">urther consultation is required to ascertain </w:t>
      </w:r>
      <w:r w:rsidR="7FE042AA">
        <w:t>the clinical</w:t>
      </w:r>
      <w:r w:rsidR="001625BE">
        <w:t xml:space="preserve"> place of </w:t>
      </w:r>
      <w:r w:rsidR="00176C9C">
        <w:t>therapy</w:t>
      </w:r>
      <w:r>
        <w:t xml:space="preserve">, with separate consideration of </w:t>
      </w:r>
      <w:r w:rsidR="00E14194">
        <w:t>deceased donor and living donor</w:t>
      </w:r>
      <w:r w:rsidR="00880AFB">
        <w:t xml:space="preserve"> kidney recipients</w:t>
      </w:r>
      <w:r w:rsidR="00E14194">
        <w:t xml:space="preserve"> </w:t>
      </w:r>
      <w:r>
        <w:t>in light of other potential comparators, and reconsideration of the proposed price.</w:t>
      </w:r>
    </w:p>
    <w:tbl>
      <w:tblPr>
        <w:tblStyle w:val="TableGrid"/>
        <w:tblW w:w="0" w:type="auto"/>
        <w:tblLook w:val="04A0" w:firstRow="1" w:lastRow="0" w:firstColumn="1" w:lastColumn="0" w:noHBand="0" w:noVBand="1"/>
        <w:tblDescription w:val="Consumer summary of MSAC consideration"/>
      </w:tblPr>
      <w:tblGrid>
        <w:gridCol w:w="9016"/>
      </w:tblGrid>
      <w:tr w:rsidR="001C139D" w:rsidRPr="00AF46D8" w14:paraId="3323B20A" w14:textId="77777777" w:rsidTr="00D41A06">
        <w:trPr>
          <w:tblHeader/>
        </w:trPr>
        <w:tc>
          <w:tcPr>
            <w:tcW w:w="9016" w:type="dxa"/>
          </w:tcPr>
          <w:p w14:paraId="75F42B07" w14:textId="77777777" w:rsidR="001C139D" w:rsidRPr="00AF46D8" w:rsidRDefault="001C139D" w:rsidP="00D41A06">
            <w:pPr>
              <w:pStyle w:val="Heading3"/>
              <w:spacing w:before="120"/>
              <w:ind w:left="720" w:hanging="720"/>
              <w:rPr>
                <w:iCs/>
              </w:rPr>
            </w:pPr>
            <w:r w:rsidRPr="00AF46D8">
              <w:t>Consumer summary</w:t>
            </w:r>
          </w:p>
        </w:tc>
      </w:tr>
      <w:tr w:rsidR="001C139D" w:rsidRPr="00AF46D8" w14:paraId="2A061993" w14:textId="77777777" w:rsidTr="00D41A06">
        <w:tc>
          <w:tcPr>
            <w:tcW w:w="9016" w:type="dxa"/>
          </w:tcPr>
          <w:p w14:paraId="775FED68" w14:textId="4142F6A7" w:rsidR="00951ACF" w:rsidRDefault="00951ACF" w:rsidP="00951ACF">
            <w:r>
              <w:t xml:space="preserve">This is an application from Hansa Biopharma Australia requesting </w:t>
            </w:r>
            <w:r w:rsidR="00947E90">
              <w:t xml:space="preserve">National Health Reform Agreement (NHRA) funding </w:t>
            </w:r>
            <w:r>
              <w:t>of imlifidase as a desensitisation treatment of highly sensitised adult kidney transplant patients with a positive crossmatch against an available deceased or living donor who are unlikely to be transplanted under current kidney allocation systems.</w:t>
            </w:r>
          </w:p>
          <w:p w14:paraId="3623A325" w14:textId="073C1650" w:rsidR="00951ACF" w:rsidRDefault="00951ACF" w:rsidP="00951ACF">
            <w:r>
              <w:t>End-stage kidney disease is defined by partial or complete fail</w:t>
            </w:r>
            <w:r w:rsidR="00005C6C">
              <w:t>ure of</w:t>
            </w:r>
            <w:r>
              <w:t xml:space="preserve"> kidney function. Patients with end-stage kidney disease need regular dialysis or a kidney transplant to survive. A kidney transplant</w:t>
            </w:r>
            <w:r w:rsidR="00F9552F">
              <w:t xml:space="preserve"> gives </w:t>
            </w:r>
            <w:r>
              <w:t xml:space="preserve">patients a greater chance of survival and a better quality of life than </w:t>
            </w:r>
            <w:r w:rsidR="00F9552F">
              <w:t xml:space="preserve">remaining on </w:t>
            </w:r>
            <w:r>
              <w:t>dialysis.</w:t>
            </w:r>
          </w:p>
          <w:p w14:paraId="10369FBB" w14:textId="2730AADE" w:rsidR="00951ACF" w:rsidRDefault="00951ACF" w:rsidP="00951ACF">
            <w:r>
              <w:t>Around one-third of people waiting for a kidney transplant have donor-specific antibodies against human leukocyte antigens, which means that they have a higher chance of rejecting a donor kidney. These people are classified as “highly sensitised”</w:t>
            </w:r>
            <w:r w:rsidR="009E6715">
              <w:t xml:space="preserve"> and include groups such as women who have previously been pregnant and </w:t>
            </w:r>
            <w:r w:rsidR="008D365A">
              <w:t xml:space="preserve">people who </w:t>
            </w:r>
            <w:r w:rsidR="00E14194">
              <w:t>have already had a transplant</w:t>
            </w:r>
            <w:r>
              <w:t>.</w:t>
            </w:r>
          </w:p>
          <w:p w14:paraId="1A9A81E2" w14:textId="5B653495" w:rsidR="00951ACF" w:rsidRDefault="00951ACF" w:rsidP="00951ACF">
            <w:r>
              <w:t xml:space="preserve">Imlifidase is a “desensitisation” treatment that tries to prevent the body from rejecting a newly transplanted kidney. This treatment is used before transplantation in people who are considered “highly sensitised” based on a positive crossmatch test. A positive crossmatch is where a high level of antibodies (measured as calculated panel reactive antibody values, or </w:t>
            </w:r>
            <w:proofErr w:type="spellStart"/>
            <w:r>
              <w:t>cPRA</w:t>
            </w:r>
            <w:proofErr w:type="spellEnd"/>
            <w:r>
              <w:t xml:space="preserve">) in the </w:t>
            </w:r>
            <w:r w:rsidR="006D1740">
              <w:t xml:space="preserve">person receiving the </w:t>
            </w:r>
            <w:r>
              <w:t xml:space="preserve">transplant bind to the cells </w:t>
            </w:r>
            <w:r w:rsidR="00D3398F">
              <w:t xml:space="preserve">of the donor </w:t>
            </w:r>
            <w:r w:rsidR="00104863">
              <w:t>(or the donor</w:t>
            </w:r>
            <w:r w:rsidR="002B2BEF">
              <w:t>’s</w:t>
            </w:r>
            <w:r w:rsidR="00104863">
              <w:t xml:space="preserve"> </w:t>
            </w:r>
            <w:r w:rsidR="002B2BEF">
              <w:t>kidney</w:t>
            </w:r>
            <w:r w:rsidR="00104863">
              <w:t>)</w:t>
            </w:r>
            <w:r w:rsidR="00D3398F">
              <w:t xml:space="preserve"> </w:t>
            </w:r>
            <w:r>
              <w:t>and destroy them. Imlifidase converts people from crossmatch positive to negative, which reduces the likelihood of the patient’s body rejecting the donated kidney</w:t>
            </w:r>
            <w:r w:rsidR="00E14194">
              <w:t xml:space="preserve"> for about 1 week (the peak period for a very serious form of rejection, called hyper-acute rejection)</w:t>
            </w:r>
            <w:r>
              <w:t>.</w:t>
            </w:r>
          </w:p>
          <w:p w14:paraId="7B720544" w14:textId="585D457D" w:rsidR="001C139D" w:rsidRDefault="00951ACF" w:rsidP="00951ACF">
            <w:r>
              <w:t xml:space="preserve">MSAC acknowledged that imlifidase treatment may provide some benefit to patients who would otherwise be less likely to receive a donor kidney, especially people with </w:t>
            </w:r>
            <w:proofErr w:type="spellStart"/>
            <w:r>
              <w:t>cPRA</w:t>
            </w:r>
            <w:proofErr w:type="spellEnd"/>
            <w:r>
              <w:t xml:space="preserve"> greater than </w:t>
            </w:r>
            <w:r w:rsidR="00E14194">
              <w:t xml:space="preserve">or equal to </w:t>
            </w:r>
            <w:r>
              <w:t>99%. However, there were several issues that meant that MSAC could not support funding. These included that the proposed population</w:t>
            </w:r>
            <w:r w:rsidR="00591677">
              <w:t xml:space="preserve"> (cPRA</w:t>
            </w:r>
            <w:r w:rsidR="00584975">
              <w:t xml:space="preserve">≥95%) included </w:t>
            </w:r>
            <w:r>
              <w:t xml:space="preserve"> people who already have a very high rate of transplantation</w:t>
            </w:r>
            <w:r w:rsidR="003763A1">
              <w:t xml:space="preserve"> </w:t>
            </w:r>
            <w:r w:rsidR="003763A1" w:rsidRPr="003763A1">
              <w:t>due to receiving priority under current kidney allocation algorithm</w:t>
            </w:r>
            <w:r w:rsidR="00F5608E">
              <w:t>s</w:t>
            </w:r>
            <w:r w:rsidR="00584975">
              <w:t xml:space="preserve"> (those with a </w:t>
            </w:r>
            <w:proofErr w:type="spellStart"/>
            <w:r w:rsidR="00584975">
              <w:t>cPRA</w:t>
            </w:r>
            <w:proofErr w:type="spellEnd"/>
            <w:r w:rsidR="00584975">
              <w:t xml:space="preserve"> </w:t>
            </w:r>
            <w:r w:rsidR="003E0503">
              <w:t>from 95</w:t>
            </w:r>
            <w:r w:rsidR="00FA3985">
              <w:t>%</w:t>
            </w:r>
            <w:r w:rsidR="003E0503">
              <w:t xml:space="preserve"> to</w:t>
            </w:r>
            <w:r w:rsidR="00C63C5A">
              <w:t xml:space="preserve"> below</w:t>
            </w:r>
            <w:r w:rsidR="003E0503">
              <w:t xml:space="preserve"> 99%)</w:t>
            </w:r>
            <w:r w:rsidR="004F64C9">
              <w:t>;</w:t>
            </w:r>
            <w:r>
              <w:t xml:space="preserve"> the effect of providing kidneys to people at high risk of rejection on </w:t>
            </w:r>
            <w:r w:rsidR="003E0503">
              <w:t xml:space="preserve">increasing the waiting time for </w:t>
            </w:r>
            <w:r w:rsidR="0048274D">
              <w:t>others on the waitlist who are</w:t>
            </w:r>
            <w:r w:rsidR="003E0503">
              <w:t xml:space="preserve"> </w:t>
            </w:r>
            <w:r w:rsidR="00E858C1">
              <w:t>not in the proposed population</w:t>
            </w:r>
            <w:r w:rsidR="009C65EC">
              <w:t xml:space="preserve"> and</w:t>
            </w:r>
            <w:r w:rsidR="00E858C1">
              <w:t xml:space="preserve"> who would be likely to have better clinical outcomes with a donor kidney</w:t>
            </w:r>
            <w:r>
              <w:t xml:space="preserve"> w</w:t>
            </w:r>
            <w:r w:rsidR="004F64C9">
              <w:t>as</w:t>
            </w:r>
            <w:r>
              <w:t xml:space="preserve"> not considered (as kidneys are in short supply)</w:t>
            </w:r>
            <w:r w:rsidR="004F64C9">
              <w:t>;</w:t>
            </w:r>
            <w:r>
              <w:t xml:space="preserve"> </w:t>
            </w:r>
            <w:r w:rsidR="006F779D">
              <w:t xml:space="preserve">other treatments in clinical use were not considered; </w:t>
            </w:r>
            <w:r>
              <w:t xml:space="preserve">and implementation costs were not included in the economic model (such as further immunological testing and increased staffing requirements). These issues meant that MSAC was </w:t>
            </w:r>
            <w:r w:rsidR="006F779D">
              <w:t>uncertain</w:t>
            </w:r>
            <w:r>
              <w:t xml:space="preserve"> that imlifidase was safer or more effective than</w:t>
            </w:r>
            <w:r w:rsidR="009E3FFD">
              <w:t xml:space="preserve"> the proposed comparator of </w:t>
            </w:r>
            <w:r w:rsidR="00E06747">
              <w:t>continuing to receive dialysis or relative to other potential comparators</w:t>
            </w:r>
            <w:r>
              <w:t>, nor that it was good value for money.</w:t>
            </w:r>
          </w:p>
          <w:p w14:paraId="60410786" w14:textId="77777777" w:rsidR="001C139D" w:rsidRPr="00AF46D8" w:rsidRDefault="001C139D" w:rsidP="00951ACF">
            <w:pPr>
              <w:pStyle w:val="Heading3"/>
              <w:spacing w:before="240"/>
              <w:ind w:left="720" w:hanging="720"/>
            </w:pPr>
            <w:r w:rsidRPr="00AF46D8">
              <w:t>MSAC’s advice to the Commonwealth Minister for Health</w:t>
            </w:r>
            <w:r>
              <w:t xml:space="preserve"> and Aged Care</w:t>
            </w:r>
          </w:p>
          <w:p w14:paraId="444E7454" w14:textId="17CDDB5E" w:rsidR="0011349E" w:rsidRDefault="0011349E" w:rsidP="0011349E">
            <w:r>
              <w:t xml:space="preserve">MSAC did not support funding imlifidase as a desensitisation treatment of highly sensitised adult kidney transplant patients with a positive crossmatch against a deceased or living donor. </w:t>
            </w:r>
            <w:r>
              <w:lastRenderedPageBreak/>
              <w:t xml:space="preserve">MSAC acknowledged that imlifidase may provide some benefit to a specific group of patients. However, there were several issues with the submission that meant that MSAC was </w:t>
            </w:r>
            <w:r w:rsidR="006F779D">
              <w:t>uncertain</w:t>
            </w:r>
            <w:r>
              <w:t xml:space="preserve"> that imlifidase was safer or more effective than </w:t>
            </w:r>
            <w:r w:rsidR="006D594E">
              <w:t xml:space="preserve">the </w:t>
            </w:r>
            <w:r w:rsidR="00402E5D">
              <w:t xml:space="preserve">proposed comparator of </w:t>
            </w:r>
            <w:r w:rsidR="00E06747">
              <w:t>continuing to receive dialysis or</w:t>
            </w:r>
            <w:r w:rsidR="006D594E">
              <w:t xml:space="preserve"> relative to other potential comparators</w:t>
            </w:r>
            <w:r>
              <w:t>, nor that it was good value for money.</w:t>
            </w:r>
          </w:p>
          <w:p w14:paraId="39CA8967" w14:textId="14FDD915" w:rsidR="001C139D" w:rsidRPr="00AF46D8" w:rsidRDefault="0011349E" w:rsidP="0011349E">
            <w:pPr>
              <w:spacing w:after="120"/>
            </w:pPr>
            <w:r>
              <w:t xml:space="preserve">MSAC advised that any resubmission would be considered by </w:t>
            </w:r>
            <w:r w:rsidR="000F6BC1">
              <w:t>the Evaluation Sub</w:t>
            </w:r>
            <w:r w:rsidR="00605005">
              <w:t>-</w:t>
            </w:r>
            <w:r w:rsidR="000F6BC1">
              <w:t>committee (</w:t>
            </w:r>
            <w:r>
              <w:t>ESC</w:t>
            </w:r>
            <w:r w:rsidR="000F6BC1">
              <w:t>) before coming back to MSAC</w:t>
            </w:r>
            <w:r>
              <w:t>.</w:t>
            </w:r>
          </w:p>
        </w:tc>
      </w:tr>
    </w:tbl>
    <w:p w14:paraId="470FD81F" w14:textId="77777777" w:rsidR="001C139D" w:rsidRDefault="001C139D" w:rsidP="001C139D">
      <w:pPr>
        <w:pStyle w:val="Heading2"/>
        <w:numPr>
          <w:ilvl w:val="1"/>
          <w:numId w:val="0"/>
        </w:numPr>
      </w:pPr>
      <w:r>
        <w:lastRenderedPageBreak/>
        <w:t>3.</w:t>
      </w:r>
      <w:r>
        <w:tab/>
        <w:t>Summary of consideration and rationale for MSAC’s advice</w:t>
      </w:r>
    </w:p>
    <w:p w14:paraId="63252337" w14:textId="2E7D188B" w:rsidR="00AF039E" w:rsidRPr="00187818" w:rsidRDefault="00AF039E" w:rsidP="0011349E">
      <w:pPr>
        <w:rPr>
          <w:b/>
          <w:bCs/>
        </w:rPr>
      </w:pPr>
      <w:r w:rsidRPr="00187818">
        <w:rPr>
          <w:b/>
          <w:bCs/>
        </w:rPr>
        <w:t>Applicant hearing</w:t>
      </w:r>
    </w:p>
    <w:p w14:paraId="390C4F4D" w14:textId="54D46964" w:rsidR="00AF039E" w:rsidRDefault="00034191" w:rsidP="0011349E">
      <w:r>
        <w:t>The applicant was granted a hearing during which they presented information to MSAC on</w:t>
      </w:r>
      <w:r w:rsidR="005E221A">
        <w:t xml:space="preserve"> imlifidase including the current status of its regulatory approvals, </w:t>
      </w:r>
      <w:r w:rsidR="0055742C">
        <w:t xml:space="preserve">its clinical role, </w:t>
      </w:r>
      <w:r w:rsidR="001A022F">
        <w:t xml:space="preserve">the applicant’s view of its cost effectiveness and </w:t>
      </w:r>
      <w:r w:rsidR="0055742C">
        <w:t xml:space="preserve">implementation issues. </w:t>
      </w:r>
    </w:p>
    <w:p w14:paraId="6D0CAC6E" w14:textId="22032CD7" w:rsidR="00177348" w:rsidRDefault="00A172CD" w:rsidP="0011349E">
      <w:r w:rsidRPr="00A172CD">
        <w:t xml:space="preserve">The applicant noted that the Therapeutic Goods Administration (TGA) had made a decision to provisionally register Idefirix (imlifidase). This provisional approval was for the desensitisation treatment of highly sensitised adult kidney transplant candidates prior to kidney transplantation from a donor against whom there is a positive </w:t>
      </w:r>
      <w:proofErr w:type="gramStart"/>
      <w:r w:rsidRPr="00A172CD">
        <w:t>cross-match</w:t>
      </w:r>
      <w:proofErr w:type="gramEnd"/>
      <w:r w:rsidRPr="00A172CD">
        <w:t>. The indication wording also included a statement that the use of Idefirix should be reserved for patients who are otherwise unlikely to receive a kidney transplant. Idefirix (imlifidase) was included in the ARTG on 10 July 2023, and on this date the provisional registration period of 2 years commenced</w:t>
      </w:r>
      <w:r>
        <w:t xml:space="preserve">. </w:t>
      </w:r>
      <w:r w:rsidR="0088500D">
        <w:t>T</w:t>
      </w:r>
      <w:r w:rsidR="00EB07E3">
        <w:t xml:space="preserve">he applicant noted that the </w:t>
      </w:r>
      <w:r w:rsidR="00474F40">
        <w:t>European Union (</w:t>
      </w:r>
      <w:r w:rsidR="00EB07E3">
        <w:t>EU</w:t>
      </w:r>
      <w:r w:rsidR="00474F40">
        <w:t>)</w:t>
      </w:r>
      <w:r w:rsidR="00EB07E3">
        <w:t xml:space="preserve"> had also granted </w:t>
      </w:r>
      <w:r w:rsidR="00895AD8">
        <w:t>conditional Marketing Authorisation in August 2020 and reimbursed access had been achieved across</w:t>
      </w:r>
      <w:r w:rsidR="007F412F">
        <w:t xml:space="preserve"> a number of</w:t>
      </w:r>
      <w:r w:rsidR="00895AD8">
        <w:t xml:space="preserve"> </w:t>
      </w:r>
      <w:r w:rsidR="00177348">
        <w:t xml:space="preserve">European markets. </w:t>
      </w:r>
    </w:p>
    <w:p w14:paraId="75281005" w14:textId="002DAAF8" w:rsidR="00ED4DC3" w:rsidRDefault="00877E9C" w:rsidP="000548B8">
      <w:r>
        <w:t xml:space="preserve">An Australian clinician </w:t>
      </w:r>
      <w:r w:rsidR="003E33FC">
        <w:t>supporting the applicant</w:t>
      </w:r>
      <w:r>
        <w:t xml:space="preserve"> </w:t>
      </w:r>
      <w:r w:rsidR="00E4248E">
        <w:t>stated that approximately 21% of patients on the Australian kidney waitlist were HS (defined as those with a calculated panel reactive antibody [</w:t>
      </w:r>
      <w:proofErr w:type="spellStart"/>
      <w:r w:rsidR="00E4248E">
        <w:t>cPRA</w:t>
      </w:r>
      <w:proofErr w:type="spellEnd"/>
      <w:r w:rsidR="00E4248E">
        <w:t>] value of 95% or more)</w:t>
      </w:r>
      <w:r w:rsidR="009710A3">
        <w:t xml:space="preserve"> and that these patients were difficult to match with an available kidney</w:t>
      </w:r>
      <w:r w:rsidR="009710A3" w:rsidRPr="009710A3">
        <w:t xml:space="preserve"> </w:t>
      </w:r>
      <w:r w:rsidR="009710A3">
        <w:t>and therefore remained waiting on chronic dialysis, which has significant impacts on healthcare costs, morbidity, mortality and quality of life (QoL).</w:t>
      </w:r>
      <w:r w:rsidR="00D3150B">
        <w:t xml:space="preserve"> </w:t>
      </w:r>
      <w:r w:rsidR="00611509">
        <w:t xml:space="preserve">Transplantation confers substantial survival and QoL advantages compared with dialysis. </w:t>
      </w:r>
      <w:r w:rsidR="00D3150B">
        <w:t xml:space="preserve">Causes of sensitisation include previous transplantation, pregnancy and blood transfusion. </w:t>
      </w:r>
      <w:r w:rsidR="007802AD">
        <w:t>It was noted that</w:t>
      </w:r>
      <w:r w:rsidR="00ED4DC3">
        <w:t xml:space="preserve"> recent amendments to the Australian prioritisation algorithm (introduced May 2021) meant that HS patients (</w:t>
      </w:r>
      <w:proofErr w:type="spellStart"/>
      <w:r w:rsidR="00ED4DC3">
        <w:t>cPRA</w:t>
      </w:r>
      <w:proofErr w:type="spellEnd"/>
      <w:r w:rsidR="00ED4DC3">
        <w:t xml:space="preserve"> ≥95%) are prioritised after being on the transplantation waitlist for one year.</w:t>
      </w:r>
    </w:p>
    <w:p w14:paraId="3B3C0BCF" w14:textId="7304AD81" w:rsidR="00177348" w:rsidRDefault="007A2782" w:rsidP="000548B8">
      <w:r>
        <w:t xml:space="preserve">The clinician </w:t>
      </w:r>
      <w:r w:rsidR="000548B8">
        <w:t xml:space="preserve">stated that imlifidase had demonstrated crossmatch conversion in all patients dosed per the </w:t>
      </w:r>
      <w:r w:rsidR="00F47818">
        <w:t xml:space="preserve">proposed </w:t>
      </w:r>
      <w:r w:rsidR="000548B8">
        <w:t xml:space="preserve">indication, regardless of donor or recipient characteristics. </w:t>
      </w:r>
    </w:p>
    <w:p w14:paraId="5B2FA9BB" w14:textId="6328E22C" w:rsidR="007D37B6" w:rsidRDefault="007D37B6" w:rsidP="007D37B6">
      <w:r>
        <w:t xml:space="preserve">MSAC questioned the </w:t>
      </w:r>
      <w:r w:rsidR="007A2782">
        <w:t>clinician</w:t>
      </w:r>
      <w:r>
        <w:t xml:space="preserve"> about whether</w:t>
      </w:r>
      <w:r w:rsidR="00242C7D">
        <w:t xml:space="preserve"> patients with a </w:t>
      </w:r>
      <w:proofErr w:type="spellStart"/>
      <w:r w:rsidR="00242C7D">
        <w:t>cPRA</w:t>
      </w:r>
      <w:proofErr w:type="spellEnd"/>
      <w:r w:rsidR="003E69B7">
        <w:t xml:space="preserve"> of </w:t>
      </w:r>
      <w:r w:rsidR="00242C7D">
        <w:t xml:space="preserve">99% </w:t>
      </w:r>
      <w:r w:rsidR="003E69B7">
        <w:t xml:space="preserve">or more </w:t>
      </w:r>
      <w:r w:rsidR="00A129CB">
        <w:t xml:space="preserve">could be classified as having the highest </w:t>
      </w:r>
      <w:r w:rsidR="00242C7D">
        <w:t xml:space="preserve">clinical need </w:t>
      </w:r>
      <w:r w:rsidR="00A129CB">
        <w:t xml:space="preserve">based on waiting list statistics given </w:t>
      </w:r>
      <w:r w:rsidR="004F2241">
        <w:t>the recent amendments to the prioritisation algorithm</w:t>
      </w:r>
      <w:r w:rsidR="00A129CB">
        <w:t xml:space="preserve"> which gave priority to patients with </w:t>
      </w:r>
      <w:proofErr w:type="spellStart"/>
      <w:r w:rsidR="00A129CB">
        <w:t>cPRA</w:t>
      </w:r>
      <w:proofErr w:type="spellEnd"/>
      <w:r w:rsidR="00A129CB">
        <w:t xml:space="preserve"> ≥95%</w:t>
      </w:r>
      <w:r w:rsidR="00FC7747">
        <w:t>.</w:t>
      </w:r>
      <w:r w:rsidR="004F2241">
        <w:t xml:space="preserve"> </w:t>
      </w:r>
      <w:r w:rsidR="00073222">
        <w:t xml:space="preserve">The clinician estimated that at least </w:t>
      </w:r>
      <w:r w:rsidR="009E2FEE" w:rsidRPr="009E2FEE">
        <w:rPr>
          <w:rFonts w:hint="eastAsia"/>
          <w:color w:val="000000"/>
          <w:w w:val="21"/>
          <w:shd w:val="solid" w:color="000000" w:fill="000000"/>
          <w:fitText w:val="120" w:id="-1175827456"/>
          <w14:textFill>
            <w14:solidFill>
              <w14:srgbClr w14:val="000000">
                <w14:alpha w14:val="100000"/>
              </w14:srgbClr>
            </w14:solidFill>
          </w14:textFill>
        </w:rPr>
        <w:t xml:space="preserve">　</w:t>
      </w:r>
      <w:r w:rsidR="009E2FEE" w:rsidRPr="009E2FEE">
        <w:rPr>
          <w:color w:val="000000"/>
          <w:w w:val="21"/>
          <w:shd w:val="solid" w:color="000000" w:fill="000000"/>
          <w:fitText w:val="120" w:id="-1175827456"/>
          <w14:textFill>
            <w14:solidFill>
              <w14:srgbClr w14:val="000000">
                <w14:alpha w14:val="100000"/>
              </w14:srgbClr>
            </w14:solidFill>
          </w14:textFill>
        </w:rPr>
        <w:t>|</w:t>
      </w:r>
      <w:r w:rsidR="009E2FEE" w:rsidRPr="009E2FEE">
        <w:rPr>
          <w:rFonts w:hint="eastAsia"/>
          <w:color w:val="000000"/>
          <w:w w:val="21"/>
          <w:shd w:val="solid" w:color="000000" w:fill="000000"/>
          <w:fitText w:val="120" w:id="-1175827456"/>
          <w14:textFill>
            <w14:solidFill>
              <w14:srgbClr w14:val="000000">
                <w14:alpha w14:val="100000"/>
              </w14:srgbClr>
            </w14:solidFill>
          </w14:textFill>
        </w:rPr>
        <w:t xml:space="preserve">　</w:t>
      </w:r>
      <w:r w:rsidR="00073222">
        <w:t xml:space="preserve"> people with </w:t>
      </w:r>
      <w:proofErr w:type="spellStart"/>
      <w:r w:rsidR="00073222">
        <w:t>cPRA</w:t>
      </w:r>
      <w:proofErr w:type="spellEnd"/>
      <w:r w:rsidR="00073222">
        <w:t> </w:t>
      </w:r>
      <w:r w:rsidR="00EB5A72">
        <w:t xml:space="preserve">of </w:t>
      </w:r>
      <w:r w:rsidR="00073222">
        <w:t>99%</w:t>
      </w:r>
      <w:r w:rsidR="00EE7856">
        <w:t xml:space="preserve"> or more</w:t>
      </w:r>
      <w:r w:rsidR="00073222">
        <w:t xml:space="preserve"> would receive imlifidase each year, but admitted that this was difficult to estimate. </w:t>
      </w:r>
      <w:r w:rsidR="007A2782">
        <w:t xml:space="preserve">The clinician </w:t>
      </w:r>
      <w:r>
        <w:t xml:space="preserve">agreed that patients with </w:t>
      </w:r>
      <w:proofErr w:type="spellStart"/>
      <w:r>
        <w:t>cPRA</w:t>
      </w:r>
      <w:proofErr w:type="spellEnd"/>
      <w:r>
        <w:t> </w:t>
      </w:r>
      <w:r w:rsidR="00EB5A72">
        <w:t xml:space="preserve">of </w:t>
      </w:r>
      <w:r>
        <w:t xml:space="preserve">99% </w:t>
      </w:r>
      <w:r w:rsidR="00EE7856">
        <w:t xml:space="preserve">or more </w:t>
      </w:r>
      <w:r>
        <w:t>had the greatest clinical need</w:t>
      </w:r>
      <w:r w:rsidR="00EE7856">
        <w:t xml:space="preserve">, noting the impact of the recent change in the algorithm and the favourable impact upon those with a </w:t>
      </w:r>
      <w:proofErr w:type="spellStart"/>
      <w:r w:rsidR="00EE7856">
        <w:t>cPRA</w:t>
      </w:r>
      <w:proofErr w:type="spellEnd"/>
      <w:r w:rsidR="00EE7856">
        <w:t xml:space="preserve"> </w:t>
      </w:r>
      <w:r w:rsidR="00167514">
        <w:t>from</w:t>
      </w:r>
      <w:r w:rsidR="00EE7856">
        <w:t xml:space="preserve"> 95% </w:t>
      </w:r>
      <w:r w:rsidR="00167514">
        <w:t>to</w:t>
      </w:r>
      <w:r w:rsidR="00D43C03">
        <w:t xml:space="preserve"> </w:t>
      </w:r>
      <w:r w:rsidR="000F7D40">
        <w:t>less than</w:t>
      </w:r>
      <w:r w:rsidR="00075693">
        <w:t xml:space="preserve"> </w:t>
      </w:r>
      <w:r w:rsidR="00EE7856">
        <w:t>99%</w:t>
      </w:r>
      <w:r>
        <w:t xml:space="preserve">. </w:t>
      </w:r>
    </w:p>
    <w:p w14:paraId="09436BEE" w14:textId="4B10F6EE" w:rsidR="004C7073" w:rsidRDefault="00312B43" w:rsidP="004C7073">
      <w:r>
        <w:t xml:space="preserve">The </w:t>
      </w:r>
      <w:r w:rsidR="004C7073">
        <w:t xml:space="preserve">applicant stated that only one out of the five model scenarios adjusting for key uncertainties identified by ESC resulted in an ICER greater than </w:t>
      </w:r>
      <w:r w:rsidR="00920A45" w:rsidRPr="00920A45">
        <w:rPr>
          <w:color w:val="000000"/>
          <w:w w:val="64"/>
          <w:shd w:val="solid" w:color="000000" w:fill="000000"/>
          <w:fitText w:val="708" w:id="-1175827200"/>
          <w14:textFill>
            <w14:solidFill>
              <w14:srgbClr w14:val="000000">
                <w14:alpha w14:val="100000"/>
              </w14:srgbClr>
            </w14:solidFill>
          </w14:textFill>
        </w:rPr>
        <w:t>||||||||||</w:t>
      </w:r>
      <w:r w:rsidR="004C7073">
        <w:t xml:space="preserve">, and this was the respecified base-case ICER of </w:t>
      </w:r>
      <w:r w:rsidR="007354A1" w:rsidRPr="007354A1">
        <w:rPr>
          <w:color w:val="000000"/>
          <w:w w:val="62"/>
          <w:shd w:val="solid" w:color="000000" w:fill="000000"/>
          <w:fitText w:val="828" w:id="-1175827199"/>
          <w14:textFill>
            <w14:solidFill>
              <w14:srgbClr w14:val="000000">
                <w14:alpha w14:val="100000"/>
              </w14:srgbClr>
            </w14:solidFill>
          </w14:textFill>
        </w:rPr>
        <w:t>||||||||||||</w:t>
      </w:r>
      <w:r w:rsidR="004C7073">
        <w:t>/QALY gained</w:t>
      </w:r>
      <w:r w:rsidR="004F4320">
        <w:t xml:space="preserve"> which </w:t>
      </w:r>
      <w:r w:rsidR="00CE40BE">
        <w:t xml:space="preserve">excluded dialysis cost savings for the HS attributed to imlifidase because this also came with displacement effects </w:t>
      </w:r>
      <w:r w:rsidR="00087671">
        <w:t xml:space="preserve">for the non-HS who would </w:t>
      </w:r>
      <w:r w:rsidR="00087671">
        <w:lastRenderedPageBreak/>
        <w:t xml:space="preserve">correspondingly experience delays in accessing a kidney. </w:t>
      </w:r>
      <w:r w:rsidR="00CE40BE">
        <w:t xml:space="preserve"> </w:t>
      </w:r>
      <w:r w:rsidR="004C7073">
        <w:t>The applicant did not agree with the validity of this</w:t>
      </w:r>
      <w:r w:rsidR="00CC6E82">
        <w:t xml:space="preserve"> respecified base case</w:t>
      </w:r>
      <w:r w:rsidR="004C7073">
        <w:t xml:space="preserve">, as such a scenario implied that it would not ever be cost effective to transplant older and diabetic patients. </w:t>
      </w:r>
      <w:r>
        <w:t xml:space="preserve">The </w:t>
      </w:r>
      <w:r w:rsidR="004C7073">
        <w:t xml:space="preserve">applicant noted that none of the scenarios analysed in the ADAR incorporated the additional benefits of equity of access to transplants to HS patients who are unlikely to be transplanted and this had to be taken into account when interpreting the ICER values. The </w:t>
      </w:r>
      <w:r>
        <w:t xml:space="preserve">applicant </w:t>
      </w:r>
      <w:r w:rsidR="004C7073">
        <w:t xml:space="preserve">reiterated that one patient treated with imlifidase could lead to multiple patients coming off dialysis (through an organ donation chain). The </w:t>
      </w:r>
      <w:r>
        <w:t>applicant</w:t>
      </w:r>
      <w:r w:rsidR="004C7073">
        <w:t xml:space="preserve"> endorsed an ICER of $</w:t>
      </w:r>
      <w:r w:rsidR="004E3DB9" w:rsidRPr="00590083">
        <w:rPr>
          <w:color w:val="000000"/>
          <w:w w:val="64"/>
          <w:shd w:val="solid" w:color="000000" w:fill="000000"/>
          <w:fitText w:val="564" w:id="-1175827198"/>
          <w14:textFill>
            <w14:solidFill>
              <w14:srgbClr w14:val="000000">
                <w14:alpha w14:val="100000"/>
              </w14:srgbClr>
            </w14:solidFill>
          </w14:textFill>
        </w:rPr>
        <w:t>||||||||</w:t>
      </w:r>
      <w:r w:rsidR="004E3DB9">
        <w:t xml:space="preserve"> </w:t>
      </w:r>
      <w:r w:rsidR="004C7073">
        <w:t xml:space="preserve">per QALY gained as the most appropriate </w:t>
      </w:r>
      <w:r w:rsidR="00A85775">
        <w:t>scenario</w:t>
      </w:r>
      <w:r w:rsidR="004C7073">
        <w:t xml:space="preserve"> for consideration and requested that MSAC focus on this ICER because it symmetrically ignored both the contentious ‘</w:t>
      </w:r>
      <w:proofErr w:type="spellStart"/>
      <w:r w:rsidR="004C7073">
        <w:t>spillover</w:t>
      </w:r>
      <w:proofErr w:type="spellEnd"/>
      <w:r w:rsidR="004C7073">
        <w:t>’ benefits from closing linked kidney chains and the ‘</w:t>
      </w:r>
      <w:proofErr w:type="spellStart"/>
      <w:r w:rsidR="004C7073">
        <w:t>spillover</w:t>
      </w:r>
      <w:proofErr w:type="spellEnd"/>
      <w:r w:rsidR="004C7073">
        <w:t>’ costs</w:t>
      </w:r>
      <w:r w:rsidR="003D423E">
        <w:t xml:space="preserve"> of displacing </w:t>
      </w:r>
      <w:r w:rsidR="004C7073">
        <w:t xml:space="preserve">non-HS patients. </w:t>
      </w:r>
    </w:p>
    <w:p w14:paraId="3F4408DD" w14:textId="7ED3D468" w:rsidR="00187818" w:rsidRDefault="0060282F" w:rsidP="00187818">
      <w:pPr>
        <w:spacing w:before="0"/>
      </w:pPr>
      <w:r>
        <w:t xml:space="preserve">On implementation issues, the applicant stated that </w:t>
      </w:r>
      <w:r w:rsidR="00312B43">
        <w:t xml:space="preserve">it </w:t>
      </w:r>
      <w:r>
        <w:t xml:space="preserve">was working with leading Australian transplant clinicians, many being members of </w:t>
      </w:r>
      <w:r w:rsidR="00746535">
        <w:t>the Renal Transplant Advisory Committee (</w:t>
      </w:r>
      <w:r>
        <w:t>RTAC</w:t>
      </w:r>
      <w:r w:rsidR="00746535">
        <w:t>)</w:t>
      </w:r>
      <w:r w:rsidR="00A42606">
        <w:t xml:space="preserve"> of the Transplantation Society of Australia and New Zealand (TSANZ)</w:t>
      </w:r>
      <w:r>
        <w:t xml:space="preserve">, on an Australian-specific protocol around patient eligibility criteria, logistical considerations and post-transplant management. </w:t>
      </w:r>
      <w:r w:rsidR="00187818">
        <w:t>The applicant also stated that it welcomes a discussion regarding commercial agreement terms, appropriate to the clinical context of imlifidase, to ensure that Australian patients can secure national funding.</w:t>
      </w:r>
    </w:p>
    <w:p w14:paraId="19876E2A" w14:textId="386C4526" w:rsidR="00177348" w:rsidRPr="00187818" w:rsidRDefault="003C3FDA" w:rsidP="0011349E">
      <w:pPr>
        <w:rPr>
          <w:b/>
          <w:bCs/>
        </w:rPr>
      </w:pPr>
      <w:r w:rsidRPr="00187818">
        <w:rPr>
          <w:b/>
          <w:bCs/>
        </w:rPr>
        <w:t>MSAC discussion</w:t>
      </w:r>
    </w:p>
    <w:p w14:paraId="43250040" w14:textId="573FDC6F" w:rsidR="0011349E" w:rsidRDefault="0011349E" w:rsidP="0011349E">
      <w:r>
        <w:t>MSAC noted that this application from Hansa Biopharma Australia was requesting</w:t>
      </w:r>
      <w:r w:rsidR="000D07B2">
        <w:t xml:space="preserve"> </w:t>
      </w:r>
      <w:r>
        <w:t xml:space="preserve">funding for the use of imlifidase in the desensitisation treatment of highly sensitised (HS) adult kidney transplant patients with a positive crossmatch against an available deceased donor (DD) or living donor (LD) who are unlikely to be transplanted under current kidney allocation systems. </w:t>
      </w:r>
      <w:r w:rsidR="000D07B2" w:rsidRPr="009C13E4">
        <w:t>Funding requested is via the</w:t>
      </w:r>
      <w:r w:rsidR="000D07B2">
        <w:t xml:space="preserve"> </w:t>
      </w:r>
      <w:r w:rsidR="008E5BA7">
        <w:t>National Health Reform Agreement (</w:t>
      </w:r>
      <w:r w:rsidR="000D07B2" w:rsidRPr="009C13E4">
        <w:t>NHRA</w:t>
      </w:r>
      <w:r w:rsidR="008E5BA7">
        <w:t>)</w:t>
      </w:r>
      <w:r w:rsidR="000D07B2" w:rsidRPr="009C13E4">
        <w:t xml:space="preserve"> Addendum for highly specialised </w:t>
      </w:r>
      <w:r w:rsidR="000D07B2">
        <w:t xml:space="preserve">therapies. </w:t>
      </w:r>
    </w:p>
    <w:p w14:paraId="4CFF5413" w14:textId="3928F481" w:rsidR="0011349E" w:rsidRDefault="0011349E" w:rsidP="0011349E">
      <w:r>
        <w:t xml:space="preserve">MSAC noted that donor kidneys, from both LDs and DDs, are a fixed and scarce resource – in Australia in 2021, there were more than 15,000 people receiving dialysis, around 1,300 people on the kidney transplant waitlist and 857 kidneys transplanted. </w:t>
      </w:r>
    </w:p>
    <w:p w14:paraId="7A493AA2" w14:textId="3F8AAE8C" w:rsidR="0011349E" w:rsidRDefault="0011349E" w:rsidP="0011349E">
      <w:r>
        <w:t xml:space="preserve">MSAC noted that kidney transplantation is carefully managed through a complex two-step process (listing and transplant) that occurs at national and state levels, which includes an algorithm based on age, time on dialysis and immunological match (blood group and human leukocyte antigens [HLAs], which may present significant immunological barriers to transplantation). </w:t>
      </w:r>
    </w:p>
    <w:p w14:paraId="3B05D496" w14:textId="3134B47B" w:rsidR="00A3316F" w:rsidRDefault="0011349E" w:rsidP="0011349E">
      <w:r>
        <w:t>MSAC</w:t>
      </w:r>
      <w:r w:rsidR="009D33F1">
        <w:t xml:space="preserve"> noted the claim of</w:t>
      </w:r>
      <w:r>
        <w:t xml:space="preserve"> </w:t>
      </w:r>
      <w:r w:rsidR="004A1261">
        <w:t xml:space="preserve">the </w:t>
      </w:r>
      <w:r>
        <w:t>pre-MSAC response that</w:t>
      </w:r>
      <w:r w:rsidR="00D03587">
        <w:t xml:space="preserve"> access to kidney</w:t>
      </w:r>
      <w:r>
        <w:t xml:space="preserve"> transplantation</w:t>
      </w:r>
      <w:r w:rsidR="00D03587">
        <w:t xml:space="preserve"> for HS patients</w:t>
      </w:r>
      <w:r>
        <w:t xml:space="preserve"> is a major source of inequity, especially for women</w:t>
      </w:r>
      <w:r w:rsidR="00447983">
        <w:t xml:space="preserve"> who have been pregnant</w:t>
      </w:r>
      <w:r>
        <w:t xml:space="preserve">, First Nations people and those </w:t>
      </w:r>
      <w:r w:rsidR="00EE7856">
        <w:t>who have received a kidney previously</w:t>
      </w:r>
      <w:r>
        <w:t xml:space="preserve">. </w:t>
      </w:r>
    </w:p>
    <w:p w14:paraId="7119B885" w14:textId="51057B78" w:rsidR="00C72054" w:rsidRDefault="0011349E" w:rsidP="0011349E">
      <w:r>
        <w:t xml:space="preserve">MSAC noted the claim that there was an unmet clinical need for HS patients to be able to receive donor kidneys and move off dialysis, and that imlifidase treatment is the only option that can increase equity of access for </w:t>
      </w:r>
      <w:r w:rsidR="009C5F5C">
        <w:t xml:space="preserve">HS </w:t>
      </w:r>
      <w:r>
        <w:t xml:space="preserve">patients who </w:t>
      </w:r>
      <w:r w:rsidR="00227FD9">
        <w:t>may otherwise</w:t>
      </w:r>
      <w:r w:rsidR="009C5F5C">
        <w:t xml:space="preserve"> </w:t>
      </w:r>
      <w:r>
        <w:t xml:space="preserve">remain on dialysis for </w:t>
      </w:r>
      <w:r w:rsidR="009C5F5C">
        <w:t xml:space="preserve">a long time waiting for </w:t>
      </w:r>
      <w:r>
        <w:t xml:space="preserve">a suitable donor, despite being prioritised. However, MSAC considered that clinical need was low for patients with </w:t>
      </w:r>
      <w:proofErr w:type="spellStart"/>
      <w:r>
        <w:t>cPRA</w:t>
      </w:r>
      <w:proofErr w:type="spellEnd"/>
      <w:r>
        <w:t xml:space="preserve"> </w:t>
      </w:r>
      <w:r w:rsidR="008F0CFF">
        <w:t xml:space="preserve">ranging from </w:t>
      </w:r>
      <w:r>
        <w:t>95</w:t>
      </w:r>
      <w:r w:rsidR="002E5363">
        <w:t>%</w:t>
      </w:r>
      <w:r w:rsidR="008F0CFF">
        <w:t xml:space="preserve"> to </w:t>
      </w:r>
      <w:r w:rsidR="00F0383A">
        <w:t>less than</w:t>
      </w:r>
      <w:r w:rsidR="008F0CFF">
        <w:t xml:space="preserve"> 99%</w:t>
      </w:r>
      <w:r>
        <w:t>; based on data from the Australian and New Zealand Dialysis and Transplant Registry (ANZDATA)</w:t>
      </w:r>
      <w:r w:rsidR="007228A3">
        <w:t>. F</w:t>
      </w:r>
      <w:r>
        <w:t>ollowing the Australian prioritisation algorithm changes, this group have the highest rate of transplantation (71% in May 2021) of any group, and there are few of these patients on the transplantation waitlist (</w:t>
      </w:r>
      <w:r>
        <w:rPr>
          <w:i/>
          <w:iCs/>
        </w:rPr>
        <w:t>n</w:t>
      </w:r>
      <w:r>
        <w:t xml:space="preserve"> = 58, or 4% of the total waitlist in 2021). </w:t>
      </w:r>
      <w:r w:rsidR="0075416F">
        <w:t xml:space="preserve">MSAC also noted that </w:t>
      </w:r>
      <w:r w:rsidR="00C72054">
        <w:t xml:space="preserve">the applicant had </w:t>
      </w:r>
      <w:r w:rsidR="0075416F">
        <w:t xml:space="preserve">estimated that, in the absence of imlifidase, 96% of patients with </w:t>
      </w:r>
      <w:proofErr w:type="spellStart"/>
      <w:r w:rsidR="0075416F">
        <w:t>cPRA</w:t>
      </w:r>
      <w:proofErr w:type="spellEnd"/>
      <w:r w:rsidR="0075416F">
        <w:t xml:space="preserve"> ≥95% had &lt;1% compatible donors in the </w:t>
      </w:r>
      <w:proofErr w:type="spellStart"/>
      <w:r w:rsidR="0075416F">
        <w:t>Eurotransplant</w:t>
      </w:r>
      <w:proofErr w:type="spellEnd"/>
      <w:r w:rsidR="0075416F">
        <w:t xml:space="preserve"> database, and </w:t>
      </w:r>
      <w:r w:rsidR="00C72054">
        <w:t xml:space="preserve">had </w:t>
      </w:r>
      <w:r w:rsidR="0075416F">
        <w:t xml:space="preserve">argued that Australian data would be similar. However, MSAC </w:t>
      </w:r>
      <w:r w:rsidR="0075416F">
        <w:lastRenderedPageBreak/>
        <w:t xml:space="preserve">noted that the commentary disagreed with this assumption, as 43.6% of patients on the Australian DD waitlist with </w:t>
      </w:r>
      <w:proofErr w:type="spellStart"/>
      <w:r w:rsidR="0075416F">
        <w:t>cPRA</w:t>
      </w:r>
      <w:proofErr w:type="spellEnd"/>
      <w:r w:rsidR="0075416F">
        <w:t> 95–98% are transplanted in the first year</w:t>
      </w:r>
      <w:r w:rsidR="00C638C7">
        <w:t xml:space="preserve">. </w:t>
      </w:r>
    </w:p>
    <w:p w14:paraId="1A9CE6A8" w14:textId="3D4EB9ED" w:rsidR="002F35A1" w:rsidRDefault="0011349E" w:rsidP="002F35A1">
      <w:r>
        <w:t xml:space="preserve">MSAC considered that the clinical need was highest for patients with </w:t>
      </w:r>
      <w:proofErr w:type="spellStart"/>
      <w:r>
        <w:t>cPRA</w:t>
      </w:r>
      <w:proofErr w:type="spellEnd"/>
      <w:r>
        <w:t> </w:t>
      </w:r>
      <w:r w:rsidR="006F3CED">
        <w:t xml:space="preserve">of </w:t>
      </w:r>
      <w:r>
        <w:t>99%</w:t>
      </w:r>
      <w:r w:rsidR="00EE7856">
        <w:t xml:space="preserve"> or more</w:t>
      </w:r>
      <w:r>
        <w:t>, as they are transplanted at a lower rate. In 2021, approximately 11% (</w:t>
      </w:r>
      <w:r>
        <w:rPr>
          <w:i/>
          <w:iCs/>
        </w:rPr>
        <w:t>n</w:t>
      </w:r>
      <w:r>
        <w:t> = 153) of the 1,33</w:t>
      </w:r>
      <w:r w:rsidR="002243D5">
        <w:t>8</w:t>
      </w:r>
      <w:r>
        <w:t xml:space="preserve"> people on the kidney transplant waitlist had </w:t>
      </w:r>
      <w:proofErr w:type="spellStart"/>
      <w:r>
        <w:t>cPRA</w:t>
      </w:r>
      <w:proofErr w:type="spellEnd"/>
      <w:r>
        <w:t> </w:t>
      </w:r>
      <w:r w:rsidR="006F3CED">
        <w:t xml:space="preserve">of </w:t>
      </w:r>
      <w:r>
        <w:t>99%</w:t>
      </w:r>
      <w:r w:rsidR="00EE7856">
        <w:t xml:space="preserve"> or more</w:t>
      </w:r>
      <w:r>
        <w:t xml:space="preserve">, and 140 of those had been on the waitlist for two or more years. </w:t>
      </w:r>
      <w:r w:rsidR="00DB106F" w:rsidRPr="00691B15">
        <w:t xml:space="preserve">MSAC noted that some of this group received desensitisation protocols (IVIG, rituximab, plasma exchange) </w:t>
      </w:r>
      <w:r w:rsidR="00EE7856" w:rsidRPr="00691B15">
        <w:t xml:space="preserve">for </w:t>
      </w:r>
      <w:r w:rsidR="00AF4892" w:rsidRPr="00691B15">
        <w:t xml:space="preserve">LD </w:t>
      </w:r>
      <w:r w:rsidR="003B0279">
        <w:t xml:space="preserve">and DD </w:t>
      </w:r>
      <w:r w:rsidR="00CA42DA" w:rsidRPr="00691B15">
        <w:t>kidney</w:t>
      </w:r>
      <w:r w:rsidR="00EE7856" w:rsidRPr="00691B15">
        <w:t xml:space="preserve"> transplantation and </w:t>
      </w:r>
      <w:r w:rsidR="00282259" w:rsidRPr="00691B15">
        <w:t>to enable patients to participate in</w:t>
      </w:r>
      <w:r w:rsidR="00EE7856" w:rsidRPr="00691B15">
        <w:t xml:space="preserve"> </w:t>
      </w:r>
      <w:r w:rsidR="00521A12" w:rsidRPr="00691B15">
        <w:t xml:space="preserve">the ANZ Kidney Exchange </w:t>
      </w:r>
      <w:r w:rsidR="000D04E8" w:rsidRPr="00691B15">
        <w:t xml:space="preserve">with </w:t>
      </w:r>
      <w:r w:rsidR="00031B08" w:rsidRPr="00691B15">
        <w:t>Living Related Donors (LRDs</w:t>
      </w:r>
      <w:r w:rsidR="00031B08" w:rsidRPr="00AC6EFC">
        <w:t>).</w:t>
      </w:r>
      <w:r w:rsidR="00031B08">
        <w:t xml:space="preserve"> </w:t>
      </w:r>
      <w:r w:rsidR="004C7073">
        <w:t>MSAC considered that this small group of eligible patients with the greatest clinical need</w:t>
      </w:r>
      <w:r w:rsidR="00EE7856">
        <w:t xml:space="preserve"> was defined by a </w:t>
      </w:r>
      <w:proofErr w:type="spellStart"/>
      <w:r w:rsidR="004C7073">
        <w:t>cPRA</w:t>
      </w:r>
      <w:proofErr w:type="spellEnd"/>
      <w:r w:rsidR="00EE7856">
        <w:t xml:space="preserve"> </w:t>
      </w:r>
      <w:r w:rsidR="00EC753F">
        <w:t xml:space="preserve">of </w:t>
      </w:r>
      <w:r w:rsidR="004C7073">
        <w:t>99%</w:t>
      </w:r>
      <w:r w:rsidR="00EE7856">
        <w:t xml:space="preserve"> or more</w:t>
      </w:r>
      <w:r w:rsidR="004C7073">
        <w:t>.</w:t>
      </w:r>
      <w:r w:rsidR="002F35A1">
        <w:t xml:space="preserve"> MSAC also noted that, for deceased donor </w:t>
      </w:r>
      <w:r w:rsidR="00D01C55">
        <w:t xml:space="preserve">kidney </w:t>
      </w:r>
      <w:r w:rsidR="002F35A1">
        <w:t>recipients, imlifidase would result in displacement i</w:t>
      </w:r>
      <w:r w:rsidR="007A12B0">
        <w:t>.</w:t>
      </w:r>
      <w:r w:rsidR="002F35A1">
        <w:t>e</w:t>
      </w:r>
      <w:r w:rsidR="007A12B0">
        <w:t>.</w:t>
      </w:r>
      <w:r w:rsidR="002F35A1">
        <w:t xml:space="preserve"> the diversion of a deceased kidney donation from a patient of lower immunological risk to a patient of higher immunological risk, with downstream consequences for the patient not transplanted but who would have been without the introduction of imlifidase.</w:t>
      </w:r>
      <w:r w:rsidR="008B7046">
        <w:t xml:space="preserve"> </w:t>
      </w:r>
    </w:p>
    <w:p w14:paraId="1E7FC799" w14:textId="633232E0" w:rsidR="0011349E" w:rsidRDefault="0011349E" w:rsidP="0011349E">
      <w:r>
        <w:t xml:space="preserve">MSAC noted input that was received from four state and territory governments: </w:t>
      </w:r>
      <w:r w:rsidR="002952A0" w:rsidRPr="002952A0">
        <w:rPr>
          <w:color w:val="000000"/>
          <w:w w:val="64"/>
          <w:shd w:val="solid" w:color="000000" w:fill="000000"/>
          <w:fitText w:val="855" w:id="-1172152320"/>
          <w14:textFill>
            <w14:solidFill>
              <w14:srgbClr w14:val="000000">
                <w14:alpha w14:val="100000"/>
              </w14:srgbClr>
            </w14:solidFill>
          </w14:textFill>
        </w:rPr>
        <w:t>|||||||||||</w:t>
      </w:r>
      <w:r w:rsidR="002952A0" w:rsidRPr="002952A0">
        <w:rPr>
          <w:color w:val="000000"/>
          <w:spacing w:val="10"/>
          <w:w w:val="64"/>
          <w:shd w:val="solid" w:color="000000" w:fill="000000"/>
          <w:fitText w:val="855" w:id="-1172152320"/>
          <w14:textFill>
            <w14:solidFill>
              <w14:srgbClr w14:val="000000">
                <w14:alpha w14:val="100000"/>
              </w14:srgbClr>
            </w14:solidFill>
          </w14:textFill>
        </w:rPr>
        <w:t>|</w:t>
      </w:r>
      <w:r w:rsidR="002952A0">
        <w:t xml:space="preserve"> </w:t>
      </w:r>
      <w:r w:rsidR="002952A0" w:rsidRPr="002952A0">
        <w:rPr>
          <w:color w:val="000000"/>
          <w:w w:val="65"/>
          <w:shd w:val="solid" w:color="000000" w:fill="000000"/>
          <w:fitText w:val="435" w:id="-1172152319"/>
          <w14:textFill>
            <w14:solidFill>
              <w14:srgbClr w14:val="000000">
                <w14:alpha w14:val="100000"/>
              </w14:srgbClr>
            </w14:solidFill>
          </w14:textFill>
        </w:rPr>
        <w:t>||||||</w:t>
      </w:r>
      <w:r w:rsidR="002952A0">
        <w:t xml:space="preserve"> </w:t>
      </w:r>
      <w:r w:rsidR="002952A0" w:rsidRPr="002952A0">
        <w:rPr>
          <w:color w:val="000000"/>
          <w:w w:val="56"/>
          <w:shd w:val="solid" w:color="000000" w:fill="000000"/>
          <w:fitText w:val="4200" w:id="-1172152318"/>
          <w14:textFill>
            <w14:solidFill>
              <w14:srgbClr w14:val="000000">
                <w14:alpha w14:val="100000"/>
              </w14:srgbClr>
            </w14:solidFill>
          </w14:textFill>
        </w:rPr>
        <w:t>|||||||||||||||||||||||||||||||||||||||||||||||||||||||||||||||||||</w:t>
      </w:r>
      <w:r w:rsidR="002952A0" w:rsidRPr="002952A0">
        <w:rPr>
          <w:color w:val="000000"/>
          <w:spacing w:val="14"/>
          <w:w w:val="56"/>
          <w:shd w:val="solid" w:color="000000" w:fill="000000"/>
          <w:fitText w:val="4200" w:id="-1172152318"/>
          <w14:textFill>
            <w14:solidFill>
              <w14:srgbClr w14:val="000000">
                <w14:alpha w14:val="100000"/>
              </w14:srgbClr>
            </w14:solidFill>
          </w14:textFill>
        </w:rPr>
        <w:t>|</w:t>
      </w:r>
      <w:r>
        <w:t>. These submissions expressed concern with the level and quality of evidence provided</w:t>
      </w:r>
      <w:r w:rsidR="0092668F">
        <w:t xml:space="preserve"> for imlifidase</w:t>
      </w:r>
      <w:r>
        <w:t>, especially the short length of follow-up, small sample size and relevance to the Australian context. They also noted several issues that should be considered, including mechanisms for ongoing data collection, the need for a post-implementation review, the price of treatment, the kidney management algorithm, the need for specialised treatment centres and trained staff, and eligibility and equity considerations.</w:t>
      </w:r>
    </w:p>
    <w:p w14:paraId="271904C9" w14:textId="77777777" w:rsidR="0011349E" w:rsidRDefault="0011349E" w:rsidP="0011349E">
      <w:r>
        <w:t>The submissions also noted that only a small number of patients may be eligible for imlifidase. Specifically:</w:t>
      </w:r>
    </w:p>
    <w:p w14:paraId="28E64098" w14:textId="147F3413" w:rsidR="002952A0" w:rsidRDefault="002952A0" w:rsidP="0011349E">
      <w:pPr>
        <w:pStyle w:val="ListParagraph"/>
        <w:numPr>
          <w:ilvl w:val="0"/>
          <w:numId w:val="43"/>
        </w:numPr>
        <w:spacing w:before="0"/>
      </w:pPr>
      <w:r w:rsidRPr="002952A0">
        <w:rPr>
          <w:color w:val="000000"/>
          <w:spacing w:val="1"/>
          <w:w w:val="55"/>
          <w:shd w:val="solid" w:color="000000" w:fill="000000"/>
          <w:fitText w:val="6765" w:id="-1172152062"/>
          <w14:textFill>
            <w14:solidFill>
              <w14:srgbClr w14:val="000000">
                <w14:alpha w14:val="100000"/>
              </w14:srgbClr>
            </w14:solidFill>
          </w14:textFill>
        </w:rPr>
        <w:t>|||||||||||||||||||||||||||||||||||||||||||||||||||||||||||||||||||||||||||||||||||||||||||||||||||||||||||||</w:t>
      </w:r>
      <w:r w:rsidRPr="002952A0">
        <w:rPr>
          <w:color w:val="000000"/>
          <w:spacing w:val="15"/>
          <w:w w:val="55"/>
          <w:shd w:val="solid" w:color="000000" w:fill="000000"/>
          <w:fitText w:val="6765" w:id="-1172152062"/>
          <w14:textFill>
            <w14:solidFill>
              <w14:srgbClr w14:val="000000">
                <w14:alpha w14:val="100000"/>
              </w14:srgbClr>
            </w14:solidFill>
          </w14:textFill>
        </w:rPr>
        <w:t>|</w:t>
      </w:r>
      <w:r>
        <w:t xml:space="preserve"> </w:t>
      </w:r>
      <w:r w:rsidRPr="002952A0">
        <w:rPr>
          <w:color w:val="000000"/>
          <w:spacing w:val="1"/>
          <w:w w:val="65"/>
          <w:shd w:val="solid" w:color="000000" w:fill="000000"/>
          <w:fitText w:val="870" w:id="-1172152061"/>
          <w14:textFill>
            <w14:solidFill>
              <w14:srgbClr w14:val="000000">
                <w14:alpha w14:val="100000"/>
              </w14:srgbClr>
            </w14:solidFill>
          </w14:textFill>
        </w:rPr>
        <w:t>|||||||||||</w:t>
      </w:r>
      <w:r w:rsidRPr="002952A0">
        <w:rPr>
          <w:color w:val="000000"/>
          <w:spacing w:val="3"/>
          <w:w w:val="65"/>
          <w:shd w:val="solid" w:color="000000" w:fill="000000"/>
          <w:fitText w:val="870" w:id="-1172152061"/>
          <w14:textFill>
            <w14:solidFill>
              <w14:srgbClr w14:val="000000">
                <w14:alpha w14:val="100000"/>
              </w14:srgbClr>
            </w14:solidFill>
          </w14:textFill>
        </w:rPr>
        <w:t>|</w:t>
      </w:r>
      <w:r>
        <w:t xml:space="preserve"> </w:t>
      </w:r>
      <w:r w:rsidRPr="002952A0">
        <w:rPr>
          <w:color w:val="000000"/>
          <w:w w:val="56"/>
          <w:shd w:val="solid" w:color="000000" w:fill="000000"/>
          <w:fitText w:val="4597" w:id="-1172152060"/>
          <w14:textFill>
            <w14:solidFill>
              <w14:srgbClr w14:val="000000">
                <w14:alpha w14:val="100000"/>
              </w14:srgbClr>
            </w14:solidFill>
          </w14:textFill>
        </w:rPr>
        <w:t>|||||||||||||||||||||||||||||||||||||||||||||||||||||||||||||||||||||||||</w:t>
      </w:r>
      <w:r w:rsidRPr="002952A0">
        <w:rPr>
          <w:color w:val="000000"/>
          <w:spacing w:val="42"/>
          <w:w w:val="56"/>
          <w:shd w:val="solid" w:color="000000" w:fill="000000"/>
          <w:fitText w:val="4597" w:id="-1172152060"/>
          <w14:textFill>
            <w14:solidFill>
              <w14:srgbClr w14:val="000000">
                <w14:alpha w14:val="100000"/>
              </w14:srgbClr>
            </w14:solidFill>
          </w14:textFill>
        </w:rPr>
        <w:t>|</w:t>
      </w:r>
    </w:p>
    <w:p w14:paraId="5B0DE887" w14:textId="7FEFF1DF" w:rsidR="002952A0" w:rsidRDefault="002952A0" w:rsidP="0011349E">
      <w:pPr>
        <w:pStyle w:val="ListParagraph"/>
        <w:numPr>
          <w:ilvl w:val="0"/>
          <w:numId w:val="43"/>
        </w:numPr>
        <w:spacing w:before="0"/>
      </w:pPr>
      <w:r w:rsidRPr="002952A0">
        <w:rPr>
          <w:color w:val="000000"/>
          <w:w w:val="54"/>
          <w:shd w:val="solid" w:color="000000" w:fill="000000"/>
          <w:fitText w:val="7620" w:id="-1172152059"/>
          <w14:textFill>
            <w14:solidFill>
              <w14:srgbClr w14:val="000000">
                <w14:alpha w14:val="100000"/>
              </w14:srgbClr>
            </w14:solidFill>
          </w14:textFill>
        </w:rPr>
        <w:t>|||||||||||||||||||||||||||||||||||||||||||||||||||||||||||||||||||||||||||||||||||||||||||||||||||||||||||||||||||||||||||||</w:t>
      </w:r>
      <w:r w:rsidRPr="002952A0">
        <w:rPr>
          <w:color w:val="000000"/>
          <w:spacing w:val="135"/>
          <w:w w:val="54"/>
          <w:shd w:val="solid" w:color="000000" w:fill="000000"/>
          <w:fitText w:val="7620" w:id="-1172152059"/>
          <w14:textFill>
            <w14:solidFill>
              <w14:srgbClr w14:val="000000">
                <w14:alpha w14:val="100000"/>
              </w14:srgbClr>
            </w14:solidFill>
          </w14:textFill>
        </w:rPr>
        <w:t>|</w:t>
      </w:r>
      <w:r>
        <w:t xml:space="preserve"> </w:t>
      </w:r>
      <w:r w:rsidRPr="002952A0">
        <w:rPr>
          <w:color w:val="000000"/>
          <w:w w:val="55"/>
          <w:shd w:val="solid" w:color="000000" w:fill="000000"/>
          <w:fitText w:val="7207" w:id="-1172152058"/>
          <w14:textFill>
            <w14:solidFill>
              <w14:srgbClr w14:val="000000">
                <w14:alpha w14:val="100000"/>
              </w14:srgbClr>
            </w14:solidFill>
          </w14:textFill>
        </w:rPr>
        <w:t>|||||||||||||||||||||||||||||||||||||||||||||||||||||||||||||||||||||||||||||||||||||||||||||||||||||||||||||||||||||</w:t>
      </w:r>
      <w:r w:rsidRPr="002952A0">
        <w:rPr>
          <w:color w:val="000000"/>
          <w:spacing w:val="83"/>
          <w:w w:val="55"/>
          <w:shd w:val="solid" w:color="000000" w:fill="000000"/>
          <w:fitText w:val="7207" w:id="-1172152058"/>
          <w14:textFill>
            <w14:solidFill>
              <w14:srgbClr w14:val="000000">
                <w14:alpha w14:val="100000"/>
              </w14:srgbClr>
            </w14:solidFill>
          </w14:textFill>
        </w:rPr>
        <w:t>|</w:t>
      </w:r>
      <w:r>
        <w:t xml:space="preserve"> </w:t>
      </w:r>
      <w:r w:rsidRPr="002952A0">
        <w:rPr>
          <w:rFonts w:hint="eastAsia"/>
          <w:color w:val="000000"/>
          <w:w w:val="17"/>
          <w:shd w:val="solid" w:color="000000" w:fill="000000"/>
          <w:fitText w:val="97" w:id="-1172152057"/>
          <w14:textFill>
            <w14:solidFill>
              <w14:srgbClr w14:val="000000">
                <w14:alpha w14:val="100000"/>
              </w14:srgbClr>
            </w14:solidFill>
          </w14:textFill>
        </w:rPr>
        <w:t xml:space="preserve">　</w:t>
      </w:r>
      <w:r w:rsidRPr="002952A0">
        <w:rPr>
          <w:color w:val="000000"/>
          <w:w w:val="17"/>
          <w:shd w:val="solid" w:color="000000" w:fill="000000"/>
          <w:fitText w:val="97" w:id="-1172152057"/>
          <w14:textFill>
            <w14:solidFill>
              <w14:srgbClr w14:val="000000">
                <w14:alpha w14:val="100000"/>
              </w14:srgbClr>
            </w14:solidFill>
          </w14:textFill>
        </w:rPr>
        <w:t>|</w:t>
      </w:r>
      <w:r w:rsidRPr="002952A0">
        <w:rPr>
          <w:rFonts w:hint="eastAsia"/>
          <w:color w:val="000000"/>
          <w:spacing w:val="6"/>
          <w:w w:val="17"/>
          <w:shd w:val="solid" w:color="000000" w:fill="000000"/>
          <w:fitText w:val="97" w:id="-1172152057"/>
          <w14:textFill>
            <w14:solidFill>
              <w14:srgbClr w14:val="000000">
                <w14:alpha w14:val="100000"/>
              </w14:srgbClr>
            </w14:solidFill>
          </w14:textFill>
        </w:rPr>
        <w:t xml:space="preserve">　</w:t>
      </w:r>
      <w:r>
        <w:t xml:space="preserve"> </w:t>
      </w:r>
      <w:r w:rsidRPr="00460A03">
        <w:rPr>
          <w:rFonts w:hint="eastAsia"/>
          <w:color w:val="000000"/>
          <w:w w:val="15"/>
          <w:shd w:val="solid" w:color="000000" w:fill="000000"/>
          <w:fitText w:val="23" w:id="-1172152056"/>
          <w14:textFill>
            <w14:solidFill>
              <w14:srgbClr w14:val="000000">
                <w14:alpha w14:val="100000"/>
              </w14:srgbClr>
            </w14:solidFill>
          </w14:textFill>
        </w:rPr>
        <w:t xml:space="preserve">　</w:t>
      </w:r>
      <w:r w:rsidRPr="00460A03">
        <w:rPr>
          <w:color w:val="000000"/>
          <w:w w:val="15"/>
          <w:shd w:val="solid" w:color="000000" w:fill="000000"/>
          <w:fitText w:val="23" w:id="-1172152056"/>
          <w14:textFill>
            <w14:solidFill>
              <w14:srgbClr w14:val="000000">
                <w14:alpha w14:val="100000"/>
              </w14:srgbClr>
            </w14:solidFill>
          </w14:textFill>
        </w:rPr>
        <w:t>|</w:t>
      </w:r>
      <w:r w:rsidRPr="00460A03">
        <w:rPr>
          <w:rFonts w:hint="eastAsia"/>
          <w:color w:val="000000"/>
          <w:spacing w:val="-58"/>
          <w:w w:val="15"/>
          <w:shd w:val="solid" w:color="000000" w:fill="000000"/>
          <w:fitText w:val="23" w:id="-1172152056"/>
          <w14:textFill>
            <w14:solidFill>
              <w14:srgbClr w14:val="000000">
                <w14:alpha w14:val="100000"/>
              </w14:srgbClr>
            </w14:solidFill>
          </w14:textFill>
        </w:rPr>
        <w:t xml:space="preserve">　</w:t>
      </w:r>
      <w:r>
        <w:t xml:space="preserve"> </w:t>
      </w:r>
      <w:r w:rsidRPr="002952A0">
        <w:rPr>
          <w:color w:val="000000"/>
          <w:shd w:val="solid" w:color="000000" w:fill="000000"/>
          <w14:textFill>
            <w14:solidFill>
              <w14:srgbClr w14:val="000000">
                <w14:alpha w14:val="100000"/>
              </w14:srgbClr>
            </w14:solidFill>
          </w14:textFill>
        </w:rPr>
        <w:t>|</w:t>
      </w:r>
      <w:r>
        <w:t xml:space="preserve"> </w:t>
      </w:r>
      <w:r w:rsidRPr="002952A0">
        <w:rPr>
          <w:color w:val="000000"/>
          <w:w w:val="64"/>
          <w:shd w:val="solid" w:color="000000" w:fill="000000"/>
          <w:fitText w:val="1133" w:id="-1172152055"/>
          <w14:textFill>
            <w14:solidFill>
              <w14:srgbClr w14:val="000000">
                <w14:alpha w14:val="100000"/>
              </w14:srgbClr>
            </w14:solidFill>
          </w14:textFill>
        </w:rPr>
        <w:t>|||||||||||||||</w:t>
      </w:r>
      <w:r w:rsidRPr="002952A0">
        <w:rPr>
          <w:color w:val="000000"/>
          <w:spacing w:val="7"/>
          <w:w w:val="64"/>
          <w:shd w:val="solid" w:color="000000" w:fill="000000"/>
          <w:fitText w:val="1133" w:id="-1172152055"/>
          <w14:textFill>
            <w14:solidFill>
              <w14:srgbClr w14:val="000000">
                <w14:alpha w14:val="100000"/>
              </w14:srgbClr>
            </w14:solidFill>
          </w14:textFill>
        </w:rPr>
        <w:t>|</w:t>
      </w:r>
    </w:p>
    <w:p w14:paraId="16D1F2CF" w14:textId="6D98559F" w:rsidR="0011349E" w:rsidRDefault="002952A0" w:rsidP="0011349E">
      <w:pPr>
        <w:pStyle w:val="ListParagraph"/>
        <w:numPr>
          <w:ilvl w:val="0"/>
          <w:numId w:val="43"/>
        </w:numPr>
        <w:spacing w:before="0"/>
      </w:pPr>
      <w:r w:rsidRPr="002952A0">
        <w:rPr>
          <w:color w:val="000000"/>
          <w:w w:val="55"/>
          <w:shd w:val="solid" w:color="000000" w:fill="000000"/>
          <w:fitText w:val="7395" w:id="-1172152054"/>
          <w14:textFill>
            <w14:solidFill>
              <w14:srgbClr w14:val="000000">
                <w14:alpha w14:val="100000"/>
              </w14:srgbClr>
            </w14:solidFill>
          </w14:textFill>
        </w:rPr>
        <w:t>|||||||||||||||||||||||||||||||||||||||||||||||||||||||||||||||||||||||||||||||||||||||||||||||||||||||||||||||||||||||||</w:t>
      </w:r>
      <w:r w:rsidRPr="002952A0">
        <w:rPr>
          <w:color w:val="000000"/>
          <w:spacing w:val="29"/>
          <w:w w:val="55"/>
          <w:shd w:val="solid" w:color="000000" w:fill="000000"/>
          <w:fitText w:val="7395" w:id="-1172152054"/>
          <w14:textFill>
            <w14:solidFill>
              <w14:srgbClr w14:val="000000">
                <w14:alpha w14:val="100000"/>
              </w14:srgbClr>
            </w14:solidFill>
          </w14:textFill>
        </w:rPr>
        <w:t>|</w:t>
      </w:r>
      <w:r>
        <w:t xml:space="preserve"> </w:t>
      </w:r>
      <w:r w:rsidRPr="002952A0">
        <w:rPr>
          <w:color w:val="000000"/>
          <w:w w:val="55"/>
          <w:shd w:val="solid" w:color="000000" w:fill="000000"/>
          <w:fitText w:val="3795" w:id="-1172152053"/>
          <w14:textFill>
            <w14:solidFill>
              <w14:srgbClr w14:val="000000">
                <w14:alpha w14:val="100000"/>
              </w14:srgbClr>
            </w14:solidFill>
          </w14:textFill>
        </w:rPr>
        <w:t>|||||||||||||||||||||||||||||||||||||||||||||||||||||||||||||</w:t>
      </w:r>
      <w:r w:rsidRPr="002952A0">
        <w:rPr>
          <w:color w:val="000000"/>
          <w:spacing w:val="51"/>
          <w:w w:val="55"/>
          <w:shd w:val="solid" w:color="000000" w:fill="000000"/>
          <w:fitText w:val="3795" w:id="-1172152053"/>
          <w14:textFill>
            <w14:solidFill>
              <w14:srgbClr w14:val="000000">
                <w14:alpha w14:val="100000"/>
              </w14:srgbClr>
            </w14:solidFill>
          </w14:textFill>
        </w:rPr>
        <w:t>|</w:t>
      </w:r>
      <w:r w:rsidR="0011349E">
        <w:t>.</w:t>
      </w:r>
    </w:p>
    <w:p w14:paraId="0F5CAFDE" w14:textId="77777777" w:rsidR="0011349E" w:rsidRDefault="0011349E" w:rsidP="0011349E">
      <w:r>
        <w:t>MSAC also noted the consumer feedback provided by Kidney Health Australia, East Coast Transplant Service and three professional individuals.</w:t>
      </w:r>
    </w:p>
    <w:p w14:paraId="71D381C1" w14:textId="17DC83A0" w:rsidR="0011349E" w:rsidRDefault="0011349E" w:rsidP="0011349E">
      <w:r>
        <w:t xml:space="preserve">MSAC noted that imlifidase is a high-cost drug, with one vial costing approximately </w:t>
      </w:r>
      <w:r w:rsidR="00BE2ADC" w:rsidRPr="00BE2ADC">
        <w:rPr>
          <w:rFonts w:hint="eastAsia"/>
          <w:color w:val="000000"/>
          <w:w w:val="15"/>
          <w:shd w:val="solid" w:color="000000" w:fill="000000"/>
          <w:fitText w:val="60" w:id="-1175826942"/>
          <w14:textFill>
            <w14:solidFill>
              <w14:srgbClr w14:val="000000">
                <w14:alpha w14:val="100000"/>
              </w14:srgbClr>
            </w14:solidFill>
          </w14:textFill>
        </w:rPr>
        <w:t xml:space="preserve">　</w:t>
      </w:r>
      <w:r w:rsidR="00BE2ADC" w:rsidRPr="00BE2ADC">
        <w:rPr>
          <w:color w:val="000000"/>
          <w:w w:val="15"/>
          <w:shd w:val="solid" w:color="000000" w:fill="000000"/>
          <w:fitText w:val="60" w:id="-1175826942"/>
          <w14:textFill>
            <w14:solidFill>
              <w14:srgbClr w14:val="000000">
                <w14:alpha w14:val="100000"/>
              </w14:srgbClr>
            </w14:solidFill>
          </w14:textFill>
        </w:rPr>
        <w:t>|</w:t>
      </w:r>
      <w:r w:rsidR="00BE2ADC" w:rsidRPr="00BE2ADC">
        <w:rPr>
          <w:rFonts w:hint="eastAsia"/>
          <w:color w:val="000000"/>
          <w:spacing w:val="-21"/>
          <w:w w:val="15"/>
          <w:shd w:val="solid" w:color="000000" w:fill="000000"/>
          <w:fitText w:val="60" w:id="-1175826942"/>
          <w14:textFill>
            <w14:solidFill>
              <w14:srgbClr w14:val="000000">
                <w14:alpha w14:val="100000"/>
              </w14:srgbClr>
            </w14:solidFill>
          </w14:textFill>
        </w:rPr>
        <w:t xml:space="preserve">　</w:t>
      </w:r>
      <w:r w:rsidR="0004107E" w:rsidRPr="0004107E">
        <w:rPr>
          <w:color w:val="000000"/>
          <w:w w:val="63"/>
          <w:shd w:val="solid" w:color="000000" w:fill="000000"/>
          <w:fitText w:val="696" w:id="-1175826944"/>
          <w14:textFill>
            <w14:solidFill>
              <w14:srgbClr w14:val="000000">
                <w14:alpha w14:val="100000"/>
              </w14:srgbClr>
            </w14:solidFill>
          </w14:textFill>
        </w:rPr>
        <w:t>||||||||||</w:t>
      </w:r>
      <w:r>
        <w:t xml:space="preserve">. Furthermore, most patients require two vials as one dose, and a small percentage of patients require two doses (a cost of approximately </w:t>
      </w:r>
      <w:r w:rsidR="00BE2ADC" w:rsidRPr="00BE2ADC">
        <w:rPr>
          <w:color w:val="000000"/>
          <w:spacing w:val="1"/>
          <w:w w:val="60"/>
          <w:shd w:val="solid" w:color="000000" w:fill="000000"/>
          <w:fitText w:val="804" w:id="-1175826943"/>
          <w14:textFill>
            <w14:solidFill>
              <w14:srgbClr w14:val="000000">
                <w14:alpha w14:val="100000"/>
              </w14:srgbClr>
            </w14:solidFill>
          </w14:textFill>
        </w:rPr>
        <w:t>|||||||||||</w:t>
      </w:r>
      <w:r w:rsidR="00BE2ADC" w:rsidRPr="00BE2ADC">
        <w:rPr>
          <w:color w:val="000000"/>
          <w:spacing w:val="2"/>
          <w:w w:val="60"/>
          <w:shd w:val="solid" w:color="000000" w:fill="000000"/>
          <w:fitText w:val="804" w:id="-1175826943"/>
          <w14:textFill>
            <w14:solidFill>
              <w14:srgbClr w14:val="000000">
                <w14:alpha w14:val="100000"/>
              </w14:srgbClr>
            </w14:solidFill>
          </w14:textFill>
        </w:rPr>
        <w:t>|</w:t>
      </w:r>
      <w:r>
        <w:t xml:space="preserve">) because they do not achieve a crossmatch conversion. </w:t>
      </w:r>
      <w:r w:rsidR="004517F9">
        <w:t xml:space="preserve">Implementation is complex with substantially more staff time (potentially out of hours) and reagents to ensure that a crossmatch conversion has occurred. </w:t>
      </w:r>
      <w:r>
        <w:t xml:space="preserve">This may </w:t>
      </w:r>
      <w:r w:rsidR="004517F9">
        <w:t xml:space="preserve">also </w:t>
      </w:r>
      <w:r>
        <w:t>result in:</w:t>
      </w:r>
    </w:p>
    <w:p w14:paraId="7721B4BD" w14:textId="2A3B9E76" w:rsidR="0011349E" w:rsidRDefault="0011349E" w:rsidP="0011349E">
      <w:pPr>
        <w:pStyle w:val="ListParagraph"/>
        <w:numPr>
          <w:ilvl w:val="0"/>
          <w:numId w:val="43"/>
        </w:numPr>
        <w:spacing w:before="0"/>
      </w:pPr>
      <w:r>
        <w:t>more doses being required to reduce donor-specific antibodies to a reasonable level (although, the level is unclear as not all antibodies are equal)</w:t>
      </w:r>
    </w:p>
    <w:p w14:paraId="631FA9C0" w14:textId="06D9C17F" w:rsidR="0011349E" w:rsidRDefault="0011349E" w:rsidP="0011349E">
      <w:pPr>
        <w:pStyle w:val="ListParagraph"/>
        <w:numPr>
          <w:ilvl w:val="0"/>
          <w:numId w:val="43"/>
        </w:numPr>
        <w:spacing w:before="0"/>
      </w:pPr>
      <w:r>
        <w:t>increased cold ischaemic time for DD kidneys.</w:t>
      </w:r>
    </w:p>
    <w:p w14:paraId="50C00497" w14:textId="0EED4581" w:rsidR="0011349E" w:rsidRDefault="0011349E" w:rsidP="0011349E">
      <w:r>
        <w:t xml:space="preserve">MSAC noted that imlifidase does not change the underlying biology of HS patients, and is only used to </w:t>
      </w:r>
      <w:r w:rsidR="003B0279">
        <w:t xml:space="preserve">prevent </w:t>
      </w:r>
      <w:r>
        <w:t>rejection</w:t>
      </w:r>
      <w:r w:rsidR="007065ED">
        <w:t xml:space="preserve"> within the first 6 to 7 days post</w:t>
      </w:r>
      <w:r w:rsidR="00812890">
        <w:t>-</w:t>
      </w:r>
      <w:r w:rsidR="007065ED">
        <w:t>transplant</w:t>
      </w:r>
      <w:r w:rsidR="005E666D">
        <w:t xml:space="preserve">. </w:t>
      </w:r>
      <w:r w:rsidR="00DA14C5">
        <w:t>Furthermore</w:t>
      </w:r>
      <w:r w:rsidR="00D01862">
        <w:t>,</w:t>
      </w:r>
      <w:r w:rsidR="002F3570">
        <w:t xml:space="preserve"> some infusions may not lead to transplantation. </w:t>
      </w:r>
    </w:p>
    <w:p w14:paraId="717CE686" w14:textId="065933B7" w:rsidR="0011349E" w:rsidRDefault="00EC753F" w:rsidP="0011349E">
      <w:r>
        <w:t xml:space="preserve">MSAC noted that </w:t>
      </w:r>
      <w:r w:rsidRPr="00EB6F12">
        <w:t xml:space="preserve">PASC </w:t>
      </w:r>
      <w:r>
        <w:t xml:space="preserve">had previously </w:t>
      </w:r>
      <w:r w:rsidR="00915B6D">
        <w:t xml:space="preserve">recommended that the comparator for </w:t>
      </w:r>
      <w:r w:rsidR="009A59CC">
        <w:t xml:space="preserve">the </w:t>
      </w:r>
      <w:r w:rsidR="00770D57">
        <w:t>patient</w:t>
      </w:r>
      <w:r w:rsidR="009A59CC">
        <w:t xml:space="preserve"> population</w:t>
      </w:r>
      <w:r w:rsidR="00770D57">
        <w:t xml:space="preserve"> on the DD list</w:t>
      </w:r>
      <w:r w:rsidR="00770D57" w:rsidRPr="00EB6F12">
        <w:t xml:space="preserve"> </w:t>
      </w:r>
      <w:r w:rsidR="00770D57">
        <w:t xml:space="preserve">should be current care </w:t>
      </w:r>
      <w:r w:rsidR="005714FB">
        <w:t xml:space="preserve">defined as </w:t>
      </w:r>
      <w:r w:rsidR="006960DD">
        <w:t>remaining on the transplant waitlist and continuing to receive dialysis (haemodialysis or peritoneal), until a transplant becomes available. MSAC noted that PASC had also previously c</w:t>
      </w:r>
      <w:r w:rsidRPr="00EB6F12">
        <w:t xml:space="preserve">onsidered </w:t>
      </w:r>
      <w:r w:rsidR="00C81A01">
        <w:t>but</w:t>
      </w:r>
      <w:r w:rsidR="008B2AD1">
        <w:t xml:space="preserve"> not</w:t>
      </w:r>
      <w:r w:rsidR="0073095F">
        <w:t xml:space="preserve"> recommended </w:t>
      </w:r>
      <w:r>
        <w:t>inclu</w:t>
      </w:r>
      <w:r w:rsidR="008B2AD1">
        <w:t>sion</w:t>
      </w:r>
      <w:r>
        <w:t xml:space="preserve"> </w:t>
      </w:r>
      <w:r w:rsidR="00B96141">
        <w:t>of other</w:t>
      </w:r>
      <w:r>
        <w:t xml:space="preserve"> </w:t>
      </w:r>
      <w:r w:rsidR="00C24AB9">
        <w:t>desensitisation regimes</w:t>
      </w:r>
      <w:r>
        <w:t xml:space="preserve"> as comparators</w:t>
      </w:r>
      <w:r w:rsidR="0073095F">
        <w:t xml:space="preserve"> for </w:t>
      </w:r>
      <w:r w:rsidR="008B2AD1">
        <w:t xml:space="preserve">LD </w:t>
      </w:r>
      <w:r w:rsidR="0073095F">
        <w:t>patients</w:t>
      </w:r>
      <w:r>
        <w:t xml:space="preserve"> because </w:t>
      </w:r>
      <w:r w:rsidR="008067FB">
        <w:t xml:space="preserve">components of </w:t>
      </w:r>
      <w:r w:rsidRPr="00EB6F12">
        <w:t>the</w:t>
      </w:r>
      <w:r w:rsidR="0073095F">
        <w:t>se regimes</w:t>
      </w:r>
      <w:r w:rsidRPr="00EB6F12">
        <w:t xml:space="preserve"> are </w:t>
      </w:r>
      <w:r w:rsidR="003B05DC">
        <w:t xml:space="preserve">used </w:t>
      </w:r>
      <w:r w:rsidR="008067FB">
        <w:t>off label</w:t>
      </w:r>
      <w:r w:rsidRPr="00EB6F12">
        <w:t xml:space="preserve"> and use</w:t>
      </w:r>
      <w:r w:rsidR="00924F11">
        <w:t xml:space="preserve"> is</w:t>
      </w:r>
      <w:r w:rsidRPr="00EB6F12">
        <w:t xml:space="preserve"> variabl</w:t>
      </w:r>
      <w:r w:rsidR="00924F11">
        <w:t>e</w:t>
      </w:r>
      <w:r w:rsidRPr="00EB6F12">
        <w:t xml:space="preserve"> across the country (i.e. there is no one standard regime that could be considered as standard of care).</w:t>
      </w:r>
      <w:r>
        <w:t xml:space="preserve"> </w:t>
      </w:r>
      <w:r w:rsidDel="00016FE7">
        <w:t xml:space="preserve"> </w:t>
      </w:r>
      <w:r w:rsidR="00C24AB9">
        <w:t xml:space="preserve">However </w:t>
      </w:r>
      <w:r w:rsidR="0011349E">
        <w:t>MSAC considered that</w:t>
      </w:r>
      <w:r w:rsidR="009A59CC">
        <w:t xml:space="preserve"> </w:t>
      </w:r>
      <w:r w:rsidR="0011349E">
        <w:t xml:space="preserve">there were several desensitisation protocols in </w:t>
      </w:r>
      <w:r w:rsidR="003B0279">
        <w:t xml:space="preserve">clinical use </w:t>
      </w:r>
      <w:r w:rsidR="0011349E">
        <w:t>for HS patients</w:t>
      </w:r>
      <w:r w:rsidR="004B02AC">
        <w:t xml:space="preserve"> who are potential recipients of </w:t>
      </w:r>
      <w:r w:rsidR="009A59CC">
        <w:t xml:space="preserve">LD </w:t>
      </w:r>
      <w:r w:rsidR="003B0279">
        <w:t xml:space="preserve">and DD </w:t>
      </w:r>
      <w:r w:rsidR="004B02AC">
        <w:t>kidneys</w:t>
      </w:r>
      <w:r w:rsidR="009E53B0">
        <w:t xml:space="preserve"> </w:t>
      </w:r>
      <w:r w:rsidR="00810911">
        <w:t xml:space="preserve">in addition to </w:t>
      </w:r>
      <w:r w:rsidR="00B03EEF">
        <w:t xml:space="preserve">participation in </w:t>
      </w:r>
      <w:r w:rsidR="00B679A4" w:rsidRPr="00691B15">
        <w:t>the</w:t>
      </w:r>
      <w:r w:rsidR="00355B93" w:rsidRPr="00691B15">
        <w:t xml:space="preserve"> paired </w:t>
      </w:r>
      <w:r w:rsidR="00B679A4" w:rsidRPr="00691B15">
        <w:t xml:space="preserve">kidney </w:t>
      </w:r>
      <w:r w:rsidR="00355B93" w:rsidRPr="00691B15">
        <w:t>exchange</w:t>
      </w:r>
      <w:r w:rsidR="00B03EEF">
        <w:t xml:space="preserve"> (for LD kidneys), and many agents </w:t>
      </w:r>
      <w:r w:rsidR="00B03EEF" w:rsidRPr="004338E4">
        <w:t>were</w:t>
      </w:r>
      <w:r w:rsidR="00EE2549" w:rsidRPr="004338E4">
        <w:t xml:space="preserve"> in current clinical use</w:t>
      </w:r>
      <w:r w:rsidR="00B03EEF" w:rsidRPr="004338E4">
        <w:t xml:space="preserve"> </w:t>
      </w:r>
      <w:r w:rsidR="00B03EEF">
        <w:t xml:space="preserve">for this indication. </w:t>
      </w:r>
      <w:r w:rsidR="00CC5C41">
        <w:t xml:space="preserve">MSAC considered that </w:t>
      </w:r>
      <w:r w:rsidR="00CC5C41" w:rsidRPr="00DB106F">
        <w:t>desensitisation protocols (IVIG, rituximab, plasma exchange)</w:t>
      </w:r>
      <w:r w:rsidR="00CC5C41">
        <w:t xml:space="preserve"> were a comparator for </w:t>
      </w:r>
      <w:r w:rsidR="005C41E0">
        <w:t>Imlifidase</w:t>
      </w:r>
      <w:r w:rsidR="009A2A07">
        <w:t>,</w:t>
      </w:r>
      <w:r w:rsidR="001568EB">
        <w:t xml:space="preserve"> noting th</w:t>
      </w:r>
      <w:r w:rsidR="00B03EEF">
        <w:t>e likely cost differential between these agents and imlifidase.</w:t>
      </w:r>
    </w:p>
    <w:p w14:paraId="5FA4A26E" w14:textId="22BC2E14" w:rsidR="0011349E" w:rsidRDefault="0011349E" w:rsidP="0011349E">
      <w:r>
        <w:t xml:space="preserve">MSAC noted that the clinical evidence for the intervention comprised four single-arm Phase II clinical studies of imlifidase. </w:t>
      </w:r>
      <w:r w:rsidR="009C03A7">
        <w:t xml:space="preserve">The data were not disaggregated for LD and DD and the majority of participants in the trials received DD kidneys. </w:t>
      </w:r>
    </w:p>
    <w:p w14:paraId="49F84AA0" w14:textId="6AC4FF1E" w:rsidR="0011349E" w:rsidRDefault="0011349E" w:rsidP="0011349E">
      <w:r>
        <w:t xml:space="preserve">Regarding comparative safety, MSAC noted that </w:t>
      </w:r>
      <w:r w:rsidR="00D033D5">
        <w:t xml:space="preserve">the rates of patient withdrawal, loss to follow up and adverse events considered across all trials was </w:t>
      </w:r>
      <w:r w:rsidR="003C4B5D">
        <w:t xml:space="preserve">3.7%, 1.9% and 1.9% respectively </w:t>
      </w:r>
      <w:r w:rsidR="001B0F4E">
        <w:t>and the rate for patients who discontinued the study was 9.3%</w:t>
      </w:r>
      <w:r>
        <w:t>.</w:t>
      </w:r>
    </w:p>
    <w:p w14:paraId="5553AED8" w14:textId="690B3FFB" w:rsidR="0011349E" w:rsidRDefault="0011349E" w:rsidP="0011349E">
      <w:r>
        <w:t xml:space="preserve">Regarding comparative effectiveness, MSAC noted that the data were based on small patient numbers and had limited follow-up. </w:t>
      </w:r>
      <w:r w:rsidR="0013671B">
        <w:t xml:space="preserve">The populations in the clinical trials were relatively heterogenous and MSAC questioned the applicability of the clinical trial data to Australian kidney transplant patients. In particular, the trials included patients with both </w:t>
      </w:r>
      <w:proofErr w:type="spellStart"/>
      <w:r w:rsidR="0013671B">
        <w:t>cPRA</w:t>
      </w:r>
      <w:proofErr w:type="spellEnd"/>
      <w:r w:rsidR="0013671B">
        <w:t> 95–9</w:t>
      </w:r>
      <w:r w:rsidR="00447B86">
        <w:t>9</w:t>
      </w:r>
      <w:r w:rsidR="0013671B">
        <w:t xml:space="preserve">% and </w:t>
      </w:r>
      <w:proofErr w:type="spellStart"/>
      <w:r w:rsidR="0013671B">
        <w:t>cPRA</w:t>
      </w:r>
      <w:proofErr w:type="spellEnd"/>
      <w:r w:rsidR="00447B86">
        <w:t>&gt;</w:t>
      </w:r>
      <w:r w:rsidR="0013671B">
        <w:t xml:space="preserve">99%, which meant that the effectiveness of imlifidase in patients with </w:t>
      </w:r>
      <w:proofErr w:type="spellStart"/>
      <w:r w:rsidR="0013671B">
        <w:t>cPRA</w:t>
      </w:r>
      <w:proofErr w:type="spellEnd"/>
      <w:r w:rsidR="000F56F0">
        <w:t xml:space="preserve"> of</w:t>
      </w:r>
      <w:r w:rsidR="0013671B">
        <w:t xml:space="preserve"> 99% </w:t>
      </w:r>
      <w:r w:rsidR="00923A9D">
        <w:t xml:space="preserve">or more </w:t>
      </w:r>
      <w:r w:rsidR="0013671B">
        <w:t>(the population group who would most likely benefit) was uncertain</w:t>
      </w:r>
      <w:r w:rsidR="00447B86">
        <w:t>. MSAC noted that less than</w:t>
      </w:r>
      <w:r w:rsidR="004719D0">
        <w:t xml:space="preserve"> 60% of total patients in all trials (27 out of 46) had a </w:t>
      </w:r>
      <w:proofErr w:type="spellStart"/>
      <w:r w:rsidR="004719D0">
        <w:t>cPRA</w:t>
      </w:r>
      <w:proofErr w:type="spellEnd"/>
      <w:r w:rsidR="00C63C52">
        <w:t xml:space="preserve"> </w:t>
      </w:r>
      <w:r w:rsidR="00447B86">
        <w:t>≥</w:t>
      </w:r>
      <w:r w:rsidR="00C63C52">
        <w:t xml:space="preserve"> </w:t>
      </w:r>
      <w:r w:rsidR="00C55BC4">
        <w:t>99%</w:t>
      </w:r>
      <w:r w:rsidR="0013671B">
        <w:t xml:space="preserve">. </w:t>
      </w:r>
      <w:r>
        <w:t xml:space="preserve">Additionally, MSAC considered the effectiveness outcomes to be concerning, especially the rates of hyperacute rejection (33%), delayed graft function (41%), Ab-mediated rejection (24%), and chronic kidney disease at stages 3–5 (50% at 6 months). </w:t>
      </w:r>
      <w:r w:rsidR="00DA14C5">
        <w:t>MSAC noted that this evidence suggested that p</w:t>
      </w:r>
      <w:r>
        <w:t>atients remained a</w:t>
      </w:r>
      <w:r w:rsidR="003801D1">
        <w:t>t</w:t>
      </w:r>
      <w:r>
        <w:t xml:space="preserve"> high immunological risk </w:t>
      </w:r>
      <w:r w:rsidR="00A5725E">
        <w:t xml:space="preserve">of rejection </w:t>
      </w:r>
      <w:r>
        <w:t>after treatment.</w:t>
      </w:r>
    </w:p>
    <w:p w14:paraId="4C0D7B32" w14:textId="458BD78E" w:rsidR="0011349E" w:rsidRDefault="00447B86" w:rsidP="0011349E">
      <w:r>
        <w:t>M</w:t>
      </w:r>
      <w:r w:rsidR="0011349E">
        <w:t>SAC noted that the economic evaluation was a model-based cost-utility analysis that was based on unanchored naïve indirect comparisons. MSAC noted</w:t>
      </w:r>
      <w:r w:rsidR="00A878C4">
        <w:t xml:space="preserve"> several issues with the model</w:t>
      </w:r>
      <w:r w:rsidR="0011349E">
        <w:t>:</w:t>
      </w:r>
    </w:p>
    <w:p w14:paraId="0562DDE2" w14:textId="041BF846" w:rsidR="00FB4718" w:rsidRDefault="00FB4718" w:rsidP="0011349E">
      <w:pPr>
        <w:pStyle w:val="ListParagraph"/>
        <w:numPr>
          <w:ilvl w:val="0"/>
          <w:numId w:val="43"/>
        </w:numPr>
        <w:spacing w:before="0"/>
      </w:pPr>
      <w:r>
        <w:t xml:space="preserve">the structure of the model did not properly consider </w:t>
      </w:r>
      <w:r w:rsidR="00804692">
        <w:t xml:space="preserve">the </w:t>
      </w:r>
      <w:r>
        <w:t xml:space="preserve">different comparators and correspondingly different clinical pathways for </w:t>
      </w:r>
      <w:r w:rsidR="00EE5D91">
        <w:t xml:space="preserve">potential recipients of LD and DD kidneys. </w:t>
      </w:r>
    </w:p>
    <w:p w14:paraId="3C3BFE29" w14:textId="1D9A6F19" w:rsidR="0011349E" w:rsidRDefault="009C42A9" w:rsidP="0011349E">
      <w:pPr>
        <w:pStyle w:val="ListParagraph"/>
        <w:numPr>
          <w:ilvl w:val="0"/>
          <w:numId w:val="43"/>
        </w:numPr>
        <w:spacing w:before="0"/>
      </w:pPr>
      <w:r>
        <w:t xml:space="preserve">it </w:t>
      </w:r>
      <w:r w:rsidR="0011349E">
        <w:t xml:space="preserve">did not consider displacement in the context of a fixed and limited resource </w:t>
      </w:r>
      <w:r w:rsidR="00CF328A">
        <w:t xml:space="preserve">- </w:t>
      </w:r>
      <w:r w:rsidR="0011349E">
        <w:t xml:space="preserve">that is, that the use of imlifidase could displace health gains and impose dialysis costs for </w:t>
      </w:r>
      <w:r w:rsidR="002644DF">
        <w:t>non</w:t>
      </w:r>
      <w:r w:rsidR="000054D2">
        <w:t>-</w:t>
      </w:r>
      <w:r w:rsidR="002644DF">
        <w:t xml:space="preserve">HS </w:t>
      </w:r>
      <w:r w:rsidR="0011349E">
        <w:t>patients on transplant waitlists</w:t>
      </w:r>
      <w:r w:rsidR="00297C42">
        <w:t xml:space="preserve"> who would have to wait longer to get a kidney transplant and would correspondingly be deprived of a kidney for longer even though they would have better outcomes following a kidney transplantation</w:t>
      </w:r>
      <w:r w:rsidR="00CF328A">
        <w:t xml:space="preserve">. </w:t>
      </w:r>
    </w:p>
    <w:p w14:paraId="5C6BFA8F" w14:textId="78250BCE" w:rsidR="0011349E" w:rsidRDefault="00A95A57" w:rsidP="0011349E">
      <w:pPr>
        <w:pStyle w:val="ListParagraph"/>
        <w:numPr>
          <w:ilvl w:val="0"/>
          <w:numId w:val="43"/>
        </w:numPr>
        <w:spacing w:before="0"/>
      </w:pPr>
      <w:r>
        <w:t xml:space="preserve">it </w:t>
      </w:r>
      <w:r w:rsidR="0011349E">
        <w:t>had incomplete costs for a complex implementation</w:t>
      </w:r>
      <w:r w:rsidR="00CF328A">
        <w:t xml:space="preserve"> as it </w:t>
      </w:r>
      <w:r w:rsidR="0011349E">
        <w:t>did not include the cost of extra immunological tests and increased staffing requirements</w:t>
      </w:r>
      <w:r w:rsidR="00416301">
        <w:t>, and delayed or potentially no transplantation outcomes in some cases</w:t>
      </w:r>
      <w:r w:rsidR="0055526A">
        <w:t>.</w:t>
      </w:r>
    </w:p>
    <w:p w14:paraId="35782EB2" w14:textId="5FC5DD62" w:rsidR="0011349E" w:rsidRDefault="00A17B49" w:rsidP="0011349E">
      <w:pPr>
        <w:pStyle w:val="ListParagraph"/>
        <w:numPr>
          <w:ilvl w:val="0"/>
          <w:numId w:val="43"/>
        </w:numPr>
        <w:spacing w:before="0"/>
      </w:pPr>
      <w:r>
        <w:t xml:space="preserve">it </w:t>
      </w:r>
      <w:r w:rsidR="0011349E">
        <w:t xml:space="preserve">was affected by the flow-on effects of </w:t>
      </w:r>
      <w:r w:rsidR="00297C42">
        <w:t xml:space="preserve">using </w:t>
      </w:r>
      <w:r w:rsidR="0011349E">
        <w:t>the favourable</w:t>
      </w:r>
      <w:r w:rsidR="00297C42">
        <w:t xml:space="preserve"> and unrepresentative data from the clinical evidence base including</w:t>
      </w:r>
      <w:r w:rsidR="0011349E">
        <w:t xml:space="preserve"> using extrapolation estimates (for example, for graft survival and survival rates) from pooled clinical trial data that included </w:t>
      </w:r>
      <w:r w:rsidR="00AC1280">
        <w:t xml:space="preserve">those who were transplanted in the clinical trials but did not </w:t>
      </w:r>
      <w:r w:rsidR="00CF328A">
        <w:t xml:space="preserve">meet the criteria for the </w:t>
      </w:r>
      <w:r w:rsidR="0011349E">
        <w:t>“unlikely to be transplanted” population</w:t>
      </w:r>
      <w:r w:rsidR="0055526A">
        <w:t>.</w:t>
      </w:r>
    </w:p>
    <w:p w14:paraId="5EA427F9" w14:textId="2966E761" w:rsidR="0011349E" w:rsidRDefault="00AC1280" w:rsidP="0011349E">
      <w:pPr>
        <w:pStyle w:val="ListParagraph"/>
        <w:numPr>
          <w:ilvl w:val="0"/>
          <w:numId w:val="43"/>
        </w:numPr>
        <w:spacing w:before="0"/>
      </w:pPr>
      <w:r>
        <w:t xml:space="preserve">it </w:t>
      </w:r>
      <w:r w:rsidR="0011349E">
        <w:t>underestimated the probability of transplantation without imlifidase treatment; the applicant estimated this as 5%</w:t>
      </w:r>
      <w:r w:rsidR="0029290A">
        <w:t xml:space="preserve"> per year</w:t>
      </w:r>
      <w:r w:rsidR="0011349E">
        <w:t xml:space="preserve">, but the assessment group </w:t>
      </w:r>
      <w:r w:rsidR="00111C3C">
        <w:t>noted that data from the ANZ Kidney Exchange indicated a higher rate (e.g.</w:t>
      </w:r>
      <w:r w:rsidR="0011349E">
        <w:t xml:space="preserve"> 19.6%</w:t>
      </w:r>
      <w:r w:rsidR="00091985">
        <w:t xml:space="preserve"> by the second year of the projected time horizon)</w:t>
      </w:r>
      <w:r w:rsidR="0011349E">
        <w:t>.</w:t>
      </w:r>
    </w:p>
    <w:p w14:paraId="45B3F556" w14:textId="662C8712" w:rsidR="00552E9B" w:rsidRDefault="00552E9B" w:rsidP="00552E9B">
      <w:r>
        <w:t>MSAC agreed with ESC that a main driver of the incremental cost of the model was the total cost of imlifidase. Using a weighted cost of the number of vials (per kilogram) and doses (6.5% receiving the second dose, assuming that the second dose is costed at double the weighted average price of the first dose) resulted in a cost of $</w:t>
      </w:r>
      <w:r w:rsidR="00BA28BC" w:rsidRPr="00BA28BC">
        <w:rPr>
          <w:color w:val="000000"/>
          <w:w w:val="63"/>
          <w:shd w:val="solid" w:color="000000" w:fill="000000"/>
          <w:fitText w:val="696" w:id="-1175826688"/>
          <w14:textFill>
            <w14:solidFill>
              <w14:srgbClr w14:val="000000">
                <w14:alpha w14:val="100000"/>
              </w14:srgbClr>
            </w14:solidFill>
          </w14:textFill>
        </w:rPr>
        <w:t>||||||||||</w:t>
      </w:r>
      <w:r w:rsidR="00BA28BC">
        <w:t xml:space="preserve"> </w:t>
      </w:r>
      <w:r>
        <w:t>per patient per lifetime. Adding the cost of Luminex (PRA assay) testing and comedication increased the cost to $</w:t>
      </w:r>
      <w:r w:rsidR="00D94D23" w:rsidRPr="00D94D23">
        <w:rPr>
          <w:color w:val="000000"/>
          <w:w w:val="63"/>
          <w:shd w:val="solid" w:color="000000" w:fill="000000"/>
          <w:fitText w:val="696" w:id="-1175826687"/>
          <w14:textFill>
            <w14:solidFill>
              <w14:srgbClr w14:val="000000">
                <w14:alpha w14:val="100000"/>
              </w14:srgbClr>
            </w14:solidFill>
          </w14:textFill>
        </w:rPr>
        <w:t>||||||||||</w:t>
      </w:r>
      <w:r w:rsidR="00D94D23">
        <w:t xml:space="preserve"> </w:t>
      </w:r>
      <w:r>
        <w:t>per patient per lifetime.</w:t>
      </w:r>
    </w:p>
    <w:p w14:paraId="356462BF" w14:textId="5B891CD8" w:rsidR="00EA0BD0" w:rsidRDefault="0011349E" w:rsidP="00C65745">
      <w:pPr>
        <w:spacing w:before="0"/>
      </w:pPr>
      <w:r>
        <w:t>MSAC agreed with ESC that the structure and inputs used for the model made it unreliable for decision-making.</w:t>
      </w:r>
      <w:r w:rsidR="133930ED">
        <w:t xml:space="preserve"> MSAC considered that after adjusting the </w:t>
      </w:r>
      <w:r w:rsidR="408D1EE5">
        <w:t xml:space="preserve">economic </w:t>
      </w:r>
      <w:r w:rsidR="133930ED">
        <w:t>model for the displacement effects</w:t>
      </w:r>
      <w:r w:rsidR="69DAB6D3">
        <w:t xml:space="preserve"> on non-HS patients</w:t>
      </w:r>
      <w:r w:rsidR="133930ED">
        <w:t xml:space="preserve"> identified and the higher costs and inferior outcomes</w:t>
      </w:r>
      <w:r w:rsidR="408D1EE5">
        <w:t xml:space="preserve"> from only extrapolating estimates from </w:t>
      </w:r>
      <w:r w:rsidR="360E12E6">
        <w:t>the sub-population with the highest clinical need (those with cPRA</w:t>
      </w:r>
      <w:r w:rsidR="2B2D6171">
        <w:t>≥</w:t>
      </w:r>
      <w:r w:rsidR="360E12E6">
        <w:t>99%)</w:t>
      </w:r>
      <w:r w:rsidR="133930ED">
        <w:t xml:space="preserve"> </w:t>
      </w:r>
      <w:r w:rsidR="658973B5">
        <w:t xml:space="preserve">the ICER of </w:t>
      </w:r>
      <w:r w:rsidR="133930ED">
        <w:t>DD transplantations</w:t>
      </w:r>
      <w:r w:rsidR="658973B5">
        <w:t xml:space="preserve"> facilitated by imlifidase is </w:t>
      </w:r>
      <w:r w:rsidR="133930ED">
        <w:t>likely to be in the north-west quadrant (</w:t>
      </w:r>
      <w:r w:rsidR="1F7D86F0">
        <w:t xml:space="preserve">i.e. </w:t>
      </w:r>
      <w:r w:rsidR="2B2D6171">
        <w:t xml:space="preserve">dominated because it is less </w:t>
      </w:r>
      <w:r w:rsidR="133930ED">
        <w:t>effective in health outcomes but also more expensive), while LD transplantations</w:t>
      </w:r>
      <w:r w:rsidR="658973B5">
        <w:t xml:space="preserve"> facilitated by imlifidase</w:t>
      </w:r>
      <w:r w:rsidR="133930ED">
        <w:t xml:space="preserve"> are likely to be in the north-east quadrant (</w:t>
      </w:r>
      <w:r w:rsidR="26A92610">
        <w:t xml:space="preserve">i.e. </w:t>
      </w:r>
      <w:r w:rsidR="133930ED">
        <w:t xml:space="preserve">more effective in health outcomes but also </w:t>
      </w:r>
      <w:r w:rsidR="7F8866C7">
        <w:t>more e</w:t>
      </w:r>
      <w:r w:rsidR="133930ED">
        <w:t>xpensive).</w:t>
      </w:r>
    </w:p>
    <w:p w14:paraId="4F3C6CE0" w14:textId="5388FF6B" w:rsidR="00552E9B" w:rsidRDefault="0011349E" w:rsidP="0011349E">
      <w:r>
        <w:t>MSAC noted that the base-case incremental cost-effectiveness ratio (ICER) reported in the applicant-developed assessment report (ADAR) was $</w:t>
      </w:r>
      <w:r w:rsidR="001C3C63" w:rsidRPr="001C3C63">
        <w:rPr>
          <w:color w:val="000000"/>
          <w:w w:val="65"/>
          <w:shd w:val="solid" w:color="000000" w:fill="000000"/>
          <w:fitText w:val="576" w:id="-1175826432"/>
          <w14:textFill>
            <w14:solidFill>
              <w14:srgbClr w14:val="000000">
                <w14:alpha w14:val="100000"/>
              </w14:srgbClr>
            </w14:solidFill>
          </w14:textFill>
        </w:rPr>
        <w:t>||||||||</w:t>
      </w:r>
      <w:r w:rsidR="001C3C63">
        <w:t xml:space="preserve"> </w:t>
      </w:r>
      <w:r>
        <w:t>per quality-adjusted life year (QALY)</w:t>
      </w:r>
      <w:r w:rsidR="0033230F">
        <w:t xml:space="preserve"> gained</w:t>
      </w:r>
      <w:r>
        <w:t xml:space="preserve">, which MSAC considered </w:t>
      </w:r>
      <w:r w:rsidR="0033230F">
        <w:t xml:space="preserve">implausible </w:t>
      </w:r>
      <w:r>
        <w:t xml:space="preserve">given the </w:t>
      </w:r>
      <w:r w:rsidR="00923A9D">
        <w:t xml:space="preserve">very </w:t>
      </w:r>
      <w:r>
        <w:t>high cost of the intervention. MSAC noted that the commentary included a respecified base-case ICER of $</w:t>
      </w:r>
      <w:r w:rsidR="00EC6FAE" w:rsidRPr="00EC6FAE">
        <w:rPr>
          <w:color w:val="000000"/>
          <w:w w:val="64"/>
          <w:shd w:val="solid" w:color="000000" w:fill="000000"/>
          <w:fitText w:val="708" w:id="-1175826431"/>
          <w14:textFill>
            <w14:solidFill>
              <w14:srgbClr w14:val="000000">
                <w14:alpha w14:val="100000"/>
              </w14:srgbClr>
            </w14:solidFill>
          </w14:textFill>
        </w:rPr>
        <w:t>||||||||||</w:t>
      </w:r>
      <w:r>
        <w:t>/QALY</w:t>
      </w:r>
      <w:r w:rsidR="00904AC0">
        <w:t xml:space="preserve"> gained</w:t>
      </w:r>
      <w:r w:rsidR="002150EF">
        <w:t xml:space="preserve"> after accounting for displacement effects on non-HS patients</w:t>
      </w:r>
      <w:r w:rsidR="00A62826">
        <w:t xml:space="preserve"> </w:t>
      </w:r>
      <w:r w:rsidR="00991B95">
        <w:t>(</w:t>
      </w:r>
      <w:r w:rsidR="00A62826">
        <w:t xml:space="preserve">therefore excluding </w:t>
      </w:r>
      <w:r w:rsidR="00A243A8">
        <w:t xml:space="preserve">dialysis cost savings </w:t>
      </w:r>
      <w:r w:rsidR="00A62826">
        <w:t>by HS patients</w:t>
      </w:r>
      <w:r w:rsidR="00991B95">
        <w:t>)</w:t>
      </w:r>
      <w:r w:rsidR="002150EF">
        <w:t xml:space="preserve"> </w:t>
      </w:r>
      <w:r>
        <w:t xml:space="preserve">but MSAC still considered this </w:t>
      </w:r>
      <w:r w:rsidR="00991B95">
        <w:t xml:space="preserve">value </w:t>
      </w:r>
      <w:r>
        <w:t>to be uncertain due to underestimated costs and overestimated benefits</w:t>
      </w:r>
      <w:r w:rsidR="00991B95">
        <w:t xml:space="preserve"> arising from the other modelling issues identified above.</w:t>
      </w:r>
      <w:r>
        <w:t xml:space="preserve"> </w:t>
      </w:r>
    </w:p>
    <w:p w14:paraId="7B111810" w14:textId="3BE05301" w:rsidR="0011349E" w:rsidRDefault="0011349E" w:rsidP="0011349E">
      <w:r>
        <w:t>MSAC considered the financial impacts</w:t>
      </w:r>
      <w:r w:rsidR="00A91B39">
        <w:t xml:space="preserve"> of funding imlifidase</w:t>
      </w:r>
      <w:r>
        <w:t xml:space="preserve"> to be uncertain. MSAC noted that the number of people </w:t>
      </w:r>
      <w:r w:rsidR="00023A1D">
        <w:t xml:space="preserve">projected </w:t>
      </w:r>
      <w:r>
        <w:t>to receive imlifidase in year 1 was 26 from the DD waitlist and 5 from the LD waitlist, increasing in year 6 to 44 and 6, respectively</w:t>
      </w:r>
      <w:r w:rsidR="00023A1D">
        <w:t xml:space="preserve"> under the </w:t>
      </w:r>
      <w:r w:rsidR="003742BA">
        <w:t xml:space="preserve">ADAR </w:t>
      </w:r>
      <w:r w:rsidR="00023A1D">
        <w:t>financial</w:t>
      </w:r>
      <w:r w:rsidR="00477615">
        <w:t xml:space="preserve"> estimates</w:t>
      </w:r>
      <w:r>
        <w:t xml:space="preserve">. </w:t>
      </w:r>
      <w:r w:rsidR="00023A1D">
        <w:t>However</w:t>
      </w:r>
      <w:r w:rsidR="00F92058">
        <w:t>,</w:t>
      </w:r>
      <w:r w:rsidR="000974CD">
        <w:t xml:space="preserve"> MSAC considered that</w:t>
      </w:r>
      <w:r w:rsidR="00F92058">
        <w:t xml:space="preserve"> if </w:t>
      </w:r>
      <w:r>
        <w:t xml:space="preserve">patients with </w:t>
      </w:r>
      <w:proofErr w:type="spellStart"/>
      <w:r>
        <w:t>cPRA</w:t>
      </w:r>
      <w:proofErr w:type="spellEnd"/>
      <w:r>
        <w:t> 95</w:t>
      </w:r>
      <w:r w:rsidR="000D3823">
        <w:t xml:space="preserve"> to &lt;</w:t>
      </w:r>
      <w:r>
        <w:t>9</w:t>
      </w:r>
      <w:r w:rsidR="00CB6501">
        <w:t>9</w:t>
      </w:r>
      <w:r>
        <w:t xml:space="preserve">% </w:t>
      </w:r>
      <w:r w:rsidR="00660E47">
        <w:t xml:space="preserve">were </w:t>
      </w:r>
      <w:r>
        <w:t xml:space="preserve"> removed from the estimates</w:t>
      </w:r>
      <w:r w:rsidR="007B1136">
        <w:t xml:space="preserve"> </w:t>
      </w:r>
      <w:r w:rsidR="00660E47">
        <w:t>in line with a more</w:t>
      </w:r>
      <w:r w:rsidR="000974CD">
        <w:t xml:space="preserve"> appropriately</w:t>
      </w:r>
      <w:r w:rsidR="00660E47">
        <w:t xml:space="preserve"> restricted population </w:t>
      </w:r>
      <w:r w:rsidR="007B1136">
        <w:t xml:space="preserve">and there </w:t>
      </w:r>
      <w:r w:rsidR="00660E47">
        <w:t xml:space="preserve">were </w:t>
      </w:r>
      <w:r w:rsidR="00526EF3">
        <w:t xml:space="preserve">hard </w:t>
      </w:r>
      <w:r w:rsidR="007B1136">
        <w:t xml:space="preserve">caps </w:t>
      </w:r>
      <w:r w:rsidR="006446AA">
        <w:t xml:space="preserve">to restrict use of imlifidase </w:t>
      </w:r>
      <w:r w:rsidR="00B05251">
        <w:t>given the high cost of this therapy</w:t>
      </w:r>
      <w:r>
        <w:t xml:space="preserve">, </w:t>
      </w:r>
      <w:r w:rsidR="009E08C3">
        <w:t xml:space="preserve">this </w:t>
      </w:r>
      <w:r>
        <w:t>would reduce the proposed number of people receiving imlifidase</w:t>
      </w:r>
      <w:r w:rsidR="006446AA">
        <w:t xml:space="preserve"> to a total of </w:t>
      </w:r>
      <w:r w:rsidR="00923A9D">
        <w:t xml:space="preserve">around </w:t>
      </w:r>
      <w:r w:rsidR="008E7B7E" w:rsidRPr="008E7B7E">
        <w:rPr>
          <w:rFonts w:hint="eastAsia"/>
          <w:color w:val="000000"/>
          <w:w w:val="23"/>
          <w:shd w:val="solid" w:color="000000" w:fill="000000"/>
          <w:fitText w:val="132" w:id="-1175825664"/>
          <w14:textFill>
            <w14:solidFill>
              <w14:srgbClr w14:val="000000">
                <w14:alpha w14:val="100000"/>
              </w14:srgbClr>
            </w14:solidFill>
          </w14:textFill>
        </w:rPr>
        <w:t xml:space="preserve">　</w:t>
      </w:r>
      <w:r w:rsidR="008E7B7E" w:rsidRPr="008E7B7E">
        <w:rPr>
          <w:color w:val="000000"/>
          <w:w w:val="23"/>
          <w:shd w:val="solid" w:color="000000" w:fill="000000"/>
          <w:fitText w:val="132" w:id="-1175825664"/>
          <w14:textFill>
            <w14:solidFill>
              <w14:srgbClr w14:val="000000">
                <w14:alpha w14:val="100000"/>
              </w14:srgbClr>
            </w14:solidFill>
          </w14:textFill>
        </w:rPr>
        <w:t>|</w:t>
      </w:r>
      <w:r w:rsidR="008E7B7E" w:rsidRPr="008E7B7E">
        <w:rPr>
          <w:rFonts w:hint="eastAsia"/>
          <w:color w:val="000000"/>
          <w:w w:val="23"/>
          <w:shd w:val="solid" w:color="000000" w:fill="000000"/>
          <w:fitText w:val="132" w:id="-1175825664"/>
          <w14:textFill>
            <w14:solidFill>
              <w14:srgbClr w14:val="000000">
                <w14:alpha w14:val="100000"/>
              </w14:srgbClr>
            </w14:solidFill>
          </w14:textFill>
        </w:rPr>
        <w:t xml:space="preserve">　</w:t>
      </w:r>
      <w:r w:rsidR="006446AA">
        <w:t xml:space="preserve"> a year, </w:t>
      </w:r>
      <w:r w:rsidR="00A45D00">
        <w:t xml:space="preserve">comprising </w:t>
      </w:r>
      <w:r w:rsidR="00F64AA8" w:rsidRPr="00F64AA8">
        <w:rPr>
          <w:rFonts w:hint="eastAsia"/>
          <w:color w:val="000000"/>
          <w:w w:val="15"/>
          <w:shd w:val="solid" w:color="000000" w:fill="000000"/>
          <w:fitText w:val="60" w:id="-1175825663"/>
          <w14:textFill>
            <w14:solidFill>
              <w14:srgbClr w14:val="000000">
                <w14:alpha w14:val="100000"/>
              </w14:srgbClr>
            </w14:solidFill>
          </w14:textFill>
        </w:rPr>
        <w:t xml:space="preserve">　</w:t>
      </w:r>
      <w:r w:rsidR="00F64AA8" w:rsidRPr="00F64AA8">
        <w:rPr>
          <w:color w:val="000000"/>
          <w:w w:val="15"/>
          <w:shd w:val="solid" w:color="000000" w:fill="000000"/>
          <w:fitText w:val="60" w:id="-1175825663"/>
          <w14:textFill>
            <w14:solidFill>
              <w14:srgbClr w14:val="000000">
                <w14:alpha w14:val="100000"/>
              </w14:srgbClr>
            </w14:solidFill>
          </w14:textFill>
        </w:rPr>
        <w:t>|</w:t>
      </w:r>
      <w:r w:rsidR="00F64AA8" w:rsidRPr="00F64AA8">
        <w:rPr>
          <w:rFonts w:hint="eastAsia"/>
          <w:color w:val="000000"/>
          <w:spacing w:val="-21"/>
          <w:w w:val="15"/>
          <w:shd w:val="solid" w:color="000000" w:fill="000000"/>
          <w:fitText w:val="60" w:id="-1175825663"/>
          <w14:textFill>
            <w14:solidFill>
              <w14:srgbClr w14:val="000000">
                <w14:alpha w14:val="100000"/>
              </w14:srgbClr>
            </w14:solidFill>
          </w14:textFill>
        </w:rPr>
        <w:t xml:space="preserve">　</w:t>
      </w:r>
      <w:r w:rsidR="00A45D00">
        <w:t xml:space="preserve"> </w:t>
      </w:r>
      <w:r w:rsidR="000974CD">
        <w:t>from</w:t>
      </w:r>
      <w:r w:rsidR="00A45D00">
        <w:t xml:space="preserve"> the LD list and </w:t>
      </w:r>
      <w:r w:rsidR="00F64AA8" w:rsidRPr="00F64AA8">
        <w:rPr>
          <w:rFonts w:hint="eastAsia"/>
          <w:color w:val="000000"/>
          <w:w w:val="15"/>
          <w:shd w:val="solid" w:color="000000" w:fill="000000"/>
          <w:fitText w:val="60" w:id="-1175825408"/>
          <w14:textFill>
            <w14:solidFill>
              <w14:srgbClr w14:val="000000">
                <w14:alpha w14:val="100000"/>
              </w14:srgbClr>
            </w14:solidFill>
          </w14:textFill>
        </w:rPr>
        <w:t xml:space="preserve">　</w:t>
      </w:r>
      <w:r w:rsidR="00F64AA8" w:rsidRPr="00F64AA8">
        <w:rPr>
          <w:color w:val="000000"/>
          <w:w w:val="15"/>
          <w:shd w:val="solid" w:color="000000" w:fill="000000"/>
          <w:fitText w:val="60" w:id="-1175825408"/>
          <w14:textFill>
            <w14:solidFill>
              <w14:srgbClr w14:val="000000">
                <w14:alpha w14:val="100000"/>
              </w14:srgbClr>
            </w14:solidFill>
          </w14:textFill>
        </w:rPr>
        <w:t>|</w:t>
      </w:r>
      <w:r w:rsidR="00F64AA8" w:rsidRPr="00F64AA8">
        <w:rPr>
          <w:rFonts w:hint="eastAsia"/>
          <w:color w:val="000000"/>
          <w:spacing w:val="-21"/>
          <w:w w:val="15"/>
          <w:shd w:val="solid" w:color="000000" w:fill="000000"/>
          <w:fitText w:val="60" w:id="-1175825408"/>
          <w14:textFill>
            <w14:solidFill>
              <w14:srgbClr w14:val="000000">
                <w14:alpha w14:val="100000"/>
              </w14:srgbClr>
            </w14:solidFill>
          </w14:textFill>
        </w:rPr>
        <w:t xml:space="preserve">　</w:t>
      </w:r>
      <w:r w:rsidR="00A45D00">
        <w:t xml:space="preserve"> </w:t>
      </w:r>
      <w:r w:rsidR="000974CD">
        <w:t>from</w:t>
      </w:r>
      <w:r w:rsidR="00A45D00">
        <w:t xml:space="preserve"> the DD list</w:t>
      </w:r>
      <w:r w:rsidR="00923A9D">
        <w:t xml:space="preserve"> consistent with the clinical expert and the subm</w:t>
      </w:r>
      <w:r w:rsidR="00997C76">
        <w:t>i</w:t>
      </w:r>
      <w:r w:rsidR="00923A9D">
        <w:t>ssions from the states</w:t>
      </w:r>
      <w:r w:rsidR="004D6263">
        <w:t>.</w:t>
      </w:r>
      <w:r>
        <w:t xml:space="preserve"> Overall, MSAC considered the likely utilisation to be uncertain.</w:t>
      </w:r>
    </w:p>
    <w:p w14:paraId="59D51685" w14:textId="1F1D102C" w:rsidR="0011349E" w:rsidRDefault="0011349E" w:rsidP="0011349E">
      <w:r>
        <w:t>MSAC also noted that the financial estimates included cost savings due to reduced dialysis that were unlikely to be fully realised</w:t>
      </w:r>
      <w:r w:rsidR="00923A9D">
        <w:t xml:space="preserve"> because of the displacement issue and not growing the deceased donor pool</w:t>
      </w:r>
      <w:r>
        <w:t>. MSAC noted that removing these cost savings resulted in a net cost of $</w:t>
      </w:r>
      <w:r w:rsidR="00594736" w:rsidRPr="00594736">
        <w:rPr>
          <w:color w:val="000000"/>
          <w:w w:val="62"/>
          <w:shd w:val="solid" w:color="000000" w:fill="000000"/>
          <w:fitText w:val="1104" w:id="-1175825407"/>
          <w14:textFill>
            <w14:solidFill>
              <w14:srgbClr w14:val="000000">
                <w14:alpha w14:val="100000"/>
              </w14:srgbClr>
            </w14:solidFill>
          </w14:textFill>
        </w:rPr>
        <w:t>|||||||||||||||</w:t>
      </w:r>
      <w:r w:rsidR="00594736" w:rsidRPr="00594736">
        <w:rPr>
          <w:color w:val="000000"/>
          <w:spacing w:val="12"/>
          <w:w w:val="62"/>
          <w:shd w:val="solid" w:color="000000" w:fill="000000"/>
          <w:fitText w:val="1104" w:id="-1175825407"/>
          <w14:textFill>
            <w14:solidFill>
              <w14:srgbClr w14:val="000000">
                <w14:alpha w14:val="100000"/>
              </w14:srgbClr>
            </w14:solidFill>
          </w14:textFill>
        </w:rPr>
        <w:t>|</w:t>
      </w:r>
      <w:r w:rsidR="00594736">
        <w:t xml:space="preserve"> </w:t>
      </w:r>
      <w:r>
        <w:t>over 6 years, or almost $</w:t>
      </w:r>
      <w:r w:rsidR="006C0B67" w:rsidRPr="006C0B67">
        <w:rPr>
          <w:color w:val="000000"/>
          <w:w w:val="67"/>
          <w:shd w:val="solid" w:color="000000" w:fill="000000"/>
          <w:fitText w:val="444" w:id="-1175825406"/>
          <w14:textFill>
            <w14:solidFill>
              <w14:srgbClr w14:val="000000">
                <w14:alpha w14:val="100000"/>
              </w14:srgbClr>
            </w14:solidFill>
          </w14:textFill>
        </w:rPr>
        <w:t>||||||</w:t>
      </w:r>
      <w:r w:rsidR="006C0B67">
        <w:t> </w:t>
      </w:r>
      <w:r w:rsidR="00142783" w:rsidRPr="00142783">
        <w:rPr>
          <w:color w:val="000000"/>
          <w:w w:val="66"/>
          <w:shd w:val="solid" w:color="000000" w:fill="000000"/>
          <w:fitText w:val="438" w:id="-1168431104"/>
          <w14:textFill>
            <w14:solidFill>
              <w14:srgbClr w14:val="000000">
                <w14:alpha w14:val="100000"/>
              </w14:srgbClr>
            </w14:solidFill>
          </w14:textFill>
        </w:rPr>
        <w:t>||||||</w:t>
      </w:r>
      <w:r w:rsidR="00736576">
        <w:t xml:space="preserve"> per </w:t>
      </w:r>
      <w:r>
        <w:t>year. MSAC also noted that the estimates did not include additional administration or monitoring costs.</w:t>
      </w:r>
      <w:r w:rsidR="00660E47">
        <w:t xml:space="preserve"> As noted above, b</w:t>
      </w:r>
      <w:r>
        <w:t xml:space="preserve">ecause of the high cost involved, MSAC considered that </w:t>
      </w:r>
      <w:r w:rsidR="00333548">
        <w:t>there should be restrictions on use of this therapy and this should include restricting dosage</w:t>
      </w:r>
      <w:r w:rsidR="00F315B4">
        <w:t xml:space="preserve"> to one dose (</w:t>
      </w:r>
      <w:r>
        <w:t>two vials)</w:t>
      </w:r>
      <w:r w:rsidR="00526EF3">
        <w:t xml:space="preserve"> per patient</w:t>
      </w:r>
      <w:r w:rsidR="00AA5EF0">
        <w:t xml:space="preserve">. MSAC noted that </w:t>
      </w:r>
      <w:r w:rsidR="00477615">
        <w:t>PASC ha</w:t>
      </w:r>
      <w:r w:rsidR="00AA5EF0">
        <w:t>d not recommended a restriction to one dose within the same transplant</w:t>
      </w:r>
      <w:r w:rsidR="002D2E7E">
        <w:t>at</w:t>
      </w:r>
      <w:r w:rsidR="00AA5EF0">
        <w:t xml:space="preserve">ion attempt </w:t>
      </w:r>
      <w:r w:rsidR="00434984">
        <w:t xml:space="preserve">as it had considered that there are benefits to having some flexibility </w:t>
      </w:r>
      <w:r w:rsidR="00434984" w:rsidRPr="00434984">
        <w:t>in having a second dose available</w:t>
      </w:r>
      <w:r w:rsidR="002F554D">
        <w:t xml:space="preserve"> for the small minority of cases where this may be needed at the first and only transplantation attempt</w:t>
      </w:r>
      <w:r w:rsidR="00434984">
        <w:t xml:space="preserve">. However </w:t>
      </w:r>
      <w:r w:rsidR="00AA5EF0">
        <w:t>MSAC considered that the cost and uncertainty was too high not to impose a restriction on doses and/or vials</w:t>
      </w:r>
      <w:r>
        <w:t xml:space="preserve">. MSAC considered that advice on </w:t>
      </w:r>
      <w:r w:rsidR="00923A9D">
        <w:t>clinical place</w:t>
      </w:r>
      <w:r w:rsidR="0021780D">
        <w:t>,</w:t>
      </w:r>
      <w:r w:rsidR="00923A9D">
        <w:t xml:space="preserve"> </w:t>
      </w:r>
      <w:r>
        <w:t xml:space="preserve">utilisation caps and costs </w:t>
      </w:r>
      <w:r w:rsidR="00373EC5">
        <w:t xml:space="preserve">of the extra immunological testing </w:t>
      </w:r>
      <w:r>
        <w:t>should be sought from the Renal Transplant Advisory Committee (RTAC).</w:t>
      </w:r>
    </w:p>
    <w:p w14:paraId="5ECDDE22" w14:textId="3C35C63C" w:rsidR="0011349E" w:rsidRDefault="0011349E" w:rsidP="0011349E">
      <w:r>
        <w:t xml:space="preserve">Overall, MSAC did not support funding for the use of imlifidase in the desensitisation treatment of HS adult kidney transplant patients. MSAC acknowledged that imlifidase may provide some benefit to patients, but there were several </w:t>
      </w:r>
      <w:r w:rsidR="00373EC5">
        <w:t xml:space="preserve">major </w:t>
      </w:r>
      <w:r>
        <w:t>issues and concerns with the submission that made the conclusions</w:t>
      </w:r>
      <w:r w:rsidR="00E65B60">
        <w:t xml:space="preserve"> about safety, effectiveness and cost-effectiveness</w:t>
      </w:r>
      <w:r>
        <w:t xml:space="preserve"> </w:t>
      </w:r>
      <w:r w:rsidR="001F5D20">
        <w:t xml:space="preserve">of the therapy </w:t>
      </w:r>
      <w:r>
        <w:t>uncertain. These included:</w:t>
      </w:r>
    </w:p>
    <w:p w14:paraId="4C3D24B5" w14:textId="6998FE2F" w:rsidR="00DE5C75" w:rsidRDefault="00BB5505" w:rsidP="0011349E">
      <w:pPr>
        <w:pStyle w:val="ListParagraph"/>
        <w:numPr>
          <w:ilvl w:val="0"/>
          <w:numId w:val="43"/>
        </w:numPr>
        <w:spacing w:before="0"/>
      </w:pPr>
      <w:r>
        <w:t xml:space="preserve">The </w:t>
      </w:r>
      <w:r w:rsidR="00B81A23">
        <w:t xml:space="preserve">current </w:t>
      </w:r>
      <w:r>
        <w:t xml:space="preserve">population restriction </w:t>
      </w:r>
      <w:r w:rsidR="000E55F1">
        <w:t>was not restricted to those with a clinical need</w:t>
      </w:r>
      <w:r>
        <w:t xml:space="preserve">. </w:t>
      </w:r>
      <w:r w:rsidR="0011349E">
        <w:t xml:space="preserve">Patients with </w:t>
      </w:r>
      <w:proofErr w:type="spellStart"/>
      <w:r w:rsidR="0011349E">
        <w:t>cPRA</w:t>
      </w:r>
      <w:proofErr w:type="spellEnd"/>
      <w:r w:rsidR="0011349E">
        <w:t> </w:t>
      </w:r>
      <w:r w:rsidR="00F35EED">
        <w:t xml:space="preserve">from </w:t>
      </w:r>
      <w:r w:rsidR="0011349E">
        <w:t>95</w:t>
      </w:r>
      <w:r w:rsidR="00F35EED">
        <w:t xml:space="preserve">% to </w:t>
      </w:r>
      <w:r w:rsidR="0063321A">
        <w:t>less than</w:t>
      </w:r>
      <w:r w:rsidR="00F35EED">
        <w:t xml:space="preserve"> </w:t>
      </w:r>
      <w:r w:rsidR="0011349E">
        <w:t>99%, wh</w:t>
      </w:r>
      <w:r w:rsidR="00373EC5">
        <w:t>o</w:t>
      </w:r>
      <w:r w:rsidR="0011349E">
        <w:t xml:space="preserve"> have the highest rate of transplantation</w:t>
      </w:r>
      <w:r w:rsidR="00CF788D">
        <w:t xml:space="preserve"> given recent changes in allocation algorithms</w:t>
      </w:r>
      <w:r w:rsidR="0011349E">
        <w:t xml:space="preserve">, should not be included in the eligible population. Eligibility should be restricted to patients with </w:t>
      </w:r>
      <w:proofErr w:type="spellStart"/>
      <w:r w:rsidR="0011349E">
        <w:t>cPRA</w:t>
      </w:r>
      <w:proofErr w:type="spellEnd"/>
      <w:r w:rsidR="00F35EED">
        <w:t xml:space="preserve"> of</w:t>
      </w:r>
      <w:r w:rsidR="0011349E">
        <w:t> 99%</w:t>
      </w:r>
      <w:r w:rsidR="00373EC5">
        <w:t xml:space="preserve"> or more</w:t>
      </w:r>
      <w:r w:rsidR="0011349E">
        <w:t>.</w:t>
      </w:r>
      <w:r w:rsidR="004F0ECB">
        <w:t xml:space="preserve"> </w:t>
      </w:r>
      <w:r w:rsidR="00B0383E">
        <w:t>MSAC noted that while PASC had previously endorsed a cPRA≥95% this had been before the impacts of the recent</w:t>
      </w:r>
      <w:r w:rsidR="00C013C7">
        <w:t xml:space="preserve"> amendment to the allocation</w:t>
      </w:r>
      <w:r w:rsidR="00B0383E">
        <w:t xml:space="preserve"> algorithm could be assessed.</w:t>
      </w:r>
    </w:p>
    <w:p w14:paraId="455D9B44" w14:textId="65F97C9F" w:rsidR="0011349E" w:rsidRDefault="001D437B" w:rsidP="001D437B">
      <w:pPr>
        <w:pStyle w:val="ListParagraph"/>
        <w:numPr>
          <w:ilvl w:val="0"/>
          <w:numId w:val="43"/>
        </w:numPr>
        <w:spacing w:before="0"/>
      </w:pPr>
      <w:r>
        <w:t xml:space="preserve">Insufficient attention was placed on potential alternatives as comparators including </w:t>
      </w:r>
      <w:r w:rsidR="0011349E">
        <w:t>plasma exchange</w:t>
      </w:r>
      <w:r>
        <w:t xml:space="preserve"> and other </w:t>
      </w:r>
      <w:r w:rsidR="0011349E">
        <w:t>desensitisation protocols</w:t>
      </w:r>
      <w:r w:rsidR="004F41FE">
        <w:t xml:space="preserve"> </w:t>
      </w:r>
      <w:r w:rsidR="00373EC5">
        <w:t>differentially applied for potential recipients of LD and DD kidneys</w:t>
      </w:r>
      <w:r w:rsidR="0011349E">
        <w:t>.</w:t>
      </w:r>
    </w:p>
    <w:p w14:paraId="331A636F" w14:textId="4F46460C" w:rsidR="0011349E" w:rsidRDefault="0019436A" w:rsidP="0011349E">
      <w:pPr>
        <w:pStyle w:val="ListParagraph"/>
        <w:numPr>
          <w:ilvl w:val="0"/>
          <w:numId w:val="43"/>
        </w:numPr>
        <w:spacing w:before="0"/>
      </w:pPr>
      <w:r>
        <w:t xml:space="preserve">The proposed clinical </w:t>
      </w:r>
      <w:r w:rsidR="001719BE">
        <w:t>algorithm does not capture the impact of imlifidase on non-HS recipients on the DD waitlist who are displaced</w:t>
      </w:r>
      <w:r w:rsidR="0011349E">
        <w:t>.</w:t>
      </w:r>
    </w:p>
    <w:p w14:paraId="16656A1A" w14:textId="1209097D" w:rsidR="0011349E" w:rsidRDefault="0011349E" w:rsidP="0011349E">
      <w:pPr>
        <w:pStyle w:val="ListParagraph"/>
        <w:numPr>
          <w:ilvl w:val="0"/>
          <w:numId w:val="43"/>
        </w:numPr>
        <w:spacing w:before="0"/>
      </w:pPr>
      <w:r>
        <w:t>Clinical data are uncertain (single arm, short term)</w:t>
      </w:r>
      <w:r w:rsidR="00EE7885">
        <w:t>,</w:t>
      </w:r>
      <w:r>
        <w:t xml:space="preserve"> have a high risk of bias,</w:t>
      </w:r>
      <w:r w:rsidR="00934FBC">
        <w:t xml:space="preserve"> </w:t>
      </w:r>
      <w:r w:rsidR="00B8621A">
        <w:t xml:space="preserve">and </w:t>
      </w:r>
      <w:r>
        <w:t xml:space="preserve">demonstrate </w:t>
      </w:r>
      <w:r w:rsidR="00222677">
        <w:t xml:space="preserve">an </w:t>
      </w:r>
      <w:r>
        <w:t>appreciable</w:t>
      </w:r>
      <w:r w:rsidR="009073DC">
        <w:t xml:space="preserve"> remaining risk of</w:t>
      </w:r>
      <w:r>
        <w:t xml:space="preserve"> hyperacute rejection with no change in underlying biology</w:t>
      </w:r>
      <w:r w:rsidR="00222677">
        <w:t xml:space="preserve"> in patients</w:t>
      </w:r>
      <w:r>
        <w:t>.</w:t>
      </w:r>
    </w:p>
    <w:p w14:paraId="06E0127E" w14:textId="2A0A9EEB" w:rsidR="00C56E05" w:rsidRDefault="00C56E05" w:rsidP="0011349E">
      <w:pPr>
        <w:pStyle w:val="ListParagraph"/>
        <w:numPr>
          <w:ilvl w:val="0"/>
          <w:numId w:val="43"/>
        </w:numPr>
        <w:spacing w:before="0"/>
      </w:pPr>
      <w:r>
        <w:t>There are implementation issues and costs that need to be considered and included in the model, including more immunological testing, delayed DD transplantation, infusion, and the p</w:t>
      </w:r>
      <w:r w:rsidR="00C45638">
        <w:t>ossibility</w:t>
      </w:r>
      <w:r>
        <w:t xml:space="preserve"> of no transplantation post infusion. </w:t>
      </w:r>
    </w:p>
    <w:p w14:paraId="575F148A" w14:textId="6A4E30B2" w:rsidR="00C45638" w:rsidRDefault="0046783D" w:rsidP="0046783D">
      <w:pPr>
        <w:pStyle w:val="ListParagraph"/>
        <w:numPr>
          <w:ilvl w:val="0"/>
          <w:numId w:val="43"/>
        </w:numPr>
        <w:spacing w:before="0"/>
      </w:pPr>
      <w:r>
        <w:t xml:space="preserve">The economic model is not useful for decision-making, and both the structure and inputs need to be reworked </w:t>
      </w:r>
      <w:r w:rsidR="00D60F41">
        <w:t>in light of the suggested amendments to the population</w:t>
      </w:r>
      <w:r w:rsidR="00646D2E">
        <w:t>,</w:t>
      </w:r>
      <w:r w:rsidR="00614255">
        <w:t xml:space="preserve"> potential differentiation between patients on the LD and DD waiting list after taking account of </w:t>
      </w:r>
      <w:r w:rsidR="00197D65">
        <w:t xml:space="preserve">additional </w:t>
      </w:r>
      <w:r w:rsidR="00614255">
        <w:t>comparators</w:t>
      </w:r>
      <w:r w:rsidR="009755A5">
        <w:t xml:space="preserve">, and to </w:t>
      </w:r>
      <w:r w:rsidR="00646D2E">
        <w:t xml:space="preserve">better capture </w:t>
      </w:r>
      <w:r w:rsidR="009A1B7D">
        <w:t xml:space="preserve">the </w:t>
      </w:r>
      <w:r w:rsidR="00646D2E">
        <w:t>implementation costs and challenges</w:t>
      </w:r>
      <w:r w:rsidR="009A1B7D">
        <w:t xml:space="preserve"> of administering treatment</w:t>
      </w:r>
      <w:r w:rsidR="00646D2E">
        <w:t xml:space="preserve"> </w:t>
      </w:r>
      <w:r w:rsidR="009A1B7D">
        <w:t xml:space="preserve">and the </w:t>
      </w:r>
      <w:r w:rsidR="00DC4D92">
        <w:t>displacement effects on non</w:t>
      </w:r>
      <w:r w:rsidR="008943B8">
        <w:t>-</w:t>
      </w:r>
      <w:r w:rsidR="00DC4D92">
        <w:t>HS</w:t>
      </w:r>
      <w:r w:rsidR="00DC5C14">
        <w:t xml:space="preserve"> patients.</w:t>
      </w:r>
      <w:r w:rsidR="00701DB4" w:rsidRPr="00701DB4">
        <w:t xml:space="preserve"> </w:t>
      </w:r>
      <w:r w:rsidR="00E423B5">
        <w:t xml:space="preserve"> </w:t>
      </w:r>
    </w:p>
    <w:p w14:paraId="0F838B2C" w14:textId="6C92D0BF" w:rsidR="0046783D" w:rsidRDefault="00E423B5" w:rsidP="0046783D">
      <w:pPr>
        <w:pStyle w:val="ListParagraph"/>
        <w:numPr>
          <w:ilvl w:val="0"/>
          <w:numId w:val="43"/>
        </w:numPr>
        <w:spacing w:before="0"/>
      </w:pPr>
      <w:r>
        <w:t xml:space="preserve">These issues also </w:t>
      </w:r>
      <w:r w:rsidR="00757131">
        <w:t xml:space="preserve">apply to the financial model </w:t>
      </w:r>
      <w:r w:rsidR="009B0E0A">
        <w:t>as both the economic and financial impacts are likely to overestimate benefits and underestimate costs due to these problems.</w:t>
      </w:r>
    </w:p>
    <w:p w14:paraId="06409980" w14:textId="7EDA0604" w:rsidR="00F37859" w:rsidRDefault="00F37859" w:rsidP="00C65745">
      <w:pPr>
        <w:spacing w:before="0"/>
      </w:pPr>
      <w:r>
        <w:t xml:space="preserve">MSAC noted that many of the above concerns especially relating to the uncertainty of the clinical evidence and the </w:t>
      </w:r>
      <w:r w:rsidR="00C81163">
        <w:t xml:space="preserve">displacement effects on non-HS patients were shared by the States which provided consultation feedback. </w:t>
      </w:r>
    </w:p>
    <w:p w14:paraId="5213AB14" w14:textId="395CE930" w:rsidR="0011349E" w:rsidRDefault="00C45638" w:rsidP="00C81163">
      <w:r>
        <w:t>M</w:t>
      </w:r>
      <w:r w:rsidR="0011349E">
        <w:t>SAC advised that, before resubmission, the applicant would need to:</w:t>
      </w:r>
    </w:p>
    <w:p w14:paraId="4D55E148" w14:textId="0B25DCE4" w:rsidR="00EC6E83" w:rsidRDefault="0011349E" w:rsidP="00EC6E83">
      <w:pPr>
        <w:pStyle w:val="ListParagraph"/>
        <w:numPr>
          <w:ilvl w:val="0"/>
          <w:numId w:val="43"/>
        </w:numPr>
        <w:spacing w:before="0"/>
      </w:pPr>
      <w:r>
        <w:t>consult with RTAC about the clinical place of the intervention</w:t>
      </w:r>
      <w:r w:rsidR="009A4CBB">
        <w:t xml:space="preserve"> and in particular </w:t>
      </w:r>
      <w:r w:rsidR="00333190">
        <w:t xml:space="preserve">a </w:t>
      </w:r>
      <w:r w:rsidR="005926EA">
        <w:t>revised population</w:t>
      </w:r>
      <w:r>
        <w:t>, informed by data from ANZDATA</w:t>
      </w:r>
      <w:r w:rsidR="00333190">
        <w:t xml:space="preserve"> which was more reflective of clinical need</w:t>
      </w:r>
      <w:r>
        <w:t>.</w:t>
      </w:r>
      <w:r w:rsidR="008C0EED">
        <w:t xml:space="preserve"> </w:t>
      </w:r>
      <w:r w:rsidR="00333190">
        <w:t xml:space="preserve">MSAC suggested </w:t>
      </w:r>
      <w:r w:rsidR="00D319A7">
        <w:t xml:space="preserve">that the applicant </w:t>
      </w:r>
      <w:r w:rsidR="00854AE6">
        <w:t>c</w:t>
      </w:r>
      <w:r w:rsidR="008C0EED" w:rsidRPr="00E476BE">
        <w:t xml:space="preserve">onsider </w:t>
      </w:r>
      <w:r w:rsidR="008C0EED">
        <w:t xml:space="preserve">revising the population restriction to that as framed in the </w:t>
      </w:r>
      <w:r w:rsidR="008C0EED" w:rsidRPr="00E476BE">
        <w:t>recommendation from the National Institute for Health and Care Excellence (NICE), UK to restrict use to “those who have a positive crossmatch with the donor and are unlikely to have a transplant under the available kidney allocation system (</w:t>
      </w:r>
      <w:r w:rsidR="008C0EED" w:rsidRPr="00C65745">
        <w:rPr>
          <w:b/>
          <w:bCs/>
        </w:rPr>
        <w:t>including prioritisation programmes for highly sensitised people</w:t>
      </w:r>
      <w:r w:rsidR="008C0EED">
        <w:t>).</w:t>
      </w:r>
      <w:r w:rsidR="00D82AF6">
        <w:t>”</w:t>
      </w:r>
      <w:r w:rsidR="008C0EED">
        <w:t xml:space="preserve"> </w:t>
      </w:r>
      <w:r>
        <w:t xml:space="preserve">MSAC suggested </w:t>
      </w:r>
      <w:r w:rsidR="00D319A7">
        <w:t xml:space="preserve">that such a </w:t>
      </w:r>
      <w:r w:rsidR="00B22286">
        <w:t>definition</w:t>
      </w:r>
      <w:r w:rsidR="00D319A7">
        <w:t>, after accounting for the new algorithm</w:t>
      </w:r>
      <w:r w:rsidR="00FC04F5">
        <w:t>,</w:t>
      </w:r>
      <w:r w:rsidR="00D319A7">
        <w:t xml:space="preserve"> might </w:t>
      </w:r>
      <w:r>
        <w:t>limit the eligible population</w:t>
      </w:r>
      <w:r w:rsidR="005C7AD1">
        <w:t xml:space="preserve"> on the DD waiting list </w:t>
      </w:r>
      <w:r>
        <w:t xml:space="preserve"> to those with </w:t>
      </w:r>
      <w:proofErr w:type="spellStart"/>
      <w:r>
        <w:t>cPRA</w:t>
      </w:r>
      <w:proofErr w:type="spellEnd"/>
      <w:r w:rsidR="00373EC5">
        <w:t xml:space="preserve"> of </w:t>
      </w:r>
      <w:r>
        <w:t xml:space="preserve">99% </w:t>
      </w:r>
      <w:r w:rsidR="00373EC5">
        <w:t xml:space="preserve">or more and </w:t>
      </w:r>
      <w:r>
        <w:t>who have been on the waitlist for more than two years (that is, HS patients who have not received a kidney despite prioritisation)</w:t>
      </w:r>
      <w:r w:rsidR="005C7AD1">
        <w:t xml:space="preserve"> and limit</w:t>
      </w:r>
      <w:r w:rsidR="00D319A7">
        <w:t xml:space="preserve"> </w:t>
      </w:r>
      <w:r w:rsidR="005C7AD1">
        <w:t xml:space="preserve">the eligible population </w:t>
      </w:r>
      <w:r w:rsidR="00353193">
        <w:t xml:space="preserve">who are potential recipients of LD kidneys </w:t>
      </w:r>
      <w:r w:rsidR="005C7AD1">
        <w:t>to those with</w:t>
      </w:r>
      <w:r>
        <w:t xml:space="preserve"> </w:t>
      </w:r>
      <w:proofErr w:type="spellStart"/>
      <w:r w:rsidR="005C7AD1">
        <w:t>cPRA</w:t>
      </w:r>
      <w:proofErr w:type="spellEnd"/>
      <w:r w:rsidR="005C7AD1">
        <w:t> </w:t>
      </w:r>
      <w:r w:rsidR="005F1E46">
        <w:t xml:space="preserve">of </w:t>
      </w:r>
      <w:r w:rsidR="005C7AD1">
        <w:t>99</w:t>
      </w:r>
      <w:r w:rsidR="005F1E46">
        <w:t>%</w:t>
      </w:r>
      <w:r w:rsidR="00373EC5">
        <w:t xml:space="preserve"> or more</w:t>
      </w:r>
      <w:r w:rsidR="005C7AD1">
        <w:t xml:space="preserve"> who have failed</w:t>
      </w:r>
      <w:r w:rsidR="000C3320">
        <w:t xml:space="preserve"> plasma exchange desensitisation treatment so that it is a second line treatment for those </w:t>
      </w:r>
      <w:r w:rsidR="00353193">
        <w:t xml:space="preserve">who are potential recipients of </w:t>
      </w:r>
      <w:r w:rsidR="000C3320">
        <w:t xml:space="preserve">LD </w:t>
      </w:r>
      <w:r w:rsidR="00353193">
        <w:t>kidneys</w:t>
      </w:r>
      <w:r w:rsidR="000C3320">
        <w:t>.</w:t>
      </w:r>
    </w:p>
    <w:p w14:paraId="56B0415C" w14:textId="7E9DE94A" w:rsidR="0011349E" w:rsidRDefault="0011349E" w:rsidP="0011349E">
      <w:pPr>
        <w:pStyle w:val="ListParagraph"/>
        <w:numPr>
          <w:ilvl w:val="0"/>
          <w:numId w:val="43"/>
        </w:numPr>
        <w:spacing w:before="0"/>
      </w:pPr>
      <w:r>
        <w:t xml:space="preserve">provide updated clinical data consistent with the proposed </w:t>
      </w:r>
      <w:r w:rsidR="00EC6E83">
        <w:t xml:space="preserve">new population </w:t>
      </w:r>
      <w:r>
        <w:t xml:space="preserve">restriction. This includes follow-up of initial trials, results of new and current Phase III trials (identified by both the applicant and the assessment group), and </w:t>
      </w:r>
      <w:r w:rsidR="00373EC5">
        <w:t>phase IV data</w:t>
      </w:r>
      <w:r>
        <w:t xml:space="preserve"> from the United Kingdom and Europe (following the </w:t>
      </w:r>
      <w:r w:rsidR="009F48A3">
        <w:t xml:space="preserve">provisional </w:t>
      </w:r>
      <w:r>
        <w:t>marketing approval</w:t>
      </w:r>
      <w:r w:rsidR="009F48A3">
        <w:t>s in those countries</w:t>
      </w:r>
      <w:r>
        <w:t>, further data are to be provided to regulators in 2023 and 2025)</w:t>
      </w:r>
      <w:r w:rsidR="00503347">
        <w:t>.</w:t>
      </w:r>
    </w:p>
    <w:p w14:paraId="42C853F8" w14:textId="58CECB81" w:rsidR="0011349E" w:rsidRDefault="009F48A3" w:rsidP="0011349E">
      <w:pPr>
        <w:pStyle w:val="ListParagraph"/>
        <w:numPr>
          <w:ilvl w:val="0"/>
          <w:numId w:val="43"/>
        </w:numPr>
        <w:spacing w:before="0"/>
      </w:pPr>
      <w:r>
        <w:t>consider proposing a lower price fo</w:t>
      </w:r>
      <w:r w:rsidR="00940863">
        <w:t>r</w:t>
      </w:r>
      <w:r>
        <w:t xml:space="preserve"> the treatment</w:t>
      </w:r>
      <w:r w:rsidR="0011349E">
        <w:t xml:space="preserve">, noting </w:t>
      </w:r>
      <w:r>
        <w:t>potential other comparators</w:t>
      </w:r>
      <w:r w:rsidR="009E4625">
        <w:t xml:space="preserve"> to be explored </w:t>
      </w:r>
      <w:r w:rsidR="00902725">
        <w:t>such</w:t>
      </w:r>
      <w:r w:rsidR="009E4625">
        <w:t xml:space="preserve"> </w:t>
      </w:r>
      <w:r w:rsidR="00813EA6">
        <w:t xml:space="preserve">as </w:t>
      </w:r>
      <w:r w:rsidR="009E4625">
        <w:t xml:space="preserve">plasma exchange and other desensitisation treatments for patients </w:t>
      </w:r>
      <w:r w:rsidR="00140B28">
        <w:t xml:space="preserve">who are LD </w:t>
      </w:r>
      <w:r w:rsidR="009442A5">
        <w:t xml:space="preserve">and DD </w:t>
      </w:r>
      <w:r w:rsidR="00140B28">
        <w:t>kidney recipients and</w:t>
      </w:r>
      <w:r w:rsidR="00F80712">
        <w:t xml:space="preserve"> </w:t>
      </w:r>
      <w:r w:rsidR="00F80712" w:rsidRPr="00F80712">
        <w:t>desensitisation enabling participation in paired exchange with Living Related Donors (LRDs)</w:t>
      </w:r>
      <w:r w:rsidR="0011349E">
        <w:t xml:space="preserve">. </w:t>
      </w:r>
    </w:p>
    <w:p w14:paraId="1A4A1A00" w14:textId="2650746E" w:rsidR="0011349E" w:rsidRDefault="0011349E" w:rsidP="0011349E">
      <w:pPr>
        <w:pStyle w:val="ListParagraph"/>
        <w:numPr>
          <w:ilvl w:val="0"/>
          <w:numId w:val="43"/>
        </w:numPr>
        <w:spacing w:before="0"/>
      </w:pPr>
      <w:r>
        <w:t xml:space="preserve">revise the economic model. This includes updating assumptions and inputs, revising the extrapolation </w:t>
      </w:r>
      <w:r w:rsidR="00902725">
        <w:t xml:space="preserve">from clinical </w:t>
      </w:r>
      <w:r w:rsidR="00872CB2">
        <w:t>data to fit the new proposed population</w:t>
      </w:r>
      <w:r>
        <w:t xml:space="preserve">, accounting for displacement effects, using </w:t>
      </w:r>
      <w:r w:rsidR="00B45F64">
        <w:t>revised</w:t>
      </w:r>
      <w:r>
        <w:t xml:space="preserve"> comparators, and including costs of additional immunological testing</w:t>
      </w:r>
      <w:r w:rsidR="00B85903">
        <w:t xml:space="preserve"> and other implementation challenges</w:t>
      </w:r>
      <w:r w:rsidR="0005250F">
        <w:t>.</w:t>
      </w:r>
    </w:p>
    <w:p w14:paraId="27D441BA" w14:textId="2C268448" w:rsidR="0011349E" w:rsidRDefault="0011349E" w:rsidP="0011349E">
      <w:pPr>
        <w:pStyle w:val="ListParagraph"/>
        <w:numPr>
          <w:ilvl w:val="0"/>
          <w:numId w:val="43"/>
        </w:numPr>
        <w:spacing w:before="0"/>
      </w:pPr>
      <w:r>
        <w:t>restrict payment to a single dose</w:t>
      </w:r>
      <w:r w:rsidR="0033307F">
        <w:t xml:space="preserve"> (two vials only)</w:t>
      </w:r>
      <w:r w:rsidR="00470F39">
        <w:t xml:space="preserve"> </w:t>
      </w:r>
      <w:r>
        <w:t xml:space="preserve">and include a hard cap with 100% rebate limited to </w:t>
      </w:r>
      <w:r w:rsidR="008054A5" w:rsidRPr="008054A5">
        <w:rPr>
          <w:color w:val="000000"/>
          <w:shd w:val="solid" w:color="000000" w:fill="000000"/>
          <w14:textFill>
            <w14:solidFill>
              <w14:srgbClr w14:val="000000">
                <w14:alpha w14:val="100000"/>
              </w14:srgbClr>
            </w14:solidFill>
          </w14:textFill>
        </w:rPr>
        <w:t>|</w:t>
      </w:r>
      <w:r>
        <w:t> patients (</w:t>
      </w:r>
      <w:r w:rsidR="002E0C8F" w:rsidRPr="002E0C8F">
        <w:rPr>
          <w:rFonts w:hint="eastAsia"/>
          <w:color w:val="000000"/>
          <w:w w:val="15"/>
          <w:shd w:val="solid" w:color="000000" w:fill="000000"/>
          <w:fitText w:val="60" w:id="-1175825152"/>
          <w14:textFill>
            <w14:solidFill>
              <w14:srgbClr w14:val="000000">
                <w14:alpha w14:val="100000"/>
              </w14:srgbClr>
            </w14:solidFill>
          </w14:textFill>
        </w:rPr>
        <w:t xml:space="preserve">　</w:t>
      </w:r>
      <w:r w:rsidR="002E0C8F" w:rsidRPr="002E0C8F">
        <w:rPr>
          <w:color w:val="000000"/>
          <w:w w:val="15"/>
          <w:shd w:val="solid" w:color="000000" w:fill="000000"/>
          <w:fitText w:val="60" w:id="-1175825152"/>
          <w14:textFill>
            <w14:solidFill>
              <w14:srgbClr w14:val="000000">
                <w14:alpha w14:val="100000"/>
              </w14:srgbClr>
            </w14:solidFill>
          </w14:textFill>
        </w:rPr>
        <w:t>|</w:t>
      </w:r>
      <w:r w:rsidR="002E0C8F" w:rsidRPr="002E0C8F">
        <w:rPr>
          <w:rFonts w:hint="eastAsia"/>
          <w:color w:val="000000"/>
          <w:spacing w:val="-21"/>
          <w:w w:val="15"/>
          <w:shd w:val="solid" w:color="000000" w:fill="000000"/>
          <w:fitText w:val="60" w:id="-1175825152"/>
          <w14:textFill>
            <w14:solidFill>
              <w14:srgbClr w14:val="000000">
                <w14:alpha w14:val="100000"/>
              </w14:srgbClr>
            </w14:solidFill>
          </w14:textFill>
        </w:rPr>
        <w:t xml:space="preserve">　</w:t>
      </w:r>
      <w:r>
        <w:t xml:space="preserve"> DD and </w:t>
      </w:r>
      <w:r w:rsidR="002E0C8F" w:rsidRPr="002E0C8F">
        <w:rPr>
          <w:rFonts w:hint="eastAsia"/>
          <w:color w:val="000000"/>
          <w:w w:val="15"/>
          <w:shd w:val="solid" w:color="000000" w:fill="000000"/>
          <w:fitText w:val="60" w:id="-1175825151"/>
          <w14:textFill>
            <w14:solidFill>
              <w14:srgbClr w14:val="000000">
                <w14:alpha w14:val="100000"/>
              </w14:srgbClr>
            </w14:solidFill>
          </w14:textFill>
        </w:rPr>
        <w:t xml:space="preserve">　</w:t>
      </w:r>
      <w:r w:rsidR="002E0C8F" w:rsidRPr="002E0C8F">
        <w:rPr>
          <w:color w:val="000000"/>
          <w:w w:val="15"/>
          <w:shd w:val="solid" w:color="000000" w:fill="000000"/>
          <w:fitText w:val="60" w:id="-1175825151"/>
          <w14:textFill>
            <w14:solidFill>
              <w14:srgbClr w14:val="000000">
                <w14:alpha w14:val="100000"/>
              </w14:srgbClr>
            </w14:solidFill>
          </w14:textFill>
        </w:rPr>
        <w:t>|</w:t>
      </w:r>
      <w:r w:rsidR="002E0C8F" w:rsidRPr="002E0C8F">
        <w:rPr>
          <w:rFonts w:hint="eastAsia"/>
          <w:color w:val="000000"/>
          <w:spacing w:val="-21"/>
          <w:w w:val="15"/>
          <w:shd w:val="solid" w:color="000000" w:fill="000000"/>
          <w:fitText w:val="60" w:id="-1175825151"/>
          <w14:textFill>
            <w14:solidFill>
              <w14:srgbClr w14:val="000000">
                <w14:alpha w14:val="100000"/>
              </w14:srgbClr>
            </w14:solidFill>
          </w14:textFill>
        </w:rPr>
        <w:t xml:space="preserve">　</w:t>
      </w:r>
      <w:r>
        <w:t> LD) per year (but await clinical advice, especially regarding DD transplantations)</w:t>
      </w:r>
    </w:p>
    <w:p w14:paraId="78C8FC71" w14:textId="0B0BB4BF" w:rsidR="0011349E" w:rsidRDefault="0011349E" w:rsidP="00470F39">
      <w:pPr>
        <w:pStyle w:val="ListParagraph"/>
        <w:numPr>
          <w:ilvl w:val="0"/>
          <w:numId w:val="43"/>
        </w:numPr>
        <w:spacing w:before="0"/>
      </w:pPr>
      <w:r>
        <w:t xml:space="preserve">restrict use to </w:t>
      </w:r>
      <w:r w:rsidR="00373EC5">
        <w:t xml:space="preserve">centres of excellence in the management of complex immunological risk, such as a </w:t>
      </w:r>
      <w:r>
        <w:t>single centre in Queensland, two in Victoria, two in New South Wales, one in Western Australia and one in South Australia, consistent with</w:t>
      </w:r>
      <w:r w:rsidR="00B917A9">
        <w:t xml:space="preserve"> the</w:t>
      </w:r>
      <w:r>
        <w:t xml:space="preserve"> very high cost</w:t>
      </w:r>
      <w:r w:rsidR="00B917A9">
        <w:t xml:space="preserve"> of treatment and the high threshold for </w:t>
      </w:r>
      <w:proofErr w:type="gramStart"/>
      <w:r>
        <w:t>indications</w:t>
      </w:r>
      <w:proofErr w:type="gramEnd"/>
    </w:p>
    <w:p w14:paraId="1EB8277D" w14:textId="32B2B9FB" w:rsidR="0011349E" w:rsidRDefault="0011349E" w:rsidP="0011349E">
      <w:pPr>
        <w:pStyle w:val="ListParagraph"/>
        <w:numPr>
          <w:ilvl w:val="0"/>
          <w:numId w:val="43"/>
        </w:numPr>
        <w:spacing w:before="0"/>
      </w:pPr>
      <w:r>
        <w:t>consider mechanisms for data monitoring and post-implementation review.</w:t>
      </w:r>
    </w:p>
    <w:p w14:paraId="19CFA68D" w14:textId="77777777" w:rsidR="0011349E" w:rsidRDefault="0011349E" w:rsidP="0011349E">
      <w:r>
        <w:t>MSAC advised that the resubmission pathway should go through ESC.</w:t>
      </w:r>
    </w:p>
    <w:p w14:paraId="6710B69D" w14:textId="75EFC5EA" w:rsidR="00772829" w:rsidRPr="00CE28E3" w:rsidRDefault="00A2703A" w:rsidP="002A18BE">
      <w:pPr>
        <w:pStyle w:val="Heading2"/>
        <w:numPr>
          <w:ilvl w:val="0"/>
          <w:numId w:val="0"/>
        </w:numPr>
      </w:pPr>
      <w:r>
        <w:t>4.</w:t>
      </w:r>
      <w:r>
        <w:tab/>
      </w:r>
      <w:r w:rsidR="00772829" w:rsidRPr="00CE28E3">
        <w:t>Background</w:t>
      </w:r>
      <w:bookmarkEnd w:id="3"/>
    </w:p>
    <w:p w14:paraId="038F8214" w14:textId="7FFD0E17" w:rsidR="00BE5374" w:rsidRPr="004A0FBC" w:rsidRDefault="00E10DE3" w:rsidP="000A2DA8">
      <w:pPr>
        <w:pStyle w:val="Instructionaltext"/>
        <w:rPr>
          <w:color w:val="auto"/>
        </w:rPr>
      </w:pPr>
      <w:bookmarkStart w:id="4" w:name="_Hlk69734494"/>
      <w:r>
        <w:rPr>
          <w:color w:val="auto"/>
        </w:rPr>
        <w:t>The Medical Services Advisory Committee (</w:t>
      </w:r>
      <w:r w:rsidR="00CA42D6" w:rsidRPr="004A0FBC">
        <w:rPr>
          <w:color w:val="auto"/>
        </w:rPr>
        <w:t>MSAC</w:t>
      </w:r>
      <w:r>
        <w:rPr>
          <w:color w:val="auto"/>
        </w:rPr>
        <w:t>)</w:t>
      </w:r>
      <w:r w:rsidR="00CA42D6" w:rsidRPr="004A0FBC">
        <w:rPr>
          <w:color w:val="auto"/>
        </w:rPr>
        <w:t xml:space="preserve"> has not previously considered</w:t>
      </w:r>
      <w:r w:rsidR="00BE5374" w:rsidRPr="004A0FBC">
        <w:rPr>
          <w:color w:val="auto"/>
        </w:rPr>
        <w:t xml:space="preserve"> </w:t>
      </w:r>
      <w:r w:rsidR="00283E52" w:rsidRPr="00283E52">
        <w:rPr>
          <w:color w:val="auto"/>
        </w:rPr>
        <w:t>imlifidase</w:t>
      </w:r>
      <w:r w:rsidR="00967847">
        <w:rPr>
          <w:color w:val="auto"/>
        </w:rPr>
        <w:t>.</w:t>
      </w:r>
    </w:p>
    <w:p w14:paraId="2F196472" w14:textId="07F187C9" w:rsidR="00823A8A" w:rsidRDefault="00E67C47" w:rsidP="000C3E03">
      <w:pPr>
        <w:pStyle w:val="Heading2"/>
        <w:numPr>
          <w:ilvl w:val="0"/>
          <w:numId w:val="0"/>
        </w:numPr>
      </w:pPr>
      <w:bookmarkStart w:id="5" w:name="_Toc69491417"/>
      <w:bookmarkEnd w:id="4"/>
      <w:r>
        <w:t>5</w:t>
      </w:r>
      <w:r w:rsidR="00C36633">
        <w:t>.</w:t>
      </w:r>
      <w:r w:rsidR="00C36633">
        <w:tab/>
      </w:r>
      <w:r w:rsidR="00772829" w:rsidRPr="00CE28E3">
        <w:t>Prerequisites to implementation of any funding advice</w:t>
      </w:r>
      <w:bookmarkEnd w:id="5"/>
    </w:p>
    <w:p w14:paraId="3309B3C5" w14:textId="046D1F76" w:rsidR="00A239E7" w:rsidRDefault="00823A8A" w:rsidP="0082253F">
      <w:pPr>
        <w:spacing w:after="120" w:line="276" w:lineRule="auto"/>
      </w:pPr>
      <w:r>
        <w:t xml:space="preserve">In the </w:t>
      </w:r>
      <w:r w:rsidR="0032231B">
        <w:t>applicant developed assessment report (</w:t>
      </w:r>
      <w:r>
        <w:t>ADAR</w:t>
      </w:r>
      <w:r w:rsidR="0032231B">
        <w:t>)</w:t>
      </w:r>
      <w:r>
        <w:t xml:space="preserve">, the applicant notes that </w:t>
      </w:r>
      <w:r w:rsidR="00E21A70">
        <w:t>a</w:t>
      </w:r>
      <w:r w:rsidR="0082253F" w:rsidRPr="00BE066C">
        <w:t xml:space="preserve"> Category 1 Type A application has been submitted to the</w:t>
      </w:r>
      <w:r w:rsidR="002E7D22">
        <w:t xml:space="preserve"> Therapeutic Goods Administration</w:t>
      </w:r>
      <w:r w:rsidR="0082253F" w:rsidRPr="00BE066C">
        <w:t xml:space="preserve"> </w:t>
      </w:r>
      <w:r w:rsidR="002E7D22">
        <w:t>(</w:t>
      </w:r>
      <w:r w:rsidR="0082253F" w:rsidRPr="00BE066C">
        <w:t>TGA</w:t>
      </w:r>
      <w:r w:rsidR="002E7D22">
        <w:t>)</w:t>
      </w:r>
      <w:r w:rsidR="0082253F" w:rsidRPr="00BE066C">
        <w:t xml:space="preserve"> </w:t>
      </w:r>
      <w:r w:rsidR="003D5CD3">
        <w:t>to register</w:t>
      </w:r>
      <w:r w:rsidR="0082253F" w:rsidRPr="00BE066C">
        <w:t xml:space="preserve"> imlifidase. </w:t>
      </w:r>
    </w:p>
    <w:p w14:paraId="7B3CC653" w14:textId="74EE5F62" w:rsidR="00A239E7" w:rsidRDefault="00277E3A" w:rsidP="0082253F">
      <w:pPr>
        <w:spacing w:after="120" w:line="276" w:lineRule="auto"/>
      </w:pPr>
      <w:r w:rsidRPr="00277E3A">
        <w:t xml:space="preserve">On </w:t>
      </w:r>
      <w:r w:rsidR="00A020C6">
        <w:t xml:space="preserve">9 </w:t>
      </w:r>
      <w:r w:rsidRPr="00277E3A">
        <w:t xml:space="preserve">May 2022, imlifidase received </w:t>
      </w:r>
      <w:r w:rsidR="00A239E7" w:rsidRPr="00A239E7">
        <w:t xml:space="preserve">orphan </w:t>
      </w:r>
      <w:r w:rsidRPr="00277E3A">
        <w:t>designation status</w:t>
      </w:r>
      <w:r w:rsidR="00A239E7" w:rsidRPr="00A239E7">
        <w:t xml:space="preserve"> and </w:t>
      </w:r>
      <w:r w:rsidRPr="00277E3A">
        <w:t>provisional pathway determination.</w:t>
      </w:r>
      <w:r>
        <w:t xml:space="preserve"> </w:t>
      </w:r>
      <w:r w:rsidR="00A239E7" w:rsidRPr="00A239E7">
        <w:t xml:space="preserve">Imlifidase has </w:t>
      </w:r>
      <w:r>
        <w:t xml:space="preserve">been </w:t>
      </w:r>
      <w:r w:rsidR="00A239E7" w:rsidRPr="00A239E7">
        <w:t>submitted</w:t>
      </w:r>
      <w:r w:rsidR="001E2F2C">
        <w:t xml:space="preserve"> for </w:t>
      </w:r>
      <w:r w:rsidR="006128F9">
        <w:t>provision</w:t>
      </w:r>
      <w:r w:rsidR="0042512F">
        <w:t>al</w:t>
      </w:r>
      <w:r w:rsidR="006128F9">
        <w:t xml:space="preserve"> approval </w:t>
      </w:r>
      <w:r w:rsidR="00A239E7" w:rsidRPr="00A239E7">
        <w:t xml:space="preserve">for the </w:t>
      </w:r>
      <w:r>
        <w:t xml:space="preserve">following </w:t>
      </w:r>
      <w:r w:rsidR="00A239E7" w:rsidRPr="00A239E7">
        <w:t xml:space="preserve">proposed indication: </w:t>
      </w:r>
    </w:p>
    <w:p w14:paraId="08F2BCE7" w14:textId="199E9D71" w:rsidR="00A239E7" w:rsidRDefault="00147CE5" w:rsidP="00590083">
      <w:pPr>
        <w:pStyle w:val="ListParagraph"/>
        <w:numPr>
          <w:ilvl w:val="0"/>
          <w:numId w:val="0"/>
        </w:numPr>
        <w:spacing w:after="120"/>
        <w:ind w:left="720"/>
      </w:pPr>
      <w:r>
        <w:t>‘</w:t>
      </w:r>
      <w:r w:rsidR="00A239E7" w:rsidRPr="00A239E7">
        <w:t>I</w:t>
      </w:r>
      <w:r w:rsidR="00A239E7">
        <w:t>mlifidase</w:t>
      </w:r>
      <w:r w:rsidR="00A239E7" w:rsidRPr="00A239E7">
        <w:t xml:space="preserve"> is indicated for desensitisation treatment of highly sensitised adult kidney patients with a positive crossmatch against an available donor prior to kidney transplantation. The use of </w:t>
      </w:r>
      <w:r w:rsidR="00A239E7">
        <w:t>imlifidase</w:t>
      </w:r>
      <w:r w:rsidR="00A239E7" w:rsidRPr="00A239E7">
        <w:t xml:space="preserve"> should be reserved for patients who are unlikely to be otherwise transplanted</w:t>
      </w:r>
      <w:r w:rsidR="00A239E7">
        <w:t>.</w:t>
      </w:r>
      <w:r>
        <w:t>’</w:t>
      </w:r>
    </w:p>
    <w:p w14:paraId="3FA78BB9" w14:textId="756B71D4" w:rsidR="00833AB5" w:rsidRDefault="001D1480" w:rsidP="0082253F">
      <w:pPr>
        <w:spacing w:after="120" w:line="276" w:lineRule="auto"/>
      </w:pPr>
      <w:r>
        <w:t xml:space="preserve">Funding for </w:t>
      </w:r>
      <w:r w:rsidR="00387A48">
        <w:t>imlifidase is proposed via the National Health Reform Agreements (NHRA).</w:t>
      </w:r>
      <w:r>
        <w:t xml:space="preserve"> </w:t>
      </w:r>
      <w:r w:rsidR="007F1DEC" w:rsidRPr="007F1DEC">
        <w:t xml:space="preserve">Subject to a positive recommendation from MSAC, funding agreements </w:t>
      </w:r>
      <w:r w:rsidR="00847F15">
        <w:t xml:space="preserve">will need to be negotiated </w:t>
      </w:r>
      <w:r w:rsidR="007F1DEC" w:rsidRPr="007F1DEC">
        <w:t>with each respective state</w:t>
      </w:r>
      <w:r w:rsidR="00847F15">
        <w:t xml:space="preserve"> and territory</w:t>
      </w:r>
      <w:r w:rsidR="007F1DEC" w:rsidRPr="007F1DEC">
        <w:t>.</w:t>
      </w:r>
    </w:p>
    <w:p w14:paraId="442A4259" w14:textId="495F5050" w:rsidR="00405F84" w:rsidRPr="0082253F" w:rsidRDefault="00405F84" w:rsidP="0082253F">
      <w:pPr>
        <w:spacing w:after="120" w:line="276" w:lineRule="auto"/>
        <w:rPr>
          <w:rFonts w:ascii="Helvetica" w:hAnsi="Helvetica"/>
        </w:rPr>
      </w:pPr>
      <w:r w:rsidRPr="00691B15">
        <w:t xml:space="preserve">On 10 July 2023, the Therapeutic Goods Administration (TGA) approved provisional registration of imlifidase for a period of 2 years. This provisional approval was for the desensitisation treatment of highly sensitised adult kidney transplant candidates prior to kidney transplantation from a donor against whom there is a positive </w:t>
      </w:r>
      <w:proofErr w:type="gramStart"/>
      <w:r w:rsidRPr="00691B15">
        <w:t>cross-match</w:t>
      </w:r>
      <w:proofErr w:type="gramEnd"/>
      <w:r w:rsidRPr="00691B15">
        <w:t>. The TGA indication also recommended that its use should be reserved for patients who are otherwise unlikely to receive a kidney transplant</w:t>
      </w:r>
      <w:r w:rsidR="00917553" w:rsidRPr="00691B15">
        <w:t>.</w:t>
      </w:r>
    </w:p>
    <w:p w14:paraId="44C3B242" w14:textId="1E2D6006" w:rsidR="00772829" w:rsidRDefault="00E67C47" w:rsidP="002A18BE">
      <w:pPr>
        <w:pStyle w:val="Heading2"/>
        <w:numPr>
          <w:ilvl w:val="1"/>
          <w:numId w:val="0"/>
        </w:numPr>
      </w:pPr>
      <w:bookmarkStart w:id="6" w:name="_Toc69491418"/>
      <w:r>
        <w:t>6</w:t>
      </w:r>
      <w:r w:rsidR="00C36633">
        <w:t>.</w:t>
      </w:r>
      <w:r w:rsidR="00C36633">
        <w:tab/>
      </w:r>
      <w:r w:rsidR="00772829" w:rsidRPr="00CE28E3">
        <w:t>Proposal for public funding</w:t>
      </w:r>
      <w:bookmarkEnd w:id="6"/>
    </w:p>
    <w:p w14:paraId="772B6CFE" w14:textId="588AAF3F" w:rsidR="00B36052" w:rsidRDefault="003D4017" w:rsidP="002362DD">
      <w:pPr>
        <w:spacing w:after="120" w:line="276" w:lineRule="auto"/>
      </w:pPr>
      <w:r w:rsidRPr="003D4017">
        <w:t>Funding is sought for</w:t>
      </w:r>
      <w:r w:rsidR="00FF3122">
        <w:t xml:space="preserve"> the</w:t>
      </w:r>
      <w:r w:rsidRPr="003D4017">
        <w:t xml:space="preserve"> use of imlifidase in the desensitisation treatment of HS adult kidney transplant patients with a positive crossmatch against an available </w:t>
      </w:r>
      <w:r w:rsidR="00182517">
        <w:t>DD</w:t>
      </w:r>
      <w:r w:rsidR="00182517" w:rsidRPr="003D4017">
        <w:t xml:space="preserve"> </w:t>
      </w:r>
      <w:r w:rsidRPr="003D4017">
        <w:t xml:space="preserve">or </w:t>
      </w:r>
      <w:r w:rsidR="00182517">
        <w:t>LD</w:t>
      </w:r>
      <w:r w:rsidRPr="003D4017">
        <w:t xml:space="preserve"> who are unlikely to be transplanted under current kidney allocation systems.</w:t>
      </w:r>
    </w:p>
    <w:p w14:paraId="45BA2C3D" w14:textId="134CC689" w:rsidR="00B36052" w:rsidRDefault="00B36052" w:rsidP="009E52C7">
      <w:pPr>
        <w:spacing w:before="0" w:after="0" w:line="276" w:lineRule="auto"/>
      </w:pPr>
      <w:r w:rsidRPr="00B36052">
        <w:t xml:space="preserve">Patients would be eligible for </w:t>
      </w:r>
      <w:r>
        <w:t>imlifidase</w:t>
      </w:r>
      <w:r w:rsidRPr="00B36052">
        <w:t xml:space="preserve"> if they me</w:t>
      </w:r>
      <w:r w:rsidR="00C1012A">
        <w:t>e</w:t>
      </w:r>
      <w:r w:rsidRPr="00B36052">
        <w:t>t</w:t>
      </w:r>
      <w:r w:rsidR="009D7ECE">
        <w:t xml:space="preserve"> the following criteria</w:t>
      </w:r>
      <w:r w:rsidRPr="00B36052">
        <w:t>:</w:t>
      </w:r>
    </w:p>
    <w:p w14:paraId="0465F4E0" w14:textId="3FBF9D9A" w:rsidR="00B36052" w:rsidRDefault="00C1012A" w:rsidP="00D1462A">
      <w:pPr>
        <w:pStyle w:val="ListParagraph"/>
        <w:numPr>
          <w:ilvl w:val="0"/>
          <w:numId w:val="12"/>
        </w:numPr>
        <w:spacing w:before="0" w:line="276" w:lineRule="auto"/>
      </w:pPr>
      <w:r>
        <w:t>a</w:t>
      </w:r>
      <w:r w:rsidR="00B36052">
        <w:t xml:space="preserve">ctive on the deceased and/or living donor </w:t>
      </w:r>
      <w:proofErr w:type="gramStart"/>
      <w:r w:rsidR="00B36052">
        <w:t>list</w:t>
      </w:r>
      <w:proofErr w:type="gramEnd"/>
      <w:r w:rsidR="00B36052">
        <w:t xml:space="preserve"> </w:t>
      </w:r>
    </w:p>
    <w:p w14:paraId="566FEFBE" w14:textId="703A7E8A" w:rsidR="00B36052" w:rsidRDefault="00B36052" w:rsidP="00D1462A">
      <w:pPr>
        <w:pStyle w:val="ListParagraph"/>
        <w:numPr>
          <w:ilvl w:val="0"/>
          <w:numId w:val="12"/>
        </w:numPr>
        <w:spacing w:after="120" w:line="276" w:lineRule="auto"/>
      </w:pPr>
      <w:r>
        <w:t xml:space="preserve">calculated panel </w:t>
      </w:r>
      <w:r w:rsidR="005E7AE7">
        <w:t>r</w:t>
      </w:r>
      <w:r>
        <w:t xml:space="preserve">eactive </w:t>
      </w:r>
      <w:r w:rsidR="005E7AE7">
        <w:t>a</w:t>
      </w:r>
      <w:r>
        <w:t>ntibody (</w:t>
      </w:r>
      <w:proofErr w:type="spellStart"/>
      <w:r>
        <w:t>cPRA</w:t>
      </w:r>
      <w:proofErr w:type="spellEnd"/>
      <w:r>
        <w:t>)</w:t>
      </w:r>
      <w:r w:rsidR="005B10C1">
        <w:t xml:space="preserve"> </w:t>
      </w:r>
      <w:r>
        <w:t>≥95%</w:t>
      </w:r>
    </w:p>
    <w:p w14:paraId="1F4D38F9" w14:textId="34A795D1" w:rsidR="00B36052" w:rsidRDefault="00B36052" w:rsidP="00D1462A">
      <w:pPr>
        <w:pStyle w:val="ListParagraph"/>
        <w:numPr>
          <w:ilvl w:val="0"/>
          <w:numId w:val="12"/>
        </w:numPr>
        <w:spacing w:after="120" w:line="276" w:lineRule="auto"/>
      </w:pPr>
      <w:r>
        <w:t>positive crossmatch against an available donor</w:t>
      </w:r>
    </w:p>
    <w:p w14:paraId="7816FAD9" w14:textId="4962D274" w:rsidR="00B36052" w:rsidRDefault="00B36052" w:rsidP="00D1462A">
      <w:pPr>
        <w:pStyle w:val="ListParagraph"/>
        <w:numPr>
          <w:ilvl w:val="0"/>
          <w:numId w:val="12"/>
        </w:numPr>
        <w:spacing w:after="120" w:line="276" w:lineRule="auto"/>
      </w:pPr>
      <w:r>
        <w:t xml:space="preserve">on the donor transplant </w:t>
      </w:r>
      <w:r w:rsidR="00E373BF">
        <w:t xml:space="preserve">wait </w:t>
      </w:r>
      <w:r>
        <w:t>list for at least one year.</w:t>
      </w:r>
    </w:p>
    <w:p w14:paraId="61132688" w14:textId="3E11D649" w:rsidR="002362DD" w:rsidRPr="00122C4A" w:rsidRDefault="00DA2E03" w:rsidP="00F5068D">
      <w:r w:rsidRPr="00DA2E03">
        <w:t xml:space="preserve">Imlifidase is a cysteine protease derived from the immunoglobulin G (IgG)-degrading enzyme of </w:t>
      </w:r>
      <w:r w:rsidRPr="005D29C6">
        <w:rPr>
          <w:i/>
          <w:iCs/>
        </w:rPr>
        <w:t>Streptococcus pyogenes</w:t>
      </w:r>
      <w:r w:rsidRPr="00DA2E03">
        <w:t xml:space="preserve"> that cleaves the heavy chains of all human IgG subclasses but no other immunoglobulins. </w:t>
      </w:r>
      <w:r w:rsidR="00BD4606">
        <w:t>C</w:t>
      </w:r>
      <w:r w:rsidRPr="00DA2E03">
        <w:t xml:space="preserve">leavage of IgG leads to </w:t>
      </w:r>
      <w:r w:rsidR="003F6D76">
        <w:t xml:space="preserve">the </w:t>
      </w:r>
      <w:r w:rsidRPr="00DA2E03">
        <w:t>elimination of Fc-dependent effector functions, including</w:t>
      </w:r>
      <w:r w:rsidR="008E4832">
        <w:t xml:space="preserve"> complement-dependent cytotoxicity</w:t>
      </w:r>
      <w:r w:rsidRPr="00DA2E03">
        <w:t xml:space="preserve"> </w:t>
      </w:r>
      <w:r w:rsidR="008E4832">
        <w:t>(</w:t>
      </w:r>
      <w:r w:rsidRPr="00DA2E03">
        <w:t>CDC</w:t>
      </w:r>
      <w:r w:rsidR="008E4832">
        <w:t>)</w:t>
      </w:r>
      <w:r w:rsidRPr="00DA2E03">
        <w:t xml:space="preserve"> and antibody-dependent cell</w:t>
      </w:r>
      <w:r w:rsidR="003F6D76">
        <w:t>-</w:t>
      </w:r>
      <w:r w:rsidRPr="00DA2E03">
        <w:t>mediated cytotoxicity (ADCC). By cleaving all IgG, imlifidase reduces the level of</w:t>
      </w:r>
      <w:r w:rsidR="00F83827">
        <w:t xml:space="preserve"> donor specific antibodies</w:t>
      </w:r>
      <w:r w:rsidRPr="00DA2E03">
        <w:t xml:space="preserve"> </w:t>
      </w:r>
      <w:r w:rsidR="00F83827">
        <w:t>(</w:t>
      </w:r>
      <w:r w:rsidRPr="00DA2E03">
        <w:t>DSA</w:t>
      </w:r>
      <w:r w:rsidR="00F83827">
        <w:t>)</w:t>
      </w:r>
      <w:r w:rsidRPr="00DA2E03">
        <w:t>, thus enabling transplantation.</w:t>
      </w:r>
    </w:p>
    <w:p w14:paraId="572D95DE" w14:textId="4D091F99" w:rsidR="009C13E4" w:rsidRPr="009C13E4" w:rsidRDefault="009C13E4" w:rsidP="009D01C5">
      <w:pPr>
        <w:spacing w:after="0"/>
      </w:pPr>
      <w:r w:rsidRPr="009C13E4">
        <w:t>Imlifidase does not require a</w:t>
      </w:r>
      <w:r w:rsidR="000B0DF6">
        <w:t xml:space="preserve"> Medica</w:t>
      </w:r>
      <w:r w:rsidR="009E70AB">
        <w:t>re</w:t>
      </w:r>
      <w:r w:rsidR="000B0DF6">
        <w:t xml:space="preserve"> Benefits Scheme (</w:t>
      </w:r>
      <w:r w:rsidRPr="009C13E4">
        <w:t>MBS</w:t>
      </w:r>
      <w:r w:rsidR="000B0DF6">
        <w:t>)</w:t>
      </w:r>
      <w:r w:rsidRPr="009C13E4">
        <w:t xml:space="preserve"> item </w:t>
      </w:r>
      <w:r w:rsidR="009E70AB">
        <w:t>number</w:t>
      </w:r>
      <w:r w:rsidRPr="009C13E4">
        <w:t>. Funding requested is via the</w:t>
      </w:r>
      <w:r w:rsidR="009338CD">
        <w:t xml:space="preserve"> </w:t>
      </w:r>
      <w:r w:rsidRPr="009C13E4">
        <w:t xml:space="preserve">NHRA Addendum for highly specialised </w:t>
      </w:r>
      <w:r w:rsidR="00E373BF">
        <w:t>therapies</w:t>
      </w:r>
      <w:r w:rsidRPr="009C13E4">
        <w:t xml:space="preserve">. It </w:t>
      </w:r>
      <w:r w:rsidR="003501A4">
        <w:t>was</w:t>
      </w:r>
      <w:r w:rsidRPr="009C13E4">
        <w:t xml:space="preserve"> agreed by the </w:t>
      </w:r>
      <w:r w:rsidR="00924B68">
        <w:t xml:space="preserve">Joint </w:t>
      </w:r>
      <w:r w:rsidR="00C16F92">
        <w:t>Chairs’</w:t>
      </w:r>
      <w:r w:rsidR="00270749">
        <w:t xml:space="preserve"> meeting</w:t>
      </w:r>
      <w:r w:rsidR="008F1484">
        <w:t>,</w:t>
      </w:r>
      <w:r w:rsidR="00270749">
        <w:t xml:space="preserve"> </w:t>
      </w:r>
      <w:r w:rsidR="00BA52AA">
        <w:t xml:space="preserve">which includes a </w:t>
      </w:r>
      <w:r w:rsidR="00270749">
        <w:t>State representative</w:t>
      </w:r>
      <w:r w:rsidR="00474ABF">
        <w:t>,</w:t>
      </w:r>
      <w:r w:rsidR="00270749">
        <w:t xml:space="preserve"> held in </w:t>
      </w:r>
      <w:r w:rsidRPr="009C13E4">
        <w:t xml:space="preserve">June 2022 that imlifidase meets the criteria for funding under the </w:t>
      </w:r>
      <w:r w:rsidR="00A133CC">
        <w:t>above-</w:t>
      </w:r>
      <w:r w:rsidRPr="009C13E4">
        <w:t>mentioned scheme</w:t>
      </w:r>
      <w:r w:rsidR="00A133CC">
        <w:t>,</w:t>
      </w:r>
      <w:r w:rsidRPr="009C13E4">
        <w:t xml:space="preserve"> including:</w:t>
      </w:r>
    </w:p>
    <w:p w14:paraId="0ADB4676" w14:textId="19200375" w:rsidR="009C13E4" w:rsidRPr="009C13E4" w:rsidRDefault="009C13E4" w:rsidP="00D1462A">
      <w:pPr>
        <w:numPr>
          <w:ilvl w:val="0"/>
          <w:numId w:val="13"/>
        </w:numPr>
        <w:spacing w:before="0" w:after="0" w:line="276" w:lineRule="auto"/>
      </w:pPr>
      <w:r w:rsidRPr="009C13E4">
        <w:t>TGA</w:t>
      </w:r>
      <w:r w:rsidR="00287E24">
        <w:t>-</w:t>
      </w:r>
      <w:r w:rsidRPr="009C13E4">
        <w:t xml:space="preserve">approved medicine to be delivered in public </w:t>
      </w:r>
      <w:proofErr w:type="gramStart"/>
      <w:r w:rsidRPr="009C13E4">
        <w:t>hospitals</w:t>
      </w:r>
      <w:proofErr w:type="gramEnd"/>
    </w:p>
    <w:p w14:paraId="192AC40F" w14:textId="3DB5271D" w:rsidR="009C13E4" w:rsidRPr="009C13E4" w:rsidRDefault="009C13E4" w:rsidP="00D1462A">
      <w:pPr>
        <w:numPr>
          <w:ilvl w:val="0"/>
          <w:numId w:val="13"/>
        </w:numPr>
        <w:spacing w:before="0" w:after="0" w:line="276" w:lineRule="auto"/>
      </w:pPr>
      <w:r w:rsidRPr="009C13E4">
        <w:t xml:space="preserve">use in the inpatient setting, making it ineligible for listing on </w:t>
      </w:r>
      <w:r w:rsidR="00760076">
        <w:t xml:space="preserve">the </w:t>
      </w:r>
      <w:r w:rsidRPr="009C13E4">
        <w:t>Pharmaceutical Benefits Scheme (PBS)</w:t>
      </w:r>
    </w:p>
    <w:p w14:paraId="18B026DA" w14:textId="49FB4BB0" w:rsidR="009C13E4" w:rsidRPr="009C13E4" w:rsidRDefault="009C13E4" w:rsidP="009D01C5">
      <w:pPr>
        <w:numPr>
          <w:ilvl w:val="0"/>
          <w:numId w:val="13"/>
        </w:numPr>
        <w:spacing w:before="0" w:line="276" w:lineRule="auto"/>
        <w:ind w:left="714" w:hanging="357"/>
      </w:pPr>
      <w:r w:rsidRPr="009C13E4">
        <w:t xml:space="preserve">high-cost drug, with </w:t>
      </w:r>
      <w:r w:rsidR="00222A2F">
        <w:t>treatment</w:t>
      </w:r>
      <w:r w:rsidRPr="009C13E4">
        <w:t xml:space="preserve"> exceeding A$200,000 </w:t>
      </w:r>
    </w:p>
    <w:p w14:paraId="66592197" w14:textId="72E2F9C0" w:rsidR="00961A51" w:rsidRDefault="00780180" w:rsidP="009D01C5">
      <w:r>
        <w:t xml:space="preserve">In addition, </w:t>
      </w:r>
      <w:r w:rsidR="009C13E4" w:rsidRPr="009C13E4">
        <w:t xml:space="preserve">only a subset of kidney transplant units </w:t>
      </w:r>
      <w:r w:rsidR="00E532F1">
        <w:t>are</w:t>
      </w:r>
      <w:r w:rsidR="006C4A19">
        <w:t xml:space="preserve"> </w:t>
      </w:r>
      <w:r w:rsidR="009C13E4" w:rsidRPr="009C13E4">
        <w:t>anticipated to be able to provide imlifidase</w:t>
      </w:r>
      <w:r w:rsidR="00087ADD">
        <w:t xml:space="preserve"> (with k</w:t>
      </w:r>
      <w:r w:rsidR="00087ADD" w:rsidRPr="009C13E4">
        <w:t xml:space="preserve">idney transplantation </w:t>
      </w:r>
      <w:r w:rsidR="00087ADD">
        <w:t>being</w:t>
      </w:r>
      <w:r w:rsidR="00087ADD" w:rsidRPr="009C13E4">
        <w:t xml:space="preserve"> a highly specialised service</w:t>
      </w:r>
      <w:r w:rsidR="00087ADD">
        <w:t>).</w:t>
      </w:r>
    </w:p>
    <w:p w14:paraId="34E0B08F" w14:textId="0094E592" w:rsidR="00772829" w:rsidRPr="00CE28E3" w:rsidRDefault="00E67C47" w:rsidP="00E978C7">
      <w:pPr>
        <w:pStyle w:val="Heading2"/>
        <w:numPr>
          <w:ilvl w:val="0"/>
          <w:numId w:val="0"/>
        </w:numPr>
        <w:tabs>
          <w:tab w:val="left" w:pos="720"/>
          <w:tab w:val="left" w:pos="1440"/>
          <w:tab w:val="left" w:pos="2160"/>
          <w:tab w:val="left" w:pos="3435"/>
        </w:tabs>
      </w:pPr>
      <w:bookmarkStart w:id="7" w:name="_Toc69491419"/>
      <w:r>
        <w:t>7</w:t>
      </w:r>
      <w:r w:rsidR="00C36633">
        <w:t>.</w:t>
      </w:r>
      <w:r w:rsidR="00C36633">
        <w:tab/>
      </w:r>
      <w:r w:rsidR="00772829" w:rsidRPr="00CE28E3">
        <w:t>Population</w:t>
      </w:r>
      <w:bookmarkEnd w:id="7"/>
    </w:p>
    <w:p w14:paraId="260F9CA1" w14:textId="57C911CB" w:rsidR="00F25ADA" w:rsidRPr="00F25ADA" w:rsidRDefault="00F25ADA" w:rsidP="00C957D3">
      <w:pPr>
        <w:keepNext/>
        <w:tabs>
          <w:tab w:val="left" w:pos="652"/>
        </w:tabs>
        <w:spacing w:before="240" w:after="60" w:line="276" w:lineRule="auto"/>
        <w:rPr>
          <w:lang w:val="en-US"/>
        </w:rPr>
      </w:pPr>
      <w:bookmarkStart w:id="8" w:name="_Toc69491420"/>
      <w:r w:rsidRPr="00F25ADA">
        <w:rPr>
          <w:lang w:val="en-US"/>
        </w:rPr>
        <w:t xml:space="preserve">One </w:t>
      </w:r>
      <w:r w:rsidR="00896ABB" w:rsidRPr="00F25ADA">
        <w:t xml:space="preserve">PICO set </w:t>
      </w:r>
      <w:r w:rsidR="00896ABB">
        <w:t>(</w:t>
      </w:r>
      <w:r w:rsidRPr="00F25ADA">
        <w:t>population, intervention, comparator</w:t>
      </w:r>
      <w:r w:rsidR="00896ABB">
        <w:t xml:space="preserve">, </w:t>
      </w:r>
      <w:r w:rsidRPr="00F25ADA">
        <w:t>outcomes</w:t>
      </w:r>
      <w:r w:rsidR="00896ABB">
        <w:t>)</w:t>
      </w:r>
      <w:r w:rsidRPr="00F25ADA">
        <w:t xml:space="preserve"> was defined for </w:t>
      </w:r>
      <w:r>
        <w:t>imlifidase</w:t>
      </w:r>
      <w:r w:rsidR="00896ABB">
        <w:t xml:space="preserve"> (</w:t>
      </w:r>
      <w:r w:rsidR="000B0048">
        <w:fldChar w:fldCharType="begin"/>
      </w:r>
      <w:r w:rsidR="000B0048">
        <w:instrText xml:space="preserve"> REF _Ref131586723 \h </w:instrText>
      </w:r>
      <w:r w:rsidR="000B0048">
        <w:fldChar w:fldCharType="separate"/>
      </w:r>
      <w:r w:rsidR="00E209CB">
        <w:t>Table</w:t>
      </w:r>
      <w:r w:rsidR="00D77309">
        <w:t> </w:t>
      </w:r>
      <w:r w:rsidR="00E209CB">
        <w:rPr>
          <w:noProof/>
        </w:rPr>
        <w:t>1</w:t>
      </w:r>
      <w:r w:rsidR="000B0048">
        <w:fldChar w:fldCharType="end"/>
      </w:r>
      <w:r w:rsidR="00896ABB">
        <w:t>)</w:t>
      </w:r>
      <w:r w:rsidRPr="00F25ADA">
        <w:t xml:space="preserve">. </w:t>
      </w:r>
      <w:r w:rsidR="00CC54CB">
        <w:t>There are currently no other</w:t>
      </w:r>
      <w:r w:rsidR="00237E15" w:rsidRPr="00237E15">
        <w:t xml:space="preserve"> approved therap</w:t>
      </w:r>
      <w:r w:rsidR="00CC54CB">
        <w:t>ies</w:t>
      </w:r>
      <w:r w:rsidR="00237E15" w:rsidRPr="00237E15">
        <w:t xml:space="preserve"> that enable kidney transplantation in HS patients with little or no access to transplantation.</w:t>
      </w:r>
    </w:p>
    <w:p w14:paraId="2E93BC16" w14:textId="6A8CE0EB" w:rsidR="00C957D3" w:rsidRDefault="00C957D3" w:rsidP="00C957D3">
      <w:pPr>
        <w:pStyle w:val="Caption"/>
      </w:pPr>
      <w:bookmarkStart w:id="9" w:name="_Ref131586723"/>
      <w:r>
        <w:t xml:space="preserve">Table </w:t>
      </w:r>
      <w:r>
        <w:fldChar w:fldCharType="begin"/>
      </w:r>
      <w:r>
        <w:instrText>SEQ Table \* ARABIC</w:instrText>
      </w:r>
      <w:r>
        <w:fldChar w:fldCharType="separate"/>
      </w:r>
      <w:r w:rsidR="00E209CB">
        <w:rPr>
          <w:noProof/>
        </w:rPr>
        <w:t>1</w:t>
      </w:r>
      <w:r>
        <w:fldChar w:fldCharType="end"/>
      </w:r>
      <w:bookmarkEnd w:id="9"/>
      <w:r>
        <w:t xml:space="preserve">: </w:t>
      </w:r>
      <w:r w:rsidRPr="0014197C">
        <w:t xml:space="preserve">PICO criteria for assessing imlifidase for patients unlikely to be </w:t>
      </w:r>
      <w:proofErr w:type="gramStart"/>
      <w:r w:rsidR="00987092" w:rsidRPr="0014197C">
        <w:t>transplanted</w:t>
      </w:r>
      <w:proofErr w:type="gramEnd"/>
    </w:p>
    <w:tbl>
      <w:tblPr>
        <w:tblStyle w:val="TableGridLight"/>
        <w:tblW w:w="5000" w:type="pct"/>
        <w:tblLook w:val="00A0" w:firstRow="1" w:lastRow="0" w:firstColumn="1" w:lastColumn="0" w:noHBand="0" w:noVBand="0"/>
      </w:tblPr>
      <w:tblGrid>
        <w:gridCol w:w="1812"/>
        <w:gridCol w:w="7204"/>
      </w:tblGrid>
      <w:tr w:rsidR="00C957D3" w:rsidRPr="006A6A1F" w14:paraId="744B5A3A" w14:textId="77777777" w:rsidTr="000C3E03">
        <w:trPr>
          <w:trHeight w:val="372"/>
          <w:tblHeader/>
        </w:trPr>
        <w:tc>
          <w:tcPr>
            <w:tcW w:w="1005" w:type="pct"/>
            <w:hideMark/>
          </w:tcPr>
          <w:p w14:paraId="6A7C610D" w14:textId="77777777" w:rsidR="00C957D3" w:rsidRPr="006A6A1F" w:rsidRDefault="00C957D3" w:rsidP="006A6A1F">
            <w:pPr>
              <w:pStyle w:val="Tabletext0"/>
              <w:rPr>
                <w:b/>
                <w:bCs/>
              </w:rPr>
            </w:pPr>
            <w:r w:rsidRPr="006A6A1F">
              <w:rPr>
                <w:b/>
                <w:bCs/>
              </w:rPr>
              <w:t>Component</w:t>
            </w:r>
          </w:p>
        </w:tc>
        <w:tc>
          <w:tcPr>
            <w:tcW w:w="3995" w:type="pct"/>
            <w:hideMark/>
          </w:tcPr>
          <w:p w14:paraId="40A425CF" w14:textId="77777777" w:rsidR="00C957D3" w:rsidRPr="006A6A1F" w:rsidRDefault="00C957D3" w:rsidP="006A6A1F">
            <w:pPr>
              <w:pStyle w:val="Tabletext0"/>
              <w:rPr>
                <w:b/>
                <w:bCs/>
              </w:rPr>
            </w:pPr>
            <w:r w:rsidRPr="006A6A1F">
              <w:rPr>
                <w:b/>
                <w:bCs/>
              </w:rPr>
              <w:t>Description</w:t>
            </w:r>
          </w:p>
        </w:tc>
      </w:tr>
      <w:tr w:rsidR="00C957D3" w:rsidRPr="008A4CC2" w14:paraId="31F13795" w14:textId="77777777" w:rsidTr="00AA317E">
        <w:tc>
          <w:tcPr>
            <w:tcW w:w="1005" w:type="pct"/>
            <w:hideMark/>
          </w:tcPr>
          <w:p w14:paraId="09D14FB8" w14:textId="77777777" w:rsidR="00C957D3" w:rsidRPr="008A4CC2" w:rsidRDefault="00C957D3" w:rsidP="006A6A1F">
            <w:pPr>
              <w:pStyle w:val="Tabletext0"/>
            </w:pPr>
            <w:r w:rsidRPr="008A4CC2">
              <w:t>Population</w:t>
            </w:r>
          </w:p>
        </w:tc>
        <w:tc>
          <w:tcPr>
            <w:tcW w:w="3995" w:type="pct"/>
            <w:hideMark/>
          </w:tcPr>
          <w:p w14:paraId="3DEC0802" w14:textId="6089F2EF" w:rsidR="00C957D3" w:rsidRPr="008A4CC2" w:rsidRDefault="00C957D3" w:rsidP="006A6A1F">
            <w:pPr>
              <w:pStyle w:val="Tabletext0"/>
            </w:pPr>
            <w:r w:rsidRPr="008A4CC2">
              <w:t>Adult patients with end-stage kidney disease, who are highly sensitised and unlikely to be transplanted</w:t>
            </w:r>
            <w:r w:rsidR="00896ABB">
              <w:t xml:space="preserve"> and meet </w:t>
            </w:r>
            <w:r w:rsidR="00896ABB" w:rsidRPr="00896ABB">
              <w:t>all of the following criteria</w:t>
            </w:r>
            <w:r w:rsidR="00896ABB">
              <w:t>:</w:t>
            </w:r>
          </w:p>
          <w:p w14:paraId="22FBF71D" w14:textId="5170350F" w:rsidR="00C957D3" w:rsidRPr="008A4CC2" w:rsidRDefault="00896ABB" w:rsidP="00D1462A">
            <w:pPr>
              <w:pStyle w:val="Tabletext0"/>
              <w:numPr>
                <w:ilvl w:val="0"/>
                <w:numId w:val="20"/>
              </w:numPr>
            </w:pPr>
            <w:r>
              <w:t>a</w:t>
            </w:r>
            <w:r w:rsidR="00C957D3" w:rsidRPr="008A4CC2">
              <w:t xml:space="preserve">ctive on the deceased and/or living donor </w:t>
            </w:r>
            <w:proofErr w:type="gramStart"/>
            <w:r w:rsidR="00C957D3" w:rsidRPr="008A4CC2">
              <w:t>list</w:t>
            </w:r>
            <w:proofErr w:type="gramEnd"/>
          </w:p>
          <w:p w14:paraId="3743EAD4" w14:textId="04D7FA0F" w:rsidR="00C957D3" w:rsidRPr="008A4CC2" w:rsidRDefault="00C957D3" w:rsidP="00D1462A">
            <w:pPr>
              <w:pStyle w:val="Tabletext0"/>
              <w:numPr>
                <w:ilvl w:val="0"/>
                <w:numId w:val="20"/>
              </w:numPr>
            </w:pPr>
            <w:proofErr w:type="spellStart"/>
            <w:r w:rsidRPr="008A4CC2">
              <w:t>cPRA</w:t>
            </w:r>
            <w:proofErr w:type="spellEnd"/>
            <w:r w:rsidRPr="008A4CC2">
              <w:t xml:space="preserve"> </w:t>
            </w:r>
            <w:r w:rsidRPr="008A4CC2">
              <w:rPr>
                <w:rFonts w:cs="Calibri"/>
              </w:rPr>
              <w:t>≥</w:t>
            </w:r>
            <w:r w:rsidRPr="008A4CC2">
              <w:t>95%</w:t>
            </w:r>
          </w:p>
          <w:p w14:paraId="439491F2" w14:textId="48A519CA" w:rsidR="00C957D3" w:rsidRPr="008A4CC2" w:rsidRDefault="00C957D3" w:rsidP="00D1462A">
            <w:pPr>
              <w:pStyle w:val="Tabletext0"/>
              <w:numPr>
                <w:ilvl w:val="0"/>
                <w:numId w:val="20"/>
              </w:numPr>
            </w:pPr>
            <w:r w:rsidRPr="008A4CC2">
              <w:t>positive crossmatch against an available donor</w:t>
            </w:r>
          </w:p>
          <w:p w14:paraId="77560A31" w14:textId="77777777" w:rsidR="00C957D3" w:rsidRDefault="00C957D3" w:rsidP="00D1462A">
            <w:pPr>
              <w:pStyle w:val="Tabletext0"/>
              <w:numPr>
                <w:ilvl w:val="0"/>
                <w:numId w:val="20"/>
              </w:numPr>
            </w:pPr>
            <w:r w:rsidRPr="008A4CC2">
              <w:t>on the donor transplant list for at least one year.</w:t>
            </w:r>
          </w:p>
          <w:p w14:paraId="35AFBCF8" w14:textId="57BC8C0F" w:rsidR="00D77309" w:rsidRPr="008A4CC2" w:rsidRDefault="00D77309" w:rsidP="00D77309">
            <w:pPr>
              <w:pStyle w:val="Tabletext0"/>
              <w:ind w:left="360"/>
            </w:pPr>
          </w:p>
        </w:tc>
      </w:tr>
      <w:tr w:rsidR="00C957D3" w:rsidRPr="008A4CC2" w14:paraId="5A9B8CAF" w14:textId="77777777" w:rsidTr="00AA317E">
        <w:tc>
          <w:tcPr>
            <w:tcW w:w="1005" w:type="pct"/>
            <w:hideMark/>
          </w:tcPr>
          <w:p w14:paraId="0DEE1F88" w14:textId="77777777" w:rsidR="00C957D3" w:rsidRPr="008A4CC2" w:rsidRDefault="00C957D3" w:rsidP="006A6A1F">
            <w:pPr>
              <w:pStyle w:val="Tabletext0"/>
            </w:pPr>
            <w:r w:rsidRPr="008A4CC2">
              <w:t xml:space="preserve">Prior tests </w:t>
            </w:r>
          </w:p>
        </w:tc>
        <w:tc>
          <w:tcPr>
            <w:tcW w:w="3995" w:type="pct"/>
            <w:hideMark/>
          </w:tcPr>
          <w:p w14:paraId="033C5411" w14:textId="1E066680" w:rsidR="00C957D3" w:rsidRPr="008A4CC2" w:rsidRDefault="00DE1A6D" w:rsidP="00D1462A">
            <w:pPr>
              <w:pStyle w:val="Tabletext0"/>
              <w:numPr>
                <w:ilvl w:val="0"/>
                <w:numId w:val="21"/>
              </w:numPr>
            </w:pPr>
            <w:r>
              <w:t>h</w:t>
            </w:r>
            <w:r w:rsidR="00C957D3" w:rsidRPr="008A4CC2">
              <w:t xml:space="preserve">istocompatibility tests </w:t>
            </w:r>
            <w:r>
              <w:t>for</w:t>
            </w:r>
            <w:r w:rsidR="00C957D3" w:rsidRPr="008A4CC2">
              <w:t xml:space="preserve"> active </w:t>
            </w:r>
            <w:r>
              <w:t xml:space="preserve">placement </w:t>
            </w:r>
            <w:r w:rsidR="00C957D3" w:rsidRPr="008A4CC2">
              <w:t xml:space="preserve">on </w:t>
            </w:r>
            <w:r w:rsidR="005E681C">
              <w:t>DD</w:t>
            </w:r>
            <w:r w:rsidR="00C957D3" w:rsidRPr="008A4CC2">
              <w:t xml:space="preserve"> waiting </w:t>
            </w:r>
            <w:proofErr w:type="gramStart"/>
            <w:r w:rsidR="00C957D3" w:rsidRPr="008A4CC2">
              <w:t>list</w:t>
            </w:r>
            <w:proofErr w:type="gramEnd"/>
          </w:p>
          <w:p w14:paraId="3C71B15F" w14:textId="44F511A4" w:rsidR="00C957D3" w:rsidRPr="008A4CC2" w:rsidRDefault="00DE1A6D" w:rsidP="00D1462A">
            <w:pPr>
              <w:pStyle w:val="Tabletext0"/>
              <w:numPr>
                <w:ilvl w:val="0"/>
                <w:numId w:val="21"/>
              </w:numPr>
            </w:pPr>
            <w:r>
              <w:t>o</w:t>
            </w:r>
            <w:r w:rsidR="00C957D3" w:rsidRPr="008A4CC2">
              <w:t>ngoing patient assessment (on waiting list)</w:t>
            </w:r>
          </w:p>
          <w:p w14:paraId="70AE4EE5" w14:textId="05446D98" w:rsidR="00C957D3" w:rsidRPr="008A4CC2" w:rsidRDefault="00DE1A6D" w:rsidP="00D1462A">
            <w:pPr>
              <w:pStyle w:val="Tabletext0"/>
              <w:numPr>
                <w:ilvl w:val="0"/>
                <w:numId w:val="21"/>
              </w:numPr>
            </w:pPr>
            <w:r>
              <w:t>q</w:t>
            </w:r>
            <w:r w:rsidR="00C957D3" w:rsidRPr="008A4CC2">
              <w:t>uarterly testing for antibody assessment and crossmatch</w:t>
            </w:r>
          </w:p>
          <w:p w14:paraId="215D2D8C" w14:textId="77777777" w:rsidR="00C957D3" w:rsidRDefault="00DE1A6D" w:rsidP="00D1462A">
            <w:pPr>
              <w:pStyle w:val="Tabletext0"/>
              <w:numPr>
                <w:ilvl w:val="0"/>
                <w:numId w:val="21"/>
              </w:numPr>
            </w:pPr>
            <w:r w:rsidRPr="008A4CC2">
              <w:t xml:space="preserve">crossmatching </w:t>
            </w:r>
            <w:r>
              <w:t>w</w:t>
            </w:r>
            <w:r w:rsidR="00C957D3" w:rsidRPr="008A4CC2">
              <w:t xml:space="preserve">hen a potential </w:t>
            </w:r>
            <w:r w:rsidR="005E681C">
              <w:t>DD</w:t>
            </w:r>
            <w:r w:rsidR="00C957D3" w:rsidRPr="008A4CC2">
              <w:t xml:space="preserve"> is </w:t>
            </w:r>
            <w:proofErr w:type="gramStart"/>
            <w:r w:rsidR="00C957D3" w:rsidRPr="008A4CC2">
              <w:t>identified</w:t>
            </w:r>
            <w:proofErr w:type="gramEnd"/>
            <w:r w:rsidR="00C957D3" w:rsidRPr="008A4CC2">
              <w:t xml:space="preserve"> </w:t>
            </w:r>
          </w:p>
          <w:p w14:paraId="6A159FAD" w14:textId="3AD1E579" w:rsidR="00D77309" w:rsidRPr="008A4CC2" w:rsidRDefault="00D77309" w:rsidP="00D77309">
            <w:pPr>
              <w:pStyle w:val="Tabletext0"/>
              <w:ind w:left="360"/>
            </w:pPr>
          </w:p>
        </w:tc>
      </w:tr>
      <w:tr w:rsidR="00C957D3" w:rsidRPr="008A4CC2" w14:paraId="5EC4F426" w14:textId="77777777" w:rsidTr="00AA317E">
        <w:tc>
          <w:tcPr>
            <w:tcW w:w="1005" w:type="pct"/>
            <w:hideMark/>
          </w:tcPr>
          <w:p w14:paraId="1C70F170" w14:textId="77777777" w:rsidR="00C957D3" w:rsidRPr="008A4CC2" w:rsidRDefault="00C957D3" w:rsidP="006A6A1F">
            <w:pPr>
              <w:pStyle w:val="Tabletext0"/>
            </w:pPr>
            <w:r w:rsidRPr="008A4CC2">
              <w:t>Intervention</w:t>
            </w:r>
          </w:p>
        </w:tc>
        <w:tc>
          <w:tcPr>
            <w:tcW w:w="3995" w:type="pct"/>
            <w:hideMark/>
          </w:tcPr>
          <w:p w14:paraId="33EB23B0" w14:textId="402ADAEE" w:rsidR="00D77309" w:rsidRPr="00D77309" w:rsidRDefault="00C957D3" w:rsidP="006A6A1F">
            <w:pPr>
              <w:pStyle w:val="Tabletext0"/>
            </w:pPr>
            <w:r w:rsidRPr="008A4CC2">
              <w:t xml:space="preserve">Imlifidase </w:t>
            </w:r>
          </w:p>
        </w:tc>
      </w:tr>
      <w:tr w:rsidR="00C957D3" w:rsidRPr="008A4CC2" w14:paraId="6890809C" w14:textId="77777777" w:rsidTr="00AA317E">
        <w:tc>
          <w:tcPr>
            <w:tcW w:w="1005" w:type="pct"/>
            <w:hideMark/>
          </w:tcPr>
          <w:p w14:paraId="44D72E25" w14:textId="77777777" w:rsidR="00C957D3" w:rsidRPr="008A4CC2" w:rsidRDefault="00C957D3" w:rsidP="006A6A1F">
            <w:pPr>
              <w:pStyle w:val="Tabletext0"/>
            </w:pPr>
            <w:r w:rsidRPr="008A4CC2">
              <w:t>Comparator/s</w:t>
            </w:r>
          </w:p>
        </w:tc>
        <w:tc>
          <w:tcPr>
            <w:tcW w:w="3995" w:type="pct"/>
            <w:hideMark/>
          </w:tcPr>
          <w:p w14:paraId="0E3B4BF8" w14:textId="77777777" w:rsidR="00C957D3" w:rsidRDefault="00C957D3" w:rsidP="006A6A1F">
            <w:pPr>
              <w:pStyle w:val="Tabletext0"/>
            </w:pPr>
            <w:r w:rsidRPr="008A4CC2">
              <w:t xml:space="preserve">Current care in the absence of imlifidase. These patients </w:t>
            </w:r>
            <w:r w:rsidR="0044274D" w:rsidRPr="008A4CC2">
              <w:t>(on the active waiting list)</w:t>
            </w:r>
            <w:r w:rsidR="0044274D">
              <w:t xml:space="preserve"> </w:t>
            </w:r>
            <w:r w:rsidRPr="008A4CC2">
              <w:t>will remain on the transplant waitlist and continue to receive dialysis (haemodialysis or peritoneal) until a transplant becomes available, which may or may not occur (transplants will occur but at a decreased rate compared to the intervention)</w:t>
            </w:r>
            <w:r w:rsidR="00AC7799">
              <w:t>.</w:t>
            </w:r>
          </w:p>
          <w:p w14:paraId="0E122134" w14:textId="77F85E01" w:rsidR="00D77309" w:rsidRPr="008A4CC2" w:rsidRDefault="00D77309" w:rsidP="006A6A1F">
            <w:pPr>
              <w:pStyle w:val="Tabletext0"/>
            </w:pPr>
          </w:p>
        </w:tc>
      </w:tr>
      <w:tr w:rsidR="00C957D3" w:rsidRPr="008A4CC2" w14:paraId="66D4B0C2" w14:textId="77777777" w:rsidTr="00AA317E">
        <w:tc>
          <w:tcPr>
            <w:tcW w:w="1005" w:type="pct"/>
            <w:hideMark/>
          </w:tcPr>
          <w:p w14:paraId="0AA2CDC5" w14:textId="77777777" w:rsidR="00C957D3" w:rsidRPr="008A4CC2" w:rsidRDefault="00C957D3" w:rsidP="006A6A1F">
            <w:pPr>
              <w:pStyle w:val="Tabletext0"/>
            </w:pPr>
            <w:r w:rsidRPr="008A4CC2">
              <w:t>Outcomes</w:t>
            </w:r>
          </w:p>
        </w:tc>
        <w:tc>
          <w:tcPr>
            <w:tcW w:w="3995" w:type="pct"/>
            <w:hideMark/>
          </w:tcPr>
          <w:p w14:paraId="22BCC407" w14:textId="77777777" w:rsidR="00C957D3" w:rsidRPr="008A4CC2" w:rsidRDefault="00C957D3" w:rsidP="006A6A1F">
            <w:pPr>
              <w:pStyle w:val="Tabletext0"/>
            </w:pPr>
            <w:r w:rsidRPr="008A4CC2">
              <w:t>Safety</w:t>
            </w:r>
          </w:p>
          <w:p w14:paraId="3EB902A1" w14:textId="77777777" w:rsidR="00C957D3" w:rsidRPr="008A4CC2" w:rsidRDefault="00C957D3" w:rsidP="00D1462A">
            <w:pPr>
              <w:pStyle w:val="Tabletext0"/>
              <w:numPr>
                <w:ilvl w:val="0"/>
                <w:numId w:val="22"/>
              </w:numPr>
            </w:pPr>
            <w:r w:rsidRPr="008A4CC2">
              <w:t>Anaphylactic or acute infusion reactions from imlifidase infusion (number of times infusion needs to be ceased for treatment)</w:t>
            </w:r>
          </w:p>
          <w:p w14:paraId="5AA6BC45" w14:textId="77777777" w:rsidR="00C957D3" w:rsidRPr="008A4CC2" w:rsidRDefault="00C957D3" w:rsidP="00D1462A">
            <w:pPr>
              <w:pStyle w:val="Tabletext0"/>
              <w:numPr>
                <w:ilvl w:val="0"/>
                <w:numId w:val="22"/>
              </w:numPr>
            </w:pPr>
            <w:r w:rsidRPr="008A4CC2">
              <w:t>Serious infection, particularly respiratory infection</w:t>
            </w:r>
          </w:p>
          <w:p w14:paraId="49917E7B" w14:textId="77777777" w:rsidR="00C957D3" w:rsidRPr="008A4CC2" w:rsidRDefault="00C957D3" w:rsidP="00D1462A">
            <w:pPr>
              <w:pStyle w:val="Tabletext0"/>
              <w:numPr>
                <w:ilvl w:val="0"/>
                <w:numId w:val="22"/>
              </w:numPr>
            </w:pPr>
            <w:r w:rsidRPr="008A4CC2">
              <w:t xml:space="preserve">Failure to </w:t>
            </w:r>
            <w:proofErr w:type="gramStart"/>
            <w:r w:rsidRPr="008A4CC2">
              <w:t>desensitise</w:t>
            </w:r>
            <w:proofErr w:type="gramEnd"/>
          </w:p>
          <w:p w14:paraId="6DADFF3C" w14:textId="283766EF" w:rsidR="00C957D3" w:rsidRPr="008A4CC2" w:rsidRDefault="00C957D3" w:rsidP="00D1462A">
            <w:pPr>
              <w:pStyle w:val="Tabletext0"/>
              <w:numPr>
                <w:ilvl w:val="0"/>
                <w:numId w:val="22"/>
              </w:numPr>
            </w:pPr>
            <w:r w:rsidRPr="008A4CC2">
              <w:t xml:space="preserve">Antibody mediated rejection (AMR) and treatment </w:t>
            </w:r>
            <w:proofErr w:type="gramStart"/>
            <w:r w:rsidRPr="008A4CC2">
              <w:t>required</w:t>
            </w:r>
            <w:proofErr w:type="gramEnd"/>
          </w:p>
          <w:p w14:paraId="472596BC" w14:textId="2D5AA805" w:rsidR="00C957D3" w:rsidRPr="008A4CC2" w:rsidRDefault="00C957D3" w:rsidP="009866C0">
            <w:pPr>
              <w:pStyle w:val="Tabletext0"/>
            </w:pPr>
            <w:r w:rsidRPr="008A4CC2">
              <w:t xml:space="preserve">Effectiveness suggested by the </w:t>
            </w:r>
            <w:proofErr w:type="gramStart"/>
            <w:r w:rsidR="00676525">
              <w:t>ADAR</w:t>
            </w:r>
            <w:proofErr w:type="gramEnd"/>
          </w:p>
          <w:p w14:paraId="0814808B" w14:textId="31286562" w:rsidR="00C957D3" w:rsidRPr="008A4CC2" w:rsidRDefault="00C957D3" w:rsidP="00D1462A">
            <w:pPr>
              <w:pStyle w:val="Tabletext0"/>
              <w:numPr>
                <w:ilvl w:val="0"/>
                <w:numId w:val="22"/>
              </w:numPr>
            </w:pPr>
            <w:r w:rsidRPr="008A4CC2">
              <w:t>Efficacy of crossmatch conversion from positive to negative crossmatch (this should be a pre-transplant outcome)</w:t>
            </w:r>
          </w:p>
          <w:p w14:paraId="15940A99" w14:textId="77777777" w:rsidR="00C957D3" w:rsidRPr="008A4CC2" w:rsidRDefault="00C957D3" w:rsidP="00D1462A">
            <w:pPr>
              <w:pStyle w:val="Tabletext0"/>
              <w:numPr>
                <w:ilvl w:val="0"/>
                <w:numId w:val="22"/>
              </w:numPr>
            </w:pPr>
            <w:r w:rsidRPr="008A4CC2">
              <w:t>Graft survival</w:t>
            </w:r>
          </w:p>
          <w:p w14:paraId="6B67489A" w14:textId="5C098F70" w:rsidR="00C957D3" w:rsidRPr="008A4CC2" w:rsidRDefault="00C957D3" w:rsidP="00D1462A">
            <w:pPr>
              <w:pStyle w:val="Tabletext0"/>
              <w:numPr>
                <w:ilvl w:val="0"/>
                <w:numId w:val="22"/>
              </w:numPr>
            </w:pPr>
            <w:r w:rsidRPr="008A4CC2">
              <w:t>Kidney function (eGFR)</w:t>
            </w:r>
          </w:p>
          <w:p w14:paraId="74591E8C" w14:textId="77777777" w:rsidR="00C957D3" w:rsidRPr="008A4CC2" w:rsidRDefault="00C957D3" w:rsidP="00D1462A">
            <w:pPr>
              <w:pStyle w:val="Tabletext0"/>
              <w:numPr>
                <w:ilvl w:val="0"/>
                <w:numId w:val="22"/>
              </w:numPr>
            </w:pPr>
            <w:r w:rsidRPr="008A4CC2">
              <w:t>Adverse effects of treatment</w:t>
            </w:r>
          </w:p>
          <w:p w14:paraId="19F5E290" w14:textId="500A08ED" w:rsidR="00C957D3" w:rsidRPr="008A4CC2" w:rsidRDefault="00C957D3" w:rsidP="00D1462A">
            <w:pPr>
              <w:pStyle w:val="Tabletext0"/>
              <w:numPr>
                <w:ilvl w:val="0"/>
                <w:numId w:val="22"/>
              </w:numPr>
            </w:pPr>
            <w:r w:rsidRPr="008A4CC2">
              <w:t>Health</w:t>
            </w:r>
            <w:r w:rsidR="0060263A">
              <w:t>-</w:t>
            </w:r>
            <w:r w:rsidRPr="008A4CC2">
              <w:t>related quality of life</w:t>
            </w:r>
          </w:p>
          <w:p w14:paraId="090171FA" w14:textId="77777777" w:rsidR="00C957D3" w:rsidRPr="008A4CC2" w:rsidRDefault="00C957D3" w:rsidP="009866C0">
            <w:pPr>
              <w:pStyle w:val="Tabletext0"/>
            </w:pPr>
            <w:r w:rsidRPr="008A4CC2">
              <w:t>Immediate post-transplant</w:t>
            </w:r>
          </w:p>
          <w:p w14:paraId="177E3820" w14:textId="77777777" w:rsidR="00C957D3" w:rsidRPr="008A4CC2" w:rsidRDefault="00C957D3" w:rsidP="00D1462A">
            <w:pPr>
              <w:pStyle w:val="Tabletext0"/>
              <w:numPr>
                <w:ilvl w:val="0"/>
                <w:numId w:val="22"/>
              </w:numPr>
            </w:pPr>
            <w:r w:rsidRPr="008A4CC2">
              <w:t xml:space="preserve">Proportion of patients with cPRA≥95% who received a </w:t>
            </w:r>
            <w:proofErr w:type="gramStart"/>
            <w:r w:rsidRPr="008A4CC2">
              <w:t>transplant</w:t>
            </w:r>
            <w:proofErr w:type="gramEnd"/>
          </w:p>
          <w:p w14:paraId="603BCEDB" w14:textId="77777777" w:rsidR="00C957D3" w:rsidRPr="008A4CC2" w:rsidRDefault="00C957D3" w:rsidP="00D1462A">
            <w:pPr>
              <w:pStyle w:val="Tabletext0"/>
              <w:numPr>
                <w:ilvl w:val="0"/>
                <w:numId w:val="22"/>
              </w:numPr>
            </w:pPr>
            <w:r w:rsidRPr="008A4CC2">
              <w:t>Graft viability</w:t>
            </w:r>
          </w:p>
          <w:p w14:paraId="717BA057" w14:textId="77777777" w:rsidR="00C957D3" w:rsidRPr="008A4CC2" w:rsidRDefault="00C957D3" w:rsidP="00D1462A">
            <w:pPr>
              <w:pStyle w:val="Tabletext0"/>
              <w:numPr>
                <w:ilvl w:val="0"/>
                <w:numId w:val="22"/>
              </w:numPr>
            </w:pPr>
            <w:r w:rsidRPr="008A4CC2">
              <w:t>Acute antibody mediated rejection (AMR)</w:t>
            </w:r>
          </w:p>
          <w:p w14:paraId="2EC32251" w14:textId="77777777" w:rsidR="00C957D3" w:rsidRPr="008A4CC2" w:rsidRDefault="00C957D3" w:rsidP="00D1462A">
            <w:pPr>
              <w:pStyle w:val="Tabletext0"/>
              <w:numPr>
                <w:ilvl w:val="0"/>
                <w:numId w:val="22"/>
              </w:numPr>
            </w:pPr>
            <w:r w:rsidRPr="008A4CC2">
              <w:t xml:space="preserve">Duration of time on waiting list for patients who receive a </w:t>
            </w:r>
            <w:proofErr w:type="gramStart"/>
            <w:r w:rsidRPr="008A4CC2">
              <w:t>transplant</w:t>
            </w:r>
            <w:proofErr w:type="gramEnd"/>
            <w:r w:rsidRPr="008A4CC2">
              <w:t xml:space="preserve"> </w:t>
            </w:r>
          </w:p>
          <w:p w14:paraId="0F0848E2" w14:textId="06BBBD6A" w:rsidR="00C957D3" w:rsidRPr="008A4CC2" w:rsidRDefault="00C957D3" w:rsidP="006A6A1F">
            <w:pPr>
              <w:pStyle w:val="Tabletext0"/>
            </w:pPr>
            <w:r w:rsidRPr="008A4CC2">
              <w:t>The following outcomes to be reported in the immediate</w:t>
            </w:r>
            <w:r w:rsidR="00E93776">
              <w:t>-</w:t>
            </w:r>
            <w:r w:rsidRPr="008A4CC2">
              <w:t>, medium</w:t>
            </w:r>
            <w:r w:rsidR="00E93776">
              <w:t>-</w:t>
            </w:r>
            <w:r w:rsidRPr="008A4CC2">
              <w:t xml:space="preserve"> and </w:t>
            </w:r>
            <w:proofErr w:type="gramStart"/>
            <w:r w:rsidRPr="008A4CC2">
              <w:t>longer</w:t>
            </w:r>
            <w:r w:rsidR="00E93776">
              <w:t>-</w:t>
            </w:r>
            <w:r w:rsidRPr="008A4CC2">
              <w:t>term</w:t>
            </w:r>
            <w:proofErr w:type="gramEnd"/>
          </w:p>
          <w:p w14:paraId="4BE0B635" w14:textId="77777777" w:rsidR="00C957D3" w:rsidRPr="008A4CC2" w:rsidRDefault="00C957D3" w:rsidP="00D1462A">
            <w:pPr>
              <w:pStyle w:val="Tabletext0"/>
              <w:numPr>
                <w:ilvl w:val="0"/>
                <w:numId w:val="23"/>
              </w:numPr>
            </w:pPr>
            <w:r w:rsidRPr="008A4CC2">
              <w:t>Graft survival</w:t>
            </w:r>
          </w:p>
          <w:p w14:paraId="06BADA43" w14:textId="77777777" w:rsidR="00C957D3" w:rsidRPr="008A4CC2" w:rsidRDefault="00C957D3" w:rsidP="00D1462A">
            <w:pPr>
              <w:pStyle w:val="Tabletext0"/>
              <w:numPr>
                <w:ilvl w:val="0"/>
                <w:numId w:val="23"/>
              </w:numPr>
            </w:pPr>
            <w:r w:rsidRPr="008A4CC2">
              <w:t xml:space="preserve">Patient survival </w:t>
            </w:r>
          </w:p>
          <w:p w14:paraId="4953E8FF" w14:textId="77777777" w:rsidR="00C957D3" w:rsidRPr="008A4CC2" w:rsidRDefault="00C957D3" w:rsidP="00D1462A">
            <w:pPr>
              <w:pStyle w:val="Tabletext0"/>
              <w:numPr>
                <w:ilvl w:val="0"/>
                <w:numId w:val="23"/>
              </w:numPr>
            </w:pPr>
            <w:r w:rsidRPr="008A4CC2">
              <w:t>Proportion of patients on dialysis and/or reduced time on dialysis</w:t>
            </w:r>
          </w:p>
          <w:p w14:paraId="331E625E" w14:textId="77777777" w:rsidR="00C957D3" w:rsidRPr="008A4CC2" w:rsidRDefault="00C957D3" w:rsidP="00D1462A">
            <w:pPr>
              <w:pStyle w:val="Tabletext0"/>
              <w:numPr>
                <w:ilvl w:val="0"/>
                <w:numId w:val="23"/>
              </w:numPr>
            </w:pPr>
            <w:r w:rsidRPr="008A4CC2">
              <w:t>Hospitalisation</w:t>
            </w:r>
          </w:p>
          <w:p w14:paraId="2FB080EC" w14:textId="79F59242" w:rsidR="00C957D3" w:rsidRPr="008A4CC2" w:rsidRDefault="00356F8B" w:rsidP="00D1462A">
            <w:pPr>
              <w:pStyle w:val="Tabletext0"/>
              <w:numPr>
                <w:ilvl w:val="0"/>
                <w:numId w:val="23"/>
              </w:numPr>
            </w:pPr>
            <w:r>
              <w:t>AMR</w:t>
            </w:r>
            <w:r w:rsidR="00C957D3" w:rsidRPr="008A4CC2">
              <w:t xml:space="preserve"> (outcome reported to </w:t>
            </w:r>
            <w:proofErr w:type="spellStart"/>
            <w:r w:rsidR="00C957D3" w:rsidRPr="008A4CC2">
              <w:t>OrganMatch</w:t>
            </w:r>
            <w:proofErr w:type="spellEnd"/>
            <w:r w:rsidR="00C957D3" w:rsidRPr="008A4CC2">
              <w:t xml:space="preserve"> site)</w:t>
            </w:r>
          </w:p>
          <w:p w14:paraId="214EB03C" w14:textId="77777777" w:rsidR="00C957D3" w:rsidRPr="008A4CC2" w:rsidRDefault="00C957D3" w:rsidP="00211B1E">
            <w:pPr>
              <w:pStyle w:val="Tabletext0"/>
            </w:pPr>
            <w:r w:rsidRPr="008A4CC2">
              <w:t>Cost-effectiveness</w:t>
            </w:r>
          </w:p>
          <w:p w14:paraId="62CBA0BF" w14:textId="42C6E6CE" w:rsidR="00C957D3" w:rsidRPr="008A4CC2" w:rsidRDefault="00331853" w:rsidP="00211B1E">
            <w:pPr>
              <w:pStyle w:val="Tabletext0"/>
            </w:pPr>
            <w:r>
              <w:t>Healthcare</w:t>
            </w:r>
            <w:r w:rsidR="00C957D3" w:rsidRPr="008A4CC2">
              <w:t xml:space="preserve"> resources</w:t>
            </w:r>
          </w:p>
          <w:p w14:paraId="38E2AD02" w14:textId="05A67761" w:rsidR="00C957D3" w:rsidRPr="008A4CC2" w:rsidRDefault="00C957D3" w:rsidP="006A6A1F">
            <w:pPr>
              <w:pStyle w:val="Tabletext0"/>
            </w:pPr>
            <w:r w:rsidRPr="008A4CC2">
              <w:t>The main costs are related to</w:t>
            </w:r>
            <w:r w:rsidR="00356F8B">
              <w:t>:</w:t>
            </w:r>
          </w:p>
          <w:p w14:paraId="6B13F599" w14:textId="77777777" w:rsidR="00C957D3" w:rsidRPr="008A4CC2" w:rsidRDefault="00C957D3" w:rsidP="00D1462A">
            <w:pPr>
              <w:pStyle w:val="Tabletext0"/>
              <w:numPr>
                <w:ilvl w:val="0"/>
                <w:numId w:val="24"/>
              </w:numPr>
            </w:pPr>
            <w:r w:rsidRPr="008A4CC2">
              <w:t>Cost of imlifidase</w:t>
            </w:r>
          </w:p>
          <w:p w14:paraId="77C1E08B" w14:textId="77777777" w:rsidR="00C957D3" w:rsidRPr="008A4CC2" w:rsidRDefault="00C957D3" w:rsidP="00D1462A">
            <w:pPr>
              <w:pStyle w:val="Tabletext0"/>
              <w:numPr>
                <w:ilvl w:val="0"/>
                <w:numId w:val="24"/>
              </w:numPr>
            </w:pPr>
            <w:r w:rsidRPr="008A4CC2">
              <w:t>Cost of kidney transplant</w:t>
            </w:r>
          </w:p>
          <w:p w14:paraId="63D03F56" w14:textId="77777777" w:rsidR="00C957D3" w:rsidRPr="008A4CC2" w:rsidRDefault="00C957D3" w:rsidP="00D1462A">
            <w:pPr>
              <w:pStyle w:val="Tabletext0"/>
              <w:numPr>
                <w:ilvl w:val="0"/>
                <w:numId w:val="24"/>
              </w:numPr>
            </w:pPr>
            <w:r w:rsidRPr="008A4CC2">
              <w:t>Ongoing costs of dialysis</w:t>
            </w:r>
          </w:p>
          <w:p w14:paraId="471AB669" w14:textId="77777777" w:rsidR="00C957D3" w:rsidRPr="008A4CC2" w:rsidRDefault="00C957D3" w:rsidP="00D1462A">
            <w:pPr>
              <w:pStyle w:val="Tabletext0"/>
              <w:numPr>
                <w:ilvl w:val="0"/>
                <w:numId w:val="24"/>
              </w:numPr>
            </w:pPr>
            <w:r w:rsidRPr="008A4CC2">
              <w:t xml:space="preserve">Inpatient hospitalisation </w:t>
            </w:r>
          </w:p>
        </w:tc>
      </w:tr>
      <w:tr w:rsidR="00C957D3" w:rsidRPr="008A4CC2" w14:paraId="1FD426CE" w14:textId="77777777" w:rsidTr="00AA317E">
        <w:tc>
          <w:tcPr>
            <w:tcW w:w="1005" w:type="pct"/>
          </w:tcPr>
          <w:p w14:paraId="088E01C9" w14:textId="77777777" w:rsidR="00C957D3" w:rsidRPr="008A4CC2" w:rsidRDefault="00C957D3" w:rsidP="006A6A1F">
            <w:pPr>
              <w:pStyle w:val="Tabletext0"/>
            </w:pPr>
            <w:r w:rsidRPr="008A4CC2">
              <w:t>Assessment questions</w:t>
            </w:r>
          </w:p>
        </w:tc>
        <w:tc>
          <w:tcPr>
            <w:tcW w:w="3995" w:type="pct"/>
          </w:tcPr>
          <w:p w14:paraId="4AE7206F" w14:textId="77777777" w:rsidR="00C957D3" w:rsidRPr="008A4CC2" w:rsidRDefault="00C957D3" w:rsidP="006A6A1F">
            <w:pPr>
              <w:pStyle w:val="Tabletext0"/>
            </w:pPr>
            <w:r w:rsidRPr="008A4CC2">
              <w:t>What is the safety, effectiveness and cost-effectiveness of imlifidase compared to no imlifidase in highly sensitised patients unlikely to be transplanted?</w:t>
            </w:r>
          </w:p>
        </w:tc>
      </w:tr>
    </w:tbl>
    <w:p w14:paraId="01B05AAF" w14:textId="77777777" w:rsidR="00A16114" w:rsidRPr="005D407A" w:rsidRDefault="00C957D3" w:rsidP="005D407A">
      <w:pPr>
        <w:pStyle w:val="Notes-TableFigure"/>
        <w:rPr>
          <w:b/>
          <w:bCs/>
          <w:u w:val="single"/>
        </w:rPr>
      </w:pPr>
      <w:r w:rsidRPr="005D407A">
        <w:rPr>
          <w:b/>
          <w:bCs/>
          <w:u w:val="single"/>
        </w:rPr>
        <w:t xml:space="preserve">Abbreviations: </w:t>
      </w:r>
    </w:p>
    <w:p w14:paraId="4F85A98E" w14:textId="5A1C29BF" w:rsidR="00C957D3" w:rsidRPr="00725037" w:rsidRDefault="00DE1A6D" w:rsidP="005D407A">
      <w:pPr>
        <w:pStyle w:val="Notes-TableFigure"/>
      </w:pPr>
      <w:r w:rsidRPr="005D407A">
        <w:rPr>
          <w:b/>
          <w:bCs/>
        </w:rPr>
        <w:t>AMR</w:t>
      </w:r>
      <w:r w:rsidR="006A6A1F">
        <w:t xml:space="preserve"> = </w:t>
      </w:r>
      <w:r w:rsidRPr="00725037">
        <w:t xml:space="preserve">Antibody mediated rejection; </w:t>
      </w:r>
      <w:proofErr w:type="spellStart"/>
      <w:r w:rsidR="00C957D3" w:rsidRPr="005D407A">
        <w:rPr>
          <w:b/>
          <w:bCs/>
        </w:rPr>
        <w:t>cPRA</w:t>
      </w:r>
      <w:proofErr w:type="spellEnd"/>
      <w:r w:rsidR="006A6A1F">
        <w:t xml:space="preserve"> = </w:t>
      </w:r>
      <w:r w:rsidR="005E7AE7">
        <w:t>c</w:t>
      </w:r>
      <w:r w:rsidR="00C957D3" w:rsidRPr="00725037">
        <w:t xml:space="preserve">alculated panel-reactive antibody; </w:t>
      </w:r>
      <w:r w:rsidRPr="005D407A">
        <w:rPr>
          <w:b/>
          <w:bCs/>
        </w:rPr>
        <w:t>DD</w:t>
      </w:r>
      <w:r w:rsidR="006A6A1F">
        <w:t xml:space="preserve"> =</w:t>
      </w:r>
      <w:r>
        <w:t xml:space="preserve"> deceased donor; </w:t>
      </w:r>
      <w:r w:rsidR="00C957D3" w:rsidRPr="005D407A">
        <w:rPr>
          <w:b/>
          <w:bCs/>
        </w:rPr>
        <w:t>eGFR</w:t>
      </w:r>
      <w:r w:rsidR="006A6A1F">
        <w:t xml:space="preserve"> =</w:t>
      </w:r>
      <w:r w:rsidR="00C957D3" w:rsidRPr="00725037">
        <w:t xml:space="preserve"> estimated glomerular filtration rate.</w:t>
      </w:r>
    </w:p>
    <w:p w14:paraId="3E1E477F" w14:textId="3CD69236" w:rsidR="00E271F3" w:rsidRDefault="00E271F3" w:rsidP="00E271F3">
      <w:r>
        <w:t xml:space="preserve">The </w:t>
      </w:r>
      <w:r w:rsidR="005D6C3F" w:rsidRPr="005D6C3F">
        <w:t>intended</w:t>
      </w:r>
      <w:r>
        <w:t xml:space="preserve"> population for </w:t>
      </w:r>
      <w:r w:rsidR="0072785A">
        <w:t xml:space="preserve">imlifidase </w:t>
      </w:r>
      <w:r w:rsidR="005D6C3F" w:rsidRPr="005D6C3F">
        <w:t>consists of</w:t>
      </w:r>
      <w:r w:rsidR="00F17A57">
        <w:t xml:space="preserve"> patients </w:t>
      </w:r>
      <w:r w:rsidR="005D6C3F" w:rsidRPr="005D6C3F">
        <w:t>actively registered</w:t>
      </w:r>
      <w:r w:rsidR="005F667D" w:rsidRPr="005F667D">
        <w:t xml:space="preserve"> on </w:t>
      </w:r>
      <w:r w:rsidR="00864C65">
        <w:t>DD</w:t>
      </w:r>
      <w:r w:rsidR="00864C65" w:rsidRPr="005F667D">
        <w:t xml:space="preserve"> </w:t>
      </w:r>
      <w:r w:rsidR="005F667D" w:rsidRPr="005F667D">
        <w:t xml:space="preserve">and/or </w:t>
      </w:r>
      <w:r w:rsidR="00864C65">
        <w:t>LD</w:t>
      </w:r>
      <w:r w:rsidR="00864C65" w:rsidRPr="005F667D">
        <w:t xml:space="preserve"> </w:t>
      </w:r>
      <w:r w:rsidR="005D6C3F" w:rsidRPr="005D6C3F">
        <w:t>lists, irrespective of donor characteristics (donor-</w:t>
      </w:r>
      <w:r w:rsidR="005F667D" w:rsidRPr="005F667D">
        <w:t>agnostic</w:t>
      </w:r>
      <w:r w:rsidR="005D6C3F" w:rsidRPr="005D6C3F">
        <w:t xml:space="preserve">), with </w:t>
      </w:r>
      <w:r w:rsidR="005F667D" w:rsidRPr="005F667D">
        <w:t xml:space="preserve">a </w:t>
      </w:r>
      <w:proofErr w:type="spellStart"/>
      <w:r w:rsidR="005F667D" w:rsidRPr="005F667D">
        <w:t>cPRA</w:t>
      </w:r>
      <w:proofErr w:type="spellEnd"/>
      <w:r w:rsidR="005D6C3F" w:rsidRPr="005D6C3F">
        <w:t xml:space="preserve"> </w:t>
      </w:r>
      <w:r w:rsidR="005F667D" w:rsidRPr="005F667D">
        <w:t xml:space="preserve">≥95% and </w:t>
      </w:r>
      <w:r w:rsidR="005D6C3F" w:rsidRPr="005D6C3F">
        <w:t xml:space="preserve">a </w:t>
      </w:r>
      <w:r w:rsidR="005F667D" w:rsidRPr="005F667D">
        <w:t>positive</w:t>
      </w:r>
      <w:r w:rsidR="005D6C3F" w:rsidRPr="005D6C3F">
        <w:t xml:space="preserve"> crossmatch. </w:t>
      </w:r>
      <w:r w:rsidR="00771092">
        <w:t>P</w:t>
      </w:r>
      <w:r w:rsidR="005D6C3F" w:rsidRPr="005D6C3F">
        <w:t xml:space="preserve">atients must have spent a minimum of one year </w:t>
      </w:r>
      <w:r w:rsidR="005F667D" w:rsidRPr="005F667D">
        <w:t xml:space="preserve">on the DD waitlist and/or the Australian and New Zealand Kidney Exchange (ANZKX) </w:t>
      </w:r>
      <w:r w:rsidR="005D6C3F" w:rsidRPr="005D6C3F">
        <w:t xml:space="preserve">for </w:t>
      </w:r>
      <w:r w:rsidR="007E47C9">
        <w:t>LDs</w:t>
      </w:r>
      <w:r w:rsidR="005D6C3F" w:rsidRPr="005D6C3F">
        <w:t xml:space="preserve">. These criteria define a pool of potential candidates from which </w:t>
      </w:r>
      <w:r w:rsidR="007E47C9">
        <w:t>a</w:t>
      </w:r>
      <w:r w:rsidR="007E47C9" w:rsidRPr="005D6C3F">
        <w:t xml:space="preserve"> </w:t>
      </w:r>
      <w:r w:rsidR="005D6C3F" w:rsidRPr="005D6C3F">
        <w:t>treating physician specifically identifies imlifidase recipients</w:t>
      </w:r>
      <w:r w:rsidR="00835736">
        <w:t>,</w:t>
      </w:r>
      <w:r w:rsidR="005D6C3F" w:rsidRPr="005D6C3F">
        <w:t xml:space="preserve"> after confirming that all other transplant options have been thoroughly explored.</w:t>
      </w:r>
    </w:p>
    <w:p w14:paraId="70EA42E9" w14:textId="183C391E" w:rsidR="00C37368" w:rsidRPr="00E271F3" w:rsidRDefault="00C37368" w:rsidP="00E271F3">
      <w:proofErr w:type="gramStart"/>
      <w:r w:rsidRPr="00691B15">
        <w:t>In light of</w:t>
      </w:r>
      <w:proofErr w:type="gramEnd"/>
      <w:r w:rsidRPr="00691B15">
        <w:t xml:space="preserve"> the most recent waitlist statistics MSAC has recommended that </w:t>
      </w:r>
      <w:r w:rsidR="005654C2" w:rsidRPr="00691B15">
        <w:t xml:space="preserve">patients with </w:t>
      </w:r>
      <w:r w:rsidR="00F07362">
        <w:br/>
      </w:r>
      <w:proofErr w:type="spellStart"/>
      <w:r w:rsidR="005654C2" w:rsidRPr="00691B15">
        <w:t>cPRA</w:t>
      </w:r>
      <w:proofErr w:type="spellEnd"/>
      <w:r w:rsidR="005654C2" w:rsidRPr="00691B15">
        <w:t> 95–99%, who have the highest rate of transplantation given recent changes in allocation algorithms, should not be included in the eligible population and el</w:t>
      </w:r>
      <w:r w:rsidR="00E23FF5" w:rsidRPr="00691B15">
        <w:t>i</w:t>
      </w:r>
      <w:r w:rsidR="005654C2" w:rsidRPr="00691B15">
        <w:t xml:space="preserve">gibility should be restricted to patients with </w:t>
      </w:r>
      <w:proofErr w:type="spellStart"/>
      <w:r w:rsidR="005654C2" w:rsidRPr="00691B15">
        <w:t>cPRA</w:t>
      </w:r>
      <w:proofErr w:type="spellEnd"/>
      <w:r w:rsidR="005654C2" w:rsidRPr="00691B15">
        <w:t> </w:t>
      </w:r>
      <w:r w:rsidR="00DD459C" w:rsidRPr="00691B15">
        <w:t xml:space="preserve">of </w:t>
      </w:r>
      <w:r w:rsidR="005654C2" w:rsidRPr="00691B15">
        <w:t>99%</w:t>
      </w:r>
      <w:r w:rsidR="00DD459C" w:rsidRPr="00691B15">
        <w:t xml:space="preserve"> and above</w:t>
      </w:r>
      <w:r w:rsidR="00236842" w:rsidRPr="00691B15">
        <w:t xml:space="preserve">. MSAC further considered that for those on the LD waiting list, eligibility should also be limited to who have failed plasma exchange desensitisation </w:t>
      </w:r>
      <w:r w:rsidR="00613ED5" w:rsidRPr="00691B15">
        <w:t xml:space="preserve">treatment. MSAC recommended that </w:t>
      </w:r>
      <w:r w:rsidR="005654C2" w:rsidRPr="00691B15">
        <w:t>the final specification</w:t>
      </w:r>
      <w:r w:rsidR="00A32EA4" w:rsidRPr="00691B15">
        <w:t xml:space="preserve">s </w:t>
      </w:r>
      <w:r w:rsidR="00613ED5" w:rsidRPr="00691B15">
        <w:t xml:space="preserve">should be </w:t>
      </w:r>
      <w:r w:rsidR="00A32EA4" w:rsidRPr="00691B15">
        <w:t>dependent on the results of consultation with RTAC.</w:t>
      </w:r>
      <w:r w:rsidR="00A32EA4">
        <w:t xml:space="preserve"> </w:t>
      </w:r>
    </w:p>
    <w:p w14:paraId="66BDFCC1" w14:textId="3D0B2EC3" w:rsidR="00772829" w:rsidRDefault="002B180F" w:rsidP="002A18BE">
      <w:pPr>
        <w:pStyle w:val="Heading2"/>
        <w:numPr>
          <w:ilvl w:val="0"/>
          <w:numId w:val="0"/>
        </w:numPr>
      </w:pPr>
      <w:r>
        <w:t>8</w:t>
      </w:r>
      <w:r w:rsidR="00C36633">
        <w:t>.</w:t>
      </w:r>
      <w:r w:rsidR="00C36633">
        <w:tab/>
      </w:r>
      <w:r w:rsidR="00772829" w:rsidRPr="00CE28E3">
        <w:t>Comparator</w:t>
      </w:r>
      <w:bookmarkEnd w:id="8"/>
    </w:p>
    <w:p w14:paraId="34C8D764" w14:textId="3A38DFA9" w:rsidR="00751402" w:rsidRPr="00585BC0" w:rsidRDefault="002E0D35" w:rsidP="001C7702">
      <w:pPr>
        <w:rPr>
          <w:rFonts w:cs="Helvetica"/>
          <w:bCs/>
        </w:rPr>
      </w:pPr>
      <w:r>
        <w:rPr>
          <w:rFonts w:cs="Helvetica"/>
          <w:bCs/>
        </w:rPr>
        <w:t>No</w:t>
      </w:r>
      <w:r w:rsidR="006C1C37">
        <w:rPr>
          <w:rFonts w:cs="Helvetica"/>
          <w:bCs/>
        </w:rPr>
        <w:t xml:space="preserve"> equivalent </w:t>
      </w:r>
      <w:r w:rsidR="00CB472B" w:rsidRPr="00CB472B">
        <w:rPr>
          <w:rFonts w:cs="Helvetica"/>
          <w:bCs/>
        </w:rPr>
        <w:t>therapy enables kidney transplantation</w:t>
      </w:r>
      <w:r w:rsidR="001C7702" w:rsidRPr="000873B3">
        <w:rPr>
          <w:rFonts w:cs="Helvetica"/>
        </w:rPr>
        <w:t xml:space="preserve"> in </w:t>
      </w:r>
      <w:r w:rsidR="00CB472B" w:rsidRPr="00CB472B">
        <w:rPr>
          <w:rFonts w:cs="Helvetica"/>
          <w:bCs/>
        </w:rPr>
        <w:t>HS patients with little or no access to transplantation.</w:t>
      </w:r>
      <w:r w:rsidR="001C7702" w:rsidRPr="00CB472B">
        <w:rPr>
          <w:rFonts w:cs="Helvetica"/>
          <w:b/>
        </w:rPr>
        <w:t xml:space="preserve"> </w:t>
      </w:r>
      <w:r w:rsidR="00D673A3">
        <w:rPr>
          <w:rFonts w:cs="Helvetica"/>
          <w:bCs/>
        </w:rPr>
        <w:t xml:space="preserve">The </w:t>
      </w:r>
      <w:r w:rsidR="00ED3779">
        <w:rPr>
          <w:rFonts w:cs="Helvetica"/>
          <w:bCs/>
        </w:rPr>
        <w:t>commentary</w:t>
      </w:r>
      <w:r w:rsidR="00594E71">
        <w:rPr>
          <w:rFonts w:cs="Helvetica"/>
          <w:bCs/>
        </w:rPr>
        <w:t xml:space="preserve"> agreed that the </w:t>
      </w:r>
      <w:r w:rsidR="0025602D">
        <w:rPr>
          <w:rFonts w:cs="Helvetica"/>
          <w:bCs/>
        </w:rPr>
        <w:t>compar</w:t>
      </w:r>
      <w:r w:rsidR="00EE4137">
        <w:rPr>
          <w:rFonts w:cs="Helvetica"/>
          <w:bCs/>
        </w:rPr>
        <w:t xml:space="preserve">ator </w:t>
      </w:r>
      <w:r w:rsidR="000E4D82">
        <w:rPr>
          <w:rFonts w:cs="Helvetica"/>
          <w:bCs/>
        </w:rPr>
        <w:t xml:space="preserve">to </w:t>
      </w:r>
      <w:r w:rsidR="00625E51" w:rsidRPr="00625E51">
        <w:rPr>
          <w:rFonts w:cs="Helvetica"/>
          <w:bCs/>
        </w:rPr>
        <w:t>imlifidase is continuation on the transplant waitlist</w:t>
      </w:r>
      <w:r w:rsidR="00494B7F">
        <w:rPr>
          <w:rFonts w:cs="Helvetica"/>
          <w:bCs/>
        </w:rPr>
        <w:t xml:space="preserve"> for </w:t>
      </w:r>
      <w:r w:rsidR="00494B7F" w:rsidRPr="00625E51">
        <w:rPr>
          <w:rFonts w:cs="Helvetica"/>
          <w:bCs/>
        </w:rPr>
        <w:t xml:space="preserve">patients </w:t>
      </w:r>
      <w:r w:rsidR="00625E51" w:rsidRPr="00625E51">
        <w:rPr>
          <w:rFonts w:cs="Helvetica"/>
          <w:bCs/>
        </w:rPr>
        <w:t>who will receive ongoing dialysis treatments (either h</w:t>
      </w:r>
      <w:r w:rsidR="00625E51">
        <w:rPr>
          <w:rFonts w:cs="Helvetica"/>
          <w:bCs/>
        </w:rPr>
        <w:t>a</w:t>
      </w:r>
      <w:r w:rsidR="00625E51" w:rsidRPr="00625E51">
        <w:rPr>
          <w:rFonts w:cs="Helvetica"/>
          <w:bCs/>
        </w:rPr>
        <w:t xml:space="preserve">emodialysis or peritoneal) until a </w:t>
      </w:r>
      <w:r w:rsidR="00625E51">
        <w:rPr>
          <w:rFonts w:cs="Helvetica"/>
          <w:bCs/>
        </w:rPr>
        <w:t>transplant becomes available.</w:t>
      </w:r>
      <w:r w:rsidR="00A528CE">
        <w:rPr>
          <w:rFonts w:cs="Helvetica"/>
          <w:bCs/>
        </w:rPr>
        <w:t xml:space="preserve"> </w:t>
      </w:r>
      <w:r w:rsidR="00A528CE" w:rsidRPr="00A528CE">
        <w:rPr>
          <w:rFonts w:cs="Helvetica"/>
          <w:bCs/>
        </w:rPr>
        <w:t>These patients remain active on the waiting list</w:t>
      </w:r>
      <w:r w:rsidR="00494B7F">
        <w:rPr>
          <w:rFonts w:cs="Helvetica"/>
          <w:bCs/>
        </w:rPr>
        <w:t>. A</w:t>
      </w:r>
      <w:r w:rsidR="00A528CE" w:rsidRPr="00A528CE">
        <w:rPr>
          <w:rFonts w:cs="Helvetica"/>
          <w:bCs/>
        </w:rPr>
        <w:t xml:space="preserve">lthough transplants will still </w:t>
      </w:r>
      <w:r>
        <w:rPr>
          <w:rFonts w:cs="Helvetica"/>
          <w:bCs/>
        </w:rPr>
        <w:t>occur</w:t>
      </w:r>
      <w:r w:rsidR="00A528CE" w:rsidRPr="00A528CE">
        <w:rPr>
          <w:rFonts w:cs="Helvetica"/>
          <w:bCs/>
        </w:rPr>
        <w:t xml:space="preserve">, they will occur at a reduced rate compared to those receiving </w:t>
      </w:r>
      <w:r w:rsidR="00563B8E">
        <w:rPr>
          <w:rFonts w:cs="Helvetica"/>
          <w:bCs/>
        </w:rPr>
        <w:t>im</w:t>
      </w:r>
      <w:r w:rsidR="00280F15">
        <w:rPr>
          <w:rFonts w:cs="Helvetica"/>
          <w:bCs/>
        </w:rPr>
        <w:t>lifidase.</w:t>
      </w:r>
    </w:p>
    <w:p w14:paraId="71799F90" w14:textId="1514246B" w:rsidR="00751402" w:rsidRDefault="00BC3B31" w:rsidP="001C7702">
      <w:pPr>
        <w:spacing w:after="120" w:line="276" w:lineRule="auto"/>
      </w:pPr>
      <w:r>
        <w:t xml:space="preserve">The </w:t>
      </w:r>
      <w:r w:rsidR="00DE1420">
        <w:t>commentary</w:t>
      </w:r>
      <w:r>
        <w:t xml:space="preserve"> noted</w:t>
      </w:r>
      <w:r w:rsidR="00751402" w:rsidRPr="000873B3">
        <w:t xml:space="preserve"> that effectiveness and safety data for the comparator </w:t>
      </w:r>
      <w:r w:rsidR="004F4043">
        <w:t>could not</w:t>
      </w:r>
      <w:r w:rsidR="00327B37" w:rsidRPr="00327B37">
        <w:t xml:space="preserve"> be obtained</w:t>
      </w:r>
      <w:r w:rsidR="00751402" w:rsidRPr="000873B3">
        <w:t xml:space="preserve"> from a single source, </w:t>
      </w:r>
      <w:r w:rsidR="00327B37" w:rsidRPr="00327B37">
        <w:t>as</w:t>
      </w:r>
      <w:r w:rsidR="00751402" w:rsidRPr="000873B3">
        <w:t xml:space="preserve"> it </w:t>
      </w:r>
      <w:r w:rsidR="00327B37" w:rsidRPr="00327B37">
        <w:t>pertains to</w:t>
      </w:r>
      <w:r w:rsidR="00751402" w:rsidRPr="000873B3">
        <w:t xml:space="preserve"> a </w:t>
      </w:r>
      <w:r w:rsidR="00327B37" w:rsidRPr="00327B37">
        <w:t xml:space="preserve">specific </w:t>
      </w:r>
      <w:r w:rsidR="00751402" w:rsidRPr="000873B3">
        <w:t xml:space="preserve">subpopulation of </w:t>
      </w:r>
      <w:r w:rsidR="002A6C4A">
        <w:t>HS</w:t>
      </w:r>
      <w:r w:rsidR="00751402" w:rsidRPr="000873B3">
        <w:t xml:space="preserve"> patients on transplant waiting lists for at least one year</w:t>
      </w:r>
      <w:r w:rsidR="00327B37" w:rsidRPr="00327B37">
        <w:t>. These patients</w:t>
      </w:r>
      <w:r w:rsidR="00751402" w:rsidRPr="000873B3">
        <w:t xml:space="preserve"> either </w:t>
      </w:r>
      <w:r w:rsidR="00327B37" w:rsidRPr="00327B37">
        <w:t>continue with</w:t>
      </w:r>
      <w:r w:rsidR="00751402" w:rsidRPr="000873B3">
        <w:t xml:space="preserve"> haemodialysis or, in a </w:t>
      </w:r>
      <w:r w:rsidR="00327B37" w:rsidRPr="00327B37">
        <w:t>limited number</w:t>
      </w:r>
      <w:r w:rsidR="00751402" w:rsidRPr="000873B3">
        <w:t xml:space="preserve"> of cases, </w:t>
      </w:r>
      <w:r w:rsidR="00327B37" w:rsidRPr="00327B37">
        <w:t>undergo transplantation</w:t>
      </w:r>
      <w:r w:rsidR="00751402" w:rsidRPr="000873B3">
        <w:t xml:space="preserve"> after </w:t>
      </w:r>
      <w:r w:rsidR="00327B37" w:rsidRPr="00327B37">
        <w:t xml:space="preserve">spending over a </w:t>
      </w:r>
      <w:r w:rsidR="00751402" w:rsidRPr="000873B3">
        <w:t>year on the waiting list.</w:t>
      </w:r>
    </w:p>
    <w:p w14:paraId="63E4B88D" w14:textId="0814B282" w:rsidR="004B4BAD" w:rsidRPr="001C7702" w:rsidRDefault="004B4BAD" w:rsidP="001C7702">
      <w:pPr>
        <w:spacing w:after="120" w:line="276" w:lineRule="auto"/>
        <w:rPr>
          <w:rFonts w:ascii="Helvetica" w:hAnsi="Helvetica"/>
        </w:rPr>
      </w:pPr>
      <w:r w:rsidRPr="00691B15">
        <w:t xml:space="preserve">However MSAC </w:t>
      </w:r>
      <w:r w:rsidR="00790E0C" w:rsidRPr="00691B15">
        <w:t>considered that i</w:t>
      </w:r>
      <w:r w:rsidRPr="00691B15">
        <w:t xml:space="preserve">nsufficient attention was placed on potential alternatives as comparators including plasma exchange and other desensitisation protocols </w:t>
      </w:r>
      <w:r w:rsidR="00826D44" w:rsidRPr="00826D44">
        <w:t>for patients who are LD and DD kidney recipients and desensitisation enabling participation in paired exchange with Living Related Donors (LRDs)</w:t>
      </w:r>
      <w:r w:rsidR="00790E0C" w:rsidRPr="00826D44">
        <w:t>.</w:t>
      </w:r>
    </w:p>
    <w:p w14:paraId="47BC3A84" w14:textId="36C1E4F0" w:rsidR="00772829" w:rsidRDefault="002B180F" w:rsidP="002A18BE">
      <w:pPr>
        <w:pStyle w:val="Heading2"/>
        <w:numPr>
          <w:ilvl w:val="0"/>
          <w:numId w:val="0"/>
        </w:numPr>
      </w:pPr>
      <w:bookmarkStart w:id="10" w:name="_Toc69491421"/>
      <w:r>
        <w:t>9</w:t>
      </w:r>
      <w:r w:rsidR="00C36633" w:rsidRPr="005A116D">
        <w:t>.</w:t>
      </w:r>
      <w:r w:rsidR="00C36633" w:rsidRPr="005A116D">
        <w:tab/>
      </w:r>
      <w:r w:rsidR="00772829" w:rsidRPr="005A116D">
        <w:t xml:space="preserve">Summary of public consultation </w:t>
      </w:r>
      <w:r w:rsidR="0052575D" w:rsidRPr="005A116D">
        <w:t>input</w:t>
      </w:r>
      <w:bookmarkEnd w:id="10"/>
    </w:p>
    <w:p w14:paraId="21DED10E" w14:textId="495894C1" w:rsidR="003D0FB2" w:rsidRPr="001D0DAC" w:rsidRDefault="72737111" w:rsidP="003D0FB2">
      <w:pPr>
        <w:spacing w:after="120"/>
      </w:pPr>
      <w:bookmarkStart w:id="11" w:name="_Toc69491422"/>
      <w:r>
        <w:t>C</w:t>
      </w:r>
      <w:r w:rsidR="12C876C6">
        <w:t>onsultation</w:t>
      </w:r>
      <w:r w:rsidR="003D0FB2" w:rsidRPr="00F66BCF">
        <w:t xml:space="preserve"> input</w:t>
      </w:r>
      <w:r w:rsidR="009047CB">
        <w:t xml:space="preserve"> was received</w:t>
      </w:r>
      <w:r w:rsidR="003D0FB2" w:rsidRPr="00F66BCF">
        <w:t xml:space="preserve"> from 1 professional organisation, 1 consumer organisation and 3 individuals</w:t>
      </w:r>
      <w:r w:rsidR="00EF624B">
        <w:t xml:space="preserve"> (</w:t>
      </w:r>
      <w:r w:rsidR="003D0FB2" w:rsidRPr="00F67EF9">
        <w:t>1 consumer and 2 medical professionals</w:t>
      </w:r>
      <w:r w:rsidR="00EF624B">
        <w:t>)</w:t>
      </w:r>
      <w:r w:rsidR="003D0FB2" w:rsidRPr="00F67EF9">
        <w:t xml:space="preserve">. The </w:t>
      </w:r>
      <w:r w:rsidR="008F19C4">
        <w:t xml:space="preserve">following </w:t>
      </w:r>
      <w:r w:rsidR="003D0FB2" w:rsidRPr="001D0DAC">
        <w:t xml:space="preserve">organisations submitted input: </w:t>
      </w:r>
    </w:p>
    <w:p w14:paraId="7C06D189" w14:textId="77777777" w:rsidR="003D0FB2" w:rsidRPr="001D0DAC" w:rsidRDefault="003D0FB2" w:rsidP="00D1462A">
      <w:pPr>
        <w:numPr>
          <w:ilvl w:val="0"/>
          <w:numId w:val="17"/>
        </w:numPr>
        <w:spacing w:after="120"/>
        <w:contextualSpacing/>
      </w:pPr>
      <w:r w:rsidRPr="001D0DAC">
        <w:t>Kidney Health Australia</w:t>
      </w:r>
    </w:p>
    <w:p w14:paraId="2CA1719A" w14:textId="2D65F690" w:rsidR="003D0FB2" w:rsidRPr="001D0DAC" w:rsidRDefault="003D0FB2" w:rsidP="00D1462A">
      <w:pPr>
        <w:numPr>
          <w:ilvl w:val="0"/>
          <w:numId w:val="17"/>
        </w:numPr>
        <w:spacing w:after="120"/>
        <w:ind w:left="714" w:hanging="357"/>
      </w:pPr>
      <w:r w:rsidRPr="001D0DAC">
        <w:t>Prince of Wales Transplant Unit, East Coast Transplant Service</w:t>
      </w:r>
    </w:p>
    <w:p w14:paraId="488FEC19" w14:textId="533D1A26" w:rsidR="003D0FB2" w:rsidRPr="00B14453" w:rsidRDefault="003D0FB2" w:rsidP="003D0FB2">
      <w:r w:rsidRPr="001D0DAC">
        <w:t xml:space="preserve">The consultation feedback received was all supportive of public funding for imlifidase as a desensitisation treatment to enable kidney transplant in </w:t>
      </w:r>
      <w:r w:rsidR="00182F6F">
        <w:t>HS</w:t>
      </w:r>
      <w:r w:rsidRPr="00F66BCF">
        <w:t xml:space="preserve"> adult transplant </w:t>
      </w:r>
      <w:r w:rsidRPr="00B14453">
        <w:t xml:space="preserve">candidates. </w:t>
      </w:r>
    </w:p>
    <w:p w14:paraId="54615C0A" w14:textId="77777777" w:rsidR="003D0FB2" w:rsidRPr="00D8129A" w:rsidRDefault="003D0FB2" w:rsidP="00E76072">
      <w:pPr>
        <w:pStyle w:val="Heading3"/>
      </w:pPr>
      <w:r w:rsidRPr="77063A8A">
        <w:t>Clinical need and public health significance</w:t>
      </w:r>
    </w:p>
    <w:p w14:paraId="3614C71F" w14:textId="0397E6E1" w:rsidR="003D0FB2" w:rsidRPr="00D8129A" w:rsidRDefault="003D0FB2" w:rsidP="00D1462A">
      <w:pPr>
        <w:numPr>
          <w:ilvl w:val="0"/>
          <w:numId w:val="16"/>
        </w:numPr>
        <w:ind w:left="284" w:hanging="284"/>
        <w:contextualSpacing/>
      </w:pPr>
      <w:r>
        <w:t xml:space="preserve">The main benefits of public funding </w:t>
      </w:r>
      <w:r w:rsidR="00EF7129">
        <w:t>noted</w:t>
      </w:r>
      <w:r>
        <w:t xml:space="preserve"> in the consultation feedback were related to the benefits of kidney transplantation and no </w:t>
      </w:r>
      <w:r w:rsidR="00A9307A">
        <w:t xml:space="preserve">ongoing </w:t>
      </w:r>
      <w:r>
        <w:t>need</w:t>
      </w:r>
      <w:r w:rsidR="00A9307A">
        <w:t xml:space="preserve"> for</w:t>
      </w:r>
      <w:r>
        <w:t xml:space="preserve"> dialysis. This included: </w:t>
      </w:r>
    </w:p>
    <w:p w14:paraId="5627C1C8" w14:textId="6B4D6D68" w:rsidR="003D0FB2" w:rsidRPr="00D8129A" w:rsidRDefault="005F6223" w:rsidP="00D1462A">
      <w:pPr>
        <w:numPr>
          <w:ilvl w:val="1"/>
          <w:numId w:val="16"/>
        </w:numPr>
        <w:ind w:left="567" w:hanging="283"/>
        <w:contextualSpacing/>
      </w:pPr>
      <w:r>
        <w:t>i</w:t>
      </w:r>
      <w:r w:rsidR="003D0FB2">
        <w:t xml:space="preserve">mproved quality and quantity of life </w:t>
      </w:r>
      <w:r w:rsidR="00BE3223">
        <w:t>after</w:t>
      </w:r>
      <w:r w:rsidR="003D0FB2">
        <w:t xml:space="preserve"> kidney transplant</w:t>
      </w:r>
      <w:r w:rsidR="00BE3223">
        <w:t>ation</w:t>
      </w:r>
      <w:r w:rsidR="003D0FB2">
        <w:t xml:space="preserve"> for the recipient and their family</w:t>
      </w:r>
    </w:p>
    <w:p w14:paraId="4E420779" w14:textId="0E49D1D1" w:rsidR="003D0FB2" w:rsidRPr="00D8129A" w:rsidRDefault="00BE3223" w:rsidP="00D1462A">
      <w:pPr>
        <w:numPr>
          <w:ilvl w:val="1"/>
          <w:numId w:val="16"/>
        </w:numPr>
        <w:ind w:left="567" w:hanging="283"/>
        <w:contextualSpacing/>
      </w:pPr>
      <w:r>
        <w:t>i</w:t>
      </w:r>
      <w:r w:rsidR="003D0FB2">
        <w:t>mproved equity</w:t>
      </w:r>
      <w:r>
        <w:t>,</w:t>
      </w:r>
      <w:r w:rsidR="003D0FB2">
        <w:t xml:space="preserve"> as it provides an additional option for desensitisation for </w:t>
      </w:r>
      <w:r>
        <w:t>HS</w:t>
      </w:r>
      <w:r w:rsidR="003D0FB2">
        <w:t xml:space="preserve"> </w:t>
      </w:r>
      <w:proofErr w:type="gramStart"/>
      <w:r w:rsidR="00A9307A">
        <w:t>patients</w:t>
      </w:r>
      <w:proofErr w:type="gramEnd"/>
    </w:p>
    <w:p w14:paraId="5625836C" w14:textId="343E38C1" w:rsidR="003D0FB2" w:rsidRPr="00D8129A" w:rsidRDefault="00841CAC" w:rsidP="00D1462A">
      <w:pPr>
        <w:numPr>
          <w:ilvl w:val="1"/>
          <w:numId w:val="16"/>
        </w:numPr>
        <w:ind w:left="567" w:hanging="283"/>
        <w:contextualSpacing/>
      </w:pPr>
      <w:r>
        <w:t>a</w:t>
      </w:r>
      <w:r w:rsidR="003D0FB2">
        <w:t xml:space="preserve">voiding dialysis </w:t>
      </w:r>
      <w:r>
        <w:t>(</w:t>
      </w:r>
      <w:r w:rsidR="00737C24">
        <w:t>a restrictive treatment), allowing</w:t>
      </w:r>
      <w:r w:rsidR="003D0FB2">
        <w:t xml:space="preserve"> patients to return to work and other </w:t>
      </w:r>
      <w:proofErr w:type="gramStart"/>
      <w:r w:rsidR="003D0FB2">
        <w:t>roles</w:t>
      </w:r>
      <w:proofErr w:type="gramEnd"/>
    </w:p>
    <w:p w14:paraId="782FB799" w14:textId="7580F444" w:rsidR="003D0FB2" w:rsidRPr="00D8129A" w:rsidRDefault="00857F0F" w:rsidP="00D1462A">
      <w:pPr>
        <w:numPr>
          <w:ilvl w:val="1"/>
          <w:numId w:val="16"/>
        </w:numPr>
        <w:ind w:left="567" w:hanging="283"/>
        <w:contextualSpacing/>
      </w:pPr>
      <w:r>
        <w:t>imlifidase i</w:t>
      </w:r>
      <w:r w:rsidR="003D0FB2">
        <w:t xml:space="preserve">ntervention </w:t>
      </w:r>
      <w:r w:rsidR="00A9307A">
        <w:t>un</w:t>
      </w:r>
      <w:r w:rsidR="003D0FB2">
        <w:t xml:space="preserve">available if not publicly </w:t>
      </w:r>
      <w:proofErr w:type="gramStart"/>
      <w:r w:rsidR="003D0FB2">
        <w:t>funded</w:t>
      </w:r>
      <w:proofErr w:type="gramEnd"/>
    </w:p>
    <w:p w14:paraId="59A361F7" w14:textId="2E9BC647" w:rsidR="003D0FB2" w:rsidRPr="00D8129A" w:rsidRDefault="003D0FB2" w:rsidP="00D1462A">
      <w:pPr>
        <w:numPr>
          <w:ilvl w:val="1"/>
          <w:numId w:val="16"/>
        </w:numPr>
        <w:ind w:left="567" w:hanging="283"/>
        <w:contextualSpacing/>
      </w:pPr>
      <w:r>
        <w:t>successful transplant</w:t>
      </w:r>
      <w:r w:rsidR="000D08E4">
        <w:t>ation</w:t>
      </w:r>
      <w:r>
        <w:t xml:space="preserve"> using imlifidase is </w:t>
      </w:r>
      <w:proofErr w:type="gramStart"/>
      <w:r>
        <w:t>cost</w:t>
      </w:r>
      <w:r w:rsidR="000D08E4">
        <w:t>-</w:t>
      </w:r>
      <w:r>
        <w:t>saving</w:t>
      </w:r>
      <w:proofErr w:type="gramEnd"/>
      <w:r>
        <w:t xml:space="preserve"> in the long-term</w:t>
      </w:r>
      <w:r w:rsidR="000D08E4">
        <w:t>, as dialysis is a costly service</w:t>
      </w:r>
    </w:p>
    <w:p w14:paraId="6BF22475" w14:textId="33B59961" w:rsidR="003D0FB2" w:rsidRPr="00D8129A" w:rsidRDefault="003D0FB2" w:rsidP="00D1462A">
      <w:pPr>
        <w:numPr>
          <w:ilvl w:val="0"/>
          <w:numId w:val="16"/>
        </w:numPr>
        <w:ind w:left="284" w:hanging="284"/>
        <w:contextualSpacing/>
      </w:pPr>
      <w:r>
        <w:t xml:space="preserve">The main disadvantages of public funding </w:t>
      </w:r>
      <w:r w:rsidR="00857F0F">
        <w:t xml:space="preserve">as </w:t>
      </w:r>
      <w:r>
        <w:t>received in the consultation feedback included:</w:t>
      </w:r>
    </w:p>
    <w:p w14:paraId="436D93A4" w14:textId="4C1A19FD" w:rsidR="003D0FB2" w:rsidRPr="00D8129A" w:rsidRDefault="003D0FB2" w:rsidP="00D1462A">
      <w:pPr>
        <w:numPr>
          <w:ilvl w:val="1"/>
          <w:numId w:val="16"/>
        </w:numPr>
        <w:ind w:left="567" w:hanging="283"/>
        <w:contextualSpacing/>
      </w:pPr>
      <w:r>
        <w:t>lack of long</w:t>
      </w:r>
      <w:r w:rsidR="00857F0F">
        <w:t>-</w:t>
      </w:r>
      <w:r>
        <w:t>term data</w:t>
      </w:r>
    </w:p>
    <w:p w14:paraId="5DC5CD39" w14:textId="6B546CAF" w:rsidR="003D0FB2" w:rsidRPr="00D8129A" w:rsidRDefault="003D0FB2" w:rsidP="00D1462A">
      <w:pPr>
        <w:numPr>
          <w:ilvl w:val="1"/>
          <w:numId w:val="16"/>
        </w:numPr>
        <w:ind w:left="567" w:hanging="283"/>
        <w:contextualSpacing/>
      </w:pPr>
      <w:r>
        <w:t xml:space="preserve">intense post-transplant monitoring </w:t>
      </w:r>
      <w:r w:rsidR="00857F0F">
        <w:t xml:space="preserve">(e.g. </w:t>
      </w:r>
      <w:r>
        <w:t>biopsies, monitoring for rejection in the first year</w:t>
      </w:r>
      <w:r w:rsidR="00857F0F">
        <w:t>)</w:t>
      </w:r>
    </w:p>
    <w:p w14:paraId="085EEAF6" w14:textId="4CF25AA5" w:rsidR="003D0FB2" w:rsidRPr="00D8129A" w:rsidRDefault="00F570F5" w:rsidP="00D1462A">
      <w:pPr>
        <w:numPr>
          <w:ilvl w:val="1"/>
          <w:numId w:val="16"/>
        </w:numPr>
        <w:ind w:left="567" w:hanging="283"/>
        <w:contextualSpacing/>
      </w:pPr>
      <w:r>
        <w:t>p</w:t>
      </w:r>
      <w:r w:rsidR="003D0FB2">
        <w:t xml:space="preserve">otential for </w:t>
      </w:r>
      <w:r>
        <w:t xml:space="preserve">unsuccessful </w:t>
      </w:r>
      <w:r w:rsidR="003D0FB2">
        <w:t xml:space="preserve">treatment compromising </w:t>
      </w:r>
      <w:r>
        <w:t>graft</w:t>
      </w:r>
      <w:r w:rsidR="003D0FB2">
        <w:t xml:space="preserve"> </w:t>
      </w:r>
      <w:proofErr w:type="gramStart"/>
      <w:r w:rsidR="003D0FB2">
        <w:t>survival</w:t>
      </w:r>
      <w:proofErr w:type="gramEnd"/>
      <w:r w:rsidR="003D0FB2">
        <w:t xml:space="preserve"> </w:t>
      </w:r>
    </w:p>
    <w:p w14:paraId="3C689E62" w14:textId="47BE993A" w:rsidR="003D0FB2" w:rsidRPr="00D8129A" w:rsidRDefault="00F570F5" w:rsidP="00D1462A">
      <w:pPr>
        <w:numPr>
          <w:ilvl w:val="1"/>
          <w:numId w:val="16"/>
        </w:numPr>
        <w:ind w:left="567" w:hanging="283"/>
        <w:contextualSpacing/>
      </w:pPr>
      <w:r>
        <w:t>g</w:t>
      </w:r>
      <w:r w:rsidR="003D0FB2">
        <w:t xml:space="preserve">eneral risks associated with </w:t>
      </w:r>
      <w:proofErr w:type="gramStart"/>
      <w:r w:rsidR="003D0FB2">
        <w:t>transplantation</w:t>
      </w:r>
      <w:proofErr w:type="gramEnd"/>
    </w:p>
    <w:p w14:paraId="1490E63A" w14:textId="493B2A68" w:rsidR="003D0FB2" w:rsidRPr="00D8129A" w:rsidRDefault="002A3D36" w:rsidP="00D1462A">
      <w:pPr>
        <w:numPr>
          <w:ilvl w:val="1"/>
          <w:numId w:val="16"/>
        </w:numPr>
        <w:ind w:left="567" w:hanging="283"/>
        <w:contextualSpacing/>
      </w:pPr>
      <w:r>
        <w:t xml:space="preserve">resource allocation (i.e. </w:t>
      </w:r>
      <w:r w:rsidR="00E25583">
        <w:t>allocation of a</w:t>
      </w:r>
      <w:r w:rsidR="003D0FB2">
        <w:t xml:space="preserve"> transplant </w:t>
      </w:r>
      <w:r w:rsidR="00E25583">
        <w:t>that</w:t>
      </w:r>
      <w:r w:rsidR="003D0FB2">
        <w:t xml:space="preserve"> could have otherwise gone to an alternate recipient where the risk of antibody rejection and associated graft failure, at least at the outset, is much lower</w:t>
      </w:r>
      <w:r>
        <w:t>)</w:t>
      </w:r>
    </w:p>
    <w:p w14:paraId="15DD03A2" w14:textId="0E7B43CD" w:rsidR="003D0FB2" w:rsidRPr="00D8129A" w:rsidRDefault="003D0FB2" w:rsidP="00D1462A">
      <w:pPr>
        <w:numPr>
          <w:ilvl w:val="0"/>
          <w:numId w:val="16"/>
        </w:numPr>
        <w:ind w:left="284" w:hanging="284"/>
        <w:contextualSpacing/>
      </w:pPr>
      <w:r>
        <w:t xml:space="preserve">Other services identified in the consultation feedback as </w:t>
      </w:r>
      <w:r w:rsidR="00017C33">
        <w:t>requiring</w:t>
      </w:r>
      <w:r>
        <w:t xml:space="preserve"> deliver</w:t>
      </w:r>
      <w:r w:rsidR="00017C33">
        <w:t>y</w:t>
      </w:r>
      <w:r>
        <w:t xml:space="preserve"> before or after the intervention included: </w:t>
      </w:r>
    </w:p>
    <w:p w14:paraId="5AE1190B" w14:textId="2C7939B4" w:rsidR="003D0FB2" w:rsidRPr="00D8129A" w:rsidRDefault="00017C33" w:rsidP="00D1462A">
      <w:pPr>
        <w:numPr>
          <w:ilvl w:val="1"/>
          <w:numId w:val="16"/>
        </w:numPr>
        <w:ind w:left="567" w:hanging="283"/>
        <w:contextualSpacing/>
      </w:pPr>
      <w:r>
        <w:t>p</w:t>
      </w:r>
      <w:r w:rsidR="003D0FB2">
        <w:t xml:space="preserve">athology testing services before and after transplantation including tissue typing, crossmatching and anatomical pathology for biopsy </w:t>
      </w:r>
      <w:proofErr w:type="gramStart"/>
      <w:r w:rsidR="003D0FB2">
        <w:t>review</w:t>
      </w:r>
      <w:proofErr w:type="gramEnd"/>
    </w:p>
    <w:p w14:paraId="088AA7DF" w14:textId="34B034A5" w:rsidR="003D0FB2" w:rsidRPr="00D8129A" w:rsidRDefault="00017C33" w:rsidP="00D1462A">
      <w:pPr>
        <w:numPr>
          <w:ilvl w:val="1"/>
          <w:numId w:val="16"/>
        </w:numPr>
        <w:ind w:left="567" w:hanging="283"/>
        <w:contextualSpacing/>
      </w:pPr>
      <w:r>
        <w:t>s</w:t>
      </w:r>
      <w:r w:rsidR="003D0FB2">
        <w:t>urgery</w:t>
      </w:r>
    </w:p>
    <w:p w14:paraId="4A56C691" w14:textId="139C3B86" w:rsidR="003D0FB2" w:rsidRPr="00D8129A" w:rsidRDefault="003D4D3C" w:rsidP="00D1462A">
      <w:pPr>
        <w:numPr>
          <w:ilvl w:val="1"/>
          <w:numId w:val="16"/>
        </w:numPr>
        <w:ind w:left="567" w:hanging="283"/>
        <w:contextualSpacing/>
      </w:pPr>
      <w:r>
        <w:t xml:space="preserve">assessment by dietitian, </w:t>
      </w:r>
      <w:r w:rsidR="005D2682">
        <w:t xml:space="preserve">psychologist and </w:t>
      </w:r>
      <w:r>
        <w:t xml:space="preserve">exercise physiologist; </w:t>
      </w:r>
      <w:r w:rsidR="00017C33">
        <w:t>e</w:t>
      </w:r>
      <w:r w:rsidR="003D0FB2">
        <w:t>ducation via transplant nursing coordinators</w:t>
      </w:r>
    </w:p>
    <w:p w14:paraId="7E0C771F" w14:textId="077992D7" w:rsidR="003D0FB2" w:rsidRPr="00D8129A" w:rsidRDefault="005D2682" w:rsidP="00D1462A">
      <w:pPr>
        <w:numPr>
          <w:ilvl w:val="1"/>
          <w:numId w:val="16"/>
        </w:numPr>
        <w:ind w:left="567" w:hanging="283"/>
        <w:contextualSpacing/>
      </w:pPr>
      <w:r>
        <w:t>d</w:t>
      </w:r>
      <w:r w:rsidR="003D0FB2">
        <w:t>rug therapies post-transplantation</w:t>
      </w:r>
    </w:p>
    <w:p w14:paraId="3F42E748" w14:textId="7C60B57D" w:rsidR="003D0FB2" w:rsidRPr="00D8129A" w:rsidRDefault="005D2682" w:rsidP="00D1462A">
      <w:pPr>
        <w:numPr>
          <w:ilvl w:val="1"/>
          <w:numId w:val="16"/>
        </w:numPr>
        <w:ind w:left="567" w:hanging="283"/>
        <w:contextualSpacing/>
      </w:pPr>
      <w:r>
        <w:t>p</w:t>
      </w:r>
      <w:r w:rsidR="003D0FB2">
        <w:t>lasma exchange services</w:t>
      </w:r>
    </w:p>
    <w:p w14:paraId="04AF9B4A" w14:textId="6AC0E7D9" w:rsidR="003D0FB2" w:rsidRPr="00D8129A" w:rsidRDefault="005D2682" w:rsidP="00D1462A">
      <w:pPr>
        <w:numPr>
          <w:ilvl w:val="1"/>
          <w:numId w:val="16"/>
        </w:numPr>
        <w:ind w:left="568" w:hanging="284"/>
      </w:pPr>
      <w:r>
        <w:t>o</w:t>
      </w:r>
      <w:r w:rsidR="003D0FB2">
        <w:t xml:space="preserve">ngoing </w:t>
      </w:r>
      <w:r>
        <w:t>postoperative</w:t>
      </w:r>
      <w:r w:rsidR="003D0FB2">
        <w:t xml:space="preserve"> monitoring for antibody mediated rejection. </w:t>
      </w:r>
    </w:p>
    <w:p w14:paraId="1FDFCAD6" w14:textId="77777777" w:rsidR="003D0FB2" w:rsidRPr="007840E5" w:rsidRDefault="003D0FB2" w:rsidP="00E76072">
      <w:pPr>
        <w:pStyle w:val="Heading3"/>
      </w:pPr>
      <w:r w:rsidRPr="77063A8A">
        <w:t xml:space="preserve">Additional comments </w:t>
      </w:r>
    </w:p>
    <w:p w14:paraId="677538D3" w14:textId="21001710" w:rsidR="003D0FB2" w:rsidRPr="00D8129A" w:rsidRDefault="00515306" w:rsidP="003D0FB2">
      <w:r>
        <w:t>One</w:t>
      </w:r>
      <w:r w:rsidR="003D0FB2">
        <w:t xml:space="preserve"> specialist stated that from the perspective of equity of access, it is important to allow access to new therapies such as the proposed intervention, particularly for patients who have limited other options.</w:t>
      </w:r>
    </w:p>
    <w:p w14:paraId="1711E2A0" w14:textId="42D32FD2" w:rsidR="003D0FB2" w:rsidRPr="00D8129A" w:rsidRDefault="003D0FB2" w:rsidP="008153DA">
      <w:r>
        <w:t xml:space="preserve">The </w:t>
      </w:r>
      <w:r w:rsidR="00585DDE" w:rsidRPr="00127F80">
        <w:t>Prince of Wales Transplant Unit, East Coast Transplant Service</w:t>
      </w:r>
      <w:r w:rsidR="00585DDE">
        <w:t>,</w:t>
      </w:r>
      <w:r>
        <w:t xml:space="preserve"> stated that it may be more equitable if the treatment is available to all units, as opposed to specialised transplant centres.</w:t>
      </w:r>
    </w:p>
    <w:p w14:paraId="242FE427" w14:textId="51F45A2B" w:rsidR="003D0FB2" w:rsidRPr="00D8129A" w:rsidRDefault="003D0FB2" w:rsidP="003D0FB2">
      <w:r>
        <w:t xml:space="preserve">One specialist stated that with appropriate collaboration with tissue typing services, </w:t>
      </w:r>
      <w:r w:rsidR="00515306">
        <w:t>HS</w:t>
      </w:r>
      <w:r>
        <w:t xml:space="preserve"> patient profiles can be reviewed and transplant teams can identify which specific antibodies can be managed</w:t>
      </w:r>
      <w:r w:rsidR="00515306">
        <w:t xml:space="preserve">, </w:t>
      </w:r>
      <w:r>
        <w:t>add</w:t>
      </w:r>
      <w:r w:rsidR="00515306">
        <w:t>ing</w:t>
      </w:r>
      <w:r>
        <w:t xml:space="preserve"> that plasma exchange, IgG and B cell</w:t>
      </w:r>
      <w:r w:rsidR="00515306">
        <w:t>-</w:t>
      </w:r>
      <w:r>
        <w:t xml:space="preserve">depleting therapies can be employed to treat any </w:t>
      </w:r>
      <w:r w:rsidR="00515306">
        <w:t xml:space="preserve">post-transplant </w:t>
      </w:r>
      <w:r>
        <w:t>rise in antibod</w:t>
      </w:r>
      <w:r w:rsidR="00515306">
        <w:t>ies</w:t>
      </w:r>
      <w:r>
        <w:t xml:space="preserve">. </w:t>
      </w:r>
    </w:p>
    <w:p w14:paraId="5C505F58" w14:textId="77777777" w:rsidR="003D0FB2" w:rsidRPr="00D8129A" w:rsidRDefault="003D0FB2" w:rsidP="00E76072">
      <w:pPr>
        <w:pStyle w:val="Heading3"/>
      </w:pPr>
      <w:r w:rsidRPr="77063A8A">
        <w:t>Consumer Feedback</w:t>
      </w:r>
    </w:p>
    <w:p w14:paraId="12668F22" w14:textId="54EAF141" w:rsidR="003D0FB2" w:rsidRPr="00D85150" w:rsidRDefault="00EA4F93" w:rsidP="003D0FB2">
      <w:r>
        <w:t>One</w:t>
      </w:r>
      <w:r w:rsidR="003D0FB2">
        <w:t xml:space="preserve"> consumer described the impact kidney disease and dialysis treatment has had on all aspects of their life. They stated that having access to this treatment would improve </w:t>
      </w:r>
      <w:r w:rsidR="0088456B">
        <w:t xml:space="preserve">their own </w:t>
      </w:r>
      <w:r w:rsidR="003D0FB2">
        <w:t xml:space="preserve">quality of life and relationships </w:t>
      </w:r>
      <w:r w:rsidR="0088456B">
        <w:t xml:space="preserve">with </w:t>
      </w:r>
      <w:r w:rsidR="003D0FB2">
        <w:t xml:space="preserve">family. They added that access to the proposed intervention would remove some of the hurdles they have faced and allow them to feel more fulfilled in work and general living. They </w:t>
      </w:r>
      <w:r w:rsidR="00EB3F8F">
        <w:t>noted</w:t>
      </w:r>
      <w:r w:rsidR="003D0FB2">
        <w:t xml:space="preserve"> that receiving a kidney, with maintenance in the form of medication, would be worth</w:t>
      </w:r>
      <w:r w:rsidR="00EB3F8F">
        <w:t>while</w:t>
      </w:r>
      <w:r w:rsidR="003D0FB2">
        <w:t xml:space="preserve"> </w:t>
      </w:r>
      <w:r w:rsidR="00EB3F8F">
        <w:t>despite</w:t>
      </w:r>
      <w:r w:rsidR="003D0FB2">
        <w:t xml:space="preserve"> any possible disadvantages.</w:t>
      </w:r>
    </w:p>
    <w:p w14:paraId="03C7A1F1" w14:textId="02270540" w:rsidR="00772829" w:rsidRDefault="002B180F" w:rsidP="002A18BE">
      <w:pPr>
        <w:pStyle w:val="Heading2"/>
        <w:numPr>
          <w:ilvl w:val="0"/>
          <w:numId w:val="0"/>
        </w:numPr>
      </w:pPr>
      <w:r>
        <w:t>10</w:t>
      </w:r>
      <w:r w:rsidR="00C36633">
        <w:t>.</w:t>
      </w:r>
      <w:r w:rsidR="00C36633">
        <w:tab/>
      </w:r>
      <w:r w:rsidR="00772829" w:rsidRPr="00CE28E3">
        <w:t>Characteristics of the evidence base</w:t>
      </w:r>
      <w:bookmarkEnd w:id="11"/>
    </w:p>
    <w:p w14:paraId="4C0A5C63" w14:textId="77777777" w:rsidR="00697A82" w:rsidRDefault="008F0FFB" w:rsidP="009F5323">
      <w:pPr>
        <w:sectPr w:rsidR="00697A82" w:rsidSect="00697A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r w:rsidRPr="008F0FFB">
        <w:t xml:space="preserve">The clinical evidence presented in the submission was primarily based on </w:t>
      </w:r>
      <w:r w:rsidR="000D4106">
        <w:t>4</w:t>
      </w:r>
      <w:r w:rsidR="000D4106" w:rsidRPr="008F0FFB">
        <w:t xml:space="preserve"> </w:t>
      </w:r>
      <w:r w:rsidR="003A7A8E">
        <w:t>p</w:t>
      </w:r>
      <w:r w:rsidRPr="008F0FFB">
        <w:t>hase</w:t>
      </w:r>
      <w:r w:rsidR="000D4106">
        <w:t>-</w:t>
      </w:r>
      <w:r w:rsidR="00CC50B0">
        <w:t>II</w:t>
      </w:r>
      <w:r w:rsidRPr="008F0FFB">
        <w:t xml:space="preserve"> clinical studies of imlifidase (13-HMedIdeS-02, 13</w:t>
      </w:r>
      <w:r w:rsidR="00F22343">
        <w:t>-</w:t>
      </w:r>
      <w:r w:rsidRPr="008F0FFB">
        <w:t>HMedIdeS-03, 14-HMedIdeS-04, and 15-HMedIdeS-06)</w:t>
      </w:r>
      <w:r w:rsidR="00FC004F">
        <w:t xml:space="preserve"> listed in </w:t>
      </w:r>
      <w:r w:rsidR="009F5323">
        <w:fldChar w:fldCharType="begin"/>
      </w:r>
      <w:r w:rsidR="009F5323">
        <w:instrText xml:space="preserve"> REF _Ref130908811 \h </w:instrText>
      </w:r>
      <w:r w:rsidR="009F5323">
        <w:fldChar w:fldCharType="separate"/>
      </w:r>
      <w:r w:rsidR="00E209CB">
        <w:t xml:space="preserve">Table </w:t>
      </w:r>
      <w:r w:rsidR="00E209CB">
        <w:rPr>
          <w:noProof/>
        </w:rPr>
        <w:t>2</w:t>
      </w:r>
      <w:r w:rsidR="009F5323">
        <w:fldChar w:fldCharType="end"/>
      </w:r>
      <w:r w:rsidR="00AC6AD7">
        <w:t>.</w:t>
      </w:r>
    </w:p>
    <w:p w14:paraId="4EFD0328" w14:textId="24E2A38C" w:rsidR="00900E49" w:rsidRDefault="00900E49" w:rsidP="00961BDB">
      <w:pPr>
        <w:pStyle w:val="Caption"/>
        <w:spacing w:before="0" w:after="0"/>
      </w:pPr>
      <w:bookmarkStart w:id="12" w:name="_Ref130908811"/>
      <w:r>
        <w:t xml:space="preserve">Table </w:t>
      </w:r>
      <w:r>
        <w:fldChar w:fldCharType="begin"/>
      </w:r>
      <w:r>
        <w:instrText>SEQ Table \* ARABIC</w:instrText>
      </w:r>
      <w:r>
        <w:fldChar w:fldCharType="separate"/>
      </w:r>
      <w:r w:rsidR="00E209CB">
        <w:rPr>
          <w:noProof/>
        </w:rPr>
        <w:t>2</w:t>
      </w:r>
      <w:r>
        <w:fldChar w:fldCharType="end"/>
      </w:r>
      <w:bookmarkEnd w:id="12"/>
      <w:r>
        <w:t xml:space="preserve">: </w:t>
      </w:r>
      <w:r w:rsidRPr="00984994">
        <w:t>Key features of the included evidence</w:t>
      </w:r>
    </w:p>
    <w:tbl>
      <w:tblPr>
        <w:tblStyle w:val="TableGridLight"/>
        <w:tblW w:w="0" w:type="auto"/>
        <w:tblLook w:val="0620" w:firstRow="1" w:lastRow="0" w:firstColumn="0" w:lastColumn="0" w:noHBand="1" w:noVBand="1"/>
      </w:tblPr>
      <w:tblGrid>
        <w:gridCol w:w="2332"/>
        <w:gridCol w:w="399"/>
        <w:gridCol w:w="2837"/>
        <w:gridCol w:w="1984"/>
        <w:gridCol w:w="1155"/>
        <w:gridCol w:w="1559"/>
        <w:gridCol w:w="1900"/>
        <w:gridCol w:w="1782"/>
      </w:tblGrid>
      <w:tr w:rsidR="00720964" w:rsidRPr="00167CDE" w14:paraId="6D532F97" w14:textId="77777777" w:rsidTr="0073513A">
        <w:trPr>
          <w:trHeight w:val="20"/>
          <w:tblHeader/>
        </w:trPr>
        <w:tc>
          <w:tcPr>
            <w:tcW w:w="0" w:type="auto"/>
            <w:hideMark/>
          </w:tcPr>
          <w:p w14:paraId="7A2D43BB" w14:textId="77777777" w:rsidR="00720964" w:rsidRPr="00167CDE" w:rsidRDefault="00720964" w:rsidP="00D509C8">
            <w:pPr>
              <w:pStyle w:val="TableText"/>
              <w:spacing w:before="0" w:after="0"/>
              <w:rPr>
                <w:b/>
                <w:bCs/>
                <w:lang w:eastAsia="en-AU"/>
              </w:rPr>
            </w:pPr>
            <w:r w:rsidRPr="00167CDE">
              <w:rPr>
                <w:b/>
                <w:bCs/>
                <w:lang w:eastAsia="en-AU"/>
              </w:rPr>
              <w:t>Trial/Study identifier</w:t>
            </w:r>
          </w:p>
        </w:tc>
        <w:tc>
          <w:tcPr>
            <w:tcW w:w="0" w:type="auto"/>
            <w:hideMark/>
          </w:tcPr>
          <w:p w14:paraId="358C5BF0" w14:textId="77777777" w:rsidR="00720964" w:rsidRPr="00167CDE" w:rsidRDefault="00720964" w:rsidP="00D509C8">
            <w:pPr>
              <w:pStyle w:val="TableText"/>
              <w:spacing w:before="0" w:after="0"/>
              <w:rPr>
                <w:b/>
                <w:bCs/>
                <w:lang w:eastAsia="en-AU"/>
              </w:rPr>
            </w:pPr>
            <w:r w:rsidRPr="00167CDE">
              <w:rPr>
                <w:b/>
                <w:bCs/>
                <w:lang w:eastAsia="en-AU"/>
              </w:rPr>
              <w:t>N</w:t>
            </w:r>
          </w:p>
        </w:tc>
        <w:tc>
          <w:tcPr>
            <w:tcW w:w="2837" w:type="dxa"/>
            <w:hideMark/>
          </w:tcPr>
          <w:p w14:paraId="64AFDB87" w14:textId="77777777" w:rsidR="00720964" w:rsidRPr="00167CDE" w:rsidRDefault="00720964" w:rsidP="00D509C8">
            <w:pPr>
              <w:pStyle w:val="TableText"/>
              <w:spacing w:before="0" w:after="0"/>
              <w:rPr>
                <w:b/>
                <w:bCs/>
                <w:lang w:eastAsia="en-AU"/>
              </w:rPr>
            </w:pPr>
            <w:r w:rsidRPr="00167CDE">
              <w:rPr>
                <w:b/>
                <w:bCs/>
                <w:lang w:eastAsia="en-AU"/>
              </w:rPr>
              <w:t xml:space="preserve">Study design </w:t>
            </w:r>
          </w:p>
          <w:p w14:paraId="4985C5F9" w14:textId="77777777" w:rsidR="00720964" w:rsidRPr="00167CDE" w:rsidRDefault="00720964" w:rsidP="00D509C8">
            <w:pPr>
              <w:pStyle w:val="TableText"/>
              <w:spacing w:before="0" w:after="0"/>
              <w:rPr>
                <w:b/>
                <w:bCs/>
                <w:lang w:eastAsia="en-AU"/>
              </w:rPr>
            </w:pPr>
            <w:r w:rsidRPr="00167CDE">
              <w:rPr>
                <w:b/>
                <w:bCs/>
                <w:lang w:eastAsia="en-AU"/>
              </w:rPr>
              <w:t>Risk of bias</w:t>
            </w:r>
          </w:p>
        </w:tc>
        <w:tc>
          <w:tcPr>
            <w:tcW w:w="1984" w:type="dxa"/>
            <w:hideMark/>
          </w:tcPr>
          <w:p w14:paraId="2C08CBEF" w14:textId="77777777" w:rsidR="00720964" w:rsidRPr="00167CDE" w:rsidRDefault="00720964" w:rsidP="00D509C8">
            <w:pPr>
              <w:pStyle w:val="TableText"/>
              <w:spacing w:before="0" w:after="0"/>
              <w:rPr>
                <w:b/>
                <w:bCs/>
                <w:lang w:eastAsia="en-AU"/>
              </w:rPr>
            </w:pPr>
            <w:r w:rsidRPr="00167CDE">
              <w:rPr>
                <w:b/>
                <w:bCs/>
                <w:lang w:eastAsia="en-AU"/>
              </w:rPr>
              <w:t>Population</w:t>
            </w:r>
          </w:p>
        </w:tc>
        <w:tc>
          <w:tcPr>
            <w:tcW w:w="264" w:type="dxa"/>
            <w:hideMark/>
          </w:tcPr>
          <w:p w14:paraId="68844792" w14:textId="77777777" w:rsidR="00720964" w:rsidRPr="00167CDE" w:rsidRDefault="00720964" w:rsidP="00D509C8">
            <w:pPr>
              <w:pStyle w:val="TableText"/>
              <w:spacing w:before="0" w:after="0"/>
              <w:rPr>
                <w:b/>
                <w:bCs/>
                <w:lang w:eastAsia="en-AU"/>
              </w:rPr>
            </w:pPr>
            <w:r w:rsidRPr="00167CDE">
              <w:rPr>
                <w:b/>
                <w:bCs/>
                <w:lang w:eastAsia="en-AU"/>
              </w:rPr>
              <w:t>Intervention</w:t>
            </w:r>
          </w:p>
        </w:tc>
        <w:tc>
          <w:tcPr>
            <w:tcW w:w="1559" w:type="dxa"/>
            <w:hideMark/>
          </w:tcPr>
          <w:p w14:paraId="35BA8B46" w14:textId="77777777" w:rsidR="00720964" w:rsidRPr="00167CDE" w:rsidRDefault="00720964" w:rsidP="00D509C8">
            <w:pPr>
              <w:pStyle w:val="TableText"/>
              <w:spacing w:before="0" w:after="0"/>
              <w:rPr>
                <w:b/>
                <w:bCs/>
                <w:lang w:eastAsia="en-AU"/>
              </w:rPr>
            </w:pPr>
            <w:r w:rsidRPr="00167CDE">
              <w:rPr>
                <w:b/>
                <w:bCs/>
                <w:lang w:eastAsia="en-AU"/>
              </w:rPr>
              <w:t>Comparator</w:t>
            </w:r>
          </w:p>
        </w:tc>
        <w:tc>
          <w:tcPr>
            <w:tcW w:w="1900" w:type="dxa"/>
            <w:hideMark/>
          </w:tcPr>
          <w:p w14:paraId="507DD119" w14:textId="77777777" w:rsidR="00720964" w:rsidRPr="00167CDE" w:rsidRDefault="00720964" w:rsidP="00D509C8">
            <w:pPr>
              <w:pStyle w:val="TableText"/>
              <w:spacing w:before="0" w:after="0"/>
              <w:rPr>
                <w:b/>
                <w:bCs/>
                <w:lang w:eastAsia="en-AU"/>
              </w:rPr>
            </w:pPr>
            <w:r w:rsidRPr="00167CDE">
              <w:rPr>
                <w:b/>
                <w:bCs/>
                <w:lang w:eastAsia="en-AU"/>
              </w:rPr>
              <w:t>Key outcome(s)</w:t>
            </w:r>
          </w:p>
        </w:tc>
        <w:tc>
          <w:tcPr>
            <w:tcW w:w="0" w:type="auto"/>
            <w:hideMark/>
          </w:tcPr>
          <w:p w14:paraId="05CB8FAA" w14:textId="77777777" w:rsidR="00720964" w:rsidRPr="00167CDE" w:rsidRDefault="00720964" w:rsidP="00D509C8">
            <w:pPr>
              <w:pStyle w:val="TableText"/>
              <w:spacing w:before="0" w:after="0"/>
              <w:rPr>
                <w:b/>
                <w:bCs/>
                <w:lang w:eastAsia="en-AU"/>
              </w:rPr>
            </w:pPr>
            <w:r w:rsidRPr="00167CDE">
              <w:rPr>
                <w:b/>
                <w:bCs/>
                <w:lang w:eastAsia="en-AU"/>
              </w:rPr>
              <w:t>Result used in economic model </w:t>
            </w:r>
          </w:p>
        </w:tc>
      </w:tr>
      <w:tr w:rsidR="00720964" w:rsidRPr="00167CDE" w14:paraId="120BF3A6" w14:textId="77777777" w:rsidTr="0073513A">
        <w:trPr>
          <w:trHeight w:val="231"/>
        </w:trPr>
        <w:tc>
          <w:tcPr>
            <w:tcW w:w="0" w:type="auto"/>
            <w:gridSpan w:val="8"/>
            <w:hideMark/>
          </w:tcPr>
          <w:p w14:paraId="2B55B4F5" w14:textId="77777777" w:rsidR="00720964" w:rsidRPr="00167CDE" w:rsidRDefault="00720964" w:rsidP="00D509C8">
            <w:pPr>
              <w:pStyle w:val="TableText"/>
              <w:spacing w:before="0" w:after="0"/>
              <w:rPr>
                <w:b/>
                <w:bCs/>
                <w:lang w:eastAsia="en-AU"/>
              </w:rPr>
            </w:pPr>
            <w:r w:rsidRPr="00167CDE">
              <w:rPr>
                <w:b/>
                <w:bCs/>
                <w:lang w:eastAsia="en-AU"/>
              </w:rPr>
              <w:t>Intervention Arm</w:t>
            </w:r>
          </w:p>
        </w:tc>
      </w:tr>
      <w:tr w:rsidR="00720964" w:rsidRPr="00954B0E" w14:paraId="0980AFC9" w14:textId="77777777" w:rsidTr="0073513A">
        <w:trPr>
          <w:trHeight w:val="2505"/>
        </w:trPr>
        <w:tc>
          <w:tcPr>
            <w:tcW w:w="0" w:type="auto"/>
            <w:hideMark/>
          </w:tcPr>
          <w:p w14:paraId="6F8ED635" w14:textId="77777777" w:rsidR="00720964" w:rsidRPr="00BA5DC5" w:rsidRDefault="00720964" w:rsidP="00D509C8">
            <w:pPr>
              <w:pStyle w:val="TableText"/>
              <w:spacing w:before="0" w:after="0"/>
              <w:rPr>
                <w:lang w:eastAsia="en-AU"/>
              </w:rPr>
            </w:pPr>
            <w:r w:rsidRPr="00BA5DC5">
              <w:rPr>
                <w:lang w:eastAsia="en-AU"/>
              </w:rPr>
              <w:t>Combined imlifidase trial data from:</w:t>
            </w:r>
          </w:p>
          <w:p w14:paraId="47938513" w14:textId="77777777" w:rsidR="00167CDE" w:rsidRDefault="00720964" w:rsidP="00D509C8">
            <w:pPr>
              <w:pStyle w:val="TableText"/>
              <w:numPr>
                <w:ilvl w:val="0"/>
                <w:numId w:val="25"/>
              </w:numPr>
              <w:spacing w:before="0" w:after="0"/>
              <w:ind w:left="284" w:hanging="227"/>
              <w:rPr>
                <w:lang w:eastAsia="en-AU"/>
              </w:rPr>
            </w:pPr>
            <w:r w:rsidRPr="00BA5DC5">
              <w:t>13-HMedIdeS-02</w:t>
            </w:r>
          </w:p>
          <w:p w14:paraId="05B3F981" w14:textId="77777777" w:rsidR="00167CDE" w:rsidRDefault="00720964" w:rsidP="00D509C8">
            <w:pPr>
              <w:pStyle w:val="TableText"/>
              <w:numPr>
                <w:ilvl w:val="0"/>
                <w:numId w:val="25"/>
              </w:numPr>
              <w:spacing w:before="0" w:after="0"/>
              <w:ind w:left="284" w:hanging="227"/>
              <w:rPr>
                <w:lang w:eastAsia="en-AU"/>
              </w:rPr>
            </w:pPr>
            <w:r w:rsidRPr="00BA5DC5">
              <w:t>13-HMedIdeS-03</w:t>
            </w:r>
          </w:p>
          <w:p w14:paraId="327CD916" w14:textId="54A4AF21" w:rsidR="00167CDE" w:rsidRDefault="00720964" w:rsidP="00D509C8">
            <w:pPr>
              <w:pStyle w:val="TableText"/>
              <w:numPr>
                <w:ilvl w:val="0"/>
                <w:numId w:val="25"/>
              </w:numPr>
              <w:spacing w:before="0" w:after="0"/>
              <w:ind w:left="284" w:hanging="227"/>
              <w:rPr>
                <w:lang w:eastAsia="en-AU"/>
              </w:rPr>
            </w:pPr>
            <w:r w:rsidRPr="00BA5DC5">
              <w:t>14-HMedIdeS</w:t>
            </w:r>
            <w:r w:rsidRPr="00BA5DC5">
              <w:noBreakHyphen/>
              <w:t>04</w:t>
            </w:r>
          </w:p>
          <w:p w14:paraId="04EE7C5D" w14:textId="4CDF77B4" w:rsidR="00720964" w:rsidRPr="00BA5DC5" w:rsidRDefault="00720964" w:rsidP="00D509C8">
            <w:pPr>
              <w:pStyle w:val="TableText"/>
              <w:numPr>
                <w:ilvl w:val="0"/>
                <w:numId w:val="25"/>
              </w:numPr>
              <w:spacing w:before="0" w:after="0"/>
              <w:ind w:left="284" w:hanging="227"/>
              <w:rPr>
                <w:lang w:eastAsia="en-AU"/>
              </w:rPr>
            </w:pPr>
            <w:r w:rsidRPr="00BA5DC5">
              <w:t>15-HMedIdeS</w:t>
            </w:r>
            <w:r w:rsidRPr="00BA5DC5">
              <w:noBreakHyphen/>
              <w:t>06</w:t>
            </w:r>
          </w:p>
          <w:p w14:paraId="4C25BF12" w14:textId="77777777" w:rsidR="00720964" w:rsidRPr="00BA5DC5" w:rsidRDefault="00720964" w:rsidP="00D509C8">
            <w:pPr>
              <w:pStyle w:val="TableText"/>
              <w:spacing w:before="0" w:after="0"/>
            </w:pPr>
            <w:r w:rsidRPr="00BA5DC5">
              <w:t>Additional retrospective data collection on 13-HMedIdeS-02 and 13-MedIdeS-03 in:</w:t>
            </w:r>
          </w:p>
          <w:p w14:paraId="4DFFFD16" w14:textId="77777777" w:rsidR="001864E4" w:rsidRDefault="00720964" w:rsidP="00D509C8">
            <w:pPr>
              <w:pStyle w:val="TableText"/>
              <w:numPr>
                <w:ilvl w:val="0"/>
                <w:numId w:val="26"/>
              </w:numPr>
              <w:spacing w:before="0" w:after="0"/>
              <w:ind w:left="284" w:hanging="227"/>
            </w:pPr>
            <w:r w:rsidRPr="00BA5DC5">
              <w:t>17-HMedIdeS-13: Long-term follow-up study of imlifidase trials</w:t>
            </w:r>
          </w:p>
          <w:p w14:paraId="67D5E668" w14:textId="5E506A04" w:rsidR="00720964" w:rsidRPr="00BA5DC5" w:rsidRDefault="00720964" w:rsidP="00D509C8">
            <w:pPr>
              <w:pStyle w:val="TableText"/>
              <w:numPr>
                <w:ilvl w:val="0"/>
                <w:numId w:val="26"/>
              </w:numPr>
              <w:spacing w:before="0" w:after="0"/>
              <w:ind w:left="284" w:hanging="227"/>
            </w:pPr>
            <w:r w:rsidRPr="00BA5DC5">
              <w:t>17-HMedIdeS-14 </w:t>
            </w:r>
          </w:p>
        </w:tc>
        <w:tc>
          <w:tcPr>
            <w:tcW w:w="0" w:type="auto"/>
            <w:hideMark/>
          </w:tcPr>
          <w:p w14:paraId="13F51AB2" w14:textId="3245FAA7" w:rsidR="00720964" w:rsidRPr="00BA5DC5" w:rsidRDefault="00720964" w:rsidP="00D509C8">
            <w:pPr>
              <w:pStyle w:val="TableText"/>
              <w:spacing w:before="0" w:after="0"/>
              <w:rPr>
                <w:lang w:eastAsia="en-AU"/>
              </w:rPr>
            </w:pPr>
            <w:r w:rsidRPr="00BA5DC5">
              <w:rPr>
                <w:lang w:eastAsia="en-AU"/>
              </w:rPr>
              <w:t>30</w:t>
            </w:r>
          </w:p>
        </w:tc>
        <w:tc>
          <w:tcPr>
            <w:tcW w:w="2837" w:type="dxa"/>
            <w:hideMark/>
          </w:tcPr>
          <w:p w14:paraId="3D0DDC41" w14:textId="05334483" w:rsidR="00720964" w:rsidRPr="00BA5DC5" w:rsidRDefault="00720964" w:rsidP="00D509C8">
            <w:pPr>
              <w:pStyle w:val="TableText"/>
              <w:spacing w:before="0" w:after="0"/>
              <w:rPr>
                <w:lang w:eastAsia="en-AU"/>
              </w:rPr>
            </w:pPr>
            <w:r w:rsidRPr="00BA5DC5">
              <w:rPr>
                <w:lang w:eastAsia="en-AU"/>
              </w:rPr>
              <w:t xml:space="preserve">Single arm, prospective </w:t>
            </w:r>
            <w:r w:rsidR="003A7A8E">
              <w:rPr>
                <w:lang w:eastAsia="en-AU"/>
              </w:rPr>
              <w:t>p</w:t>
            </w:r>
            <w:r w:rsidRPr="00BA5DC5">
              <w:rPr>
                <w:lang w:eastAsia="en-AU"/>
              </w:rPr>
              <w:t>hase</w:t>
            </w:r>
            <w:r w:rsidR="00892598">
              <w:rPr>
                <w:lang w:eastAsia="en-AU"/>
              </w:rPr>
              <w:t>-</w:t>
            </w:r>
            <w:r w:rsidR="00CC50B0">
              <w:rPr>
                <w:lang w:eastAsia="en-AU"/>
              </w:rPr>
              <w:t>II</w:t>
            </w:r>
            <w:r w:rsidRPr="00BA5DC5">
              <w:rPr>
                <w:lang w:eastAsia="en-AU"/>
              </w:rPr>
              <w:t xml:space="preserve"> trials.</w:t>
            </w:r>
          </w:p>
          <w:p w14:paraId="57C78F4A" w14:textId="77777777" w:rsidR="00720964" w:rsidRPr="00BA5DC5" w:rsidRDefault="00720964" w:rsidP="00D509C8">
            <w:pPr>
              <w:pStyle w:val="TableText"/>
              <w:spacing w:before="0" w:after="0"/>
              <w:rPr>
                <w:lang w:eastAsia="en-AU"/>
              </w:rPr>
            </w:pPr>
            <w:r w:rsidRPr="00BA5DC5">
              <w:t>Data combined to include all patients in the population.</w:t>
            </w:r>
          </w:p>
          <w:p w14:paraId="1DD0F662" w14:textId="77777777" w:rsidR="00720964" w:rsidRPr="00BA5DC5" w:rsidRDefault="00720964" w:rsidP="00D509C8">
            <w:pPr>
              <w:pStyle w:val="TableText"/>
              <w:spacing w:before="0" w:after="0"/>
              <w:rPr>
                <w:lang w:eastAsia="en-AU"/>
              </w:rPr>
            </w:pPr>
            <w:r w:rsidRPr="00BA5DC5">
              <w:t>Moderate risk of bias (single arm studies)</w:t>
            </w:r>
          </w:p>
          <w:p w14:paraId="7488C1AD" w14:textId="77777777" w:rsidR="00720964" w:rsidRPr="00BA5DC5" w:rsidRDefault="00720964" w:rsidP="00D509C8">
            <w:pPr>
              <w:pStyle w:val="TableText"/>
              <w:spacing w:before="0" w:after="0"/>
              <w:rPr>
                <w:lang w:eastAsia="en-AU"/>
              </w:rPr>
            </w:pPr>
          </w:p>
        </w:tc>
        <w:tc>
          <w:tcPr>
            <w:tcW w:w="1984" w:type="dxa"/>
            <w:hideMark/>
          </w:tcPr>
          <w:p w14:paraId="3D7AECE7" w14:textId="77777777" w:rsidR="00720964" w:rsidRPr="00BA5DC5" w:rsidRDefault="00720964" w:rsidP="00D509C8">
            <w:pPr>
              <w:pStyle w:val="TableText"/>
              <w:spacing w:before="0" w:after="0"/>
              <w:rPr>
                <w:lang w:eastAsia="en-AU"/>
              </w:rPr>
            </w:pPr>
            <w:r w:rsidRPr="00BA5DC5">
              <w:rPr>
                <w:lang w:eastAsia="en-AU"/>
              </w:rPr>
              <w:t>UTT-A</w:t>
            </w:r>
          </w:p>
          <w:p w14:paraId="2FDF38DA" w14:textId="77777777" w:rsidR="00720964" w:rsidRPr="00BA5DC5" w:rsidRDefault="00720964" w:rsidP="00D509C8">
            <w:pPr>
              <w:pStyle w:val="TableText"/>
              <w:spacing w:before="0" w:after="0"/>
              <w:rPr>
                <w:lang w:eastAsia="en-AU"/>
              </w:rPr>
            </w:pPr>
            <w:r w:rsidRPr="00BA5DC5">
              <w:t xml:space="preserve">HS patients with </w:t>
            </w:r>
            <w:proofErr w:type="spellStart"/>
            <w:r w:rsidRPr="00BA5DC5">
              <w:t>cPRA</w:t>
            </w:r>
            <w:proofErr w:type="spellEnd"/>
            <w:r w:rsidRPr="00BA5DC5">
              <w:t xml:space="preserve"> </w:t>
            </w:r>
            <w:r w:rsidRPr="00BA5DC5">
              <w:rPr>
                <w:rFonts w:cs="Arial"/>
              </w:rPr>
              <w:t>≥</w:t>
            </w:r>
            <w:r w:rsidRPr="00BA5DC5">
              <w:t>95%, positive crossmatch, DD or LD transplant</w:t>
            </w:r>
          </w:p>
          <w:p w14:paraId="2194E25B" w14:textId="77777777" w:rsidR="00720964" w:rsidRPr="00BA5DC5" w:rsidRDefault="00720964" w:rsidP="00D509C8">
            <w:pPr>
              <w:pStyle w:val="TableText"/>
              <w:spacing w:before="0" w:after="0"/>
              <w:rPr>
                <w:lang w:eastAsia="en-AU"/>
              </w:rPr>
            </w:pPr>
            <w:r w:rsidRPr="00BA5DC5">
              <w:t>  </w:t>
            </w:r>
          </w:p>
        </w:tc>
        <w:tc>
          <w:tcPr>
            <w:tcW w:w="264" w:type="dxa"/>
            <w:hideMark/>
          </w:tcPr>
          <w:p w14:paraId="67BC8AC2" w14:textId="77777777" w:rsidR="00720964" w:rsidRPr="00BA5DC5" w:rsidRDefault="00720964" w:rsidP="00D509C8">
            <w:pPr>
              <w:pStyle w:val="TableText"/>
              <w:spacing w:before="0" w:after="0"/>
              <w:rPr>
                <w:lang w:eastAsia="en-AU"/>
              </w:rPr>
            </w:pPr>
            <w:proofErr w:type="spellStart"/>
            <w:r w:rsidRPr="00BA5DC5">
              <w:rPr>
                <w:lang w:eastAsia="en-AU"/>
              </w:rPr>
              <w:t>HLAi</w:t>
            </w:r>
            <w:proofErr w:type="spellEnd"/>
            <w:r w:rsidRPr="00BA5DC5">
              <w:rPr>
                <w:lang w:eastAsia="en-AU"/>
              </w:rPr>
              <w:t xml:space="preserve"> transplant with Imlifidase</w:t>
            </w:r>
          </w:p>
        </w:tc>
        <w:tc>
          <w:tcPr>
            <w:tcW w:w="1559" w:type="dxa"/>
            <w:hideMark/>
          </w:tcPr>
          <w:p w14:paraId="47241C2D" w14:textId="77777777" w:rsidR="00720964" w:rsidRPr="00BA5DC5" w:rsidRDefault="00720964" w:rsidP="00D509C8">
            <w:pPr>
              <w:pStyle w:val="TableText"/>
              <w:spacing w:before="0" w:after="0"/>
            </w:pPr>
            <w:r w:rsidRPr="00BA5DC5">
              <w:rPr>
                <w:lang w:eastAsia="en-AU"/>
              </w:rPr>
              <w:t xml:space="preserve"> - </w:t>
            </w:r>
          </w:p>
          <w:p w14:paraId="4F59D32C" w14:textId="77777777" w:rsidR="00720964" w:rsidRPr="00BA5DC5" w:rsidRDefault="00720964" w:rsidP="00D509C8">
            <w:pPr>
              <w:pStyle w:val="TableText"/>
              <w:spacing w:before="0" w:after="0"/>
              <w:rPr>
                <w:lang w:eastAsia="en-AU"/>
              </w:rPr>
            </w:pPr>
          </w:p>
        </w:tc>
        <w:tc>
          <w:tcPr>
            <w:tcW w:w="1900" w:type="dxa"/>
            <w:hideMark/>
          </w:tcPr>
          <w:p w14:paraId="44071D3F" w14:textId="32951B79" w:rsidR="00720964" w:rsidRPr="00BA5DC5" w:rsidRDefault="000F7BD0" w:rsidP="00D509C8">
            <w:pPr>
              <w:pStyle w:val="TableText"/>
              <w:spacing w:before="0" w:after="0"/>
              <w:rPr>
                <w:lang w:eastAsia="en-AU"/>
              </w:rPr>
            </w:pPr>
            <w:r>
              <w:rPr>
                <w:lang w:eastAsia="en-AU"/>
              </w:rPr>
              <w:t>Crossmatch</w:t>
            </w:r>
            <w:r w:rsidR="00720964" w:rsidRPr="00BA5DC5">
              <w:rPr>
                <w:lang w:eastAsia="en-AU"/>
              </w:rPr>
              <w:t xml:space="preserve"> conversion.</w:t>
            </w:r>
          </w:p>
          <w:p w14:paraId="5FF9C0B1" w14:textId="77777777" w:rsidR="00720964" w:rsidRPr="00BA5DC5" w:rsidRDefault="00720964" w:rsidP="00D509C8">
            <w:pPr>
              <w:pStyle w:val="TableText"/>
              <w:spacing w:before="0" w:after="0"/>
              <w:rPr>
                <w:lang w:eastAsia="en-AU"/>
              </w:rPr>
            </w:pPr>
            <w:r w:rsidRPr="00BA5DC5">
              <w:t>% Patients receiving a transplant.</w:t>
            </w:r>
          </w:p>
          <w:p w14:paraId="0B623918" w14:textId="77777777" w:rsidR="00720964" w:rsidRPr="00BA5DC5" w:rsidRDefault="00720964" w:rsidP="00D509C8">
            <w:pPr>
              <w:pStyle w:val="TableText"/>
              <w:spacing w:before="0" w:after="0"/>
              <w:rPr>
                <w:lang w:eastAsia="en-AU"/>
              </w:rPr>
            </w:pPr>
            <w:r w:rsidRPr="00BA5DC5">
              <w:t>Patient survival</w:t>
            </w:r>
          </w:p>
          <w:p w14:paraId="52350BAF" w14:textId="77777777" w:rsidR="00720964" w:rsidRPr="00BA5DC5" w:rsidRDefault="00720964" w:rsidP="00D509C8">
            <w:pPr>
              <w:pStyle w:val="TableText"/>
              <w:spacing w:before="0" w:after="0"/>
              <w:rPr>
                <w:lang w:eastAsia="en-AU"/>
              </w:rPr>
            </w:pPr>
            <w:r w:rsidRPr="00BA5DC5">
              <w:t>Graft survival</w:t>
            </w:r>
          </w:p>
          <w:p w14:paraId="580E1ABB" w14:textId="77777777" w:rsidR="00720964" w:rsidRPr="00BA5DC5" w:rsidRDefault="00720964" w:rsidP="00D509C8">
            <w:pPr>
              <w:pStyle w:val="TableText"/>
              <w:spacing w:before="0" w:after="0"/>
            </w:pPr>
            <w:r w:rsidRPr="00BA5DC5">
              <w:t>Graft rejection over time due to AMR.</w:t>
            </w:r>
          </w:p>
          <w:p w14:paraId="30244FD3" w14:textId="77777777" w:rsidR="00720964" w:rsidRPr="00BA5DC5" w:rsidRDefault="00720964" w:rsidP="00D509C8">
            <w:pPr>
              <w:pStyle w:val="TableText"/>
              <w:spacing w:before="0" w:after="0"/>
            </w:pPr>
            <w:r w:rsidRPr="00BA5DC5">
              <w:t>Kidney function (GFR)</w:t>
            </w:r>
          </w:p>
          <w:p w14:paraId="7C172DF6" w14:textId="77777777" w:rsidR="00720964" w:rsidRPr="00BA5DC5" w:rsidRDefault="00720964" w:rsidP="00D509C8">
            <w:pPr>
              <w:pStyle w:val="TableText"/>
              <w:spacing w:before="0" w:after="0"/>
              <w:rPr>
                <w:lang w:eastAsia="en-AU"/>
              </w:rPr>
            </w:pPr>
            <w:r w:rsidRPr="00BA5DC5">
              <w:t>TEAEs, related TEAEs</w:t>
            </w:r>
          </w:p>
        </w:tc>
        <w:tc>
          <w:tcPr>
            <w:tcW w:w="0" w:type="auto"/>
            <w:hideMark/>
          </w:tcPr>
          <w:p w14:paraId="204B2E2E" w14:textId="30B5C5A0" w:rsidR="00720964" w:rsidRPr="00BA5DC5" w:rsidRDefault="00720964" w:rsidP="00D509C8">
            <w:pPr>
              <w:pStyle w:val="TableText"/>
              <w:spacing w:before="0" w:after="0"/>
              <w:rPr>
                <w:lang w:eastAsia="en-AU"/>
              </w:rPr>
            </w:pPr>
            <w:r w:rsidRPr="00BA5DC5">
              <w:rPr>
                <w:lang w:eastAsia="en-AU"/>
              </w:rPr>
              <w:t>All-</w:t>
            </w:r>
            <w:r w:rsidR="00D572C3">
              <w:rPr>
                <w:lang w:eastAsia="en-AU"/>
              </w:rPr>
              <w:t>t</w:t>
            </w:r>
            <w:r w:rsidRPr="00BA5DC5">
              <w:rPr>
                <w:lang w:eastAsia="en-AU"/>
              </w:rPr>
              <w:t>ransplanted patients (N=46): graft survival, patient survival, AMR, delayed graft function</w:t>
            </w:r>
          </w:p>
          <w:p w14:paraId="7F375F44" w14:textId="423559FA" w:rsidR="00720964" w:rsidRPr="00BA5DC5" w:rsidRDefault="00720964" w:rsidP="00D509C8">
            <w:pPr>
              <w:pStyle w:val="TableText"/>
              <w:spacing w:before="0" w:after="0"/>
              <w:rPr>
                <w:lang w:eastAsia="en-AU"/>
              </w:rPr>
            </w:pPr>
            <w:r w:rsidRPr="00BA5DC5">
              <w:t xml:space="preserve">AEs (N=54: </w:t>
            </w:r>
            <w:r w:rsidR="00194E26">
              <w:t>a</w:t>
            </w:r>
            <w:r w:rsidRPr="00BA5DC5">
              <w:t>ll</w:t>
            </w:r>
            <w:r w:rsidR="0063510B">
              <w:t>-</w:t>
            </w:r>
            <w:r w:rsidRPr="00BA5DC5">
              <w:t xml:space="preserve">imlifidase </w:t>
            </w:r>
            <w:r w:rsidR="00194E26">
              <w:t>p</w:t>
            </w:r>
            <w:r w:rsidRPr="00BA5DC5">
              <w:t>opulation)</w:t>
            </w:r>
          </w:p>
          <w:p w14:paraId="0A4EBBA0" w14:textId="77777777" w:rsidR="00720964" w:rsidRPr="00BA5DC5" w:rsidRDefault="00720964" w:rsidP="00D509C8">
            <w:pPr>
              <w:pStyle w:val="TableText"/>
              <w:spacing w:before="0" w:after="0"/>
              <w:rPr>
                <w:lang w:eastAsia="en-AU"/>
              </w:rPr>
            </w:pPr>
            <w:r w:rsidRPr="00BA5DC5">
              <w:t>Scenario analyses using UTT-A and UTT populations.</w:t>
            </w:r>
          </w:p>
        </w:tc>
      </w:tr>
      <w:tr w:rsidR="00720964" w:rsidRPr="00954B0E" w14:paraId="1BD2B593" w14:textId="77777777" w:rsidTr="0073513A">
        <w:trPr>
          <w:trHeight w:val="901"/>
        </w:trPr>
        <w:tc>
          <w:tcPr>
            <w:tcW w:w="0" w:type="auto"/>
          </w:tcPr>
          <w:p w14:paraId="28E47083" w14:textId="77777777" w:rsidR="00720964" w:rsidRPr="00BA5DC5" w:rsidRDefault="00720964" w:rsidP="00D509C8">
            <w:pPr>
              <w:pStyle w:val="TableText"/>
              <w:spacing w:before="0" w:after="0"/>
            </w:pPr>
          </w:p>
        </w:tc>
        <w:tc>
          <w:tcPr>
            <w:tcW w:w="0" w:type="auto"/>
          </w:tcPr>
          <w:p w14:paraId="5EBD17CC" w14:textId="77777777" w:rsidR="00720964" w:rsidRPr="00BA5DC5" w:rsidRDefault="00720964" w:rsidP="00D509C8">
            <w:pPr>
              <w:pStyle w:val="TableText"/>
              <w:spacing w:before="0" w:after="0"/>
            </w:pPr>
            <w:r w:rsidRPr="00BA5DC5">
              <w:t>25</w:t>
            </w:r>
          </w:p>
        </w:tc>
        <w:tc>
          <w:tcPr>
            <w:tcW w:w="2837" w:type="dxa"/>
          </w:tcPr>
          <w:p w14:paraId="1746CE85" w14:textId="77777777" w:rsidR="00720964" w:rsidRPr="00BA5DC5" w:rsidRDefault="00720964" w:rsidP="00D509C8">
            <w:pPr>
              <w:pStyle w:val="TableText"/>
              <w:spacing w:before="0" w:after="0"/>
            </w:pPr>
          </w:p>
        </w:tc>
        <w:tc>
          <w:tcPr>
            <w:tcW w:w="1984" w:type="dxa"/>
          </w:tcPr>
          <w:p w14:paraId="126D7CE4" w14:textId="77777777" w:rsidR="00720964" w:rsidRPr="00BA5DC5" w:rsidRDefault="00720964" w:rsidP="00D509C8">
            <w:pPr>
              <w:pStyle w:val="TableText"/>
              <w:spacing w:before="0" w:after="0"/>
            </w:pPr>
            <w:r w:rsidRPr="00BA5DC5">
              <w:t xml:space="preserve">UTT </w:t>
            </w:r>
          </w:p>
          <w:p w14:paraId="0D5CEFA1" w14:textId="77777777" w:rsidR="00720964" w:rsidRPr="00BA5DC5" w:rsidRDefault="00720964" w:rsidP="00D509C8">
            <w:pPr>
              <w:pStyle w:val="TableText"/>
              <w:spacing w:before="0" w:after="0"/>
            </w:pPr>
            <w:r w:rsidRPr="00BA5DC5">
              <w:t xml:space="preserve">HS patients with </w:t>
            </w:r>
            <w:proofErr w:type="spellStart"/>
            <w:r w:rsidRPr="00BA5DC5">
              <w:t>cPRA</w:t>
            </w:r>
            <w:proofErr w:type="spellEnd"/>
            <w:r w:rsidRPr="00BA5DC5">
              <w:t xml:space="preserve"> </w:t>
            </w:r>
            <w:r w:rsidRPr="00BA5DC5">
              <w:rPr>
                <w:rFonts w:cs="Arial"/>
              </w:rPr>
              <w:t>≥</w:t>
            </w:r>
            <w:r w:rsidRPr="00BA5DC5">
              <w:t>95%, positive crossmatch, DD transplant:</w:t>
            </w:r>
          </w:p>
        </w:tc>
        <w:tc>
          <w:tcPr>
            <w:tcW w:w="264" w:type="dxa"/>
          </w:tcPr>
          <w:p w14:paraId="41619AD3" w14:textId="77777777" w:rsidR="00720964" w:rsidRPr="00BA5DC5" w:rsidRDefault="00720964" w:rsidP="00D509C8">
            <w:pPr>
              <w:pStyle w:val="TableText"/>
              <w:spacing w:before="0" w:after="0"/>
            </w:pPr>
          </w:p>
        </w:tc>
        <w:tc>
          <w:tcPr>
            <w:tcW w:w="1559" w:type="dxa"/>
          </w:tcPr>
          <w:p w14:paraId="587D785A" w14:textId="77777777" w:rsidR="00720964" w:rsidRPr="00BA5DC5" w:rsidRDefault="00720964" w:rsidP="00D509C8">
            <w:pPr>
              <w:pStyle w:val="TableText"/>
              <w:spacing w:before="0" w:after="0"/>
            </w:pPr>
          </w:p>
        </w:tc>
        <w:tc>
          <w:tcPr>
            <w:tcW w:w="1900" w:type="dxa"/>
          </w:tcPr>
          <w:p w14:paraId="607EFD85" w14:textId="77777777" w:rsidR="00720964" w:rsidRPr="00BA5DC5" w:rsidRDefault="00720964" w:rsidP="00D509C8">
            <w:pPr>
              <w:pStyle w:val="TableText"/>
              <w:spacing w:before="0" w:after="0"/>
            </w:pPr>
          </w:p>
        </w:tc>
        <w:tc>
          <w:tcPr>
            <w:tcW w:w="0" w:type="auto"/>
          </w:tcPr>
          <w:p w14:paraId="02D0B595" w14:textId="77777777" w:rsidR="00720964" w:rsidRPr="00BA5DC5" w:rsidRDefault="00720964" w:rsidP="00D509C8">
            <w:pPr>
              <w:pStyle w:val="TableText"/>
              <w:spacing w:before="0" w:after="0"/>
            </w:pPr>
          </w:p>
        </w:tc>
      </w:tr>
      <w:tr w:rsidR="00720964" w:rsidRPr="00954B0E" w14:paraId="2C1F51A2" w14:textId="77777777" w:rsidTr="0073513A">
        <w:trPr>
          <w:trHeight w:val="20"/>
        </w:trPr>
        <w:tc>
          <w:tcPr>
            <w:tcW w:w="0" w:type="auto"/>
          </w:tcPr>
          <w:p w14:paraId="7D8C94D4" w14:textId="77777777" w:rsidR="00720964" w:rsidRPr="00BA5DC5" w:rsidRDefault="00720964" w:rsidP="00D509C8">
            <w:pPr>
              <w:pStyle w:val="TableText"/>
              <w:spacing w:before="0" w:after="0"/>
            </w:pPr>
          </w:p>
        </w:tc>
        <w:tc>
          <w:tcPr>
            <w:tcW w:w="0" w:type="auto"/>
          </w:tcPr>
          <w:p w14:paraId="1536845A" w14:textId="77777777" w:rsidR="00720964" w:rsidRPr="00BA5DC5" w:rsidRDefault="00720964" w:rsidP="00D509C8">
            <w:pPr>
              <w:pStyle w:val="TableText"/>
              <w:spacing w:before="0" w:after="0"/>
            </w:pPr>
            <w:r w:rsidRPr="00BA5DC5">
              <w:t>46</w:t>
            </w:r>
          </w:p>
        </w:tc>
        <w:tc>
          <w:tcPr>
            <w:tcW w:w="2837" w:type="dxa"/>
          </w:tcPr>
          <w:p w14:paraId="67802392" w14:textId="77777777" w:rsidR="00720964" w:rsidRPr="00BA5DC5" w:rsidRDefault="00720964" w:rsidP="00D509C8">
            <w:pPr>
              <w:pStyle w:val="TableText"/>
              <w:spacing w:before="0" w:after="0"/>
            </w:pPr>
          </w:p>
        </w:tc>
        <w:tc>
          <w:tcPr>
            <w:tcW w:w="1984" w:type="dxa"/>
          </w:tcPr>
          <w:p w14:paraId="39E17EB1" w14:textId="6E502991" w:rsidR="00720964" w:rsidRPr="00BA5DC5" w:rsidRDefault="00720964" w:rsidP="00D509C8">
            <w:pPr>
              <w:pStyle w:val="TableText"/>
              <w:spacing w:before="0" w:after="0"/>
            </w:pPr>
            <w:r w:rsidRPr="00BA5DC5">
              <w:t>All</w:t>
            </w:r>
            <w:r w:rsidR="0063510B">
              <w:t>-i</w:t>
            </w:r>
            <w:r w:rsidRPr="00BA5DC5">
              <w:t>mlifidase</w:t>
            </w:r>
          </w:p>
          <w:p w14:paraId="1AC6204C" w14:textId="77777777" w:rsidR="00720964" w:rsidRPr="00BA5DC5" w:rsidRDefault="00720964" w:rsidP="00D509C8">
            <w:pPr>
              <w:pStyle w:val="TableText"/>
              <w:spacing w:before="0" w:after="0"/>
            </w:pPr>
            <w:r w:rsidRPr="00BA5DC5">
              <w:t>HS transplanted patients</w:t>
            </w:r>
          </w:p>
        </w:tc>
        <w:tc>
          <w:tcPr>
            <w:tcW w:w="264" w:type="dxa"/>
          </w:tcPr>
          <w:p w14:paraId="3DD1CED6" w14:textId="77777777" w:rsidR="00720964" w:rsidRPr="00BA5DC5" w:rsidRDefault="00720964" w:rsidP="00D509C8">
            <w:pPr>
              <w:pStyle w:val="TableText"/>
              <w:spacing w:before="0" w:after="0"/>
            </w:pPr>
          </w:p>
        </w:tc>
        <w:tc>
          <w:tcPr>
            <w:tcW w:w="1559" w:type="dxa"/>
          </w:tcPr>
          <w:p w14:paraId="34F8CFAB" w14:textId="77777777" w:rsidR="00720964" w:rsidRPr="00BA5DC5" w:rsidRDefault="00720964" w:rsidP="00D509C8">
            <w:pPr>
              <w:pStyle w:val="TableText"/>
              <w:spacing w:before="0" w:after="0"/>
            </w:pPr>
          </w:p>
        </w:tc>
        <w:tc>
          <w:tcPr>
            <w:tcW w:w="1900" w:type="dxa"/>
          </w:tcPr>
          <w:p w14:paraId="4843AA7D" w14:textId="77777777" w:rsidR="00720964" w:rsidRPr="00BA5DC5" w:rsidRDefault="00720964" w:rsidP="00D509C8">
            <w:pPr>
              <w:pStyle w:val="TableText"/>
              <w:spacing w:before="0" w:after="0"/>
            </w:pPr>
          </w:p>
        </w:tc>
        <w:tc>
          <w:tcPr>
            <w:tcW w:w="0" w:type="auto"/>
          </w:tcPr>
          <w:p w14:paraId="66F04F4E" w14:textId="77777777" w:rsidR="00720964" w:rsidRPr="00BA5DC5" w:rsidRDefault="00720964" w:rsidP="00D509C8">
            <w:pPr>
              <w:pStyle w:val="TableText"/>
              <w:spacing w:before="0" w:after="0"/>
            </w:pPr>
          </w:p>
        </w:tc>
      </w:tr>
      <w:tr w:rsidR="00720964" w:rsidRPr="00167CDE" w14:paraId="292FBA5C" w14:textId="77777777" w:rsidTr="0073513A">
        <w:trPr>
          <w:trHeight w:val="20"/>
        </w:trPr>
        <w:tc>
          <w:tcPr>
            <w:tcW w:w="0" w:type="auto"/>
            <w:gridSpan w:val="8"/>
          </w:tcPr>
          <w:p w14:paraId="488B75B7" w14:textId="77777777" w:rsidR="00720964" w:rsidRPr="00167CDE" w:rsidRDefault="00720964" w:rsidP="00D509C8">
            <w:pPr>
              <w:pStyle w:val="TableText"/>
              <w:keepNext/>
              <w:spacing w:before="0" w:after="0"/>
              <w:rPr>
                <w:b/>
                <w:bCs/>
              </w:rPr>
            </w:pPr>
            <w:r w:rsidRPr="00167CDE">
              <w:rPr>
                <w:b/>
                <w:bCs/>
              </w:rPr>
              <w:t>Comparator Arm</w:t>
            </w:r>
          </w:p>
        </w:tc>
      </w:tr>
      <w:tr w:rsidR="00720964" w:rsidRPr="00954B0E" w14:paraId="79823B2D" w14:textId="77777777" w:rsidTr="0073513A">
        <w:trPr>
          <w:trHeight w:val="20"/>
        </w:trPr>
        <w:tc>
          <w:tcPr>
            <w:tcW w:w="0" w:type="auto"/>
          </w:tcPr>
          <w:p w14:paraId="270D1CD6" w14:textId="774FB48A" w:rsidR="00720964" w:rsidRPr="00BA5DC5" w:rsidRDefault="00720964" w:rsidP="00D509C8">
            <w:pPr>
              <w:pStyle w:val="TableText"/>
              <w:spacing w:before="0" w:after="0"/>
            </w:pPr>
            <w:r w:rsidRPr="00BA5DC5">
              <w:t>Current Care</w:t>
            </w:r>
          </w:p>
          <w:p w14:paraId="3D18072C" w14:textId="4CE40D41" w:rsidR="00720964" w:rsidRPr="00BA5DC5" w:rsidRDefault="00720964" w:rsidP="00D509C8">
            <w:pPr>
              <w:pStyle w:val="TableText"/>
              <w:spacing w:before="0" w:after="0"/>
            </w:pPr>
          </w:p>
          <w:p w14:paraId="5DD7FD1F" w14:textId="77777777" w:rsidR="00720964" w:rsidRPr="00BA5DC5" w:rsidRDefault="00720964" w:rsidP="00D509C8">
            <w:pPr>
              <w:pStyle w:val="TableText"/>
              <w:spacing w:before="0" w:after="0"/>
            </w:pPr>
            <w:r w:rsidRPr="00BA5DC5">
              <w:t>For the small percent of patients receiving a delayed transplant, imlifidase transplant-enabled outcomes are utilised.</w:t>
            </w:r>
          </w:p>
        </w:tc>
        <w:tc>
          <w:tcPr>
            <w:tcW w:w="0" w:type="auto"/>
          </w:tcPr>
          <w:p w14:paraId="42167BCF" w14:textId="77777777" w:rsidR="00720964" w:rsidRPr="00BA5DC5" w:rsidRDefault="00720964" w:rsidP="00D509C8">
            <w:pPr>
              <w:pStyle w:val="TableText"/>
              <w:spacing w:before="0" w:after="0"/>
            </w:pPr>
            <w:r w:rsidRPr="00BA5DC5">
              <w:t>46</w:t>
            </w:r>
          </w:p>
          <w:p w14:paraId="73987D1A" w14:textId="77777777" w:rsidR="00720964" w:rsidRPr="00BA5DC5" w:rsidRDefault="00720964" w:rsidP="00D509C8">
            <w:pPr>
              <w:pStyle w:val="TableText"/>
              <w:spacing w:before="0" w:after="0"/>
            </w:pPr>
          </w:p>
        </w:tc>
        <w:tc>
          <w:tcPr>
            <w:tcW w:w="2837" w:type="dxa"/>
          </w:tcPr>
          <w:p w14:paraId="3C044488" w14:textId="77777777" w:rsidR="00720964" w:rsidRPr="00BA5DC5" w:rsidRDefault="00720964" w:rsidP="00D509C8">
            <w:pPr>
              <w:pStyle w:val="TableText"/>
              <w:spacing w:before="0" w:after="0"/>
            </w:pPr>
            <w:r w:rsidRPr="00BA5DC5">
              <w:t>TSANZ: database.</w:t>
            </w:r>
          </w:p>
          <w:p w14:paraId="0AC5F970" w14:textId="77777777" w:rsidR="00720964" w:rsidRPr="00BA5DC5" w:rsidRDefault="00720964" w:rsidP="00D509C8">
            <w:pPr>
              <w:pStyle w:val="TableText"/>
              <w:spacing w:before="0" w:after="0"/>
            </w:pPr>
            <w:r w:rsidRPr="00BA5DC5">
              <w:t>Low risk of bias (single arms)</w:t>
            </w:r>
            <w:r w:rsidRPr="00BA5DC5">
              <w:rPr>
                <w:color w:val="008080"/>
                <w:u w:val="single"/>
              </w:rPr>
              <w:t>.</w:t>
            </w:r>
          </w:p>
          <w:p w14:paraId="67FF03F8" w14:textId="7F7C2FEA" w:rsidR="00720964" w:rsidRPr="00BA5DC5" w:rsidRDefault="00720964" w:rsidP="00D509C8">
            <w:pPr>
              <w:pStyle w:val="TableText"/>
              <w:spacing w:before="0" w:after="0"/>
            </w:pPr>
            <w:r w:rsidRPr="00BA5DC5">
              <w:t xml:space="preserve">Single arm, prospective </w:t>
            </w:r>
            <w:r w:rsidR="003A7A8E">
              <w:t>p</w:t>
            </w:r>
            <w:r w:rsidRPr="00BA5DC5">
              <w:t>hase</w:t>
            </w:r>
            <w:r w:rsidR="00CC50B0">
              <w:t>-II</w:t>
            </w:r>
            <w:r w:rsidRPr="00BA5DC5">
              <w:t xml:space="preserve"> trials.</w:t>
            </w:r>
          </w:p>
          <w:p w14:paraId="3D482978" w14:textId="77777777" w:rsidR="00720964" w:rsidRPr="00BA5DC5" w:rsidRDefault="00720964" w:rsidP="00D509C8">
            <w:pPr>
              <w:pStyle w:val="TableText"/>
              <w:spacing w:before="0" w:after="0"/>
            </w:pPr>
            <w:r w:rsidRPr="00BA5DC5">
              <w:t>Data combined to include all patients in the population.</w:t>
            </w:r>
          </w:p>
          <w:p w14:paraId="146BBB69" w14:textId="77777777" w:rsidR="00720964" w:rsidRPr="00BA5DC5" w:rsidRDefault="00720964" w:rsidP="00D509C8">
            <w:pPr>
              <w:pStyle w:val="TableText"/>
              <w:spacing w:before="0" w:after="0"/>
            </w:pPr>
            <w:r w:rsidRPr="00BA5DC5">
              <w:t>Low-moderate risk of bias (single arms)</w:t>
            </w:r>
          </w:p>
        </w:tc>
        <w:tc>
          <w:tcPr>
            <w:tcW w:w="1984" w:type="dxa"/>
          </w:tcPr>
          <w:p w14:paraId="04016452" w14:textId="77777777" w:rsidR="00720964" w:rsidRPr="00BA5DC5" w:rsidRDefault="00720964" w:rsidP="00D509C8">
            <w:pPr>
              <w:pStyle w:val="TableText"/>
              <w:spacing w:before="0" w:after="0"/>
            </w:pPr>
            <w:r w:rsidRPr="00BA5DC5">
              <w:t>Australian HS patients on DD waiting list and patients on dialysis (± delayed transplant)</w:t>
            </w:r>
          </w:p>
          <w:p w14:paraId="4472419B" w14:textId="63DD564B" w:rsidR="00720964" w:rsidRPr="00BA5DC5" w:rsidRDefault="00720964" w:rsidP="00D509C8">
            <w:pPr>
              <w:pStyle w:val="TableText"/>
              <w:spacing w:before="0" w:after="0"/>
            </w:pPr>
          </w:p>
        </w:tc>
        <w:tc>
          <w:tcPr>
            <w:tcW w:w="264" w:type="dxa"/>
          </w:tcPr>
          <w:p w14:paraId="6E4BAA67" w14:textId="06FE9F6D" w:rsidR="00720964" w:rsidRPr="00BA5DC5" w:rsidRDefault="00720964" w:rsidP="00D509C8">
            <w:pPr>
              <w:pStyle w:val="TableText"/>
              <w:spacing w:before="0" w:after="0"/>
            </w:pPr>
            <w:r w:rsidRPr="00BA5DC5">
              <w:t>46</w:t>
            </w:r>
          </w:p>
        </w:tc>
        <w:tc>
          <w:tcPr>
            <w:tcW w:w="1559" w:type="dxa"/>
          </w:tcPr>
          <w:p w14:paraId="67D51C1D" w14:textId="77777777" w:rsidR="00720964" w:rsidRPr="00BA5DC5" w:rsidRDefault="00720964" w:rsidP="00D509C8">
            <w:pPr>
              <w:pStyle w:val="TableText"/>
              <w:spacing w:before="0" w:after="0"/>
            </w:pPr>
            <w:r w:rsidRPr="00BA5DC5">
              <w:t>Remain on dialysis.</w:t>
            </w:r>
          </w:p>
          <w:p w14:paraId="75A4778C" w14:textId="77777777" w:rsidR="00720964" w:rsidRPr="00BA5DC5" w:rsidRDefault="00720964" w:rsidP="00D509C8">
            <w:pPr>
              <w:pStyle w:val="TableText"/>
              <w:spacing w:before="0" w:after="0"/>
            </w:pPr>
            <w:r w:rsidRPr="00BA5DC5">
              <w:t>OR</w:t>
            </w:r>
          </w:p>
          <w:p w14:paraId="418B2F18" w14:textId="77777777" w:rsidR="00720964" w:rsidRPr="00BA5DC5" w:rsidRDefault="00720964" w:rsidP="00D509C8">
            <w:pPr>
              <w:pStyle w:val="TableText"/>
              <w:spacing w:before="0" w:after="0"/>
            </w:pPr>
            <w:r w:rsidRPr="00BA5DC5">
              <w:t>Remain on dialysis with a delayed transplant.</w:t>
            </w:r>
          </w:p>
        </w:tc>
        <w:tc>
          <w:tcPr>
            <w:tcW w:w="1900" w:type="dxa"/>
          </w:tcPr>
          <w:p w14:paraId="139A81AA" w14:textId="77777777" w:rsidR="00720964" w:rsidRPr="00BA5DC5" w:rsidRDefault="00720964" w:rsidP="00D509C8">
            <w:pPr>
              <w:pStyle w:val="TableText"/>
              <w:spacing w:before="0" w:after="0"/>
            </w:pPr>
            <w:r w:rsidRPr="00BA5DC5">
              <w:t>Patient survival</w:t>
            </w:r>
          </w:p>
          <w:p w14:paraId="296D1759" w14:textId="77777777" w:rsidR="00720964" w:rsidRPr="00BA5DC5" w:rsidRDefault="00720964" w:rsidP="00D509C8">
            <w:pPr>
              <w:pStyle w:val="TableText"/>
              <w:spacing w:before="0" w:after="0"/>
            </w:pPr>
            <w:r w:rsidRPr="00BA5DC5">
              <w:t>Graft survival</w:t>
            </w:r>
          </w:p>
          <w:p w14:paraId="59257AD6" w14:textId="77777777" w:rsidR="00720964" w:rsidRPr="00BA5DC5" w:rsidRDefault="00720964" w:rsidP="00D509C8">
            <w:pPr>
              <w:pStyle w:val="TableText"/>
              <w:spacing w:before="0" w:after="0"/>
            </w:pPr>
            <w:r w:rsidRPr="00BA5DC5">
              <w:t>AEs </w:t>
            </w:r>
          </w:p>
        </w:tc>
        <w:tc>
          <w:tcPr>
            <w:tcW w:w="0" w:type="auto"/>
          </w:tcPr>
          <w:p w14:paraId="0DE644DA" w14:textId="77777777" w:rsidR="00720964" w:rsidRPr="00BA5DC5" w:rsidRDefault="00720964" w:rsidP="00D509C8">
            <w:pPr>
              <w:pStyle w:val="TableText"/>
              <w:spacing w:before="0" w:after="0"/>
            </w:pPr>
            <w:r w:rsidRPr="00BA5DC5">
              <w:t>TSANZ data 44</w:t>
            </w:r>
            <w:r w:rsidRPr="00BA5DC5">
              <w:rPr>
                <w:vertAlign w:val="superscript"/>
              </w:rPr>
              <w:t>th</w:t>
            </w:r>
            <w:r w:rsidRPr="00BA5DC5">
              <w:t xml:space="preserve"> report (dialysis mortality 2020-21 tables)</w:t>
            </w:r>
          </w:p>
          <w:p w14:paraId="55EC2241" w14:textId="77777777" w:rsidR="00720964" w:rsidRPr="00BA5DC5" w:rsidRDefault="00720964" w:rsidP="00D509C8">
            <w:pPr>
              <w:pStyle w:val="TableText"/>
              <w:spacing w:before="0" w:after="0"/>
            </w:pPr>
            <w:r w:rsidRPr="00BA5DC5">
              <w:t>Patient survival by age.  </w:t>
            </w:r>
          </w:p>
          <w:p w14:paraId="5EEB0741" w14:textId="3D4479BA" w:rsidR="00720964" w:rsidRPr="00BA5DC5" w:rsidRDefault="00720964" w:rsidP="00D509C8">
            <w:pPr>
              <w:pStyle w:val="TableText"/>
              <w:spacing w:before="0" w:after="0"/>
            </w:pPr>
            <w:r w:rsidRPr="00BA5DC5">
              <w:t>Combined imlifidase study data.</w:t>
            </w:r>
          </w:p>
        </w:tc>
      </w:tr>
    </w:tbl>
    <w:p w14:paraId="384B0517" w14:textId="77777777" w:rsidR="002C22DD" w:rsidRPr="008555A3" w:rsidRDefault="00A2483E" w:rsidP="005D407A">
      <w:pPr>
        <w:pStyle w:val="Notes-TableFigure"/>
        <w:rPr>
          <w:b/>
          <w:bCs/>
          <w:u w:val="single"/>
        </w:rPr>
      </w:pPr>
      <w:bookmarkStart w:id="13" w:name="_Toc69491423"/>
      <w:r w:rsidRPr="008555A3">
        <w:rPr>
          <w:b/>
          <w:bCs/>
          <w:u w:val="single"/>
        </w:rPr>
        <w:t xml:space="preserve">Abbreviations: </w:t>
      </w:r>
    </w:p>
    <w:p w14:paraId="521C0A37" w14:textId="27673499" w:rsidR="00167CDE" w:rsidRDefault="00A54DEC" w:rsidP="005D407A">
      <w:pPr>
        <w:pStyle w:val="Notes-TableFigure"/>
      </w:pPr>
      <w:r w:rsidRPr="008555A3">
        <w:rPr>
          <w:b/>
          <w:bCs/>
        </w:rPr>
        <w:t>AMR</w:t>
      </w:r>
      <w:r w:rsidR="00933422">
        <w:t xml:space="preserve"> =</w:t>
      </w:r>
      <w:r w:rsidRPr="002365D9">
        <w:t xml:space="preserve"> antibody mediated rejection; </w:t>
      </w:r>
      <w:r w:rsidRPr="008555A3">
        <w:rPr>
          <w:b/>
          <w:bCs/>
        </w:rPr>
        <w:t>DD</w:t>
      </w:r>
      <w:r w:rsidR="00933422">
        <w:t xml:space="preserve"> =</w:t>
      </w:r>
      <w:r w:rsidRPr="002365D9">
        <w:t xml:space="preserve"> deceased donor; </w:t>
      </w:r>
      <w:r w:rsidRPr="008555A3">
        <w:rPr>
          <w:b/>
          <w:bCs/>
        </w:rPr>
        <w:t>GFR</w:t>
      </w:r>
      <w:r w:rsidR="00933422">
        <w:t xml:space="preserve"> =</w:t>
      </w:r>
      <w:r w:rsidRPr="002365D9">
        <w:t xml:space="preserve"> glomerular filtration rate; </w:t>
      </w:r>
      <w:proofErr w:type="spellStart"/>
      <w:r w:rsidRPr="008555A3">
        <w:rPr>
          <w:b/>
          <w:bCs/>
        </w:rPr>
        <w:t>HLAi</w:t>
      </w:r>
      <w:proofErr w:type="spellEnd"/>
      <w:r w:rsidR="00933422">
        <w:t xml:space="preserve"> =</w:t>
      </w:r>
      <w:r w:rsidRPr="002365D9">
        <w:t xml:space="preserve"> human leucocyte antigen incompatible; </w:t>
      </w:r>
      <w:r w:rsidRPr="008555A3">
        <w:rPr>
          <w:b/>
          <w:bCs/>
        </w:rPr>
        <w:t>HS</w:t>
      </w:r>
      <w:r w:rsidR="00933422">
        <w:t xml:space="preserve"> =</w:t>
      </w:r>
      <w:r w:rsidRPr="002365D9">
        <w:t xml:space="preserve"> highly </w:t>
      </w:r>
      <w:proofErr w:type="spellStart"/>
      <w:r w:rsidRPr="002365D9">
        <w:t>sensitised</w:t>
      </w:r>
      <w:proofErr w:type="spellEnd"/>
      <w:r w:rsidRPr="002365D9">
        <w:t xml:space="preserve">; </w:t>
      </w:r>
      <w:r w:rsidRPr="008555A3">
        <w:rPr>
          <w:b/>
          <w:bCs/>
        </w:rPr>
        <w:t>LD</w:t>
      </w:r>
      <w:r w:rsidR="00933422">
        <w:t xml:space="preserve"> =</w:t>
      </w:r>
      <w:r w:rsidRPr="002365D9">
        <w:t xml:space="preserve"> live donor; </w:t>
      </w:r>
      <w:r w:rsidRPr="008555A3">
        <w:rPr>
          <w:b/>
          <w:bCs/>
        </w:rPr>
        <w:t>TEAE</w:t>
      </w:r>
      <w:r w:rsidR="00933422">
        <w:t xml:space="preserve"> =</w:t>
      </w:r>
      <w:r w:rsidRPr="002365D9">
        <w:t xml:space="preserve"> treatment-emergent adverse event; </w:t>
      </w:r>
      <w:r w:rsidRPr="008555A3">
        <w:rPr>
          <w:b/>
          <w:bCs/>
        </w:rPr>
        <w:t>UTT-A</w:t>
      </w:r>
      <w:r w:rsidR="00933422">
        <w:t xml:space="preserve"> =</w:t>
      </w:r>
      <w:r w:rsidRPr="002365D9">
        <w:t xml:space="preserve"> unlikely to be transplanted</w:t>
      </w:r>
      <w:r w:rsidR="00076035" w:rsidRPr="002365D9">
        <w:t>–</w:t>
      </w:r>
      <w:r w:rsidRPr="002365D9">
        <w:t xml:space="preserve">agnostic (in the absence of imlifidase) including both deceased and live donor transplants; </w:t>
      </w:r>
      <w:r w:rsidRPr="008555A3">
        <w:rPr>
          <w:b/>
          <w:bCs/>
        </w:rPr>
        <w:t>UTT</w:t>
      </w:r>
      <w:r w:rsidR="00933422">
        <w:t xml:space="preserve"> =</w:t>
      </w:r>
      <w:r w:rsidRPr="002365D9">
        <w:t xml:space="preserve"> unlikely to be transplanted (in the absence of imlifidase</w:t>
      </w:r>
      <w:r w:rsidR="007801DC">
        <w:t>),</w:t>
      </w:r>
      <w:r w:rsidRPr="002365D9">
        <w:t xml:space="preserve"> including </w:t>
      </w:r>
      <w:r w:rsidR="008B4D83">
        <w:t xml:space="preserve">only </w:t>
      </w:r>
      <w:r w:rsidRPr="002365D9">
        <w:t>deceased donor</w:t>
      </w:r>
      <w:r w:rsidR="008B4D83">
        <w:t xml:space="preserve"> transplants</w:t>
      </w:r>
    </w:p>
    <w:p w14:paraId="6B72138E" w14:textId="2E011A14" w:rsidR="00A36EFB" w:rsidRPr="002365D9" w:rsidRDefault="00A36EFB" w:rsidP="00167CDE">
      <w:pPr>
        <w:pStyle w:val="Tablenotes0"/>
        <w:sectPr w:rsidR="00A36EFB" w:rsidRPr="002365D9" w:rsidSect="00460A03">
          <w:pgSz w:w="16838" w:h="11906" w:orient="landscape"/>
          <w:pgMar w:top="1440" w:right="1440" w:bottom="1440" w:left="1440" w:header="709" w:footer="709" w:gutter="0"/>
          <w:cols w:space="708"/>
          <w:docGrid w:linePitch="360"/>
        </w:sectPr>
      </w:pPr>
    </w:p>
    <w:p w14:paraId="486DDF9E" w14:textId="78D1DFF0" w:rsidR="0002380B" w:rsidRPr="0002380B" w:rsidRDefault="000475C3" w:rsidP="0002380B">
      <w:pPr>
        <w:rPr>
          <w:lang w:val="en-GB"/>
        </w:rPr>
      </w:pPr>
      <w:r>
        <w:rPr>
          <w:lang w:val="en-GB"/>
        </w:rPr>
        <w:t xml:space="preserve">The commentary considered that </w:t>
      </w:r>
      <w:r w:rsidR="0002380B" w:rsidRPr="0002380B">
        <w:rPr>
          <w:lang w:val="en-GB"/>
        </w:rPr>
        <w:t>these studies may be subject to bias</w:t>
      </w:r>
      <w:r w:rsidR="0002380B">
        <w:rPr>
          <w:lang w:val="en-GB"/>
        </w:rPr>
        <w:t>. Given</w:t>
      </w:r>
      <w:r w:rsidR="0002380B" w:rsidRPr="0002380B">
        <w:rPr>
          <w:lang w:val="en-GB"/>
        </w:rPr>
        <w:t xml:space="preserve"> the small study population, the findings may not always be </w:t>
      </w:r>
      <w:r w:rsidR="0002380B">
        <w:rPr>
          <w:lang w:val="en-GB"/>
        </w:rPr>
        <w:t>generalisable</w:t>
      </w:r>
      <w:r w:rsidR="0002380B" w:rsidRPr="0002380B">
        <w:rPr>
          <w:lang w:val="en-GB"/>
        </w:rPr>
        <w:t xml:space="preserve"> to other populations, such as the Australian population.</w:t>
      </w:r>
    </w:p>
    <w:p w14:paraId="11ACA792" w14:textId="2D2D2A8D" w:rsidR="006E5BD5" w:rsidRPr="0002380B" w:rsidRDefault="00DE1420" w:rsidP="00961BDB">
      <w:pPr>
        <w:rPr>
          <w:lang w:val="en-GB"/>
        </w:rPr>
      </w:pPr>
      <w:r>
        <w:rPr>
          <w:lang w:val="en-GB"/>
        </w:rPr>
        <w:t>The commentary</w:t>
      </w:r>
      <w:r w:rsidR="00961BDB" w:rsidRPr="0002380B">
        <w:rPr>
          <w:lang w:val="en-GB"/>
        </w:rPr>
        <w:t xml:space="preserve"> </w:t>
      </w:r>
      <w:r w:rsidR="0002380B" w:rsidRPr="0002380B">
        <w:rPr>
          <w:lang w:val="en-GB"/>
        </w:rPr>
        <w:t>acknowledge</w:t>
      </w:r>
      <w:r w:rsidR="00457726">
        <w:rPr>
          <w:lang w:val="en-GB"/>
        </w:rPr>
        <w:t>d</w:t>
      </w:r>
      <w:r w:rsidR="0002380B" w:rsidRPr="0002380B">
        <w:rPr>
          <w:lang w:val="en-GB"/>
        </w:rPr>
        <w:t xml:space="preserve"> the absence</w:t>
      </w:r>
      <w:r w:rsidR="00961BDB" w:rsidRPr="0002380B">
        <w:rPr>
          <w:lang w:val="en-GB"/>
        </w:rPr>
        <w:t xml:space="preserve"> of long</w:t>
      </w:r>
      <w:r w:rsidR="0002380B" w:rsidRPr="0002380B">
        <w:rPr>
          <w:lang w:val="en-GB"/>
        </w:rPr>
        <w:t>-</w:t>
      </w:r>
      <w:r w:rsidR="00961BDB" w:rsidRPr="0002380B">
        <w:rPr>
          <w:lang w:val="en-GB"/>
        </w:rPr>
        <w:t>term data</w:t>
      </w:r>
      <w:r w:rsidR="0002380B" w:rsidRPr="0002380B">
        <w:rPr>
          <w:lang w:val="en-GB"/>
        </w:rPr>
        <w:t xml:space="preserve"> and highlight</w:t>
      </w:r>
      <w:r w:rsidR="00457726">
        <w:rPr>
          <w:lang w:val="en-GB"/>
        </w:rPr>
        <w:t>ed</w:t>
      </w:r>
      <w:r w:rsidR="00961BDB" w:rsidRPr="0002380B">
        <w:rPr>
          <w:lang w:val="en-GB"/>
        </w:rPr>
        <w:t xml:space="preserve"> that the applicant is </w:t>
      </w:r>
      <w:r w:rsidR="0002380B" w:rsidRPr="0002380B">
        <w:rPr>
          <w:lang w:val="en-GB"/>
        </w:rPr>
        <w:t>conducting</w:t>
      </w:r>
      <w:r w:rsidR="00961BDB" w:rsidRPr="0002380B">
        <w:rPr>
          <w:lang w:val="en-GB"/>
        </w:rPr>
        <w:t xml:space="preserve"> </w:t>
      </w:r>
      <w:r w:rsidR="00AB2D61">
        <w:rPr>
          <w:lang w:val="en-GB"/>
        </w:rPr>
        <w:t>two</w:t>
      </w:r>
      <w:r w:rsidR="003A7A8E" w:rsidRPr="0002380B">
        <w:rPr>
          <w:lang w:val="en-GB"/>
        </w:rPr>
        <w:t xml:space="preserve"> </w:t>
      </w:r>
      <w:r w:rsidR="003A7A8E">
        <w:rPr>
          <w:lang w:val="en-GB"/>
        </w:rPr>
        <w:t>p</w:t>
      </w:r>
      <w:r w:rsidR="00961BDB" w:rsidRPr="0002380B">
        <w:rPr>
          <w:lang w:val="en-GB"/>
        </w:rPr>
        <w:t>hase</w:t>
      </w:r>
      <w:r w:rsidR="00CC50B0">
        <w:rPr>
          <w:lang w:val="en-GB"/>
        </w:rPr>
        <w:t>-</w:t>
      </w:r>
      <w:r w:rsidR="00961BDB" w:rsidRPr="0002380B">
        <w:rPr>
          <w:lang w:val="en-GB"/>
        </w:rPr>
        <w:t>III trials.</w:t>
      </w:r>
      <w:r w:rsidR="00C64D1B" w:rsidRPr="0002380B">
        <w:rPr>
          <w:lang w:val="en-GB"/>
        </w:rPr>
        <w:t xml:space="preserve"> </w:t>
      </w:r>
      <w:r w:rsidR="0002380B" w:rsidRPr="0002380B">
        <w:rPr>
          <w:lang w:val="en-GB"/>
        </w:rPr>
        <w:t>These ongoing</w:t>
      </w:r>
      <w:r w:rsidR="00C64D1B" w:rsidRPr="0002380B">
        <w:rPr>
          <w:lang w:val="en-GB"/>
        </w:rPr>
        <w:t xml:space="preserve"> </w:t>
      </w:r>
      <w:r w:rsidR="003A7A8E">
        <w:rPr>
          <w:lang w:val="en-GB"/>
        </w:rPr>
        <w:t>p</w:t>
      </w:r>
      <w:r w:rsidR="00C64D1B" w:rsidRPr="0002380B">
        <w:rPr>
          <w:lang w:val="en-GB"/>
        </w:rPr>
        <w:t>hase</w:t>
      </w:r>
      <w:r w:rsidR="00CC50B0">
        <w:rPr>
          <w:lang w:val="en-GB"/>
        </w:rPr>
        <w:t>-</w:t>
      </w:r>
      <w:r w:rsidR="00C64D1B" w:rsidRPr="0002380B">
        <w:rPr>
          <w:lang w:val="en-GB"/>
        </w:rPr>
        <w:t xml:space="preserve">III trials, </w:t>
      </w:r>
      <w:r w:rsidR="0002380B" w:rsidRPr="0002380B">
        <w:rPr>
          <w:lang w:val="en-GB"/>
        </w:rPr>
        <w:t>led by the</w:t>
      </w:r>
      <w:r w:rsidR="00457726">
        <w:rPr>
          <w:lang w:val="en-GB"/>
        </w:rPr>
        <w:t xml:space="preserve"> </w:t>
      </w:r>
      <w:r w:rsidR="00464D4A">
        <w:rPr>
          <w:lang w:val="en-GB"/>
        </w:rPr>
        <w:t>sponsor</w:t>
      </w:r>
      <w:r w:rsidR="0002380B" w:rsidRPr="0002380B">
        <w:rPr>
          <w:lang w:val="en-GB"/>
        </w:rPr>
        <w:t>,</w:t>
      </w:r>
      <w:r w:rsidR="00C64D1B" w:rsidRPr="0002380B">
        <w:rPr>
          <w:lang w:val="en-GB"/>
        </w:rPr>
        <w:t xml:space="preserve"> have the potential to </w:t>
      </w:r>
      <w:r w:rsidR="0002380B" w:rsidRPr="0002380B">
        <w:rPr>
          <w:lang w:val="en-GB"/>
        </w:rPr>
        <w:t>address existing</w:t>
      </w:r>
      <w:r w:rsidR="00C64D1B" w:rsidRPr="0002380B">
        <w:rPr>
          <w:lang w:val="en-GB"/>
        </w:rPr>
        <w:t xml:space="preserve"> knowledge gaps and may </w:t>
      </w:r>
      <w:r w:rsidR="0002380B" w:rsidRPr="0002380B">
        <w:rPr>
          <w:lang w:val="en-GB"/>
        </w:rPr>
        <w:t>ultimately help determine</w:t>
      </w:r>
      <w:r w:rsidR="00C64D1B" w:rsidRPr="0002380B">
        <w:rPr>
          <w:lang w:val="en-GB"/>
        </w:rPr>
        <w:t xml:space="preserve"> the benefit-risk balance </w:t>
      </w:r>
      <w:r w:rsidR="0002380B" w:rsidRPr="0002380B">
        <w:rPr>
          <w:lang w:val="en-GB"/>
        </w:rPr>
        <w:t>of the treatment. By providing more comprehensive information, these trials could offer a more robust understanding of the treatment's long-term efficacy and safety in various populations, including those outside the initial study settings.</w:t>
      </w:r>
      <w:r w:rsidR="008164C7">
        <w:rPr>
          <w:lang w:val="en-GB"/>
        </w:rPr>
        <w:t xml:space="preserve"> However, results </w:t>
      </w:r>
      <w:r w:rsidR="00F4621A">
        <w:rPr>
          <w:lang w:val="en-GB"/>
        </w:rPr>
        <w:t xml:space="preserve">of </w:t>
      </w:r>
      <w:r w:rsidR="003A7A8E">
        <w:rPr>
          <w:lang w:val="en-GB"/>
        </w:rPr>
        <w:t>p</w:t>
      </w:r>
      <w:r w:rsidR="00F4621A">
        <w:rPr>
          <w:lang w:val="en-GB"/>
        </w:rPr>
        <w:t>hase</w:t>
      </w:r>
      <w:r w:rsidR="00CC50B0">
        <w:rPr>
          <w:lang w:val="en-GB"/>
        </w:rPr>
        <w:t>-</w:t>
      </w:r>
      <w:r w:rsidR="00F4621A">
        <w:rPr>
          <w:lang w:val="en-GB"/>
        </w:rPr>
        <w:t xml:space="preserve">III clinical trials </w:t>
      </w:r>
      <w:r w:rsidR="008164C7">
        <w:rPr>
          <w:lang w:val="en-GB"/>
        </w:rPr>
        <w:t xml:space="preserve">are currently unavailable, </w:t>
      </w:r>
      <w:r w:rsidR="00452CB4">
        <w:rPr>
          <w:lang w:val="en-GB"/>
        </w:rPr>
        <w:t>and as such</w:t>
      </w:r>
      <w:r w:rsidR="00CE4EA8">
        <w:rPr>
          <w:lang w:val="en-GB"/>
        </w:rPr>
        <w:t xml:space="preserve"> uncertainty associated with</w:t>
      </w:r>
      <w:r w:rsidR="003673D9">
        <w:rPr>
          <w:lang w:val="en-GB"/>
        </w:rPr>
        <w:t xml:space="preserve"> the existing </w:t>
      </w:r>
      <w:r w:rsidR="003A7A8E">
        <w:rPr>
          <w:lang w:val="en-GB"/>
        </w:rPr>
        <w:t>p</w:t>
      </w:r>
      <w:r w:rsidR="00F4621A">
        <w:rPr>
          <w:lang w:val="en-GB"/>
        </w:rPr>
        <w:t>hase</w:t>
      </w:r>
      <w:r w:rsidR="00CC50B0">
        <w:rPr>
          <w:lang w:val="en-GB"/>
        </w:rPr>
        <w:t>-</w:t>
      </w:r>
      <w:r w:rsidR="00F4621A">
        <w:rPr>
          <w:lang w:val="en-GB"/>
        </w:rPr>
        <w:t xml:space="preserve">II </w:t>
      </w:r>
      <w:r w:rsidR="003673D9">
        <w:rPr>
          <w:lang w:val="en-GB"/>
        </w:rPr>
        <w:t xml:space="preserve">clinical trials </w:t>
      </w:r>
      <w:r w:rsidR="006A2732">
        <w:rPr>
          <w:lang w:val="en-GB"/>
        </w:rPr>
        <w:t>is impactful in the evaluation of imlifidase.</w:t>
      </w:r>
    </w:p>
    <w:p w14:paraId="3B9FC2AD" w14:textId="421730E2" w:rsidR="00772829" w:rsidRPr="00CE28E3" w:rsidRDefault="006C22EF" w:rsidP="002A18BE">
      <w:pPr>
        <w:pStyle w:val="Heading2"/>
        <w:numPr>
          <w:ilvl w:val="0"/>
          <w:numId w:val="0"/>
        </w:numPr>
      </w:pPr>
      <w:r>
        <w:t>11</w:t>
      </w:r>
      <w:r w:rsidR="00C36633">
        <w:t>.</w:t>
      </w:r>
      <w:r w:rsidR="00C36633">
        <w:tab/>
      </w:r>
      <w:r w:rsidR="00772829" w:rsidRPr="00CE28E3">
        <w:t>Comparative safety</w:t>
      </w:r>
      <w:bookmarkEnd w:id="13"/>
    </w:p>
    <w:p w14:paraId="5F8A2749" w14:textId="0769C73A" w:rsidR="002E5F9A" w:rsidRPr="006E6436" w:rsidRDefault="0067503E" w:rsidP="002E5F9A">
      <w:pPr>
        <w:pStyle w:val="Instructionaltext"/>
        <w:rPr>
          <w:color w:val="auto"/>
        </w:rPr>
      </w:pPr>
      <w:r w:rsidRPr="0067503E">
        <w:rPr>
          <w:color w:val="auto"/>
        </w:rPr>
        <w:t xml:space="preserve">The clinical evidence presented in the </w:t>
      </w:r>
      <w:r w:rsidR="00457726">
        <w:rPr>
          <w:color w:val="auto"/>
        </w:rPr>
        <w:t xml:space="preserve">ADAR </w:t>
      </w:r>
      <w:r w:rsidRPr="0067503E">
        <w:rPr>
          <w:color w:val="auto"/>
        </w:rPr>
        <w:t xml:space="preserve">was primarily based on </w:t>
      </w:r>
      <w:r w:rsidR="003A7A8E">
        <w:rPr>
          <w:color w:val="auto"/>
        </w:rPr>
        <w:t>4 p</w:t>
      </w:r>
      <w:r w:rsidR="00031F21" w:rsidRPr="00031F21">
        <w:rPr>
          <w:color w:val="auto"/>
        </w:rPr>
        <w:t>hase</w:t>
      </w:r>
      <w:r w:rsidR="00CC50B0">
        <w:rPr>
          <w:color w:val="auto"/>
        </w:rPr>
        <w:t>-II</w:t>
      </w:r>
      <w:r w:rsidR="00031F21" w:rsidRPr="00031F21">
        <w:rPr>
          <w:color w:val="auto"/>
        </w:rPr>
        <w:t xml:space="preserve"> clinical</w:t>
      </w:r>
      <w:r w:rsidRPr="0067503E">
        <w:rPr>
          <w:color w:val="auto"/>
        </w:rPr>
        <w:t xml:space="preserve"> studies</w:t>
      </w:r>
      <w:r w:rsidR="00031F21" w:rsidRPr="00031F21">
        <w:rPr>
          <w:color w:val="auto"/>
        </w:rPr>
        <w:t xml:space="preserve"> of imlifidase reported (13-HMedIdeS-02, 13</w:t>
      </w:r>
      <w:r w:rsidR="00B40174">
        <w:rPr>
          <w:color w:val="auto"/>
        </w:rPr>
        <w:t>-</w:t>
      </w:r>
      <w:r w:rsidR="00031F21" w:rsidRPr="00031F21">
        <w:rPr>
          <w:color w:val="auto"/>
        </w:rPr>
        <w:t>HMedIdeS-03, 14-HMedIdeS-04, 15-HMedIdeS-06)</w:t>
      </w:r>
      <w:r w:rsidR="006E6436">
        <w:rPr>
          <w:color w:val="auto"/>
        </w:rPr>
        <w:t>.</w:t>
      </w:r>
    </w:p>
    <w:p w14:paraId="114D417D" w14:textId="7E819CE9" w:rsidR="00EC2E49" w:rsidRDefault="002E5F9A" w:rsidP="00BE69C9">
      <w:pPr>
        <w:pStyle w:val="Instructionaltext"/>
        <w:rPr>
          <w:color w:val="auto"/>
        </w:rPr>
      </w:pPr>
      <w:r w:rsidRPr="002E5F9A">
        <w:rPr>
          <w:color w:val="auto"/>
        </w:rPr>
        <w:t xml:space="preserve">The </w:t>
      </w:r>
      <w:r w:rsidR="00676525">
        <w:rPr>
          <w:color w:val="auto"/>
        </w:rPr>
        <w:t>ADAR</w:t>
      </w:r>
      <w:r w:rsidRPr="002E5F9A">
        <w:rPr>
          <w:color w:val="auto"/>
        </w:rPr>
        <w:t xml:space="preserve"> </w:t>
      </w:r>
      <w:r w:rsidR="0035613C">
        <w:rPr>
          <w:color w:val="auto"/>
        </w:rPr>
        <w:t>included</w:t>
      </w:r>
      <w:r w:rsidRPr="002E5F9A">
        <w:rPr>
          <w:color w:val="auto"/>
        </w:rPr>
        <w:t xml:space="preserve"> </w:t>
      </w:r>
      <w:r w:rsidR="00E707BF">
        <w:rPr>
          <w:color w:val="auto"/>
        </w:rPr>
        <w:t>a</w:t>
      </w:r>
      <w:r w:rsidRPr="002E5F9A">
        <w:rPr>
          <w:color w:val="auto"/>
        </w:rPr>
        <w:t xml:space="preserve"> safety dataset consisting of a broader group of patients </w:t>
      </w:r>
      <w:r>
        <w:rPr>
          <w:color w:val="auto"/>
        </w:rPr>
        <w:t xml:space="preserve">in </w:t>
      </w:r>
      <w:r w:rsidR="006013A5">
        <w:rPr>
          <w:color w:val="auto"/>
        </w:rPr>
        <w:t xml:space="preserve">the safety analyses. </w:t>
      </w:r>
      <w:r w:rsidR="00FD358F" w:rsidRPr="00FD358F">
        <w:rPr>
          <w:color w:val="auto"/>
        </w:rPr>
        <w:t>The safety dataset comprises a more extensive patient group</w:t>
      </w:r>
      <w:r w:rsidR="00C62CD8">
        <w:rPr>
          <w:color w:val="auto"/>
        </w:rPr>
        <w:t>:</w:t>
      </w:r>
      <w:r w:rsidR="00FD358F" w:rsidRPr="00FD358F">
        <w:rPr>
          <w:color w:val="auto"/>
        </w:rPr>
        <w:t xml:space="preserve"> the </w:t>
      </w:r>
      <w:r w:rsidR="00761272" w:rsidRPr="00FD358F">
        <w:rPr>
          <w:color w:val="auto"/>
        </w:rPr>
        <w:t xml:space="preserve">chronic kidney disease </w:t>
      </w:r>
      <w:r w:rsidR="00FD358F" w:rsidRPr="00FD358F">
        <w:rPr>
          <w:color w:val="auto"/>
        </w:rPr>
        <w:t xml:space="preserve">(CKD) </w:t>
      </w:r>
      <w:r w:rsidR="00C62CD8">
        <w:rPr>
          <w:color w:val="auto"/>
        </w:rPr>
        <w:t>a</w:t>
      </w:r>
      <w:r w:rsidR="00FD358F" w:rsidRPr="00FD358F">
        <w:rPr>
          <w:color w:val="auto"/>
        </w:rPr>
        <w:t>ll</w:t>
      </w:r>
      <w:r w:rsidR="0063510B">
        <w:rPr>
          <w:color w:val="auto"/>
        </w:rPr>
        <w:t>-</w:t>
      </w:r>
      <w:r w:rsidR="00E326D0">
        <w:rPr>
          <w:color w:val="auto"/>
        </w:rPr>
        <w:t>i</w:t>
      </w:r>
      <w:r w:rsidR="00FD358F" w:rsidRPr="00FD358F">
        <w:rPr>
          <w:color w:val="auto"/>
        </w:rPr>
        <w:t xml:space="preserve">mlifidase </w:t>
      </w:r>
      <w:r w:rsidR="00C62CD8">
        <w:rPr>
          <w:color w:val="auto"/>
        </w:rPr>
        <w:t>p</w:t>
      </w:r>
      <w:r w:rsidR="00FD358F" w:rsidRPr="00FD358F">
        <w:rPr>
          <w:color w:val="auto"/>
        </w:rPr>
        <w:t>opulation.</w:t>
      </w:r>
      <w:r w:rsidR="001B2A24">
        <w:rPr>
          <w:color w:val="auto"/>
        </w:rPr>
        <w:t xml:space="preserve"> </w:t>
      </w:r>
      <w:r w:rsidR="001B2A24" w:rsidRPr="001B2A24">
        <w:rPr>
          <w:color w:val="auto"/>
        </w:rPr>
        <w:t xml:space="preserve">This group encompasses all patients in the study program who received at least one dose of imlifidase (N=54), constituting the complete </w:t>
      </w:r>
      <w:r w:rsidR="00197BC0">
        <w:rPr>
          <w:color w:val="auto"/>
        </w:rPr>
        <w:t>s</w:t>
      </w:r>
      <w:r w:rsidR="001B2A24" w:rsidRPr="001B2A24">
        <w:rPr>
          <w:color w:val="auto"/>
        </w:rPr>
        <w:t xml:space="preserve">afety </w:t>
      </w:r>
      <w:r w:rsidR="00197BC0">
        <w:rPr>
          <w:color w:val="auto"/>
        </w:rPr>
        <w:t>s</w:t>
      </w:r>
      <w:r w:rsidR="001B2A24" w:rsidRPr="001B2A24">
        <w:rPr>
          <w:color w:val="auto"/>
        </w:rPr>
        <w:t>et in the combined analyses.</w:t>
      </w:r>
      <w:r w:rsidR="003F59D5">
        <w:rPr>
          <w:color w:val="auto"/>
        </w:rPr>
        <w:t xml:space="preserve"> </w:t>
      </w:r>
      <w:r w:rsidR="00C62CD8">
        <w:rPr>
          <w:color w:val="auto"/>
        </w:rPr>
        <w:t xml:space="preserve">A </w:t>
      </w:r>
      <w:r w:rsidR="00EE1865">
        <w:rPr>
          <w:color w:val="auto"/>
        </w:rPr>
        <w:t xml:space="preserve">summary of patients in the </w:t>
      </w:r>
      <w:r w:rsidR="00C62CD8">
        <w:rPr>
          <w:color w:val="auto"/>
        </w:rPr>
        <w:t>a</w:t>
      </w:r>
      <w:r w:rsidR="00EE1865">
        <w:rPr>
          <w:color w:val="auto"/>
        </w:rPr>
        <w:t>ll</w:t>
      </w:r>
      <w:r w:rsidR="0063510B">
        <w:rPr>
          <w:color w:val="auto"/>
        </w:rPr>
        <w:t>-</w:t>
      </w:r>
      <w:r w:rsidR="00E326D0">
        <w:rPr>
          <w:color w:val="auto"/>
        </w:rPr>
        <w:t>i</w:t>
      </w:r>
      <w:r w:rsidR="00EE1865">
        <w:rPr>
          <w:color w:val="auto"/>
        </w:rPr>
        <w:t xml:space="preserve">mlifidase safety dataset </w:t>
      </w:r>
      <w:r w:rsidR="00C62CD8">
        <w:rPr>
          <w:color w:val="auto"/>
        </w:rPr>
        <w:t xml:space="preserve">is provided </w:t>
      </w:r>
      <w:r w:rsidR="00EE1865">
        <w:rPr>
          <w:color w:val="auto"/>
        </w:rPr>
        <w:t>in</w:t>
      </w:r>
      <w:r w:rsidR="00EE1865" w:rsidRPr="00F76546">
        <w:rPr>
          <w:color w:val="auto"/>
        </w:rPr>
        <w:t xml:space="preserve"> </w:t>
      </w:r>
      <w:r w:rsidR="00B63EED" w:rsidRPr="00F76546">
        <w:rPr>
          <w:color w:val="auto"/>
        </w:rPr>
        <w:fldChar w:fldCharType="begin"/>
      </w:r>
      <w:r w:rsidR="00B63EED" w:rsidRPr="00F76546">
        <w:rPr>
          <w:color w:val="auto"/>
        </w:rPr>
        <w:instrText xml:space="preserve"> REF _Ref131587624 \h </w:instrText>
      </w:r>
      <w:r w:rsidR="00F76546" w:rsidRPr="00F76546">
        <w:rPr>
          <w:color w:val="auto"/>
        </w:rPr>
        <w:instrText xml:space="preserve"> \* MERGEFORMAT </w:instrText>
      </w:r>
      <w:r w:rsidR="00B63EED" w:rsidRPr="00F76546">
        <w:rPr>
          <w:color w:val="auto"/>
        </w:rPr>
      </w:r>
      <w:r w:rsidR="00B63EED" w:rsidRPr="00F76546">
        <w:rPr>
          <w:color w:val="auto"/>
        </w:rPr>
        <w:fldChar w:fldCharType="separate"/>
      </w:r>
      <w:r w:rsidR="00E209CB" w:rsidRPr="00E209CB">
        <w:rPr>
          <w:color w:val="auto"/>
        </w:rPr>
        <w:t>Table 3</w:t>
      </w:r>
      <w:r w:rsidR="00B63EED" w:rsidRPr="00F76546">
        <w:rPr>
          <w:color w:val="auto"/>
        </w:rPr>
        <w:fldChar w:fldCharType="end"/>
      </w:r>
      <w:r w:rsidR="00EE1865">
        <w:rPr>
          <w:color w:val="auto"/>
        </w:rPr>
        <w:t>.</w:t>
      </w:r>
    </w:p>
    <w:p w14:paraId="565BEAC4" w14:textId="2BF5459E" w:rsidR="00485CD3" w:rsidRDefault="0033318F" w:rsidP="00485CD3">
      <w:pPr>
        <w:pStyle w:val="Caption"/>
      </w:pPr>
      <w:bookmarkStart w:id="14" w:name="_Ref131587624"/>
      <w:r>
        <w:t xml:space="preserve">Table </w:t>
      </w:r>
      <w:r>
        <w:fldChar w:fldCharType="begin"/>
      </w:r>
      <w:r>
        <w:instrText>SEQ Table \* ARABIC</w:instrText>
      </w:r>
      <w:r>
        <w:fldChar w:fldCharType="separate"/>
      </w:r>
      <w:r w:rsidR="00E209CB">
        <w:rPr>
          <w:noProof/>
        </w:rPr>
        <w:t>3</w:t>
      </w:r>
      <w:r>
        <w:fldChar w:fldCharType="end"/>
      </w:r>
      <w:bookmarkEnd w:id="14"/>
      <w:r w:rsidR="00485CD3">
        <w:t xml:space="preserve">: </w:t>
      </w:r>
      <w:r w:rsidR="000B6B0A" w:rsidRPr="000B6B0A">
        <w:t>Summary of patients in safety dataset</w:t>
      </w:r>
    </w:p>
    <w:tbl>
      <w:tblPr>
        <w:tblStyle w:val="TableGridLight"/>
        <w:tblW w:w="0" w:type="auto"/>
        <w:tblLayout w:type="fixed"/>
        <w:tblLook w:val="04A0" w:firstRow="1" w:lastRow="0" w:firstColumn="1" w:lastColumn="0" w:noHBand="0" w:noVBand="1"/>
      </w:tblPr>
      <w:tblGrid>
        <w:gridCol w:w="1837"/>
        <w:gridCol w:w="897"/>
        <w:gridCol w:w="897"/>
        <w:gridCol w:w="898"/>
        <w:gridCol w:w="897"/>
        <w:gridCol w:w="897"/>
        <w:gridCol w:w="898"/>
        <w:gridCol w:w="897"/>
        <w:gridCol w:w="898"/>
      </w:tblGrid>
      <w:tr w:rsidR="00EC2E49" w:rsidRPr="00857473" w14:paraId="0FC8F2B6" w14:textId="77777777" w:rsidTr="006F363A">
        <w:tc>
          <w:tcPr>
            <w:tcW w:w="1837" w:type="dxa"/>
          </w:tcPr>
          <w:p w14:paraId="1F38DDA7" w14:textId="77777777" w:rsidR="00EC2E49" w:rsidRPr="00857473" w:rsidRDefault="00EC2E49">
            <w:pPr>
              <w:pStyle w:val="TableHeading0"/>
              <w:spacing w:before="40" w:after="40"/>
              <w:rPr>
                <w:sz w:val="16"/>
                <w:szCs w:val="16"/>
              </w:rPr>
            </w:pPr>
          </w:p>
        </w:tc>
        <w:tc>
          <w:tcPr>
            <w:tcW w:w="897" w:type="dxa"/>
          </w:tcPr>
          <w:p w14:paraId="639C20F7" w14:textId="77777777" w:rsidR="00EC2E49" w:rsidRPr="00857473" w:rsidRDefault="00EC2E49">
            <w:pPr>
              <w:pStyle w:val="TableHeading0"/>
              <w:spacing w:before="40" w:after="40"/>
              <w:rPr>
                <w:sz w:val="16"/>
                <w:szCs w:val="16"/>
              </w:rPr>
            </w:pPr>
            <w:r w:rsidRPr="00857473">
              <w:rPr>
                <w:sz w:val="16"/>
                <w:szCs w:val="16"/>
              </w:rPr>
              <w:t>13-HMedIdeS-02</w:t>
            </w:r>
          </w:p>
        </w:tc>
        <w:tc>
          <w:tcPr>
            <w:tcW w:w="897" w:type="dxa"/>
          </w:tcPr>
          <w:p w14:paraId="77A980A3" w14:textId="77777777" w:rsidR="00EC2E49" w:rsidRPr="00857473" w:rsidRDefault="00EC2E49">
            <w:pPr>
              <w:pStyle w:val="TableHeading0"/>
              <w:spacing w:before="40" w:after="40"/>
              <w:rPr>
                <w:sz w:val="16"/>
                <w:szCs w:val="16"/>
              </w:rPr>
            </w:pPr>
            <w:r w:rsidRPr="00857473">
              <w:rPr>
                <w:sz w:val="16"/>
                <w:szCs w:val="16"/>
              </w:rPr>
              <w:t>13-HMedIdeS-03</w:t>
            </w:r>
          </w:p>
        </w:tc>
        <w:tc>
          <w:tcPr>
            <w:tcW w:w="898" w:type="dxa"/>
          </w:tcPr>
          <w:p w14:paraId="3CB8F669" w14:textId="77777777" w:rsidR="00EC2E49" w:rsidRPr="00857473" w:rsidRDefault="00EC2E49">
            <w:pPr>
              <w:pStyle w:val="TableHeading0"/>
              <w:spacing w:before="40" w:after="40"/>
              <w:rPr>
                <w:sz w:val="16"/>
                <w:szCs w:val="16"/>
              </w:rPr>
            </w:pPr>
            <w:r w:rsidRPr="00857473">
              <w:rPr>
                <w:sz w:val="16"/>
                <w:szCs w:val="16"/>
              </w:rPr>
              <w:t>14 HMedIdeS-04</w:t>
            </w:r>
          </w:p>
        </w:tc>
        <w:tc>
          <w:tcPr>
            <w:tcW w:w="897" w:type="dxa"/>
          </w:tcPr>
          <w:p w14:paraId="1ED1E41A" w14:textId="77777777" w:rsidR="00EC2E49" w:rsidRPr="00857473" w:rsidRDefault="00EC2E49">
            <w:pPr>
              <w:pStyle w:val="TableHeading0"/>
              <w:spacing w:before="40" w:after="40"/>
              <w:rPr>
                <w:sz w:val="16"/>
                <w:szCs w:val="16"/>
              </w:rPr>
            </w:pPr>
            <w:r w:rsidRPr="00857473">
              <w:rPr>
                <w:sz w:val="16"/>
                <w:szCs w:val="16"/>
              </w:rPr>
              <w:t>15-HMedIdeS-06</w:t>
            </w:r>
          </w:p>
        </w:tc>
        <w:tc>
          <w:tcPr>
            <w:tcW w:w="897" w:type="dxa"/>
          </w:tcPr>
          <w:p w14:paraId="752877A2" w14:textId="77777777" w:rsidR="00EC2E49" w:rsidRPr="00112A75" w:rsidRDefault="00EC2E49">
            <w:pPr>
              <w:pStyle w:val="TableHeading0"/>
              <w:spacing w:before="40" w:after="40"/>
              <w:ind w:left="-32"/>
              <w:rPr>
                <w:color w:val="000000" w:themeColor="text1"/>
                <w:sz w:val="16"/>
                <w:szCs w:val="16"/>
              </w:rPr>
            </w:pPr>
            <w:r w:rsidRPr="00112A75">
              <w:rPr>
                <w:color w:val="000000" w:themeColor="text1"/>
                <w:sz w:val="16"/>
                <w:szCs w:val="16"/>
              </w:rPr>
              <w:t>All-Imlifidase</w:t>
            </w:r>
          </w:p>
          <w:p w14:paraId="2C8278EA" w14:textId="77777777" w:rsidR="00EC2E49" w:rsidRPr="00112A75" w:rsidRDefault="00EC2E49">
            <w:pPr>
              <w:pStyle w:val="TableHeading0"/>
              <w:spacing w:before="40" w:after="40"/>
              <w:ind w:left="-32"/>
              <w:rPr>
                <w:color w:val="000000" w:themeColor="text1"/>
                <w:sz w:val="16"/>
                <w:szCs w:val="16"/>
              </w:rPr>
            </w:pPr>
            <w:r w:rsidRPr="00112A75">
              <w:rPr>
                <w:color w:val="000000" w:themeColor="text1"/>
                <w:sz w:val="16"/>
                <w:szCs w:val="16"/>
              </w:rPr>
              <w:t>Total safety set (N=54)</w:t>
            </w:r>
          </w:p>
        </w:tc>
        <w:tc>
          <w:tcPr>
            <w:tcW w:w="898" w:type="dxa"/>
          </w:tcPr>
          <w:p w14:paraId="2465749D" w14:textId="77777777" w:rsidR="00EC2E49" w:rsidRPr="00112A75" w:rsidRDefault="00EC2E49">
            <w:pPr>
              <w:pStyle w:val="TableHeading0"/>
              <w:spacing w:before="40" w:after="40"/>
              <w:rPr>
                <w:color w:val="000000" w:themeColor="text1"/>
                <w:sz w:val="16"/>
                <w:szCs w:val="16"/>
              </w:rPr>
            </w:pPr>
            <w:r w:rsidRPr="00112A75">
              <w:rPr>
                <w:color w:val="000000" w:themeColor="text1"/>
                <w:sz w:val="16"/>
                <w:szCs w:val="16"/>
              </w:rPr>
              <w:t>All-Transplanted</w:t>
            </w:r>
          </w:p>
          <w:p w14:paraId="5FC6E706" w14:textId="6F24E7ED" w:rsidR="00EC2E49" w:rsidRPr="00112A75" w:rsidRDefault="00EC2E49">
            <w:pPr>
              <w:pStyle w:val="TableHeading0"/>
              <w:spacing w:before="40" w:after="40"/>
              <w:rPr>
                <w:color w:val="000000" w:themeColor="text1"/>
                <w:sz w:val="16"/>
                <w:szCs w:val="16"/>
              </w:rPr>
            </w:pPr>
            <w:r w:rsidRPr="00112A75">
              <w:rPr>
                <w:color w:val="000000" w:themeColor="text1"/>
                <w:sz w:val="16"/>
                <w:szCs w:val="16"/>
              </w:rPr>
              <w:t xml:space="preserve"> (N=46)</w:t>
            </w:r>
          </w:p>
        </w:tc>
        <w:tc>
          <w:tcPr>
            <w:tcW w:w="897" w:type="dxa"/>
          </w:tcPr>
          <w:p w14:paraId="631998BF" w14:textId="0E425EA9" w:rsidR="00EC2E49" w:rsidRPr="00112A75" w:rsidRDefault="00EC2E49">
            <w:pPr>
              <w:pStyle w:val="TableHeading0"/>
              <w:spacing w:before="40" w:after="40"/>
              <w:rPr>
                <w:color w:val="000000" w:themeColor="text1"/>
                <w:sz w:val="16"/>
                <w:szCs w:val="16"/>
              </w:rPr>
            </w:pPr>
            <w:r w:rsidRPr="00112A75">
              <w:rPr>
                <w:color w:val="000000" w:themeColor="text1"/>
                <w:sz w:val="16"/>
                <w:szCs w:val="16"/>
              </w:rPr>
              <w:t xml:space="preserve">UTT-A </w:t>
            </w:r>
            <w:r w:rsidRPr="00112A75">
              <w:rPr>
                <w:color w:val="000000" w:themeColor="text1"/>
                <w:sz w:val="16"/>
                <w:szCs w:val="16"/>
              </w:rPr>
              <w:br/>
              <w:t>(N=30)</w:t>
            </w:r>
          </w:p>
        </w:tc>
        <w:tc>
          <w:tcPr>
            <w:tcW w:w="898" w:type="dxa"/>
          </w:tcPr>
          <w:p w14:paraId="6805CBC0" w14:textId="77777777" w:rsidR="00EC2E49" w:rsidRPr="00112A75" w:rsidRDefault="00EC2E49">
            <w:pPr>
              <w:pStyle w:val="TableHeading0"/>
              <w:spacing w:before="40" w:after="40"/>
              <w:rPr>
                <w:color w:val="000000" w:themeColor="text1"/>
                <w:sz w:val="16"/>
                <w:szCs w:val="16"/>
              </w:rPr>
            </w:pPr>
            <w:r w:rsidRPr="00112A75">
              <w:rPr>
                <w:color w:val="000000" w:themeColor="text1"/>
                <w:sz w:val="16"/>
                <w:szCs w:val="16"/>
              </w:rPr>
              <w:t>UTT</w:t>
            </w:r>
          </w:p>
          <w:p w14:paraId="416661F6" w14:textId="7258622E" w:rsidR="00EC2E49" w:rsidRPr="00112A75" w:rsidRDefault="00EC2E49">
            <w:pPr>
              <w:pStyle w:val="TableHeading0"/>
              <w:spacing w:before="40" w:after="40"/>
              <w:rPr>
                <w:color w:val="000000" w:themeColor="text1"/>
                <w:sz w:val="16"/>
                <w:szCs w:val="16"/>
              </w:rPr>
            </w:pPr>
            <w:r w:rsidRPr="00112A75">
              <w:rPr>
                <w:color w:val="000000" w:themeColor="text1"/>
                <w:sz w:val="16"/>
                <w:szCs w:val="16"/>
              </w:rPr>
              <w:t>(N=25)</w:t>
            </w:r>
          </w:p>
        </w:tc>
      </w:tr>
      <w:tr w:rsidR="00EC2E49" w:rsidRPr="00857473" w14:paraId="522151F8" w14:textId="77777777" w:rsidTr="006F363A">
        <w:tc>
          <w:tcPr>
            <w:tcW w:w="1837" w:type="dxa"/>
          </w:tcPr>
          <w:p w14:paraId="2B13E984" w14:textId="77777777" w:rsidR="00EC2E49" w:rsidRPr="00857473" w:rsidRDefault="00EC2E49">
            <w:pPr>
              <w:pStyle w:val="TableText"/>
              <w:rPr>
                <w:sz w:val="16"/>
                <w:szCs w:val="16"/>
              </w:rPr>
            </w:pPr>
            <w:r w:rsidRPr="00857473">
              <w:rPr>
                <w:sz w:val="16"/>
                <w:szCs w:val="16"/>
              </w:rPr>
              <w:t>Received at least one dose of imlifidase, n (%)</w:t>
            </w:r>
          </w:p>
        </w:tc>
        <w:tc>
          <w:tcPr>
            <w:tcW w:w="897" w:type="dxa"/>
          </w:tcPr>
          <w:p w14:paraId="35F225AD" w14:textId="77777777" w:rsidR="00EC2E49" w:rsidRPr="00857473" w:rsidRDefault="00EC2E49">
            <w:pPr>
              <w:pStyle w:val="TableText"/>
              <w:rPr>
                <w:sz w:val="16"/>
                <w:szCs w:val="16"/>
              </w:rPr>
            </w:pPr>
            <w:r w:rsidRPr="00857473">
              <w:rPr>
                <w:sz w:val="16"/>
                <w:szCs w:val="16"/>
              </w:rPr>
              <w:t>8</w:t>
            </w:r>
          </w:p>
        </w:tc>
        <w:tc>
          <w:tcPr>
            <w:tcW w:w="897" w:type="dxa"/>
          </w:tcPr>
          <w:p w14:paraId="259C2495" w14:textId="77777777" w:rsidR="00EC2E49" w:rsidRPr="00857473" w:rsidRDefault="00EC2E49">
            <w:pPr>
              <w:pStyle w:val="TableText"/>
              <w:rPr>
                <w:sz w:val="16"/>
                <w:szCs w:val="16"/>
              </w:rPr>
            </w:pPr>
            <w:r w:rsidRPr="00857473">
              <w:rPr>
                <w:sz w:val="16"/>
                <w:szCs w:val="16"/>
              </w:rPr>
              <w:t>10</w:t>
            </w:r>
          </w:p>
        </w:tc>
        <w:tc>
          <w:tcPr>
            <w:tcW w:w="898" w:type="dxa"/>
          </w:tcPr>
          <w:p w14:paraId="72342D96" w14:textId="77777777" w:rsidR="00EC2E49" w:rsidRPr="00857473" w:rsidRDefault="00EC2E49">
            <w:pPr>
              <w:pStyle w:val="TableText"/>
              <w:rPr>
                <w:sz w:val="16"/>
                <w:szCs w:val="16"/>
              </w:rPr>
            </w:pPr>
            <w:r w:rsidRPr="00857473">
              <w:rPr>
                <w:sz w:val="16"/>
                <w:szCs w:val="16"/>
              </w:rPr>
              <w:t>17</w:t>
            </w:r>
          </w:p>
        </w:tc>
        <w:tc>
          <w:tcPr>
            <w:tcW w:w="897" w:type="dxa"/>
          </w:tcPr>
          <w:p w14:paraId="56C5BBF1" w14:textId="77777777" w:rsidR="00EC2E49" w:rsidRPr="00857473" w:rsidRDefault="00EC2E49">
            <w:pPr>
              <w:pStyle w:val="TableText"/>
              <w:rPr>
                <w:sz w:val="16"/>
                <w:szCs w:val="16"/>
              </w:rPr>
            </w:pPr>
            <w:r w:rsidRPr="00857473">
              <w:rPr>
                <w:sz w:val="16"/>
                <w:szCs w:val="16"/>
              </w:rPr>
              <w:t>19</w:t>
            </w:r>
          </w:p>
        </w:tc>
        <w:tc>
          <w:tcPr>
            <w:tcW w:w="897" w:type="dxa"/>
          </w:tcPr>
          <w:p w14:paraId="7AC7EE7B" w14:textId="77777777" w:rsidR="00EC2E49" w:rsidRPr="00857473" w:rsidRDefault="00EC2E49">
            <w:pPr>
              <w:pStyle w:val="TableText"/>
              <w:rPr>
                <w:sz w:val="16"/>
                <w:szCs w:val="16"/>
              </w:rPr>
            </w:pPr>
            <w:r w:rsidRPr="00857473">
              <w:rPr>
                <w:sz w:val="16"/>
                <w:szCs w:val="16"/>
              </w:rPr>
              <w:t>54</w:t>
            </w:r>
          </w:p>
        </w:tc>
        <w:tc>
          <w:tcPr>
            <w:tcW w:w="898" w:type="dxa"/>
          </w:tcPr>
          <w:p w14:paraId="6314CE08" w14:textId="77777777" w:rsidR="00EC2E49" w:rsidRPr="00857473" w:rsidRDefault="00EC2E49">
            <w:pPr>
              <w:pStyle w:val="TableText"/>
              <w:rPr>
                <w:sz w:val="16"/>
                <w:szCs w:val="16"/>
              </w:rPr>
            </w:pPr>
            <w:r w:rsidRPr="00857473">
              <w:rPr>
                <w:sz w:val="16"/>
                <w:szCs w:val="16"/>
              </w:rPr>
              <w:t>46</w:t>
            </w:r>
          </w:p>
        </w:tc>
        <w:tc>
          <w:tcPr>
            <w:tcW w:w="897" w:type="dxa"/>
          </w:tcPr>
          <w:p w14:paraId="3030F1BB" w14:textId="77777777" w:rsidR="00EC2E49" w:rsidRPr="00857473" w:rsidRDefault="00EC2E49">
            <w:pPr>
              <w:pStyle w:val="TableText"/>
              <w:rPr>
                <w:sz w:val="16"/>
                <w:szCs w:val="16"/>
              </w:rPr>
            </w:pPr>
            <w:r w:rsidRPr="00857473">
              <w:rPr>
                <w:sz w:val="16"/>
                <w:szCs w:val="16"/>
              </w:rPr>
              <w:t>30</w:t>
            </w:r>
          </w:p>
        </w:tc>
        <w:tc>
          <w:tcPr>
            <w:tcW w:w="898" w:type="dxa"/>
          </w:tcPr>
          <w:p w14:paraId="60B67131" w14:textId="77777777" w:rsidR="00EC2E49" w:rsidRPr="00857473" w:rsidRDefault="00EC2E49">
            <w:pPr>
              <w:pStyle w:val="TableText"/>
              <w:rPr>
                <w:sz w:val="16"/>
                <w:szCs w:val="16"/>
              </w:rPr>
            </w:pPr>
            <w:r w:rsidRPr="00857473">
              <w:rPr>
                <w:sz w:val="16"/>
                <w:szCs w:val="16"/>
              </w:rPr>
              <w:t>25</w:t>
            </w:r>
          </w:p>
        </w:tc>
      </w:tr>
      <w:tr w:rsidR="00EC2E49" w:rsidRPr="00857473" w14:paraId="03512C34" w14:textId="77777777" w:rsidTr="006F363A">
        <w:tc>
          <w:tcPr>
            <w:tcW w:w="1837" w:type="dxa"/>
          </w:tcPr>
          <w:p w14:paraId="635289E2" w14:textId="77777777" w:rsidR="00EC2E49" w:rsidRPr="00857473" w:rsidRDefault="00EC2E49">
            <w:pPr>
              <w:pStyle w:val="TableText"/>
              <w:rPr>
                <w:sz w:val="16"/>
                <w:szCs w:val="16"/>
              </w:rPr>
            </w:pPr>
            <w:r w:rsidRPr="00857473">
              <w:rPr>
                <w:sz w:val="16"/>
                <w:szCs w:val="16"/>
              </w:rPr>
              <w:t>Received transplantation, n (%)</w:t>
            </w:r>
          </w:p>
        </w:tc>
        <w:tc>
          <w:tcPr>
            <w:tcW w:w="897" w:type="dxa"/>
          </w:tcPr>
          <w:p w14:paraId="7080876E" w14:textId="77777777" w:rsidR="00EC2E49" w:rsidRPr="00857473" w:rsidRDefault="00EC2E49">
            <w:pPr>
              <w:pStyle w:val="TableText"/>
              <w:rPr>
                <w:sz w:val="16"/>
                <w:szCs w:val="16"/>
              </w:rPr>
            </w:pPr>
            <w:r w:rsidRPr="00857473">
              <w:rPr>
                <w:sz w:val="16"/>
                <w:szCs w:val="16"/>
              </w:rPr>
              <w:t>1 (12.5%)</w:t>
            </w:r>
          </w:p>
        </w:tc>
        <w:tc>
          <w:tcPr>
            <w:tcW w:w="897" w:type="dxa"/>
          </w:tcPr>
          <w:p w14:paraId="0DD8691F" w14:textId="77777777" w:rsidR="00EC2E49" w:rsidRPr="00857473" w:rsidRDefault="00EC2E49">
            <w:pPr>
              <w:pStyle w:val="TableText"/>
              <w:rPr>
                <w:sz w:val="16"/>
                <w:szCs w:val="16"/>
              </w:rPr>
            </w:pPr>
            <w:r w:rsidRPr="00857473">
              <w:rPr>
                <w:sz w:val="16"/>
                <w:szCs w:val="16"/>
              </w:rPr>
              <w:t>10 (100.0%)</w:t>
            </w:r>
          </w:p>
        </w:tc>
        <w:tc>
          <w:tcPr>
            <w:tcW w:w="898" w:type="dxa"/>
          </w:tcPr>
          <w:p w14:paraId="42457BF0" w14:textId="77777777" w:rsidR="00EC2E49" w:rsidRPr="00857473" w:rsidRDefault="00EC2E49">
            <w:pPr>
              <w:pStyle w:val="TableText"/>
              <w:rPr>
                <w:sz w:val="16"/>
                <w:szCs w:val="16"/>
              </w:rPr>
            </w:pPr>
            <w:r w:rsidRPr="00857473">
              <w:rPr>
                <w:sz w:val="16"/>
                <w:szCs w:val="16"/>
              </w:rPr>
              <w:t>17 (100.0%)</w:t>
            </w:r>
          </w:p>
        </w:tc>
        <w:tc>
          <w:tcPr>
            <w:tcW w:w="897" w:type="dxa"/>
          </w:tcPr>
          <w:p w14:paraId="7EB0906F" w14:textId="77777777" w:rsidR="00EC2E49" w:rsidRPr="00857473" w:rsidRDefault="00EC2E49">
            <w:pPr>
              <w:pStyle w:val="TableText"/>
              <w:rPr>
                <w:sz w:val="16"/>
                <w:szCs w:val="16"/>
              </w:rPr>
            </w:pPr>
            <w:r w:rsidRPr="00857473">
              <w:rPr>
                <w:sz w:val="16"/>
                <w:szCs w:val="16"/>
              </w:rPr>
              <w:t>18 (94.7%)</w:t>
            </w:r>
          </w:p>
        </w:tc>
        <w:tc>
          <w:tcPr>
            <w:tcW w:w="897" w:type="dxa"/>
          </w:tcPr>
          <w:p w14:paraId="56A1E1E4" w14:textId="77777777" w:rsidR="00EC2E49" w:rsidRPr="00857473" w:rsidRDefault="00EC2E49">
            <w:pPr>
              <w:pStyle w:val="TableText"/>
              <w:rPr>
                <w:sz w:val="16"/>
                <w:szCs w:val="16"/>
              </w:rPr>
            </w:pPr>
            <w:r w:rsidRPr="00857473">
              <w:rPr>
                <w:sz w:val="16"/>
                <w:szCs w:val="16"/>
              </w:rPr>
              <w:t>46 (85.2%)</w:t>
            </w:r>
          </w:p>
        </w:tc>
        <w:tc>
          <w:tcPr>
            <w:tcW w:w="898" w:type="dxa"/>
          </w:tcPr>
          <w:p w14:paraId="1B63D381" w14:textId="3C7BE34A" w:rsidR="00EC2E49" w:rsidRPr="00857473" w:rsidRDefault="00EC2E49">
            <w:pPr>
              <w:pStyle w:val="TableText"/>
              <w:rPr>
                <w:sz w:val="16"/>
                <w:szCs w:val="16"/>
              </w:rPr>
            </w:pPr>
            <w:r w:rsidRPr="00857473">
              <w:rPr>
                <w:sz w:val="16"/>
                <w:szCs w:val="16"/>
              </w:rPr>
              <w:t>46 (100</w:t>
            </w:r>
            <w:r w:rsidR="00CA1C9B">
              <w:rPr>
                <w:sz w:val="16"/>
                <w:szCs w:val="16"/>
              </w:rPr>
              <w:t>.0</w:t>
            </w:r>
            <w:r w:rsidRPr="00857473">
              <w:rPr>
                <w:sz w:val="16"/>
                <w:szCs w:val="16"/>
              </w:rPr>
              <w:t>%)</w:t>
            </w:r>
          </w:p>
        </w:tc>
        <w:tc>
          <w:tcPr>
            <w:tcW w:w="897" w:type="dxa"/>
          </w:tcPr>
          <w:p w14:paraId="5FB5B003" w14:textId="34C70A75" w:rsidR="00EC2E49" w:rsidRPr="00857473" w:rsidRDefault="00EC2E49">
            <w:pPr>
              <w:pStyle w:val="TableText"/>
              <w:rPr>
                <w:sz w:val="16"/>
                <w:szCs w:val="16"/>
              </w:rPr>
            </w:pPr>
            <w:r w:rsidRPr="00857473">
              <w:rPr>
                <w:sz w:val="16"/>
                <w:szCs w:val="16"/>
              </w:rPr>
              <w:t>30 (10</w:t>
            </w:r>
            <w:r w:rsidR="00CA1C9B">
              <w:rPr>
                <w:sz w:val="16"/>
                <w:szCs w:val="16"/>
              </w:rPr>
              <w:t>.</w:t>
            </w:r>
            <w:r w:rsidRPr="00857473">
              <w:rPr>
                <w:sz w:val="16"/>
                <w:szCs w:val="16"/>
              </w:rPr>
              <w:t>0%)</w:t>
            </w:r>
          </w:p>
        </w:tc>
        <w:tc>
          <w:tcPr>
            <w:tcW w:w="898" w:type="dxa"/>
          </w:tcPr>
          <w:p w14:paraId="582E4D1D" w14:textId="403BE9C5" w:rsidR="00EC2E49" w:rsidRPr="00857473" w:rsidRDefault="00EC2E49">
            <w:pPr>
              <w:pStyle w:val="TableText"/>
              <w:rPr>
                <w:sz w:val="16"/>
                <w:szCs w:val="16"/>
              </w:rPr>
            </w:pPr>
            <w:r w:rsidRPr="00857473">
              <w:rPr>
                <w:sz w:val="16"/>
                <w:szCs w:val="16"/>
              </w:rPr>
              <w:t>25 (100</w:t>
            </w:r>
            <w:r w:rsidR="00CA1C9B">
              <w:rPr>
                <w:sz w:val="16"/>
                <w:szCs w:val="16"/>
              </w:rPr>
              <w:t>.0</w:t>
            </w:r>
            <w:r w:rsidRPr="00857473">
              <w:rPr>
                <w:sz w:val="16"/>
                <w:szCs w:val="16"/>
              </w:rPr>
              <w:t>%)</w:t>
            </w:r>
          </w:p>
        </w:tc>
      </w:tr>
      <w:tr w:rsidR="00EC2E49" w:rsidRPr="00857473" w14:paraId="591B67AC" w14:textId="77777777" w:rsidTr="006F363A">
        <w:tc>
          <w:tcPr>
            <w:tcW w:w="1837" w:type="dxa"/>
          </w:tcPr>
          <w:p w14:paraId="5C19721F" w14:textId="77777777" w:rsidR="00EC2E49" w:rsidRPr="00857473" w:rsidRDefault="00EC2E49">
            <w:pPr>
              <w:pStyle w:val="TableText"/>
              <w:rPr>
                <w:sz w:val="16"/>
                <w:szCs w:val="16"/>
              </w:rPr>
            </w:pPr>
            <w:r w:rsidRPr="00857473">
              <w:rPr>
                <w:sz w:val="16"/>
                <w:szCs w:val="16"/>
              </w:rPr>
              <w:t>Did not receive transplantation, n (%)</w:t>
            </w:r>
          </w:p>
        </w:tc>
        <w:tc>
          <w:tcPr>
            <w:tcW w:w="897" w:type="dxa"/>
          </w:tcPr>
          <w:p w14:paraId="573C080C" w14:textId="77777777" w:rsidR="00EC2E49" w:rsidRPr="00857473" w:rsidRDefault="00EC2E49">
            <w:pPr>
              <w:pStyle w:val="TableText"/>
              <w:rPr>
                <w:sz w:val="16"/>
                <w:szCs w:val="16"/>
              </w:rPr>
            </w:pPr>
            <w:r w:rsidRPr="00857473">
              <w:rPr>
                <w:sz w:val="16"/>
                <w:szCs w:val="16"/>
              </w:rPr>
              <w:t>7</w:t>
            </w:r>
            <w:r w:rsidRPr="00857473">
              <w:rPr>
                <w:color w:val="806000" w:themeColor="accent4" w:themeShade="80"/>
                <w:sz w:val="16"/>
                <w:szCs w:val="16"/>
                <w:vertAlign w:val="superscript"/>
              </w:rPr>
              <w:t>a</w:t>
            </w:r>
            <w:r w:rsidRPr="00857473">
              <w:rPr>
                <w:sz w:val="16"/>
                <w:szCs w:val="16"/>
              </w:rPr>
              <w:t xml:space="preserve"> (87.5%)</w:t>
            </w:r>
          </w:p>
        </w:tc>
        <w:tc>
          <w:tcPr>
            <w:tcW w:w="897" w:type="dxa"/>
          </w:tcPr>
          <w:p w14:paraId="350D9DB6" w14:textId="77777777" w:rsidR="00EC2E49" w:rsidRPr="00857473" w:rsidRDefault="00EC2E49">
            <w:pPr>
              <w:pStyle w:val="TableText"/>
              <w:rPr>
                <w:sz w:val="16"/>
                <w:szCs w:val="16"/>
              </w:rPr>
            </w:pPr>
            <w:r w:rsidRPr="00857473">
              <w:rPr>
                <w:sz w:val="16"/>
                <w:szCs w:val="16"/>
              </w:rPr>
              <w:t>0</w:t>
            </w:r>
          </w:p>
        </w:tc>
        <w:tc>
          <w:tcPr>
            <w:tcW w:w="898" w:type="dxa"/>
          </w:tcPr>
          <w:p w14:paraId="6668116D" w14:textId="77777777" w:rsidR="00EC2E49" w:rsidRPr="00857473" w:rsidRDefault="00EC2E49">
            <w:pPr>
              <w:pStyle w:val="TableText"/>
              <w:rPr>
                <w:sz w:val="16"/>
                <w:szCs w:val="16"/>
              </w:rPr>
            </w:pPr>
            <w:r w:rsidRPr="00857473">
              <w:rPr>
                <w:sz w:val="16"/>
                <w:szCs w:val="16"/>
              </w:rPr>
              <w:t>0</w:t>
            </w:r>
          </w:p>
        </w:tc>
        <w:tc>
          <w:tcPr>
            <w:tcW w:w="897" w:type="dxa"/>
          </w:tcPr>
          <w:p w14:paraId="41717949" w14:textId="77777777" w:rsidR="00EC2E49" w:rsidRPr="00857473" w:rsidRDefault="00EC2E49">
            <w:pPr>
              <w:pStyle w:val="TableText"/>
              <w:rPr>
                <w:sz w:val="16"/>
                <w:szCs w:val="16"/>
              </w:rPr>
            </w:pPr>
            <w:r w:rsidRPr="00857473">
              <w:rPr>
                <w:sz w:val="16"/>
                <w:szCs w:val="16"/>
              </w:rPr>
              <w:t>1</w:t>
            </w:r>
            <w:r w:rsidRPr="00857473">
              <w:rPr>
                <w:color w:val="806000" w:themeColor="accent4" w:themeShade="80"/>
                <w:sz w:val="16"/>
                <w:szCs w:val="16"/>
                <w:vertAlign w:val="superscript"/>
              </w:rPr>
              <w:t>b</w:t>
            </w:r>
            <w:r w:rsidRPr="00857473">
              <w:rPr>
                <w:sz w:val="16"/>
                <w:szCs w:val="16"/>
              </w:rPr>
              <w:t xml:space="preserve"> (5.3%)</w:t>
            </w:r>
          </w:p>
        </w:tc>
        <w:tc>
          <w:tcPr>
            <w:tcW w:w="897" w:type="dxa"/>
          </w:tcPr>
          <w:p w14:paraId="3946B492" w14:textId="77777777" w:rsidR="00EC2E49" w:rsidRPr="00857473" w:rsidRDefault="00EC2E49">
            <w:pPr>
              <w:pStyle w:val="TableText"/>
              <w:rPr>
                <w:sz w:val="16"/>
                <w:szCs w:val="16"/>
              </w:rPr>
            </w:pPr>
            <w:r w:rsidRPr="00857473">
              <w:rPr>
                <w:sz w:val="16"/>
                <w:szCs w:val="16"/>
              </w:rPr>
              <w:t>8 (14.8%)</w:t>
            </w:r>
          </w:p>
        </w:tc>
        <w:tc>
          <w:tcPr>
            <w:tcW w:w="898" w:type="dxa"/>
          </w:tcPr>
          <w:p w14:paraId="688A10B7" w14:textId="77777777" w:rsidR="00EC2E49" w:rsidRPr="00857473" w:rsidRDefault="00EC2E49">
            <w:pPr>
              <w:pStyle w:val="TableText"/>
              <w:rPr>
                <w:sz w:val="16"/>
                <w:szCs w:val="16"/>
              </w:rPr>
            </w:pPr>
            <w:r w:rsidRPr="00857473">
              <w:rPr>
                <w:sz w:val="16"/>
                <w:szCs w:val="16"/>
              </w:rPr>
              <w:t>0</w:t>
            </w:r>
          </w:p>
        </w:tc>
        <w:tc>
          <w:tcPr>
            <w:tcW w:w="897" w:type="dxa"/>
          </w:tcPr>
          <w:p w14:paraId="13B027DB" w14:textId="77777777" w:rsidR="00EC2E49" w:rsidRPr="00857473" w:rsidRDefault="00EC2E49">
            <w:pPr>
              <w:pStyle w:val="TableText"/>
              <w:rPr>
                <w:sz w:val="16"/>
                <w:szCs w:val="16"/>
              </w:rPr>
            </w:pPr>
            <w:r w:rsidRPr="00857473">
              <w:rPr>
                <w:sz w:val="16"/>
                <w:szCs w:val="16"/>
              </w:rPr>
              <w:t>0</w:t>
            </w:r>
          </w:p>
        </w:tc>
        <w:tc>
          <w:tcPr>
            <w:tcW w:w="898" w:type="dxa"/>
          </w:tcPr>
          <w:p w14:paraId="67F5BB32" w14:textId="77777777" w:rsidR="00EC2E49" w:rsidRPr="00857473" w:rsidRDefault="00EC2E49">
            <w:pPr>
              <w:pStyle w:val="TableText"/>
              <w:rPr>
                <w:sz w:val="16"/>
                <w:szCs w:val="16"/>
              </w:rPr>
            </w:pPr>
            <w:r w:rsidRPr="00857473">
              <w:rPr>
                <w:sz w:val="16"/>
                <w:szCs w:val="16"/>
              </w:rPr>
              <w:t>0</w:t>
            </w:r>
          </w:p>
        </w:tc>
      </w:tr>
      <w:tr w:rsidR="00EC2E49" w:rsidRPr="00857473" w14:paraId="7044F3EC" w14:textId="77777777" w:rsidTr="006F363A">
        <w:tc>
          <w:tcPr>
            <w:tcW w:w="1837" w:type="dxa"/>
          </w:tcPr>
          <w:p w14:paraId="0B650AA7" w14:textId="77777777" w:rsidR="00EC2E49" w:rsidRPr="00857473" w:rsidRDefault="00EC2E49">
            <w:pPr>
              <w:pStyle w:val="TableText"/>
              <w:rPr>
                <w:sz w:val="16"/>
                <w:szCs w:val="16"/>
              </w:rPr>
            </w:pPr>
            <w:r w:rsidRPr="00857473">
              <w:rPr>
                <w:sz w:val="16"/>
                <w:szCs w:val="16"/>
              </w:rPr>
              <w:t>Completed core study, n (%)</w:t>
            </w:r>
          </w:p>
        </w:tc>
        <w:tc>
          <w:tcPr>
            <w:tcW w:w="897" w:type="dxa"/>
          </w:tcPr>
          <w:p w14:paraId="3E5661FD" w14:textId="77777777" w:rsidR="00EC2E49" w:rsidRPr="00857473" w:rsidRDefault="00EC2E49">
            <w:pPr>
              <w:pStyle w:val="TableText"/>
              <w:rPr>
                <w:sz w:val="16"/>
                <w:szCs w:val="16"/>
              </w:rPr>
            </w:pPr>
            <w:r w:rsidRPr="00857473">
              <w:rPr>
                <w:sz w:val="16"/>
                <w:szCs w:val="16"/>
              </w:rPr>
              <w:t>8 (100.0%)</w:t>
            </w:r>
          </w:p>
        </w:tc>
        <w:tc>
          <w:tcPr>
            <w:tcW w:w="897" w:type="dxa"/>
          </w:tcPr>
          <w:p w14:paraId="12F9FF07" w14:textId="77777777" w:rsidR="00EC2E49" w:rsidRPr="00857473" w:rsidRDefault="00EC2E49">
            <w:pPr>
              <w:pStyle w:val="TableText"/>
              <w:rPr>
                <w:sz w:val="16"/>
                <w:szCs w:val="16"/>
              </w:rPr>
            </w:pPr>
            <w:r w:rsidRPr="00857473">
              <w:rPr>
                <w:sz w:val="16"/>
                <w:szCs w:val="16"/>
              </w:rPr>
              <w:t>10 (100.0%)</w:t>
            </w:r>
          </w:p>
        </w:tc>
        <w:tc>
          <w:tcPr>
            <w:tcW w:w="898" w:type="dxa"/>
          </w:tcPr>
          <w:p w14:paraId="1BB97A66" w14:textId="77777777" w:rsidR="00EC2E49" w:rsidRPr="00857473" w:rsidRDefault="00EC2E49">
            <w:pPr>
              <w:pStyle w:val="TableText"/>
              <w:rPr>
                <w:sz w:val="16"/>
                <w:szCs w:val="16"/>
              </w:rPr>
            </w:pPr>
            <w:r w:rsidRPr="00857473">
              <w:rPr>
                <w:sz w:val="16"/>
                <w:szCs w:val="16"/>
              </w:rPr>
              <w:t>15 (88.2%)</w:t>
            </w:r>
          </w:p>
        </w:tc>
        <w:tc>
          <w:tcPr>
            <w:tcW w:w="897" w:type="dxa"/>
          </w:tcPr>
          <w:p w14:paraId="35996024" w14:textId="77777777" w:rsidR="00EC2E49" w:rsidRPr="00857473" w:rsidRDefault="00EC2E49">
            <w:pPr>
              <w:pStyle w:val="TableText"/>
              <w:rPr>
                <w:sz w:val="16"/>
                <w:szCs w:val="16"/>
              </w:rPr>
            </w:pPr>
            <w:r w:rsidRPr="00857473">
              <w:rPr>
                <w:sz w:val="16"/>
                <w:szCs w:val="16"/>
              </w:rPr>
              <w:t>16 (84.2%)</w:t>
            </w:r>
          </w:p>
        </w:tc>
        <w:tc>
          <w:tcPr>
            <w:tcW w:w="897" w:type="dxa"/>
          </w:tcPr>
          <w:p w14:paraId="580A0AAF" w14:textId="77777777" w:rsidR="00EC2E49" w:rsidRPr="00857473" w:rsidRDefault="00EC2E49">
            <w:pPr>
              <w:pStyle w:val="TableText"/>
              <w:rPr>
                <w:sz w:val="16"/>
                <w:szCs w:val="16"/>
              </w:rPr>
            </w:pPr>
            <w:r w:rsidRPr="00857473">
              <w:rPr>
                <w:sz w:val="16"/>
                <w:szCs w:val="16"/>
              </w:rPr>
              <w:t>49 (90.7%)</w:t>
            </w:r>
          </w:p>
        </w:tc>
        <w:tc>
          <w:tcPr>
            <w:tcW w:w="898" w:type="dxa"/>
          </w:tcPr>
          <w:p w14:paraId="1448D1F7" w14:textId="51D7D1E0" w:rsidR="00EC2E49" w:rsidRPr="00857473" w:rsidRDefault="00EC2E49">
            <w:pPr>
              <w:pStyle w:val="TableText"/>
              <w:rPr>
                <w:sz w:val="16"/>
                <w:szCs w:val="16"/>
              </w:rPr>
            </w:pPr>
            <w:r w:rsidRPr="00857473">
              <w:rPr>
                <w:sz w:val="16"/>
                <w:szCs w:val="16"/>
              </w:rPr>
              <w:t>42 (91</w:t>
            </w:r>
            <w:r w:rsidR="00CA1C9B">
              <w:rPr>
                <w:sz w:val="16"/>
                <w:szCs w:val="16"/>
              </w:rPr>
              <w:t>.0</w:t>
            </w:r>
            <w:r w:rsidRPr="00857473">
              <w:rPr>
                <w:sz w:val="16"/>
                <w:szCs w:val="16"/>
              </w:rPr>
              <w:t>%)</w:t>
            </w:r>
          </w:p>
        </w:tc>
        <w:tc>
          <w:tcPr>
            <w:tcW w:w="897" w:type="dxa"/>
          </w:tcPr>
          <w:p w14:paraId="48ABA3E8" w14:textId="6D75B8C3" w:rsidR="00EC2E49" w:rsidRPr="00857473" w:rsidRDefault="00EC2E49">
            <w:pPr>
              <w:pStyle w:val="TableText"/>
              <w:rPr>
                <w:sz w:val="16"/>
                <w:szCs w:val="16"/>
              </w:rPr>
            </w:pPr>
            <w:r w:rsidRPr="00857473">
              <w:rPr>
                <w:sz w:val="16"/>
                <w:szCs w:val="16"/>
              </w:rPr>
              <w:t>23 (92</w:t>
            </w:r>
            <w:r w:rsidR="00CA1C9B">
              <w:rPr>
                <w:sz w:val="16"/>
                <w:szCs w:val="16"/>
              </w:rPr>
              <w:t>.0</w:t>
            </w:r>
            <w:r w:rsidRPr="00857473">
              <w:rPr>
                <w:sz w:val="16"/>
                <w:szCs w:val="16"/>
              </w:rPr>
              <w:t>%)</w:t>
            </w:r>
          </w:p>
        </w:tc>
        <w:tc>
          <w:tcPr>
            <w:tcW w:w="898" w:type="dxa"/>
          </w:tcPr>
          <w:p w14:paraId="7BBBD771" w14:textId="7C38D955" w:rsidR="00EC2E49" w:rsidRPr="00857473" w:rsidRDefault="00EC2E49">
            <w:pPr>
              <w:pStyle w:val="TableText"/>
              <w:rPr>
                <w:sz w:val="16"/>
                <w:szCs w:val="16"/>
              </w:rPr>
            </w:pPr>
            <w:r w:rsidRPr="00857473">
              <w:rPr>
                <w:sz w:val="16"/>
                <w:szCs w:val="16"/>
              </w:rPr>
              <w:t>28 (93</w:t>
            </w:r>
            <w:r w:rsidR="0011285F">
              <w:rPr>
                <w:sz w:val="16"/>
                <w:szCs w:val="16"/>
              </w:rPr>
              <w:t>.0</w:t>
            </w:r>
            <w:r w:rsidRPr="00857473">
              <w:rPr>
                <w:sz w:val="16"/>
                <w:szCs w:val="16"/>
              </w:rPr>
              <w:t>%)</w:t>
            </w:r>
          </w:p>
        </w:tc>
      </w:tr>
      <w:tr w:rsidR="00EC2E49" w:rsidRPr="00857473" w14:paraId="6C5D8537" w14:textId="77777777" w:rsidTr="006F363A">
        <w:tc>
          <w:tcPr>
            <w:tcW w:w="1837" w:type="dxa"/>
          </w:tcPr>
          <w:p w14:paraId="204E97E7" w14:textId="166D4362" w:rsidR="00EC2E49" w:rsidRPr="00857473" w:rsidRDefault="00EC2E49">
            <w:pPr>
              <w:pStyle w:val="TableText"/>
              <w:rPr>
                <w:sz w:val="16"/>
                <w:szCs w:val="16"/>
              </w:rPr>
            </w:pPr>
            <w:r w:rsidRPr="00857473">
              <w:rPr>
                <w:sz w:val="16"/>
                <w:szCs w:val="16"/>
              </w:rPr>
              <w:t>Drug withdrawal/dose interruption, n (%)</w:t>
            </w:r>
          </w:p>
        </w:tc>
        <w:tc>
          <w:tcPr>
            <w:tcW w:w="897" w:type="dxa"/>
          </w:tcPr>
          <w:p w14:paraId="02263371" w14:textId="77777777" w:rsidR="00EC2E49" w:rsidRPr="00857473" w:rsidRDefault="00EC2E49">
            <w:pPr>
              <w:pStyle w:val="TableText"/>
              <w:rPr>
                <w:sz w:val="16"/>
                <w:szCs w:val="16"/>
              </w:rPr>
            </w:pPr>
            <w:r w:rsidRPr="00857473">
              <w:rPr>
                <w:sz w:val="16"/>
                <w:szCs w:val="16"/>
              </w:rPr>
              <w:t>1 (12.5%)</w:t>
            </w:r>
          </w:p>
        </w:tc>
        <w:tc>
          <w:tcPr>
            <w:tcW w:w="897" w:type="dxa"/>
          </w:tcPr>
          <w:p w14:paraId="0E902436" w14:textId="77777777" w:rsidR="00EC2E49" w:rsidRPr="00857473" w:rsidRDefault="00EC2E49">
            <w:pPr>
              <w:pStyle w:val="TableText"/>
              <w:rPr>
                <w:sz w:val="16"/>
                <w:szCs w:val="16"/>
              </w:rPr>
            </w:pPr>
            <w:r w:rsidRPr="00857473">
              <w:rPr>
                <w:sz w:val="16"/>
                <w:szCs w:val="16"/>
              </w:rPr>
              <w:t>0</w:t>
            </w:r>
          </w:p>
        </w:tc>
        <w:tc>
          <w:tcPr>
            <w:tcW w:w="898" w:type="dxa"/>
          </w:tcPr>
          <w:p w14:paraId="4AC9DAE6" w14:textId="77777777" w:rsidR="00EC2E49" w:rsidRPr="00857473" w:rsidRDefault="00EC2E49">
            <w:pPr>
              <w:pStyle w:val="TableText"/>
              <w:rPr>
                <w:sz w:val="16"/>
                <w:szCs w:val="16"/>
              </w:rPr>
            </w:pPr>
            <w:r w:rsidRPr="00857473">
              <w:rPr>
                <w:sz w:val="16"/>
                <w:szCs w:val="16"/>
              </w:rPr>
              <w:t>0</w:t>
            </w:r>
          </w:p>
        </w:tc>
        <w:tc>
          <w:tcPr>
            <w:tcW w:w="897" w:type="dxa"/>
          </w:tcPr>
          <w:p w14:paraId="3CDF8BA3" w14:textId="77777777" w:rsidR="00EC2E49" w:rsidRPr="00857473" w:rsidRDefault="00EC2E49">
            <w:pPr>
              <w:pStyle w:val="TableText"/>
              <w:rPr>
                <w:sz w:val="16"/>
                <w:szCs w:val="16"/>
              </w:rPr>
            </w:pPr>
            <w:r w:rsidRPr="00857473">
              <w:rPr>
                <w:sz w:val="16"/>
                <w:szCs w:val="16"/>
              </w:rPr>
              <w:t>3 (15.8%)</w:t>
            </w:r>
          </w:p>
        </w:tc>
        <w:tc>
          <w:tcPr>
            <w:tcW w:w="897" w:type="dxa"/>
          </w:tcPr>
          <w:p w14:paraId="66FCBD23" w14:textId="77777777" w:rsidR="00EC2E49" w:rsidRPr="00857473" w:rsidRDefault="00EC2E49">
            <w:pPr>
              <w:pStyle w:val="TableText"/>
              <w:rPr>
                <w:sz w:val="16"/>
                <w:szCs w:val="16"/>
              </w:rPr>
            </w:pPr>
            <w:r w:rsidRPr="00857473">
              <w:rPr>
                <w:sz w:val="16"/>
                <w:szCs w:val="16"/>
              </w:rPr>
              <w:t>4 (7.4%)</w:t>
            </w:r>
          </w:p>
        </w:tc>
        <w:tc>
          <w:tcPr>
            <w:tcW w:w="898" w:type="dxa"/>
          </w:tcPr>
          <w:p w14:paraId="08F0C827" w14:textId="4FB18A22" w:rsidR="00EC2E49" w:rsidRPr="00857473" w:rsidRDefault="00EC2E49">
            <w:pPr>
              <w:pStyle w:val="TableText"/>
              <w:rPr>
                <w:sz w:val="16"/>
                <w:szCs w:val="16"/>
              </w:rPr>
            </w:pPr>
            <w:r w:rsidRPr="00857473">
              <w:rPr>
                <w:sz w:val="16"/>
                <w:szCs w:val="16"/>
              </w:rPr>
              <w:t>2 (4</w:t>
            </w:r>
            <w:r w:rsidR="0011285F">
              <w:rPr>
                <w:sz w:val="16"/>
                <w:szCs w:val="16"/>
              </w:rPr>
              <w:t>.0</w:t>
            </w:r>
            <w:r w:rsidRPr="00857473">
              <w:rPr>
                <w:sz w:val="16"/>
                <w:szCs w:val="16"/>
              </w:rPr>
              <w:t>%)</w:t>
            </w:r>
          </w:p>
        </w:tc>
        <w:tc>
          <w:tcPr>
            <w:tcW w:w="897" w:type="dxa"/>
          </w:tcPr>
          <w:p w14:paraId="183B2AE1" w14:textId="054D13D6" w:rsidR="00EC2E49" w:rsidRPr="00857473" w:rsidRDefault="00EC2E49">
            <w:pPr>
              <w:pStyle w:val="TableText"/>
              <w:rPr>
                <w:sz w:val="16"/>
                <w:szCs w:val="16"/>
              </w:rPr>
            </w:pPr>
            <w:r w:rsidRPr="00857473">
              <w:rPr>
                <w:sz w:val="16"/>
                <w:szCs w:val="16"/>
              </w:rPr>
              <w:t>2 (8</w:t>
            </w:r>
            <w:r w:rsidR="0011285F">
              <w:rPr>
                <w:sz w:val="16"/>
                <w:szCs w:val="16"/>
              </w:rPr>
              <w:t>.0</w:t>
            </w:r>
            <w:r w:rsidRPr="00857473">
              <w:rPr>
                <w:sz w:val="16"/>
                <w:szCs w:val="16"/>
              </w:rPr>
              <w:t>%)</w:t>
            </w:r>
          </w:p>
        </w:tc>
        <w:tc>
          <w:tcPr>
            <w:tcW w:w="898" w:type="dxa"/>
          </w:tcPr>
          <w:p w14:paraId="30E8C1BF" w14:textId="5413DD41" w:rsidR="00EC2E49" w:rsidRPr="00857473" w:rsidRDefault="00EC2E49">
            <w:pPr>
              <w:pStyle w:val="TableText"/>
              <w:rPr>
                <w:sz w:val="16"/>
                <w:szCs w:val="16"/>
              </w:rPr>
            </w:pPr>
            <w:r w:rsidRPr="00857473">
              <w:rPr>
                <w:sz w:val="16"/>
                <w:szCs w:val="16"/>
              </w:rPr>
              <w:t>2 (7</w:t>
            </w:r>
            <w:r w:rsidR="0011285F">
              <w:rPr>
                <w:sz w:val="16"/>
                <w:szCs w:val="16"/>
              </w:rPr>
              <w:t>.0</w:t>
            </w:r>
            <w:r w:rsidRPr="00857473">
              <w:rPr>
                <w:sz w:val="16"/>
                <w:szCs w:val="16"/>
              </w:rPr>
              <w:t>%)</w:t>
            </w:r>
          </w:p>
        </w:tc>
      </w:tr>
      <w:tr w:rsidR="00EC2E49" w:rsidRPr="00857473" w14:paraId="3AC6ABB3" w14:textId="77777777" w:rsidTr="006F363A">
        <w:tc>
          <w:tcPr>
            <w:tcW w:w="1837" w:type="dxa"/>
          </w:tcPr>
          <w:p w14:paraId="5ACC7E19" w14:textId="77777777" w:rsidR="00EC2E49" w:rsidRPr="00857473" w:rsidRDefault="00EC2E49">
            <w:pPr>
              <w:pStyle w:val="TableText"/>
              <w:rPr>
                <w:sz w:val="16"/>
                <w:szCs w:val="16"/>
              </w:rPr>
            </w:pPr>
            <w:r w:rsidRPr="00857473">
              <w:rPr>
                <w:sz w:val="16"/>
                <w:szCs w:val="16"/>
              </w:rPr>
              <w:t>Discontinued study, n (%)</w:t>
            </w:r>
          </w:p>
          <w:p w14:paraId="720E6D4E" w14:textId="77777777" w:rsidR="00EC2E49" w:rsidRPr="00857473" w:rsidRDefault="00EC2E49">
            <w:pPr>
              <w:pStyle w:val="TableText"/>
              <w:ind w:left="458"/>
              <w:rPr>
                <w:sz w:val="16"/>
                <w:szCs w:val="16"/>
              </w:rPr>
            </w:pPr>
            <w:r w:rsidRPr="00857473">
              <w:rPr>
                <w:sz w:val="16"/>
                <w:szCs w:val="16"/>
              </w:rPr>
              <w:t>AE</w:t>
            </w:r>
          </w:p>
          <w:p w14:paraId="2E843C94" w14:textId="77777777" w:rsidR="00EC2E49" w:rsidRPr="00857473" w:rsidRDefault="00EC2E49">
            <w:pPr>
              <w:pStyle w:val="TableText"/>
              <w:ind w:left="458"/>
              <w:rPr>
                <w:sz w:val="16"/>
                <w:szCs w:val="16"/>
              </w:rPr>
            </w:pPr>
            <w:r w:rsidRPr="00857473">
              <w:rPr>
                <w:sz w:val="16"/>
                <w:szCs w:val="16"/>
              </w:rPr>
              <w:t xml:space="preserve">Lost to </w:t>
            </w:r>
            <w:proofErr w:type="gramStart"/>
            <w:r w:rsidRPr="00857473">
              <w:rPr>
                <w:sz w:val="16"/>
                <w:szCs w:val="16"/>
              </w:rPr>
              <w:t>follow-up</w:t>
            </w:r>
            <w:proofErr w:type="gramEnd"/>
          </w:p>
          <w:p w14:paraId="2214BB54" w14:textId="77777777" w:rsidR="00EC2E49" w:rsidRPr="00857473" w:rsidRDefault="00EC2E49">
            <w:pPr>
              <w:pStyle w:val="TableText"/>
              <w:ind w:left="458"/>
              <w:rPr>
                <w:sz w:val="16"/>
                <w:szCs w:val="16"/>
              </w:rPr>
            </w:pPr>
            <w:proofErr w:type="spellStart"/>
            <w:r w:rsidRPr="00857473">
              <w:rPr>
                <w:sz w:val="16"/>
                <w:szCs w:val="16"/>
              </w:rPr>
              <w:t>Other</w:t>
            </w:r>
            <w:r w:rsidRPr="00857473">
              <w:rPr>
                <w:color w:val="806000" w:themeColor="accent4" w:themeShade="80"/>
                <w:sz w:val="16"/>
                <w:szCs w:val="16"/>
                <w:vertAlign w:val="superscript"/>
              </w:rPr>
              <w:t>c</w:t>
            </w:r>
            <w:proofErr w:type="spellEnd"/>
          </w:p>
          <w:p w14:paraId="10635CE3" w14:textId="77777777" w:rsidR="00EC2E49" w:rsidRPr="00857473" w:rsidRDefault="00EC2E49">
            <w:pPr>
              <w:pStyle w:val="TableText"/>
              <w:ind w:left="458"/>
              <w:rPr>
                <w:sz w:val="16"/>
                <w:szCs w:val="16"/>
              </w:rPr>
            </w:pPr>
            <w:r w:rsidRPr="00857473">
              <w:rPr>
                <w:sz w:val="16"/>
                <w:szCs w:val="16"/>
              </w:rPr>
              <w:t>Patient withdrew</w:t>
            </w:r>
          </w:p>
        </w:tc>
        <w:tc>
          <w:tcPr>
            <w:tcW w:w="897" w:type="dxa"/>
          </w:tcPr>
          <w:p w14:paraId="4EEF1BFF" w14:textId="77777777" w:rsidR="00EC2E49" w:rsidRPr="00857473" w:rsidRDefault="00EC2E49">
            <w:pPr>
              <w:pStyle w:val="TableText"/>
              <w:rPr>
                <w:sz w:val="16"/>
                <w:szCs w:val="16"/>
              </w:rPr>
            </w:pPr>
            <w:r w:rsidRPr="00857473">
              <w:rPr>
                <w:sz w:val="16"/>
                <w:szCs w:val="16"/>
              </w:rPr>
              <w:t>0</w:t>
            </w:r>
          </w:p>
        </w:tc>
        <w:tc>
          <w:tcPr>
            <w:tcW w:w="897" w:type="dxa"/>
          </w:tcPr>
          <w:p w14:paraId="4611F3EE" w14:textId="77777777" w:rsidR="00EC2E49" w:rsidRPr="00857473" w:rsidRDefault="00EC2E49">
            <w:pPr>
              <w:pStyle w:val="TableText"/>
              <w:rPr>
                <w:sz w:val="16"/>
                <w:szCs w:val="16"/>
              </w:rPr>
            </w:pPr>
            <w:r w:rsidRPr="00857473">
              <w:rPr>
                <w:sz w:val="16"/>
                <w:szCs w:val="16"/>
              </w:rPr>
              <w:t>0</w:t>
            </w:r>
          </w:p>
        </w:tc>
        <w:tc>
          <w:tcPr>
            <w:tcW w:w="898" w:type="dxa"/>
          </w:tcPr>
          <w:p w14:paraId="39C7D9B0" w14:textId="77777777" w:rsidR="00EC2E49" w:rsidRPr="00857473" w:rsidRDefault="00EC2E49">
            <w:pPr>
              <w:pStyle w:val="TableText"/>
              <w:rPr>
                <w:sz w:val="16"/>
                <w:szCs w:val="16"/>
              </w:rPr>
            </w:pPr>
            <w:r w:rsidRPr="00857473">
              <w:rPr>
                <w:sz w:val="16"/>
                <w:szCs w:val="16"/>
              </w:rPr>
              <w:t>2 (11.8%)</w:t>
            </w:r>
          </w:p>
          <w:p w14:paraId="42F701D0" w14:textId="77777777" w:rsidR="00EC2E49" w:rsidRPr="00857473" w:rsidRDefault="00EC2E49">
            <w:pPr>
              <w:pStyle w:val="TableText"/>
              <w:rPr>
                <w:sz w:val="16"/>
                <w:szCs w:val="16"/>
              </w:rPr>
            </w:pPr>
            <w:r w:rsidRPr="00857473">
              <w:rPr>
                <w:sz w:val="16"/>
                <w:szCs w:val="16"/>
              </w:rPr>
              <w:t>0</w:t>
            </w:r>
          </w:p>
          <w:p w14:paraId="190D7057" w14:textId="77777777" w:rsidR="00EC2E49" w:rsidRPr="00857473" w:rsidRDefault="00EC2E49">
            <w:pPr>
              <w:pStyle w:val="TableText"/>
              <w:rPr>
                <w:sz w:val="16"/>
                <w:szCs w:val="16"/>
              </w:rPr>
            </w:pPr>
            <w:r w:rsidRPr="00857473">
              <w:rPr>
                <w:sz w:val="16"/>
                <w:szCs w:val="16"/>
              </w:rPr>
              <w:t>1 (5.9%)</w:t>
            </w:r>
          </w:p>
          <w:p w14:paraId="339B8309" w14:textId="77777777" w:rsidR="00EC2E49" w:rsidRPr="00857473" w:rsidRDefault="00EC2E49">
            <w:pPr>
              <w:pStyle w:val="TableText"/>
              <w:rPr>
                <w:sz w:val="16"/>
                <w:szCs w:val="16"/>
              </w:rPr>
            </w:pPr>
            <w:r w:rsidRPr="00857473">
              <w:rPr>
                <w:sz w:val="16"/>
                <w:szCs w:val="16"/>
              </w:rPr>
              <w:t>0</w:t>
            </w:r>
          </w:p>
          <w:p w14:paraId="6FFECA68" w14:textId="77777777" w:rsidR="00EC2E49" w:rsidRPr="00857473" w:rsidRDefault="00EC2E49">
            <w:pPr>
              <w:pStyle w:val="TableText"/>
              <w:rPr>
                <w:sz w:val="16"/>
                <w:szCs w:val="16"/>
              </w:rPr>
            </w:pPr>
            <w:r w:rsidRPr="00857473">
              <w:rPr>
                <w:sz w:val="16"/>
                <w:szCs w:val="16"/>
              </w:rPr>
              <w:t>1 (5.9%)</w:t>
            </w:r>
          </w:p>
        </w:tc>
        <w:tc>
          <w:tcPr>
            <w:tcW w:w="897" w:type="dxa"/>
          </w:tcPr>
          <w:p w14:paraId="1CA7E554" w14:textId="77777777" w:rsidR="00EC2E49" w:rsidRPr="00857473" w:rsidRDefault="00EC2E49">
            <w:pPr>
              <w:pStyle w:val="TableText"/>
              <w:rPr>
                <w:sz w:val="16"/>
                <w:szCs w:val="16"/>
              </w:rPr>
            </w:pPr>
            <w:r w:rsidRPr="00857473">
              <w:rPr>
                <w:sz w:val="16"/>
                <w:szCs w:val="16"/>
              </w:rPr>
              <w:t>3 (15.8%)</w:t>
            </w:r>
          </w:p>
          <w:p w14:paraId="70159091" w14:textId="77777777" w:rsidR="00EC2E49" w:rsidRPr="00857473" w:rsidRDefault="00EC2E49">
            <w:pPr>
              <w:pStyle w:val="TableText"/>
              <w:rPr>
                <w:sz w:val="16"/>
                <w:szCs w:val="16"/>
              </w:rPr>
            </w:pPr>
            <w:r w:rsidRPr="00857473">
              <w:rPr>
                <w:sz w:val="16"/>
                <w:szCs w:val="16"/>
              </w:rPr>
              <w:t>1 (5.3%)</w:t>
            </w:r>
          </w:p>
          <w:p w14:paraId="06580EB4" w14:textId="77777777" w:rsidR="00EC2E49" w:rsidRPr="00857473" w:rsidRDefault="00EC2E49">
            <w:pPr>
              <w:pStyle w:val="TableText"/>
              <w:rPr>
                <w:sz w:val="16"/>
                <w:szCs w:val="16"/>
              </w:rPr>
            </w:pPr>
            <w:r w:rsidRPr="00857473">
              <w:rPr>
                <w:sz w:val="16"/>
                <w:szCs w:val="16"/>
              </w:rPr>
              <w:t>0</w:t>
            </w:r>
          </w:p>
          <w:p w14:paraId="7B38C4F6" w14:textId="77777777" w:rsidR="00EC2E49" w:rsidRPr="00857473" w:rsidRDefault="00EC2E49">
            <w:pPr>
              <w:pStyle w:val="TableText"/>
              <w:rPr>
                <w:sz w:val="16"/>
                <w:szCs w:val="16"/>
              </w:rPr>
            </w:pPr>
            <w:r w:rsidRPr="00857473">
              <w:rPr>
                <w:sz w:val="16"/>
                <w:szCs w:val="16"/>
              </w:rPr>
              <w:t>1 (5.3%)</w:t>
            </w:r>
          </w:p>
          <w:p w14:paraId="4BE90CB3" w14:textId="77777777" w:rsidR="00EC2E49" w:rsidRPr="00857473" w:rsidRDefault="00EC2E49">
            <w:pPr>
              <w:pStyle w:val="TableText"/>
              <w:rPr>
                <w:sz w:val="16"/>
                <w:szCs w:val="16"/>
              </w:rPr>
            </w:pPr>
            <w:r w:rsidRPr="00857473">
              <w:rPr>
                <w:sz w:val="16"/>
                <w:szCs w:val="16"/>
              </w:rPr>
              <w:t>1 (5.3%)</w:t>
            </w:r>
          </w:p>
        </w:tc>
        <w:tc>
          <w:tcPr>
            <w:tcW w:w="897" w:type="dxa"/>
          </w:tcPr>
          <w:p w14:paraId="46990844" w14:textId="77777777" w:rsidR="00EC2E49" w:rsidRPr="00857473" w:rsidRDefault="00EC2E49">
            <w:pPr>
              <w:pStyle w:val="TableText"/>
              <w:rPr>
                <w:sz w:val="16"/>
                <w:szCs w:val="16"/>
              </w:rPr>
            </w:pPr>
            <w:r w:rsidRPr="00857473">
              <w:rPr>
                <w:sz w:val="16"/>
                <w:szCs w:val="16"/>
              </w:rPr>
              <w:t>5 (9.3%)</w:t>
            </w:r>
          </w:p>
          <w:p w14:paraId="77DEFF5A" w14:textId="77777777" w:rsidR="00EC2E49" w:rsidRPr="00857473" w:rsidRDefault="00EC2E49">
            <w:pPr>
              <w:pStyle w:val="TableText"/>
              <w:rPr>
                <w:sz w:val="16"/>
                <w:szCs w:val="16"/>
              </w:rPr>
            </w:pPr>
            <w:r w:rsidRPr="00857473">
              <w:rPr>
                <w:sz w:val="16"/>
                <w:szCs w:val="16"/>
              </w:rPr>
              <w:t>1 (1.9%)</w:t>
            </w:r>
          </w:p>
          <w:p w14:paraId="40F71A0E" w14:textId="77777777" w:rsidR="00EC2E49" w:rsidRPr="00857473" w:rsidRDefault="00EC2E49">
            <w:pPr>
              <w:pStyle w:val="TableText"/>
              <w:rPr>
                <w:sz w:val="16"/>
                <w:szCs w:val="16"/>
              </w:rPr>
            </w:pPr>
            <w:r w:rsidRPr="00857473">
              <w:rPr>
                <w:sz w:val="16"/>
                <w:szCs w:val="16"/>
              </w:rPr>
              <w:t>1 (1.9%)</w:t>
            </w:r>
          </w:p>
          <w:p w14:paraId="62AF5663" w14:textId="77777777" w:rsidR="00EC2E49" w:rsidRPr="00857473" w:rsidRDefault="00EC2E49">
            <w:pPr>
              <w:pStyle w:val="TableText"/>
              <w:rPr>
                <w:sz w:val="16"/>
                <w:szCs w:val="16"/>
              </w:rPr>
            </w:pPr>
            <w:r w:rsidRPr="00857473">
              <w:rPr>
                <w:sz w:val="16"/>
                <w:szCs w:val="16"/>
              </w:rPr>
              <w:t>1 (1.9%)</w:t>
            </w:r>
          </w:p>
          <w:p w14:paraId="7B9202DB" w14:textId="77777777" w:rsidR="00EC2E49" w:rsidRPr="00857473" w:rsidRDefault="00EC2E49">
            <w:pPr>
              <w:pStyle w:val="TableText"/>
              <w:rPr>
                <w:sz w:val="16"/>
                <w:szCs w:val="16"/>
              </w:rPr>
            </w:pPr>
            <w:r w:rsidRPr="00857473">
              <w:rPr>
                <w:sz w:val="16"/>
                <w:szCs w:val="16"/>
              </w:rPr>
              <w:t>2 (3.7%)</w:t>
            </w:r>
          </w:p>
        </w:tc>
        <w:tc>
          <w:tcPr>
            <w:tcW w:w="898" w:type="dxa"/>
          </w:tcPr>
          <w:p w14:paraId="2B84852B" w14:textId="22C62594" w:rsidR="00EC2E49" w:rsidRPr="00857473" w:rsidRDefault="00EC2E49">
            <w:pPr>
              <w:pStyle w:val="TableText"/>
              <w:rPr>
                <w:sz w:val="16"/>
                <w:szCs w:val="16"/>
              </w:rPr>
            </w:pPr>
            <w:r w:rsidRPr="00857473">
              <w:rPr>
                <w:sz w:val="16"/>
                <w:szCs w:val="16"/>
              </w:rPr>
              <w:t>4 (9</w:t>
            </w:r>
            <w:r w:rsidR="0011285F">
              <w:rPr>
                <w:sz w:val="16"/>
                <w:szCs w:val="16"/>
              </w:rPr>
              <w:t>.0</w:t>
            </w:r>
            <w:r w:rsidRPr="00857473">
              <w:rPr>
                <w:sz w:val="16"/>
                <w:szCs w:val="16"/>
              </w:rPr>
              <w:t>%)</w:t>
            </w:r>
          </w:p>
          <w:p w14:paraId="15F594F8" w14:textId="77777777" w:rsidR="00EC2E49" w:rsidRPr="00857473" w:rsidRDefault="00EC2E49">
            <w:pPr>
              <w:pStyle w:val="TableText"/>
              <w:rPr>
                <w:sz w:val="16"/>
                <w:szCs w:val="16"/>
              </w:rPr>
            </w:pPr>
            <w:r w:rsidRPr="00857473">
              <w:rPr>
                <w:sz w:val="16"/>
                <w:szCs w:val="16"/>
              </w:rPr>
              <w:t>0</w:t>
            </w:r>
          </w:p>
          <w:p w14:paraId="0960B97A" w14:textId="3D43C57A" w:rsidR="00EC2E49" w:rsidRPr="00857473" w:rsidRDefault="00EC2E49">
            <w:pPr>
              <w:pStyle w:val="TableText"/>
              <w:rPr>
                <w:sz w:val="16"/>
                <w:szCs w:val="16"/>
              </w:rPr>
            </w:pPr>
            <w:r w:rsidRPr="00857473">
              <w:rPr>
                <w:sz w:val="16"/>
                <w:szCs w:val="16"/>
              </w:rPr>
              <w:t>1 (2</w:t>
            </w:r>
            <w:r w:rsidR="0011285F">
              <w:rPr>
                <w:sz w:val="16"/>
                <w:szCs w:val="16"/>
              </w:rPr>
              <w:t>.0</w:t>
            </w:r>
            <w:r w:rsidRPr="00857473">
              <w:rPr>
                <w:sz w:val="16"/>
                <w:szCs w:val="16"/>
              </w:rPr>
              <w:t>%)</w:t>
            </w:r>
          </w:p>
          <w:p w14:paraId="5EB82674" w14:textId="58FA10BB" w:rsidR="00EC2E49" w:rsidRPr="00857473" w:rsidRDefault="00EC2E49">
            <w:pPr>
              <w:pStyle w:val="TableText"/>
              <w:rPr>
                <w:sz w:val="16"/>
                <w:szCs w:val="16"/>
              </w:rPr>
            </w:pPr>
            <w:r w:rsidRPr="00857473">
              <w:rPr>
                <w:sz w:val="16"/>
                <w:szCs w:val="16"/>
              </w:rPr>
              <w:t>1 (2</w:t>
            </w:r>
            <w:r w:rsidR="0011285F">
              <w:rPr>
                <w:sz w:val="16"/>
                <w:szCs w:val="16"/>
              </w:rPr>
              <w:t>.0</w:t>
            </w:r>
            <w:r w:rsidRPr="00857473">
              <w:rPr>
                <w:sz w:val="16"/>
                <w:szCs w:val="16"/>
              </w:rPr>
              <w:t>%)</w:t>
            </w:r>
          </w:p>
          <w:p w14:paraId="59A825A0" w14:textId="4B89B9C4" w:rsidR="00EC2E49" w:rsidRPr="00857473" w:rsidRDefault="00EC2E49">
            <w:pPr>
              <w:pStyle w:val="TableText"/>
              <w:rPr>
                <w:sz w:val="16"/>
                <w:szCs w:val="16"/>
              </w:rPr>
            </w:pPr>
            <w:r w:rsidRPr="00857473">
              <w:rPr>
                <w:sz w:val="16"/>
                <w:szCs w:val="16"/>
              </w:rPr>
              <w:t>2 (4</w:t>
            </w:r>
            <w:r w:rsidR="0011285F">
              <w:rPr>
                <w:sz w:val="16"/>
                <w:szCs w:val="16"/>
              </w:rPr>
              <w:t>.0</w:t>
            </w:r>
            <w:r w:rsidRPr="00857473">
              <w:rPr>
                <w:sz w:val="16"/>
                <w:szCs w:val="16"/>
              </w:rPr>
              <w:t>%)</w:t>
            </w:r>
          </w:p>
        </w:tc>
        <w:tc>
          <w:tcPr>
            <w:tcW w:w="897" w:type="dxa"/>
          </w:tcPr>
          <w:p w14:paraId="22B86423" w14:textId="64E20C91" w:rsidR="00EC2E49" w:rsidRPr="00857473" w:rsidRDefault="00EC2E49">
            <w:pPr>
              <w:pStyle w:val="TableText"/>
              <w:rPr>
                <w:sz w:val="16"/>
                <w:szCs w:val="16"/>
              </w:rPr>
            </w:pPr>
            <w:r w:rsidRPr="00857473">
              <w:rPr>
                <w:sz w:val="16"/>
                <w:szCs w:val="16"/>
              </w:rPr>
              <w:t>2 (8</w:t>
            </w:r>
            <w:r w:rsidR="0011285F">
              <w:rPr>
                <w:sz w:val="16"/>
                <w:szCs w:val="16"/>
              </w:rPr>
              <w:t>.0</w:t>
            </w:r>
            <w:r w:rsidRPr="00857473">
              <w:rPr>
                <w:sz w:val="16"/>
                <w:szCs w:val="16"/>
              </w:rPr>
              <w:t>%)</w:t>
            </w:r>
          </w:p>
          <w:p w14:paraId="16E6539B" w14:textId="77777777" w:rsidR="00EC2E49" w:rsidRPr="00857473" w:rsidRDefault="00EC2E49">
            <w:pPr>
              <w:pStyle w:val="TableText"/>
              <w:rPr>
                <w:sz w:val="16"/>
                <w:szCs w:val="16"/>
              </w:rPr>
            </w:pPr>
            <w:r w:rsidRPr="00857473">
              <w:rPr>
                <w:sz w:val="16"/>
                <w:szCs w:val="16"/>
              </w:rPr>
              <w:t>0</w:t>
            </w:r>
          </w:p>
          <w:p w14:paraId="1D222053" w14:textId="77777777" w:rsidR="00EC2E49" w:rsidRPr="00857473" w:rsidRDefault="00EC2E49">
            <w:pPr>
              <w:pStyle w:val="TableText"/>
              <w:rPr>
                <w:sz w:val="16"/>
                <w:szCs w:val="16"/>
              </w:rPr>
            </w:pPr>
            <w:r w:rsidRPr="00857473">
              <w:rPr>
                <w:sz w:val="16"/>
                <w:szCs w:val="16"/>
              </w:rPr>
              <w:t>0</w:t>
            </w:r>
          </w:p>
          <w:p w14:paraId="413EE0C7" w14:textId="77777777" w:rsidR="00EC2E49" w:rsidRPr="00857473" w:rsidRDefault="00EC2E49">
            <w:pPr>
              <w:pStyle w:val="TableText"/>
              <w:rPr>
                <w:sz w:val="16"/>
                <w:szCs w:val="16"/>
              </w:rPr>
            </w:pPr>
            <w:r w:rsidRPr="00857473">
              <w:rPr>
                <w:sz w:val="16"/>
                <w:szCs w:val="16"/>
              </w:rPr>
              <w:t>0</w:t>
            </w:r>
          </w:p>
          <w:p w14:paraId="2441F6DB" w14:textId="0B8F3C2C" w:rsidR="00EC2E49" w:rsidRPr="00857473" w:rsidRDefault="00EC2E49">
            <w:pPr>
              <w:pStyle w:val="TableText"/>
              <w:rPr>
                <w:sz w:val="16"/>
                <w:szCs w:val="16"/>
              </w:rPr>
            </w:pPr>
            <w:r w:rsidRPr="00857473">
              <w:rPr>
                <w:sz w:val="16"/>
                <w:szCs w:val="16"/>
              </w:rPr>
              <w:t>2 (8</w:t>
            </w:r>
            <w:r w:rsidR="0011285F">
              <w:rPr>
                <w:sz w:val="16"/>
                <w:szCs w:val="16"/>
              </w:rPr>
              <w:t>.0</w:t>
            </w:r>
            <w:r w:rsidRPr="00857473">
              <w:rPr>
                <w:sz w:val="16"/>
                <w:szCs w:val="16"/>
              </w:rPr>
              <w:t>%)</w:t>
            </w:r>
          </w:p>
        </w:tc>
        <w:tc>
          <w:tcPr>
            <w:tcW w:w="898" w:type="dxa"/>
          </w:tcPr>
          <w:p w14:paraId="11A7EAC1" w14:textId="55CF3984" w:rsidR="00EC2E49" w:rsidRPr="00857473" w:rsidRDefault="00EC2E49">
            <w:pPr>
              <w:pStyle w:val="TableText"/>
              <w:rPr>
                <w:sz w:val="16"/>
                <w:szCs w:val="16"/>
              </w:rPr>
            </w:pPr>
            <w:r w:rsidRPr="00857473">
              <w:rPr>
                <w:sz w:val="16"/>
                <w:szCs w:val="16"/>
              </w:rPr>
              <w:t>2 (7</w:t>
            </w:r>
            <w:r w:rsidR="0011285F">
              <w:rPr>
                <w:sz w:val="16"/>
                <w:szCs w:val="16"/>
              </w:rPr>
              <w:t>.0</w:t>
            </w:r>
            <w:r w:rsidRPr="00857473">
              <w:rPr>
                <w:sz w:val="16"/>
                <w:szCs w:val="16"/>
              </w:rPr>
              <w:t>%)</w:t>
            </w:r>
          </w:p>
          <w:p w14:paraId="71E5B49E" w14:textId="77777777" w:rsidR="00EC2E49" w:rsidRPr="00857473" w:rsidRDefault="00EC2E49">
            <w:pPr>
              <w:pStyle w:val="TableText"/>
              <w:rPr>
                <w:sz w:val="16"/>
                <w:szCs w:val="16"/>
              </w:rPr>
            </w:pPr>
            <w:r w:rsidRPr="00857473">
              <w:rPr>
                <w:sz w:val="16"/>
                <w:szCs w:val="16"/>
              </w:rPr>
              <w:t>0</w:t>
            </w:r>
          </w:p>
          <w:p w14:paraId="144F0EAE" w14:textId="77777777" w:rsidR="00EC2E49" w:rsidRPr="00857473" w:rsidRDefault="00EC2E49">
            <w:pPr>
              <w:pStyle w:val="TableText"/>
              <w:rPr>
                <w:sz w:val="16"/>
                <w:szCs w:val="16"/>
              </w:rPr>
            </w:pPr>
            <w:r w:rsidRPr="00857473">
              <w:rPr>
                <w:sz w:val="16"/>
                <w:szCs w:val="16"/>
              </w:rPr>
              <w:t>0</w:t>
            </w:r>
          </w:p>
          <w:p w14:paraId="37F2F7A9" w14:textId="77777777" w:rsidR="00EC2E49" w:rsidRPr="00857473" w:rsidRDefault="00EC2E49">
            <w:pPr>
              <w:pStyle w:val="TableText"/>
              <w:rPr>
                <w:sz w:val="16"/>
                <w:szCs w:val="16"/>
              </w:rPr>
            </w:pPr>
            <w:r w:rsidRPr="00857473">
              <w:rPr>
                <w:sz w:val="16"/>
                <w:szCs w:val="16"/>
              </w:rPr>
              <w:t>0</w:t>
            </w:r>
          </w:p>
          <w:p w14:paraId="7F13EF0C" w14:textId="3EA7EFDA" w:rsidR="00EC2E49" w:rsidRPr="00857473" w:rsidRDefault="00EC2E49">
            <w:pPr>
              <w:pStyle w:val="TableText"/>
              <w:rPr>
                <w:sz w:val="16"/>
                <w:szCs w:val="16"/>
              </w:rPr>
            </w:pPr>
            <w:r w:rsidRPr="00857473">
              <w:rPr>
                <w:sz w:val="16"/>
                <w:szCs w:val="16"/>
              </w:rPr>
              <w:t>2 (7</w:t>
            </w:r>
            <w:r w:rsidR="0011285F">
              <w:rPr>
                <w:sz w:val="16"/>
                <w:szCs w:val="16"/>
              </w:rPr>
              <w:t>.0</w:t>
            </w:r>
            <w:r w:rsidRPr="00857473">
              <w:rPr>
                <w:sz w:val="16"/>
                <w:szCs w:val="16"/>
              </w:rPr>
              <w:t>%)</w:t>
            </w:r>
          </w:p>
        </w:tc>
      </w:tr>
    </w:tbl>
    <w:p w14:paraId="6364B153" w14:textId="77777777" w:rsidR="00074F02" w:rsidRPr="0060622A" w:rsidRDefault="00A2483E" w:rsidP="005D407A">
      <w:pPr>
        <w:pStyle w:val="Notes-TableFigure"/>
        <w:rPr>
          <w:b/>
          <w:bCs/>
          <w:u w:val="single"/>
        </w:rPr>
      </w:pPr>
      <w:r w:rsidRPr="0060622A">
        <w:rPr>
          <w:b/>
          <w:bCs/>
          <w:u w:val="single"/>
        </w:rPr>
        <w:t xml:space="preserve">Abbreviations: </w:t>
      </w:r>
    </w:p>
    <w:p w14:paraId="609FA1D2" w14:textId="52892BEF" w:rsidR="00301FCE" w:rsidRPr="00F165EE" w:rsidRDefault="00F165EE" w:rsidP="005D407A">
      <w:pPr>
        <w:pStyle w:val="Notes-TableFigure"/>
      </w:pPr>
      <w:r w:rsidRPr="0060622A">
        <w:rPr>
          <w:b/>
          <w:bCs/>
        </w:rPr>
        <w:t>AE</w:t>
      </w:r>
      <w:r w:rsidR="0060622A">
        <w:t xml:space="preserve"> =</w:t>
      </w:r>
      <w:r w:rsidRPr="00F165EE">
        <w:t xml:space="preserve"> adverse event</w:t>
      </w:r>
      <w:r w:rsidR="00783985">
        <w:t>;</w:t>
      </w:r>
      <w:r w:rsidRPr="00F165EE">
        <w:t xml:space="preserve"> </w:t>
      </w:r>
      <w:r w:rsidRPr="0060622A">
        <w:rPr>
          <w:b/>
          <w:bCs/>
        </w:rPr>
        <w:t>UTT</w:t>
      </w:r>
      <w:r w:rsidR="0060622A">
        <w:t xml:space="preserve"> =</w:t>
      </w:r>
      <w:r w:rsidRPr="00F165EE">
        <w:t xml:space="preserve"> unlikely to be transplanted; </w:t>
      </w:r>
      <w:r w:rsidRPr="0060622A">
        <w:rPr>
          <w:b/>
          <w:bCs/>
        </w:rPr>
        <w:t>UTT-A</w:t>
      </w:r>
      <w:r w:rsidR="0060622A">
        <w:t xml:space="preserve"> =</w:t>
      </w:r>
      <w:r w:rsidRPr="00F165EE">
        <w:t xml:space="preserve"> unlikely to be transplanted–</w:t>
      </w:r>
      <w:r w:rsidR="000C7D97">
        <w:t>a</w:t>
      </w:r>
      <w:r w:rsidRPr="00F165EE">
        <w:t xml:space="preserve">gnostic </w:t>
      </w:r>
    </w:p>
    <w:p w14:paraId="697AEB3A" w14:textId="77777777" w:rsidR="00301FCE" w:rsidRPr="0060622A" w:rsidRDefault="00F165EE" w:rsidP="005D407A">
      <w:pPr>
        <w:pStyle w:val="Notes-TableFigure"/>
        <w:rPr>
          <w:b/>
          <w:bCs/>
          <w:u w:val="single"/>
        </w:rPr>
      </w:pPr>
      <w:r w:rsidRPr="0060622A">
        <w:rPr>
          <w:b/>
          <w:bCs/>
          <w:u w:val="single"/>
        </w:rPr>
        <w:t xml:space="preserve">Notes: </w:t>
      </w:r>
    </w:p>
    <w:p w14:paraId="449E6ADE" w14:textId="59A442EF" w:rsidR="00301FCE" w:rsidRDefault="00F165EE" w:rsidP="005D407A">
      <w:pPr>
        <w:pStyle w:val="Notes-TableFigure"/>
      </w:pPr>
      <w:r w:rsidRPr="00F165EE">
        <w:t>a) Transplantation was NOT a prespecified part of the trial protocol and only occurred at the investigators</w:t>
      </w:r>
      <w:r w:rsidR="00301FCE">
        <w:t>’</w:t>
      </w:r>
      <w:r w:rsidRPr="00F165EE">
        <w:t xml:space="preserve"> discretion if the possibility became available. </w:t>
      </w:r>
    </w:p>
    <w:p w14:paraId="2FD920D5" w14:textId="77777777" w:rsidR="00301FCE" w:rsidRDefault="00F165EE" w:rsidP="005D407A">
      <w:pPr>
        <w:pStyle w:val="Notes-TableFigure"/>
      </w:pPr>
      <w:r w:rsidRPr="00F165EE">
        <w:t xml:space="preserve">b) One patient did not receive a transplant following an infusion-related reaction (serious adverse event) with imlifidase that resulted in treatment and study discontinuation. </w:t>
      </w:r>
    </w:p>
    <w:p w14:paraId="5D16AB1C" w14:textId="64ADC5A8" w:rsidR="006715D2" w:rsidRDefault="00F165EE" w:rsidP="005D407A">
      <w:pPr>
        <w:pStyle w:val="Notes-TableFigure"/>
      </w:pPr>
      <w:r w:rsidRPr="00F165EE">
        <w:t xml:space="preserve">c) </w:t>
      </w:r>
      <w:r w:rsidR="00301FCE">
        <w:t>One</w:t>
      </w:r>
      <w:r w:rsidRPr="00F165EE">
        <w:t xml:space="preserve"> subject experienced graft failure and decided not to complete the study. One patient treated (0.25 mg/kg) but not transplanted in Study 13-HMedIdeS-02, was included in 13-HMedIdeS-03 1.5 years later and was treated (0.50 mg/kg) and transplanted. </w:t>
      </w:r>
    </w:p>
    <w:p w14:paraId="43D6C9C8" w14:textId="31E8A288" w:rsidR="00FE2344" w:rsidRPr="00FE2344" w:rsidRDefault="00FE2344" w:rsidP="00FE2344">
      <w:pPr>
        <w:rPr>
          <w:lang w:val="en-GB"/>
        </w:rPr>
      </w:pPr>
      <w:r w:rsidRPr="00FE2344">
        <w:rPr>
          <w:lang w:val="en-GB"/>
        </w:rPr>
        <w:t xml:space="preserve">Imlifidase is administered in a clinical environment where numerous factors, including underlying disease, immunosuppressive treatments, </w:t>
      </w:r>
      <w:proofErr w:type="gramStart"/>
      <w:r w:rsidRPr="00FE2344">
        <w:rPr>
          <w:lang w:val="en-GB"/>
        </w:rPr>
        <w:t>hospitalisation</w:t>
      </w:r>
      <w:proofErr w:type="gramEnd"/>
      <w:r w:rsidRPr="00FE2344">
        <w:rPr>
          <w:lang w:val="en-GB"/>
        </w:rPr>
        <w:t xml:space="preserve"> and transplantation, can contribute to a broad range of </w:t>
      </w:r>
      <w:r w:rsidR="00C746C3">
        <w:rPr>
          <w:lang w:val="en-GB"/>
        </w:rPr>
        <w:t>a</w:t>
      </w:r>
      <w:r w:rsidRPr="00FE2344">
        <w:rPr>
          <w:lang w:val="en-GB"/>
        </w:rPr>
        <w:t xml:space="preserve">dverse </w:t>
      </w:r>
      <w:r w:rsidR="00C746C3">
        <w:rPr>
          <w:lang w:val="en-GB"/>
        </w:rPr>
        <w:t>e</w:t>
      </w:r>
      <w:r w:rsidRPr="00FE2344">
        <w:rPr>
          <w:lang w:val="en-GB"/>
        </w:rPr>
        <w:t xml:space="preserve">vents (AEs) and safety concerns. The AEs observed in imlifidase trials were manageable and no life-threatening severe AEs </w:t>
      </w:r>
      <w:r w:rsidR="005E5039">
        <w:rPr>
          <w:lang w:val="en-GB"/>
        </w:rPr>
        <w:t>occurred</w:t>
      </w:r>
      <w:r w:rsidRPr="00FE2344">
        <w:rPr>
          <w:lang w:val="en-GB"/>
        </w:rPr>
        <w:t xml:space="preserve"> during the clinical program. Two patients (7%) in the UTT-A </w:t>
      </w:r>
      <w:r w:rsidR="000C7D97">
        <w:rPr>
          <w:lang w:val="en-GB"/>
        </w:rPr>
        <w:t>(</w:t>
      </w:r>
      <w:r w:rsidR="000C7D97" w:rsidRPr="000C7D97">
        <w:t>unlikely to be transplanted–</w:t>
      </w:r>
      <w:r w:rsidR="000C7D97">
        <w:t>a</w:t>
      </w:r>
      <w:r w:rsidR="000C7D97" w:rsidRPr="000C7D97">
        <w:t>gnostic</w:t>
      </w:r>
      <w:r w:rsidR="00FC3E4B">
        <w:t xml:space="preserve"> </w:t>
      </w:r>
      <w:r w:rsidR="00FC3E4B" w:rsidRPr="00FC3E4B">
        <w:t xml:space="preserve">to donor type, i.e., </w:t>
      </w:r>
      <w:r w:rsidR="00C86AEF">
        <w:t>those who meet the PICO criteria which includes</w:t>
      </w:r>
      <w:r w:rsidR="00FA07E3">
        <w:t xml:space="preserve"> those on</w:t>
      </w:r>
      <w:r w:rsidR="00C86AEF">
        <w:t xml:space="preserve"> both </w:t>
      </w:r>
      <w:r w:rsidR="00FA07E3">
        <w:t xml:space="preserve">the </w:t>
      </w:r>
      <w:r w:rsidR="009C7DC0">
        <w:t>living donor</w:t>
      </w:r>
      <w:r w:rsidR="00FC3E4B" w:rsidRPr="00FC3E4B">
        <w:t xml:space="preserve"> and </w:t>
      </w:r>
      <w:r w:rsidR="009C7DC0">
        <w:t>deceased donor</w:t>
      </w:r>
      <w:r w:rsidR="00FC3E4B" w:rsidRPr="00FC3E4B">
        <w:t xml:space="preserve"> transplant</w:t>
      </w:r>
      <w:r w:rsidR="00FA07E3">
        <w:t xml:space="preserve"> waiting lists</w:t>
      </w:r>
      <w:r w:rsidR="000C7D97">
        <w:t>)</w:t>
      </w:r>
      <w:r w:rsidR="000C7D97" w:rsidRPr="000C7D97">
        <w:t xml:space="preserve"> </w:t>
      </w:r>
      <w:r w:rsidRPr="00FE2344">
        <w:rPr>
          <w:lang w:val="en-GB"/>
        </w:rPr>
        <w:t xml:space="preserve">subpopulation reported related treatment-emergent </w:t>
      </w:r>
      <w:r w:rsidR="00CE518C">
        <w:rPr>
          <w:lang w:val="en-GB"/>
        </w:rPr>
        <w:t xml:space="preserve">severe </w:t>
      </w:r>
      <w:r w:rsidRPr="00FE2344">
        <w:rPr>
          <w:lang w:val="en-GB"/>
        </w:rPr>
        <w:t xml:space="preserve">AEs, both receiving kidney grafts from living donors, while none were reported in the UTT </w:t>
      </w:r>
      <w:r w:rsidR="000C7D97">
        <w:rPr>
          <w:lang w:val="en-GB"/>
        </w:rPr>
        <w:t>(</w:t>
      </w:r>
      <w:r w:rsidR="000C7D97" w:rsidRPr="000C7D97">
        <w:t>unlikely to be transplante</w:t>
      </w:r>
      <w:r w:rsidR="000C7D97">
        <w:t>d</w:t>
      </w:r>
      <w:r w:rsidR="00FA07E3">
        <w:t xml:space="preserve"> – deceased donor waiting list only</w:t>
      </w:r>
      <w:r w:rsidR="000C7D97">
        <w:t xml:space="preserve">) </w:t>
      </w:r>
      <w:r w:rsidRPr="00FE2344">
        <w:rPr>
          <w:lang w:val="en-GB"/>
        </w:rPr>
        <w:t xml:space="preserve">population. In the </w:t>
      </w:r>
      <w:r w:rsidR="00E326D0">
        <w:rPr>
          <w:lang w:val="en-GB"/>
        </w:rPr>
        <w:t>a</w:t>
      </w:r>
      <w:r w:rsidRPr="00FE2344">
        <w:rPr>
          <w:lang w:val="en-GB"/>
        </w:rPr>
        <w:t>ll</w:t>
      </w:r>
      <w:r w:rsidR="0063510B">
        <w:rPr>
          <w:lang w:val="en-GB"/>
        </w:rPr>
        <w:t>-</w:t>
      </w:r>
      <w:r w:rsidR="00E326D0">
        <w:rPr>
          <w:lang w:val="en-GB"/>
        </w:rPr>
        <w:t>i</w:t>
      </w:r>
      <w:r w:rsidRPr="00FE2344">
        <w:rPr>
          <w:lang w:val="en-GB"/>
        </w:rPr>
        <w:t xml:space="preserve">mlifidase population </w:t>
      </w:r>
      <w:r w:rsidR="000C7D97">
        <w:rPr>
          <w:lang w:val="en-GB"/>
        </w:rPr>
        <w:t>s</w:t>
      </w:r>
      <w:r w:rsidRPr="00FE2344">
        <w:rPr>
          <w:lang w:val="en-GB"/>
        </w:rPr>
        <w:t xml:space="preserve">afety </w:t>
      </w:r>
      <w:r w:rsidR="00EF1913">
        <w:rPr>
          <w:lang w:val="en-GB"/>
        </w:rPr>
        <w:t>data</w:t>
      </w:r>
      <w:r w:rsidRPr="00FE2344">
        <w:rPr>
          <w:lang w:val="en-GB"/>
        </w:rPr>
        <w:t xml:space="preserve">set </w:t>
      </w:r>
      <w:r w:rsidR="000C7D97">
        <w:rPr>
          <w:lang w:val="en-GB"/>
        </w:rPr>
        <w:t>(</w:t>
      </w:r>
      <w:r w:rsidRPr="00FE2344">
        <w:rPr>
          <w:lang w:val="en-GB"/>
        </w:rPr>
        <w:t>N=54), the category with the highest frequency of treatment</w:t>
      </w:r>
      <w:r w:rsidR="00761272" w:rsidRPr="00FE2344">
        <w:rPr>
          <w:lang w:val="en-GB"/>
        </w:rPr>
        <w:t xml:space="preserve"> </w:t>
      </w:r>
      <w:r w:rsidRPr="00FE2344">
        <w:rPr>
          <w:lang w:val="en-GB"/>
        </w:rPr>
        <w:t xml:space="preserve">related </w:t>
      </w:r>
      <w:r w:rsidR="00AC54A7">
        <w:rPr>
          <w:lang w:val="en-GB"/>
        </w:rPr>
        <w:t xml:space="preserve">treatment-emergent </w:t>
      </w:r>
      <w:r w:rsidRPr="00FE2344">
        <w:rPr>
          <w:lang w:val="en-GB"/>
        </w:rPr>
        <w:t xml:space="preserve">AEs was </w:t>
      </w:r>
      <w:r w:rsidR="008A34AD">
        <w:rPr>
          <w:lang w:val="en-GB"/>
        </w:rPr>
        <w:t>‘i</w:t>
      </w:r>
      <w:r w:rsidRPr="00FE2344">
        <w:rPr>
          <w:lang w:val="en-GB"/>
        </w:rPr>
        <w:t>nfections and infestations</w:t>
      </w:r>
      <w:r w:rsidR="008A34AD">
        <w:rPr>
          <w:lang w:val="en-GB"/>
        </w:rPr>
        <w:t>’</w:t>
      </w:r>
      <w:r w:rsidRPr="00FE2344">
        <w:rPr>
          <w:lang w:val="en-GB"/>
        </w:rPr>
        <w:t xml:space="preserve"> (17%). Related </w:t>
      </w:r>
      <w:r w:rsidR="008A34AD">
        <w:rPr>
          <w:lang w:val="en-GB"/>
        </w:rPr>
        <w:t xml:space="preserve">treatment-emergent </w:t>
      </w:r>
      <w:r w:rsidR="008A34AD" w:rsidRPr="00FE2344">
        <w:rPr>
          <w:lang w:val="en-GB"/>
        </w:rPr>
        <w:t xml:space="preserve">AEs </w:t>
      </w:r>
      <w:r w:rsidRPr="00FE2344">
        <w:rPr>
          <w:lang w:val="en-GB"/>
        </w:rPr>
        <w:t>reported by more than one patient included urinary tract infections (6%) and sepsis (4%).</w:t>
      </w:r>
    </w:p>
    <w:p w14:paraId="2207C417" w14:textId="44B00330" w:rsidR="00FE2344" w:rsidRPr="00FE2344" w:rsidRDefault="00BA0274" w:rsidP="00FE2344">
      <w:pPr>
        <w:rPr>
          <w:lang w:val="en-GB"/>
        </w:rPr>
      </w:pPr>
      <w:proofErr w:type="gramStart"/>
      <w:r>
        <w:rPr>
          <w:lang w:val="en-GB"/>
        </w:rPr>
        <w:t>Similar to</w:t>
      </w:r>
      <w:proofErr w:type="gramEnd"/>
      <w:r>
        <w:rPr>
          <w:lang w:val="en-GB"/>
        </w:rPr>
        <w:t xml:space="preserve"> </w:t>
      </w:r>
      <w:r w:rsidR="00FE2344" w:rsidRPr="00FE2344">
        <w:rPr>
          <w:lang w:val="en-GB"/>
        </w:rPr>
        <w:t>other intravenously administered antibody-based agents, infusion-related reactions may occur during imlifidase infusion. To minimi</w:t>
      </w:r>
      <w:r w:rsidR="00B740CC">
        <w:rPr>
          <w:lang w:val="en-GB"/>
        </w:rPr>
        <w:t>s</w:t>
      </w:r>
      <w:r w:rsidR="00FE2344" w:rsidRPr="00FE2344">
        <w:rPr>
          <w:lang w:val="en-GB"/>
        </w:rPr>
        <w:t xml:space="preserve">e this risk, glucocorticoids and antihistamines are given before dosing. AEs of particular interest included severe or serious infections (15.2%) and infusion-related reactions (2.2%), as reported for the </w:t>
      </w:r>
      <w:r>
        <w:rPr>
          <w:lang w:val="en-GB"/>
        </w:rPr>
        <w:t>a</w:t>
      </w:r>
      <w:r w:rsidR="00FE2344" w:rsidRPr="00FE2344">
        <w:rPr>
          <w:lang w:val="en-GB"/>
        </w:rPr>
        <w:t>ll-</w:t>
      </w:r>
      <w:r>
        <w:rPr>
          <w:lang w:val="en-GB"/>
        </w:rPr>
        <w:t>t</w:t>
      </w:r>
      <w:r w:rsidR="00FE2344" w:rsidRPr="00FE2344">
        <w:rPr>
          <w:lang w:val="en-GB"/>
        </w:rPr>
        <w:t>ransplanted population. The outlined toxicities are deemed manageable.</w:t>
      </w:r>
      <w:r w:rsidR="00EB637B">
        <w:rPr>
          <w:rStyle w:val="FootnoteReference"/>
          <w:lang w:val="en-GB"/>
        </w:rPr>
        <w:footnoteReference w:id="2"/>
      </w:r>
    </w:p>
    <w:p w14:paraId="5644F40B" w14:textId="7BB6F206" w:rsidR="00FE2344" w:rsidRPr="009A4044" w:rsidRDefault="00FE2344" w:rsidP="005169C7">
      <w:pPr>
        <w:rPr>
          <w:lang w:val="en-GB"/>
        </w:rPr>
      </w:pPr>
      <w:r w:rsidRPr="00FE2344">
        <w:rPr>
          <w:lang w:val="en-GB"/>
        </w:rPr>
        <w:t xml:space="preserve">Transplantation-related events, such as delayed graft function and graft rejection, are anticipated following kidney transplantation, particularly in recipients of </w:t>
      </w:r>
      <w:r w:rsidR="005C5F1D">
        <w:rPr>
          <w:lang w:val="en-GB"/>
        </w:rPr>
        <w:t>DD</w:t>
      </w:r>
      <w:r w:rsidRPr="00FE2344">
        <w:rPr>
          <w:lang w:val="en-GB"/>
        </w:rPr>
        <w:t xml:space="preserve"> organs and </w:t>
      </w:r>
      <w:r w:rsidR="00B257D7">
        <w:rPr>
          <w:lang w:val="en-GB"/>
        </w:rPr>
        <w:t>those</w:t>
      </w:r>
      <w:r w:rsidR="00B257D7" w:rsidRPr="00FE2344">
        <w:rPr>
          <w:lang w:val="en-GB"/>
        </w:rPr>
        <w:t xml:space="preserve"> </w:t>
      </w:r>
      <w:r w:rsidRPr="00FE2344">
        <w:rPr>
          <w:lang w:val="en-GB"/>
        </w:rPr>
        <w:t xml:space="preserve">undergoing their second or subsequent transplant. </w:t>
      </w:r>
      <w:r w:rsidR="00E772EE">
        <w:rPr>
          <w:lang w:val="en-GB"/>
        </w:rPr>
        <w:t>The risks of these events may be increased in patients receiving imlifidase</w:t>
      </w:r>
      <w:r w:rsidR="000227D2">
        <w:rPr>
          <w:lang w:val="en-GB"/>
        </w:rPr>
        <w:t xml:space="preserve"> </w:t>
      </w:r>
      <w:r w:rsidR="003558DD">
        <w:rPr>
          <w:lang w:val="en-GB"/>
        </w:rPr>
        <w:t>due to</w:t>
      </w:r>
      <w:r w:rsidR="000227D2">
        <w:rPr>
          <w:lang w:val="en-GB"/>
        </w:rPr>
        <w:t xml:space="preserve"> increased cold ischaemia </w:t>
      </w:r>
      <w:proofErr w:type="gramStart"/>
      <w:r w:rsidR="003558DD">
        <w:rPr>
          <w:lang w:val="en-GB"/>
        </w:rPr>
        <w:t>as a result of</w:t>
      </w:r>
      <w:proofErr w:type="gramEnd"/>
      <w:r w:rsidR="003558DD">
        <w:rPr>
          <w:lang w:val="en-GB"/>
        </w:rPr>
        <w:t xml:space="preserve"> </w:t>
      </w:r>
      <w:r w:rsidR="00632E32">
        <w:rPr>
          <w:lang w:val="en-GB"/>
        </w:rPr>
        <w:t xml:space="preserve">delays in transplantation </w:t>
      </w:r>
      <w:r w:rsidR="00A412E0">
        <w:rPr>
          <w:lang w:val="en-GB"/>
        </w:rPr>
        <w:t>due to</w:t>
      </w:r>
      <w:r w:rsidR="00632E32">
        <w:rPr>
          <w:lang w:val="en-GB"/>
        </w:rPr>
        <w:t xml:space="preserve"> </w:t>
      </w:r>
      <w:r w:rsidR="00A412E0">
        <w:rPr>
          <w:lang w:val="en-GB"/>
        </w:rPr>
        <w:t>imlifidase</w:t>
      </w:r>
      <w:r w:rsidR="00632E32">
        <w:rPr>
          <w:lang w:val="en-GB"/>
        </w:rPr>
        <w:t xml:space="preserve"> administration and additional testing</w:t>
      </w:r>
      <w:r w:rsidR="00A412E0">
        <w:rPr>
          <w:lang w:val="en-GB"/>
        </w:rPr>
        <w:t xml:space="preserve"> required, in comparison with </w:t>
      </w:r>
      <w:r w:rsidR="00996D88">
        <w:rPr>
          <w:lang w:val="en-GB"/>
        </w:rPr>
        <w:t>current practice</w:t>
      </w:r>
      <w:r w:rsidR="00632E32">
        <w:rPr>
          <w:lang w:val="en-GB"/>
        </w:rPr>
        <w:t xml:space="preserve">. </w:t>
      </w:r>
    </w:p>
    <w:p w14:paraId="669707AE" w14:textId="46EFD7B8" w:rsidR="0041476F" w:rsidRPr="0041476F" w:rsidRDefault="005169C7" w:rsidP="0041476F">
      <w:r w:rsidRPr="005169C7">
        <w:t xml:space="preserve">The ADAR also includes data from the 17-HMedIdeS-14 study, an observational follow-up investigation designed to collect long-term data (up to 5 years) from all transplanted patients involved in the imlifidase studies. Medical centres that participated in imlifidase research and conducted patient transplants post-imlifidase treatment (known as </w:t>
      </w:r>
      <w:r w:rsidR="00B257D7">
        <w:t>‘</w:t>
      </w:r>
      <w:r w:rsidRPr="005169C7">
        <w:t>feeder studies</w:t>
      </w:r>
      <w:r w:rsidR="00B257D7">
        <w:t>’</w:t>
      </w:r>
      <w:r w:rsidRPr="005169C7">
        <w:t xml:space="preserve">) were contacted and requested to engage subjects for </w:t>
      </w:r>
      <w:r w:rsidR="000B59F1" w:rsidRPr="005169C7">
        <w:t>enrolment</w:t>
      </w:r>
      <w:r w:rsidRPr="005169C7">
        <w:t xml:space="preserve"> in this study. Of the 46 patients transplanted in the feeder studies, 29 have been actively enrolled in </w:t>
      </w:r>
      <w:r>
        <w:t xml:space="preserve">the </w:t>
      </w:r>
      <w:r w:rsidRPr="005169C7">
        <w:t>17-HMedIdeS-14</w:t>
      </w:r>
      <w:r>
        <w:t xml:space="preserve"> study</w:t>
      </w:r>
      <w:r w:rsidRPr="005169C7">
        <w:t xml:space="preserve"> (as of data cut-off date 30 September 2019). Data from an additional </w:t>
      </w:r>
      <w:r w:rsidR="00B257D7">
        <w:t>6</w:t>
      </w:r>
      <w:r w:rsidR="00B257D7" w:rsidRPr="005169C7">
        <w:t xml:space="preserve"> </w:t>
      </w:r>
      <w:r w:rsidRPr="005169C7">
        <w:t>patients (</w:t>
      </w:r>
      <w:r w:rsidR="00B257D7">
        <w:t>3</w:t>
      </w:r>
      <w:r w:rsidR="00B257D7" w:rsidRPr="005169C7">
        <w:t xml:space="preserve"> </w:t>
      </w:r>
      <w:r w:rsidRPr="005169C7">
        <w:t xml:space="preserve">experiencing graft loss and </w:t>
      </w:r>
      <w:r w:rsidR="00B257D7">
        <w:t>3</w:t>
      </w:r>
      <w:r w:rsidR="00B257D7" w:rsidRPr="005169C7">
        <w:t xml:space="preserve"> </w:t>
      </w:r>
      <w:r w:rsidRPr="005169C7">
        <w:t xml:space="preserve">who </w:t>
      </w:r>
      <w:r>
        <w:t xml:space="preserve">died </w:t>
      </w:r>
      <w:r w:rsidRPr="005169C7">
        <w:t xml:space="preserve">after the feeder studies but before initiation of 17-HMedIdeS-14) are </w:t>
      </w:r>
      <w:r w:rsidRPr="00510AE7">
        <w:t>presented</w:t>
      </w:r>
      <w:r w:rsidR="006A61AB" w:rsidRPr="00510AE7">
        <w:t xml:space="preserve"> (</w:t>
      </w:r>
      <w:r w:rsidR="006A61AB" w:rsidRPr="00510AE7">
        <w:fldChar w:fldCharType="begin"/>
      </w:r>
      <w:r w:rsidR="006A61AB" w:rsidRPr="00510AE7">
        <w:instrText xml:space="preserve"> REF _Ref131597449 \h </w:instrText>
      </w:r>
      <w:r w:rsidR="00510AE7" w:rsidRPr="00510AE7">
        <w:instrText xml:space="preserve"> \* MERGEFORMAT </w:instrText>
      </w:r>
      <w:r w:rsidR="006A61AB" w:rsidRPr="00510AE7">
        <w:fldChar w:fldCharType="separate"/>
      </w:r>
      <w:r w:rsidR="00E209CB">
        <w:t>Table 4</w:t>
      </w:r>
      <w:r w:rsidR="006A61AB" w:rsidRPr="00510AE7">
        <w:fldChar w:fldCharType="end"/>
      </w:r>
      <w:r w:rsidR="006A61AB" w:rsidRPr="00510AE7">
        <w:t>)</w:t>
      </w:r>
      <w:r w:rsidRPr="00510AE7">
        <w:t>,</w:t>
      </w:r>
      <w:r w:rsidRPr="005169C7">
        <w:t xml:space="preserve"> as approved by the Institutional Ethics Committees/Institutional Review Boards </w:t>
      </w:r>
      <w:r w:rsidR="00A05CE6">
        <w:t xml:space="preserve">of the </w:t>
      </w:r>
      <w:r w:rsidR="00A05CE6" w:rsidRPr="005169C7">
        <w:t>respective trial</w:t>
      </w:r>
      <w:r w:rsidR="00A05CE6">
        <w:t>s.</w:t>
      </w:r>
      <w:bookmarkStart w:id="15" w:name="_Ref131597449"/>
      <w:bookmarkStart w:id="16" w:name="_Toc126746529"/>
      <w:bookmarkStart w:id="17" w:name="_Toc69491424"/>
      <w:r w:rsidR="0041476F">
        <w:br w:type="page"/>
      </w:r>
    </w:p>
    <w:p w14:paraId="7D8B357B" w14:textId="3521A3D6" w:rsidR="005621BA" w:rsidRPr="005621BA" w:rsidRDefault="005621BA" w:rsidP="0033318F">
      <w:pPr>
        <w:pStyle w:val="Caption"/>
        <w:rPr>
          <w:lang w:val="en-GB"/>
        </w:rPr>
      </w:pPr>
      <w:r>
        <w:t xml:space="preserve">Table </w:t>
      </w:r>
      <w:r>
        <w:fldChar w:fldCharType="begin"/>
      </w:r>
      <w:r>
        <w:instrText>SEQ Table \* ARABIC</w:instrText>
      </w:r>
      <w:r>
        <w:fldChar w:fldCharType="separate"/>
      </w:r>
      <w:r w:rsidR="00E209CB">
        <w:rPr>
          <w:noProof/>
        </w:rPr>
        <w:t>4</w:t>
      </w:r>
      <w:r>
        <w:fldChar w:fldCharType="end"/>
      </w:r>
      <w:bookmarkEnd w:id="15"/>
      <w:r w:rsidRPr="005621BA">
        <w:rPr>
          <w:lang w:val="en-GB"/>
        </w:rPr>
        <w:t>: Summary of patients in safety dataset in patients followed up</w:t>
      </w:r>
      <w:r w:rsidR="005508F6">
        <w:rPr>
          <w:lang w:val="en-GB"/>
        </w:rPr>
        <w:t>,</w:t>
      </w:r>
      <w:r w:rsidRPr="005621BA">
        <w:rPr>
          <w:lang w:val="en-GB"/>
        </w:rPr>
        <w:t xml:space="preserve"> </w:t>
      </w:r>
      <w:r w:rsidR="005508F6">
        <w:rPr>
          <w:lang w:val="en-GB"/>
        </w:rPr>
        <w:t>s</w:t>
      </w:r>
      <w:r w:rsidRPr="005621BA">
        <w:rPr>
          <w:lang w:val="en-GB"/>
        </w:rPr>
        <w:t>tudy 17-HMedIdeS-14</w:t>
      </w:r>
      <w:bookmarkEnd w:id="16"/>
    </w:p>
    <w:tbl>
      <w:tblPr>
        <w:tblStyle w:val="TableGridLight"/>
        <w:tblpPr w:leftFromText="181" w:rightFromText="181" w:vertAnchor="text" w:horzAnchor="margin" w:tblpY="1"/>
        <w:tblW w:w="5000" w:type="pct"/>
        <w:tblLook w:val="04A0" w:firstRow="1" w:lastRow="0" w:firstColumn="1" w:lastColumn="0" w:noHBand="0" w:noVBand="1"/>
      </w:tblPr>
      <w:tblGrid>
        <w:gridCol w:w="1180"/>
        <w:gridCol w:w="1641"/>
        <w:gridCol w:w="1715"/>
        <w:gridCol w:w="1708"/>
        <w:gridCol w:w="1715"/>
        <w:gridCol w:w="1057"/>
      </w:tblGrid>
      <w:tr w:rsidR="005621BA" w:rsidRPr="005621BA" w14:paraId="41BA5830" w14:textId="77777777" w:rsidTr="00047268">
        <w:trPr>
          <w:tblHeader/>
        </w:trPr>
        <w:tc>
          <w:tcPr>
            <w:tcW w:w="655" w:type="pct"/>
            <w:vMerge w:val="restart"/>
          </w:tcPr>
          <w:p w14:paraId="608FBD85" w14:textId="77777777" w:rsidR="005621BA" w:rsidRPr="005621BA" w:rsidRDefault="005621BA" w:rsidP="00603C30">
            <w:pPr>
              <w:pStyle w:val="Tabletext0"/>
            </w:pPr>
          </w:p>
        </w:tc>
        <w:tc>
          <w:tcPr>
            <w:tcW w:w="910" w:type="pct"/>
          </w:tcPr>
          <w:p w14:paraId="056691AE" w14:textId="77777777" w:rsidR="005621BA" w:rsidRPr="00603C30" w:rsidRDefault="005621BA" w:rsidP="00603C30">
            <w:pPr>
              <w:pStyle w:val="Tabletext0"/>
              <w:rPr>
                <w:b/>
                <w:bCs/>
              </w:rPr>
            </w:pPr>
            <w:r w:rsidRPr="00603C30">
              <w:rPr>
                <w:b/>
                <w:bCs/>
              </w:rPr>
              <w:t>13-HMedIdeS-02 (N=1)</w:t>
            </w:r>
          </w:p>
        </w:tc>
        <w:tc>
          <w:tcPr>
            <w:tcW w:w="951" w:type="pct"/>
          </w:tcPr>
          <w:p w14:paraId="4AEF6513" w14:textId="77777777" w:rsidR="005621BA" w:rsidRPr="00603C30" w:rsidRDefault="005621BA" w:rsidP="00603C30">
            <w:pPr>
              <w:pStyle w:val="Tabletext0"/>
              <w:rPr>
                <w:b/>
                <w:bCs/>
              </w:rPr>
            </w:pPr>
            <w:r w:rsidRPr="00603C30">
              <w:rPr>
                <w:b/>
                <w:bCs/>
              </w:rPr>
              <w:t>13-HMedIdeS-03 (N=10)</w:t>
            </w:r>
          </w:p>
        </w:tc>
        <w:tc>
          <w:tcPr>
            <w:tcW w:w="947" w:type="pct"/>
          </w:tcPr>
          <w:p w14:paraId="5D0571D4" w14:textId="61C84860" w:rsidR="005621BA" w:rsidRPr="00603C30" w:rsidRDefault="005621BA" w:rsidP="00603C30">
            <w:pPr>
              <w:pStyle w:val="Tabletext0"/>
              <w:rPr>
                <w:b/>
                <w:bCs/>
              </w:rPr>
            </w:pPr>
            <w:r w:rsidRPr="00603C30">
              <w:rPr>
                <w:b/>
                <w:bCs/>
              </w:rPr>
              <w:t>14</w:t>
            </w:r>
            <w:r w:rsidR="0067489C">
              <w:rPr>
                <w:b/>
                <w:bCs/>
              </w:rPr>
              <w:t>-</w:t>
            </w:r>
            <w:r w:rsidRPr="00603C30">
              <w:rPr>
                <w:b/>
                <w:bCs/>
              </w:rPr>
              <w:t>HMedIdeS-04 (N=11)</w:t>
            </w:r>
          </w:p>
        </w:tc>
        <w:tc>
          <w:tcPr>
            <w:tcW w:w="951" w:type="pct"/>
          </w:tcPr>
          <w:p w14:paraId="34ECA962" w14:textId="77777777" w:rsidR="005621BA" w:rsidRPr="00603C30" w:rsidRDefault="005621BA" w:rsidP="00603C30">
            <w:pPr>
              <w:pStyle w:val="Tabletext0"/>
              <w:rPr>
                <w:b/>
                <w:bCs/>
              </w:rPr>
            </w:pPr>
            <w:r w:rsidRPr="00603C30">
              <w:rPr>
                <w:b/>
                <w:bCs/>
              </w:rPr>
              <w:t>15-HMedIdeS-06 (N=13)</w:t>
            </w:r>
          </w:p>
        </w:tc>
        <w:tc>
          <w:tcPr>
            <w:tcW w:w="586" w:type="pct"/>
          </w:tcPr>
          <w:p w14:paraId="762AE67F" w14:textId="77777777" w:rsidR="005621BA" w:rsidRPr="00603C30" w:rsidRDefault="005621BA" w:rsidP="00603C30">
            <w:pPr>
              <w:pStyle w:val="Tabletext0"/>
              <w:rPr>
                <w:b/>
                <w:bCs/>
              </w:rPr>
            </w:pPr>
            <w:r w:rsidRPr="00603C30">
              <w:rPr>
                <w:b/>
                <w:bCs/>
              </w:rPr>
              <w:t xml:space="preserve">Total </w:t>
            </w:r>
          </w:p>
          <w:p w14:paraId="66D9846E" w14:textId="77777777" w:rsidR="005621BA" w:rsidRPr="00603C30" w:rsidRDefault="005621BA" w:rsidP="00603C30">
            <w:pPr>
              <w:pStyle w:val="Tabletext0"/>
              <w:rPr>
                <w:b/>
                <w:bCs/>
              </w:rPr>
            </w:pPr>
            <w:r w:rsidRPr="00603C30">
              <w:rPr>
                <w:b/>
                <w:bCs/>
              </w:rPr>
              <w:t>(N=35)</w:t>
            </w:r>
            <w:r w:rsidRPr="00603C30">
              <w:rPr>
                <w:b/>
                <w:bCs/>
                <w:vertAlign w:val="superscript"/>
              </w:rPr>
              <w:t>a</w:t>
            </w:r>
          </w:p>
        </w:tc>
      </w:tr>
      <w:tr w:rsidR="005621BA" w:rsidRPr="005621BA" w14:paraId="42402F75" w14:textId="77777777" w:rsidTr="00047268">
        <w:trPr>
          <w:tblHeader/>
        </w:trPr>
        <w:tc>
          <w:tcPr>
            <w:tcW w:w="655" w:type="pct"/>
            <w:vMerge/>
          </w:tcPr>
          <w:p w14:paraId="24D5F651" w14:textId="77777777" w:rsidR="005621BA" w:rsidRPr="005621BA" w:rsidRDefault="005621BA" w:rsidP="00603C30">
            <w:pPr>
              <w:pStyle w:val="Tabletext0"/>
            </w:pPr>
          </w:p>
        </w:tc>
        <w:tc>
          <w:tcPr>
            <w:tcW w:w="910" w:type="pct"/>
          </w:tcPr>
          <w:p w14:paraId="3F5742D7" w14:textId="77777777" w:rsidR="005621BA" w:rsidRPr="00603C30" w:rsidRDefault="005621BA" w:rsidP="00603C30">
            <w:pPr>
              <w:pStyle w:val="Tabletext0"/>
              <w:rPr>
                <w:b/>
                <w:bCs/>
              </w:rPr>
            </w:pPr>
            <w:r w:rsidRPr="00603C30">
              <w:rPr>
                <w:b/>
                <w:bCs/>
              </w:rPr>
              <w:t>n (%)</w:t>
            </w:r>
          </w:p>
        </w:tc>
        <w:tc>
          <w:tcPr>
            <w:tcW w:w="951" w:type="pct"/>
          </w:tcPr>
          <w:p w14:paraId="11ABFB8A" w14:textId="77777777" w:rsidR="005621BA" w:rsidRPr="00603C30" w:rsidRDefault="005621BA" w:rsidP="00603C30">
            <w:pPr>
              <w:pStyle w:val="Tabletext0"/>
              <w:rPr>
                <w:b/>
                <w:bCs/>
              </w:rPr>
            </w:pPr>
            <w:r w:rsidRPr="00603C30">
              <w:rPr>
                <w:b/>
                <w:bCs/>
              </w:rPr>
              <w:t>n (%)</w:t>
            </w:r>
          </w:p>
        </w:tc>
        <w:tc>
          <w:tcPr>
            <w:tcW w:w="947" w:type="pct"/>
          </w:tcPr>
          <w:p w14:paraId="0DDD90E9" w14:textId="77777777" w:rsidR="005621BA" w:rsidRPr="00603C30" w:rsidRDefault="005621BA" w:rsidP="00603C30">
            <w:pPr>
              <w:pStyle w:val="Tabletext0"/>
              <w:rPr>
                <w:b/>
                <w:bCs/>
              </w:rPr>
            </w:pPr>
            <w:r w:rsidRPr="00603C30">
              <w:rPr>
                <w:b/>
                <w:bCs/>
              </w:rPr>
              <w:t>n (%)</w:t>
            </w:r>
          </w:p>
        </w:tc>
        <w:tc>
          <w:tcPr>
            <w:tcW w:w="951" w:type="pct"/>
          </w:tcPr>
          <w:p w14:paraId="080D01D5" w14:textId="77777777" w:rsidR="005621BA" w:rsidRPr="00603C30" w:rsidRDefault="005621BA" w:rsidP="00603C30">
            <w:pPr>
              <w:pStyle w:val="Tabletext0"/>
              <w:rPr>
                <w:b/>
                <w:bCs/>
              </w:rPr>
            </w:pPr>
            <w:r w:rsidRPr="00603C30">
              <w:rPr>
                <w:b/>
                <w:bCs/>
              </w:rPr>
              <w:t>n (%)</w:t>
            </w:r>
          </w:p>
        </w:tc>
        <w:tc>
          <w:tcPr>
            <w:tcW w:w="586" w:type="pct"/>
          </w:tcPr>
          <w:p w14:paraId="760BEAEB" w14:textId="77777777" w:rsidR="005621BA" w:rsidRPr="00603C30" w:rsidRDefault="005621BA" w:rsidP="00603C30">
            <w:pPr>
              <w:pStyle w:val="Tabletext0"/>
              <w:rPr>
                <w:b/>
                <w:bCs/>
              </w:rPr>
            </w:pPr>
            <w:r w:rsidRPr="00603C30">
              <w:rPr>
                <w:b/>
                <w:bCs/>
              </w:rPr>
              <w:t>n (%)</w:t>
            </w:r>
          </w:p>
        </w:tc>
      </w:tr>
      <w:tr w:rsidR="005621BA" w:rsidRPr="005621BA" w14:paraId="5D81630C" w14:textId="77777777" w:rsidTr="00E6161D">
        <w:tc>
          <w:tcPr>
            <w:tcW w:w="655" w:type="pct"/>
          </w:tcPr>
          <w:p w14:paraId="33697F89" w14:textId="77777777" w:rsidR="005621BA" w:rsidRPr="005621BA" w:rsidRDefault="005621BA" w:rsidP="00603C30">
            <w:pPr>
              <w:pStyle w:val="Tabletext0"/>
            </w:pPr>
            <w:r w:rsidRPr="005621BA">
              <w:t>Full analysis set</w:t>
            </w:r>
          </w:p>
        </w:tc>
        <w:tc>
          <w:tcPr>
            <w:tcW w:w="910" w:type="pct"/>
          </w:tcPr>
          <w:p w14:paraId="714E710D" w14:textId="77777777" w:rsidR="005621BA" w:rsidRPr="005621BA" w:rsidRDefault="005621BA" w:rsidP="00603C30">
            <w:pPr>
              <w:pStyle w:val="Tabletext0"/>
            </w:pPr>
            <w:r w:rsidRPr="005621BA">
              <w:t>1 (100%)</w:t>
            </w:r>
          </w:p>
        </w:tc>
        <w:tc>
          <w:tcPr>
            <w:tcW w:w="951" w:type="pct"/>
          </w:tcPr>
          <w:p w14:paraId="6953E818" w14:textId="77777777" w:rsidR="005621BA" w:rsidRPr="005621BA" w:rsidRDefault="005621BA" w:rsidP="00603C30">
            <w:pPr>
              <w:pStyle w:val="Tabletext0"/>
            </w:pPr>
            <w:r w:rsidRPr="005621BA">
              <w:t>10 (100%)</w:t>
            </w:r>
          </w:p>
        </w:tc>
        <w:tc>
          <w:tcPr>
            <w:tcW w:w="947" w:type="pct"/>
          </w:tcPr>
          <w:p w14:paraId="52FBE1F8" w14:textId="77777777" w:rsidR="005621BA" w:rsidRPr="005621BA" w:rsidRDefault="005621BA" w:rsidP="00603C30">
            <w:pPr>
              <w:pStyle w:val="Tabletext0"/>
            </w:pPr>
            <w:r w:rsidRPr="005621BA">
              <w:t>11 (100%)</w:t>
            </w:r>
          </w:p>
        </w:tc>
        <w:tc>
          <w:tcPr>
            <w:tcW w:w="951" w:type="pct"/>
          </w:tcPr>
          <w:p w14:paraId="2418CD99" w14:textId="77777777" w:rsidR="005621BA" w:rsidRPr="005621BA" w:rsidRDefault="005621BA" w:rsidP="00603C30">
            <w:pPr>
              <w:pStyle w:val="Tabletext0"/>
            </w:pPr>
            <w:r w:rsidRPr="005621BA">
              <w:t>13 (100%)</w:t>
            </w:r>
          </w:p>
        </w:tc>
        <w:tc>
          <w:tcPr>
            <w:tcW w:w="586" w:type="pct"/>
          </w:tcPr>
          <w:p w14:paraId="66942CA3" w14:textId="77777777" w:rsidR="005621BA" w:rsidRPr="005621BA" w:rsidRDefault="005621BA" w:rsidP="00603C30">
            <w:pPr>
              <w:pStyle w:val="Tabletext0"/>
            </w:pPr>
            <w:r w:rsidRPr="005621BA">
              <w:t>35 (100%)</w:t>
            </w:r>
          </w:p>
        </w:tc>
      </w:tr>
      <w:tr w:rsidR="005621BA" w:rsidRPr="005621BA" w14:paraId="64ADBDEC" w14:textId="77777777" w:rsidTr="00E6161D">
        <w:tc>
          <w:tcPr>
            <w:tcW w:w="655" w:type="pct"/>
          </w:tcPr>
          <w:p w14:paraId="47C1AA89" w14:textId="77777777" w:rsidR="005621BA" w:rsidRPr="005621BA" w:rsidRDefault="005621BA" w:rsidP="00603C30">
            <w:pPr>
              <w:pStyle w:val="Tabletext0"/>
            </w:pPr>
            <w:r w:rsidRPr="005621BA">
              <w:t>Completed</w:t>
            </w:r>
          </w:p>
        </w:tc>
        <w:tc>
          <w:tcPr>
            <w:tcW w:w="910" w:type="pct"/>
          </w:tcPr>
          <w:p w14:paraId="6BB8282D" w14:textId="77777777" w:rsidR="005621BA" w:rsidRPr="005621BA" w:rsidRDefault="005621BA" w:rsidP="00603C30">
            <w:pPr>
              <w:pStyle w:val="Tabletext0"/>
            </w:pPr>
            <w:r w:rsidRPr="005621BA">
              <w:t>1 (100%)</w:t>
            </w:r>
          </w:p>
        </w:tc>
        <w:tc>
          <w:tcPr>
            <w:tcW w:w="951" w:type="pct"/>
          </w:tcPr>
          <w:p w14:paraId="12EA4175" w14:textId="77777777" w:rsidR="005621BA" w:rsidRPr="005621BA" w:rsidRDefault="005621BA" w:rsidP="00603C30">
            <w:pPr>
              <w:pStyle w:val="Tabletext0"/>
            </w:pPr>
            <w:r w:rsidRPr="005621BA">
              <w:t>0</w:t>
            </w:r>
          </w:p>
        </w:tc>
        <w:tc>
          <w:tcPr>
            <w:tcW w:w="947" w:type="pct"/>
          </w:tcPr>
          <w:p w14:paraId="3FDDE9C4" w14:textId="77777777" w:rsidR="005621BA" w:rsidRPr="005621BA" w:rsidRDefault="005621BA" w:rsidP="00603C30">
            <w:pPr>
              <w:pStyle w:val="Tabletext0"/>
            </w:pPr>
            <w:r w:rsidRPr="005621BA">
              <w:t>0</w:t>
            </w:r>
          </w:p>
        </w:tc>
        <w:tc>
          <w:tcPr>
            <w:tcW w:w="951" w:type="pct"/>
          </w:tcPr>
          <w:p w14:paraId="3F5DC9E3" w14:textId="77777777" w:rsidR="005621BA" w:rsidRPr="005621BA" w:rsidRDefault="005621BA" w:rsidP="00603C30">
            <w:pPr>
              <w:pStyle w:val="Tabletext0"/>
            </w:pPr>
            <w:r w:rsidRPr="005621BA">
              <w:t>0</w:t>
            </w:r>
          </w:p>
        </w:tc>
        <w:tc>
          <w:tcPr>
            <w:tcW w:w="586" w:type="pct"/>
          </w:tcPr>
          <w:p w14:paraId="0C16E076" w14:textId="77777777" w:rsidR="005621BA" w:rsidRPr="005621BA" w:rsidRDefault="005621BA" w:rsidP="00603C30">
            <w:pPr>
              <w:pStyle w:val="Tabletext0"/>
            </w:pPr>
            <w:r w:rsidRPr="005621BA">
              <w:t>1 (3%)</w:t>
            </w:r>
          </w:p>
        </w:tc>
      </w:tr>
      <w:tr w:rsidR="005621BA" w:rsidRPr="005621BA" w14:paraId="43212AD8" w14:textId="77777777" w:rsidTr="00E6161D">
        <w:tc>
          <w:tcPr>
            <w:tcW w:w="655" w:type="pct"/>
          </w:tcPr>
          <w:p w14:paraId="785BE345" w14:textId="77777777" w:rsidR="005621BA" w:rsidRPr="005621BA" w:rsidRDefault="005621BA" w:rsidP="00603C30">
            <w:pPr>
              <w:pStyle w:val="Tabletext0"/>
            </w:pPr>
            <w:r w:rsidRPr="005621BA">
              <w:t>Ongoing</w:t>
            </w:r>
          </w:p>
        </w:tc>
        <w:tc>
          <w:tcPr>
            <w:tcW w:w="910" w:type="pct"/>
          </w:tcPr>
          <w:p w14:paraId="782AB46A" w14:textId="77777777" w:rsidR="005621BA" w:rsidRPr="005621BA" w:rsidRDefault="005621BA" w:rsidP="00603C30">
            <w:pPr>
              <w:pStyle w:val="Tabletext0"/>
            </w:pPr>
            <w:r w:rsidRPr="005621BA">
              <w:t>0</w:t>
            </w:r>
          </w:p>
        </w:tc>
        <w:tc>
          <w:tcPr>
            <w:tcW w:w="951" w:type="pct"/>
          </w:tcPr>
          <w:p w14:paraId="19584B82" w14:textId="77777777" w:rsidR="005621BA" w:rsidRPr="005621BA" w:rsidRDefault="005621BA" w:rsidP="00603C30">
            <w:pPr>
              <w:pStyle w:val="Tabletext0"/>
            </w:pPr>
            <w:r w:rsidRPr="005621BA">
              <w:t>9 (90%)</w:t>
            </w:r>
          </w:p>
        </w:tc>
        <w:tc>
          <w:tcPr>
            <w:tcW w:w="947" w:type="pct"/>
          </w:tcPr>
          <w:p w14:paraId="6B557D96" w14:textId="77777777" w:rsidR="005621BA" w:rsidRPr="005621BA" w:rsidRDefault="005621BA" w:rsidP="00603C30">
            <w:pPr>
              <w:pStyle w:val="Tabletext0"/>
            </w:pPr>
            <w:r w:rsidRPr="005621BA">
              <w:t>7 (64%)</w:t>
            </w:r>
          </w:p>
        </w:tc>
        <w:tc>
          <w:tcPr>
            <w:tcW w:w="951" w:type="pct"/>
          </w:tcPr>
          <w:p w14:paraId="49BFC8A5" w14:textId="77777777" w:rsidR="005621BA" w:rsidRPr="005621BA" w:rsidRDefault="005621BA" w:rsidP="00603C30">
            <w:pPr>
              <w:pStyle w:val="Tabletext0"/>
            </w:pPr>
            <w:r w:rsidRPr="005621BA">
              <w:t>12 (92%)</w:t>
            </w:r>
          </w:p>
        </w:tc>
        <w:tc>
          <w:tcPr>
            <w:tcW w:w="586" w:type="pct"/>
          </w:tcPr>
          <w:p w14:paraId="5D81442C" w14:textId="77777777" w:rsidR="005621BA" w:rsidRPr="005621BA" w:rsidRDefault="005621BA" w:rsidP="00603C30">
            <w:pPr>
              <w:pStyle w:val="Tabletext0"/>
            </w:pPr>
            <w:r w:rsidRPr="005621BA">
              <w:t>28 (80%)</w:t>
            </w:r>
          </w:p>
        </w:tc>
      </w:tr>
      <w:tr w:rsidR="005621BA" w:rsidRPr="005621BA" w14:paraId="4C7E5A37" w14:textId="77777777" w:rsidTr="00E6161D">
        <w:tc>
          <w:tcPr>
            <w:tcW w:w="655" w:type="pct"/>
          </w:tcPr>
          <w:p w14:paraId="6A7578A8" w14:textId="77777777" w:rsidR="005621BA" w:rsidRPr="005621BA" w:rsidRDefault="005621BA" w:rsidP="00603C30">
            <w:pPr>
              <w:pStyle w:val="Tabletext0"/>
            </w:pPr>
            <w:r w:rsidRPr="005621BA">
              <w:t>Discontinued</w:t>
            </w:r>
          </w:p>
        </w:tc>
        <w:tc>
          <w:tcPr>
            <w:tcW w:w="910" w:type="pct"/>
          </w:tcPr>
          <w:p w14:paraId="37A2BD38" w14:textId="77777777" w:rsidR="005621BA" w:rsidRPr="005621BA" w:rsidRDefault="005621BA" w:rsidP="00603C30">
            <w:pPr>
              <w:pStyle w:val="Tabletext0"/>
            </w:pPr>
            <w:r w:rsidRPr="005621BA">
              <w:t>0</w:t>
            </w:r>
          </w:p>
        </w:tc>
        <w:tc>
          <w:tcPr>
            <w:tcW w:w="951" w:type="pct"/>
          </w:tcPr>
          <w:p w14:paraId="7941CE4E" w14:textId="77777777" w:rsidR="005621BA" w:rsidRPr="005621BA" w:rsidRDefault="005621BA" w:rsidP="00603C30">
            <w:pPr>
              <w:pStyle w:val="Tabletext0"/>
            </w:pPr>
            <w:r w:rsidRPr="005621BA">
              <w:t>1 (10%)</w:t>
            </w:r>
          </w:p>
        </w:tc>
        <w:tc>
          <w:tcPr>
            <w:tcW w:w="947" w:type="pct"/>
          </w:tcPr>
          <w:p w14:paraId="6C9472AE" w14:textId="77777777" w:rsidR="005621BA" w:rsidRPr="005621BA" w:rsidRDefault="005621BA" w:rsidP="00603C30">
            <w:pPr>
              <w:pStyle w:val="Tabletext0"/>
            </w:pPr>
            <w:r w:rsidRPr="005621BA">
              <w:t>4 (36%)</w:t>
            </w:r>
          </w:p>
        </w:tc>
        <w:tc>
          <w:tcPr>
            <w:tcW w:w="951" w:type="pct"/>
          </w:tcPr>
          <w:p w14:paraId="1600703B" w14:textId="77777777" w:rsidR="005621BA" w:rsidRPr="005621BA" w:rsidRDefault="005621BA" w:rsidP="00603C30">
            <w:pPr>
              <w:pStyle w:val="Tabletext0"/>
            </w:pPr>
            <w:r w:rsidRPr="005621BA">
              <w:t>1 (8%)</w:t>
            </w:r>
          </w:p>
        </w:tc>
        <w:tc>
          <w:tcPr>
            <w:tcW w:w="586" w:type="pct"/>
          </w:tcPr>
          <w:p w14:paraId="29DE3405" w14:textId="77777777" w:rsidR="005621BA" w:rsidRPr="005621BA" w:rsidRDefault="005621BA" w:rsidP="00603C30">
            <w:pPr>
              <w:pStyle w:val="Tabletext0"/>
            </w:pPr>
            <w:r w:rsidRPr="005621BA">
              <w:t>6 (17%)</w:t>
            </w:r>
          </w:p>
        </w:tc>
      </w:tr>
      <w:tr w:rsidR="005621BA" w:rsidRPr="005621BA" w14:paraId="374847B7" w14:textId="77777777" w:rsidTr="00E6161D">
        <w:tc>
          <w:tcPr>
            <w:tcW w:w="655" w:type="pct"/>
          </w:tcPr>
          <w:p w14:paraId="2657C4E0" w14:textId="77777777" w:rsidR="005621BA" w:rsidRPr="005621BA" w:rsidRDefault="005621BA" w:rsidP="00603C30">
            <w:pPr>
              <w:pStyle w:val="Tabletext0"/>
            </w:pPr>
            <w:r w:rsidRPr="005621BA">
              <w:t>Graft loss</w:t>
            </w:r>
          </w:p>
        </w:tc>
        <w:tc>
          <w:tcPr>
            <w:tcW w:w="910" w:type="pct"/>
          </w:tcPr>
          <w:p w14:paraId="10289780" w14:textId="77777777" w:rsidR="005621BA" w:rsidRPr="005621BA" w:rsidRDefault="005621BA" w:rsidP="00603C30">
            <w:pPr>
              <w:pStyle w:val="Tabletext0"/>
            </w:pPr>
          </w:p>
        </w:tc>
        <w:tc>
          <w:tcPr>
            <w:tcW w:w="951" w:type="pct"/>
          </w:tcPr>
          <w:p w14:paraId="0048BFFA" w14:textId="77777777" w:rsidR="005621BA" w:rsidRPr="005621BA" w:rsidRDefault="005621BA" w:rsidP="00603C30">
            <w:pPr>
              <w:pStyle w:val="Tabletext0"/>
            </w:pPr>
            <w:r w:rsidRPr="005621BA">
              <w:t>0</w:t>
            </w:r>
          </w:p>
        </w:tc>
        <w:tc>
          <w:tcPr>
            <w:tcW w:w="947" w:type="pct"/>
          </w:tcPr>
          <w:p w14:paraId="01F98F53" w14:textId="77777777" w:rsidR="005621BA" w:rsidRPr="005621BA" w:rsidRDefault="005621BA" w:rsidP="00603C30">
            <w:pPr>
              <w:pStyle w:val="Tabletext0"/>
            </w:pPr>
            <w:r w:rsidRPr="005621BA">
              <w:t>3 (27%)</w:t>
            </w:r>
          </w:p>
        </w:tc>
        <w:tc>
          <w:tcPr>
            <w:tcW w:w="951" w:type="pct"/>
          </w:tcPr>
          <w:p w14:paraId="5DFC0ACA" w14:textId="77777777" w:rsidR="005621BA" w:rsidRPr="005621BA" w:rsidRDefault="005621BA" w:rsidP="00603C30">
            <w:pPr>
              <w:pStyle w:val="Tabletext0"/>
            </w:pPr>
            <w:r w:rsidRPr="005621BA">
              <w:t>0</w:t>
            </w:r>
          </w:p>
        </w:tc>
        <w:tc>
          <w:tcPr>
            <w:tcW w:w="586" w:type="pct"/>
          </w:tcPr>
          <w:p w14:paraId="2936D2F8" w14:textId="77777777" w:rsidR="005621BA" w:rsidRPr="005621BA" w:rsidRDefault="005621BA" w:rsidP="00603C30">
            <w:pPr>
              <w:pStyle w:val="Tabletext0"/>
            </w:pPr>
            <w:r w:rsidRPr="005621BA">
              <w:t>3 (9%)</w:t>
            </w:r>
          </w:p>
        </w:tc>
      </w:tr>
      <w:tr w:rsidR="005621BA" w:rsidRPr="005621BA" w14:paraId="2897F122" w14:textId="77777777" w:rsidTr="00E6161D">
        <w:tc>
          <w:tcPr>
            <w:tcW w:w="655" w:type="pct"/>
          </w:tcPr>
          <w:p w14:paraId="6AF4063A" w14:textId="77777777" w:rsidR="005621BA" w:rsidRPr="005621BA" w:rsidRDefault="005621BA" w:rsidP="00603C30">
            <w:pPr>
              <w:pStyle w:val="Tabletext0"/>
            </w:pPr>
            <w:r w:rsidRPr="005621BA">
              <w:t>Death</w:t>
            </w:r>
          </w:p>
        </w:tc>
        <w:tc>
          <w:tcPr>
            <w:tcW w:w="910" w:type="pct"/>
          </w:tcPr>
          <w:p w14:paraId="2E9FDB9A" w14:textId="77777777" w:rsidR="005621BA" w:rsidRPr="005621BA" w:rsidRDefault="005621BA" w:rsidP="00603C30">
            <w:pPr>
              <w:pStyle w:val="Tabletext0"/>
            </w:pPr>
          </w:p>
        </w:tc>
        <w:tc>
          <w:tcPr>
            <w:tcW w:w="951" w:type="pct"/>
          </w:tcPr>
          <w:p w14:paraId="45B87897" w14:textId="77777777" w:rsidR="005621BA" w:rsidRPr="005621BA" w:rsidRDefault="005621BA" w:rsidP="00603C30">
            <w:pPr>
              <w:pStyle w:val="Tabletext0"/>
            </w:pPr>
            <w:r w:rsidRPr="005621BA">
              <w:t>1 (10%)</w:t>
            </w:r>
          </w:p>
        </w:tc>
        <w:tc>
          <w:tcPr>
            <w:tcW w:w="947" w:type="pct"/>
          </w:tcPr>
          <w:p w14:paraId="50F703EF" w14:textId="77777777" w:rsidR="005621BA" w:rsidRPr="005621BA" w:rsidRDefault="005621BA" w:rsidP="00603C30">
            <w:pPr>
              <w:pStyle w:val="Tabletext0"/>
            </w:pPr>
            <w:r w:rsidRPr="005621BA">
              <w:t>1 (9%)</w:t>
            </w:r>
          </w:p>
        </w:tc>
        <w:tc>
          <w:tcPr>
            <w:tcW w:w="951" w:type="pct"/>
          </w:tcPr>
          <w:p w14:paraId="2F5EC1D0" w14:textId="77777777" w:rsidR="005621BA" w:rsidRPr="005621BA" w:rsidRDefault="005621BA" w:rsidP="00603C30">
            <w:pPr>
              <w:pStyle w:val="Tabletext0"/>
            </w:pPr>
            <w:r w:rsidRPr="005621BA">
              <w:t>1 (8%)</w:t>
            </w:r>
          </w:p>
        </w:tc>
        <w:tc>
          <w:tcPr>
            <w:tcW w:w="586" w:type="pct"/>
          </w:tcPr>
          <w:p w14:paraId="613E282B" w14:textId="77777777" w:rsidR="005621BA" w:rsidRPr="005621BA" w:rsidRDefault="005621BA" w:rsidP="00603C30">
            <w:pPr>
              <w:pStyle w:val="Tabletext0"/>
            </w:pPr>
            <w:r w:rsidRPr="005621BA">
              <w:t>3 (9%)</w:t>
            </w:r>
          </w:p>
        </w:tc>
      </w:tr>
    </w:tbl>
    <w:p w14:paraId="266FC33D" w14:textId="77777777" w:rsidR="00603C30" w:rsidRPr="0060622A" w:rsidRDefault="0093476F" w:rsidP="0060622A">
      <w:pPr>
        <w:pStyle w:val="Notes-TableFigure"/>
        <w:rPr>
          <w:b/>
          <w:bCs/>
          <w:u w:val="single"/>
        </w:rPr>
      </w:pPr>
      <w:r w:rsidRPr="0060622A">
        <w:rPr>
          <w:b/>
          <w:bCs/>
          <w:u w:val="single"/>
        </w:rPr>
        <w:t>Note</w:t>
      </w:r>
      <w:r w:rsidR="00A2483E" w:rsidRPr="0060622A">
        <w:rPr>
          <w:b/>
          <w:bCs/>
          <w:u w:val="single"/>
        </w:rPr>
        <w:t xml:space="preserve">s: </w:t>
      </w:r>
    </w:p>
    <w:p w14:paraId="680A7453" w14:textId="26911217" w:rsidR="005621BA" w:rsidRPr="005621BA" w:rsidRDefault="005621BA" w:rsidP="0060622A">
      <w:pPr>
        <w:pStyle w:val="Notes-TableFigure"/>
      </w:pPr>
      <w:r w:rsidRPr="005621BA">
        <w:t xml:space="preserve">N=all subjects; n=subjects with data; %=n/N. </w:t>
      </w:r>
    </w:p>
    <w:p w14:paraId="741D7F39" w14:textId="698B7535" w:rsidR="005621BA" w:rsidRPr="005621BA" w:rsidRDefault="005621BA" w:rsidP="0060622A">
      <w:pPr>
        <w:pStyle w:val="Notes-TableFigure"/>
      </w:pPr>
      <w:r w:rsidRPr="005621BA">
        <w:rPr>
          <w:vertAlign w:val="superscript"/>
        </w:rPr>
        <w:t>a</w:t>
      </w:r>
      <w:r w:rsidRPr="005621BA">
        <w:t xml:space="preserve"> represents 35 of the 46 patients in the </w:t>
      </w:r>
      <w:r w:rsidR="008C3DC3">
        <w:t>a</w:t>
      </w:r>
      <w:r w:rsidRPr="005621BA">
        <w:t>ll-</w:t>
      </w:r>
      <w:r w:rsidR="008C3DC3">
        <w:t>t</w:t>
      </w:r>
      <w:r w:rsidRPr="005621BA">
        <w:t>ransplanted group that were followed up at year 2.</w:t>
      </w:r>
    </w:p>
    <w:p w14:paraId="55967663" w14:textId="5FB171FA" w:rsidR="00156669" w:rsidRPr="006A706F" w:rsidRDefault="00891CFD" w:rsidP="005621BA">
      <w:r w:rsidRPr="00891CFD">
        <w:t xml:space="preserve">The </w:t>
      </w:r>
      <w:r w:rsidR="006D5CAC">
        <w:t>commentary</w:t>
      </w:r>
      <w:r w:rsidRPr="00891CFD">
        <w:t xml:space="preserve"> conside</w:t>
      </w:r>
      <w:r w:rsidR="006D5CAC">
        <w:t>red</w:t>
      </w:r>
      <w:r w:rsidR="003420A7">
        <w:t xml:space="preserve"> </w:t>
      </w:r>
      <w:r w:rsidR="00AD4C5D">
        <w:t xml:space="preserve">that </w:t>
      </w:r>
      <w:r w:rsidR="00875502">
        <w:t>using</w:t>
      </w:r>
      <w:r w:rsidR="003420A7" w:rsidRPr="003420A7">
        <w:t xml:space="preserve"> imlifidase leads to safety outcomes that are at least non-inferior</w:t>
      </w:r>
      <w:r w:rsidR="006D5CAC">
        <w:t xml:space="preserve"> but that </w:t>
      </w:r>
      <w:r w:rsidR="001958B3" w:rsidRPr="001958B3">
        <w:t xml:space="preserve">the lack of longer-term data raises concerns </w:t>
      </w:r>
      <w:r w:rsidR="006B0186">
        <w:t xml:space="preserve">about the </w:t>
      </w:r>
      <w:r w:rsidR="001958B3" w:rsidRPr="001958B3">
        <w:t xml:space="preserve">potential long-term safety issues associated with imlifidase therapy. </w:t>
      </w:r>
      <w:r w:rsidR="006D5CAC">
        <w:t>The commentary considered that w</w:t>
      </w:r>
      <w:r w:rsidR="001958B3" w:rsidRPr="001958B3">
        <w:t xml:space="preserve">hile the existing evidence provides a foundation for understanding the treatment's safety, further research with larger sample sizes and extended follow-up periods would be valuable to substantiate the findings and to better evaluate the long-term </w:t>
      </w:r>
      <w:r w:rsidR="006B0186">
        <w:t xml:space="preserve">safety profile </w:t>
      </w:r>
      <w:r w:rsidR="001958B3" w:rsidRPr="001958B3">
        <w:t>of imlifidase in the context of kidney transplantation.</w:t>
      </w:r>
    </w:p>
    <w:p w14:paraId="2CAA798F" w14:textId="3AF2B180" w:rsidR="005D08D7" w:rsidRPr="00C17155" w:rsidRDefault="00C36633" w:rsidP="00C17155">
      <w:pPr>
        <w:pStyle w:val="Heading2"/>
        <w:numPr>
          <w:ilvl w:val="0"/>
          <w:numId w:val="0"/>
        </w:numPr>
      </w:pPr>
      <w:r>
        <w:t>1</w:t>
      </w:r>
      <w:r w:rsidR="006C22EF">
        <w:t>2</w:t>
      </w:r>
      <w:r>
        <w:t>.</w:t>
      </w:r>
      <w:r>
        <w:tab/>
      </w:r>
      <w:r w:rsidR="00772829" w:rsidRPr="00CE28E3">
        <w:t>Comparative effectiveness</w:t>
      </w:r>
      <w:bookmarkEnd w:id="17"/>
    </w:p>
    <w:p w14:paraId="402FB0EF" w14:textId="77777777" w:rsidR="00206CE1" w:rsidRPr="00891B6B" w:rsidRDefault="00206CE1" w:rsidP="00206CE1">
      <w:pPr>
        <w:pStyle w:val="Heading3"/>
      </w:pPr>
      <w:r w:rsidRPr="00891B6B">
        <w:t xml:space="preserve">Limitations of the </w:t>
      </w:r>
      <w:r>
        <w:t xml:space="preserve">submitted </w:t>
      </w:r>
      <w:proofErr w:type="gramStart"/>
      <w:r w:rsidRPr="00891B6B">
        <w:t>evidence</w:t>
      </w:r>
      <w:proofErr w:type="gramEnd"/>
    </w:p>
    <w:p w14:paraId="00A386F6" w14:textId="77777777" w:rsidR="00206CE1" w:rsidRPr="00E76072" w:rsidRDefault="00206CE1" w:rsidP="00E76072">
      <w:pPr>
        <w:pStyle w:val="Heading4"/>
      </w:pPr>
      <w:r w:rsidRPr="00E76072">
        <w:t xml:space="preserve">Imlifidase studies included in the </w:t>
      </w:r>
      <w:proofErr w:type="gramStart"/>
      <w:r w:rsidRPr="00E76072">
        <w:t>ADAR</w:t>
      </w:r>
      <w:proofErr w:type="gramEnd"/>
    </w:p>
    <w:p w14:paraId="0BF7B51C" w14:textId="3A472EC7" w:rsidR="00206CE1" w:rsidRDefault="00206CE1" w:rsidP="00E76072">
      <w:r>
        <w:t xml:space="preserve">Despite their non-randomised and non-controlled design, the </w:t>
      </w:r>
      <w:r w:rsidR="0080569F">
        <w:t>commentary</w:t>
      </w:r>
      <w:r>
        <w:t xml:space="preserve"> agreed that the imlifidase trials were structured suitably to minimise quality-related concerns. </w:t>
      </w:r>
      <w:r w:rsidRPr="00840966">
        <w:t xml:space="preserve">The </w:t>
      </w:r>
      <w:r w:rsidR="0080569F">
        <w:t xml:space="preserve">commentary </w:t>
      </w:r>
      <w:r w:rsidRPr="00840966">
        <w:t>acknowledge</w:t>
      </w:r>
      <w:r w:rsidR="00CB0F75">
        <w:t>d</w:t>
      </w:r>
      <w:r w:rsidRPr="00840966">
        <w:t xml:space="preserve"> that the primary clinical evidence for imlifidase comes from </w:t>
      </w:r>
      <w:r w:rsidR="00CB0F75">
        <w:t>4</w:t>
      </w:r>
      <w:r w:rsidR="00CB0F75" w:rsidRPr="00840966">
        <w:t xml:space="preserve"> </w:t>
      </w:r>
      <w:r w:rsidRPr="00840966">
        <w:t xml:space="preserve">uncontrolled, open-label studies, which have </w:t>
      </w:r>
      <w:r w:rsidR="00CB0F75" w:rsidRPr="00840966">
        <w:t>inherent</w:t>
      </w:r>
      <w:r w:rsidR="00E153E9">
        <w:t>,</w:t>
      </w:r>
      <w:r w:rsidR="00CB0F75">
        <w:t xml:space="preserve"> </w:t>
      </w:r>
      <w:r w:rsidRPr="00840966">
        <w:t xml:space="preserve">well-known potential limitations in their quality. </w:t>
      </w:r>
      <w:r>
        <w:t xml:space="preserve">The </w:t>
      </w:r>
      <w:r w:rsidR="0080569F">
        <w:t>commentary</w:t>
      </w:r>
      <w:r>
        <w:t xml:space="preserve"> agreed that r</w:t>
      </w:r>
      <w:r w:rsidRPr="00840966">
        <w:t>andomi</w:t>
      </w:r>
      <w:r>
        <w:t>s</w:t>
      </w:r>
      <w:r w:rsidRPr="00840966">
        <w:t xml:space="preserve">ed controlled trials were deemed infeasible due to the nature of imlifidase treatment and the ethical considerations surrounding the lack of a suitable, safe and effective comparator. </w:t>
      </w:r>
      <w:r w:rsidR="00917682">
        <w:t>L</w:t>
      </w:r>
      <w:r w:rsidRPr="00840966">
        <w:t xml:space="preserve">imited availability of donor organs and variations in kidney allocation systems across countries </w:t>
      </w:r>
      <w:r>
        <w:t>are</w:t>
      </w:r>
      <w:r w:rsidRPr="00840966">
        <w:t xml:space="preserve"> additional obstacles </w:t>
      </w:r>
      <w:r>
        <w:t>to</w:t>
      </w:r>
      <w:r w:rsidRPr="00840966">
        <w:t xml:space="preserve"> conducting a randomi</w:t>
      </w:r>
      <w:r>
        <w:t>s</w:t>
      </w:r>
      <w:r w:rsidRPr="00840966">
        <w:t xml:space="preserve">ed controlled trial. Given these constraints, the trials were </w:t>
      </w:r>
      <w:r w:rsidR="00F86CD6">
        <w:t>performed</w:t>
      </w:r>
      <w:r w:rsidRPr="00840966">
        <w:t xml:space="preserve"> in a methodologically sound manner, considering the challenges posed by imlifidase therapy.</w:t>
      </w:r>
    </w:p>
    <w:p w14:paraId="45DBF397" w14:textId="57DA62CE" w:rsidR="00206CE1" w:rsidRDefault="00206CE1" w:rsidP="00E76072">
      <w:r w:rsidRPr="00643929">
        <w:t xml:space="preserve">The </w:t>
      </w:r>
      <w:r w:rsidR="003F13DB">
        <w:t>commentary</w:t>
      </w:r>
      <w:r w:rsidRPr="00643929">
        <w:t xml:space="preserve"> </w:t>
      </w:r>
      <w:r w:rsidR="00F86CD6">
        <w:t>noted</w:t>
      </w:r>
      <w:r w:rsidRPr="00643929">
        <w:t xml:space="preserve"> that the small sample size in the studies is a limitation, which may affect the generali</w:t>
      </w:r>
      <w:r w:rsidR="00EA7C98">
        <w:t>s</w:t>
      </w:r>
      <w:r w:rsidRPr="00643929">
        <w:t>ability of the results. Additionally, the lack of longer-term data raises concerns about the durability of the treatment effects and the potential long-term safety issues associated with imlifidase therapy. While the existing evidence provides a foundation for understanding the treatment's efficacy and safety, further research with larger sample sizes and extended follow-up periods would be valuable to substantiate the findings and to better evaluate the long-term benefits and risks of imlifidase in the context of kidney transplantation.</w:t>
      </w:r>
    </w:p>
    <w:p w14:paraId="221CBE2D" w14:textId="77777777" w:rsidR="00206CE1" w:rsidRPr="00E76072" w:rsidRDefault="00206CE1" w:rsidP="00E76072">
      <w:pPr>
        <w:pStyle w:val="Heading4"/>
      </w:pPr>
      <w:r w:rsidRPr="00E76072">
        <w:t>Utility values</w:t>
      </w:r>
    </w:p>
    <w:p w14:paraId="18499AC6" w14:textId="441EDFCF" w:rsidR="00206CE1" w:rsidRPr="00E76072" w:rsidRDefault="00206CE1" w:rsidP="00E76072">
      <w:pPr>
        <w:rPr>
          <w:lang w:val="en-GB"/>
        </w:rPr>
      </w:pPr>
      <w:r>
        <w:t>T</w:t>
      </w:r>
      <w:r w:rsidRPr="00E7155F">
        <w:t xml:space="preserve">he </w:t>
      </w:r>
      <w:r w:rsidR="003F13DB">
        <w:t xml:space="preserve">commentary considered that </w:t>
      </w:r>
      <w:r w:rsidRPr="00E7155F">
        <w:t xml:space="preserve">utility values identified in the studies are not specific to </w:t>
      </w:r>
      <w:r w:rsidR="00ED4925">
        <w:t>HS</w:t>
      </w:r>
      <w:r w:rsidRPr="00E7155F">
        <w:t xml:space="preserve"> patients, which introduces uncertainty in </w:t>
      </w:r>
      <w:r>
        <w:t>assessing</w:t>
      </w:r>
      <w:r w:rsidRPr="00E7155F">
        <w:t xml:space="preserve"> treatment benefits for this particular population. To better understand the effectiveness and cost implications of imlifidase therapy for </w:t>
      </w:r>
      <w:r w:rsidR="00BC26F3">
        <w:t>HS</w:t>
      </w:r>
      <w:r w:rsidRPr="00E7155F">
        <w:t xml:space="preserve"> patients, more targeted studies that account for </w:t>
      </w:r>
      <w:r>
        <w:t>th</w:t>
      </w:r>
      <w:r w:rsidR="00AC319A">
        <w:t>ese</w:t>
      </w:r>
      <w:r>
        <w:t xml:space="preserve"> patients</w:t>
      </w:r>
      <w:r w:rsidR="00AC319A">
        <w:t>’</w:t>
      </w:r>
      <w:r w:rsidRPr="00E7155F">
        <w:t xml:space="preserve"> unique challenges and circumstances are needed. This would help to address the existing uncertainties and provide a more accurate</w:t>
      </w:r>
      <w:r>
        <w:t xml:space="preserve"> representation </w:t>
      </w:r>
      <w:r w:rsidRPr="005C74A5">
        <w:rPr>
          <w:lang w:val="en-GB"/>
        </w:rPr>
        <w:t>of the impact on patient outcomes and healthcare costs.</w:t>
      </w:r>
    </w:p>
    <w:p w14:paraId="5AC35A8C" w14:textId="77777777" w:rsidR="00206CE1" w:rsidRPr="00E76072" w:rsidRDefault="00206CE1" w:rsidP="00E76072">
      <w:pPr>
        <w:pStyle w:val="Heading4"/>
      </w:pPr>
      <w:r w:rsidRPr="00E76072">
        <w:t>Systematic reviews</w:t>
      </w:r>
    </w:p>
    <w:p w14:paraId="1E6FB631" w14:textId="700D62DB" w:rsidR="00206CE1" w:rsidRDefault="003F13DB" w:rsidP="00E76072">
      <w:pPr>
        <w:rPr>
          <w:rFonts w:eastAsiaTheme="minorEastAsia"/>
        </w:rPr>
      </w:pPr>
      <w:r>
        <w:t>The commentary considered that m</w:t>
      </w:r>
      <w:r w:rsidR="00206CE1">
        <w:t>ultiple</w:t>
      </w:r>
      <w:r w:rsidR="00206CE1" w:rsidRPr="00B576F1">
        <w:t xml:space="preserve"> methodological </w:t>
      </w:r>
      <w:r w:rsidR="00206CE1" w:rsidRPr="004B171E">
        <w:t>concerns</w:t>
      </w:r>
      <w:r w:rsidR="00206CE1">
        <w:t xml:space="preserve"> are</w:t>
      </w:r>
      <w:r w:rsidR="00206CE1" w:rsidRPr="004B171E">
        <w:t xml:space="preserve"> associated</w:t>
      </w:r>
      <w:r w:rsidR="00206CE1" w:rsidRPr="00B576F1">
        <w:t xml:space="preserve"> with the systematic review </w:t>
      </w:r>
      <w:r w:rsidR="00206CE1" w:rsidRPr="004B171E">
        <w:t>presented</w:t>
      </w:r>
      <w:r w:rsidR="00206CE1" w:rsidRPr="00B576F1">
        <w:t xml:space="preserve"> in this ADAR</w:t>
      </w:r>
      <w:r w:rsidR="00206CE1">
        <w:t>.</w:t>
      </w:r>
      <w:r w:rsidR="00206CE1" w:rsidRPr="00081D10">
        <w:rPr>
          <w:rFonts w:eastAsiaTheme="minorEastAsia"/>
        </w:rPr>
        <w:t xml:space="preserve"> </w:t>
      </w:r>
      <w:r w:rsidR="00206CE1" w:rsidRPr="00032D5E">
        <w:rPr>
          <w:rFonts w:eastAsiaTheme="minorEastAsia"/>
        </w:rPr>
        <w:t xml:space="preserve">While the systematic review </w:t>
      </w:r>
      <w:r w:rsidR="004534AF">
        <w:rPr>
          <w:rFonts w:eastAsiaTheme="minorEastAsia"/>
        </w:rPr>
        <w:t>is</w:t>
      </w:r>
      <w:r w:rsidR="00206CE1">
        <w:rPr>
          <w:rFonts w:eastAsiaTheme="minorEastAsia"/>
        </w:rPr>
        <w:t xml:space="preserve"> thorough in </w:t>
      </w:r>
      <w:r w:rsidR="004534AF">
        <w:rPr>
          <w:rFonts w:eastAsiaTheme="minorEastAsia"/>
        </w:rPr>
        <w:t>its</w:t>
      </w:r>
      <w:r w:rsidR="00206CE1" w:rsidRPr="00032D5E">
        <w:rPr>
          <w:rFonts w:eastAsiaTheme="minorEastAsia"/>
        </w:rPr>
        <w:t xml:space="preserve"> presentation and methodology, inconsistencies in reporting the results are observed across tables, search results, and the PRISMA. Consequently, it remains uncertain whether all pertinent evidence has been </w:t>
      </w:r>
      <w:r w:rsidR="00206CE1">
        <w:rPr>
          <w:rFonts w:eastAsiaTheme="minorEastAsia"/>
        </w:rPr>
        <w:t>considered</w:t>
      </w:r>
      <w:r w:rsidR="00206CE1" w:rsidRPr="00032D5E">
        <w:rPr>
          <w:rFonts w:eastAsiaTheme="minorEastAsia"/>
        </w:rPr>
        <w:t>.</w:t>
      </w:r>
      <w:r w:rsidR="00206CE1" w:rsidRPr="00E62DBC">
        <w:rPr>
          <w:rFonts w:eastAsiaTheme="minorEastAsia"/>
        </w:rPr>
        <w:t xml:space="preserve"> Overall confidence in the </w:t>
      </w:r>
      <w:r w:rsidR="00206CE1">
        <w:rPr>
          <w:rFonts w:eastAsiaTheme="minorEastAsia"/>
        </w:rPr>
        <w:t xml:space="preserve">systematic review results </w:t>
      </w:r>
      <w:r w:rsidR="00206CE1" w:rsidRPr="00E62DBC">
        <w:rPr>
          <w:rFonts w:eastAsiaTheme="minorEastAsia"/>
        </w:rPr>
        <w:t>is deemed to be moderate</w:t>
      </w:r>
      <w:r w:rsidR="00206CE1">
        <w:rPr>
          <w:rFonts w:eastAsiaTheme="minorEastAsia"/>
        </w:rPr>
        <w:t>,</w:t>
      </w:r>
      <w:r w:rsidR="00206CE1" w:rsidRPr="00E62DBC">
        <w:rPr>
          <w:rFonts w:eastAsiaTheme="minorEastAsia"/>
        </w:rPr>
        <w:t xml:space="preserve"> with more than one non-critical weakness.</w:t>
      </w:r>
    </w:p>
    <w:p w14:paraId="440EF9ED" w14:textId="4C966C96" w:rsidR="00BE2B2F" w:rsidRPr="00E76072" w:rsidRDefault="00BE2B2F" w:rsidP="00E76072">
      <w:pPr>
        <w:rPr>
          <w:rFonts w:eastAsiaTheme="minorEastAsia"/>
        </w:rPr>
      </w:pPr>
      <w:r>
        <w:rPr>
          <w:rFonts w:eastAsiaTheme="minorEastAsia"/>
        </w:rPr>
        <w:t xml:space="preserve">In its pre-ESC response the applicant clarified </w:t>
      </w:r>
      <w:r w:rsidR="009B48BD">
        <w:rPr>
          <w:rFonts w:eastAsiaTheme="minorEastAsia"/>
        </w:rPr>
        <w:t xml:space="preserve">aspects of its systematic review and the </w:t>
      </w:r>
      <w:r w:rsidR="00C4115F">
        <w:rPr>
          <w:rFonts w:eastAsiaTheme="minorEastAsia"/>
        </w:rPr>
        <w:t>assessment group</w:t>
      </w:r>
      <w:r w:rsidR="009B48BD">
        <w:rPr>
          <w:rFonts w:eastAsiaTheme="minorEastAsia"/>
        </w:rPr>
        <w:t xml:space="preserve"> accepted th</w:t>
      </w:r>
      <w:r w:rsidR="00CB24D7">
        <w:rPr>
          <w:rFonts w:eastAsiaTheme="minorEastAsia"/>
        </w:rPr>
        <w:t xml:space="preserve">at the clarification </w:t>
      </w:r>
      <w:r w:rsidR="00CB24D7" w:rsidRPr="00CB24D7">
        <w:rPr>
          <w:rFonts w:eastAsiaTheme="minorEastAsia"/>
        </w:rPr>
        <w:t>satisfactorily addresses the concerns raised</w:t>
      </w:r>
      <w:r w:rsidR="00CB24D7">
        <w:rPr>
          <w:rFonts w:eastAsiaTheme="minorEastAsia"/>
        </w:rPr>
        <w:t xml:space="preserve">. </w:t>
      </w:r>
    </w:p>
    <w:p w14:paraId="3EAD4B5F" w14:textId="77777777" w:rsidR="00206CE1" w:rsidRPr="00E76072" w:rsidRDefault="00206CE1" w:rsidP="00E76072">
      <w:pPr>
        <w:pStyle w:val="Heading4"/>
      </w:pPr>
      <w:r w:rsidRPr="00E76072">
        <w:t>Expert opinions</w:t>
      </w:r>
    </w:p>
    <w:p w14:paraId="19313FA0" w14:textId="78076C84" w:rsidR="00206CE1" w:rsidRDefault="00EC6CF8" w:rsidP="00E76072">
      <w:pPr>
        <w:rPr>
          <w:lang w:val="en-GB"/>
        </w:rPr>
      </w:pPr>
      <w:r>
        <w:rPr>
          <w:lang w:val="en-GB"/>
        </w:rPr>
        <w:t>The commentary considered that t</w:t>
      </w:r>
      <w:r w:rsidR="00206CE1" w:rsidRPr="00F16BB0">
        <w:rPr>
          <w:lang w:val="en-GB"/>
        </w:rPr>
        <w:t>he methods employed for gathering expert opinions do not fully adhere to the stipulations outlined in Table 36 of the MSAC Guidelines. Specifically, there is a lack of information regarding the criteria for selecting advisors, the number of experts approached, the dates when expert opinions were obtained, declarations of potential conflicts of interest from each participant whose opinion was sought, and any background information provided to the experts</w:t>
      </w:r>
      <w:r w:rsidR="00EB5554">
        <w:rPr>
          <w:lang w:val="en-GB"/>
        </w:rPr>
        <w:t xml:space="preserve"> and </w:t>
      </w:r>
      <w:r w:rsidR="00206CE1" w:rsidRPr="00F16BB0">
        <w:rPr>
          <w:lang w:val="en-GB"/>
        </w:rPr>
        <w:t>its consistency with the evidence presented in the submission. Additionally, it is not stated whether advisors received compensation for their time.</w:t>
      </w:r>
      <w:r w:rsidR="00206CE1">
        <w:rPr>
          <w:lang w:val="en-GB"/>
        </w:rPr>
        <w:t xml:space="preserve"> The </w:t>
      </w:r>
      <w:r>
        <w:rPr>
          <w:lang w:val="en-GB"/>
        </w:rPr>
        <w:t>commentary</w:t>
      </w:r>
      <w:r w:rsidR="00206CE1">
        <w:rPr>
          <w:lang w:val="en-GB"/>
        </w:rPr>
        <w:t xml:space="preserve"> also noted</w:t>
      </w:r>
      <w:r w:rsidR="00206CE1" w:rsidRPr="00F16BB0">
        <w:rPr>
          <w:lang w:val="en-GB"/>
        </w:rPr>
        <w:t xml:space="preserve"> discrepancies in the information given to each expert and the format used to solicit their input. Furthermore, experts were not asked about the applicability of the study population to the Australian context or practical considerations related to incorporating imlifidase into their respective centres.</w:t>
      </w:r>
    </w:p>
    <w:p w14:paraId="24CBA846" w14:textId="7F10CBBF" w:rsidR="00413CD0" w:rsidRDefault="00413CD0" w:rsidP="00E76072">
      <w:pPr>
        <w:rPr>
          <w:lang w:val="en-GB"/>
        </w:rPr>
      </w:pPr>
      <w:r>
        <w:rPr>
          <w:lang w:val="en-GB"/>
        </w:rPr>
        <w:t>However the applicant’s pre-ESC response disputed some of these claims, noting tha</w:t>
      </w:r>
      <w:r w:rsidR="008E35F7">
        <w:rPr>
          <w:lang w:val="en-GB"/>
        </w:rPr>
        <w:t>t</w:t>
      </w:r>
      <w:r>
        <w:rPr>
          <w:lang w:val="en-GB"/>
        </w:rPr>
        <w:t>:</w:t>
      </w:r>
    </w:p>
    <w:p w14:paraId="32CB10F9" w14:textId="7B15A40F" w:rsidR="00413CD0" w:rsidRDefault="00CB189B" w:rsidP="00413CD0">
      <w:pPr>
        <w:pStyle w:val="ListParagraph"/>
        <w:numPr>
          <w:ilvl w:val="0"/>
          <w:numId w:val="45"/>
        </w:numPr>
        <w:rPr>
          <w:lang w:val="en-GB"/>
        </w:rPr>
      </w:pPr>
      <w:r w:rsidRPr="00CB189B">
        <w:rPr>
          <w:lang w:val="en-GB"/>
        </w:rPr>
        <w:t xml:space="preserve">the declarations of interest of the two </w:t>
      </w:r>
      <w:r>
        <w:rPr>
          <w:lang w:val="en-GB"/>
        </w:rPr>
        <w:t xml:space="preserve">clinical experts </w:t>
      </w:r>
      <w:r w:rsidRPr="00CB189B">
        <w:rPr>
          <w:lang w:val="en-GB"/>
        </w:rPr>
        <w:t xml:space="preserve">interviewed were provided and mentioned that they were </w:t>
      </w:r>
      <w:r>
        <w:rPr>
          <w:lang w:val="en-GB"/>
        </w:rPr>
        <w:t xml:space="preserve">compensated for their </w:t>
      </w:r>
      <w:proofErr w:type="gramStart"/>
      <w:r>
        <w:rPr>
          <w:lang w:val="en-GB"/>
        </w:rPr>
        <w:t>time</w:t>
      </w:r>
      <w:r w:rsidR="00BD5A5C">
        <w:rPr>
          <w:lang w:val="en-GB"/>
        </w:rPr>
        <w:t>;</w:t>
      </w:r>
      <w:proofErr w:type="gramEnd"/>
    </w:p>
    <w:p w14:paraId="2A67F055" w14:textId="71400EE5" w:rsidR="008E35F7" w:rsidRDefault="008E35F7" w:rsidP="00413CD0">
      <w:pPr>
        <w:pStyle w:val="ListParagraph"/>
        <w:numPr>
          <w:ilvl w:val="0"/>
          <w:numId w:val="45"/>
        </w:numPr>
        <w:rPr>
          <w:lang w:val="en-GB"/>
        </w:rPr>
      </w:pPr>
      <w:r>
        <w:rPr>
          <w:lang w:val="en-GB"/>
        </w:rPr>
        <w:t>t</w:t>
      </w:r>
      <w:r w:rsidRPr="008E35F7">
        <w:rPr>
          <w:lang w:val="en-GB"/>
        </w:rPr>
        <w:t xml:space="preserve">he </w:t>
      </w:r>
      <w:r>
        <w:rPr>
          <w:lang w:val="en-GB"/>
        </w:rPr>
        <w:t xml:space="preserve">ADAR </w:t>
      </w:r>
      <w:r w:rsidRPr="008E35F7">
        <w:rPr>
          <w:lang w:val="en-GB"/>
        </w:rPr>
        <w:t>provided information on the reason those</w:t>
      </w:r>
      <w:r>
        <w:rPr>
          <w:lang w:val="en-GB"/>
        </w:rPr>
        <w:t xml:space="preserve"> two</w:t>
      </w:r>
      <w:r w:rsidRPr="008E35F7">
        <w:rPr>
          <w:lang w:val="en-GB"/>
        </w:rPr>
        <w:t xml:space="preserve"> experts were selected</w:t>
      </w:r>
      <w:r>
        <w:rPr>
          <w:lang w:val="en-GB"/>
        </w:rPr>
        <w:t xml:space="preserve"> and noted that </w:t>
      </w:r>
      <w:r w:rsidRPr="008E35F7">
        <w:rPr>
          <w:lang w:val="en-GB"/>
        </w:rPr>
        <w:t>the difference in the number of questions asked</w:t>
      </w:r>
      <w:r>
        <w:rPr>
          <w:lang w:val="en-GB"/>
        </w:rPr>
        <w:t xml:space="preserve"> of the experts was because one </w:t>
      </w:r>
      <w:r w:rsidRPr="008E35F7">
        <w:rPr>
          <w:lang w:val="en-GB"/>
        </w:rPr>
        <w:t xml:space="preserve">was not available for the follow-up </w:t>
      </w:r>
      <w:proofErr w:type="gramStart"/>
      <w:r w:rsidRPr="008E35F7">
        <w:rPr>
          <w:lang w:val="en-GB"/>
        </w:rPr>
        <w:t>meeting</w:t>
      </w:r>
      <w:r w:rsidR="00BD5A5C">
        <w:rPr>
          <w:lang w:val="en-GB"/>
        </w:rPr>
        <w:t>;</w:t>
      </w:r>
      <w:proofErr w:type="gramEnd"/>
    </w:p>
    <w:p w14:paraId="094C72BE" w14:textId="02F7C04B" w:rsidR="00CB189B" w:rsidRPr="00413CD0" w:rsidRDefault="008E35F7" w:rsidP="00413CD0">
      <w:pPr>
        <w:pStyle w:val="ListParagraph"/>
        <w:numPr>
          <w:ilvl w:val="0"/>
          <w:numId w:val="45"/>
        </w:numPr>
        <w:rPr>
          <w:lang w:val="en-GB"/>
        </w:rPr>
      </w:pPr>
      <w:r>
        <w:rPr>
          <w:lang w:val="en-GB"/>
        </w:rPr>
        <w:t>the ADAR described th</w:t>
      </w:r>
      <w:r w:rsidRPr="008E35F7">
        <w:rPr>
          <w:lang w:val="en-GB"/>
        </w:rPr>
        <w:t>e decision process in case of inconsistency across experts</w:t>
      </w:r>
      <w:r>
        <w:rPr>
          <w:lang w:val="en-GB"/>
        </w:rPr>
        <w:t xml:space="preserve">. </w:t>
      </w:r>
    </w:p>
    <w:p w14:paraId="116294E0" w14:textId="77777777" w:rsidR="00206CE1" w:rsidRPr="00891B6B" w:rsidRDefault="00206CE1" w:rsidP="00206CE1">
      <w:pPr>
        <w:pStyle w:val="Heading3"/>
      </w:pPr>
      <w:r w:rsidRPr="00891B6B">
        <w:t>Clinical claim</w:t>
      </w:r>
    </w:p>
    <w:p w14:paraId="0DF60E40" w14:textId="346FD6E7" w:rsidR="00206CE1" w:rsidRDefault="00206CE1" w:rsidP="00206CE1">
      <w:pPr>
        <w:spacing w:line="276" w:lineRule="auto"/>
        <w:rPr>
          <w:rFonts w:eastAsia="Helvetica" w:cs="Helvetica"/>
        </w:rPr>
      </w:pPr>
      <w:r w:rsidRPr="7A8F33CF">
        <w:t xml:space="preserve">The clinical claim made by the </w:t>
      </w:r>
      <w:r w:rsidR="00676525">
        <w:t>ADAR</w:t>
      </w:r>
      <w:r w:rsidRPr="7A8F33CF">
        <w:t xml:space="preserve"> is:</w:t>
      </w:r>
      <w:r w:rsidRPr="006C49D0">
        <w:rPr>
          <w:rFonts w:eastAsia="Helvetica" w:cs="Helvetica"/>
        </w:rPr>
        <w:t xml:space="preserve"> </w:t>
      </w:r>
    </w:p>
    <w:p w14:paraId="338D5B8F" w14:textId="20F6AE4A" w:rsidR="00206CE1" w:rsidRPr="006C49D0" w:rsidRDefault="009048D1" w:rsidP="00C43ACC">
      <w:pPr>
        <w:pStyle w:val="ListParagraph"/>
        <w:numPr>
          <w:ilvl w:val="0"/>
          <w:numId w:val="14"/>
        </w:numPr>
        <w:rPr>
          <w:rFonts w:eastAsia="Helvetica" w:cs="Helvetica"/>
        </w:rPr>
      </w:pPr>
      <w:r>
        <w:rPr>
          <w:rFonts w:eastAsia="Helvetica" w:cs="Helvetica"/>
        </w:rPr>
        <w:t>u</w:t>
      </w:r>
      <w:r w:rsidR="00206CE1" w:rsidRPr="006C49D0">
        <w:rPr>
          <w:rFonts w:eastAsia="Helvetica" w:cs="Helvetica"/>
        </w:rPr>
        <w:t xml:space="preserve">se of imlifidase results in superior effectiveness compared with current care </w:t>
      </w:r>
      <w:r w:rsidR="004B296F">
        <w:rPr>
          <w:rFonts w:eastAsia="Helvetica" w:cs="Helvetica"/>
        </w:rPr>
        <w:t>(</w:t>
      </w:r>
      <w:r w:rsidR="00206CE1" w:rsidRPr="006C49D0">
        <w:rPr>
          <w:rFonts w:eastAsia="Helvetica" w:cs="Helvetica"/>
        </w:rPr>
        <w:t>absence of imlifidase</w:t>
      </w:r>
      <w:r w:rsidR="00384190">
        <w:rPr>
          <w:rFonts w:eastAsia="Helvetica" w:cs="Helvetica"/>
        </w:rPr>
        <w:t>,</w:t>
      </w:r>
      <w:r w:rsidR="00AC2748">
        <w:rPr>
          <w:rFonts w:eastAsia="Helvetica" w:cs="Helvetica"/>
        </w:rPr>
        <w:t xml:space="preserve"> which</w:t>
      </w:r>
      <w:r w:rsidR="00206CE1" w:rsidRPr="006C49D0">
        <w:rPr>
          <w:rFonts w:eastAsia="Helvetica" w:cs="Helvetica"/>
        </w:rPr>
        <w:t xml:space="preserve"> includ</w:t>
      </w:r>
      <w:r w:rsidR="00AC2748">
        <w:rPr>
          <w:rFonts w:eastAsia="Helvetica" w:cs="Helvetica"/>
        </w:rPr>
        <w:t xml:space="preserve">es </w:t>
      </w:r>
      <w:r w:rsidR="00206CE1" w:rsidRPr="006C49D0">
        <w:rPr>
          <w:rFonts w:eastAsia="Helvetica" w:cs="Helvetica"/>
        </w:rPr>
        <w:t>remaining on the transplant list, ongoing dialysis and possibility of delayed transplant</w:t>
      </w:r>
      <w:r w:rsidR="00B1356D">
        <w:rPr>
          <w:rFonts w:eastAsia="Helvetica" w:cs="Helvetica"/>
        </w:rPr>
        <w:t>ation</w:t>
      </w:r>
      <w:r w:rsidR="00FB0667">
        <w:rPr>
          <w:rFonts w:eastAsia="Helvetica" w:cs="Helvetica"/>
        </w:rPr>
        <w:t>, which</w:t>
      </w:r>
      <w:r w:rsidR="00206CE1" w:rsidRPr="006C49D0">
        <w:rPr>
          <w:rFonts w:eastAsia="Helvetica" w:cs="Helvetica"/>
        </w:rPr>
        <w:t xml:space="preserve"> may or may not occur, and if it </w:t>
      </w:r>
      <w:r w:rsidR="00FB0667">
        <w:rPr>
          <w:rFonts w:eastAsia="Helvetica" w:cs="Helvetica"/>
        </w:rPr>
        <w:t xml:space="preserve">does </w:t>
      </w:r>
      <w:r w:rsidR="00206CE1" w:rsidRPr="006C49D0">
        <w:rPr>
          <w:rFonts w:eastAsia="Helvetica" w:cs="Helvetica"/>
        </w:rPr>
        <w:t>occur</w:t>
      </w:r>
      <w:r w:rsidR="00FB0667">
        <w:rPr>
          <w:rFonts w:eastAsia="Helvetica" w:cs="Helvetica"/>
        </w:rPr>
        <w:t xml:space="preserve"> </w:t>
      </w:r>
      <w:r w:rsidR="00206CE1">
        <w:rPr>
          <w:rFonts w:eastAsia="Helvetica" w:cs="Helvetica"/>
        </w:rPr>
        <w:t>will be a</w:t>
      </w:r>
      <w:r w:rsidR="00206CE1" w:rsidRPr="006C49D0">
        <w:rPr>
          <w:rFonts w:eastAsia="Helvetica" w:cs="Helvetica"/>
        </w:rPr>
        <w:t>t a decreased rate compared with the intervention</w:t>
      </w:r>
      <w:r w:rsidR="00384190">
        <w:rPr>
          <w:rFonts w:eastAsia="Helvetica" w:cs="Helvetica"/>
        </w:rPr>
        <w:t>)</w:t>
      </w:r>
    </w:p>
    <w:p w14:paraId="50FE3A2A" w14:textId="7493CBAE" w:rsidR="00206CE1" w:rsidRPr="006C49D0" w:rsidRDefault="00206CE1" w:rsidP="00C43ACC">
      <w:pPr>
        <w:pStyle w:val="ListParagraph"/>
        <w:numPr>
          <w:ilvl w:val="0"/>
          <w:numId w:val="14"/>
        </w:numPr>
        <w:rPr>
          <w:rFonts w:eastAsia="Helvetica" w:cs="Helvetica"/>
        </w:rPr>
      </w:pPr>
      <w:r w:rsidRPr="00E17DD6">
        <w:rPr>
          <w:rFonts w:eastAsia="Helvetica" w:cs="Helvetica"/>
        </w:rPr>
        <w:t xml:space="preserve">use of imlifidase results in at least non-inferior safety. </w:t>
      </w:r>
    </w:p>
    <w:p w14:paraId="440A4675" w14:textId="1DDF9F70" w:rsidR="00206CE1" w:rsidRPr="006C49D0" w:rsidRDefault="00206CE1" w:rsidP="00206CE1">
      <w:pPr>
        <w:spacing w:line="276" w:lineRule="auto"/>
        <w:rPr>
          <w:rFonts w:eastAsia="Helvetica" w:cs="Helvetica"/>
        </w:rPr>
      </w:pPr>
      <w:r w:rsidRPr="006C49D0">
        <w:rPr>
          <w:rFonts w:eastAsia="Helvetica" w:cs="Helvetica"/>
        </w:rPr>
        <w:t xml:space="preserve">The </w:t>
      </w:r>
      <w:r w:rsidR="003B2EAF">
        <w:rPr>
          <w:rFonts w:eastAsia="Helvetica" w:cs="Helvetica"/>
        </w:rPr>
        <w:t>commentary</w:t>
      </w:r>
      <w:r w:rsidRPr="006C49D0">
        <w:rPr>
          <w:rFonts w:eastAsia="Helvetica" w:cs="Helvetica"/>
        </w:rPr>
        <w:t xml:space="preserve"> </w:t>
      </w:r>
      <w:r>
        <w:rPr>
          <w:rFonts w:eastAsia="Helvetica" w:cs="Helvetica"/>
        </w:rPr>
        <w:t>concluded</w:t>
      </w:r>
      <w:r w:rsidRPr="006C49D0">
        <w:rPr>
          <w:rFonts w:eastAsia="Helvetica" w:cs="Helvetica"/>
        </w:rPr>
        <w:t xml:space="preserve"> that the efficacy evidence presented sufficiently supports </w:t>
      </w:r>
      <w:r>
        <w:rPr>
          <w:rFonts w:eastAsia="Helvetica" w:cs="Helvetica"/>
        </w:rPr>
        <w:t>the claim that imlifidase results in superior effectiveness compared with current care in the absence of imlifidase.</w:t>
      </w:r>
    </w:p>
    <w:p w14:paraId="593DD13E" w14:textId="7503EC53" w:rsidR="00206CE1" w:rsidRDefault="00206CE1" w:rsidP="00C43ACC">
      <w:pPr>
        <w:spacing w:line="240" w:lineRule="auto"/>
        <w:rPr>
          <w:rFonts w:eastAsia="Helvetica" w:cs="Helvetica"/>
          <w:color w:val="000000" w:themeColor="text1"/>
        </w:rPr>
      </w:pPr>
      <w:r w:rsidRPr="006C49D0">
        <w:rPr>
          <w:rFonts w:eastAsia="Helvetica" w:cs="Helvetica"/>
        </w:rPr>
        <w:t xml:space="preserve">The </w:t>
      </w:r>
      <w:r w:rsidR="00676525">
        <w:rPr>
          <w:rFonts w:eastAsia="Helvetica" w:cs="Helvetica"/>
        </w:rPr>
        <w:t>ADAR</w:t>
      </w:r>
      <w:r w:rsidRPr="006C49D0">
        <w:rPr>
          <w:rFonts w:eastAsia="Helvetica" w:cs="Helvetica"/>
        </w:rPr>
        <w:t xml:space="preserve"> (and </w:t>
      </w:r>
      <w:r w:rsidR="003B2EAF">
        <w:rPr>
          <w:rFonts w:eastAsia="Helvetica" w:cs="Helvetica"/>
        </w:rPr>
        <w:t>commentary</w:t>
      </w:r>
      <w:r w:rsidRPr="006C49D0">
        <w:rPr>
          <w:rFonts w:eastAsia="Helvetica" w:cs="Helvetica"/>
        </w:rPr>
        <w:t xml:space="preserve">) recognises </w:t>
      </w:r>
      <w:r w:rsidRPr="00D45EEB">
        <w:rPr>
          <w:rFonts w:eastAsia="Helvetica" w:cs="Helvetica"/>
        </w:rPr>
        <w:t>that assessing</w:t>
      </w:r>
      <w:r w:rsidRPr="006C49D0">
        <w:rPr>
          <w:rFonts w:eastAsia="Helvetica" w:cs="Helvetica"/>
        </w:rPr>
        <w:t xml:space="preserve"> the adverse effect profile </w:t>
      </w:r>
      <w:r w:rsidRPr="00D45EEB">
        <w:rPr>
          <w:rFonts w:eastAsia="Helvetica" w:cs="Helvetica"/>
        </w:rPr>
        <w:t>is difficult</w:t>
      </w:r>
      <w:r>
        <w:rPr>
          <w:rFonts w:eastAsia="Helvetica" w:cs="Helvetica"/>
        </w:rPr>
        <w:t>,</w:t>
      </w:r>
      <w:r w:rsidRPr="006C49D0">
        <w:rPr>
          <w:rFonts w:eastAsia="Helvetica" w:cs="Helvetica"/>
        </w:rPr>
        <w:t xml:space="preserve"> given that patients in both arms experience </w:t>
      </w:r>
      <w:r w:rsidR="008E5F32">
        <w:rPr>
          <w:rFonts w:eastAsia="Helvetica" w:cs="Helvetica"/>
        </w:rPr>
        <w:t>AE</w:t>
      </w:r>
      <w:r w:rsidRPr="006C49D0">
        <w:rPr>
          <w:rFonts w:eastAsia="Helvetica" w:cs="Helvetica"/>
        </w:rPr>
        <w:t xml:space="preserve">s of </w:t>
      </w:r>
      <w:r>
        <w:rPr>
          <w:rFonts w:eastAsia="Helvetica" w:cs="Helvetica"/>
        </w:rPr>
        <w:t>different</w:t>
      </w:r>
      <w:r w:rsidRPr="006C49D0">
        <w:rPr>
          <w:rFonts w:eastAsia="Helvetica" w:cs="Helvetica"/>
        </w:rPr>
        <w:t xml:space="preserve"> types and frequencies.</w:t>
      </w:r>
      <w:r w:rsidRPr="0091125B">
        <w:rPr>
          <w:rFonts w:ascii="Helvetica" w:hAnsi="Helvetica"/>
          <w:i/>
          <w:iCs/>
          <w:color w:val="0070C0"/>
        </w:rPr>
        <w:t xml:space="preserve"> </w:t>
      </w:r>
      <w:r w:rsidRPr="0091125B">
        <w:rPr>
          <w:color w:val="000000" w:themeColor="text1"/>
        </w:rPr>
        <w:t xml:space="preserve">Moreover, the </w:t>
      </w:r>
      <w:r w:rsidR="003B2EAF">
        <w:rPr>
          <w:color w:val="000000" w:themeColor="text1"/>
        </w:rPr>
        <w:t>commentary</w:t>
      </w:r>
      <w:r w:rsidRPr="0091125B">
        <w:rPr>
          <w:color w:val="000000" w:themeColor="text1"/>
        </w:rPr>
        <w:t xml:space="preserve"> </w:t>
      </w:r>
      <w:r>
        <w:rPr>
          <w:color w:val="000000" w:themeColor="text1"/>
        </w:rPr>
        <w:t>recognise</w:t>
      </w:r>
      <w:r w:rsidR="000F22DC">
        <w:rPr>
          <w:color w:val="000000" w:themeColor="text1"/>
        </w:rPr>
        <w:t>d</w:t>
      </w:r>
      <w:r>
        <w:rPr>
          <w:color w:val="000000" w:themeColor="text1"/>
        </w:rPr>
        <w:t xml:space="preserve"> that </w:t>
      </w:r>
      <w:r w:rsidRPr="0091125B">
        <w:rPr>
          <w:rFonts w:eastAsia="Helvetica" w:cs="Helvetica"/>
          <w:color w:val="000000" w:themeColor="text1"/>
        </w:rPr>
        <w:t>obtaining long-term data on graft survival can be challenging, as it requires ongoing monitoring of patients over many years and may be subject to various confounding factors.</w:t>
      </w:r>
    </w:p>
    <w:p w14:paraId="33911017" w14:textId="0FAADA74" w:rsidR="00206CE1" w:rsidRPr="000323FF" w:rsidRDefault="00206CE1" w:rsidP="00206CE1">
      <w:pPr>
        <w:spacing w:line="276" w:lineRule="auto"/>
        <w:rPr>
          <w:rFonts w:eastAsia="Helvetica" w:cs="Helvetica"/>
          <w:lang w:val="en-GB"/>
        </w:rPr>
      </w:pPr>
      <w:r w:rsidRPr="000323FF">
        <w:rPr>
          <w:rFonts w:eastAsia="Helvetica" w:cs="Helvetica"/>
          <w:lang w:val="en-GB"/>
        </w:rPr>
        <w:t xml:space="preserve">The </w:t>
      </w:r>
      <w:r w:rsidR="00676525">
        <w:rPr>
          <w:rFonts w:eastAsia="Helvetica" w:cs="Helvetica"/>
          <w:lang w:val="en-GB"/>
        </w:rPr>
        <w:t>ADAR</w:t>
      </w:r>
      <w:r w:rsidRPr="000323FF">
        <w:rPr>
          <w:rFonts w:eastAsia="Helvetica" w:cs="Helvetica"/>
          <w:lang w:val="en-GB"/>
        </w:rPr>
        <w:t xml:space="preserve"> states that data reported in the naïve indirect comparison is used in the comparative modelled evaluation to support a claim of superior effectiveness over current care. The </w:t>
      </w:r>
      <w:r w:rsidR="00676525">
        <w:rPr>
          <w:rFonts w:eastAsia="Helvetica" w:cs="Helvetica"/>
          <w:lang w:val="en-GB"/>
        </w:rPr>
        <w:t>ADAR</w:t>
      </w:r>
      <w:r w:rsidRPr="000323FF">
        <w:rPr>
          <w:rFonts w:eastAsia="Helvetica" w:cs="Helvetica"/>
          <w:lang w:val="en-GB"/>
        </w:rPr>
        <w:t xml:space="preserve"> further reports that the ITC is assessed as moderate quality (GRADE criteria) </w:t>
      </w:r>
      <w:r>
        <w:rPr>
          <w:rFonts w:eastAsia="Helvetica" w:cs="Helvetica"/>
          <w:lang w:val="en-GB"/>
        </w:rPr>
        <w:t>compared to</w:t>
      </w:r>
      <w:r w:rsidRPr="000323FF">
        <w:rPr>
          <w:rFonts w:eastAsia="Helvetica" w:cs="Helvetica"/>
          <w:lang w:val="en-GB"/>
        </w:rPr>
        <w:t xml:space="preserve"> the Australian</w:t>
      </w:r>
      <w:r w:rsidR="008C7243">
        <w:rPr>
          <w:rFonts w:eastAsia="Helvetica" w:cs="Helvetica"/>
          <w:lang w:val="en-GB"/>
        </w:rPr>
        <w:t xml:space="preserve"> highly sens</w:t>
      </w:r>
      <w:r w:rsidR="007F7844">
        <w:rPr>
          <w:rFonts w:eastAsia="Helvetica" w:cs="Helvetica"/>
          <w:lang w:val="en-GB"/>
        </w:rPr>
        <w:t>itised program</w:t>
      </w:r>
      <w:r w:rsidRPr="000323FF">
        <w:rPr>
          <w:rFonts w:eastAsia="Helvetica" w:cs="Helvetica"/>
          <w:lang w:val="en-GB"/>
        </w:rPr>
        <w:t xml:space="preserve"> </w:t>
      </w:r>
      <w:r w:rsidR="007F7844">
        <w:rPr>
          <w:rFonts w:eastAsia="Helvetica" w:cs="Helvetica"/>
          <w:lang w:val="en-GB"/>
        </w:rPr>
        <w:t>(</w:t>
      </w:r>
      <w:r w:rsidRPr="000323FF">
        <w:rPr>
          <w:rFonts w:eastAsia="Helvetica" w:cs="Helvetica"/>
          <w:lang w:val="en-GB"/>
        </w:rPr>
        <w:t>HSP</w:t>
      </w:r>
      <w:r w:rsidR="007F7844">
        <w:rPr>
          <w:rFonts w:eastAsia="Helvetica" w:cs="Helvetica"/>
          <w:lang w:val="en-GB"/>
        </w:rPr>
        <w:t>)</w:t>
      </w:r>
      <w:r w:rsidRPr="000323FF">
        <w:rPr>
          <w:rFonts w:eastAsia="Helvetica" w:cs="Helvetica"/>
          <w:lang w:val="en-GB"/>
        </w:rPr>
        <w:t xml:space="preserve"> waiting list</w:t>
      </w:r>
      <w:r w:rsidR="000F22DC">
        <w:rPr>
          <w:rFonts w:eastAsia="Helvetica" w:cs="Helvetica"/>
          <w:lang w:val="en-GB"/>
        </w:rPr>
        <w:t>. T</w:t>
      </w:r>
      <w:r w:rsidRPr="000323FF">
        <w:rPr>
          <w:rFonts w:eastAsia="Helvetica" w:cs="Helvetica"/>
          <w:lang w:val="en-GB"/>
        </w:rPr>
        <w:t>he imlifidase combined populations had generally similar baseline characteristics.</w:t>
      </w:r>
    </w:p>
    <w:p w14:paraId="5F2310A7" w14:textId="4A6888BF" w:rsidR="00206CE1" w:rsidRPr="000323FF" w:rsidRDefault="00206CE1" w:rsidP="00206CE1">
      <w:pPr>
        <w:spacing w:line="276" w:lineRule="auto"/>
        <w:rPr>
          <w:rFonts w:eastAsia="Helvetica" w:cs="Helvetica"/>
          <w:lang w:val="en-GB"/>
        </w:rPr>
      </w:pPr>
      <w:r w:rsidRPr="000323FF">
        <w:rPr>
          <w:rFonts w:eastAsia="Helvetica" w:cs="Helvetica"/>
          <w:lang w:val="en-GB"/>
        </w:rPr>
        <w:t xml:space="preserve">The </w:t>
      </w:r>
      <w:r w:rsidR="003B2EAF">
        <w:rPr>
          <w:rFonts w:eastAsia="Helvetica" w:cs="Helvetica"/>
          <w:lang w:val="en-GB"/>
        </w:rPr>
        <w:t>commentary</w:t>
      </w:r>
      <w:r>
        <w:rPr>
          <w:rFonts w:eastAsia="Helvetica" w:cs="Helvetica"/>
          <w:lang w:val="en-GB"/>
        </w:rPr>
        <w:t xml:space="preserve"> accepted</w:t>
      </w:r>
      <w:r w:rsidRPr="000323FF">
        <w:rPr>
          <w:rFonts w:eastAsia="Helvetica" w:cs="Helvetica"/>
          <w:lang w:val="en-GB"/>
        </w:rPr>
        <w:t xml:space="preserve"> the rationale for a naïve indirect treatment comparison</w:t>
      </w:r>
      <w:r>
        <w:rPr>
          <w:rFonts w:eastAsia="Helvetica" w:cs="Helvetica"/>
          <w:lang w:val="en-GB"/>
        </w:rPr>
        <w:t>;</w:t>
      </w:r>
      <w:r w:rsidRPr="000323FF">
        <w:rPr>
          <w:rFonts w:eastAsia="Helvetica" w:cs="Helvetica"/>
          <w:lang w:val="en-GB"/>
        </w:rPr>
        <w:t xml:space="preserve"> however, </w:t>
      </w:r>
      <w:r w:rsidR="00782998">
        <w:rPr>
          <w:rFonts w:eastAsia="Helvetica" w:cs="Helvetica"/>
          <w:lang w:val="en-GB"/>
        </w:rPr>
        <w:t xml:space="preserve">the </w:t>
      </w:r>
      <w:r w:rsidR="003B2EAF">
        <w:rPr>
          <w:rFonts w:eastAsia="Helvetica" w:cs="Helvetica"/>
          <w:lang w:val="en-GB"/>
        </w:rPr>
        <w:t>commentary</w:t>
      </w:r>
      <w:r w:rsidR="00782998">
        <w:rPr>
          <w:rFonts w:eastAsia="Helvetica" w:cs="Helvetica"/>
          <w:lang w:val="en-GB"/>
        </w:rPr>
        <w:t xml:space="preserve"> </w:t>
      </w:r>
      <w:r>
        <w:rPr>
          <w:rFonts w:eastAsia="Helvetica" w:cs="Helvetica"/>
          <w:lang w:val="en-GB"/>
        </w:rPr>
        <w:t>disagree</w:t>
      </w:r>
      <w:r w:rsidR="00782998">
        <w:rPr>
          <w:rFonts w:eastAsia="Helvetica" w:cs="Helvetica"/>
          <w:lang w:val="en-GB"/>
        </w:rPr>
        <w:t>d</w:t>
      </w:r>
      <w:r w:rsidRPr="000323FF">
        <w:rPr>
          <w:rFonts w:eastAsia="Helvetica" w:cs="Helvetica"/>
          <w:lang w:val="en-GB"/>
        </w:rPr>
        <w:t xml:space="preserve"> with the conclusion drawn by the </w:t>
      </w:r>
      <w:r w:rsidR="00676525">
        <w:rPr>
          <w:rFonts w:eastAsia="Helvetica" w:cs="Helvetica"/>
          <w:lang w:val="en-GB"/>
        </w:rPr>
        <w:t>ADAR</w:t>
      </w:r>
      <w:r w:rsidRPr="000323FF">
        <w:rPr>
          <w:rFonts w:eastAsia="Helvetica" w:cs="Helvetica"/>
          <w:lang w:val="en-GB"/>
        </w:rPr>
        <w:t xml:space="preserve"> that the patient characteristics are generally homogeneous between the </w:t>
      </w:r>
      <w:r>
        <w:rPr>
          <w:rFonts w:eastAsia="Helvetica" w:cs="Helvetica"/>
          <w:lang w:val="en-GB"/>
        </w:rPr>
        <w:t>imlifidase</w:t>
      </w:r>
      <w:r w:rsidRPr="000323FF">
        <w:rPr>
          <w:rFonts w:eastAsia="Helvetica" w:cs="Helvetica"/>
          <w:lang w:val="en-GB"/>
        </w:rPr>
        <w:t xml:space="preserve"> study population and the Australian comparator population. There are material differences between the median age (43.3 vs 49 years old), duration of dialysis (6.1 vs 3.7 years), comorbidities (96% with </w:t>
      </w:r>
      <w:r w:rsidR="008D6577">
        <w:rPr>
          <w:rFonts w:eastAsia="Helvetica" w:cs="Helvetica"/>
          <w:lang w:val="en-GB"/>
        </w:rPr>
        <w:t>cardiovascular disease</w:t>
      </w:r>
      <w:r w:rsidRPr="000323FF">
        <w:rPr>
          <w:rFonts w:eastAsia="Helvetica" w:cs="Helvetica"/>
          <w:lang w:val="en-GB"/>
        </w:rPr>
        <w:t xml:space="preserve"> vs 17.7% with </w:t>
      </w:r>
      <w:r w:rsidR="008D6577">
        <w:rPr>
          <w:rFonts w:eastAsia="Helvetica" w:cs="Helvetica"/>
          <w:lang w:val="en-GB"/>
        </w:rPr>
        <w:t>coronary artery disease</w:t>
      </w:r>
      <w:r w:rsidRPr="000323FF">
        <w:rPr>
          <w:rFonts w:eastAsia="Helvetica" w:cs="Helvetica"/>
          <w:lang w:val="en-GB"/>
        </w:rPr>
        <w:t xml:space="preserve">, 8.1% with </w:t>
      </w:r>
      <w:r w:rsidR="00DA046C">
        <w:rPr>
          <w:rFonts w:eastAsia="Helvetica" w:cs="Helvetica"/>
          <w:lang w:val="en-GB"/>
        </w:rPr>
        <w:t>peripheral vascular disease</w:t>
      </w:r>
      <w:r w:rsidRPr="000323FF">
        <w:rPr>
          <w:rFonts w:eastAsia="Helvetica" w:cs="Helvetica"/>
          <w:lang w:val="en-GB"/>
        </w:rPr>
        <w:t xml:space="preserve">, and 6.1% with </w:t>
      </w:r>
      <w:r w:rsidR="00096D58">
        <w:rPr>
          <w:rFonts w:eastAsia="Helvetica" w:cs="Helvetica"/>
          <w:lang w:val="en-GB"/>
        </w:rPr>
        <w:t>cerebrovascular disease</w:t>
      </w:r>
      <w:r w:rsidRPr="000323FF">
        <w:rPr>
          <w:rFonts w:eastAsia="Helvetica" w:cs="Helvetica"/>
          <w:lang w:val="en-GB"/>
        </w:rPr>
        <w:t xml:space="preserve">) and retransplant rates (30% vs 77% with no previous transplant) that add considerable uncertainty to the assessment of relative treatment effectiveness. The </w:t>
      </w:r>
      <w:r w:rsidR="00B246CD">
        <w:rPr>
          <w:rFonts w:eastAsia="Helvetica" w:cs="Helvetica"/>
          <w:lang w:val="en-GB"/>
        </w:rPr>
        <w:t xml:space="preserve">commentary </w:t>
      </w:r>
      <w:r w:rsidRPr="000323FF">
        <w:rPr>
          <w:rFonts w:eastAsia="Helvetica" w:cs="Helvetica"/>
          <w:lang w:val="en-GB"/>
        </w:rPr>
        <w:t>further highlight</w:t>
      </w:r>
      <w:r w:rsidR="00975E60">
        <w:rPr>
          <w:rFonts w:eastAsia="Helvetica" w:cs="Helvetica"/>
          <w:lang w:val="en-GB"/>
        </w:rPr>
        <w:t>ed</w:t>
      </w:r>
      <w:r w:rsidRPr="000323FF">
        <w:rPr>
          <w:rFonts w:eastAsia="Helvetica" w:cs="Helvetica"/>
          <w:lang w:val="en-GB"/>
        </w:rPr>
        <w:t xml:space="preserve"> several unobservable differences in prognostic factors that should be considered </w:t>
      </w:r>
      <w:r w:rsidR="00975E60">
        <w:rPr>
          <w:rFonts w:eastAsia="Helvetica" w:cs="Helvetica"/>
          <w:lang w:val="en-GB"/>
        </w:rPr>
        <w:t>when</w:t>
      </w:r>
      <w:r w:rsidRPr="000323FF">
        <w:rPr>
          <w:rFonts w:eastAsia="Helvetica" w:cs="Helvetica"/>
          <w:lang w:val="en-GB"/>
        </w:rPr>
        <w:t xml:space="preserve"> </w:t>
      </w:r>
      <w:r>
        <w:rPr>
          <w:rFonts w:eastAsia="Helvetica" w:cs="Helvetica"/>
          <w:lang w:val="en-GB"/>
        </w:rPr>
        <w:t>assessing</w:t>
      </w:r>
      <w:r w:rsidRPr="000323FF">
        <w:rPr>
          <w:rFonts w:eastAsia="Helvetica" w:cs="Helvetica"/>
          <w:lang w:val="en-GB"/>
        </w:rPr>
        <w:t xml:space="preserve"> bias in an unanchored indirect treatment comparison.</w:t>
      </w:r>
    </w:p>
    <w:p w14:paraId="5F42CFC0" w14:textId="2752E9CF" w:rsidR="00206CE1" w:rsidRDefault="00206CE1" w:rsidP="00206CE1">
      <w:pPr>
        <w:spacing w:line="276" w:lineRule="auto"/>
        <w:rPr>
          <w:rFonts w:eastAsia="Helvetica" w:cs="Helvetica"/>
          <w:lang w:val="en-GB"/>
        </w:rPr>
      </w:pPr>
      <w:r w:rsidRPr="000323FF">
        <w:rPr>
          <w:rFonts w:eastAsia="Helvetica" w:cs="Helvetica"/>
          <w:lang w:val="en-GB"/>
        </w:rPr>
        <w:t xml:space="preserve">The </w:t>
      </w:r>
      <w:r w:rsidR="00B246CD">
        <w:rPr>
          <w:rFonts w:eastAsia="Helvetica" w:cs="Helvetica"/>
          <w:lang w:val="en-GB"/>
        </w:rPr>
        <w:t>commentary</w:t>
      </w:r>
      <w:r w:rsidRPr="000323FF">
        <w:rPr>
          <w:rFonts w:eastAsia="Helvetica" w:cs="Helvetica"/>
          <w:lang w:val="en-GB"/>
        </w:rPr>
        <w:t xml:space="preserve"> </w:t>
      </w:r>
      <w:r w:rsidRPr="00341893">
        <w:rPr>
          <w:rFonts w:eastAsia="Helvetica" w:cs="Helvetica"/>
          <w:lang w:val="en-GB"/>
        </w:rPr>
        <w:t>consider</w:t>
      </w:r>
      <w:r w:rsidR="00875D1C">
        <w:rPr>
          <w:rFonts w:eastAsia="Helvetica" w:cs="Helvetica"/>
          <w:lang w:val="en-GB"/>
        </w:rPr>
        <w:t>ed</w:t>
      </w:r>
      <w:r w:rsidRPr="00341893">
        <w:rPr>
          <w:rFonts w:eastAsia="Helvetica" w:cs="Helvetica"/>
          <w:lang w:val="en-GB"/>
        </w:rPr>
        <w:t xml:space="preserve"> the evidence for comparative clinical effectiveness to be at high risk of bias due to residual confounding, equivalent to evidence from observational studies </w:t>
      </w:r>
      <w:r w:rsidRPr="000323FF">
        <w:rPr>
          <w:rFonts w:eastAsia="Helvetica" w:cs="Helvetica"/>
          <w:lang w:val="en-GB"/>
        </w:rPr>
        <w:t>typically assessed as low quality (GRADE criteria).</w:t>
      </w:r>
    </w:p>
    <w:p w14:paraId="606C354F" w14:textId="18452229" w:rsidR="00024436" w:rsidRDefault="00024436" w:rsidP="00206CE1">
      <w:pPr>
        <w:spacing w:line="276" w:lineRule="auto"/>
        <w:rPr>
          <w:rFonts w:eastAsia="Helvetica" w:cs="Helvetica"/>
          <w:lang w:val="en-GB"/>
        </w:rPr>
      </w:pPr>
      <w:r>
        <w:rPr>
          <w:rFonts w:eastAsia="Helvetica" w:cs="Helvetica"/>
          <w:lang w:val="en-GB"/>
        </w:rPr>
        <w:t>In its pre-ESC response</w:t>
      </w:r>
      <w:r w:rsidR="0008730E">
        <w:rPr>
          <w:rFonts w:eastAsia="Helvetica" w:cs="Helvetica"/>
          <w:lang w:val="en-GB"/>
        </w:rPr>
        <w:t xml:space="preserve">, the applicant </w:t>
      </w:r>
      <w:r>
        <w:rPr>
          <w:rFonts w:eastAsia="Helvetica" w:cs="Helvetica"/>
          <w:lang w:val="en-GB"/>
        </w:rPr>
        <w:t xml:space="preserve">reiterated </w:t>
      </w:r>
      <w:r w:rsidR="0008730E">
        <w:rPr>
          <w:rFonts w:eastAsia="Helvetica" w:cs="Helvetica"/>
          <w:lang w:val="en-GB"/>
        </w:rPr>
        <w:t>that i</w:t>
      </w:r>
      <w:r w:rsidRPr="00024436">
        <w:rPr>
          <w:rFonts w:eastAsia="Helvetica" w:cs="Helvetica"/>
          <w:lang w:val="en-GB"/>
        </w:rPr>
        <w:t xml:space="preserve">mlifidase demonstrated efficacy in all patients for which the appropriate dose was provided per the licensed indication, regardless of patient characteristics including ethnicity, level of </w:t>
      </w:r>
      <w:proofErr w:type="spellStart"/>
      <w:r w:rsidRPr="00024436">
        <w:rPr>
          <w:rFonts w:eastAsia="Helvetica" w:cs="Helvetica"/>
          <w:lang w:val="en-GB"/>
        </w:rPr>
        <w:t>cPRA</w:t>
      </w:r>
      <w:proofErr w:type="spellEnd"/>
      <w:r w:rsidRPr="00024436">
        <w:rPr>
          <w:rFonts w:eastAsia="Helvetica" w:cs="Helvetica"/>
          <w:lang w:val="en-GB"/>
        </w:rPr>
        <w:t>, and age.</w:t>
      </w:r>
      <w:r w:rsidR="0008730E">
        <w:rPr>
          <w:rFonts w:eastAsia="Helvetica" w:cs="Helvetica"/>
          <w:lang w:val="en-GB"/>
        </w:rPr>
        <w:t xml:space="preserve"> The pre-ESC response also argued that c</w:t>
      </w:r>
      <w:r w:rsidRPr="00024436">
        <w:rPr>
          <w:rFonts w:eastAsia="Helvetica" w:cs="Helvetica"/>
          <w:lang w:val="en-GB"/>
        </w:rPr>
        <w:t xml:space="preserve">omorbidities, duration of dialysis, and retransplant rate parameters specifically highlighted by the </w:t>
      </w:r>
      <w:r w:rsidR="0008730E">
        <w:rPr>
          <w:rFonts w:eastAsia="Helvetica" w:cs="Helvetica"/>
          <w:lang w:val="en-GB"/>
        </w:rPr>
        <w:t>commentary</w:t>
      </w:r>
      <w:r w:rsidRPr="00024436">
        <w:rPr>
          <w:rFonts w:eastAsia="Helvetica" w:cs="Helvetica"/>
          <w:lang w:val="en-GB"/>
        </w:rPr>
        <w:t xml:space="preserve"> have no impact on the crossmatch conversion with imlifidase</w:t>
      </w:r>
      <w:r w:rsidR="001A0EC0">
        <w:rPr>
          <w:rFonts w:eastAsia="Helvetica" w:cs="Helvetica"/>
          <w:lang w:val="en-GB"/>
        </w:rPr>
        <w:t xml:space="preserve"> and that </w:t>
      </w:r>
      <w:r w:rsidR="001A0EC0" w:rsidRPr="001A0EC0">
        <w:rPr>
          <w:rFonts w:eastAsia="Helvetica" w:cs="Helvetica"/>
          <w:lang w:val="en-GB"/>
        </w:rPr>
        <w:t>the differences in these parameters bias the result toward a more conservative estimate of imlifidase transplant outcomes</w:t>
      </w:r>
      <w:r w:rsidRPr="00024436">
        <w:rPr>
          <w:rFonts w:eastAsia="Helvetica" w:cs="Helvetica"/>
          <w:lang w:val="en-GB"/>
        </w:rPr>
        <w:t>.</w:t>
      </w:r>
      <w:r w:rsidR="00700C91">
        <w:rPr>
          <w:rFonts w:eastAsia="Helvetica" w:cs="Helvetica"/>
          <w:lang w:val="en-GB"/>
        </w:rPr>
        <w:t xml:space="preserve"> However the assessment group </w:t>
      </w:r>
      <w:r w:rsidR="00803340">
        <w:rPr>
          <w:rFonts w:eastAsia="Helvetica" w:cs="Helvetica"/>
          <w:lang w:val="en-GB"/>
        </w:rPr>
        <w:t xml:space="preserve">maintained that </w:t>
      </w:r>
      <w:r w:rsidR="00DA4D82">
        <w:rPr>
          <w:rFonts w:eastAsia="Helvetica" w:cs="Helvetica"/>
          <w:lang w:val="en-GB"/>
        </w:rPr>
        <w:t>a</w:t>
      </w:r>
      <w:r w:rsidR="00DA4D82" w:rsidRPr="00DA4D82">
        <w:rPr>
          <w:rFonts w:eastAsia="Helvetica" w:cs="Helvetica"/>
          <w:lang w:val="en-GB"/>
        </w:rPr>
        <w:t>lthough the treatment effect of imlifidase may be consistent across these population groups,</w:t>
      </w:r>
      <w:r w:rsidR="00F07A10" w:rsidRPr="00F07A10">
        <w:t xml:space="preserve"> </w:t>
      </w:r>
      <w:r w:rsidR="00F07A10" w:rsidRPr="00F07A10">
        <w:rPr>
          <w:rFonts w:eastAsia="Helvetica" w:cs="Helvetica"/>
          <w:lang w:val="en-GB"/>
        </w:rPr>
        <w:t>differences in prognostic characteristics (both observed and unobserved) have the potential to confound the comparison, even if they are not treatment effect modifiers, as the underlying risk in each population is different</w:t>
      </w:r>
      <w:r w:rsidR="003840BA">
        <w:rPr>
          <w:rFonts w:eastAsia="Helvetica" w:cs="Helvetica"/>
          <w:lang w:val="en-GB"/>
        </w:rPr>
        <w:t xml:space="preserve"> and that therefore </w:t>
      </w:r>
      <w:r w:rsidR="00107160">
        <w:rPr>
          <w:rFonts w:eastAsia="Helvetica" w:cs="Helvetica"/>
          <w:lang w:val="en-GB"/>
        </w:rPr>
        <w:t xml:space="preserve">significant uncertainties with the ITC remained. </w:t>
      </w:r>
    </w:p>
    <w:p w14:paraId="16655C31" w14:textId="0734EDB1" w:rsidR="00206CE1" w:rsidRPr="00595711" w:rsidRDefault="00595711" w:rsidP="00E76072">
      <w:pPr>
        <w:pStyle w:val="Heading3"/>
      </w:pPr>
      <w:r w:rsidRPr="00595711">
        <w:t xml:space="preserve">Clinically important outcomes </w:t>
      </w:r>
    </w:p>
    <w:p w14:paraId="6EA7E5A3" w14:textId="2787FFF6" w:rsidR="00A17966" w:rsidRPr="00A17966" w:rsidRDefault="00E94049" w:rsidP="006F0D1A">
      <w:pPr>
        <w:autoSpaceDE w:val="0"/>
        <w:autoSpaceDN w:val="0"/>
        <w:adjustRightInd w:val="0"/>
        <w:spacing w:before="0"/>
      </w:pPr>
      <w:r w:rsidRPr="00D158A8">
        <w:t xml:space="preserve">The </w:t>
      </w:r>
      <w:r w:rsidR="00676525">
        <w:t>ADAR</w:t>
      </w:r>
      <w:r w:rsidRPr="00D158A8">
        <w:t xml:space="preserve"> presents</w:t>
      </w:r>
      <w:r w:rsidR="00255DED" w:rsidRPr="00D158A8">
        <w:t xml:space="preserve"> </w:t>
      </w:r>
      <w:r w:rsidR="00875D1C">
        <w:t>i</w:t>
      </w:r>
      <w:r w:rsidR="00255DED" w:rsidRPr="00D158A8">
        <w:t xml:space="preserve">mlifidase clinical trial data for multiple populations including the UTT population (PICO DD only; N=25), </w:t>
      </w:r>
      <w:r w:rsidR="00623120">
        <w:t xml:space="preserve">the </w:t>
      </w:r>
      <w:r w:rsidR="0087338B" w:rsidRPr="00D158A8">
        <w:t>UTT</w:t>
      </w:r>
      <w:r w:rsidR="00D55AE1">
        <w:t>–a</w:t>
      </w:r>
      <w:r w:rsidR="0087338B" w:rsidRPr="00D158A8">
        <w:t>gnostic to donor population (N=30)</w:t>
      </w:r>
      <w:r w:rsidR="0087338B">
        <w:t xml:space="preserve">, </w:t>
      </w:r>
      <w:r w:rsidR="00255DED" w:rsidRPr="00D158A8">
        <w:t xml:space="preserve">the </w:t>
      </w:r>
      <w:r w:rsidR="007D2488">
        <w:t>a</w:t>
      </w:r>
      <w:r w:rsidR="00255DED" w:rsidRPr="00D158A8">
        <w:t xml:space="preserve">ll-transplanted population (N=46) and the </w:t>
      </w:r>
      <w:r w:rsidR="00194E26">
        <w:t>a</w:t>
      </w:r>
      <w:r w:rsidR="00255DED" w:rsidRPr="00D158A8">
        <w:t xml:space="preserve">ll-imlifidase safety </w:t>
      </w:r>
      <w:r w:rsidR="00D47E2C">
        <w:t>data</w:t>
      </w:r>
      <w:r w:rsidR="00255DED" w:rsidRPr="00D158A8">
        <w:t xml:space="preserve">set (N=54) to provide comprehensive outcomes assessment. </w:t>
      </w:r>
    </w:p>
    <w:p w14:paraId="379A05F9" w14:textId="1E83DCB5" w:rsidR="00093728" w:rsidRPr="00A17966" w:rsidRDefault="00B8310D" w:rsidP="00BC0F33">
      <w:pPr>
        <w:pStyle w:val="BodyText"/>
        <w:spacing w:before="40" w:after="40" w:line="240" w:lineRule="auto"/>
        <w:rPr>
          <w:lang w:val="en-AU"/>
        </w:rPr>
      </w:pPr>
      <w:r>
        <w:rPr>
          <w:lang w:val="en-AU"/>
        </w:rPr>
        <w:t xml:space="preserve">The </w:t>
      </w:r>
      <w:r w:rsidR="00676525">
        <w:rPr>
          <w:lang w:val="en-AU"/>
        </w:rPr>
        <w:t>ADAR</w:t>
      </w:r>
      <w:r>
        <w:rPr>
          <w:lang w:val="en-AU"/>
        </w:rPr>
        <w:t xml:space="preserve"> identifies data on the </w:t>
      </w:r>
      <w:r w:rsidRPr="00B8310D">
        <w:rPr>
          <w:lang w:val="en-AU"/>
        </w:rPr>
        <w:t xml:space="preserve">achievement of </w:t>
      </w:r>
      <w:proofErr w:type="spellStart"/>
      <w:r w:rsidRPr="00B8310D">
        <w:rPr>
          <w:lang w:val="en-AU"/>
        </w:rPr>
        <w:t>transplantability</w:t>
      </w:r>
      <w:proofErr w:type="spellEnd"/>
      <w:r w:rsidRPr="00B8310D">
        <w:rPr>
          <w:lang w:val="en-AU"/>
        </w:rPr>
        <w:t xml:space="preserve"> in sensiti</w:t>
      </w:r>
      <w:r>
        <w:rPr>
          <w:lang w:val="en-AU"/>
        </w:rPr>
        <w:t>s</w:t>
      </w:r>
      <w:r w:rsidRPr="00B8310D">
        <w:rPr>
          <w:lang w:val="en-AU"/>
        </w:rPr>
        <w:t>ed patients</w:t>
      </w:r>
      <w:r w:rsidR="00ED2678">
        <w:rPr>
          <w:lang w:val="en-AU"/>
        </w:rPr>
        <w:t>;</w:t>
      </w:r>
      <w:r w:rsidRPr="00B8310D">
        <w:rPr>
          <w:lang w:val="en-AU"/>
        </w:rPr>
        <w:t xml:space="preserve"> graft survival, graft function and patient survival after transplantation are deemed the most clinically significant outcome parameters</w:t>
      </w:r>
      <w:r w:rsidR="009B7EFD">
        <w:rPr>
          <w:lang w:val="en-AU"/>
        </w:rPr>
        <w:t xml:space="preserve">. </w:t>
      </w:r>
      <w:r w:rsidRPr="00B8310D">
        <w:rPr>
          <w:lang w:val="en-AU"/>
        </w:rPr>
        <w:t xml:space="preserve"> These outcomes have been recogni</w:t>
      </w:r>
      <w:r>
        <w:rPr>
          <w:lang w:val="en-AU"/>
        </w:rPr>
        <w:t>s</w:t>
      </w:r>
      <w:r w:rsidRPr="00B8310D">
        <w:rPr>
          <w:lang w:val="en-AU"/>
        </w:rPr>
        <w:t>ed in the approved PICO and are featured as key clinically relevant outcomes in this section, along with other outcomes of interest identified by the PICO.</w:t>
      </w:r>
      <w:r>
        <w:rPr>
          <w:lang w:val="en-AU"/>
        </w:rPr>
        <w:t xml:space="preserve"> Each key outcome is discussed below.</w:t>
      </w:r>
    </w:p>
    <w:p w14:paraId="46184BDB" w14:textId="77777777" w:rsidR="00CA7B4F" w:rsidRPr="00465751" w:rsidRDefault="00CA7B4F" w:rsidP="00E76072">
      <w:pPr>
        <w:pStyle w:val="Heading4"/>
      </w:pPr>
      <w:r w:rsidRPr="00465751">
        <w:t>1: Crossmatch conversion and DSA elimination</w:t>
      </w:r>
    </w:p>
    <w:p w14:paraId="3100B7BF" w14:textId="77777777" w:rsidR="00E321DE" w:rsidRDefault="00A154C9" w:rsidP="00465751">
      <w:pPr>
        <w:pStyle w:val="BodyText"/>
        <w:spacing w:before="40" w:line="240" w:lineRule="auto"/>
        <w:rPr>
          <w:lang w:val="en-AU"/>
        </w:rPr>
      </w:pPr>
      <w:r w:rsidRPr="00A154C9">
        <w:rPr>
          <w:lang w:val="en-AU"/>
        </w:rPr>
        <w:t>Crossmatch conversion was a</w:t>
      </w:r>
      <w:r w:rsidR="009A0656">
        <w:rPr>
          <w:lang w:val="en-AU"/>
        </w:rPr>
        <w:t xml:space="preserve">n important </w:t>
      </w:r>
      <w:r w:rsidRPr="00A154C9">
        <w:rPr>
          <w:lang w:val="en-AU"/>
        </w:rPr>
        <w:t>outcome in the clinical trials of imlifidase</w:t>
      </w:r>
      <w:r w:rsidR="0086586E">
        <w:rPr>
          <w:lang w:val="en-AU"/>
        </w:rPr>
        <w:t>.</w:t>
      </w:r>
      <w:r w:rsidRPr="00A154C9">
        <w:rPr>
          <w:lang w:val="en-AU"/>
        </w:rPr>
        <w:t xml:space="preserve"> </w:t>
      </w:r>
      <w:r w:rsidR="009D145B" w:rsidRPr="00D158A8">
        <w:rPr>
          <w:lang w:val="en-AU"/>
        </w:rPr>
        <w:t xml:space="preserve">In the UTT and UTT-A patient </w:t>
      </w:r>
      <w:r w:rsidR="009D145B">
        <w:rPr>
          <w:lang w:val="en-AU"/>
        </w:rPr>
        <w:t>subpopulations,</w:t>
      </w:r>
      <w:r w:rsidR="009D145B" w:rsidRPr="00D158A8">
        <w:rPr>
          <w:lang w:val="en-AU"/>
        </w:rPr>
        <w:t xml:space="preserve"> all dosed patients were rapidly and successfully converted to a negative crossmatch, allowing transplantation to occur</w:t>
      </w:r>
      <w:r w:rsidR="00A77679">
        <w:rPr>
          <w:lang w:val="en-AU"/>
        </w:rPr>
        <w:t xml:space="preserve"> in all patients</w:t>
      </w:r>
      <w:r w:rsidR="009D145B" w:rsidRPr="00D158A8">
        <w:rPr>
          <w:lang w:val="en-AU"/>
        </w:rPr>
        <w:t>.</w:t>
      </w:r>
    </w:p>
    <w:p w14:paraId="3560CF69" w14:textId="31197CB7" w:rsidR="00465751" w:rsidRPr="00DD0114" w:rsidRDefault="008A5E99" w:rsidP="00DD0114">
      <w:pPr>
        <w:pStyle w:val="BodyText"/>
        <w:spacing w:before="40" w:after="40" w:line="240" w:lineRule="auto"/>
        <w:rPr>
          <w:lang w:val="en-AU"/>
        </w:rPr>
      </w:pPr>
      <w:r w:rsidRPr="008A5E99">
        <w:rPr>
          <w:lang w:val="en-AU"/>
        </w:rPr>
        <w:t xml:space="preserve">Data on DSA levels </w:t>
      </w:r>
      <w:r w:rsidR="006B43E5">
        <w:rPr>
          <w:lang w:val="en-AU"/>
        </w:rPr>
        <w:t xml:space="preserve">from </w:t>
      </w:r>
      <w:r w:rsidRPr="008A5E99">
        <w:rPr>
          <w:lang w:val="en-AU"/>
        </w:rPr>
        <w:t xml:space="preserve">study 15-HMedIdeS-06 shows </w:t>
      </w:r>
      <w:r w:rsidR="00FC3D51">
        <w:rPr>
          <w:lang w:val="en-AU"/>
        </w:rPr>
        <w:t xml:space="preserve">that </w:t>
      </w:r>
      <w:r w:rsidR="009E1CE2" w:rsidRPr="008A5E99">
        <w:rPr>
          <w:lang w:val="en-AU"/>
        </w:rPr>
        <w:t>despite similar DSA levels before transplantation</w:t>
      </w:r>
      <w:r w:rsidR="009E1CE2">
        <w:rPr>
          <w:lang w:val="en-AU"/>
        </w:rPr>
        <w:t>,</w:t>
      </w:r>
      <w:r w:rsidR="00FC3D51">
        <w:rPr>
          <w:lang w:val="en-AU"/>
        </w:rPr>
        <w:t xml:space="preserve"> US patients </w:t>
      </w:r>
      <w:r w:rsidR="00A24170">
        <w:rPr>
          <w:lang w:val="en-AU"/>
        </w:rPr>
        <w:t xml:space="preserve">experienced a </w:t>
      </w:r>
      <w:r w:rsidR="00A24170" w:rsidRPr="008A5E99">
        <w:rPr>
          <w:lang w:val="en-AU"/>
        </w:rPr>
        <w:t>significant reduction in post-transplantation</w:t>
      </w:r>
      <w:r w:rsidR="009B1E95">
        <w:rPr>
          <w:lang w:val="en-AU"/>
        </w:rPr>
        <w:t xml:space="preserve"> </w:t>
      </w:r>
      <w:r w:rsidR="009B1E95" w:rsidRPr="008A5E99">
        <w:rPr>
          <w:lang w:val="en-AU"/>
        </w:rPr>
        <w:t>DSA</w:t>
      </w:r>
      <w:r w:rsidR="00116529">
        <w:rPr>
          <w:lang w:val="en-AU"/>
        </w:rPr>
        <w:t xml:space="preserve"> compared to the Swedish population</w:t>
      </w:r>
      <w:r w:rsidR="00A24170">
        <w:rPr>
          <w:lang w:val="en-AU"/>
        </w:rPr>
        <w:t xml:space="preserve">. </w:t>
      </w:r>
      <w:r w:rsidR="00A24170" w:rsidRPr="008A5E99">
        <w:rPr>
          <w:lang w:val="en-AU"/>
        </w:rPr>
        <w:t xml:space="preserve">This was explained as being likely due to the use of </w:t>
      </w:r>
      <w:r w:rsidR="00677773">
        <w:rPr>
          <w:lang w:val="en-AU"/>
        </w:rPr>
        <w:t>intravenous immunoglobulin</w:t>
      </w:r>
      <w:r w:rsidR="00A24170" w:rsidRPr="008A5E99">
        <w:rPr>
          <w:lang w:val="en-AU"/>
        </w:rPr>
        <w:t xml:space="preserve"> and rituximab in US patients before and after transplantation</w:t>
      </w:r>
      <w:r w:rsidR="00233078">
        <w:rPr>
          <w:lang w:val="en-AU"/>
        </w:rPr>
        <w:t>.</w:t>
      </w:r>
      <w:r w:rsidR="00510E8C">
        <w:rPr>
          <w:rStyle w:val="FootnoteReference"/>
          <w:lang w:val="en-AU"/>
        </w:rPr>
        <w:footnoteReference w:id="3"/>
      </w:r>
      <w:r w:rsidR="006E4308">
        <w:rPr>
          <w:lang w:val="en-AU"/>
        </w:rPr>
        <w:t xml:space="preserve"> </w:t>
      </w:r>
      <w:r w:rsidR="001A14C7">
        <w:rPr>
          <w:lang w:val="en-AU"/>
        </w:rPr>
        <w:t xml:space="preserve">The </w:t>
      </w:r>
      <w:r w:rsidR="003F12A0">
        <w:rPr>
          <w:lang w:val="en-AU"/>
        </w:rPr>
        <w:t>commentary</w:t>
      </w:r>
      <w:r w:rsidR="001A14C7">
        <w:rPr>
          <w:lang w:val="en-AU"/>
        </w:rPr>
        <w:t xml:space="preserve"> noted that t</w:t>
      </w:r>
      <w:r w:rsidR="009E1CE2">
        <w:rPr>
          <w:lang w:val="en-AU"/>
        </w:rPr>
        <w:t xml:space="preserve">his difference in </w:t>
      </w:r>
      <w:r w:rsidR="00DE337C">
        <w:rPr>
          <w:lang w:val="en-AU"/>
        </w:rPr>
        <w:t>standard of care post-</w:t>
      </w:r>
      <w:r w:rsidR="00AC5674" w:rsidRPr="00AC5674">
        <w:rPr>
          <w:lang w:val="en-AU"/>
        </w:rPr>
        <w:t>transplantation</w:t>
      </w:r>
      <w:r w:rsidR="00DE337C">
        <w:rPr>
          <w:lang w:val="en-AU"/>
        </w:rPr>
        <w:t xml:space="preserve"> </w:t>
      </w:r>
      <w:r w:rsidR="00647ED4">
        <w:rPr>
          <w:lang w:val="en-AU"/>
        </w:rPr>
        <w:t>(</w:t>
      </w:r>
      <w:r w:rsidR="001F2E52">
        <w:rPr>
          <w:lang w:val="en-AU"/>
        </w:rPr>
        <w:t xml:space="preserve">use of </w:t>
      </w:r>
      <w:r w:rsidR="00677773">
        <w:rPr>
          <w:lang w:val="en-AU"/>
        </w:rPr>
        <w:t>intravenous immunoglobulin</w:t>
      </w:r>
      <w:r w:rsidR="00677773" w:rsidRPr="008A5E99">
        <w:rPr>
          <w:lang w:val="en-AU"/>
        </w:rPr>
        <w:t xml:space="preserve"> </w:t>
      </w:r>
      <w:r w:rsidR="001F2E52" w:rsidRPr="008A5E99">
        <w:rPr>
          <w:lang w:val="en-AU"/>
        </w:rPr>
        <w:t>and rituximab</w:t>
      </w:r>
      <w:r w:rsidR="00647ED4">
        <w:rPr>
          <w:lang w:val="en-AU"/>
        </w:rPr>
        <w:t>)</w:t>
      </w:r>
      <w:r w:rsidR="001F2E52">
        <w:rPr>
          <w:lang w:val="en-AU"/>
        </w:rPr>
        <w:t xml:space="preserve"> </w:t>
      </w:r>
      <w:r w:rsidR="00A67194">
        <w:rPr>
          <w:lang w:val="en-AU"/>
        </w:rPr>
        <w:t>might</w:t>
      </w:r>
      <w:r w:rsidR="001F2E52">
        <w:rPr>
          <w:lang w:val="en-AU"/>
        </w:rPr>
        <w:t xml:space="preserve"> lead to a bias in the assumed efficacy of </w:t>
      </w:r>
      <w:r w:rsidR="001F2E52" w:rsidRPr="008A5E99">
        <w:rPr>
          <w:lang w:val="en-AU"/>
        </w:rPr>
        <w:t>imlifidase</w:t>
      </w:r>
      <w:r w:rsidR="001F2E52">
        <w:rPr>
          <w:lang w:val="en-AU"/>
        </w:rPr>
        <w:t>.</w:t>
      </w:r>
      <w:r w:rsidR="000443FC">
        <w:rPr>
          <w:lang w:val="en-AU"/>
        </w:rPr>
        <w:t xml:space="preserve"> </w:t>
      </w:r>
      <w:r w:rsidR="00171206" w:rsidRPr="00BC6A5D">
        <w:rPr>
          <w:lang w:val="en-AU"/>
        </w:rPr>
        <w:t xml:space="preserve">In </w:t>
      </w:r>
      <w:r w:rsidR="006313C2" w:rsidRPr="00BC6A5D">
        <w:rPr>
          <w:lang w:val="en-AU"/>
        </w:rPr>
        <w:t>both studies</w:t>
      </w:r>
      <w:r w:rsidR="00511B5F">
        <w:rPr>
          <w:lang w:val="en-AU"/>
        </w:rPr>
        <w:t xml:space="preserve"> (</w:t>
      </w:r>
      <w:r w:rsidR="00171206" w:rsidRPr="00BC6A5D">
        <w:rPr>
          <w:lang w:val="en-AU"/>
        </w:rPr>
        <w:t xml:space="preserve">13-HMedIdeS-02 </w:t>
      </w:r>
      <w:r w:rsidR="006313C2" w:rsidRPr="00BC6A5D">
        <w:rPr>
          <w:lang w:val="en-AU"/>
        </w:rPr>
        <w:t>and 13-HMedIdeS-03</w:t>
      </w:r>
      <w:r w:rsidR="00511B5F">
        <w:rPr>
          <w:lang w:val="en-AU"/>
        </w:rPr>
        <w:t>)</w:t>
      </w:r>
      <w:r w:rsidR="006313C2" w:rsidRPr="00BC6A5D">
        <w:rPr>
          <w:lang w:val="en-AU"/>
        </w:rPr>
        <w:t xml:space="preserve"> </w:t>
      </w:r>
      <w:r w:rsidR="00171206" w:rsidRPr="00BC6A5D">
        <w:rPr>
          <w:lang w:val="en-AU"/>
        </w:rPr>
        <w:t xml:space="preserve">all patients </w:t>
      </w:r>
      <w:r w:rsidR="00761272" w:rsidRPr="00BC6A5D">
        <w:rPr>
          <w:lang w:val="en-AU"/>
        </w:rPr>
        <w:t>displayed</w:t>
      </w:r>
      <w:r w:rsidR="00761272">
        <w:rPr>
          <w:lang w:val="en-AU"/>
        </w:rPr>
        <w:t xml:space="preserve"> a</w:t>
      </w:r>
      <w:r w:rsidR="00171206" w:rsidRPr="00BC6A5D">
        <w:rPr>
          <w:lang w:val="en-AU"/>
        </w:rPr>
        <w:t xml:space="preserve"> </w:t>
      </w:r>
      <w:r w:rsidR="006313C2" w:rsidRPr="00BC6A5D">
        <w:rPr>
          <w:lang w:val="en-AU"/>
        </w:rPr>
        <w:t xml:space="preserve">rapid </w:t>
      </w:r>
      <w:r w:rsidR="00345E4C" w:rsidRPr="00BC6A5D">
        <w:rPr>
          <w:lang w:val="en-AU"/>
        </w:rPr>
        <w:t>reduction of both B- and T-cell</w:t>
      </w:r>
      <w:r w:rsidR="00C62A20">
        <w:rPr>
          <w:lang w:val="en-AU"/>
        </w:rPr>
        <w:t xml:space="preserve"> panel reactive antibody</w:t>
      </w:r>
      <w:r w:rsidR="00345E4C" w:rsidRPr="00BC6A5D">
        <w:rPr>
          <w:lang w:val="en-AU"/>
        </w:rPr>
        <w:t xml:space="preserve"> </w:t>
      </w:r>
      <w:r w:rsidR="00C62A20">
        <w:rPr>
          <w:lang w:val="en-AU"/>
        </w:rPr>
        <w:t>(</w:t>
      </w:r>
      <w:r w:rsidR="00345E4C" w:rsidRPr="00BC6A5D">
        <w:rPr>
          <w:lang w:val="en-AU"/>
        </w:rPr>
        <w:t>PRA</w:t>
      </w:r>
      <w:r w:rsidR="00C62A20">
        <w:rPr>
          <w:lang w:val="en-AU"/>
        </w:rPr>
        <w:t>)</w:t>
      </w:r>
      <w:r w:rsidR="00345E4C" w:rsidRPr="00BC6A5D">
        <w:rPr>
          <w:lang w:val="en-AU"/>
        </w:rPr>
        <w:t xml:space="preserve"> levels</w:t>
      </w:r>
      <w:r w:rsidR="005C11BA">
        <w:rPr>
          <w:lang w:val="en-AU"/>
        </w:rPr>
        <w:t>; h</w:t>
      </w:r>
      <w:r w:rsidR="00D667B6" w:rsidRPr="00BC6A5D">
        <w:rPr>
          <w:lang w:val="en-AU"/>
        </w:rPr>
        <w:t>owever, there was large individual variation in the rate of PRA recovery</w:t>
      </w:r>
      <w:r w:rsidR="002F0B95" w:rsidRPr="00BC6A5D">
        <w:rPr>
          <w:lang w:val="en-AU"/>
        </w:rPr>
        <w:t>.</w:t>
      </w:r>
      <w:bookmarkStart w:id="18" w:name="_Toc126683987"/>
      <w:bookmarkStart w:id="19" w:name="_Toc126741300"/>
      <w:r w:rsidR="00BC6A5D">
        <w:rPr>
          <w:lang w:val="en-AU"/>
        </w:rPr>
        <w:t xml:space="preserve"> </w:t>
      </w:r>
    </w:p>
    <w:p w14:paraId="56F98546" w14:textId="06534447" w:rsidR="00FC6A71" w:rsidRPr="00465751" w:rsidRDefault="00FC6A71" w:rsidP="00E76072">
      <w:pPr>
        <w:pStyle w:val="Heading4"/>
      </w:pPr>
      <w:r w:rsidRPr="00465751">
        <w:t xml:space="preserve">2: Proportion of patients with </w:t>
      </w:r>
      <w:proofErr w:type="spellStart"/>
      <w:r w:rsidRPr="00465751">
        <w:t>cPRA</w:t>
      </w:r>
      <w:proofErr w:type="spellEnd"/>
      <w:r w:rsidRPr="00465751">
        <w:t xml:space="preserve"> </w:t>
      </w:r>
      <w:r w:rsidRPr="00465751">
        <w:rPr>
          <w:rFonts w:hint="eastAsia"/>
        </w:rPr>
        <w:t>≥</w:t>
      </w:r>
      <w:r w:rsidRPr="00465751">
        <w:t>95% who received a transplant</w:t>
      </w:r>
      <w:bookmarkEnd w:id="18"/>
      <w:bookmarkEnd w:id="19"/>
    </w:p>
    <w:p w14:paraId="70FD6167" w14:textId="0BE52499" w:rsidR="006F0D1A" w:rsidRPr="006F0D1A" w:rsidRDefault="00CA7B4F" w:rsidP="00DD0114">
      <w:pPr>
        <w:autoSpaceDE w:val="0"/>
        <w:autoSpaceDN w:val="0"/>
        <w:adjustRightInd w:val="0"/>
        <w:spacing w:after="0"/>
      </w:pPr>
      <w:r>
        <w:t>The</w:t>
      </w:r>
      <w:r w:rsidR="00A90CDC">
        <w:t xml:space="preserve"> </w:t>
      </w:r>
      <w:r w:rsidR="00676525">
        <w:t>ADAR</w:t>
      </w:r>
      <w:r w:rsidR="00A90CDC">
        <w:t xml:space="preserve"> </w:t>
      </w:r>
      <w:r w:rsidR="00CC4EC4">
        <w:t>use</w:t>
      </w:r>
      <w:r w:rsidR="000A7316">
        <w:t xml:space="preserve">s </w:t>
      </w:r>
      <w:r w:rsidR="007553FC">
        <w:t xml:space="preserve">a </w:t>
      </w:r>
      <w:r w:rsidR="0029466A">
        <w:t>patient</w:t>
      </w:r>
      <w:r w:rsidR="007553FC">
        <w:t>’s</w:t>
      </w:r>
      <w:r w:rsidR="000A7316">
        <w:t xml:space="preserve"> </w:t>
      </w:r>
      <w:r w:rsidR="00CC4EC4">
        <w:t>a</w:t>
      </w:r>
      <w:r w:rsidR="00CC4EC4" w:rsidRPr="00CC4EC4">
        <w:t>nti-HLA antibody profile</w:t>
      </w:r>
      <w:r w:rsidR="00EB5A2D">
        <w:t xml:space="preserve"> and data from the </w:t>
      </w:r>
      <w:proofErr w:type="spellStart"/>
      <w:r w:rsidR="00EB5A2D">
        <w:t>Eurotransplant</w:t>
      </w:r>
      <w:proofErr w:type="spellEnd"/>
      <w:r w:rsidR="00EB5A2D">
        <w:t xml:space="preserve"> data</w:t>
      </w:r>
      <w:r w:rsidR="000449C0">
        <w:t>base</w:t>
      </w:r>
      <w:r w:rsidR="00CC4EC4" w:rsidRPr="00CC4EC4">
        <w:t xml:space="preserve"> to estimate the likelihood</w:t>
      </w:r>
      <w:r w:rsidR="000A7316">
        <w:t xml:space="preserve"> </w:t>
      </w:r>
      <w:r w:rsidR="000449C0">
        <w:t xml:space="preserve">of </w:t>
      </w:r>
      <w:r w:rsidR="007553FC">
        <w:t xml:space="preserve">any </w:t>
      </w:r>
      <w:r w:rsidR="000449C0">
        <w:t xml:space="preserve">patient </w:t>
      </w:r>
      <w:r w:rsidR="00844F96">
        <w:t xml:space="preserve">being offered a </w:t>
      </w:r>
      <w:r w:rsidR="0014251F">
        <w:t xml:space="preserve">compatible donor. </w:t>
      </w:r>
      <w:r w:rsidR="002F7063">
        <w:t xml:space="preserve">The </w:t>
      </w:r>
      <w:r w:rsidR="00676525">
        <w:t>ADAR</w:t>
      </w:r>
      <w:r w:rsidR="002F7063">
        <w:t xml:space="preserve"> estimates that </w:t>
      </w:r>
      <w:r w:rsidR="00FE1131" w:rsidRPr="00FE1131">
        <w:t xml:space="preserve">13 </w:t>
      </w:r>
      <w:r w:rsidR="007553FC" w:rsidRPr="00FE1131">
        <w:t>patients</w:t>
      </w:r>
      <w:r w:rsidR="00FE1131" w:rsidRPr="00FE1131">
        <w:t xml:space="preserve"> (52%) had 0%</w:t>
      </w:r>
      <w:r w:rsidR="00B87383">
        <w:t xml:space="preserve"> </w:t>
      </w:r>
      <w:r w:rsidR="00B87383" w:rsidRPr="00FE1131">
        <w:t xml:space="preserve">compatible donors in the </w:t>
      </w:r>
      <w:proofErr w:type="spellStart"/>
      <w:r w:rsidR="00B87383" w:rsidRPr="00FE1131">
        <w:t>Eurotransplant</w:t>
      </w:r>
      <w:proofErr w:type="spellEnd"/>
      <w:r w:rsidR="00B87383" w:rsidRPr="00FE1131">
        <w:t xml:space="preserve"> database</w:t>
      </w:r>
      <w:r w:rsidR="00FE1131" w:rsidRPr="00FE1131">
        <w:t>, 17 (68%) had &lt;0.075% and 24 (96%) had &lt;1%.</w:t>
      </w:r>
      <w:r w:rsidR="002F7063">
        <w:t xml:space="preserve"> </w:t>
      </w:r>
      <w:r w:rsidR="00F10D63">
        <w:t xml:space="preserve">The </w:t>
      </w:r>
      <w:r w:rsidR="003F12A0">
        <w:t xml:space="preserve">commentary </w:t>
      </w:r>
      <w:r w:rsidR="00F10D63">
        <w:t>noted that t</w:t>
      </w:r>
      <w:r w:rsidR="005D1B2D">
        <w:t xml:space="preserve">he </w:t>
      </w:r>
      <w:r w:rsidR="00350C04">
        <w:t xml:space="preserve">degree to </w:t>
      </w:r>
      <w:r w:rsidR="00E077BF">
        <w:t xml:space="preserve">which </w:t>
      </w:r>
      <w:r w:rsidR="00AF37EF" w:rsidRPr="00AF37EF">
        <w:t xml:space="preserve">the </w:t>
      </w:r>
      <w:proofErr w:type="spellStart"/>
      <w:r w:rsidR="00AF37EF" w:rsidRPr="00AF37EF">
        <w:t>Eurotransplant</w:t>
      </w:r>
      <w:proofErr w:type="spellEnd"/>
      <w:r w:rsidR="00AF37EF" w:rsidRPr="00AF37EF">
        <w:t xml:space="preserve"> database reflect</w:t>
      </w:r>
      <w:r w:rsidR="00B87383">
        <w:t>s</w:t>
      </w:r>
      <w:r w:rsidR="00AF37EF" w:rsidRPr="00AF37EF">
        <w:t xml:space="preserve"> the Australian patient population is unclear.</w:t>
      </w:r>
      <w:r w:rsidR="00AF37EF">
        <w:t xml:space="preserve"> In </w:t>
      </w:r>
      <w:r w:rsidR="00B87383">
        <w:t>S</w:t>
      </w:r>
      <w:r w:rsidR="00AF37EF">
        <w:t>ection 4</w:t>
      </w:r>
      <w:r w:rsidR="00B87383">
        <w:t>,</w:t>
      </w:r>
      <w:r w:rsidR="00AF37EF">
        <w:t xml:space="preserve"> </w:t>
      </w:r>
      <w:r w:rsidR="002D6620">
        <w:t>t</w:t>
      </w:r>
      <w:r w:rsidR="00EE6A13">
        <w:t>he</w:t>
      </w:r>
      <w:r w:rsidR="002D6620">
        <w:t xml:space="preserve"> </w:t>
      </w:r>
      <w:r w:rsidR="00676525">
        <w:t>ADAR</w:t>
      </w:r>
      <w:r w:rsidR="000431C7">
        <w:t xml:space="preserve"> also states that </w:t>
      </w:r>
      <w:r w:rsidR="00EE6A13" w:rsidRPr="00150921">
        <w:t>43.6% of</w:t>
      </w:r>
      <w:r w:rsidR="00607EDB" w:rsidRPr="00150921">
        <w:t xml:space="preserve"> </w:t>
      </w:r>
      <w:r w:rsidR="00712C73" w:rsidRPr="003B7D36">
        <w:t xml:space="preserve">those </w:t>
      </w:r>
      <w:r w:rsidR="00607EDB" w:rsidRPr="00150921">
        <w:t>patients with</w:t>
      </w:r>
      <w:r w:rsidR="00EE6A13" w:rsidRPr="00150921">
        <w:t xml:space="preserve"> </w:t>
      </w:r>
      <w:proofErr w:type="spellStart"/>
      <w:r w:rsidR="00EE6A13" w:rsidRPr="00150921">
        <w:t>cPRA</w:t>
      </w:r>
      <w:proofErr w:type="spellEnd"/>
      <w:r w:rsidR="00EE6A13" w:rsidRPr="00150921">
        <w:t xml:space="preserve"> 95</w:t>
      </w:r>
      <w:r w:rsidR="00154224" w:rsidRPr="00150921">
        <w:t>–</w:t>
      </w:r>
      <w:r w:rsidR="00EE6A13" w:rsidRPr="00150921">
        <w:t xml:space="preserve">98% </w:t>
      </w:r>
      <w:r w:rsidR="00712C73" w:rsidRPr="003B7D36">
        <w:t xml:space="preserve">who are </w:t>
      </w:r>
      <w:r w:rsidR="00EE6A13" w:rsidRPr="00150921">
        <w:t>on</w:t>
      </w:r>
      <w:r w:rsidR="00EE6A13" w:rsidRPr="00EE6A13">
        <w:t xml:space="preserve"> the Australian DD waitlist are transplanted in the first year</w:t>
      </w:r>
      <w:r w:rsidR="000443FC">
        <w:t xml:space="preserve"> (</w:t>
      </w:r>
      <w:proofErr w:type="spellStart"/>
      <w:r w:rsidR="000443FC" w:rsidRPr="00EE6A13">
        <w:t>Sypek</w:t>
      </w:r>
      <w:proofErr w:type="spellEnd"/>
      <w:r w:rsidR="000443FC" w:rsidRPr="00EE6A13">
        <w:t xml:space="preserve"> MP</w:t>
      </w:r>
      <w:r w:rsidR="000443FC">
        <w:t xml:space="preserve"> </w:t>
      </w:r>
      <w:r w:rsidR="000443FC" w:rsidRPr="00EE6A13">
        <w:t>et al. 2021</w:t>
      </w:r>
      <w:r w:rsidR="008C2641">
        <w:t>)</w:t>
      </w:r>
      <w:r w:rsidR="00E51024">
        <w:t>.</w:t>
      </w:r>
      <w:r w:rsidR="00C65DCD">
        <w:rPr>
          <w:rStyle w:val="FootnoteReference"/>
        </w:rPr>
        <w:footnoteReference w:id="4"/>
      </w:r>
      <w:r w:rsidR="00E51024">
        <w:t xml:space="preserve"> </w:t>
      </w:r>
      <w:r w:rsidR="008001D1">
        <w:t>L</w:t>
      </w:r>
      <w:r w:rsidR="00360CDE">
        <w:t xml:space="preserve">arge discrepancies </w:t>
      </w:r>
      <w:r w:rsidR="008001D1">
        <w:t xml:space="preserve">exist </w:t>
      </w:r>
      <w:r w:rsidR="001C38E8">
        <w:t xml:space="preserve">between </w:t>
      </w:r>
      <w:r w:rsidR="004F4E54">
        <w:t xml:space="preserve">estimations made by the </w:t>
      </w:r>
      <w:r w:rsidR="00676525">
        <w:t>ADAR</w:t>
      </w:r>
      <w:r w:rsidR="004F4E54">
        <w:t xml:space="preserve"> </w:t>
      </w:r>
      <w:r w:rsidR="00202D84">
        <w:t xml:space="preserve">and </w:t>
      </w:r>
      <w:r w:rsidR="00852559">
        <w:t>the</w:t>
      </w:r>
      <w:r w:rsidR="00202D84">
        <w:t xml:space="preserve"> </w:t>
      </w:r>
      <w:r w:rsidR="0021142B">
        <w:t xml:space="preserve">percentage </w:t>
      </w:r>
      <w:r w:rsidR="00253705">
        <w:t xml:space="preserve">of </w:t>
      </w:r>
      <w:r w:rsidR="00CF087F">
        <w:t xml:space="preserve">HS patients on the Australian DD </w:t>
      </w:r>
      <w:r w:rsidR="008001D1">
        <w:t>waitlist</w:t>
      </w:r>
      <w:r w:rsidR="00CF087F">
        <w:t xml:space="preserve"> who receive a transplant in the first year</w:t>
      </w:r>
      <w:r w:rsidR="00710B06">
        <w:t xml:space="preserve">. </w:t>
      </w:r>
      <w:r w:rsidR="007C3C74">
        <w:t>The</w:t>
      </w:r>
      <w:r w:rsidR="007E66E8">
        <w:t xml:space="preserve"> commentary</w:t>
      </w:r>
      <w:r w:rsidR="007C3C74">
        <w:t xml:space="preserve"> </w:t>
      </w:r>
      <w:r w:rsidR="00E344E7">
        <w:t>found</w:t>
      </w:r>
      <w:r w:rsidR="007C3C74">
        <w:t xml:space="preserve"> it </w:t>
      </w:r>
      <w:r w:rsidR="00E344E7">
        <w:t>is</w:t>
      </w:r>
      <w:r w:rsidR="007C3C74">
        <w:t xml:space="preserve"> c</w:t>
      </w:r>
      <w:r w:rsidR="00CB0AB4">
        <w:t>urrently unc</w:t>
      </w:r>
      <w:r w:rsidR="00232B08">
        <w:t xml:space="preserve">lear </w:t>
      </w:r>
      <w:r w:rsidR="00B00EEE">
        <w:t>exactly wh</w:t>
      </w:r>
      <w:r w:rsidR="00E344E7">
        <w:t>ich</w:t>
      </w:r>
      <w:r w:rsidR="00B00EEE">
        <w:t xml:space="preserve"> variables </w:t>
      </w:r>
      <w:r w:rsidR="00782239">
        <w:t xml:space="preserve">are causing </w:t>
      </w:r>
      <w:r w:rsidR="001E636D">
        <w:t xml:space="preserve">the study population to have </w:t>
      </w:r>
      <w:r w:rsidR="00185BEF">
        <w:t xml:space="preserve">such a low estimation of compatible </w:t>
      </w:r>
      <w:r w:rsidR="00852559">
        <w:t>donors</w:t>
      </w:r>
      <w:r w:rsidR="00185BEF">
        <w:t xml:space="preserve"> compared to the </w:t>
      </w:r>
      <w:r w:rsidR="00E344E7">
        <w:t>data of</w:t>
      </w:r>
      <w:r w:rsidR="008C2641">
        <w:t xml:space="preserve"> </w:t>
      </w:r>
      <w:proofErr w:type="spellStart"/>
      <w:r w:rsidR="008C2641" w:rsidRPr="00EE6A13">
        <w:t>Sypek</w:t>
      </w:r>
      <w:proofErr w:type="spellEnd"/>
      <w:r w:rsidR="008C2641" w:rsidRPr="00EE6A13">
        <w:t xml:space="preserve"> MP</w:t>
      </w:r>
      <w:r w:rsidR="008C2641">
        <w:t xml:space="preserve"> </w:t>
      </w:r>
      <w:r w:rsidR="008C2641" w:rsidRPr="00EE6A13">
        <w:t>et al. 2021</w:t>
      </w:r>
      <w:r w:rsidR="008C2641">
        <w:t xml:space="preserve">. </w:t>
      </w:r>
    </w:p>
    <w:p w14:paraId="79E20148" w14:textId="77777777" w:rsidR="008962FB" w:rsidRPr="00465751" w:rsidRDefault="008962FB" w:rsidP="00E76072">
      <w:pPr>
        <w:pStyle w:val="Heading4"/>
      </w:pPr>
      <w:r w:rsidRPr="00465751">
        <w:t>3: Patient survival</w:t>
      </w:r>
    </w:p>
    <w:p w14:paraId="44D2ECCA" w14:textId="03EBC387" w:rsidR="00FE67A2" w:rsidRDefault="00BA5BC9" w:rsidP="00465751">
      <w:pPr>
        <w:autoSpaceDE w:val="0"/>
        <w:autoSpaceDN w:val="0"/>
        <w:adjustRightInd w:val="0"/>
      </w:pPr>
      <w:r>
        <w:t>A</w:t>
      </w:r>
      <w:r w:rsidR="00FE67A2">
        <w:t>ll patients in the UTT and UTT-A populations were alive</w:t>
      </w:r>
      <w:r>
        <w:t xml:space="preserve"> at the end of the clinical trial period (6 months); h</w:t>
      </w:r>
      <w:r w:rsidR="00FE67A2">
        <w:t xml:space="preserve">owever, </w:t>
      </w:r>
      <w:r w:rsidR="00BE78C1">
        <w:t xml:space="preserve">3 </w:t>
      </w:r>
      <w:r w:rsidR="00FE67A2">
        <w:t xml:space="preserve">patients died after </w:t>
      </w:r>
      <w:r w:rsidR="00F84B93">
        <w:t>this time</w:t>
      </w:r>
      <w:r w:rsidR="00772723">
        <w:t xml:space="preserve">. </w:t>
      </w:r>
      <w:r w:rsidR="00772723" w:rsidRPr="00772723">
        <w:t xml:space="preserve">The </w:t>
      </w:r>
      <w:r w:rsidR="00676525">
        <w:t>ADAR</w:t>
      </w:r>
      <w:r w:rsidR="00E532DE">
        <w:t xml:space="preserve"> did not present any</w:t>
      </w:r>
      <w:r w:rsidR="00772723" w:rsidRPr="00772723">
        <w:t xml:space="preserve"> reason to assume that any death was related to the administration of imlifidase or due to kidney malfunction.</w:t>
      </w:r>
    </w:p>
    <w:p w14:paraId="0F7190C0" w14:textId="06B8BC15" w:rsidR="00772723" w:rsidRDefault="004914DD" w:rsidP="00FE67A2">
      <w:pPr>
        <w:autoSpaceDE w:val="0"/>
        <w:autoSpaceDN w:val="0"/>
        <w:adjustRightInd w:val="0"/>
        <w:spacing w:before="0"/>
      </w:pPr>
      <w:r w:rsidRPr="004914DD">
        <w:t>The</w:t>
      </w:r>
      <w:r>
        <w:t xml:space="preserve"> </w:t>
      </w:r>
      <w:r w:rsidR="00957FD2">
        <w:t>3-</w:t>
      </w:r>
      <w:r>
        <w:t>year</w:t>
      </w:r>
      <w:r w:rsidRPr="004914DD">
        <w:t xml:space="preserve"> long-term imlifidase study follow-up data showed an overall patient survival rate of 84% (UTT) to 87% (UTT-A). In the larger </w:t>
      </w:r>
      <w:r w:rsidR="007D2488">
        <w:t>a</w:t>
      </w:r>
      <w:r w:rsidRPr="004914DD">
        <w:t>ll-</w:t>
      </w:r>
      <w:r w:rsidR="007D2488">
        <w:t>t</w:t>
      </w:r>
      <w:r w:rsidRPr="004914DD">
        <w:t>ransplanted imlifidase population</w:t>
      </w:r>
      <w:r w:rsidR="00C85492">
        <w:t>,</w:t>
      </w:r>
      <w:r w:rsidRPr="004914DD">
        <w:t xml:space="preserve"> survival was 92% at year 3, </w:t>
      </w:r>
      <w:r w:rsidR="0008786B">
        <w:t xml:space="preserve">being </w:t>
      </w:r>
      <w:r w:rsidRPr="004914DD">
        <w:t xml:space="preserve">similar to survival seen in the Canadian HS </w:t>
      </w:r>
      <w:r w:rsidR="0054685C">
        <w:t>p</w:t>
      </w:r>
      <w:r w:rsidRPr="004914DD">
        <w:t>rogram.</w:t>
      </w:r>
    </w:p>
    <w:p w14:paraId="0A51E009" w14:textId="2046E7E8" w:rsidR="002F279B" w:rsidRDefault="0054685C" w:rsidP="00FE67A2">
      <w:pPr>
        <w:autoSpaceDE w:val="0"/>
        <w:autoSpaceDN w:val="0"/>
        <w:adjustRightInd w:val="0"/>
        <w:spacing w:before="0"/>
      </w:pPr>
      <w:r>
        <w:t>L</w:t>
      </w:r>
      <w:r w:rsidR="0004707A">
        <w:t>ong-term</w:t>
      </w:r>
      <w:r w:rsidR="00443E03">
        <w:t xml:space="preserve"> p</w:t>
      </w:r>
      <w:r w:rsidR="00443E03" w:rsidRPr="00443E03">
        <w:t>atient survival following transplant</w:t>
      </w:r>
      <w:r>
        <w:t>ation</w:t>
      </w:r>
      <w:r w:rsidR="00443E03" w:rsidRPr="00443E03">
        <w:t xml:space="preserve"> in Australia is </w:t>
      </w:r>
      <w:r w:rsidR="00963B15" w:rsidRPr="00963B15">
        <w:t>higher than in the US</w:t>
      </w:r>
      <w:r w:rsidR="006B13BA">
        <w:rPr>
          <w:rStyle w:val="FootnoteReference"/>
        </w:rPr>
        <w:footnoteReference w:id="5"/>
      </w:r>
      <w:r w:rsidR="00963B15">
        <w:t xml:space="preserve"> </w:t>
      </w:r>
      <w:r w:rsidR="00C8300E">
        <w:t>and comparable to Sweden</w:t>
      </w:r>
      <w:r w:rsidR="00DE6E0D">
        <w:t>.</w:t>
      </w:r>
      <w:r w:rsidR="00000933">
        <w:t xml:space="preserve"> </w:t>
      </w:r>
    </w:p>
    <w:p w14:paraId="63FD4DEF" w14:textId="5B3B7616" w:rsidR="00611EB8" w:rsidRDefault="00053992" w:rsidP="00611EB8">
      <w:pPr>
        <w:autoSpaceDE w:val="0"/>
        <w:autoSpaceDN w:val="0"/>
        <w:adjustRightInd w:val="0"/>
        <w:spacing w:before="0"/>
      </w:pPr>
      <w:r>
        <w:t xml:space="preserve">The </w:t>
      </w:r>
      <w:r w:rsidR="007E66E8">
        <w:t xml:space="preserve">commentary </w:t>
      </w:r>
      <w:r>
        <w:t xml:space="preserve">noted that </w:t>
      </w:r>
      <w:r w:rsidR="00B40625">
        <w:t xml:space="preserve">the </w:t>
      </w:r>
      <w:r w:rsidR="00676525">
        <w:t>ADAR</w:t>
      </w:r>
      <w:r w:rsidR="00B40625">
        <w:t xml:space="preserve">’s </w:t>
      </w:r>
      <w:r w:rsidR="00000933">
        <w:t>specula</w:t>
      </w:r>
      <w:r w:rsidR="00611EB8">
        <w:t xml:space="preserve">tion of higher </w:t>
      </w:r>
      <w:r w:rsidR="00611EB8" w:rsidRPr="00DB5AB3">
        <w:t>survival outcomes</w:t>
      </w:r>
      <w:r w:rsidR="00611EB8">
        <w:t xml:space="preserve"> if the trial was conducted in </w:t>
      </w:r>
      <w:r w:rsidR="00611EB8" w:rsidRPr="00DB5AB3">
        <w:t>Australia</w:t>
      </w:r>
      <w:r w:rsidR="00611EB8">
        <w:t xml:space="preserve"> is </w:t>
      </w:r>
      <w:r w:rsidR="00611EB8" w:rsidRPr="00FC12EC">
        <w:t>unfounded</w:t>
      </w:r>
      <w:r w:rsidR="00611EB8">
        <w:t xml:space="preserve"> and is </w:t>
      </w:r>
      <w:r w:rsidR="00611EB8" w:rsidRPr="00FC12EC">
        <w:t>not supported by a reference.</w:t>
      </w:r>
    </w:p>
    <w:p w14:paraId="69B574A3" w14:textId="6B1308FC" w:rsidR="008A498B" w:rsidRDefault="00320A2D" w:rsidP="008A498B">
      <w:pPr>
        <w:autoSpaceDE w:val="0"/>
        <w:autoSpaceDN w:val="0"/>
        <w:adjustRightInd w:val="0"/>
        <w:spacing w:before="0"/>
      </w:pPr>
      <w:r w:rsidRPr="00320A2D">
        <w:t xml:space="preserve">The overall similar graft survival </w:t>
      </w:r>
      <w:r w:rsidR="00EC7FCE">
        <w:t xml:space="preserve">rates </w:t>
      </w:r>
      <w:r w:rsidRPr="00320A2D">
        <w:t xml:space="preserve">seen in Australia and Canada </w:t>
      </w:r>
      <w:r w:rsidR="00EC7FCE">
        <w:t>for</w:t>
      </w:r>
      <w:r w:rsidR="00EC7FCE" w:rsidRPr="00320A2D">
        <w:t xml:space="preserve"> </w:t>
      </w:r>
      <w:r w:rsidRPr="00320A2D">
        <w:t>all transplants suggests that Canadian HSP survival data may be reasonably consistent with expected Australian HSP transplant survival data.</w:t>
      </w:r>
      <w:r w:rsidR="008A498B">
        <w:t xml:space="preserve"> In addition,</w:t>
      </w:r>
      <w:r w:rsidR="001C432A">
        <w:t xml:space="preserve"> the </w:t>
      </w:r>
      <w:r w:rsidR="007E66E8">
        <w:t xml:space="preserve">commentary </w:t>
      </w:r>
      <w:r w:rsidR="001C432A">
        <w:t xml:space="preserve"> noted that</w:t>
      </w:r>
      <w:r w:rsidR="008A498B">
        <w:t xml:space="preserve"> t</w:t>
      </w:r>
      <w:r w:rsidR="008A498B" w:rsidRPr="00291D0B">
        <w:t xml:space="preserve">he imlifidase trial UTT-A population 3-year survival </w:t>
      </w:r>
      <w:r w:rsidR="00134C96">
        <w:t xml:space="preserve">rate </w:t>
      </w:r>
      <w:r w:rsidR="008A498B" w:rsidRPr="00291D0B">
        <w:t>of 87% appears comparable to the Canadian HSP population survival rate</w:t>
      </w:r>
      <w:r w:rsidR="00134C96">
        <w:t>,</w:t>
      </w:r>
      <w:r w:rsidR="00F47694">
        <w:t xml:space="preserve"> making the Canadian HSP data a reasonable proxy</w:t>
      </w:r>
      <w:r w:rsidR="008A498B" w:rsidRPr="00291D0B">
        <w:t>.</w:t>
      </w:r>
    </w:p>
    <w:p w14:paraId="248A20F1" w14:textId="51662A13" w:rsidR="00F47694" w:rsidRDefault="0097595E" w:rsidP="008A498B">
      <w:pPr>
        <w:autoSpaceDE w:val="0"/>
        <w:autoSpaceDN w:val="0"/>
        <w:adjustRightInd w:val="0"/>
        <w:spacing w:before="0"/>
      </w:pPr>
      <w:r w:rsidRPr="0097595E">
        <w:t>Based on the similar</w:t>
      </w:r>
      <w:r w:rsidR="005A4E2C">
        <w:t xml:space="preserve">ity of the </w:t>
      </w:r>
      <w:r w:rsidRPr="0097595E">
        <w:t xml:space="preserve">survival outcomes </w:t>
      </w:r>
      <w:r w:rsidR="00AC6D07">
        <w:t>in</w:t>
      </w:r>
      <w:r w:rsidRPr="0097595E">
        <w:t xml:space="preserve"> Sweden and </w:t>
      </w:r>
      <w:r w:rsidR="00371EB8">
        <w:t>Canada</w:t>
      </w:r>
      <w:r w:rsidR="001B6A14">
        <w:t xml:space="preserve"> to the im</w:t>
      </w:r>
      <w:r w:rsidR="00134C96">
        <w:t>l</w:t>
      </w:r>
      <w:r w:rsidR="001B6A14">
        <w:t>ifidase</w:t>
      </w:r>
      <w:r w:rsidR="005A4E2C">
        <w:t xml:space="preserve"> study follow-up</w:t>
      </w:r>
      <w:r w:rsidR="001B6A14">
        <w:t xml:space="preserve"> data (</w:t>
      </w:r>
      <w:r w:rsidR="001B6A14" w:rsidRPr="001B6A14">
        <w:t xml:space="preserve">3-year </w:t>
      </w:r>
      <w:r w:rsidR="001B6A14">
        <w:t xml:space="preserve">survival of 87% in the UTT-A population and </w:t>
      </w:r>
      <w:r w:rsidR="001B6A14" w:rsidRPr="001B6A14">
        <w:t xml:space="preserve">92% in the </w:t>
      </w:r>
      <w:r w:rsidR="007D2488">
        <w:t>a</w:t>
      </w:r>
      <w:r w:rsidR="001B6A14" w:rsidRPr="001B6A14">
        <w:t>ll-</w:t>
      </w:r>
      <w:r w:rsidR="007D2488">
        <w:t>t</w:t>
      </w:r>
      <w:r w:rsidR="001B6A14" w:rsidRPr="001B6A14">
        <w:t>ransplanted population</w:t>
      </w:r>
      <w:r w:rsidR="001B6A14">
        <w:t>),</w:t>
      </w:r>
      <w:r w:rsidRPr="0097595E">
        <w:t xml:space="preserve"> </w:t>
      </w:r>
      <w:r w:rsidR="0091545E">
        <w:t xml:space="preserve">the ADAR concluded and the commentary agreed that </w:t>
      </w:r>
      <w:r w:rsidRPr="0097595E">
        <w:t>it is reasonable to conclude that the imlifidase data can be generalised to Australian imlifidase use in the proposed setting.</w:t>
      </w:r>
      <w:r w:rsidR="007251E5">
        <w:t xml:space="preserve"> </w:t>
      </w:r>
      <w:r w:rsidR="00FA391C">
        <w:t>Th</w:t>
      </w:r>
      <w:r w:rsidR="007065A3">
        <w:t>e</w:t>
      </w:r>
      <w:r w:rsidR="005D4EB9">
        <w:t xml:space="preserve"> commentary noted that the </w:t>
      </w:r>
      <w:r w:rsidR="007065A3">
        <w:t xml:space="preserve"> ADAR claimed that this</w:t>
      </w:r>
      <w:r w:rsidR="00FA391C">
        <w:t xml:space="preserve"> was supported by expert opinion input, </w:t>
      </w:r>
      <w:r w:rsidR="005D4EB9">
        <w:t xml:space="preserve">but did not supply any </w:t>
      </w:r>
      <w:r w:rsidR="00FA391C">
        <w:t>evidence</w:t>
      </w:r>
      <w:r w:rsidR="005D4EB9">
        <w:t xml:space="preserve"> for the claim</w:t>
      </w:r>
      <w:r w:rsidR="00041483">
        <w:t>.</w:t>
      </w:r>
    </w:p>
    <w:p w14:paraId="7FA50C9E" w14:textId="42D08708" w:rsidR="008962FB" w:rsidRPr="00465751" w:rsidRDefault="00DE75AB" w:rsidP="00E76072">
      <w:pPr>
        <w:pStyle w:val="Heading4"/>
      </w:pPr>
      <w:r w:rsidRPr="00465751">
        <w:t xml:space="preserve">4: Graft survival </w:t>
      </w:r>
    </w:p>
    <w:p w14:paraId="27F2263E" w14:textId="11F41D3F" w:rsidR="00DE75AB" w:rsidRPr="006F0D1A" w:rsidRDefault="00E37A3C" w:rsidP="006F0D1A">
      <w:pPr>
        <w:pStyle w:val="BodyText"/>
        <w:spacing w:before="40" w:line="240" w:lineRule="auto"/>
        <w:rPr>
          <w:lang w:val="en-AU"/>
        </w:rPr>
      </w:pPr>
      <w:r w:rsidRPr="006F0D1A">
        <w:rPr>
          <w:lang w:val="en-AU"/>
        </w:rPr>
        <w:t>In the i</w:t>
      </w:r>
      <w:r w:rsidR="00BB5846" w:rsidRPr="006F0D1A">
        <w:rPr>
          <w:lang w:val="en-AU"/>
        </w:rPr>
        <w:t>mlif</w:t>
      </w:r>
      <w:r w:rsidRPr="006F0D1A">
        <w:rPr>
          <w:lang w:val="en-AU"/>
        </w:rPr>
        <w:t>idase studies</w:t>
      </w:r>
      <w:r w:rsidR="007F16B8" w:rsidRPr="006F0D1A">
        <w:rPr>
          <w:lang w:val="en-AU"/>
        </w:rPr>
        <w:t xml:space="preserve">, a total of </w:t>
      </w:r>
      <w:r w:rsidR="00681002" w:rsidRPr="006F0D1A">
        <w:rPr>
          <w:lang w:val="en-AU"/>
        </w:rPr>
        <w:t>6</w:t>
      </w:r>
      <w:r w:rsidRPr="006F0D1A">
        <w:rPr>
          <w:lang w:val="en-AU"/>
        </w:rPr>
        <w:t xml:space="preserve"> </w:t>
      </w:r>
      <w:r w:rsidR="00F351A2" w:rsidRPr="006F0D1A">
        <w:rPr>
          <w:lang w:val="en-AU"/>
        </w:rPr>
        <w:t xml:space="preserve">patients in the </w:t>
      </w:r>
      <w:r w:rsidR="007D2488">
        <w:rPr>
          <w:lang w:val="en-AU"/>
        </w:rPr>
        <w:t>a</w:t>
      </w:r>
      <w:r w:rsidR="00BB127E" w:rsidRPr="006F0D1A">
        <w:rPr>
          <w:lang w:val="en-AU"/>
        </w:rPr>
        <w:t>ll-transplanted</w:t>
      </w:r>
      <w:r w:rsidR="00D31628" w:rsidRPr="006F0D1A">
        <w:rPr>
          <w:lang w:val="en-AU"/>
        </w:rPr>
        <w:t xml:space="preserve"> </w:t>
      </w:r>
      <w:r w:rsidR="00284569" w:rsidRPr="006F0D1A">
        <w:rPr>
          <w:lang w:val="en-AU"/>
        </w:rPr>
        <w:t>population experienced gra</w:t>
      </w:r>
      <w:r w:rsidR="008041AD">
        <w:rPr>
          <w:lang w:val="en-AU"/>
        </w:rPr>
        <w:t>ft</w:t>
      </w:r>
      <w:r w:rsidR="00284569" w:rsidRPr="006F0D1A">
        <w:rPr>
          <w:lang w:val="en-AU"/>
        </w:rPr>
        <w:t xml:space="preserve"> </w:t>
      </w:r>
      <w:r w:rsidR="009F149B" w:rsidRPr="006F0D1A">
        <w:rPr>
          <w:lang w:val="en-AU"/>
        </w:rPr>
        <w:t xml:space="preserve">failure. </w:t>
      </w:r>
      <w:r w:rsidR="00D344BE" w:rsidRPr="006F0D1A">
        <w:rPr>
          <w:lang w:val="en-AU"/>
        </w:rPr>
        <w:t>Three of these graft failures occurred in the initial 6</w:t>
      </w:r>
      <w:r w:rsidR="009A1D78" w:rsidRPr="006F0D1A">
        <w:rPr>
          <w:lang w:val="en-AU"/>
        </w:rPr>
        <w:t>-</w:t>
      </w:r>
      <w:r w:rsidR="00D344BE" w:rsidRPr="006F0D1A">
        <w:rPr>
          <w:lang w:val="en-AU"/>
        </w:rPr>
        <w:t>month trial period</w:t>
      </w:r>
      <w:r w:rsidR="005C6CA7">
        <w:rPr>
          <w:lang w:val="en-AU"/>
        </w:rPr>
        <w:t>,</w:t>
      </w:r>
      <w:r w:rsidR="00104371" w:rsidRPr="006F0D1A">
        <w:rPr>
          <w:lang w:val="en-AU"/>
        </w:rPr>
        <w:t xml:space="preserve"> </w:t>
      </w:r>
      <w:r w:rsidR="00A2649D">
        <w:rPr>
          <w:lang w:val="en-AU"/>
        </w:rPr>
        <w:t xml:space="preserve">of </w:t>
      </w:r>
      <w:r w:rsidR="005C6CA7">
        <w:rPr>
          <w:lang w:val="en-AU"/>
        </w:rPr>
        <w:t>which</w:t>
      </w:r>
      <w:r w:rsidR="00104371" w:rsidRPr="006F0D1A">
        <w:rPr>
          <w:lang w:val="en-AU"/>
        </w:rPr>
        <w:t xml:space="preserve"> </w:t>
      </w:r>
      <w:r w:rsidR="005C6CA7">
        <w:rPr>
          <w:lang w:val="en-AU"/>
        </w:rPr>
        <w:t xml:space="preserve">one </w:t>
      </w:r>
      <w:r w:rsidR="009F4F5B" w:rsidRPr="006F0D1A">
        <w:rPr>
          <w:lang w:val="en-AU"/>
        </w:rPr>
        <w:t>occurr</w:t>
      </w:r>
      <w:r w:rsidR="007B785D">
        <w:rPr>
          <w:lang w:val="en-AU"/>
        </w:rPr>
        <w:t>ed</w:t>
      </w:r>
      <w:r w:rsidR="00104371" w:rsidRPr="006F0D1A">
        <w:rPr>
          <w:lang w:val="en-AU"/>
        </w:rPr>
        <w:t xml:space="preserve"> in</w:t>
      </w:r>
      <w:r w:rsidR="00D613D5">
        <w:rPr>
          <w:lang w:val="en-AU"/>
        </w:rPr>
        <w:t xml:space="preserve"> a patient in the</w:t>
      </w:r>
      <w:r w:rsidR="00104371" w:rsidRPr="006F0D1A">
        <w:rPr>
          <w:lang w:val="en-AU"/>
        </w:rPr>
        <w:t xml:space="preserve"> UTT</w:t>
      </w:r>
      <w:r w:rsidR="009F4F5B" w:rsidRPr="006F0D1A">
        <w:rPr>
          <w:lang w:val="en-AU"/>
        </w:rPr>
        <w:t xml:space="preserve"> and UTT-A </w:t>
      </w:r>
      <w:r w:rsidR="00446A33">
        <w:rPr>
          <w:lang w:val="en-AU"/>
        </w:rPr>
        <w:t>sub</w:t>
      </w:r>
      <w:r w:rsidR="007B785D">
        <w:rPr>
          <w:lang w:val="en-AU"/>
        </w:rPr>
        <w:t>populations</w:t>
      </w:r>
      <w:r w:rsidR="009F4F5B" w:rsidRPr="006F0D1A">
        <w:rPr>
          <w:lang w:val="en-AU"/>
        </w:rPr>
        <w:t>. The further 3</w:t>
      </w:r>
      <w:r w:rsidR="009A1D78" w:rsidRPr="006F0D1A">
        <w:rPr>
          <w:lang w:val="en-AU"/>
        </w:rPr>
        <w:t xml:space="preserve"> </w:t>
      </w:r>
      <w:r w:rsidR="009F4F5B" w:rsidRPr="006F0D1A">
        <w:rPr>
          <w:lang w:val="en-AU"/>
        </w:rPr>
        <w:t xml:space="preserve">graft failures occurred </w:t>
      </w:r>
      <w:r w:rsidR="009A1D78" w:rsidRPr="006F0D1A">
        <w:rPr>
          <w:lang w:val="en-AU"/>
        </w:rPr>
        <w:t xml:space="preserve">during the </w:t>
      </w:r>
      <w:r w:rsidR="00953AB8" w:rsidRPr="006F0D1A">
        <w:rPr>
          <w:lang w:val="en-AU"/>
        </w:rPr>
        <w:t>2</w:t>
      </w:r>
      <w:r w:rsidR="00425260">
        <w:rPr>
          <w:lang w:val="en-AU"/>
        </w:rPr>
        <w:t>–</w:t>
      </w:r>
      <w:r w:rsidR="00953AB8" w:rsidRPr="006F0D1A">
        <w:rPr>
          <w:lang w:val="en-AU"/>
        </w:rPr>
        <w:t>3</w:t>
      </w:r>
      <w:r w:rsidR="002A3A01">
        <w:rPr>
          <w:lang w:val="en-AU"/>
        </w:rPr>
        <w:t>-</w:t>
      </w:r>
      <w:r w:rsidR="00953AB8" w:rsidRPr="006F0D1A">
        <w:rPr>
          <w:lang w:val="en-AU"/>
        </w:rPr>
        <w:t>year</w:t>
      </w:r>
      <w:r w:rsidR="00953AB8">
        <w:rPr>
          <w:lang w:val="en-AU"/>
        </w:rPr>
        <w:t xml:space="preserve"> </w:t>
      </w:r>
      <w:r w:rsidR="009A1D78" w:rsidRPr="006F0D1A">
        <w:rPr>
          <w:lang w:val="en-AU"/>
        </w:rPr>
        <w:t>follow-up period</w:t>
      </w:r>
      <w:r w:rsidR="007464B1">
        <w:rPr>
          <w:lang w:val="en-AU"/>
        </w:rPr>
        <w:t>. Two</w:t>
      </w:r>
      <w:r w:rsidR="00647EDB">
        <w:rPr>
          <w:lang w:val="en-AU"/>
        </w:rPr>
        <w:t xml:space="preserve"> of these</w:t>
      </w:r>
      <w:r w:rsidR="009A1D78" w:rsidRPr="006F0D1A">
        <w:rPr>
          <w:lang w:val="en-AU"/>
        </w:rPr>
        <w:t xml:space="preserve"> failures </w:t>
      </w:r>
      <w:r w:rsidR="007464B1">
        <w:rPr>
          <w:lang w:val="en-AU"/>
        </w:rPr>
        <w:t>occurred</w:t>
      </w:r>
      <w:r w:rsidR="00647EDB">
        <w:rPr>
          <w:lang w:val="en-AU"/>
        </w:rPr>
        <w:t xml:space="preserve"> in patients</w:t>
      </w:r>
      <w:r w:rsidR="009A1D78" w:rsidRPr="006F0D1A">
        <w:rPr>
          <w:lang w:val="en-AU"/>
        </w:rPr>
        <w:t xml:space="preserve"> in the UTT and UTT-A </w:t>
      </w:r>
      <w:r w:rsidR="00647EDB">
        <w:rPr>
          <w:lang w:val="en-AU"/>
        </w:rPr>
        <w:t>populations</w:t>
      </w:r>
      <w:r w:rsidR="009A1D78" w:rsidRPr="006F0D1A">
        <w:rPr>
          <w:lang w:val="en-AU"/>
        </w:rPr>
        <w:t xml:space="preserve">. </w:t>
      </w:r>
      <w:r w:rsidR="001C686D">
        <w:rPr>
          <w:lang w:val="en-AU"/>
        </w:rPr>
        <w:t>No graft failures occurred in the time period between 6 months and 2 years follow-up.</w:t>
      </w:r>
      <w:r w:rsidR="0020757A" w:rsidRPr="006F0D1A">
        <w:rPr>
          <w:lang w:val="en-AU"/>
        </w:rPr>
        <w:t xml:space="preserve"> </w:t>
      </w:r>
    </w:p>
    <w:p w14:paraId="1A3D10F2" w14:textId="6848AC46" w:rsidR="007108FA" w:rsidRPr="006F0D1A" w:rsidRDefault="002D4EA3" w:rsidP="006F0D1A">
      <w:pPr>
        <w:pStyle w:val="BodyText"/>
        <w:spacing w:before="40" w:line="240" w:lineRule="auto"/>
        <w:rPr>
          <w:lang w:val="en-AU"/>
        </w:rPr>
      </w:pPr>
      <w:r w:rsidRPr="006F0D1A">
        <w:rPr>
          <w:lang w:val="en-AU"/>
        </w:rPr>
        <w:t xml:space="preserve">The </w:t>
      </w:r>
      <w:r w:rsidR="00676525">
        <w:rPr>
          <w:lang w:val="en-AU"/>
        </w:rPr>
        <w:t>ADAR</w:t>
      </w:r>
      <w:r w:rsidRPr="006F0D1A">
        <w:rPr>
          <w:lang w:val="en-AU"/>
        </w:rPr>
        <w:t xml:space="preserve"> provides </w:t>
      </w:r>
      <w:r w:rsidR="006868B7" w:rsidRPr="006F0D1A">
        <w:rPr>
          <w:lang w:val="en-AU"/>
        </w:rPr>
        <w:t xml:space="preserve">comparisons </w:t>
      </w:r>
      <w:r w:rsidR="00587396">
        <w:rPr>
          <w:lang w:val="en-AU"/>
        </w:rPr>
        <w:t>of</w:t>
      </w:r>
      <w:r w:rsidR="006868B7" w:rsidRPr="006F0D1A">
        <w:rPr>
          <w:lang w:val="en-AU"/>
        </w:rPr>
        <w:t xml:space="preserve"> </w:t>
      </w:r>
      <w:r w:rsidR="005C3C1A" w:rsidRPr="006F0D1A">
        <w:rPr>
          <w:lang w:val="en-AU"/>
        </w:rPr>
        <w:t>graft survival of iml</w:t>
      </w:r>
      <w:r w:rsidR="00CC2D11" w:rsidRPr="006F0D1A">
        <w:rPr>
          <w:lang w:val="en-AU"/>
        </w:rPr>
        <w:t xml:space="preserve">ifidase populations </w:t>
      </w:r>
      <w:r w:rsidR="00CA7A66" w:rsidRPr="006F0D1A">
        <w:rPr>
          <w:lang w:val="en-AU"/>
        </w:rPr>
        <w:t xml:space="preserve">with </w:t>
      </w:r>
      <w:r w:rsidR="00D73847">
        <w:rPr>
          <w:lang w:val="en-AU"/>
        </w:rPr>
        <w:t xml:space="preserve">data from </w:t>
      </w:r>
      <w:r w:rsidR="00CA7A66" w:rsidRPr="006F0D1A">
        <w:rPr>
          <w:lang w:val="en-AU"/>
        </w:rPr>
        <w:t xml:space="preserve">other </w:t>
      </w:r>
      <w:r w:rsidR="00F75423" w:rsidRPr="006F0D1A">
        <w:rPr>
          <w:lang w:val="en-AU"/>
        </w:rPr>
        <w:t xml:space="preserve">countries. </w:t>
      </w:r>
      <w:r w:rsidR="000E6856" w:rsidRPr="006F0D1A">
        <w:rPr>
          <w:lang w:val="en-AU"/>
        </w:rPr>
        <w:t xml:space="preserve">Graft survival in the </w:t>
      </w:r>
      <w:r w:rsidR="004A3617" w:rsidRPr="006F0D1A">
        <w:rPr>
          <w:lang w:val="en-AU"/>
        </w:rPr>
        <w:t xml:space="preserve">imlifidase UTT-A </w:t>
      </w:r>
      <w:r w:rsidR="005D6328" w:rsidRPr="006F0D1A">
        <w:rPr>
          <w:lang w:val="en-AU"/>
        </w:rPr>
        <w:t xml:space="preserve">population </w:t>
      </w:r>
      <w:r w:rsidR="000C26BD" w:rsidRPr="006F0D1A">
        <w:rPr>
          <w:lang w:val="en-AU"/>
        </w:rPr>
        <w:t>(97% at 6 months,</w:t>
      </w:r>
      <w:r w:rsidR="009776A0" w:rsidRPr="006F0D1A">
        <w:rPr>
          <w:lang w:val="en-AU"/>
        </w:rPr>
        <w:t xml:space="preserve"> </w:t>
      </w:r>
      <w:r w:rsidR="0004682C" w:rsidRPr="006F0D1A">
        <w:rPr>
          <w:lang w:val="en-AU"/>
        </w:rPr>
        <w:t xml:space="preserve">97% at 1 year, 91% at 3 years) shows good comparability with </w:t>
      </w:r>
      <w:r w:rsidR="0031308E" w:rsidRPr="006F0D1A">
        <w:rPr>
          <w:lang w:val="en-AU"/>
        </w:rPr>
        <w:t>Australian overall graft survival (</w:t>
      </w:r>
      <w:r w:rsidR="00B56E5A" w:rsidRPr="006F0D1A">
        <w:rPr>
          <w:lang w:val="en-AU"/>
        </w:rPr>
        <w:t>96% at 6 months</w:t>
      </w:r>
      <w:r w:rsidR="00A23FA6" w:rsidRPr="006F0D1A">
        <w:rPr>
          <w:lang w:val="en-AU"/>
        </w:rPr>
        <w:t>,</w:t>
      </w:r>
      <w:r w:rsidR="00B56E5A" w:rsidRPr="006F0D1A">
        <w:rPr>
          <w:lang w:val="en-AU"/>
        </w:rPr>
        <w:t xml:space="preserve"> </w:t>
      </w:r>
      <w:r w:rsidR="001D6B97" w:rsidRPr="006F0D1A">
        <w:rPr>
          <w:lang w:val="en-AU"/>
        </w:rPr>
        <w:t>94% at 1 year</w:t>
      </w:r>
      <w:r w:rsidR="00E93997" w:rsidRPr="006F0D1A">
        <w:rPr>
          <w:lang w:val="en-AU"/>
        </w:rPr>
        <w:t>, 82% at 5 years</w:t>
      </w:r>
      <w:r w:rsidR="001D6B97" w:rsidRPr="006F0D1A">
        <w:rPr>
          <w:lang w:val="en-AU"/>
        </w:rPr>
        <w:t>)</w:t>
      </w:r>
      <w:r w:rsidR="002F0591" w:rsidRPr="006F0D1A">
        <w:rPr>
          <w:lang w:val="en-AU"/>
        </w:rPr>
        <w:t xml:space="preserve"> and also compar</w:t>
      </w:r>
      <w:r w:rsidR="00401A00">
        <w:rPr>
          <w:lang w:val="en-AU"/>
        </w:rPr>
        <w:t>es favourably with</w:t>
      </w:r>
      <w:r w:rsidR="002F0591" w:rsidRPr="006F0D1A">
        <w:rPr>
          <w:lang w:val="en-AU"/>
        </w:rPr>
        <w:t xml:space="preserve"> </w:t>
      </w:r>
      <w:r w:rsidR="006F1B86">
        <w:rPr>
          <w:lang w:val="en-AU"/>
        </w:rPr>
        <w:t xml:space="preserve">survival at </w:t>
      </w:r>
      <w:r w:rsidR="002F0591" w:rsidRPr="006F0D1A">
        <w:rPr>
          <w:lang w:val="en-AU"/>
        </w:rPr>
        <w:t xml:space="preserve">3 years </w:t>
      </w:r>
      <w:r w:rsidR="000240C4" w:rsidRPr="006F0D1A">
        <w:rPr>
          <w:lang w:val="en-AU"/>
        </w:rPr>
        <w:t>in the Canadian HSP program.</w:t>
      </w:r>
      <w:r w:rsidR="00F75423" w:rsidRPr="006F0D1A">
        <w:rPr>
          <w:lang w:val="en-AU"/>
        </w:rPr>
        <w:t xml:space="preserve"> </w:t>
      </w:r>
      <w:r w:rsidR="00155208" w:rsidRPr="006F0D1A">
        <w:rPr>
          <w:lang w:val="en-AU"/>
        </w:rPr>
        <w:t xml:space="preserve">It is reported </w:t>
      </w:r>
      <w:r w:rsidR="00D37397">
        <w:rPr>
          <w:lang w:val="en-AU"/>
        </w:rPr>
        <w:t>in</w:t>
      </w:r>
      <w:r w:rsidR="00155208" w:rsidRPr="006F0D1A">
        <w:rPr>
          <w:lang w:val="en-AU"/>
        </w:rPr>
        <w:t xml:space="preserve"> the </w:t>
      </w:r>
      <w:r w:rsidR="00676525">
        <w:rPr>
          <w:lang w:val="en-AU"/>
        </w:rPr>
        <w:t>ADAR</w:t>
      </w:r>
      <w:r w:rsidR="00155208" w:rsidRPr="006F0D1A">
        <w:rPr>
          <w:lang w:val="en-AU"/>
        </w:rPr>
        <w:t xml:space="preserve"> </w:t>
      </w:r>
      <w:r w:rsidR="00192E0E" w:rsidRPr="006F0D1A">
        <w:rPr>
          <w:lang w:val="en-AU"/>
        </w:rPr>
        <w:t xml:space="preserve">that Australian </w:t>
      </w:r>
      <w:r w:rsidR="000775F8" w:rsidRPr="006F0D1A">
        <w:rPr>
          <w:lang w:val="en-AU"/>
        </w:rPr>
        <w:t>graft survival rates</w:t>
      </w:r>
      <w:r w:rsidR="00192E0E" w:rsidRPr="006F0D1A">
        <w:rPr>
          <w:lang w:val="en-AU"/>
        </w:rPr>
        <w:t xml:space="preserve"> are </w:t>
      </w:r>
      <w:r w:rsidR="00B3121E" w:rsidRPr="006F0D1A">
        <w:rPr>
          <w:lang w:val="en-AU"/>
        </w:rPr>
        <w:t xml:space="preserve">high </w:t>
      </w:r>
      <w:r w:rsidR="00EA1FA8" w:rsidRPr="006F0D1A">
        <w:rPr>
          <w:lang w:val="en-AU"/>
        </w:rPr>
        <w:t xml:space="preserve">compared to international standards. </w:t>
      </w:r>
    </w:p>
    <w:p w14:paraId="6C31A976" w14:textId="14A2C530" w:rsidR="006F0D1A" w:rsidRPr="006F0D1A" w:rsidRDefault="00ED009A" w:rsidP="006F0D1A">
      <w:pPr>
        <w:pStyle w:val="BodyText"/>
        <w:spacing w:before="40" w:line="240" w:lineRule="auto"/>
        <w:rPr>
          <w:lang w:val="en-AU"/>
        </w:rPr>
      </w:pPr>
      <w:r w:rsidRPr="006F0D1A">
        <w:rPr>
          <w:lang w:val="en-AU"/>
        </w:rPr>
        <w:t>The</w:t>
      </w:r>
      <w:r w:rsidR="00A81003">
        <w:rPr>
          <w:lang w:val="en-AU"/>
        </w:rPr>
        <w:t xml:space="preserve"> </w:t>
      </w:r>
      <w:r w:rsidR="00E551D5">
        <w:rPr>
          <w:lang w:val="en-AU"/>
        </w:rPr>
        <w:t>commentary</w:t>
      </w:r>
      <w:r w:rsidR="00A81003">
        <w:rPr>
          <w:lang w:val="en-AU"/>
        </w:rPr>
        <w:t xml:space="preserve"> noted that</w:t>
      </w:r>
      <w:r w:rsidRPr="006F0D1A">
        <w:rPr>
          <w:lang w:val="en-AU"/>
        </w:rPr>
        <w:t xml:space="preserve"> graft survival </w:t>
      </w:r>
      <w:r w:rsidR="008C5135" w:rsidRPr="006F0D1A">
        <w:rPr>
          <w:lang w:val="en-AU"/>
        </w:rPr>
        <w:t>rates</w:t>
      </w:r>
      <w:r w:rsidRPr="006F0D1A">
        <w:rPr>
          <w:lang w:val="en-AU"/>
        </w:rPr>
        <w:t xml:space="preserve"> reported </w:t>
      </w:r>
      <w:r w:rsidR="0016378B">
        <w:rPr>
          <w:lang w:val="en-AU"/>
        </w:rPr>
        <w:t>in</w:t>
      </w:r>
      <w:r w:rsidR="00186DBD" w:rsidRPr="006F0D1A">
        <w:rPr>
          <w:lang w:val="en-AU"/>
        </w:rPr>
        <w:t xml:space="preserve"> the </w:t>
      </w:r>
      <w:r w:rsidR="00676525">
        <w:rPr>
          <w:lang w:val="en-AU"/>
        </w:rPr>
        <w:t>ADAR</w:t>
      </w:r>
      <w:r w:rsidR="00186DBD" w:rsidRPr="006F0D1A">
        <w:rPr>
          <w:lang w:val="en-AU"/>
        </w:rPr>
        <w:t xml:space="preserve"> from the </w:t>
      </w:r>
      <w:r w:rsidR="00D20FCD" w:rsidRPr="006F0D1A">
        <w:rPr>
          <w:lang w:val="en-AU"/>
        </w:rPr>
        <w:t>HS patients found in the</w:t>
      </w:r>
      <w:r w:rsidR="00186DBD" w:rsidRPr="006F0D1A">
        <w:rPr>
          <w:lang w:val="en-AU"/>
        </w:rPr>
        <w:t xml:space="preserve"> imlifidase studies </w:t>
      </w:r>
      <w:r w:rsidR="008C5135" w:rsidRPr="006F0D1A">
        <w:rPr>
          <w:lang w:val="en-AU"/>
        </w:rPr>
        <w:t xml:space="preserve">seem </w:t>
      </w:r>
      <w:r w:rsidR="00A32629" w:rsidRPr="006F0D1A">
        <w:rPr>
          <w:lang w:val="en-AU"/>
        </w:rPr>
        <w:t xml:space="preserve">to be </w:t>
      </w:r>
      <w:r w:rsidR="00C047DA">
        <w:rPr>
          <w:lang w:val="en-AU"/>
        </w:rPr>
        <w:t xml:space="preserve">reasonably </w:t>
      </w:r>
      <w:r w:rsidR="00A32629" w:rsidRPr="006F0D1A">
        <w:rPr>
          <w:lang w:val="en-AU"/>
        </w:rPr>
        <w:t xml:space="preserve">consistent with </w:t>
      </w:r>
      <w:r w:rsidR="0049366D">
        <w:rPr>
          <w:lang w:val="en-AU"/>
        </w:rPr>
        <w:t>those</w:t>
      </w:r>
      <w:r w:rsidR="0049366D" w:rsidRPr="006F0D1A">
        <w:rPr>
          <w:lang w:val="en-AU"/>
        </w:rPr>
        <w:t xml:space="preserve"> </w:t>
      </w:r>
      <w:r w:rsidR="00D20FCD" w:rsidRPr="006F0D1A">
        <w:rPr>
          <w:lang w:val="en-AU"/>
        </w:rPr>
        <w:t xml:space="preserve">found in the </w:t>
      </w:r>
      <w:r w:rsidR="009247CD" w:rsidRPr="006F0D1A">
        <w:rPr>
          <w:lang w:val="en-AU"/>
        </w:rPr>
        <w:t xml:space="preserve">Australian overall </w:t>
      </w:r>
      <w:r w:rsidR="007568A8">
        <w:rPr>
          <w:lang w:val="en-AU"/>
        </w:rPr>
        <w:t xml:space="preserve">kidney </w:t>
      </w:r>
      <w:r w:rsidR="009247CD" w:rsidRPr="006F0D1A">
        <w:rPr>
          <w:lang w:val="en-AU"/>
        </w:rPr>
        <w:t>transplant</w:t>
      </w:r>
      <w:r w:rsidR="007568A8">
        <w:rPr>
          <w:lang w:val="en-AU"/>
        </w:rPr>
        <w:t>ation</w:t>
      </w:r>
      <w:r w:rsidR="009247CD" w:rsidRPr="006F0D1A">
        <w:rPr>
          <w:lang w:val="en-AU"/>
        </w:rPr>
        <w:t xml:space="preserve"> data</w:t>
      </w:r>
      <w:r w:rsidR="00A552A4">
        <w:rPr>
          <w:lang w:val="en-AU"/>
        </w:rPr>
        <w:t xml:space="preserve"> </w:t>
      </w:r>
      <w:r w:rsidR="007568A8">
        <w:rPr>
          <w:lang w:val="en-AU"/>
        </w:rPr>
        <w:t>provided</w:t>
      </w:r>
      <w:r w:rsidR="00A552A4">
        <w:rPr>
          <w:lang w:val="en-AU"/>
        </w:rPr>
        <w:t xml:space="preserve"> in </w:t>
      </w:r>
      <w:r w:rsidR="00B13359">
        <w:rPr>
          <w:lang w:val="en-AU"/>
        </w:rPr>
        <w:t xml:space="preserve">Table 23 of </w:t>
      </w:r>
      <w:r w:rsidR="00A552A4">
        <w:rPr>
          <w:lang w:val="en-AU"/>
        </w:rPr>
        <w:t xml:space="preserve">the </w:t>
      </w:r>
      <w:r w:rsidR="0012419A">
        <w:rPr>
          <w:lang w:val="en-AU"/>
        </w:rPr>
        <w:t>ADAR</w:t>
      </w:r>
      <w:r w:rsidR="00660B90" w:rsidRPr="006F0D1A">
        <w:rPr>
          <w:lang w:val="en-AU"/>
        </w:rPr>
        <w:t>. Given tha</w:t>
      </w:r>
      <w:r w:rsidR="00981BB9" w:rsidRPr="006F0D1A">
        <w:rPr>
          <w:lang w:val="en-AU"/>
        </w:rPr>
        <w:t xml:space="preserve">t there is a high retransplant rate </w:t>
      </w:r>
      <w:r w:rsidR="00744266" w:rsidRPr="006F0D1A">
        <w:rPr>
          <w:lang w:val="en-AU"/>
        </w:rPr>
        <w:t>in the imlifidase study population</w:t>
      </w:r>
      <w:r w:rsidR="00B36677" w:rsidRPr="006F0D1A">
        <w:rPr>
          <w:lang w:val="en-AU"/>
        </w:rPr>
        <w:t xml:space="preserve">, and that </w:t>
      </w:r>
      <w:proofErr w:type="spellStart"/>
      <w:r w:rsidR="00B36677" w:rsidRPr="006F0D1A">
        <w:rPr>
          <w:lang w:val="en-AU"/>
        </w:rPr>
        <w:t>retransplant</w:t>
      </w:r>
      <w:r w:rsidR="00C007A6">
        <w:rPr>
          <w:lang w:val="en-AU"/>
        </w:rPr>
        <w:t>ation</w:t>
      </w:r>
      <w:proofErr w:type="spellEnd"/>
      <w:r w:rsidR="00B36677" w:rsidRPr="006F0D1A">
        <w:rPr>
          <w:lang w:val="en-AU"/>
        </w:rPr>
        <w:t xml:space="preserve"> is associated with reduced graft survival, </w:t>
      </w:r>
      <w:r w:rsidR="00C325FB" w:rsidRPr="006F0D1A">
        <w:rPr>
          <w:lang w:val="en-AU"/>
        </w:rPr>
        <w:t xml:space="preserve">it </w:t>
      </w:r>
      <w:r w:rsidR="00C007A6">
        <w:rPr>
          <w:lang w:val="en-AU"/>
        </w:rPr>
        <w:t>was</w:t>
      </w:r>
      <w:r w:rsidR="00C325FB" w:rsidRPr="006F0D1A">
        <w:rPr>
          <w:lang w:val="en-AU"/>
        </w:rPr>
        <w:t xml:space="preserve"> agreed </w:t>
      </w:r>
      <w:r w:rsidR="0048521C" w:rsidRPr="006F0D1A">
        <w:rPr>
          <w:lang w:val="en-AU"/>
        </w:rPr>
        <w:t xml:space="preserve">by the </w:t>
      </w:r>
      <w:r w:rsidR="00E551D5">
        <w:rPr>
          <w:lang w:val="en-AU"/>
        </w:rPr>
        <w:t>commentary</w:t>
      </w:r>
      <w:r w:rsidR="0048521C" w:rsidRPr="006F0D1A">
        <w:rPr>
          <w:lang w:val="en-AU"/>
        </w:rPr>
        <w:t xml:space="preserve"> </w:t>
      </w:r>
      <w:r w:rsidR="00C325FB" w:rsidRPr="006F0D1A">
        <w:rPr>
          <w:lang w:val="en-AU"/>
        </w:rPr>
        <w:t xml:space="preserve">that </w:t>
      </w:r>
      <w:r w:rsidR="002F1538" w:rsidRPr="006F0D1A">
        <w:rPr>
          <w:lang w:val="en-AU"/>
        </w:rPr>
        <w:t xml:space="preserve">the rates of graft survival found in the imlifidase </w:t>
      </w:r>
      <w:r w:rsidR="00720E6C" w:rsidRPr="006F0D1A">
        <w:rPr>
          <w:lang w:val="en-AU"/>
        </w:rPr>
        <w:t>study population</w:t>
      </w:r>
      <w:r w:rsidR="002F1538" w:rsidRPr="006F0D1A">
        <w:rPr>
          <w:lang w:val="en-AU"/>
        </w:rPr>
        <w:t xml:space="preserve"> </w:t>
      </w:r>
      <w:r w:rsidR="006D5CA3" w:rsidRPr="006F0D1A">
        <w:rPr>
          <w:lang w:val="en-AU"/>
        </w:rPr>
        <w:t xml:space="preserve">provide evidence </w:t>
      </w:r>
      <w:r w:rsidR="003D3873" w:rsidRPr="006F0D1A">
        <w:rPr>
          <w:lang w:val="en-AU"/>
        </w:rPr>
        <w:t xml:space="preserve">to support the use </w:t>
      </w:r>
      <w:r w:rsidR="00C007A6">
        <w:rPr>
          <w:lang w:val="en-AU"/>
        </w:rPr>
        <w:t xml:space="preserve">of </w:t>
      </w:r>
      <w:r w:rsidR="004476C3" w:rsidRPr="006F0D1A">
        <w:rPr>
          <w:lang w:val="en-AU"/>
        </w:rPr>
        <w:t>imlifidase</w:t>
      </w:r>
      <w:r w:rsidR="003D3873" w:rsidRPr="006F0D1A">
        <w:rPr>
          <w:lang w:val="en-AU"/>
        </w:rPr>
        <w:t xml:space="preserve"> </w:t>
      </w:r>
      <w:r w:rsidR="004476C3" w:rsidRPr="006F0D1A">
        <w:rPr>
          <w:lang w:val="en-AU"/>
        </w:rPr>
        <w:t>to enable</w:t>
      </w:r>
      <w:r w:rsidR="003D3873" w:rsidRPr="006F0D1A">
        <w:rPr>
          <w:lang w:val="en-AU"/>
        </w:rPr>
        <w:t xml:space="preserve"> </w:t>
      </w:r>
      <w:r w:rsidR="00F55C2B" w:rsidRPr="006F0D1A">
        <w:rPr>
          <w:lang w:val="en-AU"/>
        </w:rPr>
        <w:t>HLA</w:t>
      </w:r>
      <w:r w:rsidR="00427F43">
        <w:rPr>
          <w:lang w:val="en-AU"/>
        </w:rPr>
        <w:t>-</w:t>
      </w:r>
      <w:r w:rsidR="003D3B8E" w:rsidRPr="003D3B8E">
        <w:rPr>
          <w:lang w:val="en-AU"/>
        </w:rPr>
        <w:t>incompatible</w:t>
      </w:r>
      <w:r w:rsidR="003D3B8E" w:rsidRPr="003D3B8E" w:rsidDel="003D3B8E">
        <w:rPr>
          <w:lang w:val="en-AU"/>
        </w:rPr>
        <w:t xml:space="preserve"> </w:t>
      </w:r>
      <w:r w:rsidR="00F316E2" w:rsidRPr="006F0D1A">
        <w:rPr>
          <w:lang w:val="en-AU"/>
        </w:rPr>
        <w:t>transplant</w:t>
      </w:r>
      <w:r w:rsidR="00D079E5">
        <w:rPr>
          <w:lang w:val="en-AU"/>
        </w:rPr>
        <w:t>s</w:t>
      </w:r>
      <w:r w:rsidR="00F316E2" w:rsidRPr="006F0D1A">
        <w:rPr>
          <w:lang w:val="en-AU"/>
        </w:rPr>
        <w:t xml:space="preserve"> to occur in Australian ‘</w:t>
      </w:r>
      <w:r w:rsidR="00775B92" w:rsidRPr="006F0D1A">
        <w:rPr>
          <w:lang w:val="en-AU"/>
        </w:rPr>
        <w:t>unlikely</w:t>
      </w:r>
      <w:r w:rsidR="00F316E2" w:rsidRPr="006F0D1A">
        <w:rPr>
          <w:lang w:val="en-AU"/>
        </w:rPr>
        <w:t xml:space="preserve"> to </w:t>
      </w:r>
      <w:r w:rsidR="00775B92" w:rsidRPr="006F0D1A">
        <w:rPr>
          <w:lang w:val="en-AU"/>
        </w:rPr>
        <w:t xml:space="preserve">be transplanted’ HS patients. </w:t>
      </w:r>
    </w:p>
    <w:p w14:paraId="05AFC76C" w14:textId="240F49A3" w:rsidR="00791B42" w:rsidRPr="006F0D1A" w:rsidRDefault="00713589" w:rsidP="00E76072">
      <w:pPr>
        <w:pStyle w:val="Heading4"/>
      </w:pPr>
      <w:r w:rsidRPr="006F0D1A">
        <w:t>5: Graft rejection over time due to antibody-mediated rejection</w:t>
      </w:r>
    </w:p>
    <w:p w14:paraId="50B50D5E" w14:textId="3F57257E" w:rsidR="00713589" w:rsidRDefault="00C823F3" w:rsidP="00C52914">
      <w:pPr>
        <w:autoSpaceDE w:val="0"/>
        <w:autoSpaceDN w:val="0"/>
        <w:adjustRightInd w:val="0"/>
        <w:spacing w:before="0"/>
      </w:pPr>
      <w:r>
        <w:t>Because</w:t>
      </w:r>
      <w:r w:rsidR="00EC0468">
        <w:t xml:space="preserve"> </w:t>
      </w:r>
      <w:r w:rsidR="00F73D67">
        <w:t xml:space="preserve">imlifidase acts to lower DSA levels during the initial </w:t>
      </w:r>
      <w:r w:rsidR="001B368A">
        <w:t xml:space="preserve">period of transplantation </w:t>
      </w:r>
      <w:r w:rsidR="00A50815">
        <w:t xml:space="preserve">and is not expected to impact other rejection events, </w:t>
      </w:r>
      <w:r w:rsidR="00847EC4" w:rsidRPr="007743E4">
        <w:t xml:space="preserve">antibody-mediated rejection </w:t>
      </w:r>
      <w:r w:rsidR="00E16674">
        <w:t>(</w:t>
      </w:r>
      <w:r w:rsidR="00A50815">
        <w:t>AMR</w:t>
      </w:r>
      <w:r w:rsidR="00E16674">
        <w:t>)</w:t>
      </w:r>
      <w:r w:rsidR="00A50815">
        <w:t xml:space="preserve"> </w:t>
      </w:r>
      <w:r w:rsidR="00A855E9">
        <w:t xml:space="preserve">was </w:t>
      </w:r>
      <w:r w:rsidR="0058486B">
        <w:t xml:space="preserve">not considered </w:t>
      </w:r>
      <w:r w:rsidR="00CC12D6">
        <w:t>in</w:t>
      </w:r>
      <w:r w:rsidR="00E16674">
        <w:t xml:space="preserve"> the </w:t>
      </w:r>
      <w:r w:rsidR="00676525">
        <w:t>ADAR</w:t>
      </w:r>
      <w:r w:rsidR="00E16674">
        <w:t xml:space="preserve"> </w:t>
      </w:r>
      <w:r w:rsidR="0058486B">
        <w:t xml:space="preserve">to be a study </w:t>
      </w:r>
      <w:r w:rsidR="006160BB">
        <w:t xml:space="preserve">primary efficacy outcome and </w:t>
      </w:r>
      <w:r w:rsidR="008D3C57">
        <w:t xml:space="preserve">was considered a safety consideration. </w:t>
      </w:r>
      <w:r w:rsidR="005F601C">
        <w:t xml:space="preserve">The </w:t>
      </w:r>
      <w:r w:rsidR="007D137C">
        <w:t>commentary</w:t>
      </w:r>
      <w:r w:rsidR="005F601C">
        <w:t xml:space="preserve"> agree</w:t>
      </w:r>
      <w:r w:rsidR="00E16674">
        <w:t>d</w:t>
      </w:r>
      <w:r w:rsidR="005F601C">
        <w:t xml:space="preserve"> with this </w:t>
      </w:r>
      <w:r w:rsidR="00B41670">
        <w:t xml:space="preserve">categorisation. </w:t>
      </w:r>
      <w:r w:rsidR="008D3C57">
        <w:t xml:space="preserve">In total, </w:t>
      </w:r>
      <w:r w:rsidR="000B0E59">
        <w:t>10 patients in the UTT-A and UTT populations</w:t>
      </w:r>
      <w:r w:rsidR="000B2E1C">
        <w:t xml:space="preserve"> experienced AMR</w:t>
      </w:r>
      <w:r w:rsidR="00AF0E0F">
        <w:t xml:space="preserve"> during the 6</w:t>
      </w:r>
      <w:r w:rsidR="00AB4FB3">
        <w:t>-</w:t>
      </w:r>
      <w:r w:rsidR="00AF0E0F">
        <w:t>month study period</w:t>
      </w:r>
      <w:r w:rsidR="000B2E1C">
        <w:t xml:space="preserve">, with </w:t>
      </w:r>
      <w:r w:rsidR="00E16674">
        <w:t xml:space="preserve">2 </w:t>
      </w:r>
      <w:r w:rsidR="000B2E1C">
        <w:t>reported as subclinical.</w:t>
      </w:r>
      <w:r w:rsidR="006655EA">
        <w:t xml:space="preserve"> All instances of AMR were successfully treated using standard therapies</w:t>
      </w:r>
      <w:r w:rsidR="00255443">
        <w:t xml:space="preserve"> according to local practice</w:t>
      </w:r>
      <w:r w:rsidR="00A041D7">
        <w:t>. N</w:t>
      </w:r>
      <w:r w:rsidR="00255443">
        <w:t>o grafts were lost due to active AMR</w:t>
      </w:r>
      <w:r w:rsidR="006505FF">
        <w:t xml:space="preserve"> at 6 months</w:t>
      </w:r>
      <w:r w:rsidR="006655EA">
        <w:t xml:space="preserve">. </w:t>
      </w:r>
      <w:r w:rsidR="00466B95">
        <w:t xml:space="preserve">The </w:t>
      </w:r>
      <w:r w:rsidR="000312E8">
        <w:t xml:space="preserve">commentary </w:t>
      </w:r>
      <w:r w:rsidR="00B003DF">
        <w:t xml:space="preserve">noted that the standard of care used to treat </w:t>
      </w:r>
      <w:r w:rsidR="00452CA5">
        <w:t>AMR</w:t>
      </w:r>
      <w:r w:rsidR="006655EA">
        <w:t xml:space="preserve"> </w:t>
      </w:r>
      <w:r w:rsidR="007837FC">
        <w:t xml:space="preserve">may not be generalisable to </w:t>
      </w:r>
      <w:r w:rsidR="00D36B97">
        <w:t>an Australian population.</w:t>
      </w:r>
    </w:p>
    <w:p w14:paraId="4A362ADC" w14:textId="0D461922" w:rsidR="00AB4FB3" w:rsidRDefault="00A041D7" w:rsidP="00C52914">
      <w:pPr>
        <w:autoSpaceDE w:val="0"/>
        <w:autoSpaceDN w:val="0"/>
        <w:adjustRightInd w:val="0"/>
        <w:spacing w:before="0"/>
      </w:pPr>
      <w:r>
        <w:t xml:space="preserve">It was agreed by the </w:t>
      </w:r>
      <w:r w:rsidR="000312E8">
        <w:t xml:space="preserve">commentary </w:t>
      </w:r>
      <w:r>
        <w:t>that graft failure due to AMR can be considered a clinically important AE in Australia, g</w:t>
      </w:r>
      <w:r w:rsidR="00057BE3">
        <w:t xml:space="preserve">iven the data provided by the </w:t>
      </w:r>
      <w:r w:rsidR="00676525">
        <w:t>ADAR</w:t>
      </w:r>
      <w:r w:rsidR="00057BE3">
        <w:t xml:space="preserve"> that </w:t>
      </w:r>
      <w:r w:rsidR="003C307A">
        <w:t xml:space="preserve">acute rejection </w:t>
      </w:r>
      <w:r w:rsidR="00925824">
        <w:t xml:space="preserve">as the </w:t>
      </w:r>
      <w:r w:rsidR="00A85EF9">
        <w:t xml:space="preserve">cause </w:t>
      </w:r>
      <w:r w:rsidR="00997D45">
        <w:t xml:space="preserve">of </w:t>
      </w:r>
      <w:r w:rsidR="00A85EF9">
        <w:t xml:space="preserve">graft </w:t>
      </w:r>
      <w:r w:rsidR="00925824">
        <w:t>failure</w:t>
      </w:r>
      <w:r w:rsidR="00997D45">
        <w:t xml:space="preserve"> </w:t>
      </w:r>
      <w:r w:rsidR="00BB43FC">
        <w:t>was reported</w:t>
      </w:r>
      <w:r w:rsidR="00925824">
        <w:t xml:space="preserve"> </w:t>
      </w:r>
      <w:r w:rsidR="00A85EF9">
        <w:t>in 14% of graft losses in the first year and 4</w:t>
      </w:r>
      <w:r w:rsidR="00FB143D">
        <w:t>%</w:t>
      </w:r>
      <w:r w:rsidR="00A85EF9">
        <w:t xml:space="preserve"> beyond the first year</w:t>
      </w:r>
      <w:r w:rsidR="00664D55">
        <w:t xml:space="preserve">. </w:t>
      </w:r>
    </w:p>
    <w:p w14:paraId="03BF51C5" w14:textId="115729F0" w:rsidR="00664D55" w:rsidRDefault="005165D5" w:rsidP="00C52914">
      <w:pPr>
        <w:autoSpaceDE w:val="0"/>
        <w:autoSpaceDN w:val="0"/>
        <w:adjustRightInd w:val="0"/>
        <w:spacing w:before="0"/>
      </w:pPr>
      <w:r>
        <w:t xml:space="preserve">The </w:t>
      </w:r>
      <w:r w:rsidR="00676525">
        <w:t>ADAR</w:t>
      </w:r>
      <w:r>
        <w:t xml:space="preserve"> noted that </w:t>
      </w:r>
      <w:r w:rsidR="00B216DB" w:rsidRPr="00B216DB">
        <w:t>AMR rejection rates in Australia vary according to the type of transplant and vary across reported years in the ANZDATA registry</w:t>
      </w:r>
      <w:r w:rsidR="00B216DB">
        <w:t xml:space="preserve">. </w:t>
      </w:r>
      <w:r w:rsidR="00E92260">
        <w:t xml:space="preserve">The </w:t>
      </w:r>
      <w:r w:rsidR="00676525">
        <w:t>ADAR</w:t>
      </w:r>
      <w:r w:rsidR="00E92260">
        <w:t xml:space="preserve"> also provides data</w:t>
      </w:r>
      <w:r w:rsidR="005F3560">
        <w:t>,</w:t>
      </w:r>
      <w:r w:rsidR="00E92260">
        <w:t xml:space="preserve"> supported by the </w:t>
      </w:r>
      <w:r w:rsidR="007A4DA4">
        <w:t>European Medicines Agency (</w:t>
      </w:r>
      <w:r w:rsidR="00E92260">
        <w:t>EMA</w:t>
      </w:r>
      <w:r w:rsidR="007A4DA4">
        <w:t>)</w:t>
      </w:r>
      <w:r w:rsidR="005F3560">
        <w:t>,</w:t>
      </w:r>
      <w:r w:rsidR="00E92260">
        <w:t xml:space="preserve"> that </w:t>
      </w:r>
      <w:r w:rsidR="00F751FA">
        <w:t xml:space="preserve">in </w:t>
      </w:r>
      <w:r w:rsidR="00E92260">
        <w:t xml:space="preserve">HS </w:t>
      </w:r>
      <w:r w:rsidR="0042235A">
        <w:t xml:space="preserve">patients the reported frequency </w:t>
      </w:r>
      <w:r w:rsidR="00961D67">
        <w:t xml:space="preserve">of AMR </w:t>
      </w:r>
      <w:r w:rsidR="007A0488">
        <w:t>v</w:t>
      </w:r>
      <w:r w:rsidR="00961D67">
        <w:t>ari</w:t>
      </w:r>
      <w:r w:rsidR="007A0488">
        <w:t>es</w:t>
      </w:r>
      <w:r w:rsidR="00961D67">
        <w:t xml:space="preserve"> from 12</w:t>
      </w:r>
      <w:r w:rsidR="00F61560">
        <w:t xml:space="preserve">% to 61%. </w:t>
      </w:r>
      <w:r w:rsidR="00804032">
        <w:t xml:space="preserve">The </w:t>
      </w:r>
      <w:r w:rsidR="000312E8">
        <w:t xml:space="preserve">commentary </w:t>
      </w:r>
      <w:r w:rsidR="005F3560">
        <w:t>noted</w:t>
      </w:r>
      <w:r w:rsidR="00804032">
        <w:t xml:space="preserve"> it</w:t>
      </w:r>
      <w:r w:rsidR="00B216DB">
        <w:t xml:space="preserve"> is difficult to</w:t>
      </w:r>
      <w:r>
        <w:t xml:space="preserve"> </w:t>
      </w:r>
      <w:r w:rsidR="00C7069B">
        <w:t>compare</w:t>
      </w:r>
      <w:r w:rsidR="00BB5967">
        <w:t xml:space="preserve"> the rate of AMR </w:t>
      </w:r>
      <w:r w:rsidR="001A2BEF">
        <w:t xml:space="preserve">seen in the imlifidase study </w:t>
      </w:r>
      <w:r w:rsidR="000F6B40">
        <w:t>to Australian</w:t>
      </w:r>
      <w:r w:rsidR="001A2BEF">
        <w:t xml:space="preserve"> </w:t>
      </w:r>
      <w:r w:rsidR="0003235D">
        <w:t xml:space="preserve">patients eligible to receive </w:t>
      </w:r>
      <w:r w:rsidR="00B216DB">
        <w:t>the treatment</w:t>
      </w:r>
      <w:r w:rsidR="009E6BD7">
        <w:t>.</w:t>
      </w:r>
      <w:r w:rsidR="00531163">
        <w:t xml:space="preserve"> </w:t>
      </w:r>
      <w:r w:rsidR="009E6BD7">
        <w:t xml:space="preserve">The </w:t>
      </w:r>
      <w:r w:rsidR="000312E8">
        <w:t xml:space="preserve">commentary </w:t>
      </w:r>
      <w:r w:rsidR="00531163">
        <w:t xml:space="preserve">acknowledged </w:t>
      </w:r>
      <w:r w:rsidR="00824778">
        <w:t xml:space="preserve">and accepted </w:t>
      </w:r>
      <w:r w:rsidR="00531163">
        <w:t xml:space="preserve">that </w:t>
      </w:r>
      <w:r w:rsidR="00512288">
        <w:t xml:space="preserve">rates of AMR from the UTT-A subgroup (30%) </w:t>
      </w:r>
      <w:r w:rsidR="009E6BD7">
        <w:t>are</w:t>
      </w:r>
      <w:r w:rsidR="00772FD8">
        <w:t xml:space="preserve"> broadly </w:t>
      </w:r>
      <w:r w:rsidR="00547887">
        <w:t>consistent</w:t>
      </w:r>
      <w:r w:rsidR="00772FD8">
        <w:t xml:space="preserve"> with </w:t>
      </w:r>
      <w:r w:rsidR="0002781E">
        <w:t>the</w:t>
      </w:r>
      <w:r w:rsidR="00772FD8">
        <w:t xml:space="preserve"> </w:t>
      </w:r>
      <w:r w:rsidR="0002781E">
        <w:t>variable</w:t>
      </w:r>
      <w:r w:rsidR="009A786E">
        <w:t xml:space="preserve"> frequency of </w:t>
      </w:r>
      <w:r w:rsidR="00156DAA">
        <w:t xml:space="preserve">HS patients </w:t>
      </w:r>
      <w:r w:rsidR="0002781E">
        <w:t>reported</w:t>
      </w:r>
      <w:r w:rsidR="00156DAA">
        <w:t xml:space="preserve"> (12</w:t>
      </w:r>
      <w:r w:rsidR="00274446">
        <w:t>–</w:t>
      </w:r>
      <w:r w:rsidR="00156DAA">
        <w:t>61%)</w:t>
      </w:r>
      <w:r w:rsidR="00466FA8">
        <w:t>, however</w:t>
      </w:r>
      <w:r w:rsidR="00BC651F">
        <w:t>,</w:t>
      </w:r>
      <w:r w:rsidR="00466FA8">
        <w:t xml:space="preserve"> it is still </w:t>
      </w:r>
      <w:r w:rsidR="00274446">
        <w:t>un</w:t>
      </w:r>
      <w:r w:rsidR="00466FA8">
        <w:t xml:space="preserve">clear how generalisable this </w:t>
      </w:r>
      <w:r w:rsidR="009058E8">
        <w:t xml:space="preserve">data is to an Australian population. </w:t>
      </w:r>
    </w:p>
    <w:p w14:paraId="4C275803" w14:textId="7D1A5435" w:rsidR="006E7348" w:rsidRDefault="00F17AC6" w:rsidP="00C52914">
      <w:pPr>
        <w:autoSpaceDE w:val="0"/>
        <w:autoSpaceDN w:val="0"/>
        <w:adjustRightInd w:val="0"/>
        <w:spacing w:before="0"/>
      </w:pPr>
      <w:r>
        <w:t xml:space="preserve">Finally, the </w:t>
      </w:r>
      <w:r w:rsidR="00676525">
        <w:t>ADAR</w:t>
      </w:r>
      <w:r>
        <w:t xml:space="preserve"> states that treatment f</w:t>
      </w:r>
      <w:r w:rsidR="00FB5BB6">
        <w:t xml:space="preserve">or AMR </w:t>
      </w:r>
      <w:r w:rsidR="00513DAA">
        <w:t xml:space="preserve">that was inputted into the economic model </w:t>
      </w:r>
      <w:r w:rsidR="00FB5BB6">
        <w:t xml:space="preserve">was validated with </w:t>
      </w:r>
      <w:r w:rsidR="00BC651F">
        <w:t xml:space="preserve">2 </w:t>
      </w:r>
      <w:r w:rsidR="00FB5BB6">
        <w:t xml:space="preserve">experts </w:t>
      </w:r>
      <w:r w:rsidR="005856CC">
        <w:t xml:space="preserve">providing advice. After </w:t>
      </w:r>
      <w:r w:rsidR="007074F8">
        <w:t xml:space="preserve">review, the </w:t>
      </w:r>
      <w:r w:rsidR="00C23857">
        <w:t xml:space="preserve">commentary </w:t>
      </w:r>
      <w:r w:rsidR="00077876">
        <w:t xml:space="preserve">considered that </w:t>
      </w:r>
      <w:r w:rsidR="005777C4">
        <w:t xml:space="preserve">the </w:t>
      </w:r>
      <w:r w:rsidR="00EB083B">
        <w:t xml:space="preserve">methods used to collect </w:t>
      </w:r>
      <w:r w:rsidR="007074F8">
        <w:t xml:space="preserve">expert opinion </w:t>
      </w:r>
      <w:r w:rsidR="00EB083B">
        <w:t xml:space="preserve">as reported </w:t>
      </w:r>
      <w:r w:rsidR="007074F8">
        <w:t xml:space="preserve">is not fully in line with </w:t>
      </w:r>
      <w:r w:rsidR="005777C4">
        <w:t xml:space="preserve">the </w:t>
      </w:r>
      <w:r w:rsidR="000C6D7E">
        <w:t xml:space="preserve">guidelines for preparing </w:t>
      </w:r>
      <w:r w:rsidR="00862A08">
        <w:t xml:space="preserve">MSAC </w:t>
      </w:r>
      <w:r w:rsidR="000C6D7E">
        <w:t xml:space="preserve">assessments. </w:t>
      </w:r>
    </w:p>
    <w:p w14:paraId="08894673" w14:textId="079EFCBE" w:rsidR="00DC3A07" w:rsidRPr="00465751" w:rsidRDefault="00DC3A07" w:rsidP="00E76072">
      <w:pPr>
        <w:pStyle w:val="Heading4"/>
      </w:pPr>
      <w:r w:rsidRPr="00465751">
        <w:t>6: Kidney function by glomerular filtration rate</w:t>
      </w:r>
    </w:p>
    <w:p w14:paraId="099339D4" w14:textId="5D07035A" w:rsidR="00DC3A07" w:rsidRDefault="00B1383C" w:rsidP="00DC3A07">
      <w:pPr>
        <w:autoSpaceDE w:val="0"/>
        <w:autoSpaceDN w:val="0"/>
        <w:adjustRightInd w:val="0"/>
        <w:spacing w:before="0"/>
      </w:pPr>
      <w:r w:rsidRPr="00B1383C">
        <w:t>Estimated glomerular filtration rate (eGFR) calculated from serum creatinine levels was used as an outcome measure for kidney function and evaluated for all patients who underwent transplantation. The ADAR reports that generally kidney function was ‘satisfactory’ at 6 months after transplantation for the great majority of patients. No supporting information was provided to describe what constitutes satisfactory kidney function.</w:t>
      </w:r>
    </w:p>
    <w:p w14:paraId="343A2795" w14:textId="500AA947" w:rsidR="006F0D1A" w:rsidRDefault="00037FFE" w:rsidP="00DC3A07">
      <w:pPr>
        <w:autoSpaceDE w:val="0"/>
        <w:autoSpaceDN w:val="0"/>
        <w:adjustRightInd w:val="0"/>
        <w:spacing w:before="0"/>
      </w:pPr>
      <w:r>
        <w:t xml:space="preserve">The </w:t>
      </w:r>
      <w:r w:rsidR="00C23857">
        <w:t xml:space="preserve">commentary </w:t>
      </w:r>
      <w:r>
        <w:t xml:space="preserve">noted </w:t>
      </w:r>
      <w:r w:rsidR="006241E0">
        <w:t>that</w:t>
      </w:r>
      <w:r>
        <w:t xml:space="preserve"> t</w:t>
      </w:r>
      <w:r w:rsidRPr="00037FFE">
        <w:t xml:space="preserve">he definition of satisfactory kidney function is not explicitly mentioned and it is unclear </w:t>
      </w:r>
      <w:r w:rsidR="006241E0" w:rsidRPr="00037FFE">
        <w:t xml:space="preserve">from </w:t>
      </w:r>
      <w:r w:rsidRPr="00037FFE">
        <w:t xml:space="preserve">where this term is derived. </w:t>
      </w:r>
      <w:r w:rsidR="006241E0">
        <w:t>I</w:t>
      </w:r>
      <w:r w:rsidR="009E2DAE">
        <w:t>t is recommended</w:t>
      </w:r>
      <w:r w:rsidR="009E2DAE" w:rsidRPr="009E2DAE">
        <w:t xml:space="preserve"> to clarify the criteria for satisfactory kidney function and assess its relevance in the context of these study populations.</w:t>
      </w:r>
    </w:p>
    <w:p w14:paraId="156070F7" w14:textId="77777777" w:rsidR="00DC3A07" w:rsidRPr="00465751" w:rsidRDefault="00DC3A07" w:rsidP="00E76072">
      <w:pPr>
        <w:pStyle w:val="Heading4"/>
      </w:pPr>
      <w:r w:rsidRPr="00465751">
        <w:t>7: Delayed graft function</w:t>
      </w:r>
    </w:p>
    <w:p w14:paraId="66AA7411" w14:textId="018EA64A" w:rsidR="00E821EF" w:rsidRDefault="00A81B40" w:rsidP="00DC3A07">
      <w:pPr>
        <w:autoSpaceDE w:val="0"/>
        <w:autoSpaceDN w:val="0"/>
        <w:adjustRightInd w:val="0"/>
        <w:spacing w:before="0"/>
      </w:pPr>
      <w:r w:rsidRPr="00A81B40">
        <w:t xml:space="preserve">Among the 43 patients from the </w:t>
      </w:r>
      <w:r w:rsidR="007D2488">
        <w:t>a</w:t>
      </w:r>
      <w:r w:rsidRPr="00A81B40">
        <w:t>ll-</w:t>
      </w:r>
      <w:r w:rsidR="007D2488">
        <w:t>t</w:t>
      </w:r>
      <w:r w:rsidRPr="00A81B40">
        <w:t>ransplant group</w:t>
      </w:r>
      <w:r>
        <w:t xml:space="preserve"> </w:t>
      </w:r>
      <w:r w:rsidRPr="00A81B40">
        <w:t>with a functioning graft at 6 months, 19 (44%) had experienced delayed graft function (DGF) after transplantation</w:t>
      </w:r>
      <w:r w:rsidR="00124ADC">
        <w:t>,</w:t>
      </w:r>
      <w:r w:rsidR="0031793D">
        <w:t xml:space="preserve"> </w:t>
      </w:r>
      <w:r w:rsidRPr="00A81B40">
        <w:t>with persistence varying from 1 day to several weeks and months</w:t>
      </w:r>
      <w:r w:rsidR="00A30591">
        <w:t>.</w:t>
      </w:r>
      <w:r w:rsidR="00C1015C">
        <w:t xml:space="preserve"> </w:t>
      </w:r>
      <w:r w:rsidR="0031793D" w:rsidRPr="0031793D">
        <w:t xml:space="preserve">There was no apparent relationship between </w:t>
      </w:r>
      <w:r w:rsidR="00813190">
        <w:t xml:space="preserve">the </w:t>
      </w:r>
      <w:r w:rsidR="0031793D" w:rsidRPr="0031793D">
        <w:t xml:space="preserve">occurrence or length of DGF and cold ischemia time or </w:t>
      </w:r>
      <w:r w:rsidR="002617D2" w:rsidRPr="002617D2">
        <w:t>kidney donor profile index</w:t>
      </w:r>
      <w:r w:rsidR="009E36AE">
        <w:t>.</w:t>
      </w:r>
      <w:r w:rsidR="00B47128">
        <w:t xml:space="preserve"> </w:t>
      </w:r>
    </w:p>
    <w:p w14:paraId="5864BED4" w14:textId="7F47868C" w:rsidR="00F84C70" w:rsidRDefault="00012FC9" w:rsidP="00DC3A07">
      <w:pPr>
        <w:autoSpaceDE w:val="0"/>
        <w:autoSpaceDN w:val="0"/>
        <w:adjustRightInd w:val="0"/>
        <w:spacing w:before="0"/>
      </w:pPr>
      <w:r>
        <w:t xml:space="preserve">In the literature, the incidence of </w:t>
      </w:r>
      <w:r w:rsidRPr="00012FC9">
        <w:t>DGF</w:t>
      </w:r>
      <w:r>
        <w:t xml:space="preserve"> can greatly vary </w:t>
      </w:r>
      <w:r w:rsidR="000E0BBA">
        <w:t xml:space="preserve">among centres </w:t>
      </w:r>
      <w:r w:rsidR="009638C1">
        <w:t>from</w:t>
      </w:r>
      <w:r w:rsidRPr="00012FC9">
        <w:t xml:space="preserve"> 3.2% to 63.3%</w:t>
      </w:r>
      <w:r w:rsidR="000E0BBA">
        <w:t>.</w:t>
      </w:r>
      <w:r w:rsidR="00B13359">
        <w:rPr>
          <w:rStyle w:val="FootnoteReference"/>
        </w:rPr>
        <w:footnoteReference w:id="6"/>
      </w:r>
      <w:r w:rsidR="00DF7E8A">
        <w:t xml:space="preserve"> </w:t>
      </w:r>
      <w:r w:rsidR="009638C1">
        <w:t>One</w:t>
      </w:r>
      <w:r w:rsidR="00800771">
        <w:t xml:space="preserve"> US study </w:t>
      </w:r>
      <w:r w:rsidR="009D49A3">
        <w:t>found that t</w:t>
      </w:r>
      <w:r w:rsidR="009D49A3" w:rsidRPr="009D49A3">
        <w:t>he duration of DGF, rather than DGF itself, was associated with graft survival</w:t>
      </w:r>
      <w:r w:rsidR="007D3C0F">
        <w:t>.</w:t>
      </w:r>
      <w:r w:rsidR="007D3C0F">
        <w:rPr>
          <w:rStyle w:val="FootnoteReference"/>
        </w:rPr>
        <w:footnoteReference w:id="7"/>
      </w:r>
      <w:r w:rsidR="00696468">
        <w:t xml:space="preserve">  </w:t>
      </w:r>
    </w:p>
    <w:p w14:paraId="28D904A8" w14:textId="3AFE82B2" w:rsidR="00FF5F91" w:rsidRDefault="00BD4DDE" w:rsidP="00DC3A07">
      <w:pPr>
        <w:autoSpaceDE w:val="0"/>
        <w:autoSpaceDN w:val="0"/>
        <w:adjustRightInd w:val="0"/>
        <w:spacing w:before="0"/>
      </w:pPr>
      <w:r>
        <w:t xml:space="preserve">The </w:t>
      </w:r>
      <w:r w:rsidR="0027190D">
        <w:t xml:space="preserve">commentary </w:t>
      </w:r>
      <w:r>
        <w:t xml:space="preserve">noted that no clinical justification was provided </w:t>
      </w:r>
      <w:r w:rsidR="00BE1C29">
        <w:t xml:space="preserve">for the </w:t>
      </w:r>
      <w:r w:rsidR="0038502A" w:rsidRPr="0038502A">
        <w:t>clinical experts</w:t>
      </w:r>
      <w:r w:rsidR="00BE1C29">
        <w:t>’ view</w:t>
      </w:r>
      <w:r w:rsidR="0038502A" w:rsidRPr="0038502A">
        <w:t xml:space="preserve"> </w:t>
      </w:r>
      <w:r w:rsidR="001135E9">
        <w:t>that</w:t>
      </w:r>
      <w:r w:rsidR="0038502A" w:rsidRPr="0038502A">
        <w:t xml:space="preserve"> the duration of DGF is shorter </w:t>
      </w:r>
      <w:r w:rsidR="001135E9" w:rsidRPr="0038502A">
        <w:t>on average</w:t>
      </w:r>
      <w:r w:rsidR="0038502A" w:rsidRPr="0038502A">
        <w:t xml:space="preserve"> in Australia than in the US where many of the trial patients were transplanted</w:t>
      </w:r>
      <w:r w:rsidR="00A4012E">
        <w:t xml:space="preserve">. </w:t>
      </w:r>
      <w:r w:rsidR="00174AD5">
        <w:t xml:space="preserve">The </w:t>
      </w:r>
      <w:r w:rsidR="00A66CA4">
        <w:t xml:space="preserve">commentary </w:t>
      </w:r>
      <w:r w:rsidR="00174AD5">
        <w:t>stated that</w:t>
      </w:r>
      <w:r w:rsidR="00174AD5" w:rsidRPr="00CC77C2">
        <w:t xml:space="preserve"> it is unclear whether </w:t>
      </w:r>
      <w:r w:rsidR="00174AD5">
        <w:t xml:space="preserve">such </w:t>
      </w:r>
      <w:r w:rsidR="00174AD5" w:rsidRPr="00CC77C2">
        <w:t xml:space="preserve">a general country comparison is </w:t>
      </w:r>
      <w:r w:rsidR="00174AD5">
        <w:t>appropriate</w:t>
      </w:r>
      <w:r w:rsidR="00747ABF">
        <w:t>,</w:t>
      </w:r>
      <w:r w:rsidR="00174AD5" w:rsidRPr="00CC77C2">
        <w:t xml:space="preserve"> </w:t>
      </w:r>
      <w:r w:rsidR="00CC77C2" w:rsidRPr="00CC77C2">
        <w:t>given that the incidence rate of DGF var</w:t>
      </w:r>
      <w:r w:rsidR="001D22E5">
        <w:t>ies greatly</w:t>
      </w:r>
      <w:r w:rsidR="00CC77C2" w:rsidRPr="00CC77C2">
        <w:t xml:space="preserve"> between centres (3.2</w:t>
      </w:r>
      <w:r w:rsidR="0076228F">
        <w:t>–</w:t>
      </w:r>
      <w:r w:rsidR="00CC77C2" w:rsidRPr="00CC77C2">
        <w:t>63.3%)</w:t>
      </w:r>
      <w:r w:rsidR="00CC77C2">
        <w:t>.</w:t>
      </w:r>
    </w:p>
    <w:p w14:paraId="32BC5AFA" w14:textId="2FDA641B" w:rsidR="00713589" w:rsidRPr="00465751" w:rsidRDefault="00DC3A07" w:rsidP="00E76072">
      <w:pPr>
        <w:pStyle w:val="Heading4"/>
      </w:pPr>
      <w:r w:rsidRPr="00465751">
        <w:t>8: Quality of Life</w:t>
      </w:r>
    </w:p>
    <w:p w14:paraId="37701C56" w14:textId="17E6C3FA" w:rsidR="0089088D" w:rsidRPr="0089088D" w:rsidRDefault="0089088D" w:rsidP="0089088D">
      <w:pPr>
        <w:autoSpaceDE w:val="0"/>
        <w:autoSpaceDN w:val="0"/>
        <w:adjustRightInd w:val="0"/>
        <w:spacing w:before="0"/>
        <w:rPr>
          <w:lang w:val="en-GB"/>
        </w:rPr>
      </w:pPr>
      <w:r w:rsidRPr="0089088D">
        <w:rPr>
          <w:lang w:val="en-GB"/>
        </w:rPr>
        <w:t>Health-related quality of life (</w:t>
      </w:r>
      <w:proofErr w:type="spellStart"/>
      <w:r w:rsidRPr="0089088D">
        <w:rPr>
          <w:lang w:val="en-GB"/>
        </w:rPr>
        <w:t>HRQoL</w:t>
      </w:r>
      <w:proofErr w:type="spellEnd"/>
      <w:r w:rsidRPr="0089088D">
        <w:rPr>
          <w:lang w:val="en-GB"/>
        </w:rPr>
        <w:t>) has been identified as a crucial transplant outcome priority by Australian healthcare professionals and community members</w:t>
      </w:r>
      <w:r w:rsidR="00547720">
        <w:rPr>
          <w:rStyle w:val="FootnoteReference"/>
          <w:lang w:val="en-GB"/>
        </w:rPr>
        <w:footnoteReference w:id="8"/>
      </w:r>
      <w:r w:rsidRPr="0089088D">
        <w:rPr>
          <w:lang w:val="en-GB"/>
        </w:rPr>
        <w:t xml:space="preserve"> and was recogni</w:t>
      </w:r>
      <w:r w:rsidR="008C626C">
        <w:rPr>
          <w:lang w:val="en-GB"/>
        </w:rPr>
        <w:t>s</w:t>
      </w:r>
      <w:r w:rsidRPr="0089088D">
        <w:rPr>
          <w:lang w:val="en-GB"/>
        </w:rPr>
        <w:t xml:space="preserve">ed as a key benefit of transplantation for patients and carers during the PICO consultation. </w:t>
      </w:r>
      <w:r w:rsidR="00B11738">
        <w:rPr>
          <w:lang w:val="en-GB"/>
        </w:rPr>
        <w:t>The</w:t>
      </w:r>
      <w:r>
        <w:rPr>
          <w:lang w:val="en-GB"/>
        </w:rPr>
        <w:t xml:space="preserve"> </w:t>
      </w:r>
      <w:r w:rsidR="00F53C03">
        <w:t xml:space="preserve">commentary </w:t>
      </w:r>
      <w:r>
        <w:rPr>
          <w:lang w:val="en-GB"/>
        </w:rPr>
        <w:t>noted that the</w:t>
      </w:r>
      <w:r w:rsidRPr="0089088D">
        <w:rPr>
          <w:lang w:val="en-GB"/>
        </w:rPr>
        <w:t xml:space="preserve"> imlifidase </w:t>
      </w:r>
      <w:r w:rsidR="003A7A8E">
        <w:rPr>
          <w:lang w:val="en-GB"/>
        </w:rPr>
        <w:t>p</w:t>
      </w:r>
      <w:r w:rsidRPr="0089088D">
        <w:rPr>
          <w:lang w:val="en-GB"/>
        </w:rPr>
        <w:t>hase</w:t>
      </w:r>
      <w:r w:rsidR="00892598">
        <w:rPr>
          <w:lang w:val="en-GB"/>
        </w:rPr>
        <w:t>-</w:t>
      </w:r>
      <w:r w:rsidR="00CC50B0">
        <w:rPr>
          <w:lang w:val="en-GB"/>
        </w:rPr>
        <w:t>II</w:t>
      </w:r>
      <w:r w:rsidRPr="0089088D">
        <w:rPr>
          <w:lang w:val="en-GB"/>
        </w:rPr>
        <w:t xml:space="preserve"> studies did not collect </w:t>
      </w:r>
      <w:proofErr w:type="spellStart"/>
      <w:r w:rsidRPr="0089088D">
        <w:rPr>
          <w:lang w:val="en-GB"/>
        </w:rPr>
        <w:t>HRQoL</w:t>
      </w:r>
      <w:proofErr w:type="spellEnd"/>
      <w:r w:rsidRPr="0089088D">
        <w:rPr>
          <w:lang w:val="en-GB"/>
        </w:rPr>
        <w:t xml:space="preserve"> data. </w:t>
      </w:r>
      <w:r w:rsidR="00523040">
        <w:rPr>
          <w:lang w:val="en-GB"/>
        </w:rPr>
        <w:t>T</w:t>
      </w:r>
      <w:r w:rsidR="007D7093" w:rsidRPr="007D7093">
        <w:t xml:space="preserve">he </w:t>
      </w:r>
      <w:r w:rsidR="00F53C03">
        <w:t xml:space="preserve">commentary </w:t>
      </w:r>
      <w:r w:rsidR="007D7093" w:rsidRPr="007D7093">
        <w:t>observe</w:t>
      </w:r>
      <w:r w:rsidR="00E721E9">
        <w:t>d</w:t>
      </w:r>
      <w:r w:rsidR="007D7093" w:rsidRPr="007D7093">
        <w:t xml:space="preserve"> that although </w:t>
      </w:r>
      <w:proofErr w:type="spellStart"/>
      <w:r w:rsidR="007D7093" w:rsidRPr="007D7093">
        <w:t>HRQoL</w:t>
      </w:r>
      <w:proofErr w:type="spellEnd"/>
      <w:r w:rsidR="007D7093" w:rsidRPr="007D7093">
        <w:t xml:space="preserve"> data was collected in the follow-up </w:t>
      </w:r>
      <w:r w:rsidR="00523040">
        <w:t>s</w:t>
      </w:r>
      <w:r w:rsidR="007D7093" w:rsidRPr="007D7093">
        <w:t>tudy 17-HMedIdeS-14, health state utility decrement values used in the model were derived from a targeted literature review, rather than utili</w:t>
      </w:r>
      <w:r w:rsidR="00E86903">
        <w:t>s</w:t>
      </w:r>
      <w:r w:rsidR="007D7093" w:rsidRPr="007D7093">
        <w:t xml:space="preserve">ing the </w:t>
      </w:r>
      <w:proofErr w:type="spellStart"/>
      <w:r w:rsidR="007D7093" w:rsidRPr="007D7093">
        <w:t>HRQoL</w:t>
      </w:r>
      <w:proofErr w:type="spellEnd"/>
      <w:r w:rsidR="007D7093" w:rsidRPr="007D7093">
        <w:t xml:space="preserve"> data from the </w:t>
      </w:r>
      <w:r w:rsidR="005A38E2">
        <w:t>trial.</w:t>
      </w:r>
      <w:r w:rsidR="005A38E2" w:rsidRPr="007D7093">
        <w:t xml:space="preserve"> </w:t>
      </w:r>
      <w:r w:rsidR="007D7093" w:rsidRPr="007D7093">
        <w:t>The reason for this approach is not clearly explained, except for a suggestion that the available data may have been sparse, with some patients having had only one visit. Further clarification would be helpful to understand the rationale behind this decision and its potential impact on evaluation outcomes.</w:t>
      </w:r>
      <w:r w:rsidRPr="0089088D">
        <w:rPr>
          <w:lang w:val="en-GB"/>
        </w:rPr>
        <w:t xml:space="preserve"> </w:t>
      </w:r>
    </w:p>
    <w:p w14:paraId="2519EFE3" w14:textId="01724C10" w:rsidR="00D86E13" w:rsidRDefault="00C36633" w:rsidP="00D86E13">
      <w:pPr>
        <w:pStyle w:val="Heading2"/>
        <w:numPr>
          <w:ilvl w:val="0"/>
          <w:numId w:val="0"/>
        </w:numPr>
      </w:pPr>
      <w:bookmarkStart w:id="20" w:name="_Toc69491425"/>
      <w:r>
        <w:t>1</w:t>
      </w:r>
      <w:r w:rsidR="00543A4D">
        <w:t>3</w:t>
      </w:r>
      <w:r>
        <w:t>.</w:t>
      </w:r>
      <w:r>
        <w:tab/>
      </w:r>
      <w:r w:rsidR="00772829" w:rsidRPr="00CE28E3">
        <w:t>Economic evaluation</w:t>
      </w:r>
      <w:bookmarkEnd w:id="20"/>
    </w:p>
    <w:p w14:paraId="77ECED7B" w14:textId="1BA4849C" w:rsidR="0012344B" w:rsidRDefault="003D2892" w:rsidP="004F307F">
      <w:pPr>
        <w:pStyle w:val="Heading3"/>
      </w:pPr>
      <w:r>
        <w:t>Cost</w:t>
      </w:r>
      <w:r w:rsidR="00B75C5A">
        <w:t>-</w:t>
      </w:r>
      <w:r w:rsidR="004742D1">
        <w:t>utility</w:t>
      </w:r>
      <w:r w:rsidR="00B75C5A">
        <w:t xml:space="preserve"> analysis</w:t>
      </w:r>
    </w:p>
    <w:p w14:paraId="3CE0477F" w14:textId="1C8C5CD8" w:rsidR="000916C9" w:rsidRDefault="009B3813" w:rsidP="00B75C5A">
      <w:pPr>
        <w:rPr>
          <w:color w:val="000000" w:themeColor="text1"/>
        </w:rPr>
      </w:pPr>
      <w:r>
        <w:rPr>
          <w:color w:val="000000" w:themeColor="text1"/>
        </w:rPr>
        <w:t xml:space="preserve">The </w:t>
      </w:r>
      <w:r w:rsidR="00DC6B61">
        <w:rPr>
          <w:color w:val="000000" w:themeColor="text1"/>
        </w:rPr>
        <w:t>ADAR</w:t>
      </w:r>
      <w:r>
        <w:rPr>
          <w:color w:val="000000" w:themeColor="text1"/>
        </w:rPr>
        <w:t xml:space="preserve"> presents a cost-utility analysis to</w:t>
      </w:r>
      <w:r w:rsidR="00B60D60">
        <w:rPr>
          <w:color w:val="000000" w:themeColor="text1"/>
        </w:rPr>
        <w:t xml:space="preserve"> quantify the additional costs and benefits of treatment with imlifidase prior to </w:t>
      </w:r>
      <w:r w:rsidR="00422139">
        <w:rPr>
          <w:color w:val="000000" w:themeColor="text1"/>
        </w:rPr>
        <w:t xml:space="preserve">kidney </w:t>
      </w:r>
      <w:r w:rsidR="00B60D60">
        <w:rPr>
          <w:color w:val="000000" w:themeColor="text1"/>
        </w:rPr>
        <w:t>tran</w:t>
      </w:r>
      <w:r w:rsidR="001A228B">
        <w:rPr>
          <w:color w:val="000000" w:themeColor="text1"/>
        </w:rPr>
        <w:t xml:space="preserve">splant in </w:t>
      </w:r>
      <w:r w:rsidR="00AB49C1">
        <w:rPr>
          <w:color w:val="000000" w:themeColor="text1"/>
        </w:rPr>
        <w:t>HS</w:t>
      </w:r>
      <w:r w:rsidR="001A228B">
        <w:rPr>
          <w:color w:val="000000" w:themeColor="text1"/>
        </w:rPr>
        <w:t xml:space="preserve"> individuals (</w:t>
      </w:r>
      <w:proofErr w:type="spellStart"/>
      <w:r w:rsidR="001A228B">
        <w:rPr>
          <w:color w:val="000000" w:themeColor="text1"/>
        </w:rPr>
        <w:t>cPRA</w:t>
      </w:r>
      <w:proofErr w:type="spellEnd"/>
      <w:r w:rsidR="001A228B">
        <w:rPr>
          <w:color w:val="000000" w:themeColor="text1"/>
        </w:rPr>
        <w:t xml:space="preserve"> ≥ 95%)</w:t>
      </w:r>
      <w:r w:rsidR="00837244">
        <w:rPr>
          <w:color w:val="000000" w:themeColor="text1"/>
        </w:rPr>
        <w:t>.</w:t>
      </w:r>
      <w:r w:rsidR="00235F95">
        <w:rPr>
          <w:color w:val="000000" w:themeColor="text1"/>
        </w:rPr>
        <w:t xml:space="preserve"> A cost-utility analysis is appropriate for the </w:t>
      </w:r>
      <w:r w:rsidR="008644EA">
        <w:rPr>
          <w:color w:val="000000" w:themeColor="text1"/>
        </w:rPr>
        <w:t>decision</w:t>
      </w:r>
      <w:r w:rsidR="001B1E37">
        <w:rPr>
          <w:color w:val="000000" w:themeColor="text1"/>
        </w:rPr>
        <w:t>,</w:t>
      </w:r>
      <w:r w:rsidR="008644EA">
        <w:rPr>
          <w:color w:val="000000" w:themeColor="text1"/>
        </w:rPr>
        <w:t xml:space="preserve"> </w:t>
      </w:r>
      <w:r w:rsidR="00582002">
        <w:rPr>
          <w:color w:val="000000" w:themeColor="text1"/>
        </w:rPr>
        <w:t xml:space="preserve">given the evidence of superior effectiveness </w:t>
      </w:r>
      <w:r w:rsidR="00422139">
        <w:rPr>
          <w:color w:val="000000" w:themeColor="text1"/>
        </w:rPr>
        <w:t xml:space="preserve">compared with current care in the absence of imlifidase. </w:t>
      </w:r>
      <w:r w:rsidR="00B33D84">
        <w:rPr>
          <w:color w:val="000000" w:themeColor="text1"/>
        </w:rPr>
        <w:t xml:space="preserve">The economic evaluation utilises a </w:t>
      </w:r>
      <w:r w:rsidR="00736ABE">
        <w:rPr>
          <w:color w:val="000000" w:themeColor="text1"/>
        </w:rPr>
        <w:t>cohort</w:t>
      </w:r>
      <w:r w:rsidR="001A01C7">
        <w:rPr>
          <w:color w:val="000000" w:themeColor="text1"/>
        </w:rPr>
        <w:t>-</w:t>
      </w:r>
      <w:r w:rsidR="00736ABE">
        <w:rPr>
          <w:color w:val="000000" w:themeColor="text1"/>
        </w:rPr>
        <w:t xml:space="preserve">level </w:t>
      </w:r>
      <w:r w:rsidR="00B33D84">
        <w:rPr>
          <w:color w:val="000000" w:themeColor="text1"/>
        </w:rPr>
        <w:t>Markov state transition model</w:t>
      </w:r>
      <w:r w:rsidR="00D05188">
        <w:rPr>
          <w:color w:val="000000" w:themeColor="text1"/>
        </w:rPr>
        <w:t xml:space="preserve"> developed in Microsoft Excel to estimate the costs and clinical benefits of </w:t>
      </w:r>
      <w:r w:rsidR="0081797C">
        <w:rPr>
          <w:color w:val="000000" w:themeColor="text1"/>
        </w:rPr>
        <w:t>increased kidney transplant</w:t>
      </w:r>
      <w:r w:rsidR="00BB51EE">
        <w:rPr>
          <w:color w:val="000000" w:themeColor="text1"/>
        </w:rPr>
        <w:t xml:space="preserve">ation </w:t>
      </w:r>
      <w:r w:rsidR="0030397A">
        <w:rPr>
          <w:color w:val="000000" w:themeColor="text1"/>
        </w:rPr>
        <w:t>rates</w:t>
      </w:r>
      <w:r w:rsidR="00BB51EE">
        <w:rPr>
          <w:color w:val="000000" w:themeColor="text1"/>
        </w:rPr>
        <w:t xml:space="preserve"> in the target population.</w:t>
      </w:r>
      <w:r w:rsidR="004E3347">
        <w:rPr>
          <w:color w:val="000000" w:themeColor="text1"/>
        </w:rPr>
        <w:t xml:space="preserve"> The model </w:t>
      </w:r>
      <w:r w:rsidR="00207D3E">
        <w:rPr>
          <w:color w:val="000000" w:themeColor="text1"/>
        </w:rPr>
        <w:t>includes health states</w:t>
      </w:r>
      <w:r w:rsidR="008C3AC1">
        <w:rPr>
          <w:color w:val="000000" w:themeColor="text1"/>
        </w:rPr>
        <w:t xml:space="preserve"> describing patients</w:t>
      </w:r>
      <w:r w:rsidR="007C22A3">
        <w:rPr>
          <w:color w:val="000000" w:themeColor="text1"/>
        </w:rPr>
        <w:t xml:space="preserve"> </w:t>
      </w:r>
      <w:r w:rsidR="00EC5CAD">
        <w:rPr>
          <w:color w:val="000000" w:themeColor="text1"/>
        </w:rPr>
        <w:t>receiving</w:t>
      </w:r>
      <w:r w:rsidR="007C22A3">
        <w:rPr>
          <w:color w:val="000000" w:themeColor="text1"/>
        </w:rPr>
        <w:t xml:space="preserve"> dialysis</w:t>
      </w:r>
      <w:r w:rsidR="00BD587C">
        <w:rPr>
          <w:color w:val="000000" w:themeColor="text1"/>
        </w:rPr>
        <w:t xml:space="preserve">, </w:t>
      </w:r>
      <w:r w:rsidR="00A94F17">
        <w:rPr>
          <w:color w:val="000000" w:themeColor="text1"/>
        </w:rPr>
        <w:t xml:space="preserve">those </w:t>
      </w:r>
      <w:r w:rsidR="00BD587C">
        <w:rPr>
          <w:color w:val="000000" w:themeColor="text1"/>
        </w:rPr>
        <w:t>on and off the kidney transplant waitlist,</w:t>
      </w:r>
      <w:r w:rsidR="00CB6078">
        <w:rPr>
          <w:color w:val="000000" w:themeColor="text1"/>
        </w:rPr>
        <w:t xml:space="preserve"> patients with a functioning graft and death</w:t>
      </w:r>
      <w:r w:rsidR="000916C9">
        <w:rPr>
          <w:color w:val="000000" w:themeColor="text1"/>
        </w:rPr>
        <w:t xml:space="preserve"> (</w:t>
      </w:r>
      <w:r w:rsidR="000916C9">
        <w:rPr>
          <w:color w:val="000000" w:themeColor="text1"/>
        </w:rPr>
        <w:fldChar w:fldCharType="begin"/>
      </w:r>
      <w:r w:rsidR="000916C9">
        <w:rPr>
          <w:color w:val="000000" w:themeColor="text1"/>
        </w:rPr>
        <w:instrText xml:space="preserve"> REF _Ref130907073 \h </w:instrText>
      </w:r>
      <w:r w:rsidR="000916C9">
        <w:rPr>
          <w:color w:val="000000" w:themeColor="text1"/>
        </w:rPr>
      </w:r>
      <w:r w:rsidR="000916C9">
        <w:rPr>
          <w:color w:val="000000" w:themeColor="text1"/>
        </w:rPr>
        <w:fldChar w:fldCharType="separate"/>
      </w:r>
      <w:r w:rsidR="00E209CB">
        <w:t xml:space="preserve">Figure </w:t>
      </w:r>
      <w:r w:rsidR="00E209CB">
        <w:rPr>
          <w:noProof/>
        </w:rPr>
        <w:t>1</w:t>
      </w:r>
      <w:r w:rsidR="000916C9">
        <w:rPr>
          <w:color w:val="000000" w:themeColor="text1"/>
        </w:rPr>
        <w:fldChar w:fldCharType="end"/>
      </w:r>
      <w:r w:rsidR="000916C9">
        <w:rPr>
          <w:color w:val="000000" w:themeColor="text1"/>
        </w:rPr>
        <w:t>)</w:t>
      </w:r>
      <w:r w:rsidR="00CB6078">
        <w:rPr>
          <w:color w:val="000000" w:themeColor="text1"/>
        </w:rPr>
        <w:t>.</w:t>
      </w:r>
      <w:r w:rsidR="009F724D">
        <w:rPr>
          <w:color w:val="000000" w:themeColor="text1"/>
        </w:rPr>
        <w:t xml:space="preserve"> </w:t>
      </w:r>
      <w:r w:rsidR="00C11A05">
        <w:rPr>
          <w:color w:val="000000" w:themeColor="text1"/>
        </w:rPr>
        <w:t xml:space="preserve">In addition to the direct health benefits to patients who receive imlifidase, the model also considers spill-over benefits in the form of </w:t>
      </w:r>
      <w:r w:rsidR="00693DF1">
        <w:rPr>
          <w:color w:val="000000" w:themeColor="text1"/>
        </w:rPr>
        <w:t>completed living donor chains administered through ANZKX</w:t>
      </w:r>
      <w:r w:rsidR="009729EF">
        <w:rPr>
          <w:color w:val="000000" w:themeColor="text1"/>
        </w:rPr>
        <w:t>, with a proportion of patients receiving imlifidase assumed to be included in living donor chains completed following successful treatment with imlifidase.</w:t>
      </w:r>
      <w:r w:rsidR="0095216F">
        <w:rPr>
          <w:color w:val="000000" w:themeColor="text1"/>
        </w:rPr>
        <w:t xml:space="preserve"> The benefits to other patients in these completed donor chains are also included in the </w:t>
      </w:r>
      <w:r w:rsidR="003A48A0">
        <w:rPr>
          <w:color w:val="000000" w:themeColor="text1"/>
        </w:rPr>
        <w:t>ADAR</w:t>
      </w:r>
      <w:r w:rsidR="00DA30EA">
        <w:rPr>
          <w:color w:val="000000" w:themeColor="text1"/>
        </w:rPr>
        <w:t xml:space="preserve"> when evaluating the benefit of treatment with imlifidase.</w:t>
      </w:r>
    </w:p>
    <w:p w14:paraId="09BE380B" w14:textId="77777777" w:rsidR="000916C9" w:rsidRDefault="000916C9" w:rsidP="000916C9">
      <w:pPr>
        <w:keepNext/>
      </w:pPr>
      <w:r>
        <w:rPr>
          <w:noProof/>
        </w:rPr>
        <w:drawing>
          <wp:inline distT="0" distB="0" distL="0" distR="0" wp14:anchorId="7098897C" wp14:editId="30FFF40D">
            <wp:extent cx="5731510" cy="2553335"/>
            <wp:effectExtent l="0" t="0" r="2540" b="0"/>
            <wp:docPr id="22" name="Picture 22" descr="Figure 1: Cost-utility model schematic">
              <a:extLst xmlns:a="http://schemas.openxmlformats.org/drawingml/2006/main">
                <a:ext uri="{FF2B5EF4-FFF2-40B4-BE49-F238E27FC236}">
                  <a16:creationId xmlns:a16="http://schemas.microsoft.com/office/drawing/2014/main" id="{00000000-0008-0000-02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1: Cost-utility model schematic">
                      <a:extLst>
                        <a:ext uri="{FF2B5EF4-FFF2-40B4-BE49-F238E27FC236}">
                          <a16:creationId xmlns:a16="http://schemas.microsoft.com/office/drawing/2014/main" id="{00000000-0008-0000-0200-000016000000}"/>
                        </a:ext>
                      </a:extLst>
                    </pic:cNvPr>
                    <pic:cNvPicPr>
                      <a:picLocks noChangeAspect="1"/>
                    </pic:cNvPicPr>
                  </pic:nvPicPr>
                  <pic:blipFill>
                    <a:blip r:embed="rId15"/>
                    <a:stretch>
                      <a:fillRect/>
                    </a:stretch>
                  </pic:blipFill>
                  <pic:spPr>
                    <a:xfrm>
                      <a:off x="0" y="0"/>
                      <a:ext cx="5731510" cy="2553335"/>
                    </a:xfrm>
                    <a:prstGeom prst="rect">
                      <a:avLst/>
                    </a:prstGeom>
                  </pic:spPr>
                </pic:pic>
              </a:graphicData>
            </a:graphic>
          </wp:inline>
        </w:drawing>
      </w:r>
    </w:p>
    <w:p w14:paraId="6875962A" w14:textId="6726324A" w:rsidR="000916C9" w:rsidRDefault="000916C9" w:rsidP="00E76072">
      <w:pPr>
        <w:pStyle w:val="Caption"/>
        <w:spacing w:after="360"/>
        <w:rPr>
          <w:color w:val="000000" w:themeColor="text1"/>
        </w:rPr>
      </w:pPr>
      <w:bookmarkStart w:id="21" w:name="_Ref130907073"/>
      <w:r>
        <w:t xml:space="preserve">Figure </w:t>
      </w:r>
      <w:r>
        <w:fldChar w:fldCharType="begin"/>
      </w:r>
      <w:r>
        <w:instrText>SEQ Figure \* ARABIC</w:instrText>
      </w:r>
      <w:r>
        <w:fldChar w:fldCharType="separate"/>
      </w:r>
      <w:r w:rsidR="00E209CB">
        <w:rPr>
          <w:noProof/>
        </w:rPr>
        <w:t>1</w:t>
      </w:r>
      <w:r>
        <w:fldChar w:fldCharType="end"/>
      </w:r>
      <w:bookmarkEnd w:id="21"/>
      <w:r w:rsidR="007277FA">
        <w:t>:</w:t>
      </w:r>
      <w:r>
        <w:t xml:space="preserve"> Cost-utility model schematic</w:t>
      </w:r>
    </w:p>
    <w:p w14:paraId="64618E9C" w14:textId="41C95FE9" w:rsidR="00214A6D" w:rsidRDefault="009F724D" w:rsidP="00E76072">
      <w:r>
        <w:t xml:space="preserve">Transitions between model health states were informed by </w:t>
      </w:r>
      <w:r w:rsidR="00CA3112">
        <w:t>analysis of individual patient data from the imlifidase trial program</w:t>
      </w:r>
      <w:r w:rsidR="007D04E9">
        <w:t xml:space="preserve"> and registry data from </w:t>
      </w:r>
      <w:r w:rsidR="00003F41">
        <w:t xml:space="preserve">ANZDATA and </w:t>
      </w:r>
      <w:r w:rsidR="007D04E9">
        <w:t>ANZKX</w:t>
      </w:r>
      <w:r>
        <w:t>.</w:t>
      </w:r>
      <w:r w:rsidR="00A36581">
        <w:t xml:space="preserve"> Health states were assigned costs and utility values sourced from published literature, with </w:t>
      </w:r>
      <w:r w:rsidR="00E97BAD">
        <w:t>time spent by patients in each health state informing overall costs and benefits accrued over a lifetime model horizon</w:t>
      </w:r>
      <w:r w:rsidR="003E0072">
        <w:t xml:space="preserve"> </w:t>
      </w:r>
      <w:r w:rsidR="00442295">
        <w:t>(6</w:t>
      </w:r>
      <w:r w:rsidR="003E0072">
        <w:t>-</w:t>
      </w:r>
      <w:r w:rsidR="002832FC">
        <w:t>month model c</w:t>
      </w:r>
      <w:r w:rsidR="00E57A7A">
        <w:t>ycle length</w:t>
      </w:r>
      <w:r w:rsidR="00442295">
        <w:t>)</w:t>
      </w:r>
      <w:r w:rsidR="00E57A7A">
        <w:t xml:space="preserve">. </w:t>
      </w:r>
      <w:r w:rsidR="00D528F4">
        <w:fldChar w:fldCharType="begin"/>
      </w:r>
      <w:r w:rsidR="00D528F4">
        <w:instrText xml:space="preserve"> REF _Ref130907123 \h </w:instrText>
      </w:r>
      <w:r w:rsidR="00E76072">
        <w:instrText xml:space="preserve"> \* MERGEFORMAT </w:instrText>
      </w:r>
      <w:r w:rsidR="00D528F4">
        <w:fldChar w:fldCharType="separate"/>
      </w:r>
      <w:r w:rsidR="00E209CB">
        <w:t xml:space="preserve">Table </w:t>
      </w:r>
      <w:r w:rsidR="00E209CB">
        <w:rPr>
          <w:noProof/>
        </w:rPr>
        <w:t>5</w:t>
      </w:r>
      <w:r w:rsidR="00D528F4">
        <w:fldChar w:fldCharType="end"/>
      </w:r>
      <w:r w:rsidR="00D528F4">
        <w:t xml:space="preserve"> shows a</w:t>
      </w:r>
      <w:r w:rsidR="00E57A7A">
        <w:t xml:space="preserve"> summary </w:t>
      </w:r>
      <w:r w:rsidR="00FA7CFE">
        <w:t>of</w:t>
      </w:r>
      <w:r w:rsidR="00E57A7A">
        <w:t xml:space="preserve"> the </w:t>
      </w:r>
      <w:r w:rsidR="005D13DD">
        <w:t>cost-utility model submitted</w:t>
      </w:r>
      <w:r w:rsidR="00D528F4">
        <w:t>.</w:t>
      </w:r>
    </w:p>
    <w:p w14:paraId="08D6F450" w14:textId="437CEA7C" w:rsidR="000916C9" w:rsidRDefault="000916C9" w:rsidP="000916C9">
      <w:pPr>
        <w:pStyle w:val="Caption"/>
      </w:pPr>
      <w:bookmarkStart w:id="22" w:name="_Ref130907123"/>
      <w:r>
        <w:t xml:space="preserve">Table </w:t>
      </w:r>
      <w:r>
        <w:fldChar w:fldCharType="begin"/>
      </w:r>
      <w:r>
        <w:instrText>SEQ Table \* ARABIC</w:instrText>
      </w:r>
      <w:r>
        <w:fldChar w:fldCharType="separate"/>
      </w:r>
      <w:r w:rsidR="00E209CB">
        <w:rPr>
          <w:noProof/>
        </w:rPr>
        <w:t>5</w:t>
      </w:r>
      <w:r>
        <w:fldChar w:fldCharType="end"/>
      </w:r>
      <w:bookmarkEnd w:id="22"/>
      <w:r>
        <w:t>:</w:t>
      </w:r>
      <w:r w:rsidRPr="000916C9">
        <w:t xml:space="preserve"> </w:t>
      </w:r>
      <w:r>
        <w:t>Summary</w:t>
      </w:r>
      <w:r w:rsidRPr="0086353C">
        <w:t xml:space="preserve"> of the economic model included in the </w:t>
      </w:r>
      <w:proofErr w:type="gramStart"/>
      <w:r w:rsidRPr="0086353C">
        <w:t>evaluation</w:t>
      </w:r>
      <w:proofErr w:type="gramEnd"/>
    </w:p>
    <w:tbl>
      <w:tblPr>
        <w:tblStyle w:val="TableGridLight"/>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317"/>
        <w:gridCol w:w="6699"/>
      </w:tblGrid>
      <w:tr w:rsidR="000916C9" w:rsidRPr="00F8722B" w14:paraId="6D7E29F4" w14:textId="77777777" w:rsidTr="00AD66C5">
        <w:trPr>
          <w:tblHeader/>
        </w:trPr>
        <w:tc>
          <w:tcPr>
            <w:tcW w:w="1285" w:type="pct"/>
          </w:tcPr>
          <w:p w14:paraId="5796BA22" w14:textId="77777777" w:rsidR="000916C9" w:rsidRPr="00F8722B" w:rsidRDefault="000916C9" w:rsidP="00F8722B">
            <w:pPr>
              <w:pStyle w:val="Tabletext0"/>
              <w:rPr>
                <w:b/>
                <w:bCs/>
              </w:rPr>
            </w:pPr>
            <w:bookmarkStart w:id="23" w:name="Title_Table5"/>
            <w:bookmarkStart w:id="24" w:name="_Hlk68276446"/>
            <w:bookmarkEnd w:id="23"/>
            <w:r w:rsidRPr="00F8722B">
              <w:rPr>
                <w:b/>
                <w:bCs/>
              </w:rPr>
              <w:t>Component</w:t>
            </w:r>
          </w:p>
        </w:tc>
        <w:tc>
          <w:tcPr>
            <w:tcW w:w="3715" w:type="pct"/>
          </w:tcPr>
          <w:p w14:paraId="4C6F8640" w14:textId="77777777" w:rsidR="000916C9" w:rsidRPr="00F8722B" w:rsidRDefault="000916C9" w:rsidP="00F8722B">
            <w:pPr>
              <w:pStyle w:val="Tabletext0"/>
              <w:rPr>
                <w:b/>
                <w:bCs/>
              </w:rPr>
            </w:pPr>
            <w:r w:rsidRPr="00F8722B">
              <w:rPr>
                <w:b/>
                <w:bCs/>
              </w:rPr>
              <w:t>Description</w:t>
            </w:r>
          </w:p>
        </w:tc>
      </w:tr>
      <w:tr w:rsidR="000916C9" w:rsidRPr="000449D1" w14:paraId="141F1C53" w14:textId="77777777" w:rsidTr="006F363A">
        <w:tc>
          <w:tcPr>
            <w:tcW w:w="1285" w:type="pct"/>
          </w:tcPr>
          <w:p w14:paraId="1C1C5447" w14:textId="77777777" w:rsidR="000916C9" w:rsidRPr="000449D1" w:rsidRDefault="000916C9" w:rsidP="00F8722B">
            <w:pPr>
              <w:pStyle w:val="Tabletext0"/>
            </w:pPr>
            <w:r w:rsidRPr="000449D1">
              <w:t>Perspective</w:t>
            </w:r>
          </w:p>
        </w:tc>
        <w:tc>
          <w:tcPr>
            <w:tcW w:w="3715" w:type="pct"/>
          </w:tcPr>
          <w:p w14:paraId="05D9EB28" w14:textId="4E879960" w:rsidR="000916C9" w:rsidRPr="000449D1" w:rsidRDefault="000916C9" w:rsidP="00F8722B">
            <w:pPr>
              <w:pStyle w:val="Tabletext0"/>
            </w:pPr>
            <w:r w:rsidRPr="0086353C">
              <w:rPr>
                <w:szCs w:val="24"/>
              </w:rPr>
              <w:t xml:space="preserve">Australian </w:t>
            </w:r>
            <w:r w:rsidR="002E58A5">
              <w:rPr>
                <w:szCs w:val="24"/>
              </w:rPr>
              <w:t>healthcare</w:t>
            </w:r>
            <w:r w:rsidR="004B40E9">
              <w:rPr>
                <w:szCs w:val="24"/>
              </w:rPr>
              <w:t xml:space="preserve"> </w:t>
            </w:r>
            <w:r w:rsidRPr="0086353C">
              <w:rPr>
                <w:szCs w:val="24"/>
              </w:rPr>
              <w:t>system</w:t>
            </w:r>
          </w:p>
        </w:tc>
      </w:tr>
      <w:tr w:rsidR="000916C9" w:rsidRPr="000449D1" w14:paraId="0EBB6F43" w14:textId="77777777" w:rsidTr="006F363A">
        <w:tc>
          <w:tcPr>
            <w:tcW w:w="1285" w:type="pct"/>
          </w:tcPr>
          <w:p w14:paraId="088E57E0" w14:textId="77777777" w:rsidR="000916C9" w:rsidRPr="000449D1" w:rsidRDefault="000916C9" w:rsidP="00F8722B">
            <w:pPr>
              <w:pStyle w:val="Tabletext0"/>
            </w:pPr>
            <w:r w:rsidRPr="000449D1">
              <w:t>Population</w:t>
            </w:r>
          </w:p>
        </w:tc>
        <w:tc>
          <w:tcPr>
            <w:tcW w:w="3715" w:type="pct"/>
          </w:tcPr>
          <w:p w14:paraId="23A76F0A" w14:textId="79D4E792" w:rsidR="004F5665" w:rsidRPr="004F5665" w:rsidRDefault="004F5665" w:rsidP="00F8722B">
            <w:pPr>
              <w:pStyle w:val="Tabletext0"/>
            </w:pPr>
            <w:r w:rsidRPr="004F5665">
              <w:t xml:space="preserve">Patients with ESKD who are </w:t>
            </w:r>
            <w:r w:rsidR="001973E0">
              <w:t>highly sensitised</w:t>
            </w:r>
            <w:r w:rsidRPr="004F5665">
              <w:t xml:space="preserve"> and unlikely to be transplanted</w:t>
            </w:r>
            <w:r w:rsidR="00BC254B">
              <w:t xml:space="preserve"> and:</w:t>
            </w:r>
          </w:p>
          <w:p w14:paraId="695B9B50" w14:textId="0F609162" w:rsidR="004F5665" w:rsidRPr="004F5665" w:rsidRDefault="00BC254B" w:rsidP="00D1462A">
            <w:pPr>
              <w:pStyle w:val="Tabletext0"/>
              <w:numPr>
                <w:ilvl w:val="0"/>
                <w:numId w:val="18"/>
              </w:numPr>
            </w:pPr>
            <w:r>
              <w:t>a</w:t>
            </w:r>
            <w:r w:rsidR="004F5665" w:rsidRPr="004F5665">
              <w:t xml:space="preserve">ctive on the </w:t>
            </w:r>
            <w:r w:rsidR="004C3166">
              <w:t>DD</w:t>
            </w:r>
            <w:r w:rsidR="004C3166" w:rsidRPr="004F5665">
              <w:t xml:space="preserve"> </w:t>
            </w:r>
            <w:r w:rsidR="004F5665" w:rsidRPr="004F5665">
              <w:t xml:space="preserve">and/or </w:t>
            </w:r>
            <w:r w:rsidR="004C3166">
              <w:t>LD</w:t>
            </w:r>
            <w:r w:rsidR="004F5665" w:rsidRPr="004F5665">
              <w:t xml:space="preserve"> list</w:t>
            </w:r>
          </w:p>
          <w:p w14:paraId="7A622D3E" w14:textId="34FFA631" w:rsidR="004F5665" w:rsidRPr="004F5665" w:rsidRDefault="00BC254B" w:rsidP="00D1462A">
            <w:pPr>
              <w:pStyle w:val="Tabletext0"/>
              <w:numPr>
                <w:ilvl w:val="0"/>
                <w:numId w:val="18"/>
              </w:numPr>
            </w:pPr>
            <w:r>
              <w:t>h</w:t>
            </w:r>
            <w:r w:rsidR="004F5665" w:rsidRPr="004F5665">
              <w:t xml:space="preserve">ave </w:t>
            </w:r>
            <w:proofErr w:type="spellStart"/>
            <w:r w:rsidR="004F5665" w:rsidRPr="004F5665">
              <w:t>cPRA</w:t>
            </w:r>
            <w:proofErr w:type="spellEnd"/>
            <w:r w:rsidR="004F5665" w:rsidRPr="004F5665">
              <w:t xml:space="preserve"> ≥95%</w:t>
            </w:r>
          </w:p>
          <w:p w14:paraId="236E93EB" w14:textId="0073D6A6" w:rsidR="004F5665" w:rsidRPr="004F5665" w:rsidRDefault="004F5665" w:rsidP="00D1462A">
            <w:pPr>
              <w:pStyle w:val="Tabletext0"/>
              <w:numPr>
                <w:ilvl w:val="0"/>
                <w:numId w:val="18"/>
              </w:numPr>
            </w:pPr>
            <w:r w:rsidRPr="004F5665">
              <w:t xml:space="preserve">a positive </w:t>
            </w:r>
            <w:r w:rsidR="000F7BD0">
              <w:t>crossmatch</w:t>
            </w:r>
            <w:r w:rsidRPr="004F5665">
              <w:t xml:space="preserve"> against an available donor</w:t>
            </w:r>
          </w:p>
          <w:p w14:paraId="57CDD6EF" w14:textId="20AC277A" w:rsidR="000916C9" w:rsidRPr="00A60169" w:rsidRDefault="004F5665" w:rsidP="00D1462A">
            <w:pPr>
              <w:pStyle w:val="Tabletext0"/>
              <w:numPr>
                <w:ilvl w:val="0"/>
                <w:numId w:val="18"/>
              </w:numPr>
            </w:pPr>
            <w:r w:rsidRPr="004F5665">
              <w:t xml:space="preserve">been on the DD transplant </w:t>
            </w:r>
            <w:r w:rsidR="008001D1">
              <w:t>waitlist</w:t>
            </w:r>
            <w:r w:rsidRPr="004F5665">
              <w:t xml:space="preserve"> and/or the ANZKX program for at least one year.</w:t>
            </w:r>
          </w:p>
        </w:tc>
      </w:tr>
      <w:tr w:rsidR="000916C9" w:rsidRPr="000449D1" w14:paraId="526BB227" w14:textId="77777777" w:rsidTr="006F363A">
        <w:tc>
          <w:tcPr>
            <w:tcW w:w="1285" w:type="pct"/>
          </w:tcPr>
          <w:p w14:paraId="47A8080D" w14:textId="77777777" w:rsidR="000916C9" w:rsidRPr="000449D1" w:rsidRDefault="000916C9" w:rsidP="00F8722B">
            <w:pPr>
              <w:pStyle w:val="Tabletext0"/>
            </w:pPr>
            <w:r w:rsidRPr="000449D1">
              <w:t>Prior testing</w:t>
            </w:r>
          </w:p>
        </w:tc>
        <w:tc>
          <w:tcPr>
            <w:tcW w:w="3715" w:type="pct"/>
          </w:tcPr>
          <w:p w14:paraId="2FFB2FF6" w14:textId="643C0BA3" w:rsidR="000916C9" w:rsidRPr="000449D1" w:rsidRDefault="00A93B98" w:rsidP="00F8722B">
            <w:pPr>
              <w:pStyle w:val="Tabletext0"/>
            </w:pPr>
            <w:r w:rsidRPr="00A93B98">
              <w:t xml:space="preserve">Luminex single antigen bead testing or flow cytometry </w:t>
            </w:r>
            <w:r w:rsidR="000F7BD0">
              <w:t>crossmatch</w:t>
            </w:r>
          </w:p>
        </w:tc>
      </w:tr>
      <w:tr w:rsidR="000916C9" w:rsidRPr="000449D1" w14:paraId="2B40058D" w14:textId="77777777" w:rsidTr="006F363A">
        <w:tc>
          <w:tcPr>
            <w:tcW w:w="1285" w:type="pct"/>
          </w:tcPr>
          <w:p w14:paraId="089E6E71" w14:textId="77777777" w:rsidR="000916C9" w:rsidRPr="000449D1" w:rsidRDefault="000916C9" w:rsidP="00F8722B">
            <w:pPr>
              <w:pStyle w:val="Tabletext0"/>
            </w:pPr>
            <w:r w:rsidRPr="000449D1">
              <w:t>Comparator</w:t>
            </w:r>
          </w:p>
        </w:tc>
        <w:tc>
          <w:tcPr>
            <w:tcW w:w="3715" w:type="pct"/>
          </w:tcPr>
          <w:p w14:paraId="40FFAA96" w14:textId="0C43EC6A" w:rsidR="000916C9" w:rsidRPr="000449D1" w:rsidRDefault="000916C9" w:rsidP="00F8722B">
            <w:pPr>
              <w:pStyle w:val="Tabletext0"/>
            </w:pPr>
            <w:r>
              <w:t xml:space="preserve">Submission refers to </w:t>
            </w:r>
            <w:r w:rsidR="000928DA">
              <w:t>current care in the absence of imlifidase</w:t>
            </w:r>
            <w:r w:rsidR="005F0EDE">
              <w:t>.</w:t>
            </w:r>
          </w:p>
        </w:tc>
      </w:tr>
      <w:tr w:rsidR="000916C9" w:rsidRPr="000449D1" w14:paraId="4128E5D7" w14:textId="77777777" w:rsidTr="006F363A">
        <w:tc>
          <w:tcPr>
            <w:tcW w:w="1285" w:type="pct"/>
          </w:tcPr>
          <w:p w14:paraId="5221A985" w14:textId="77777777" w:rsidR="000916C9" w:rsidRPr="000449D1" w:rsidRDefault="000916C9" w:rsidP="00F8722B">
            <w:pPr>
              <w:pStyle w:val="Tabletext0"/>
            </w:pPr>
            <w:r w:rsidRPr="000449D1">
              <w:t>Type(s) of analysis</w:t>
            </w:r>
          </w:p>
        </w:tc>
        <w:tc>
          <w:tcPr>
            <w:tcW w:w="3715" w:type="pct"/>
          </w:tcPr>
          <w:p w14:paraId="70712F1A" w14:textId="77777777" w:rsidR="000916C9" w:rsidRPr="000449D1" w:rsidRDefault="000916C9" w:rsidP="00F8722B">
            <w:pPr>
              <w:pStyle w:val="Tabletext0"/>
            </w:pPr>
            <w:r>
              <w:t>C</w:t>
            </w:r>
            <w:r w:rsidRPr="000449D1">
              <w:t>ost-utility analysis</w:t>
            </w:r>
          </w:p>
        </w:tc>
      </w:tr>
      <w:tr w:rsidR="000916C9" w:rsidRPr="000449D1" w14:paraId="1B3B23F3" w14:textId="77777777" w:rsidTr="006F363A">
        <w:tc>
          <w:tcPr>
            <w:tcW w:w="1285" w:type="pct"/>
          </w:tcPr>
          <w:p w14:paraId="59064A70" w14:textId="77777777" w:rsidR="000916C9" w:rsidRPr="000449D1" w:rsidRDefault="000916C9" w:rsidP="00F8722B">
            <w:pPr>
              <w:pStyle w:val="Tabletext0"/>
            </w:pPr>
            <w:r w:rsidRPr="000449D1">
              <w:t>Outcomes</w:t>
            </w:r>
          </w:p>
        </w:tc>
        <w:tc>
          <w:tcPr>
            <w:tcW w:w="3715" w:type="pct"/>
          </w:tcPr>
          <w:p w14:paraId="616282A7" w14:textId="328C55CB" w:rsidR="000916C9" w:rsidRPr="000449D1" w:rsidRDefault="000916C9" w:rsidP="00F8722B">
            <w:pPr>
              <w:pStyle w:val="Tabletext0"/>
            </w:pPr>
            <w:r>
              <w:t>L</w:t>
            </w:r>
            <w:r w:rsidRPr="000449D1">
              <w:t>ife</w:t>
            </w:r>
            <w:r>
              <w:t xml:space="preserve"> </w:t>
            </w:r>
            <w:r w:rsidRPr="000449D1">
              <w:t xml:space="preserve">years gained, </w:t>
            </w:r>
            <w:bookmarkStart w:id="25" w:name="_Hlk131511751"/>
            <w:r w:rsidRPr="000449D1">
              <w:t>quality-adjusted life years</w:t>
            </w:r>
            <w:r w:rsidR="00BF2271">
              <w:t xml:space="preserve"> </w:t>
            </w:r>
            <w:bookmarkEnd w:id="25"/>
            <w:r w:rsidR="00BF2271">
              <w:t xml:space="preserve">gained, </w:t>
            </w:r>
            <w:r w:rsidR="00A6473C">
              <w:t xml:space="preserve">successful conversion, </w:t>
            </w:r>
            <w:r w:rsidR="00476519">
              <w:t xml:space="preserve">time to graft failure, </w:t>
            </w:r>
            <w:r w:rsidR="00F04CD8">
              <w:t>time on dialysis avoided and</w:t>
            </w:r>
            <w:r w:rsidR="00476519">
              <w:t xml:space="preserve"> treatment emergent adverse events</w:t>
            </w:r>
          </w:p>
        </w:tc>
      </w:tr>
      <w:tr w:rsidR="000916C9" w:rsidRPr="000449D1" w14:paraId="1BBFC9B1" w14:textId="77777777" w:rsidTr="006F363A">
        <w:tc>
          <w:tcPr>
            <w:tcW w:w="1285" w:type="pct"/>
          </w:tcPr>
          <w:p w14:paraId="46DEEE9A" w14:textId="77777777" w:rsidR="000916C9" w:rsidRPr="000449D1" w:rsidRDefault="000916C9" w:rsidP="00F8722B">
            <w:pPr>
              <w:pStyle w:val="Tabletext0"/>
            </w:pPr>
            <w:r w:rsidRPr="000449D1">
              <w:t>Time horizon</w:t>
            </w:r>
          </w:p>
        </w:tc>
        <w:tc>
          <w:tcPr>
            <w:tcW w:w="3715" w:type="pct"/>
          </w:tcPr>
          <w:p w14:paraId="7174752A" w14:textId="21D2592E" w:rsidR="000916C9" w:rsidRPr="000449D1" w:rsidRDefault="00B92985" w:rsidP="00F8722B">
            <w:pPr>
              <w:pStyle w:val="Tabletext0"/>
            </w:pPr>
            <w:r>
              <w:t>Lifetime (58 years in the model base case)</w:t>
            </w:r>
          </w:p>
        </w:tc>
      </w:tr>
      <w:tr w:rsidR="000916C9" w:rsidRPr="000449D1" w14:paraId="286FA630" w14:textId="77777777" w:rsidTr="006F363A">
        <w:tc>
          <w:tcPr>
            <w:tcW w:w="1285" w:type="pct"/>
          </w:tcPr>
          <w:p w14:paraId="27A9417A" w14:textId="77777777" w:rsidR="000916C9" w:rsidRPr="000449D1" w:rsidRDefault="000916C9" w:rsidP="00F8722B">
            <w:pPr>
              <w:pStyle w:val="Tabletext0"/>
            </w:pPr>
            <w:r w:rsidRPr="000449D1">
              <w:t>Computational method</w:t>
            </w:r>
          </w:p>
        </w:tc>
        <w:tc>
          <w:tcPr>
            <w:tcW w:w="3715" w:type="pct"/>
          </w:tcPr>
          <w:p w14:paraId="2341A550" w14:textId="60937304" w:rsidR="000916C9" w:rsidRPr="000449D1" w:rsidRDefault="00B92985" w:rsidP="00F8722B">
            <w:pPr>
              <w:pStyle w:val="Tabletext0"/>
            </w:pPr>
            <w:r>
              <w:t xml:space="preserve">Cohort level </w:t>
            </w:r>
            <w:r w:rsidR="000916C9" w:rsidRPr="002B539A">
              <w:t>Markov</w:t>
            </w:r>
            <w:r>
              <w:t xml:space="preserve"> state transition model</w:t>
            </w:r>
          </w:p>
        </w:tc>
      </w:tr>
      <w:tr w:rsidR="000916C9" w:rsidRPr="000449D1" w14:paraId="47003059" w14:textId="77777777" w:rsidTr="006F363A">
        <w:tc>
          <w:tcPr>
            <w:tcW w:w="1285" w:type="pct"/>
          </w:tcPr>
          <w:p w14:paraId="5E4734C9" w14:textId="77777777" w:rsidR="000916C9" w:rsidRPr="000449D1" w:rsidRDefault="000916C9" w:rsidP="00F8722B">
            <w:pPr>
              <w:pStyle w:val="Tabletext0"/>
            </w:pPr>
            <w:r w:rsidRPr="000449D1">
              <w:t>Generation of the base case</w:t>
            </w:r>
          </w:p>
        </w:tc>
        <w:tc>
          <w:tcPr>
            <w:tcW w:w="3715" w:type="pct"/>
          </w:tcPr>
          <w:p w14:paraId="5F47226A" w14:textId="722285BA" w:rsidR="000916C9" w:rsidRPr="000449D1" w:rsidRDefault="00F6078E" w:rsidP="00F8722B">
            <w:pPr>
              <w:pStyle w:val="Tabletext0"/>
            </w:pPr>
            <w:r>
              <w:t>T</w:t>
            </w:r>
            <w:r w:rsidR="00E9464E">
              <w:t>rial-based evaluation</w:t>
            </w:r>
            <w:r w:rsidR="00121169">
              <w:t xml:space="preserve"> used to provide the base case</w:t>
            </w:r>
          </w:p>
        </w:tc>
      </w:tr>
      <w:tr w:rsidR="000916C9" w:rsidRPr="000449D1" w14:paraId="5A6EE9B2" w14:textId="77777777" w:rsidTr="006F363A">
        <w:tc>
          <w:tcPr>
            <w:tcW w:w="1285" w:type="pct"/>
          </w:tcPr>
          <w:p w14:paraId="6D4B9920" w14:textId="77777777" w:rsidR="000916C9" w:rsidRPr="000449D1" w:rsidRDefault="000916C9" w:rsidP="00F8722B">
            <w:pPr>
              <w:pStyle w:val="Tabletext0"/>
            </w:pPr>
            <w:r w:rsidRPr="000449D1">
              <w:t>Health states</w:t>
            </w:r>
          </w:p>
        </w:tc>
        <w:tc>
          <w:tcPr>
            <w:tcW w:w="3715" w:type="pct"/>
          </w:tcPr>
          <w:p w14:paraId="44C0F5CE" w14:textId="23CA63ED" w:rsidR="00B71BA6" w:rsidRPr="00B71BA6" w:rsidRDefault="00B71BA6" w:rsidP="00D1462A">
            <w:pPr>
              <w:pStyle w:val="Tabletext0"/>
              <w:numPr>
                <w:ilvl w:val="0"/>
                <w:numId w:val="19"/>
              </w:numPr>
            </w:pPr>
            <w:r w:rsidRPr="00B71BA6">
              <w:t>Dialysis/</w:t>
            </w:r>
            <w:r w:rsidR="00F6078E">
              <w:t>w</w:t>
            </w:r>
            <w:r w:rsidR="008001D1">
              <w:t>aitlist</w:t>
            </w:r>
            <w:r w:rsidRPr="00B71BA6">
              <w:t xml:space="preserve">ed: </w:t>
            </w:r>
            <w:r w:rsidR="00F6078E">
              <w:t>p</w:t>
            </w:r>
            <w:r w:rsidRPr="00B71BA6">
              <w:t xml:space="preserve">atients on the DD transplant </w:t>
            </w:r>
            <w:r w:rsidR="008001D1">
              <w:t>waitlist</w:t>
            </w:r>
            <w:r w:rsidRPr="00B71BA6">
              <w:t xml:space="preserve"> or ANZKX program and on dialysis</w:t>
            </w:r>
          </w:p>
          <w:p w14:paraId="39A2B867" w14:textId="4E6F4183" w:rsidR="00B71BA6" w:rsidRPr="00B71BA6" w:rsidRDefault="00B71BA6" w:rsidP="00D1462A">
            <w:pPr>
              <w:pStyle w:val="Tabletext0"/>
              <w:numPr>
                <w:ilvl w:val="0"/>
                <w:numId w:val="19"/>
              </w:numPr>
            </w:pPr>
            <w:r w:rsidRPr="00B71BA6">
              <w:t>Dialysis/</w:t>
            </w:r>
            <w:r w:rsidR="00F6078E">
              <w:t>n</w:t>
            </w:r>
            <w:r w:rsidRPr="00B71BA6">
              <w:t xml:space="preserve">ot </w:t>
            </w:r>
            <w:r w:rsidR="008001D1">
              <w:t>waitlist</w:t>
            </w:r>
            <w:r w:rsidRPr="00B71BA6">
              <w:t xml:space="preserve">ed: </w:t>
            </w:r>
            <w:r w:rsidR="00F6078E">
              <w:t>p</w:t>
            </w:r>
            <w:r w:rsidRPr="00B71BA6">
              <w:t xml:space="preserve">atients still on dialysis but no longer on the DD transplant </w:t>
            </w:r>
            <w:r w:rsidR="008001D1">
              <w:t>waitlist</w:t>
            </w:r>
            <w:r w:rsidRPr="00B71BA6">
              <w:t xml:space="preserve"> or ANZKX </w:t>
            </w:r>
            <w:proofErr w:type="gramStart"/>
            <w:r w:rsidRPr="00B71BA6">
              <w:t>program</w:t>
            </w:r>
            <w:proofErr w:type="gramEnd"/>
          </w:p>
          <w:p w14:paraId="328915B8" w14:textId="739C2B3C" w:rsidR="00B71BA6" w:rsidRPr="00B71BA6" w:rsidRDefault="00B71BA6" w:rsidP="00D1462A">
            <w:pPr>
              <w:pStyle w:val="Tabletext0"/>
              <w:numPr>
                <w:ilvl w:val="0"/>
                <w:numId w:val="19"/>
              </w:numPr>
            </w:pPr>
            <w:r w:rsidRPr="00B71BA6">
              <w:t xml:space="preserve">Functioning graft: </w:t>
            </w:r>
            <w:r w:rsidR="00407052">
              <w:t>p</w:t>
            </w:r>
            <w:r w:rsidRPr="00B71BA6">
              <w:t xml:space="preserve">atients </w:t>
            </w:r>
            <w:r w:rsidR="00407052">
              <w:t>with</w:t>
            </w:r>
            <w:r w:rsidR="00407052" w:rsidRPr="00B71BA6">
              <w:t xml:space="preserve"> </w:t>
            </w:r>
            <w:r w:rsidRPr="00B71BA6">
              <w:t>a functioning kidney graft</w:t>
            </w:r>
          </w:p>
          <w:p w14:paraId="083E55D1" w14:textId="3FDF6FC4" w:rsidR="000916C9" w:rsidRPr="000449D1" w:rsidRDefault="00B71BA6" w:rsidP="00D1462A">
            <w:pPr>
              <w:pStyle w:val="Tabletext0"/>
              <w:numPr>
                <w:ilvl w:val="0"/>
                <w:numId w:val="19"/>
              </w:numPr>
            </w:pPr>
            <w:r w:rsidRPr="00B71BA6">
              <w:t>Death</w:t>
            </w:r>
          </w:p>
        </w:tc>
      </w:tr>
      <w:tr w:rsidR="000916C9" w:rsidRPr="000449D1" w14:paraId="0A5AFC9D" w14:textId="77777777" w:rsidTr="006F363A">
        <w:tc>
          <w:tcPr>
            <w:tcW w:w="1285" w:type="pct"/>
          </w:tcPr>
          <w:p w14:paraId="6C084966" w14:textId="77777777" w:rsidR="000916C9" w:rsidRPr="000449D1" w:rsidRDefault="000916C9" w:rsidP="00F8722B">
            <w:pPr>
              <w:pStyle w:val="Tabletext0"/>
            </w:pPr>
            <w:r w:rsidRPr="000449D1">
              <w:t>Cycle length</w:t>
            </w:r>
          </w:p>
        </w:tc>
        <w:tc>
          <w:tcPr>
            <w:tcW w:w="3715" w:type="pct"/>
          </w:tcPr>
          <w:p w14:paraId="14F4B1F0" w14:textId="5267224A" w:rsidR="000916C9" w:rsidRPr="000449D1" w:rsidRDefault="00407052" w:rsidP="00F8722B">
            <w:pPr>
              <w:pStyle w:val="Tabletext0"/>
            </w:pPr>
            <w:r>
              <w:t xml:space="preserve">6 </w:t>
            </w:r>
            <w:r w:rsidR="00B71BA6">
              <w:t>months</w:t>
            </w:r>
          </w:p>
        </w:tc>
      </w:tr>
      <w:tr w:rsidR="000916C9" w:rsidRPr="000449D1" w14:paraId="0E3B8F4E" w14:textId="77777777" w:rsidTr="006F363A">
        <w:tc>
          <w:tcPr>
            <w:tcW w:w="1285" w:type="pct"/>
          </w:tcPr>
          <w:p w14:paraId="5F99BDE4" w14:textId="77777777" w:rsidR="000916C9" w:rsidRPr="000449D1" w:rsidRDefault="000916C9" w:rsidP="00F8722B">
            <w:pPr>
              <w:pStyle w:val="Tabletext0"/>
            </w:pPr>
            <w:r w:rsidRPr="000449D1">
              <w:t>Transition probabilities</w:t>
            </w:r>
          </w:p>
        </w:tc>
        <w:tc>
          <w:tcPr>
            <w:tcW w:w="3715" w:type="pct"/>
          </w:tcPr>
          <w:p w14:paraId="2816D023" w14:textId="5023B34A" w:rsidR="000916C9" w:rsidRPr="000449D1" w:rsidRDefault="000B41A7" w:rsidP="00F8722B">
            <w:pPr>
              <w:pStyle w:val="Tabletext0"/>
            </w:pPr>
            <w:r>
              <w:t xml:space="preserve">Graft and patient survival for patients with a functioning graft estimated based on </w:t>
            </w:r>
            <w:r w:rsidR="009C07E9">
              <w:t xml:space="preserve">extrapolations </w:t>
            </w:r>
            <w:r w:rsidR="007A475C">
              <w:t>from</w:t>
            </w:r>
            <w:r w:rsidR="009C07E9">
              <w:t xml:space="preserve"> the </w:t>
            </w:r>
            <w:r w:rsidR="007A475C">
              <w:t>ongoing</w:t>
            </w:r>
            <w:r w:rsidR="009C07E9">
              <w:t xml:space="preserve"> imlifidase </w:t>
            </w:r>
            <w:r w:rsidR="00F9669F">
              <w:t>prospective, observation</w:t>
            </w:r>
            <w:r w:rsidR="00407052">
              <w:t>al</w:t>
            </w:r>
            <w:r w:rsidR="00F9669F">
              <w:t xml:space="preserve"> long-term study</w:t>
            </w:r>
            <w:r w:rsidR="00DC1C53">
              <w:t xml:space="preserve">. </w:t>
            </w:r>
            <w:r w:rsidR="00407052">
              <w:t>P</w:t>
            </w:r>
            <w:r w:rsidR="00253B7B">
              <w:t>robability of transplant following administration of imlifidase is based on pooled clinical trial data.</w:t>
            </w:r>
            <w:r w:rsidR="0099217C">
              <w:t xml:space="preserve"> </w:t>
            </w:r>
            <w:r w:rsidR="00407052">
              <w:t>P</w:t>
            </w:r>
            <w:r w:rsidR="0099217C" w:rsidRPr="0099217C">
              <w:t>robability of transplant without imlifidase is assum</w:t>
            </w:r>
            <w:r w:rsidR="004611CB">
              <w:t>ed</w:t>
            </w:r>
            <w:r w:rsidR="0099217C" w:rsidRPr="0099217C">
              <w:t xml:space="preserve"> based on Australian clinical expert</w:t>
            </w:r>
            <w:r w:rsidR="004611CB">
              <w:t xml:space="preserve"> opinion</w:t>
            </w:r>
            <w:r w:rsidR="0099217C" w:rsidRPr="0099217C">
              <w:t xml:space="preserve">, as well as Cantwell et al. </w:t>
            </w:r>
            <w:r w:rsidR="0099217C">
              <w:t>(</w:t>
            </w:r>
            <w:r w:rsidR="0099217C" w:rsidRPr="0099217C">
              <w:t>2015</w:t>
            </w:r>
            <w:r w:rsidR="0099217C">
              <w:t>)</w:t>
            </w:r>
            <w:r w:rsidR="00F555FB" w:rsidRPr="00035465">
              <w:rPr>
                <w:vertAlign w:val="superscript"/>
              </w:rPr>
              <w:t>1</w:t>
            </w:r>
            <w:r w:rsidR="0099217C" w:rsidRPr="0099217C">
              <w:t xml:space="preserve"> and the ANZDATA</w:t>
            </w:r>
            <w:r w:rsidR="002A3FB3">
              <w:t xml:space="preserve"> </w:t>
            </w:r>
            <w:proofErr w:type="spellStart"/>
            <w:r w:rsidR="002A3FB3">
              <w:t>Regiaret</w:t>
            </w:r>
            <w:proofErr w:type="spellEnd"/>
            <w:r w:rsidR="0099217C" w:rsidRPr="0099217C">
              <w:t xml:space="preserve"> 44th annual report</w:t>
            </w:r>
            <w:r w:rsidR="0099217C">
              <w:t xml:space="preserve"> </w:t>
            </w:r>
            <w:r w:rsidR="0099217C" w:rsidRPr="0099217C">
              <w:t>(2021)</w:t>
            </w:r>
            <w:r w:rsidR="00CC5E3A">
              <w:t xml:space="preserve">. </w:t>
            </w:r>
            <w:r w:rsidR="00E278A9">
              <w:t>P</w:t>
            </w:r>
            <w:r w:rsidR="00CC5E3A">
              <w:t xml:space="preserve">robability of death in patients receiving dialysis is based on </w:t>
            </w:r>
            <w:r w:rsidR="00CC5E3A" w:rsidRPr="0099217C">
              <w:t>ANZDATA 44th annual report</w:t>
            </w:r>
            <w:r w:rsidR="00CC5E3A">
              <w:t xml:space="preserve"> </w:t>
            </w:r>
            <w:r w:rsidR="00CC5E3A" w:rsidRPr="0099217C">
              <w:t>(</w:t>
            </w:r>
            <w:r w:rsidR="002A3FB3">
              <w:t>2021)</w:t>
            </w:r>
            <w:r w:rsidR="00CC5E3A">
              <w:t>.</w:t>
            </w:r>
          </w:p>
        </w:tc>
      </w:tr>
      <w:tr w:rsidR="000916C9" w:rsidRPr="000449D1" w14:paraId="769AE20A" w14:textId="77777777" w:rsidTr="006F363A">
        <w:tc>
          <w:tcPr>
            <w:tcW w:w="1285" w:type="pct"/>
          </w:tcPr>
          <w:p w14:paraId="1DF56CD8" w14:textId="77777777" w:rsidR="000916C9" w:rsidRPr="000449D1" w:rsidRDefault="000916C9" w:rsidP="00F8722B">
            <w:pPr>
              <w:pStyle w:val="Tabletext0"/>
            </w:pPr>
            <w:r w:rsidRPr="000449D1">
              <w:t>Discount rate</w:t>
            </w:r>
          </w:p>
        </w:tc>
        <w:tc>
          <w:tcPr>
            <w:tcW w:w="3715" w:type="pct"/>
          </w:tcPr>
          <w:p w14:paraId="6B5D5536" w14:textId="77777777" w:rsidR="000916C9" w:rsidRPr="000449D1" w:rsidRDefault="000916C9" w:rsidP="00F8722B">
            <w:pPr>
              <w:pStyle w:val="Tabletext0"/>
            </w:pPr>
            <w:r w:rsidRPr="000449D1">
              <w:t>5% for both costs and outcomes</w:t>
            </w:r>
          </w:p>
        </w:tc>
      </w:tr>
      <w:tr w:rsidR="000916C9" w:rsidRPr="000449D1" w14:paraId="2A5833D3" w14:textId="77777777" w:rsidTr="006F363A">
        <w:tc>
          <w:tcPr>
            <w:tcW w:w="1285" w:type="pct"/>
          </w:tcPr>
          <w:p w14:paraId="2EDE895A" w14:textId="77777777" w:rsidR="000916C9" w:rsidRPr="000449D1" w:rsidRDefault="000916C9" w:rsidP="00F8722B">
            <w:pPr>
              <w:pStyle w:val="Tabletext0"/>
            </w:pPr>
            <w:r w:rsidRPr="000449D1">
              <w:t>Software</w:t>
            </w:r>
          </w:p>
        </w:tc>
        <w:tc>
          <w:tcPr>
            <w:tcW w:w="3715" w:type="pct"/>
          </w:tcPr>
          <w:p w14:paraId="2A4814F1" w14:textId="77777777" w:rsidR="000916C9" w:rsidRPr="000449D1" w:rsidRDefault="000916C9" w:rsidP="00F8722B">
            <w:pPr>
              <w:pStyle w:val="Tabletext0"/>
            </w:pPr>
            <w:r w:rsidRPr="000449D1">
              <w:t>Excel</w:t>
            </w:r>
          </w:p>
        </w:tc>
      </w:tr>
    </w:tbl>
    <w:bookmarkEnd w:id="24"/>
    <w:p w14:paraId="2DC0DE30" w14:textId="37475F86" w:rsidR="00CB2877" w:rsidRPr="00035465" w:rsidRDefault="00CB2877" w:rsidP="00035465">
      <w:pPr>
        <w:pStyle w:val="Notes-TableFigure"/>
        <w:numPr>
          <w:ilvl w:val="0"/>
          <w:numId w:val="41"/>
        </w:numPr>
      </w:pPr>
      <w:r w:rsidRPr="00C61A92">
        <w:t xml:space="preserve">Cantwell L, </w:t>
      </w:r>
      <w:r>
        <w:t xml:space="preserve">et al. </w:t>
      </w:r>
      <w:r w:rsidRPr="00C61A92">
        <w:t xml:space="preserve">(2015). </w:t>
      </w:r>
      <w:r>
        <w:t>‘</w:t>
      </w:r>
      <w:r w:rsidRPr="00C61A92">
        <w:t xml:space="preserve">Four years of experience with the Australian kidney paired donation </w:t>
      </w:r>
      <w:proofErr w:type="spellStart"/>
      <w:r w:rsidRPr="00C61A92">
        <w:t>programme</w:t>
      </w:r>
      <w:proofErr w:type="spellEnd"/>
      <w:r>
        <w:t>.’</w:t>
      </w:r>
      <w:r w:rsidRPr="00C61A92">
        <w:t xml:space="preserve"> </w:t>
      </w:r>
      <w:r w:rsidRPr="00AF2B35">
        <w:rPr>
          <w:i/>
          <w:iCs/>
        </w:rPr>
        <w:t>Nephrology</w:t>
      </w:r>
      <w:r w:rsidRPr="00C61A92">
        <w:t xml:space="preserve"> 20(3): 124-131</w:t>
      </w:r>
    </w:p>
    <w:p w14:paraId="794289F2" w14:textId="73200085" w:rsidR="0091055E" w:rsidRPr="0060622A" w:rsidRDefault="000916C9" w:rsidP="0060622A">
      <w:pPr>
        <w:pStyle w:val="Notes-TableFigure"/>
        <w:rPr>
          <w:b/>
          <w:bCs/>
          <w:u w:val="single"/>
        </w:rPr>
      </w:pPr>
      <w:r w:rsidRPr="0060622A">
        <w:rPr>
          <w:b/>
          <w:bCs/>
          <w:u w:val="single"/>
        </w:rPr>
        <w:t xml:space="preserve">Abbreviations: </w:t>
      </w:r>
    </w:p>
    <w:p w14:paraId="14C8EA11" w14:textId="59825D4F" w:rsidR="000916C9" w:rsidRDefault="00E57F80" w:rsidP="0060622A">
      <w:pPr>
        <w:pStyle w:val="Notes-TableFigure"/>
      </w:pPr>
      <w:r w:rsidRPr="0060622A">
        <w:rPr>
          <w:b/>
          <w:bCs/>
        </w:rPr>
        <w:t>ANZKX</w:t>
      </w:r>
      <w:r>
        <w:t xml:space="preserve"> = </w:t>
      </w:r>
      <w:r w:rsidRPr="00E57F80">
        <w:t>Australian and New Zealand Kidney Exchange</w:t>
      </w:r>
      <w:r>
        <w:t>,</w:t>
      </w:r>
      <w:r w:rsidRPr="00E57F80">
        <w:t xml:space="preserve"> </w:t>
      </w:r>
      <w:proofErr w:type="spellStart"/>
      <w:r w:rsidR="00353DAB" w:rsidRPr="0060622A">
        <w:rPr>
          <w:b/>
          <w:bCs/>
        </w:rPr>
        <w:t>cPRA</w:t>
      </w:r>
      <w:proofErr w:type="spellEnd"/>
      <w:r w:rsidR="00353DAB" w:rsidRPr="00A2483E">
        <w:t xml:space="preserve"> = calcula</w:t>
      </w:r>
      <w:r w:rsidR="00353DAB">
        <w:t>t</w:t>
      </w:r>
      <w:r w:rsidR="00353DAB" w:rsidRPr="00A2483E">
        <w:t>ed panel-reactive antibody</w:t>
      </w:r>
      <w:r w:rsidR="00353DAB">
        <w:t xml:space="preserve">, </w:t>
      </w:r>
      <w:r w:rsidR="004C3166" w:rsidRPr="0060622A">
        <w:rPr>
          <w:b/>
          <w:bCs/>
        </w:rPr>
        <w:t>DD</w:t>
      </w:r>
      <w:r w:rsidR="004C3166">
        <w:t xml:space="preserve"> = deceased donor</w:t>
      </w:r>
      <w:r w:rsidR="00DC17C0">
        <w:t xml:space="preserve">, </w:t>
      </w:r>
      <w:r w:rsidR="00D0693A" w:rsidRPr="0060622A">
        <w:rPr>
          <w:b/>
          <w:bCs/>
        </w:rPr>
        <w:t>ESKD</w:t>
      </w:r>
      <w:r w:rsidR="001973E0" w:rsidRPr="00A2483E">
        <w:t xml:space="preserve"> = end-stage kidney dis</w:t>
      </w:r>
      <w:r w:rsidR="0048506A" w:rsidRPr="00A2483E">
        <w:t xml:space="preserve">ease, </w:t>
      </w:r>
      <w:r w:rsidR="00DC17C0" w:rsidRPr="0091055E">
        <w:t>LD</w:t>
      </w:r>
      <w:r w:rsidR="00DC17C0">
        <w:t xml:space="preserve"> = living donor</w:t>
      </w:r>
    </w:p>
    <w:p w14:paraId="207C1023" w14:textId="77777777" w:rsidR="0091055E" w:rsidRPr="0060622A" w:rsidRDefault="000916C9" w:rsidP="0060622A">
      <w:pPr>
        <w:pStyle w:val="Notes-TableFigure"/>
        <w:rPr>
          <w:rFonts w:eastAsia="Calibri"/>
          <w:b/>
          <w:bCs/>
          <w:u w:val="single"/>
        </w:rPr>
      </w:pPr>
      <w:r w:rsidRPr="0060622A">
        <w:rPr>
          <w:rFonts w:eastAsia="Calibri"/>
          <w:b/>
          <w:bCs/>
          <w:u w:val="single"/>
        </w:rPr>
        <w:t xml:space="preserve">Source: </w:t>
      </w:r>
    </w:p>
    <w:p w14:paraId="28D14466" w14:textId="27D89149" w:rsidR="00A2483E" w:rsidRPr="00E76072" w:rsidRDefault="001D56FB" w:rsidP="00E76072">
      <w:pPr>
        <w:pStyle w:val="Notes-TableFigure"/>
        <w:rPr>
          <w:rFonts w:eastAsia="Calibri"/>
        </w:rPr>
      </w:pPr>
      <w:r>
        <w:rPr>
          <w:rFonts w:eastAsia="Calibri"/>
        </w:rPr>
        <w:t>ADAR</w:t>
      </w:r>
      <w:r w:rsidR="000916C9" w:rsidRPr="00A2483E">
        <w:rPr>
          <w:rFonts w:eastAsia="Calibri"/>
        </w:rPr>
        <w:t xml:space="preserve"> Table 3</w:t>
      </w:r>
      <w:r w:rsidR="00D0693A" w:rsidRPr="00A2483E">
        <w:rPr>
          <w:rFonts w:eastAsia="Calibri"/>
        </w:rPr>
        <w:t>7</w:t>
      </w:r>
      <w:r w:rsidR="000916C9" w:rsidRPr="00A2483E">
        <w:rPr>
          <w:rFonts w:eastAsia="Calibri"/>
        </w:rPr>
        <w:t xml:space="preserve"> and compiled for the commentary</w:t>
      </w:r>
    </w:p>
    <w:p w14:paraId="75F738C5" w14:textId="3A4A55B7" w:rsidR="006D2E7B" w:rsidRDefault="00007CB4" w:rsidP="00C11A05">
      <w:pPr>
        <w:rPr>
          <w:color w:val="000000" w:themeColor="text1"/>
        </w:rPr>
      </w:pPr>
      <w:r w:rsidRPr="00007CB4">
        <w:rPr>
          <w:color w:val="000000" w:themeColor="text1"/>
        </w:rPr>
        <w:t xml:space="preserve">The described model structure is generally appropriate to address the decision problem as </w:t>
      </w:r>
      <w:r w:rsidR="0065118C">
        <w:rPr>
          <w:color w:val="000000" w:themeColor="text1"/>
        </w:rPr>
        <w:t>configured</w:t>
      </w:r>
      <w:r w:rsidRPr="00007CB4">
        <w:rPr>
          <w:color w:val="000000" w:themeColor="text1"/>
        </w:rPr>
        <w:t xml:space="preserve"> by the </w:t>
      </w:r>
      <w:r w:rsidR="00676525">
        <w:rPr>
          <w:color w:val="000000" w:themeColor="text1"/>
        </w:rPr>
        <w:t>ADAR</w:t>
      </w:r>
      <w:r w:rsidR="007E6C54">
        <w:rPr>
          <w:color w:val="000000" w:themeColor="text1"/>
        </w:rPr>
        <w:t>;</w:t>
      </w:r>
      <w:r w:rsidR="00820295">
        <w:rPr>
          <w:color w:val="000000" w:themeColor="text1"/>
        </w:rPr>
        <w:t xml:space="preserve"> however, the </w:t>
      </w:r>
      <w:r w:rsidR="00F562CB">
        <w:t xml:space="preserve">commentary </w:t>
      </w:r>
      <w:r w:rsidR="004463B1">
        <w:rPr>
          <w:color w:val="000000" w:themeColor="text1"/>
        </w:rPr>
        <w:t>dis</w:t>
      </w:r>
      <w:r w:rsidR="00820295">
        <w:rPr>
          <w:color w:val="000000" w:themeColor="text1"/>
        </w:rPr>
        <w:t>agree</w:t>
      </w:r>
      <w:r w:rsidR="004463B1">
        <w:rPr>
          <w:color w:val="000000" w:themeColor="text1"/>
        </w:rPr>
        <w:t>d</w:t>
      </w:r>
      <w:r w:rsidR="00820295">
        <w:rPr>
          <w:color w:val="000000" w:themeColor="text1"/>
        </w:rPr>
        <w:t xml:space="preserve"> that the analysis presented in the </w:t>
      </w:r>
      <w:r w:rsidR="00031BED">
        <w:rPr>
          <w:color w:val="000000" w:themeColor="text1"/>
        </w:rPr>
        <w:t>s</w:t>
      </w:r>
      <w:r w:rsidR="00820295">
        <w:rPr>
          <w:color w:val="000000" w:themeColor="text1"/>
        </w:rPr>
        <w:t xml:space="preserve">ubmission aligned </w:t>
      </w:r>
      <w:r w:rsidR="00390AAA">
        <w:rPr>
          <w:color w:val="000000" w:themeColor="text1"/>
        </w:rPr>
        <w:t>with</w:t>
      </w:r>
      <w:r w:rsidR="00820295">
        <w:rPr>
          <w:color w:val="000000" w:themeColor="text1"/>
        </w:rPr>
        <w:t xml:space="preserve"> </w:t>
      </w:r>
      <w:r w:rsidR="00C11A05">
        <w:rPr>
          <w:color w:val="000000" w:themeColor="text1"/>
        </w:rPr>
        <w:t xml:space="preserve">the perspective of the Australian </w:t>
      </w:r>
      <w:r w:rsidR="00A42F1D">
        <w:rPr>
          <w:color w:val="000000" w:themeColor="text1"/>
        </w:rPr>
        <w:t>healthcare</w:t>
      </w:r>
      <w:r w:rsidR="00C11A05">
        <w:rPr>
          <w:color w:val="000000" w:themeColor="text1"/>
        </w:rPr>
        <w:t xml:space="preserve"> system</w:t>
      </w:r>
      <w:r w:rsidR="004463B1">
        <w:rPr>
          <w:color w:val="000000" w:themeColor="text1"/>
        </w:rPr>
        <w:t>,</w:t>
      </w:r>
      <w:r w:rsidR="007E6C54">
        <w:rPr>
          <w:color w:val="000000" w:themeColor="text1"/>
        </w:rPr>
        <w:t xml:space="preserve"> as stipulated </w:t>
      </w:r>
      <w:r w:rsidR="00031BED">
        <w:rPr>
          <w:color w:val="000000" w:themeColor="text1"/>
        </w:rPr>
        <w:t xml:space="preserve">in </w:t>
      </w:r>
      <w:r w:rsidR="007E6C54">
        <w:rPr>
          <w:color w:val="000000" w:themeColor="text1"/>
        </w:rPr>
        <w:t>MSAC guidelines</w:t>
      </w:r>
      <w:r w:rsidR="00C11A05">
        <w:rPr>
          <w:color w:val="000000" w:themeColor="text1"/>
        </w:rPr>
        <w:t>.</w:t>
      </w:r>
      <w:r w:rsidR="00571A40" w:rsidRPr="00571A40">
        <w:t xml:space="preserve"> </w:t>
      </w:r>
      <w:r w:rsidR="00874C7F">
        <w:t xml:space="preserve">In particular, while the model </w:t>
      </w:r>
      <w:r w:rsidR="00571A40" w:rsidRPr="002B4A69">
        <w:t>estimate</w:t>
      </w:r>
      <w:r w:rsidR="00571A40">
        <w:t>s</w:t>
      </w:r>
      <w:r w:rsidR="00571A40" w:rsidRPr="002B4A69">
        <w:t xml:space="preserve"> cost</w:t>
      </w:r>
      <w:r w:rsidR="00571A40">
        <w:t xml:space="preserve"> </w:t>
      </w:r>
      <w:r w:rsidR="00571A40" w:rsidRPr="002B4A69">
        <w:t xml:space="preserve">offsets associated </w:t>
      </w:r>
      <w:r w:rsidR="00874C7F">
        <w:t xml:space="preserve">with </w:t>
      </w:r>
      <w:r w:rsidR="00874C7F" w:rsidRPr="00007CB4">
        <w:rPr>
          <w:color w:val="000000" w:themeColor="text1"/>
        </w:rPr>
        <w:t>the target population ceas</w:t>
      </w:r>
      <w:r w:rsidR="00874C7F">
        <w:rPr>
          <w:color w:val="000000" w:themeColor="text1"/>
        </w:rPr>
        <w:t>ing</w:t>
      </w:r>
      <w:r w:rsidR="00874C7F" w:rsidRPr="00007CB4">
        <w:rPr>
          <w:color w:val="000000" w:themeColor="text1"/>
        </w:rPr>
        <w:t xml:space="preserve"> dialysis upon receipt of a </w:t>
      </w:r>
      <w:r w:rsidR="00874C7F">
        <w:rPr>
          <w:color w:val="000000" w:themeColor="text1"/>
        </w:rPr>
        <w:t>donor</w:t>
      </w:r>
      <w:r w:rsidR="00874C7F" w:rsidRPr="00007CB4">
        <w:rPr>
          <w:color w:val="000000" w:themeColor="text1"/>
        </w:rPr>
        <w:t xml:space="preserve"> kidney</w:t>
      </w:r>
      <w:r w:rsidR="00874C7F">
        <w:rPr>
          <w:color w:val="000000" w:themeColor="text1"/>
        </w:rPr>
        <w:t xml:space="preserve"> due to imlifidase</w:t>
      </w:r>
      <w:r w:rsidR="00874C7F" w:rsidRPr="00007CB4">
        <w:rPr>
          <w:color w:val="000000" w:themeColor="text1"/>
        </w:rPr>
        <w:t xml:space="preserve">, </w:t>
      </w:r>
      <w:r w:rsidR="00F43C06">
        <w:rPr>
          <w:color w:val="000000" w:themeColor="text1"/>
        </w:rPr>
        <w:t xml:space="preserve">it ignores the effects this has on </w:t>
      </w:r>
      <w:r w:rsidR="00874C7F" w:rsidRPr="00007CB4">
        <w:rPr>
          <w:color w:val="000000" w:themeColor="text1"/>
        </w:rPr>
        <w:t xml:space="preserve">other potential recipients of the donor kidney </w:t>
      </w:r>
      <w:r w:rsidR="00874C7F">
        <w:rPr>
          <w:color w:val="000000" w:themeColor="text1"/>
        </w:rPr>
        <w:t>o</w:t>
      </w:r>
      <w:r w:rsidR="00874C7F" w:rsidRPr="00007CB4">
        <w:rPr>
          <w:color w:val="000000" w:themeColor="text1"/>
        </w:rPr>
        <w:t>n the transplant waiting list</w:t>
      </w:r>
      <w:r w:rsidR="00874C7F">
        <w:rPr>
          <w:color w:val="000000" w:themeColor="text1"/>
        </w:rPr>
        <w:t xml:space="preserve"> </w:t>
      </w:r>
      <w:r w:rsidR="00B87729">
        <w:rPr>
          <w:color w:val="000000" w:themeColor="text1"/>
        </w:rPr>
        <w:t>outside</w:t>
      </w:r>
      <w:r w:rsidR="00874C7F">
        <w:rPr>
          <w:color w:val="000000" w:themeColor="text1"/>
        </w:rPr>
        <w:t xml:space="preserve"> the target population</w:t>
      </w:r>
      <w:r w:rsidR="00874C7F" w:rsidRPr="00007CB4">
        <w:rPr>
          <w:color w:val="000000" w:themeColor="text1"/>
        </w:rPr>
        <w:t xml:space="preserve"> </w:t>
      </w:r>
      <w:r w:rsidR="00237E62">
        <w:rPr>
          <w:color w:val="000000" w:themeColor="text1"/>
        </w:rPr>
        <w:t xml:space="preserve">who </w:t>
      </w:r>
      <w:r w:rsidR="00874C7F" w:rsidRPr="00007CB4">
        <w:rPr>
          <w:color w:val="000000" w:themeColor="text1"/>
        </w:rPr>
        <w:t xml:space="preserve">will </w:t>
      </w:r>
      <w:r w:rsidR="009F4650">
        <w:rPr>
          <w:color w:val="000000" w:themeColor="text1"/>
        </w:rPr>
        <w:t xml:space="preserve">have to </w:t>
      </w:r>
      <w:r w:rsidR="00874C7F" w:rsidRPr="00007CB4">
        <w:rPr>
          <w:color w:val="000000" w:themeColor="text1"/>
        </w:rPr>
        <w:t>continue dialysis</w:t>
      </w:r>
      <w:r w:rsidR="009F4650">
        <w:rPr>
          <w:color w:val="000000" w:themeColor="text1"/>
        </w:rPr>
        <w:t xml:space="preserve"> due to the scarcity of donated kidneys</w:t>
      </w:r>
      <w:r w:rsidR="00B87729">
        <w:rPr>
          <w:color w:val="000000" w:themeColor="text1"/>
        </w:rPr>
        <w:t>.</w:t>
      </w:r>
      <w:r w:rsidR="00642666">
        <w:rPr>
          <w:color w:val="000000" w:themeColor="text1"/>
        </w:rPr>
        <w:t xml:space="preserve"> </w:t>
      </w:r>
      <w:r w:rsidR="00310996">
        <w:t xml:space="preserve">The </w:t>
      </w:r>
      <w:r w:rsidR="00874C7F">
        <w:rPr>
          <w:color w:val="000000" w:themeColor="text1"/>
        </w:rPr>
        <w:t xml:space="preserve">cost offsets included in the </w:t>
      </w:r>
      <w:r w:rsidR="009F4650">
        <w:rPr>
          <w:color w:val="000000" w:themeColor="text1"/>
        </w:rPr>
        <w:t xml:space="preserve">ADAR </w:t>
      </w:r>
      <w:r w:rsidR="00874C7F">
        <w:rPr>
          <w:color w:val="000000" w:themeColor="text1"/>
        </w:rPr>
        <w:t>as a result of reduced dialysis provision are</w:t>
      </w:r>
      <w:r w:rsidR="003C5AE2">
        <w:rPr>
          <w:color w:val="000000" w:themeColor="text1"/>
        </w:rPr>
        <w:t xml:space="preserve"> illusory and</w:t>
      </w:r>
      <w:r w:rsidR="00874C7F">
        <w:rPr>
          <w:color w:val="000000" w:themeColor="text1"/>
        </w:rPr>
        <w:t xml:space="preserve"> unlikely to be fully realised by the healthcare system in Australia</w:t>
      </w:r>
      <w:r w:rsidR="006D2E7B">
        <w:rPr>
          <w:color w:val="000000" w:themeColor="text1"/>
        </w:rPr>
        <w:t>.</w:t>
      </w:r>
      <w:r w:rsidR="00C11A05">
        <w:rPr>
          <w:color w:val="000000" w:themeColor="text1"/>
        </w:rPr>
        <w:t xml:space="preserve"> </w:t>
      </w:r>
    </w:p>
    <w:p w14:paraId="2DA06AB7" w14:textId="411FCC5E" w:rsidR="00007CB4" w:rsidRDefault="00861D24" w:rsidP="00C11A05">
      <w:pPr>
        <w:rPr>
          <w:color w:val="000000" w:themeColor="text1"/>
        </w:rPr>
      </w:pPr>
      <w:r>
        <w:rPr>
          <w:color w:val="000000" w:themeColor="text1"/>
        </w:rPr>
        <w:t>Although</w:t>
      </w:r>
      <w:r w:rsidR="00E8407B">
        <w:rPr>
          <w:color w:val="000000" w:themeColor="text1"/>
        </w:rPr>
        <w:t xml:space="preserve"> opportunity costs incurred outside the target patient population are routine </w:t>
      </w:r>
      <w:r w:rsidR="00A92154">
        <w:rPr>
          <w:color w:val="000000" w:themeColor="text1"/>
        </w:rPr>
        <w:t>when deciding allocation of healthcare resources and are not typically considered in cost-utility analyses</w:t>
      </w:r>
      <w:r w:rsidR="00BC0E87">
        <w:rPr>
          <w:color w:val="000000" w:themeColor="text1"/>
        </w:rPr>
        <w:t>, these costs are generally distributed across the entire general population</w:t>
      </w:r>
      <w:r w:rsidR="00FD6C04">
        <w:rPr>
          <w:color w:val="000000" w:themeColor="text1"/>
        </w:rPr>
        <w:t>,</w:t>
      </w:r>
      <w:r w:rsidR="00BC0E87">
        <w:rPr>
          <w:color w:val="000000" w:themeColor="text1"/>
        </w:rPr>
        <w:t xml:space="preserve"> and </w:t>
      </w:r>
      <w:r w:rsidR="00A61C29">
        <w:rPr>
          <w:color w:val="000000" w:themeColor="text1"/>
        </w:rPr>
        <w:t xml:space="preserve">it is </w:t>
      </w:r>
      <w:r w:rsidR="00FD6C04">
        <w:rPr>
          <w:color w:val="000000" w:themeColor="text1"/>
        </w:rPr>
        <w:t xml:space="preserve">usually </w:t>
      </w:r>
      <w:r w:rsidR="00A61C29">
        <w:rPr>
          <w:color w:val="000000" w:themeColor="text1"/>
        </w:rPr>
        <w:t xml:space="preserve">assumed </w:t>
      </w:r>
      <w:r>
        <w:rPr>
          <w:color w:val="000000" w:themeColor="text1"/>
        </w:rPr>
        <w:t>that adjustments can be made to accommodate overall changes in demand. However, in this case, the scarcity of donor kidneys means that there is a direct and tangible impact on other non-HS patients waiting to receive a donor kidney. Whilst</w:t>
      </w:r>
      <w:r w:rsidR="00E8407B">
        <w:rPr>
          <w:color w:val="000000" w:themeColor="text1"/>
        </w:rPr>
        <w:t xml:space="preserve"> </w:t>
      </w:r>
      <w:r w:rsidR="007074D0">
        <w:rPr>
          <w:color w:val="000000" w:themeColor="text1"/>
        </w:rPr>
        <w:t xml:space="preserve">the </w:t>
      </w:r>
      <w:r w:rsidR="004B3DF6">
        <w:rPr>
          <w:color w:val="000000" w:themeColor="text1"/>
        </w:rPr>
        <w:t>ADAR</w:t>
      </w:r>
      <w:r w:rsidR="007074D0">
        <w:rPr>
          <w:color w:val="000000" w:themeColor="text1"/>
        </w:rPr>
        <w:t xml:space="preserve"> acknowledges these potential negative spill-over effects</w:t>
      </w:r>
      <w:r w:rsidR="006D2E7B">
        <w:rPr>
          <w:color w:val="000000" w:themeColor="text1"/>
        </w:rPr>
        <w:t xml:space="preserve"> on the non-target population</w:t>
      </w:r>
      <w:r w:rsidR="007074D0">
        <w:rPr>
          <w:color w:val="000000" w:themeColor="text1"/>
        </w:rPr>
        <w:t>,</w:t>
      </w:r>
      <w:r w:rsidR="0051782D">
        <w:rPr>
          <w:color w:val="000000" w:themeColor="text1"/>
        </w:rPr>
        <w:t xml:space="preserve"> there was </w:t>
      </w:r>
      <w:r w:rsidR="007074D0">
        <w:rPr>
          <w:color w:val="000000" w:themeColor="text1"/>
        </w:rPr>
        <w:t xml:space="preserve">no attempt </w:t>
      </w:r>
      <w:r w:rsidR="00595936">
        <w:rPr>
          <w:color w:val="000000" w:themeColor="text1"/>
        </w:rPr>
        <w:t xml:space="preserve">in the ADAR to explore these wider implications of scarcity of donated kidneys </w:t>
      </w:r>
      <w:r w:rsidR="00F260ED">
        <w:rPr>
          <w:color w:val="000000" w:themeColor="text1"/>
        </w:rPr>
        <w:t xml:space="preserve">in quantifying the benefits and costs </w:t>
      </w:r>
      <w:r w:rsidR="00007CB4" w:rsidRPr="00007CB4">
        <w:rPr>
          <w:color w:val="000000" w:themeColor="text1"/>
        </w:rPr>
        <w:t xml:space="preserve">associated with </w:t>
      </w:r>
      <w:r w:rsidR="00022305">
        <w:rPr>
          <w:color w:val="000000" w:themeColor="text1"/>
        </w:rPr>
        <w:t>administering</w:t>
      </w:r>
      <w:r w:rsidR="00007CB4" w:rsidRPr="00007CB4">
        <w:rPr>
          <w:color w:val="000000" w:themeColor="text1"/>
        </w:rPr>
        <w:t xml:space="preserve"> imlifidase in a</w:t>
      </w:r>
      <w:r w:rsidR="009D14F1">
        <w:rPr>
          <w:color w:val="000000" w:themeColor="text1"/>
        </w:rPr>
        <w:t>n</w:t>
      </w:r>
      <w:r w:rsidR="00007CB4" w:rsidRPr="00007CB4">
        <w:rPr>
          <w:color w:val="000000" w:themeColor="text1"/>
        </w:rPr>
        <w:t xml:space="preserve"> </w:t>
      </w:r>
      <w:r w:rsidR="009D14F1">
        <w:rPr>
          <w:color w:val="000000" w:themeColor="text1"/>
        </w:rPr>
        <w:t>HS</w:t>
      </w:r>
      <w:r w:rsidR="00007CB4" w:rsidRPr="00007CB4">
        <w:rPr>
          <w:color w:val="000000" w:themeColor="text1"/>
        </w:rPr>
        <w:t xml:space="preserve"> patient cohort. </w:t>
      </w:r>
    </w:p>
    <w:p w14:paraId="458B3A8E" w14:textId="795B9126" w:rsidR="00007CB4" w:rsidRPr="00007CB4" w:rsidRDefault="00007CB4" w:rsidP="00007CB4">
      <w:pPr>
        <w:rPr>
          <w:color w:val="000000" w:themeColor="text1"/>
        </w:rPr>
      </w:pPr>
      <w:r w:rsidRPr="00007CB4">
        <w:rPr>
          <w:color w:val="000000" w:themeColor="text1"/>
        </w:rPr>
        <w:t xml:space="preserve">Similarly, although </w:t>
      </w:r>
      <w:r w:rsidR="006E1EA3">
        <w:rPr>
          <w:color w:val="000000" w:themeColor="text1"/>
        </w:rPr>
        <w:t>the clinical trial program supports</w:t>
      </w:r>
      <w:r w:rsidRPr="00007CB4">
        <w:rPr>
          <w:color w:val="000000" w:themeColor="text1"/>
        </w:rPr>
        <w:t xml:space="preserve"> significant health benefits for </w:t>
      </w:r>
      <w:r w:rsidR="00654538">
        <w:rPr>
          <w:color w:val="000000" w:themeColor="text1"/>
        </w:rPr>
        <w:t>HS</w:t>
      </w:r>
      <w:r w:rsidRPr="00007CB4">
        <w:rPr>
          <w:color w:val="000000" w:themeColor="text1"/>
        </w:rPr>
        <w:t xml:space="preserve"> patients treated with imlifidase, the analysis neglects to consider the incremental outcomes associated with providing </w:t>
      </w:r>
      <w:r w:rsidR="00654538">
        <w:rPr>
          <w:color w:val="000000" w:themeColor="text1"/>
        </w:rPr>
        <w:t>a</w:t>
      </w:r>
      <w:r w:rsidR="00654538" w:rsidRPr="00007CB4">
        <w:rPr>
          <w:color w:val="000000" w:themeColor="text1"/>
        </w:rPr>
        <w:t xml:space="preserve"> </w:t>
      </w:r>
      <w:r w:rsidRPr="00007CB4">
        <w:rPr>
          <w:color w:val="000000" w:themeColor="text1"/>
        </w:rPr>
        <w:t xml:space="preserve">donor kidney to another patient </w:t>
      </w:r>
      <w:r w:rsidR="00C26DC8">
        <w:rPr>
          <w:color w:val="000000" w:themeColor="text1"/>
        </w:rPr>
        <w:t>on</w:t>
      </w:r>
      <w:r w:rsidRPr="00007CB4">
        <w:rPr>
          <w:color w:val="000000" w:themeColor="text1"/>
        </w:rPr>
        <w:t xml:space="preserve"> the transplant waiting list</w:t>
      </w:r>
      <w:r w:rsidR="00650E1E">
        <w:rPr>
          <w:color w:val="000000" w:themeColor="text1"/>
        </w:rPr>
        <w:t xml:space="preserve">, particularly as </w:t>
      </w:r>
      <w:r w:rsidR="00654538">
        <w:rPr>
          <w:color w:val="000000" w:themeColor="text1"/>
        </w:rPr>
        <w:t>HS</w:t>
      </w:r>
      <w:r w:rsidR="00650E1E">
        <w:rPr>
          <w:color w:val="000000" w:themeColor="text1"/>
        </w:rPr>
        <w:t xml:space="preserve"> patients are likely to experience poorer health outcomes following transplantation</w:t>
      </w:r>
      <w:r w:rsidRPr="00007CB4">
        <w:rPr>
          <w:color w:val="000000" w:themeColor="text1"/>
        </w:rPr>
        <w:t>.</w:t>
      </w:r>
      <w:r w:rsidR="00E75F07">
        <w:rPr>
          <w:color w:val="000000" w:themeColor="text1"/>
        </w:rPr>
        <w:t xml:space="preserve"> </w:t>
      </w:r>
      <w:r w:rsidR="0024031F">
        <w:rPr>
          <w:color w:val="000000" w:themeColor="text1"/>
        </w:rPr>
        <w:t>I</w:t>
      </w:r>
      <w:r w:rsidR="00E75F07" w:rsidRPr="00E75F07">
        <w:rPr>
          <w:color w:val="000000" w:themeColor="text1"/>
        </w:rPr>
        <w:t xml:space="preserve">nclusion </w:t>
      </w:r>
      <w:r w:rsidR="0024031F">
        <w:rPr>
          <w:color w:val="000000" w:themeColor="text1"/>
        </w:rPr>
        <w:t xml:space="preserve">by the </w:t>
      </w:r>
      <w:r w:rsidR="00676525">
        <w:rPr>
          <w:color w:val="000000" w:themeColor="text1"/>
        </w:rPr>
        <w:t>ADAR</w:t>
      </w:r>
      <w:r w:rsidR="00E75F07" w:rsidRPr="00E75F07">
        <w:rPr>
          <w:color w:val="000000" w:themeColor="text1"/>
        </w:rPr>
        <w:t xml:space="preserve"> of spill-over benefits associated with completed chains</w:t>
      </w:r>
      <w:r w:rsidR="00E75F07">
        <w:rPr>
          <w:color w:val="000000" w:themeColor="text1"/>
        </w:rPr>
        <w:t xml:space="preserve"> </w:t>
      </w:r>
      <w:r w:rsidR="002C15B1">
        <w:rPr>
          <w:color w:val="000000" w:themeColor="text1"/>
        </w:rPr>
        <w:t>contrasts</w:t>
      </w:r>
      <w:r w:rsidR="00E75F07" w:rsidRPr="00E75F07">
        <w:rPr>
          <w:color w:val="000000" w:themeColor="text1"/>
        </w:rPr>
        <w:t xml:space="preserve"> with the exclusion of spill-over costs and negative outcomes associated with not providing a donor kidney to a non-</w:t>
      </w:r>
      <w:r w:rsidR="0024031F">
        <w:rPr>
          <w:color w:val="000000" w:themeColor="text1"/>
        </w:rPr>
        <w:t>HS</w:t>
      </w:r>
      <w:r w:rsidR="00E75F07" w:rsidRPr="00E75F07">
        <w:rPr>
          <w:color w:val="000000" w:themeColor="text1"/>
        </w:rPr>
        <w:t xml:space="preserve"> patient.</w:t>
      </w:r>
    </w:p>
    <w:p w14:paraId="007B4298" w14:textId="048F7734" w:rsidR="000916C9" w:rsidRDefault="00007CB4" w:rsidP="00B75C5A">
      <w:pPr>
        <w:rPr>
          <w:color w:val="000000" w:themeColor="text1"/>
        </w:rPr>
      </w:pPr>
      <w:r w:rsidRPr="00007CB4">
        <w:rPr>
          <w:color w:val="000000" w:themeColor="text1"/>
        </w:rPr>
        <w:t>While it is plausible there may be an overall reduction in waitlist times following the introduction of imlifidase</w:t>
      </w:r>
      <w:r w:rsidR="007E2960">
        <w:rPr>
          <w:color w:val="000000" w:themeColor="text1"/>
        </w:rPr>
        <w:t xml:space="preserve"> even after taking account of the impacts on the non-HS population</w:t>
      </w:r>
      <w:r w:rsidR="00785D64">
        <w:rPr>
          <w:color w:val="000000" w:themeColor="text1"/>
        </w:rPr>
        <w:t xml:space="preserve"> </w:t>
      </w:r>
      <w:r w:rsidR="00785D64" w:rsidRPr="00007CB4">
        <w:rPr>
          <w:color w:val="000000" w:themeColor="text1"/>
        </w:rPr>
        <w:t xml:space="preserve">translating to the potential </w:t>
      </w:r>
      <w:r w:rsidR="00785D64">
        <w:rPr>
          <w:color w:val="000000" w:themeColor="text1"/>
        </w:rPr>
        <w:t>for</w:t>
      </w:r>
      <w:r w:rsidR="00785D64" w:rsidRPr="00007CB4">
        <w:rPr>
          <w:color w:val="000000" w:themeColor="text1"/>
        </w:rPr>
        <w:t xml:space="preserve"> improved health outcomes and</w:t>
      </w:r>
      <w:r w:rsidR="00785D64">
        <w:rPr>
          <w:color w:val="000000" w:themeColor="text1"/>
        </w:rPr>
        <w:t xml:space="preserve"> the potential for</w:t>
      </w:r>
      <w:r w:rsidR="00785D64" w:rsidRPr="00007CB4">
        <w:rPr>
          <w:color w:val="000000" w:themeColor="text1"/>
        </w:rPr>
        <w:t xml:space="preserve"> cost</w:t>
      </w:r>
      <w:r w:rsidR="00785D64">
        <w:rPr>
          <w:color w:val="000000" w:themeColor="text1"/>
        </w:rPr>
        <w:t xml:space="preserve"> </w:t>
      </w:r>
      <w:r w:rsidR="00785D64" w:rsidRPr="00007CB4">
        <w:rPr>
          <w:color w:val="000000" w:themeColor="text1"/>
        </w:rPr>
        <w:t>offsets to the treatment acquisition costs of imlifidase</w:t>
      </w:r>
      <w:r w:rsidR="007E2960">
        <w:rPr>
          <w:color w:val="000000" w:themeColor="text1"/>
        </w:rPr>
        <w:t xml:space="preserve"> (for instance if the magnitude of reductions in waiting time enjoyed by the smaller HS population is </w:t>
      </w:r>
      <w:r w:rsidR="003F549F">
        <w:rPr>
          <w:color w:val="000000" w:themeColor="text1"/>
        </w:rPr>
        <w:t xml:space="preserve">sufficiently larger than the increase in waiting time suffered by the larger non-HS population) </w:t>
      </w:r>
      <w:r w:rsidR="004A27D0">
        <w:rPr>
          <w:color w:val="000000" w:themeColor="text1"/>
        </w:rPr>
        <w:t>—</w:t>
      </w:r>
      <w:r w:rsidRPr="00007CB4">
        <w:rPr>
          <w:color w:val="000000" w:themeColor="text1"/>
        </w:rPr>
        <w:t xml:space="preserve">evidence supporting or quantifying this possibility is not included in the </w:t>
      </w:r>
      <w:r w:rsidR="001546F2">
        <w:rPr>
          <w:color w:val="000000" w:themeColor="text1"/>
        </w:rPr>
        <w:t>ADAR</w:t>
      </w:r>
      <w:r w:rsidRPr="00007CB4">
        <w:rPr>
          <w:color w:val="000000" w:themeColor="text1"/>
        </w:rPr>
        <w:t xml:space="preserve">. The </w:t>
      </w:r>
      <w:r w:rsidR="004E6766">
        <w:t xml:space="preserve">commentary </w:t>
      </w:r>
      <w:r w:rsidR="00B93DA8">
        <w:rPr>
          <w:color w:val="000000" w:themeColor="text1"/>
        </w:rPr>
        <w:t>found</w:t>
      </w:r>
      <w:r w:rsidR="00B93DA8" w:rsidRPr="00007CB4">
        <w:rPr>
          <w:color w:val="000000" w:themeColor="text1"/>
        </w:rPr>
        <w:t xml:space="preserve"> </w:t>
      </w:r>
      <w:r w:rsidRPr="00007CB4">
        <w:rPr>
          <w:color w:val="000000" w:themeColor="text1"/>
        </w:rPr>
        <w:t>that the analysis presented</w:t>
      </w:r>
      <w:r w:rsidR="006E1EA3">
        <w:rPr>
          <w:color w:val="000000" w:themeColor="text1"/>
        </w:rPr>
        <w:t xml:space="preserve"> in the </w:t>
      </w:r>
      <w:r w:rsidR="001546F2">
        <w:rPr>
          <w:color w:val="000000" w:themeColor="text1"/>
        </w:rPr>
        <w:t>ADAR</w:t>
      </w:r>
      <w:r w:rsidR="006E1EA3">
        <w:rPr>
          <w:color w:val="000000" w:themeColor="text1"/>
        </w:rPr>
        <w:t xml:space="preserve"> </w:t>
      </w:r>
      <w:r w:rsidRPr="00007CB4">
        <w:rPr>
          <w:color w:val="000000" w:themeColor="text1"/>
        </w:rPr>
        <w:t>is likely to significantly overestimate population health benefits</w:t>
      </w:r>
      <w:r w:rsidR="00534664">
        <w:rPr>
          <w:color w:val="000000" w:themeColor="text1"/>
        </w:rPr>
        <w:t xml:space="preserve"> and</w:t>
      </w:r>
      <w:r w:rsidRPr="00007CB4">
        <w:rPr>
          <w:color w:val="000000" w:themeColor="text1"/>
        </w:rPr>
        <w:t xml:space="preserve"> underestimate costs associated with providing imlifidase</w:t>
      </w:r>
      <w:r w:rsidR="00C75E7E">
        <w:rPr>
          <w:color w:val="000000" w:themeColor="text1"/>
        </w:rPr>
        <w:t xml:space="preserve"> from a </w:t>
      </w:r>
      <w:r w:rsidR="00331853">
        <w:rPr>
          <w:color w:val="000000" w:themeColor="text1"/>
        </w:rPr>
        <w:t>healthcare</w:t>
      </w:r>
      <w:r w:rsidR="00C75E7E">
        <w:rPr>
          <w:color w:val="000000" w:themeColor="text1"/>
        </w:rPr>
        <w:t xml:space="preserve"> system perspective</w:t>
      </w:r>
      <w:r w:rsidRPr="00007CB4">
        <w:rPr>
          <w:color w:val="000000" w:themeColor="text1"/>
        </w:rPr>
        <w:t xml:space="preserve">. However, the </w:t>
      </w:r>
      <w:r w:rsidR="0005390B">
        <w:t xml:space="preserve">commentary </w:t>
      </w:r>
      <w:r w:rsidRPr="00007CB4">
        <w:rPr>
          <w:color w:val="000000" w:themeColor="text1"/>
        </w:rPr>
        <w:t>also acknowledge</w:t>
      </w:r>
      <w:r w:rsidR="006C5C6E">
        <w:rPr>
          <w:color w:val="000000" w:themeColor="text1"/>
        </w:rPr>
        <w:t>d</w:t>
      </w:r>
      <w:r w:rsidRPr="00007CB4">
        <w:rPr>
          <w:color w:val="000000" w:themeColor="text1"/>
        </w:rPr>
        <w:t xml:space="preserve"> the high unmet need in the </w:t>
      </w:r>
      <w:r w:rsidR="006C5C6E">
        <w:rPr>
          <w:color w:val="000000" w:themeColor="text1"/>
        </w:rPr>
        <w:t>HS</w:t>
      </w:r>
      <w:r w:rsidR="006E1EA3">
        <w:rPr>
          <w:color w:val="000000" w:themeColor="text1"/>
        </w:rPr>
        <w:t xml:space="preserve"> </w:t>
      </w:r>
      <w:r w:rsidRPr="00007CB4">
        <w:rPr>
          <w:color w:val="000000" w:themeColor="text1"/>
        </w:rPr>
        <w:t>patient population</w:t>
      </w:r>
      <w:r w:rsidR="007128ED">
        <w:rPr>
          <w:color w:val="000000" w:themeColor="text1"/>
        </w:rPr>
        <w:t xml:space="preserve"> and </w:t>
      </w:r>
      <w:r w:rsidR="0017636B" w:rsidRPr="00007CB4">
        <w:rPr>
          <w:color w:val="000000" w:themeColor="text1"/>
        </w:rPr>
        <w:t>acknowledge</w:t>
      </w:r>
      <w:r w:rsidR="0017636B">
        <w:rPr>
          <w:color w:val="000000" w:themeColor="text1"/>
        </w:rPr>
        <w:t>d</w:t>
      </w:r>
      <w:r w:rsidR="0017636B" w:rsidRPr="00007CB4">
        <w:rPr>
          <w:color w:val="000000" w:themeColor="text1"/>
        </w:rPr>
        <w:t xml:space="preserve"> </w:t>
      </w:r>
      <w:r w:rsidR="007A1821">
        <w:rPr>
          <w:color w:val="000000" w:themeColor="text1"/>
        </w:rPr>
        <w:t xml:space="preserve">that </w:t>
      </w:r>
      <w:r w:rsidR="00C64A72">
        <w:rPr>
          <w:color w:val="000000" w:themeColor="text1"/>
        </w:rPr>
        <w:t xml:space="preserve">societal preferences for </w:t>
      </w:r>
      <w:r w:rsidR="00F061C4">
        <w:rPr>
          <w:color w:val="000000" w:themeColor="text1"/>
        </w:rPr>
        <w:t xml:space="preserve">prioritising </w:t>
      </w:r>
      <w:r w:rsidR="00C95B7F">
        <w:rPr>
          <w:color w:val="000000" w:themeColor="text1"/>
        </w:rPr>
        <w:t>difficult</w:t>
      </w:r>
      <w:r w:rsidR="00792DD4">
        <w:rPr>
          <w:color w:val="000000" w:themeColor="text1"/>
        </w:rPr>
        <w:t>-</w:t>
      </w:r>
      <w:r w:rsidR="00C95B7F">
        <w:rPr>
          <w:color w:val="000000" w:themeColor="text1"/>
        </w:rPr>
        <w:t>to</w:t>
      </w:r>
      <w:r w:rsidR="00792DD4">
        <w:rPr>
          <w:color w:val="000000" w:themeColor="text1"/>
        </w:rPr>
        <w:t>-</w:t>
      </w:r>
      <w:r w:rsidR="00C95B7F">
        <w:rPr>
          <w:color w:val="000000" w:themeColor="text1"/>
        </w:rPr>
        <w:t xml:space="preserve">transplant patients and </w:t>
      </w:r>
      <w:r w:rsidR="00792DD4">
        <w:rPr>
          <w:color w:val="000000" w:themeColor="text1"/>
        </w:rPr>
        <w:t xml:space="preserve">those </w:t>
      </w:r>
      <w:r w:rsidR="00C95B7F">
        <w:rPr>
          <w:color w:val="000000" w:themeColor="text1"/>
        </w:rPr>
        <w:t>who have spent longer times waiting for a donor kidney</w:t>
      </w:r>
      <w:r w:rsidR="00C75E7E">
        <w:rPr>
          <w:color w:val="000000" w:themeColor="text1"/>
        </w:rPr>
        <w:t xml:space="preserve"> should be considered in the decision-making process</w:t>
      </w:r>
      <w:r w:rsidR="00C95B7F">
        <w:rPr>
          <w:color w:val="000000" w:themeColor="text1"/>
        </w:rPr>
        <w:t>.</w:t>
      </w:r>
    </w:p>
    <w:p w14:paraId="5FA61926" w14:textId="3E907598" w:rsidR="002877D4" w:rsidRDefault="002877D4" w:rsidP="00B75C5A">
      <w:pPr>
        <w:rPr>
          <w:color w:val="000000" w:themeColor="text1"/>
        </w:rPr>
      </w:pPr>
      <w:r>
        <w:rPr>
          <w:color w:val="000000" w:themeColor="text1"/>
        </w:rPr>
        <w:t>The applicant’s pre-ESC response noted that t</w:t>
      </w:r>
      <w:r w:rsidRPr="00993BD8">
        <w:rPr>
          <w:color w:val="000000" w:themeColor="text1"/>
        </w:rPr>
        <w:t>he impact for non-sensitised patients in allocating a kidney to a HS patient is most likely to be a non-substantial delay</w:t>
      </w:r>
      <w:r>
        <w:rPr>
          <w:color w:val="000000" w:themeColor="text1"/>
        </w:rPr>
        <w:t xml:space="preserve"> rather than</w:t>
      </w:r>
      <w:r w:rsidRPr="00993BD8">
        <w:rPr>
          <w:color w:val="000000" w:themeColor="text1"/>
        </w:rPr>
        <w:t xml:space="preserve"> a denied kidney transplantation</w:t>
      </w:r>
      <w:r>
        <w:rPr>
          <w:color w:val="000000" w:themeColor="text1"/>
        </w:rPr>
        <w:t>. Moreover the pre-ESC response argued that i</w:t>
      </w:r>
      <w:r w:rsidRPr="00363769">
        <w:rPr>
          <w:color w:val="000000" w:themeColor="text1"/>
        </w:rPr>
        <w:t>mlifidase may also increase the number of available kidneys through living donation, thereby reducing the numbers of patients on the DD waitlist</w:t>
      </w:r>
      <w:r>
        <w:rPr>
          <w:color w:val="000000" w:themeColor="text1"/>
        </w:rPr>
        <w:t xml:space="preserve">. </w:t>
      </w:r>
      <w:r w:rsidR="00BE2D2B">
        <w:rPr>
          <w:color w:val="000000" w:themeColor="text1"/>
        </w:rPr>
        <w:t xml:space="preserve"> However the commentary considered that</w:t>
      </w:r>
      <w:r w:rsidR="004937DA">
        <w:rPr>
          <w:color w:val="000000" w:themeColor="text1"/>
        </w:rPr>
        <w:t xml:space="preserve"> </w:t>
      </w:r>
      <w:r w:rsidR="004614CA" w:rsidRPr="004614CA">
        <w:rPr>
          <w:color w:val="000000" w:themeColor="text1"/>
        </w:rPr>
        <w:t xml:space="preserve">as long as no </w:t>
      </w:r>
      <w:r w:rsidR="004614CA">
        <w:rPr>
          <w:color w:val="000000" w:themeColor="text1"/>
        </w:rPr>
        <w:t xml:space="preserve">DD </w:t>
      </w:r>
      <w:r w:rsidR="004614CA" w:rsidRPr="004614CA">
        <w:rPr>
          <w:color w:val="000000" w:themeColor="text1"/>
        </w:rPr>
        <w:t xml:space="preserve">kidneys are wasted (i.e. there are no patients in the transplant waiting list that could receive an available </w:t>
      </w:r>
      <w:r w:rsidR="004614CA">
        <w:rPr>
          <w:color w:val="000000" w:themeColor="text1"/>
        </w:rPr>
        <w:t xml:space="preserve">DD </w:t>
      </w:r>
      <w:r w:rsidR="004614CA" w:rsidRPr="004614CA">
        <w:rPr>
          <w:color w:val="000000" w:themeColor="text1"/>
        </w:rPr>
        <w:t>kidney) there is overall no reduction in the requirement for dialysis provision by the healthcare system</w:t>
      </w:r>
      <w:r w:rsidR="00EA7361">
        <w:rPr>
          <w:color w:val="000000" w:themeColor="text1"/>
        </w:rPr>
        <w:t xml:space="preserve"> and therefore cost offsets due to reduced dialysis provision are unlikely to be achieved</w:t>
      </w:r>
      <w:r w:rsidR="004937DA" w:rsidRPr="004937DA">
        <w:rPr>
          <w:color w:val="000000" w:themeColor="text1"/>
        </w:rPr>
        <w:t xml:space="preserve">. </w:t>
      </w:r>
      <w:r w:rsidR="007C3AC0">
        <w:t xml:space="preserve">While it is </w:t>
      </w:r>
      <w:r w:rsidR="007C3AC0" w:rsidRPr="007C3AC0">
        <w:rPr>
          <w:color w:val="000000" w:themeColor="text1"/>
        </w:rPr>
        <w:t>acknowledged</w:t>
      </w:r>
      <w:r w:rsidR="007C3AC0">
        <w:rPr>
          <w:color w:val="000000" w:themeColor="text1"/>
        </w:rPr>
        <w:t xml:space="preserve"> that </w:t>
      </w:r>
      <w:r w:rsidR="007C3AC0" w:rsidRPr="007C3AC0">
        <w:rPr>
          <w:color w:val="000000" w:themeColor="text1"/>
        </w:rPr>
        <w:t>there is the potential for cost offsets to be generated through changes in behaviour with respect to living donors</w:t>
      </w:r>
      <w:r w:rsidR="007C3AC0">
        <w:rPr>
          <w:color w:val="000000" w:themeColor="text1"/>
        </w:rPr>
        <w:t xml:space="preserve">, the commentary reiterated that </w:t>
      </w:r>
      <w:r w:rsidR="00553DA2" w:rsidRPr="00553DA2">
        <w:rPr>
          <w:color w:val="000000" w:themeColor="text1"/>
        </w:rPr>
        <w:t>no evidence for this was presented in the ADAR and the overall impact of these elements on costs to the health system in Australia remain unknown</w:t>
      </w:r>
      <w:r w:rsidR="00553DA2">
        <w:rPr>
          <w:color w:val="000000" w:themeColor="text1"/>
        </w:rPr>
        <w:t xml:space="preserve">. </w:t>
      </w:r>
    </w:p>
    <w:p w14:paraId="7057A4F9" w14:textId="2AD73E45" w:rsidR="005762BE" w:rsidRDefault="005762BE" w:rsidP="00FF2059">
      <w:pPr>
        <w:pStyle w:val="Heading3nonumbers"/>
      </w:pPr>
      <w:r>
        <w:t>Transplant rates under current care</w:t>
      </w:r>
    </w:p>
    <w:p w14:paraId="31F4AEC8" w14:textId="2A22FAC6" w:rsidR="00BC7D7E" w:rsidRPr="00BC7D7E" w:rsidRDefault="00BC7D7E" w:rsidP="00BC7D7E">
      <w:pPr>
        <w:rPr>
          <w:lang w:val="en-US"/>
        </w:rPr>
      </w:pPr>
      <w:r w:rsidRPr="00BC7D7E">
        <w:rPr>
          <w:lang w:val="en-US"/>
        </w:rPr>
        <w:t xml:space="preserve">The assessment group </w:t>
      </w:r>
      <w:r w:rsidR="000B3009">
        <w:rPr>
          <w:lang w:val="en-US"/>
        </w:rPr>
        <w:t>found that</w:t>
      </w:r>
      <w:r w:rsidR="000B3009" w:rsidRPr="00BC7D7E">
        <w:rPr>
          <w:lang w:val="en-US"/>
        </w:rPr>
        <w:t xml:space="preserve"> </w:t>
      </w:r>
      <w:r w:rsidRPr="00BC7D7E">
        <w:rPr>
          <w:lang w:val="en-US"/>
        </w:rPr>
        <w:t>the</w:t>
      </w:r>
      <w:r w:rsidR="00741E98">
        <w:rPr>
          <w:lang w:val="en-US"/>
        </w:rPr>
        <w:t xml:space="preserve"> ADAR’s</w:t>
      </w:r>
      <w:r w:rsidRPr="00BC7D7E">
        <w:rPr>
          <w:lang w:val="en-US"/>
        </w:rPr>
        <w:t xml:space="preserve"> approach for estimating the probability of receiving a transplant in this patient population significantly underestimates the true transplant </w:t>
      </w:r>
      <w:r w:rsidR="00686D7A">
        <w:rPr>
          <w:lang w:val="en-US"/>
        </w:rPr>
        <w:t>rate</w:t>
      </w:r>
      <w:r w:rsidRPr="00BC7D7E">
        <w:rPr>
          <w:lang w:val="en-US"/>
        </w:rPr>
        <w:t xml:space="preserve"> in this population. The </w:t>
      </w:r>
      <w:r w:rsidR="007534A8">
        <w:rPr>
          <w:lang w:val="en-US"/>
        </w:rPr>
        <w:t>ADAR</w:t>
      </w:r>
      <w:r w:rsidRPr="00BC7D7E">
        <w:rPr>
          <w:lang w:val="en-US"/>
        </w:rPr>
        <w:t xml:space="preserve"> argues that transplant rates in the </w:t>
      </w:r>
      <w:proofErr w:type="spellStart"/>
      <w:r w:rsidRPr="00BC7D7E">
        <w:rPr>
          <w:lang w:val="en-US"/>
        </w:rPr>
        <w:t>cPRA</w:t>
      </w:r>
      <w:proofErr w:type="spellEnd"/>
      <w:r w:rsidRPr="00BC7D7E">
        <w:rPr>
          <w:lang w:val="en-US"/>
        </w:rPr>
        <w:t xml:space="preserve"> ≥95% </w:t>
      </w:r>
      <w:r w:rsidR="00D54A1B" w:rsidRPr="00BC7D7E">
        <w:rPr>
          <w:lang w:val="en-US"/>
        </w:rPr>
        <w:t xml:space="preserve">population </w:t>
      </w:r>
      <w:r w:rsidRPr="00BC7D7E">
        <w:rPr>
          <w:lang w:val="en-US"/>
        </w:rPr>
        <w:t xml:space="preserve">and the total ANZKX population converge in </w:t>
      </w:r>
      <w:r w:rsidR="00D54A1B" w:rsidRPr="00BC7D7E">
        <w:rPr>
          <w:lang w:val="en-US"/>
        </w:rPr>
        <w:t>5</w:t>
      </w:r>
      <w:r w:rsidR="00D54A1B">
        <w:rPr>
          <w:lang w:val="en-US"/>
        </w:rPr>
        <w:t>–</w:t>
      </w:r>
      <w:r w:rsidR="00D54A1B" w:rsidRPr="00BC7D7E">
        <w:rPr>
          <w:lang w:val="en-US"/>
        </w:rPr>
        <w:t>6</w:t>
      </w:r>
      <w:r w:rsidR="00D54A1B">
        <w:rPr>
          <w:lang w:val="en-US"/>
        </w:rPr>
        <w:t xml:space="preserve"> </w:t>
      </w:r>
      <w:r w:rsidR="00534664">
        <w:rPr>
          <w:lang w:val="en-US"/>
        </w:rPr>
        <w:t>years</w:t>
      </w:r>
      <w:r w:rsidR="00D54A1B">
        <w:rPr>
          <w:lang w:val="en-US"/>
        </w:rPr>
        <w:t xml:space="preserve">, </w:t>
      </w:r>
      <w:r w:rsidR="00D54A1B" w:rsidRPr="00BC7D7E">
        <w:rPr>
          <w:lang w:val="en-US"/>
        </w:rPr>
        <w:t>based on ANKX data</w:t>
      </w:r>
      <w:r w:rsidR="00686D7A">
        <w:rPr>
          <w:lang w:val="en-US"/>
        </w:rPr>
        <w:t>. As</w:t>
      </w:r>
      <w:r w:rsidRPr="00BC7D7E">
        <w:rPr>
          <w:lang w:val="en-US"/>
        </w:rPr>
        <w:t xml:space="preserve"> such, these rates in the overall patient population </w:t>
      </w:r>
      <w:r w:rsidR="00F2594B">
        <w:rPr>
          <w:lang w:val="en-US"/>
        </w:rPr>
        <w:t>reflect</w:t>
      </w:r>
      <w:r w:rsidRPr="00BC7D7E">
        <w:rPr>
          <w:lang w:val="en-US"/>
        </w:rPr>
        <w:t xml:space="preserve"> the </w:t>
      </w:r>
      <w:r w:rsidR="00D54A1B">
        <w:rPr>
          <w:lang w:val="en-US"/>
        </w:rPr>
        <w:t>HS</w:t>
      </w:r>
      <w:r w:rsidRPr="00BC7D7E">
        <w:rPr>
          <w:lang w:val="en-US"/>
        </w:rPr>
        <w:t xml:space="preserve"> patient population considered in the economic evaluation. This is then extrapolated to the wider </w:t>
      </w:r>
      <w:r w:rsidR="00D54A1B">
        <w:rPr>
          <w:lang w:val="en-US"/>
        </w:rPr>
        <w:t>DD</w:t>
      </w:r>
      <w:r w:rsidRPr="00BC7D7E">
        <w:rPr>
          <w:lang w:val="en-US"/>
        </w:rPr>
        <w:t xml:space="preserve"> waitlist population from </w:t>
      </w:r>
      <w:r w:rsidR="00FC7058">
        <w:rPr>
          <w:lang w:val="en-US"/>
        </w:rPr>
        <w:t>years</w:t>
      </w:r>
      <w:r w:rsidRPr="00BC7D7E">
        <w:rPr>
          <w:lang w:val="en-US"/>
        </w:rPr>
        <w:t xml:space="preserve"> 4 to 5, resulting in an estimated transplant rate of approximately 5% per year. However, ANZKX data presented in </w:t>
      </w:r>
      <w:r>
        <w:rPr>
          <w:lang w:val="en-US"/>
        </w:rPr>
        <w:t xml:space="preserve">the </w:t>
      </w:r>
      <w:r w:rsidR="007534A8">
        <w:rPr>
          <w:lang w:val="en-US"/>
        </w:rPr>
        <w:t>ADAR</w:t>
      </w:r>
      <w:r>
        <w:rPr>
          <w:lang w:val="en-US"/>
        </w:rPr>
        <w:t xml:space="preserve"> </w:t>
      </w:r>
      <w:r w:rsidRPr="00BC7D7E">
        <w:rPr>
          <w:lang w:val="en-US"/>
        </w:rPr>
        <w:t xml:space="preserve">show that even patients with </w:t>
      </w:r>
      <w:proofErr w:type="spellStart"/>
      <w:r w:rsidRPr="00BC7D7E">
        <w:rPr>
          <w:lang w:val="en-US"/>
        </w:rPr>
        <w:t>cPRA</w:t>
      </w:r>
      <w:proofErr w:type="spellEnd"/>
      <w:r w:rsidRPr="00BC7D7E">
        <w:rPr>
          <w:lang w:val="en-US"/>
        </w:rPr>
        <w:t xml:space="preserve"> ≥95% are significantly more likely to receive transplants in earlier years, with 19.6% of </w:t>
      </w:r>
      <w:r w:rsidR="00F85383">
        <w:rPr>
          <w:lang w:val="en-US"/>
        </w:rPr>
        <w:t>HS</w:t>
      </w:r>
      <w:r w:rsidRPr="00BC7D7E">
        <w:rPr>
          <w:lang w:val="en-US"/>
        </w:rPr>
        <w:t xml:space="preserve"> patients receiving a transplant in year 2. </w:t>
      </w:r>
      <w:r w:rsidR="004D4857">
        <w:rPr>
          <w:lang w:val="en-US"/>
        </w:rPr>
        <w:t>I</w:t>
      </w:r>
      <w:r w:rsidRPr="00BC7D7E">
        <w:rPr>
          <w:lang w:val="en-US"/>
        </w:rPr>
        <w:t xml:space="preserve">t is unclear why this </w:t>
      </w:r>
      <w:r w:rsidR="004D4857">
        <w:rPr>
          <w:lang w:val="en-US"/>
        </w:rPr>
        <w:t xml:space="preserve">trend </w:t>
      </w:r>
      <w:r w:rsidRPr="00BC7D7E">
        <w:rPr>
          <w:lang w:val="en-US"/>
        </w:rPr>
        <w:t xml:space="preserve">would not also be </w:t>
      </w:r>
      <w:r w:rsidR="004D4857">
        <w:rPr>
          <w:lang w:val="en-US"/>
        </w:rPr>
        <w:t>observed</w:t>
      </w:r>
      <w:r w:rsidRPr="00BC7D7E">
        <w:rPr>
          <w:lang w:val="en-US"/>
        </w:rPr>
        <w:t xml:space="preserve"> in patients on the </w:t>
      </w:r>
      <w:r w:rsidR="00F85383">
        <w:rPr>
          <w:lang w:val="en-US"/>
        </w:rPr>
        <w:t>DD</w:t>
      </w:r>
      <w:r w:rsidRPr="00BC7D7E">
        <w:rPr>
          <w:lang w:val="en-US"/>
        </w:rPr>
        <w:t xml:space="preserve"> waiting list</w:t>
      </w:r>
      <w:r w:rsidR="00FE0EC9">
        <w:rPr>
          <w:lang w:val="en-US"/>
        </w:rPr>
        <w:t>. T</w:t>
      </w:r>
      <w:r w:rsidRPr="00BC7D7E">
        <w:rPr>
          <w:lang w:val="en-US"/>
        </w:rPr>
        <w:t xml:space="preserve">he </w:t>
      </w:r>
      <w:r w:rsidR="00353489">
        <w:rPr>
          <w:lang w:val="en-US"/>
        </w:rPr>
        <w:t>ADAR</w:t>
      </w:r>
      <w:r w:rsidRPr="00BC7D7E">
        <w:rPr>
          <w:lang w:val="en-US"/>
        </w:rPr>
        <w:t xml:space="preserve"> present</w:t>
      </w:r>
      <w:r w:rsidR="00353489">
        <w:rPr>
          <w:lang w:val="en-US"/>
        </w:rPr>
        <w:t>s</w:t>
      </w:r>
      <w:r w:rsidRPr="00BC7D7E">
        <w:rPr>
          <w:lang w:val="en-US"/>
        </w:rPr>
        <w:t xml:space="preserve"> </w:t>
      </w:r>
      <w:r w:rsidR="00FE0EC9">
        <w:rPr>
          <w:lang w:val="en-US"/>
        </w:rPr>
        <w:t>no</w:t>
      </w:r>
      <w:r w:rsidR="00FE0EC9" w:rsidRPr="00BC7D7E">
        <w:rPr>
          <w:lang w:val="en-US"/>
        </w:rPr>
        <w:t xml:space="preserve"> </w:t>
      </w:r>
      <w:r w:rsidRPr="00BC7D7E">
        <w:rPr>
          <w:lang w:val="en-US"/>
        </w:rPr>
        <w:t xml:space="preserve">data to justify this assumption. </w:t>
      </w:r>
      <w:r>
        <w:rPr>
          <w:lang w:val="en-US"/>
        </w:rPr>
        <w:t>U</w:t>
      </w:r>
      <w:r w:rsidRPr="00BC7D7E">
        <w:rPr>
          <w:lang w:val="en-US"/>
        </w:rPr>
        <w:t>nderestimati</w:t>
      </w:r>
      <w:r>
        <w:rPr>
          <w:lang w:val="en-US"/>
        </w:rPr>
        <w:t xml:space="preserve">on </w:t>
      </w:r>
      <w:r w:rsidRPr="00BC7D7E">
        <w:rPr>
          <w:lang w:val="en-US"/>
        </w:rPr>
        <w:t xml:space="preserve">of the probability of receiving a transplant for patients </w:t>
      </w:r>
      <w:r>
        <w:rPr>
          <w:lang w:val="en-US"/>
        </w:rPr>
        <w:t>under current care in the absence of imlif</w:t>
      </w:r>
      <w:r w:rsidR="004D4857">
        <w:rPr>
          <w:lang w:val="en-US"/>
        </w:rPr>
        <w:t>idase</w:t>
      </w:r>
      <w:r w:rsidRPr="00BC7D7E">
        <w:rPr>
          <w:lang w:val="en-US"/>
        </w:rPr>
        <w:t xml:space="preserve"> will overestimate the </w:t>
      </w:r>
      <w:r w:rsidR="004D4857">
        <w:rPr>
          <w:lang w:val="en-US"/>
        </w:rPr>
        <w:t xml:space="preserve">incremental </w:t>
      </w:r>
      <w:r w:rsidRPr="00BC7D7E">
        <w:rPr>
          <w:lang w:val="en-US"/>
        </w:rPr>
        <w:t xml:space="preserve">benefit of </w:t>
      </w:r>
      <w:r w:rsidR="004D4857">
        <w:rPr>
          <w:lang w:val="en-US"/>
        </w:rPr>
        <w:t>treatment</w:t>
      </w:r>
      <w:r w:rsidRPr="00BC7D7E">
        <w:rPr>
          <w:lang w:val="en-US"/>
        </w:rPr>
        <w:t xml:space="preserve"> with imlifidase.</w:t>
      </w:r>
    </w:p>
    <w:p w14:paraId="7B8BF3E9" w14:textId="24EC0763" w:rsidR="00E17DD9" w:rsidRPr="00FF2059" w:rsidRDefault="000100B0" w:rsidP="00FF2059">
      <w:pPr>
        <w:pStyle w:val="Heading3nonumbers"/>
      </w:pPr>
      <w:r>
        <w:t>Treatment</w:t>
      </w:r>
      <w:r w:rsidR="00E17DD9" w:rsidRPr="00FF2059">
        <w:t xml:space="preserve"> </w:t>
      </w:r>
      <w:r w:rsidR="003553C2" w:rsidRPr="00FF2059">
        <w:t>efficacy</w:t>
      </w:r>
      <w:r>
        <w:t>, graft survival</w:t>
      </w:r>
      <w:r w:rsidR="003553C2" w:rsidRPr="00FF2059">
        <w:t xml:space="preserve"> and mortality</w:t>
      </w:r>
    </w:p>
    <w:p w14:paraId="682DC0C5" w14:textId="2FEE2567" w:rsidR="00B3243F" w:rsidRPr="00B3243F" w:rsidRDefault="00713BC6" w:rsidP="00E17DD9">
      <w:pPr>
        <w:rPr>
          <w:color w:val="000000" w:themeColor="text1"/>
          <w:lang w:val="en-GB"/>
        </w:rPr>
      </w:pPr>
      <w:r>
        <w:rPr>
          <w:color w:val="000000" w:themeColor="text1"/>
        </w:rPr>
        <w:t>E</w:t>
      </w:r>
      <w:r w:rsidR="0093518F">
        <w:rPr>
          <w:color w:val="000000" w:themeColor="text1"/>
        </w:rPr>
        <w:t>fficacy of imlifidase</w:t>
      </w:r>
      <w:r w:rsidR="00837A13">
        <w:rPr>
          <w:color w:val="000000" w:themeColor="text1"/>
        </w:rPr>
        <w:t xml:space="preserve"> in the economic evaluation is based on the pooled safety population of 54</w:t>
      </w:r>
      <w:r w:rsidR="00B641C6">
        <w:rPr>
          <w:color w:val="000000" w:themeColor="text1"/>
        </w:rPr>
        <w:t> </w:t>
      </w:r>
      <w:r w:rsidR="00837A13">
        <w:rPr>
          <w:color w:val="000000" w:themeColor="text1"/>
        </w:rPr>
        <w:t>patients from the clinical trial program.</w:t>
      </w:r>
      <w:r w:rsidR="00AA77A5">
        <w:rPr>
          <w:color w:val="000000" w:themeColor="text1"/>
        </w:rPr>
        <w:t xml:space="preserve"> In this population, </w:t>
      </w:r>
      <w:r>
        <w:rPr>
          <w:color w:val="000000" w:themeColor="text1"/>
        </w:rPr>
        <w:t xml:space="preserve">2 </w:t>
      </w:r>
      <w:r w:rsidR="004F7755">
        <w:rPr>
          <w:color w:val="000000" w:themeColor="text1"/>
        </w:rPr>
        <w:t xml:space="preserve">patients did not receive a full dose of imlifidase </w:t>
      </w:r>
      <w:r w:rsidR="00EE6BBE">
        <w:rPr>
          <w:color w:val="000000" w:themeColor="text1"/>
        </w:rPr>
        <w:t>(</w:t>
      </w:r>
      <w:r w:rsidR="004F7755">
        <w:rPr>
          <w:color w:val="000000" w:themeColor="text1"/>
        </w:rPr>
        <w:t>due to infusion</w:t>
      </w:r>
      <w:r w:rsidR="002C70B7">
        <w:rPr>
          <w:color w:val="000000" w:themeColor="text1"/>
        </w:rPr>
        <w:t>-</w:t>
      </w:r>
      <w:r w:rsidR="004F7755">
        <w:rPr>
          <w:color w:val="000000" w:themeColor="text1"/>
        </w:rPr>
        <w:t>related reactions</w:t>
      </w:r>
      <w:r w:rsidR="00EE6BBE">
        <w:rPr>
          <w:color w:val="000000" w:themeColor="text1"/>
        </w:rPr>
        <w:t>)</w:t>
      </w:r>
      <w:r w:rsidR="004F7755">
        <w:rPr>
          <w:color w:val="000000" w:themeColor="text1"/>
        </w:rPr>
        <w:t xml:space="preserve"> and </w:t>
      </w:r>
      <w:r w:rsidR="00117397">
        <w:rPr>
          <w:color w:val="000000" w:themeColor="text1"/>
        </w:rPr>
        <w:t xml:space="preserve">were </w:t>
      </w:r>
      <w:r w:rsidR="008D529F">
        <w:rPr>
          <w:color w:val="000000" w:themeColor="text1"/>
        </w:rPr>
        <w:t>therefore</w:t>
      </w:r>
      <w:r w:rsidR="00117397">
        <w:rPr>
          <w:color w:val="000000" w:themeColor="text1"/>
        </w:rPr>
        <w:t xml:space="preserve"> not successfully converted</w:t>
      </w:r>
      <w:r w:rsidR="00CD6EC6">
        <w:rPr>
          <w:color w:val="000000" w:themeColor="text1"/>
        </w:rPr>
        <w:t xml:space="preserve"> to </w:t>
      </w:r>
      <w:r w:rsidR="00E10DE3">
        <w:rPr>
          <w:color w:val="000000" w:themeColor="text1"/>
        </w:rPr>
        <w:t>crossmatch</w:t>
      </w:r>
      <w:r w:rsidR="00CD6EC6">
        <w:rPr>
          <w:color w:val="000000" w:themeColor="text1"/>
        </w:rPr>
        <w:t xml:space="preserve"> negative, leading to a model base case efficacy of </w:t>
      </w:r>
      <w:r w:rsidR="00CE14EB">
        <w:rPr>
          <w:color w:val="000000" w:themeColor="text1"/>
        </w:rPr>
        <w:t>96.3% successful conversion following treatment with imlifidase.</w:t>
      </w:r>
      <w:r w:rsidR="00300482">
        <w:rPr>
          <w:color w:val="000000" w:themeColor="text1"/>
        </w:rPr>
        <w:t xml:space="preserve"> One additional patient</w:t>
      </w:r>
      <w:r w:rsidR="00B97C6B">
        <w:rPr>
          <w:color w:val="000000" w:themeColor="text1"/>
        </w:rPr>
        <w:t xml:space="preserve"> had a residual positive </w:t>
      </w:r>
      <w:r w:rsidR="00E10DE3">
        <w:rPr>
          <w:color w:val="000000" w:themeColor="text1"/>
        </w:rPr>
        <w:t>crossmatch</w:t>
      </w:r>
      <w:r w:rsidR="00A629A7">
        <w:rPr>
          <w:color w:val="000000" w:themeColor="text1"/>
        </w:rPr>
        <w:t xml:space="preserve">; however, this was deemed clinically insignificant and the patient was subsequently transplanted successfully. </w:t>
      </w:r>
      <w:r w:rsidR="009A4A58">
        <w:rPr>
          <w:color w:val="000000" w:themeColor="text1"/>
        </w:rPr>
        <w:t xml:space="preserve">As such, the </w:t>
      </w:r>
      <w:r w:rsidR="009D1E85">
        <w:rPr>
          <w:color w:val="000000" w:themeColor="text1"/>
        </w:rPr>
        <w:t>commentary</w:t>
      </w:r>
      <w:r w:rsidR="009A4A58">
        <w:rPr>
          <w:color w:val="000000" w:themeColor="text1"/>
        </w:rPr>
        <w:t xml:space="preserve"> agree</w:t>
      </w:r>
      <w:r w:rsidR="00EE6BBE">
        <w:rPr>
          <w:color w:val="000000" w:themeColor="text1"/>
        </w:rPr>
        <w:t>d</w:t>
      </w:r>
      <w:r w:rsidR="009A4A58">
        <w:rPr>
          <w:color w:val="000000" w:themeColor="text1"/>
        </w:rPr>
        <w:t xml:space="preserve"> with </w:t>
      </w:r>
      <w:r w:rsidR="002C70B7">
        <w:rPr>
          <w:color w:val="000000" w:themeColor="text1"/>
        </w:rPr>
        <w:t xml:space="preserve">the </w:t>
      </w:r>
      <w:r w:rsidR="00C40B48">
        <w:rPr>
          <w:color w:val="000000" w:themeColor="text1"/>
        </w:rPr>
        <w:t xml:space="preserve">base case efficacy estimate of 96.3% used in </w:t>
      </w:r>
      <w:r w:rsidR="00467F89">
        <w:rPr>
          <w:color w:val="000000" w:themeColor="text1"/>
        </w:rPr>
        <w:t xml:space="preserve">the </w:t>
      </w:r>
      <w:r w:rsidR="0001167E">
        <w:rPr>
          <w:color w:val="000000" w:themeColor="text1"/>
        </w:rPr>
        <w:t>ADAR</w:t>
      </w:r>
      <w:r w:rsidR="00467F89">
        <w:rPr>
          <w:color w:val="000000" w:themeColor="text1"/>
        </w:rPr>
        <w:t>.</w:t>
      </w:r>
    </w:p>
    <w:p w14:paraId="152D6E5F" w14:textId="19388071" w:rsidR="00267C10" w:rsidRPr="00214A6D" w:rsidRDefault="00E9599B" w:rsidP="00E17DD9">
      <w:pPr>
        <w:rPr>
          <w:color w:val="000000" w:themeColor="text1"/>
        </w:rPr>
      </w:pPr>
      <w:r>
        <w:rPr>
          <w:color w:val="000000" w:themeColor="text1"/>
        </w:rPr>
        <w:t xml:space="preserve">Patient survival </w:t>
      </w:r>
      <w:r w:rsidR="00B82358">
        <w:rPr>
          <w:color w:val="000000" w:themeColor="text1"/>
        </w:rPr>
        <w:t>with a functioning graft and d</w:t>
      </w:r>
      <w:r w:rsidR="006D012F">
        <w:rPr>
          <w:color w:val="000000" w:themeColor="text1"/>
        </w:rPr>
        <w:t>eath</w:t>
      </w:r>
      <w:r w:rsidR="002C70B7">
        <w:rPr>
          <w:color w:val="000000" w:themeColor="text1"/>
        </w:rPr>
        <w:t>-</w:t>
      </w:r>
      <w:r w:rsidR="006D012F">
        <w:rPr>
          <w:color w:val="000000" w:themeColor="text1"/>
        </w:rPr>
        <w:t>censored g</w:t>
      </w:r>
      <w:r w:rsidR="00824752">
        <w:rPr>
          <w:color w:val="000000" w:themeColor="text1"/>
        </w:rPr>
        <w:t>raft survival</w:t>
      </w:r>
      <w:r w:rsidR="006A404A">
        <w:rPr>
          <w:color w:val="000000" w:themeColor="text1"/>
        </w:rPr>
        <w:t xml:space="preserve"> w</w:t>
      </w:r>
      <w:r w:rsidR="002D706B">
        <w:rPr>
          <w:color w:val="000000" w:themeColor="text1"/>
        </w:rPr>
        <w:t>ere</w:t>
      </w:r>
      <w:r w:rsidR="006A404A">
        <w:rPr>
          <w:color w:val="000000" w:themeColor="text1"/>
        </w:rPr>
        <w:t xml:space="preserve"> estimated based on parametric survival analysis of clinical trial data. </w:t>
      </w:r>
      <w:r w:rsidR="00762F05">
        <w:rPr>
          <w:color w:val="000000" w:themeColor="text1"/>
        </w:rPr>
        <w:t xml:space="preserve">Parametric models were fit </w:t>
      </w:r>
      <w:r w:rsidR="00727ECA">
        <w:rPr>
          <w:color w:val="000000" w:themeColor="text1"/>
        </w:rPr>
        <w:t>for</w:t>
      </w:r>
      <w:r w:rsidR="00762F05">
        <w:rPr>
          <w:color w:val="000000" w:themeColor="text1"/>
        </w:rPr>
        <w:t xml:space="preserve"> </w:t>
      </w:r>
      <w:r w:rsidR="00EC422D">
        <w:rPr>
          <w:color w:val="000000" w:themeColor="text1"/>
        </w:rPr>
        <w:t xml:space="preserve">the </w:t>
      </w:r>
      <w:r w:rsidR="00AB4238">
        <w:rPr>
          <w:color w:val="000000" w:themeColor="text1"/>
        </w:rPr>
        <w:t xml:space="preserve">patient population </w:t>
      </w:r>
      <w:r w:rsidR="002D706B">
        <w:rPr>
          <w:color w:val="000000" w:themeColor="text1"/>
        </w:rPr>
        <w:t>undergoing</w:t>
      </w:r>
      <w:r w:rsidR="00AB4238">
        <w:rPr>
          <w:color w:val="000000" w:themeColor="text1"/>
        </w:rPr>
        <w:t xml:space="preserve"> a kidney transplant</w:t>
      </w:r>
      <w:r w:rsidR="003D019E">
        <w:rPr>
          <w:color w:val="000000" w:themeColor="text1"/>
        </w:rPr>
        <w:t>.</w:t>
      </w:r>
      <w:r w:rsidR="003C5BA3">
        <w:rPr>
          <w:color w:val="000000" w:themeColor="text1"/>
        </w:rPr>
        <w:t xml:space="preserve"> The </w:t>
      </w:r>
      <w:r w:rsidR="00676525">
        <w:rPr>
          <w:color w:val="000000" w:themeColor="text1"/>
        </w:rPr>
        <w:t>ADAR</w:t>
      </w:r>
      <w:r w:rsidR="003C5BA3">
        <w:rPr>
          <w:color w:val="000000" w:themeColor="text1"/>
        </w:rPr>
        <w:t xml:space="preserve"> explored </w:t>
      </w:r>
      <w:r w:rsidR="00AC6BF4">
        <w:rPr>
          <w:color w:val="000000" w:themeColor="text1"/>
        </w:rPr>
        <w:t>different parametric distributions</w:t>
      </w:r>
      <w:r w:rsidR="00E42808">
        <w:rPr>
          <w:color w:val="000000" w:themeColor="text1"/>
        </w:rPr>
        <w:t xml:space="preserve"> including </w:t>
      </w:r>
      <w:r w:rsidR="003C1D5C">
        <w:rPr>
          <w:color w:val="000000" w:themeColor="text1"/>
        </w:rPr>
        <w:t xml:space="preserve">exponential, </w:t>
      </w:r>
      <w:r w:rsidR="00E42808">
        <w:rPr>
          <w:color w:val="000000" w:themeColor="text1"/>
        </w:rPr>
        <w:t xml:space="preserve">Weibull, log-logistic, log-normal, </w:t>
      </w:r>
      <w:proofErr w:type="spellStart"/>
      <w:r w:rsidR="00955FD7">
        <w:rPr>
          <w:color w:val="000000" w:themeColor="text1"/>
        </w:rPr>
        <w:t>Gompertz</w:t>
      </w:r>
      <w:proofErr w:type="spellEnd"/>
      <w:r w:rsidR="00955FD7">
        <w:rPr>
          <w:color w:val="000000" w:themeColor="text1"/>
        </w:rPr>
        <w:t xml:space="preserve"> and generalised gamma distributions as candidates. </w:t>
      </w:r>
      <w:r w:rsidR="00DD66DF">
        <w:rPr>
          <w:color w:val="000000" w:themeColor="text1"/>
        </w:rPr>
        <w:t xml:space="preserve">The </w:t>
      </w:r>
      <w:r w:rsidR="009D1E85">
        <w:rPr>
          <w:color w:val="000000" w:themeColor="text1"/>
        </w:rPr>
        <w:t xml:space="preserve">commentary </w:t>
      </w:r>
      <w:r w:rsidR="00DD66DF">
        <w:rPr>
          <w:color w:val="000000" w:themeColor="text1"/>
        </w:rPr>
        <w:t>agree</w:t>
      </w:r>
      <w:r w:rsidR="00115818">
        <w:rPr>
          <w:color w:val="000000" w:themeColor="text1"/>
        </w:rPr>
        <w:t>d</w:t>
      </w:r>
      <w:r w:rsidR="00DD66DF">
        <w:rPr>
          <w:color w:val="000000" w:themeColor="text1"/>
        </w:rPr>
        <w:t xml:space="preserve"> that parametric survival analysis is an appropriate method to generate extrapolations from the clinical trial data</w:t>
      </w:r>
      <w:r w:rsidR="00FC448D">
        <w:rPr>
          <w:color w:val="000000" w:themeColor="text1"/>
        </w:rPr>
        <w:t xml:space="preserve"> and the</w:t>
      </w:r>
      <w:r w:rsidR="004E1B3E">
        <w:rPr>
          <w:color w:val="000000" w:themeColor="text1"/>
        </w:rPr>
        <w:t xml:space="preserve"> </w:t>
      </w:r>
      <w:r w:rsidR="00FC7058">
        <w:rPr>
          <w:color w:val="000000" w:themeColor="text1"/>
        </w:rPr>
        <w:t xml:space="preserve">appropriate </w:t>
      </w:r>
      <w:r w:rsidR="004E1B3E">
        <w:rPr>
          <w:color w:val="000000" w:themeColor="text1"/>
        </w:rPr>
        <w:t>candidate distributions.</w:t>
      </w:r>
      <w:r w:rsidR="002A016D">
        <w:rPr>
          <w:color w:val="000000" w:themeColor="text1"/>
        </w:rPr>
        <w:t xml:space="preserve"> </w:t>
      </w:r>
      <w:r w:rsidR="00B82358">
        <w:rPr>
          <w:color w:val="000000" w:themeColor="text1"/>
        </w:rPr>
        <w:t>Patient survival with a functioning graft and g</w:t>
      </w:r>
      <w:r w:rsidR="002A016D">
        <w:rPr>
          <w:color w:val="000000" w:themeColor="text1"/>
        </w:rPr>
        <w:t xml:space="preserve">raft survival </w:t>
      </w:r>
      <w:r w:rsidR="00B82358">
        <w:rPr>
          <w:color w:val="000000" w:themeColor="text1"/>
        </w:rPr>
        <w:t>were all</w:t>
      </w:r>
      <w:r w:rsidR="002A016D">
        <w:rPr>
          <w:color w:val="000000" w:themeColor="text1"/>
        </w:rPr>
        <w:t xml:space="preserve"> modelled in the </w:t>
      </w:r>
      <w:r w:rsidR="00572720">
        <w:rPr>
          <w:color w:val="000000" w:themeColor="text1"/>
        </w:rPr>
        <w:t xml:space="preserve">base case presented in the </w:t>
      </w:r>
      <w:r w:rsidR="009D1E85">
        <w:rPr>
          <w:color w:val="000000" w:themeColor="text1"/>
        </w:rPr>
        <w:t>ADAR</w:t>
      </w:r>
      <w:r w:rsidR="00572720">
        <w:rPr>
          <w:color w:val="000000" w:themeColor="text1"/>
        </w:rPr>
        <w:t xml:space="preserve"> </w:t>
      </w:r>
      <w:r w:rsidR="00CF554A">
        <w:rPr>
          <w:color w:val="000000" w:themeColor="text1"/>
        </w:rPr>
        <w:t>using an exponential distribution</w:t>
      </w:r>
      <w:r w:rsidR="001D2343">
        <w:rPr>
          <w:color w:val="000000" w:themeColor="text1"/>
        </w:rPr>
        <w:t>. T</w:t>
      </w:r>
      <w:r w:rsidR="00CF554A">
        <w:rPr>
          <w:color w:val="000000" w:themeColor="text1"/>
        </w:rPr>
        <w:t xml:space="preserve">his was justified in the </w:t>
      </w:r>
      <w:r w:rsidR="00575D3B">
        <w:rPr>
          <w:color w:val="000000" w:themeColor="text1"/>
        </w:rPr>
        <w:t xml:space="preserve">ADAR </w:t>
      </w:r>
      <w:r w:rsidR="00CF554A">
        <w:rPr>
          <w:color w:val="000000" w:themeColor="text1"/>
        </w:rPr>
        <w:t xml:space="preserve">based on the minimisation of </w:t>
      </w:r>
      <w:r w:rsidR="00986204">
        <w:rPr>
          <w:color w:val="000000" w:themeColor="text1"/>
        </w:rPr>
        <w:t xml:space="preserve">Akaike </w:t>
      </w:r>
      <w:r w:rsidR="007F5DD9">
        <w:rPr>
          <w:color w:val="000000" w:themeColor="text1"/>
        </w:rPr>
        <w:t>i</w:t>
      </w:r>
      <w:r w:rsidR="00986204">
        <w:rPr>
          <w:color w:val="000000" w:themeColor="text1"/>
        </w:rPr>
        <w:t xml:space="preserve">nformation </w:t>
      </w:r>
      <w:r w:rsidR="007F5DD9">
        <w:rPr>
          <w:color w:val="000000" w:themeColor="text1"/>
        </w:rPr>
        <w:t>c</w:t>
      </w:r>
      <w:r w:rsidR="00986204">
        <w:rPr>
          <w:color w:val="000000" w:themeColor="text1"/>
        </w:rPr>
        <w:t>riterion (</w:t>
      </w:r>
      <w:r w:rsidR="00CF554A">
        <w:rPr>
          <w:color w:val="000000" w:themeColor="text1"/>
        </w:rPr>
        <w:t>AIC</w:t>
      </w:r>
      <w:r w:rsidR="00986204">
        <w:rPr>
          <w:color w:val="000000" w:themeColor="text1"/>
        </w:rPr>
        <w:t>)</w:t>
      </w:r>
      <w:r w:rsidR="00CF554A">
        <w:rPr>
          <w:color w:val="000000" w:themeColor="text1"/>
        </w:rPr>
        <w:t xml:space="preserve"> and</w:t>
      </w:r>
      <w:r w:rsidR="00986204">
        <w:rPr>
          <w:color w:val="000000" w:themeColor="text1"/>
        </w:rPr>
        <w:t xml:space="preserve"> Bayesian </w:t>
      </w:r>
      <w:r w:rsidR="006E2BB8">
        <w:rPr>
          <w:color w:val="000000" w:themeColor="text1"/>
        </w:rPr>
        <w:t>i</w:t>
      </w:r>
      <w:r w:rsidR="00986204">
        <w:rPr>
          <w:color w:val="000000" w:themeColor="text1"/>
        </w:rPr>
        <w:t xml:space="preserve">nformation </w:t>
      </w:r>
      <w:r w:rsidR="006E2BB8">
        <w:rPr>
          <w:color w:val="000000" w:themeColor="text1"/>
        </w:rPr>
        <w:t>c</w:t>
      </w:r>
      <w:r w:rsidR="00986204">
        <w:rPr>
          <w:color w:val="000000" w:themeColor="text1"/>
        </w:rPr>
        <w:t>riterion</w:t>
      </w:r>
      <w:r w:rsidR="00CF554A">
        <w:rPr>
          <w:color w:val="000000" w:themeColor="text1"/>
        </w:rPr>
        <w:t xml:space="preserve"> </w:t>
      </w:r>
      <w:r w:rsidR="00986204">
        <w:rPr>
          <w:color w:val="000000" w:themeColor="text1"/>
        </w:rPr>
        <w:t>(</w:t>
      </w:r>
      <w:r w:rsidR="00CF554A">
        <w:rPr>
          <w:color w:val="000000" w:themeColor="text1"/>
        </w:rPr>
        <w:t>BIC</w:t>
      </w:r>
      <w:r w:rsidR="00986204">
        <w:rPr>
          <w:color w:val="000000" w:themeColor="text1"/>
        </w:rPr>
        <w:t>)</w:t>
      </w:r>
      <w:r w:rsidR="00CF554A">
        <w:rPr>
          <w:color w:val="000000" w:themeColor="text1"/>
        </w:rPr>
        <w:t xml:space="preserve">. </w:t>
      </w:r>
      <w:r w:rsidR="00C82EA3">
        <w:rPr>
          <w:color w:val="000000" w:themeColor="text1"/>
        </w:rPr>
        <w:t>While goodness of fit to the observed data is an important consideration in the model</w:t>
      </w:r>
      <w:r w:rsidR="004631FE">
        <w:rPr>
          <w:color w:val="000000" w:themeColor="text1"/>
        </w:rPr>
        <w:t>-</w:t>
      </w:r>
      <w:r w:rsidR="00C82EA3">
        <w:rPr>
          <w:color w:val="000000" w:themeColor="text1"/>
        </w:rPr>
        <w:t>fitting process,</w:t>
      </w:r>
      <w:r w:rsidR="00736AFC">
        <w:rPr>
          <w:color w:val="000000" w:themeColor="text1"/>
        </w:rPr>
        <w:t xml:space="preserve"> the economic evaluation is sensitive to </w:t>
      </w:r>
      <w:r w:rsidR="00AE3937">
        <w:rPr>
          <w:color w:val="000000" w:themeColor="text1"/>
        </w:rPr>
        <w:t>extrapolation of the clinical trial data</w:t>
      </w:r>
      <w:r w:rsidR="00736FF5">
        <w:rPr>
          <w:color w:val="000000" w:themeColor="text1"/>
        </w:rPr>
        <w:t>. L</w:t>
      </w:r>
      <w:r w:rsidR="00EC76F1">
        <w:rPr>
          <w:color w:val="000000" w:themeColor="text1"/>
        </w:rPr>
        <w:t xml:space="preserve">imited </w:t>
      </w:r>
      <w:r w:rsidR="00FA00EA">
        <w:rPr>
          <w:color w:val="000000" w:themeColor="text1"/>
        </w:rPr>
        <w:t>evidence</w:t>
      </w:r>
      <w:r w:rsidR="00EC76F1">
        <w:rPr>
          <w:color w:val="000000" w:themeColor="text1"/>
        </w:rPr>
        <w:t xml:space="preserve"> is presented in the </w:t>
      </w:r>
      <w:r w:rsidR="00575D3B">
        <w:rPr>
          <w:color w:val="000000" w:themeColor="text1"/>
        </w:rPr>
        <w:t xml:space="preserve">ADAR </w:t>
      </w:r>
      <w:r w:rsidR="00FA00EA">
        <w:rPr>
          <w:color w:val="000000" w:themeColor="text1"/>
        </w:rPr>
        <w:t>to justify the choice of parametric distribution based on expectations in clinical practice</w:t>
      </w:r>
      <w:r w:rsidR="00EA67E9">
        <w:rPr>
          <w:color w:val="000000" w:themeColor="text1"/>
        </w:rPr>
        <w:t xml:space="preserve"> and validation to registry data</w:t>
      </w:r>
      <w:r w:rsidR="00FA00EA">
        <w:rPr>
          <w:color w:val="000000" w:themeColor="text1"/>
        </w:rPr>
        <w:t>.</w:t>
      </w:r>
      <w:r w:rsidR="00EA67E9">
        <w:rPr>
          <w:color w:val="000000" w:themeColor="text1"/>
        </w:rPr>
        <w:t xml:space="preserve"> This is especially important given the properties of the exponential distribution</w:t>
      </w:r>
      <w:r w:rsidR="00E854FE">
        <w:rPr>
          <w:color w:val="000000" w:themeColor="text1"/>
        </w:rPr>
        <w:t>,</w:t>
      </w:r>
      <w:r w:rsidR="00EA67E9">
        <w:rPr>
          <w:color w:val="000000" w:themeColor="text1"/>
        </w:rPr>
        <w:t xml:space="preserve"> which assume a constant event rate</w:t>
      </w:r>
      <w:r w:rsidR="0051725D">
        <w:rPr>
          <w:color w:val="000000" w:themeColor="text1"/>
        </w:rPr>
        <w:t xml:space="preserve"> </w:t>
      </w:r>
      <w:r w:rsidR="00E82CD7">
        <w:rPr>
          <w:color w:val="000000" w:themeColor="text1"/>
        </w:rPr>
        <w:t>that</w:t>
      </w:r>
      <w:r w:rsidR="0051725D">
        <w:rPr>
          <w:color w:val="000000" w:themeColor="text1"/>
        </w:rPr>
        <w:t xml:space="preserve"> </w:t>
      </w:r>
      <w:r w:rsidR="00975B65">
        <w:rPr>
          <w:color w:val="000000" w:themeColor="text1"/>
        </w:rPr>
        <w:t xml:space="preserve">lacks clinical face validity with respect to patient and graft survival. </w:t>
      </w:r>
      <w:r w:rsidR="001E48DB" w:rsidRPr="001E48DB">
        <w:rPr>
          <w:color w:val="000000" w:themeColor="text1"/>
        </w:rPr>
        <w:t xml:space="preserve">Furthermore, contrary to expectations, extrapolations of patient risk of death with a functioning graft are lower than population life tables. This suggests that parametric model predictions may significantly underestimate the risk of death in patients with a functioning graft, consequently overestimating the benefits of treatment with imlifidase </w:t>
      </w:r>
      <w:r w:rsidR="002A210E">
        <w:rPr>
          <w:color w:val="000000" w:themeColor="text1"/>
        </w:rPr>
        <w:t>(</w:t>
      </w:r>
      <w:r w:rsidR="002A210E">
        <w:rPr>
          <w:color w:val="000000" w:themeColor="text1"/>
        </w:rPr>
        <w:fldChar w:fldCharType="begin"/>
      </w:r>
      <w:r w:rsidR="002A210E">
        <w:rPr>
          <w:color w:val="000000" w:themeColor="text1"/>
        </w:rPr>
        <w:instrText xml:space="preserve"> REF _Ref130992822 \h </w:instrText>
      </w:r>
      <w:r w:rsidR="002A210E">
        <w:rPr>
          <w:color w:val="000000" w:themeColor="text1"/>
        </w:rPr>
      </w:r>
      <w:r w:rsidR="002A210E">
        <w:rPr>
          <w:color w:val="000000" w:themeColor="text1"/>
        </w:rPr>
        <w:fldChar w:fldCharType="separate"/>
      </w:r>
      <w:r w:rsidR="00E209CB">
        <w:t xml:space="preserve">Figure </w:t>
      </w:r>
      <w:r w:rsidR="00E209CB">
        <w:rPr>
          <w:noProof/>
        </w:rPr>
        <w:t>2</w:t>
      </w:r>
      <w:r w:rsidR="002A210E">
        <w:rPr>
          <w:color w:val="000000" w:themeColor="text1"/>
        </w:rPr>
        <w:fldChar w:fldCharType="end"/>
      </w:r>
      <w:r w:rsidR="002A210E">
        <w:rPr>
          <w:color w:val="000000" w:themeColor="text1"/>
        </w:rPr>
        <w:t>)</w:t>
      </w:r>
      <w:r w:rsidR="00701D0B">
        <w:rPr>
          <w:color w:val="000000" w:themeColor="text1"/>
        </w:rPr>
        <w:t>.</w:t>
      </w:r>
      <w:r w:rsidR="003D230E">
        <w:rPr>
          <w:color w:val="000000" w:themeColor="text1"/>
        </w:rPr>
        <w:t xml:space="preserve"> Even with a functioning graft, increased survival in this patient population compar</w:t>
      </w:r>
      <w:r w:rsidR="00481209">
        <w:rPr>
          <w:color w:val="000000" w:themeColor="text1"/>
        </w:rPr>
        <w:t>ed</w:t>
      </w:r>
      <w:r w:rsidR="003D230E">
        <w:rPr>
          <w:color w:val="000000" w:themeColor="text1"/>
        </w:rPr>
        <w:t xml:space="preserve"> with Australian general population estimates does not have clinical face validity.</w:t>
      </w:r>
    </w:p>
    <w:p w14:paraId="4D382221" w14:textId="77777777" w:rsidR="002A210E" w:rsidRDefault="002A210E" w:rsidP="002A210E">
      <w:pPr>
        <w:keepNext/>
        <w:jc w:val="center"/>
      </w:pPr>
      <w:r>
        <w:rPr>
          <w:noProof/>
          <w:color w:val="000000" w:themeColor="text1"/>
        </w:rPr>
        <w:drawing>
          <wp:inline distT="0" distB="0" distL="0" distR="0" wp14:anchorId="4A64B9A6" wp14:editId="59A3D641">
            <wp:extent cx="5144316" cy="5777230"/>
            <wp:effectExtent l="0" t="0" r="0" b="0"/>
            <wp:docPr id="1" name="Picture 1" descr="Figure 2: Probability of patient survival (top) and annual probability of patient death (bottom) for patients with a functioning graft, patients undergoing dialysis, and an age- and gender-matched Australian gener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Probability of patient survival (top) and annual probability of patient death (bottom) for patients with a functioning graft, patients undergoing dialysis, and an age- and gender-matched Australian general popul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2656" cy="5786596"/>
                    </a:xfrm>
                    <a:prstGeom prst="rect">
                      <a:avLst/>
                    </a:prstGeom>
                    <a:noFill/>
                  </pic:spPr>
                </pic:pic>
              </a:graphicData>
            </a:graphic>
          </wp:inline>
        </w:drawing>
      </w:r>
    </w:p>
    <w:p w14:paraId="7EE71B6A" w14:textId="610357CC" w:rsidR="0060622A" w:rsidRDefault="002A210E" w:rsidP="00543A4D">
      <w:pPr>
        <w:pStyle w:val="Caption"/>
        <w:jc w:val="center"/>
      </w:pPr>
      <w:bookmarkStart w:id="26" w:name="_Ref130992822"/>
      <w:r>
        <w:t xml:space="preserve">Figure </w:t>
      </w:r>
      <w:r>
        <w:fldChar w:fldCharType="begin"/>
      </w:r>
      <w:r>
        <w:instrText>SEQ Figure \* ARABIC</w:instrText>
      </w:r>
      <w:r>
        <w:fldChar w:fldCharType="separate"/>
      </w:r>
      <w:r w:rsidR="00E209CB">
        <w:rPr>
          <w:noProof/>
        </w:rPr>
        <w:t>2</w:t>
      </w:r>
      <w:r>
        <w:fldChar w:fldCharType="end"/>
      </w:r>
      <w:bookmarkEnd w:id="26"/>
      <w:r>
        <w:t>: Probability of patient survival (top) and annual probability of patient death (bottom) for patients with a functioning graft,</w:t>
      </w:r>
      <w:r w:rsidR="007338A3">
        <w:t xml:space="preserve"> patients</w:t>
      </w:r>
      <w:r>
        <w:t xml:space="preserve"> undergoing dialysis</w:t>
      </w:r>
      <w:r w:rsidR="007338A3">
        <w:t>,</w:t>
      </w:r>
      <w:r>
        <w:t xml:space="preserve"> and an age</w:t>
      </w:r>
      <w:r w:rsidR="005878BA">
        <w:t>-</w:t>
      </w:r>
      <w:r>
        <w:t xml:space="preserve"> and gender</w:t>
      </w:r>
      <w:r w:rsidR="005878BA">
        <w:t>-</w:t>
      </w:r>
      <w:r>
        <w:t>matched Australian general population</w:t>
      </w:r>
      <w:r w:rsidR="00761272">
        <w:t>.</w:t>
      </w:r>
      <w:r w:rsidR="0060622A">
        <w:br w:type="page"/>
      </w:r>
    </w:p>
    <w:p w14:paraId="7AEC7C42" w14:textId="60F43C7A" w:rsidR="00E5539F" w:rsidRPr="002A210E" w:rsidRDefault="00EA214A" w:rsidP="002A210E">
      <w:r>
        <w:t xml:space="preserve">More generally, the </w:t>
      </w:r>
      <w:r w:rsidR="00676525">
        <w:t>ADAR</w:t>
      </w:r>
      <w:r w:rsidR="00443788">
        <w:t xml:space="preserve"> </w:t>
      </w:r>
      <w:r>
        <w:t>provide</w:t>
      </w:r>
      <w:r w:rsidR="00A86974">
        <w:t>s in</w:t>
      </w:r>
      <w:r>
        <w:t xml:space="preserve">sufficient validation of model extrapolations to </w:t>
      </w:r>
      <w:r w:rsidR="004902A7">
        <w:t>clinical practice in Australia</w:t>
      </w:r>
      <w:r w:rsidR="001E75E4">
        <w:t>, with no vali</w:t>
      </w:r>
      <w:r w:rsidR="00F22A4F">
        <w:t xml:space="preserve">dation against </w:t>
      </w:r>
      <w:r w:rsidR="009E6091">
        <w:t>observed patient survival with a functioning graft or graft survival in Australia</w:t>
      </w:r>
      <w:r w:rsidR="004902A7">
        <w:t>. T</w:t>
      </w:r>
      <w:r w:rsidR="00B47112">
        <w:t xml:space="preserve">his is of particular concern </w:t>
      </w:r>
      <w:r w:rsidR="009E6091">
        <w:t>in the context of</w:t>
      </w:r>
      <w:r w:rsidR="00B47112">
        <w:t xml:space="preserve"> the </w:t>
      </w:r>
      <w:r w:rsidR="00F46E7B">
        <w:t>naïve ITC that has been conducted to demonstrate comparative effectiveness</w:t>
      </w:r>
      <w:r w:rsidR="009E6091">
        <w:t xml:space="preserve"> of</w:t>
      </w:r>
      <w:r w:rsidR="00612BF6">
        <w:t xml:space="preserve"> imlifidase </w:t>
      </w:r>
      <w:r w:rsidR="00D43891">
        <w:t xml:space="preserve">in comparison with current care. </w:t>
      </w:r>
      <w:r w:rsidR="007846D4">
        <w:t>The</w:t>
      </w:r>
      <w:r w:rsidR="00E5539F">
        <w:t>re is a high risk of</w:t>
      </w:r>
      <w:r w:rsidR="007846D4">
        <w:t xml:space="preserve"> </w:t>
      </w:r>
      <w:r w:rsidR="00E5539F">
        <w:t>bias resulting from</w:t>
      </w:r>
      <w:r w:rsidR="007846D4">
        <w:t xml:space="preserve"> differences in observed</w:t>
      </w:r>
      <w:r w:rsidR="002A0099">
        <w:t xml:space="preserve"> and unobserved </w:t>
      </w:r>
      <w:r w:rsidR="00E5539F">
        <w:t xml:space="preserve">prognostic and treatment effect modifying variables between patients enrolled in the imlifidase trial program and </w:t>
      </w:r>
      <w:r w:rsidR="00E61301">
        <w:t>HS</w:t>
      </w:r>
      <w:r w:rsidR="00E5539F">
        <w:t xml:space="preserve"> patients in Australia.</w:t>
      </w:r>
      <w:r w:rsidR="009E48E2">
        <w:t xml:space="preserve"> Given this risk of bias and </w:t>
      </w:r>
      <w:r w:rsidR="00147A23">
        <w:t xml:space="preserve">the </w:t>
      </w:r>
      <w:r w:rsidR="009E48E2">
        <w:t xml:space="preserve">resulting </w:t>
      </w:r>
      <w:r w:rsidR="00147A23">
        <w:t>uncertainty</w:t>
      </w:r>
      <w:r w:rsidR="009E48E2">
        <w:t xml:space="preserve">, it is also unclear why the </w:t>
      </w:r>
      <w:r w:rsidR="00676525">
        <w:t>ADAR</w:t>
      </w:r>
      <w:r w:rsidR="00373159">
        <w:t xml:space="preserve"> </w:t>
      </w:r>
      <w:r w:rsidR="009E48E2">
        <w:t>has not estimated patient survival and graft survival based on Australian registry data. Although such an approach has the potential to overestimate patient and graft survival</w:t>
      </w:r>
      <w:r w:rsidR="00147A23">
        <w:t>,</w:t>
      </w:r>
      <w:r w:rsidR="009E48E2">
        <w:t xml:space="preserve"> given the more complex needs of the modelled patient population,</w:t>
      </w:r>
      <w:r w:rsidR="00BE5692">
        <w:t xml:space="preserve"> it would be </w:t>
      </w:r>
      <w:r w:rsidR="00C16484">
        <w:t>more plausible than the</w:t>
      </w:r>
      <w:r w:rsidR="00BE5692">
        <w:t xml:space="preserve"> assumption</w:t>
      </w:r>
      <w:r w:rsidR="00350A27">
        <w:t xml:space="preserve"> adopted in the submission (i.e.</w:t>
      </w:r>
      <w:r w:rsidR="00BE5692">
        <w:t xml:space="preserve"> that patient</w:t>
      </w:r>
      <w:r w:rsidR="00A70D16">
        <w:t xml:space="preserve"> and graft survival </w:t>
      </w:r>
      <w:r w:rsidR="007B7473">
        <w:t>are described by parametric model</w:t>
      </w:r>
      <w:r w:rsidR="005D692A">
        <w:t>s</w:t>
      </w:r>
      <w:r w:rsidR="007B7473">
        <w:t xml:space="preserve"> with exponential distribution</w:t>
      </w:r>
      <w:r w:rsidR="005D692A">
        <w:t>s</w:t>
      </w:r>
      <w:r w:rsidR="009C5376">
        <w:t>)</w:t>
      </w:r>
      <w:r w:rsidR="003266A8">
        <w:t>.</w:t>
      </w:r>
      <w:r w:rsidR="00095147">
        <w:t xml:space="preserve"> This approach would also address the high risk of bias resulting from the naïve ITC </w:t>
      </w:r>
      <w:r w:rsidR="009D58A0">
        <w:t xml:space="preserve">used to estimate comparative efficacy in the </w:t>
      </w:r>
      <w:r w:rsidR="00702A4A">
        <w:t>HS</w:t>
      </w:r>
      <w:r w:rsidR="009D58A0">
        <w:t xml:space="preserve"> patient population.</w:t>
      </w:r>
    </w:p>
    <w:p w14:paraId="26634B2C" w14:textId="534CBB87" w:rsidR="003553C2" w:rsidRPr="00FF2059" w:rsidRDefault="006861BA" w:rsidP="00FF2059">
      <w:pPr>
        <w:pStyle w:val="Heading3nonumbers"/>
      </w:pPr>
      <w:r w:rsidRPr="00FF2059">
        <w:t>Health</w:t>
      </w:r>
      <w:r w:rsidR="00727ECA">
        <w:t>-</w:t>
      </w:r>
      <w:r w:rsidRPr="00FF2059">
        <w:t>related quality of life</w:t>
      </w:r>
    </w:p>
    <w:p w14:paraId="0E207106" w14:textId="5F997D88" w:rsidR="00156F4F" w:rsidRDefault="00753DDA" w:rsidP="001F2755">
      <w:r w:rsidRPr="00753DDA">
        <w:rPr>
          <w:color w:val="000000" w:themeColor="text1"/>
        </w:rPr>
        <w:t xml:space="preserve">The </w:t>
      </w:r>
      <w:r w:rsidR="00FD31C3">
        <w:rPr>
          <w:color w:val="000000" w:themeColor="text1"/>
        </w:rPr>
        <w:t xml:space="preserve">commentary </w:t>
      </w:r>
      <w:r w:rsidRPr="00753DDA">
        <w:rPr>
          <w:color w:val="000000" w:themeColor="text1"/>
        </w:rPr>
        <w:t>consider</w:t>
      </w:r>
      <w:r w:rsidR="00702A4A">
        <w:rPr>
          <w:color w:val="000000" w:themeColor="text1"/>
        </w:rPr>
        <w:t>ed</w:t>
      </w:r>
      <w:r w:rsidRPr="00753DDA">
        <w:rPr>
          <w:color w:val="000000" w:themeColor="text1"/>
        </w:rPr>
        <w:t xml:space="preserve"> the use of age- and gender-dependent utilities adjusted with a health state utility decrement </w:t>
      </w:r>
      <w:r w:rsidR="00702A4A">
        <w:rPr>
          <w:color w:val="000000" w:themeColor="text1"/>
        </w:rPr>
        <w:t xml:space="preserve">to be </w:t>
      </w:r>
      <w:r w:rsidRPr="00753DDA">
        <w:rPr>
          <w:color w:val="000000" w:themeColor="text1"/>
        </w:rPr>
        <w:t>appropriate.</w:t>
      </w:r>
      <w:r>
        <w:rPr>
          <w:color w:val="000000" w:themeColor="text1"/>
        </w:rPr>
        <w:t xml:space="preserve"> However, </w:t>
      </w:r>
      <w:r w:rsidR="004E2983">
        <w:rPr>
          <w:color w:val="000000" w:themeColor="text1"/>
        </w:rPr>
        <w:t>t</w:t>
      </w:r>
      <w:r w:rsidR="004E2983" w:rsidRPr="004E2983">
        <w:rPr>
          <w:color w:val="000000" w:themeColor="text1"/>
        </w:rPr>
        <w:t xml:space="preserve">he </w:t>
      </w:r>
      <w:r w:rsidR="00676525">
        <w:rPr>
          <w:color w:val="000000" w:themeColor="text1"/>
        </w:rPr>
        <w:t>ADAR</w:t>
      </w:r>
      <w:r w:rsidR="004E2983" w:rsidRPr="004E2983">
        <w:rPr>
          <w:color w:val="000000" w:themeColor="text1"/>
        </w:rPr>
        <w:t xml:space="preserve"> failed to provide information on the target literature search that was conducted to identify utility values for implementation in the model</w:t>
      </w:r>
      <w:r w:rsidR="00C45B03">
        <w:rPr>
          <w:color w:val="000000" w:themeColor="text1"/>
        </w:rPr>
        <w:t>. T</w:t>
      </w:r>
      <w:r w:rsidR="00587E0E">
        <w:rPr>
          <w:color w:val="000000" w:themeColor="text1"/>
        </w:rPr>
        <w:t xml:space="preserve">he </w:t>
      </w:r>
      <w:r w:rsidR="00FD31C3">
        <w:rPr>
          <w:color w:val="000000" w:themeColor="text1"/>
        </w:rPr>
        <w:t xml:space="preserve">commentary </w:t>
      </w:r>
      <w:r w:rsidR="00587E0E">
        <w:rPr>
          <w:color w:val="000000" w:themeColor="text1"/>
        </w:rPr>
        <w:t>consider</w:t>
      </w:r>
      <w:r w:rsidR="00C45B03">
        <w:rPr>
          <w:color w:val="000000" w:themeColor="text1"/>
        </w:rPr>
        <w:t>ed that this</w:t>
      </w:r>
      <w:r w:rsidR="00587E0E">
        <w:rPr>
          <w:color w:val="000000" w:themeColor="text1"/>
        </w:rPr>
        <w:t xml:space="preserve"> add</w:t>
      </w:r>
      <w:r w:rsidR="00C45B03">
        <w:rPr>
          <w:color w:val="000000" w:themeColor="text1"/>
        </w:rPr>
        <w:t>ed</w:t>
      </w:r>
      <w:r w:rsidR="00587E0E">
        <w:rPr>
          <w:color w:val="000000" w:themeColor="text1"/>
        </w:rPr>
        <w:t xml:space="preserve"> material uncertainty to the cost-effectiveness estimates</w:t>
      </w:r>
      <w:r w:rsidR="004E2983" w:rsidRPr="004E2983">
        <w:rPr>
          <w:color w:val="000000" w:themeColor="text1"/>
        </w:rPr>
        <w:t xml:space="preserve">. </w:t>
      </w:r>
      <w:r w:rsidR="00391DDD">
        <w:rPr>
          <w:color w:val="000000" w:themeColor="text1"/>
        </w:rPr>
        <w:t xml:space="preserve">Furthermore, the </w:t>
      </w:r>
      <w:r w:rsidR="00676525">
        <w:rPr>
          <w:color w:val="000000" w:themeColor="text1"/>
        </w:rPr>
        <w:t>ADAR</w:t>
      </w:r>
      <w:r w:rsidR="00391DDD">
        <w:rPr>
          <w:color w:val="000000" w:themeColor="text1"/>
        </w:rPr>
        <w:t xml:space="preserve"> provides no </w:t>
      </w:r>
      <w:r w:rsidR="001F2755">
        <w:rPr>
          <w:color w:val="000000" w:themeColor="text1"/>
        </w:rPr>
        <w:t>discussion on</w:t>
      </w:r>
      <w:r w:rsidR="00F36FEA">
        <w:rPr>
          <w:color w:val="000000" w:themeColor="text1"/>
        </w:rPr>
        <w:t xml:space="preserve"> the </w:t>
      </w:r>
      <w:r w:rsidR="00C46FEF">
        <w:rPr>
          <w:color w:val="000000" w:themeColor="text1"/>
        </w:rPr>
        <w:t>health-related quality of life (</w:t>
      </w:r>
      <w:proofErr w:type="spellStart"/>
      <w:r w:rsidR="00F36FEA" w:rsidRPr="007D7093">
        <w:t>HRQoL</w:t>
      </w:r>
      <w:proofErr w:type="spellEnd"/>
      <w:r w:rsidR="00C46FEF">
        <w:t>)</w:t>
      </w:r>
      <w:r w:rsidR="00F36FEA" w:rsidRPr="007D7093">
        <w:t xml:space="preserve"> data collected in the 17-HMedIdeS-14</w:t>
      </w:r>
      <w:r w:rsidR="00EC69F1">
        <w:t xml:space="preserve"> long-term study</w:t>
      </w:r>
      <w:r w:rsidR="00647F84">
        <w:t>.</w:t>
      </w:r>
      <w:r w:rsidR="00EB1CD9">
        <w:t xml:space="preserve"> </w:t>
      </w:r>
      <w:r w:rsidR="00AE2C4C">
        <w:t xml:space="preserve">Utility values </w:t>
      </w:r>
      <w:r w:rsidR="00E27904">
        <w:t xml:space="preserve">from </w:t>
      </w:r>
      <w:r w:rsidR="00344B94">
        <w:t>this</w:t>
      </w:r>
      <w:r w:rsidR="00E27904">
        <w:t xml:space="preserve"> study are reported in the </w:t>
      </w:r>
      <w:r w:rsidR="00D334FE">
        <w:t>clinical study report</w:t>
      </w:r>
      <w:r w:rsidR="00E75DF7">
        <w:t xml:space="preserve"> however, </w:t>
      </w:r>
      <w:r w:rsidR="00EE6DB8">
        <w:t xml:space="preserve">they </w:t>
      </w:r>
      <w:r w:rsidR="00BF00FF">
        <w:t>were</w:t>
      </w:r>
      <w:r w:rsidR="00E75DF7">
        <w:t xml:space="preserve"> estimated using </w:t>
      </w:r>
      <w:r w:rsidR="00CB62C0">
        <w:t xml:space="preserve">a Danish </w:t>
      </w:r>
      <w:r w:rsidR="00E43DD3">
        <w:t>value set</w:t>
      </w:r>
      <w:r w:rsidR="00EE6DB8">
        <w:t xml:space="preserve"> </w:t>
      </w:r>
      <w:r w:rsidR="00E43DD3">
        <w:t xml:space="preserve">and are </w:t>
      </w:r>
      <w:r w:rsidR="00EE6DB8">
        <w:t>thus</w:t>
      </w:r>
      <w:r w:rsidR="00E43DD3">
        <w:t xml:space="preserve"> </w:t>
      </w:r>
      <w:r w:rsidR="00BF00FF">
        <w:t>in</w:t>
      </w:r>
      <w:r w:rsidR="00E43DD3">
        <w:t xml:space="preserve">appropriate for this analysis. </w:t>
      </w:r>
      <w:r w:rsidR="000E3A26">
        <w:t xml:space="preserve">Given the </w:t>
      </w:r>
      <w:r w:rsidR="00CF4166">
        <w:t>paucity</w:t>
      </w:r>
      <w:r w:rsidR="000E3A26">
        <w:t xml:space="preserve"> of </w:t>
      </w:r>
      <w:r w:rsidR="00C01937">
        <w:t>utility</w:t>
      </w:r>
      <w:r w:rsidR="000E3A26">
        <w:t xml:space="preserve"> data in the PICO</w:t>
      </w:r>
      <w:r w:rsidR="00EE6DB8">
        <w:t>-</w:t>
      </w:r>
      <w:r w:rsidR="000E3A26">
        <w:t>relevant population,</w:t>
      </w:r>
      <w:r w:rsidR="009F6F04">
        <w:t xml:space="preserve"> </w:t>
      </w:r>
      <w:proofErr w:type="spellStart"/>
      <w:r w:rsidR="008E5A42">
        <w:t>HRQoL</w:t>
      </w:r>
      <w:proofErr w:type="spellEnd"/>
      <w:r w:rsidR="008E5A42">
        <w:t xml:space="preserve"> data</w:t>
      </w:r>
      <w:r w:rsidR="009F6F04">
        <w:t xml:space="preserve"> from </w:t>
      </w:r>
      <w:r w:rsidR="008E5A42">
        <w:t xml:space="preserve">the </w:t>
      </w:r>
      <w:r w:rsidR="008E5A42" w:rsidRPr="007D7093">
        <w:t>17-HMedIdeS-14</w:t>
      </w:r>
      <w:r w:rsidR="008E5A42">
        <w:t xml:space="preserve"> long-term study may provide relevant insights into the</w:t>
      </w:r>
      <w:r w:rsidR="00C01937">
        <w:t xml:space="preserve"> relative </w:t>
      </w:r>
      <w:r w:rsidR="00430328">
        <w:t xml:space="preserve">impact on quality of life for the </w:t>
      </w:r>
      <w:r w:rsidR="00995DD6">
        <w:t>HS</w:t>
      </w:r>
      <w:r w:rsidR="00430328">
        <w:t xml:space="preserve"> vs </w:t>
      </w:r>
      <w:r w:rsidR="00911FDD">
        <w:t>non-</w:t>
      </w:r>
      <w:r w:rsidR="00995DD6">
        <w:t>HS</w:t>
      </w:r>
      <w:r w:rsidR="00911FDD">
        <w:t xml:space="preserve"> population.</w:t>
      </w:r>
      <w:r w:rsidR="00430328">
        <w:t xml:space="preserve"> </w:t>
      </w:r>
    </w:p>
    <w:p w14:paraId="09BB43FF" w14:textId="1A348B1D" w:rsidR="00A2508B" w:rsidRDefault="006833D5" w:rsidP="00A2508B">
      <w:pPr>
        <w:rPr>
          <w:color w:val="000000" w:themeColor="text1"/>
        </w:rPr>
      </w:pPr>
      <w:r>
        <w:rPr>
          <w:color w:val="000000" w:themeColor="text1"/>
        </w:rPr>
        <w:t xml:space="preserve">The </w:t>
      </w:r>
      <w:r w:rsidR="00676525">
        <w:rPr>
          <w:color w:val="000000" w:themeColor="text1"/>
        </w:rPr>
        <w:t>ADAR</w:t>
      </w:r>
      <w:r>
        <w:rPr>
          <w:color w:val="000000" w:themeColor="text1"/>
        </w:rPr>
        <w:t xml:space="preserve"> note</w:t>
      </w:r>
      <w:r w:rsidR="006E2635">
        <w:rPr>
          <w:color w:val="000000" w:themeColor="text1"/>
        </w:rPr>
        <w:t>s</w:t>
      </w:r>
      <w:r>
        <w:rPr>
          <w:color w:val="000000" w:themeColor="text1"/>
        </w:rPr>
        <w:t xml:space="preserve"> that no studies were identified by </w:t>
      </w:r>
      <w:r w:rsidR="002C50A6">
        <w:rPr>
          <w:color w:val="000000" w:themeColor="text1"/>
        </w:rPr>
        <w:t xml:space="preserve">the </w:t>
      </w:r>
      <w:r w:rsidR="00D334FE">
        <w:rPr>
          <w:color w:val="000000" w:themeColor="text1"/>
        </w:rPr>
        <w:t xml:space="preserve">systematic literature review (SLR) </w:t>
      </w:r>
      <w:r w:rsidR="002C50A6">
        <w:rPr>
          <w:color w:val="000000" w:themeColor="text1"/>
        </w:rPr>
        <w:t xml:space="preserve">of </w:t>
      </w:r>
      <w:proofErr w:type="spellStart"/>
      <w:r w:rsidR="002C50A6">
        <w:rPr>
          <w:color w:val="000000" w:themeColor="text1"/>
        </w:rPr>
        <w:t>HRQoL</w:t>
      </w:r>
      <w:proofErr w:type="spellEnd"/>
      <w:r w:rsidR="002C50A6">
        <w:rPr>
          <w:color w:val="000000" w:themeColor="text1"/>
        </w:rPr>
        <w:t xml:space="preserve"> pertaining to the PICO</w:t>
      </w:r>
      <w:r w:rsidR="00AA3C61">
        <w:rPr>
          <w:color w:val="000000" w:themeColor="text1"/>
        </w:rPr>
        <w:t>-</w:t>
      </w:r>
      <w:r w:rsidR="002C50A6">
        <w:rPr>
          <w:color w:val="000000" w:themeColor="text1"/>
        </w:rPr>
        <w:t xml:space="preserve">relevant population, yet 2 papers </w:t>
      </w:r>
      <w:r w:rsidR="001C4038">
        <w:rPr>
          <w:color w:val="000000" w:themeColor="text1"/>
        </w:rPr>
        <w:t>identified through a target</w:t>
      </w:r>
      <w:r w:rsidR="00AA3C61">
        <w:rPr>
          <w:color w:val="000000" w:themeColor="text1"/>
        </w:rPr>
        <w:t>ed</w:t>
      </w:r>
      <w:r w:rsidR="001C4038">
        <w:rPr>
          <w:color w:val="000000" w:themeColor="text1"/>
        </w:rPr>
        <w:t xml:space="preserve"> literature search</w:t>
      </w:r>
      <w:r w:rsidR="00F16726">
        <w:rPr>
          <w:color w:val="000000" w:themeColor="text1"/>
        </w:rPr>
        <w:t xml:space="preserve"> were used to inform </w:t>
      </w:r>
      <w:r w:rsidR="00AA3C61">
        <w:rPr>
          <w:color w:val="000000" w:themeColor="text1"/>
        </w:rPr>
        <w:t xml:space="preserve">the </w:t>
      </w:r>
      <w:r w:rsidR="00F16726">
        <w:rPr>
          <w:color w:val="000000" w:themeColor="text1"/>
        </w:rPr>
        <w:t xml:space="preserve">disutility values used in the model. </w:t>
      </w:r>
      <w:r w:rsidR="00606D39">
        <w:rPr>
          <w:color w:val="000000" w:themeColor="text1"/>
        </w:rPr>
        <w:t xml:space="preserve">The research question posed for the </w:t>
      </w:r>
      <w:r w:rsidR="004D1642">
        <w:rPr>
          <w:color w:val="000000" w:themeColor="text1"/>
        </w:rPr>
        <w:t>SLR o</w:t>
      </w:r>
      <w:r w:rsidR="0047427F">
        <w:rPr>
          <w:color w:val="000000" w:themeColor="text1"/>
        </w:rPr>
        <w:t>n</w:t>
      </w:r>
      <w:r w:rsidR="004D1642">
        <w:rPr>
          <w:color w:val="000000" w:themeColor="text1"/>
        </w:rPr>
        <w:t xml:space="preserve"> </w:t>
      </w:r>
      <w:proofErr w:type="spellStart"/>
      <w:r w:rsidR="00606D39">
        <w:rPr>
          <w:color w:val="000000" w:themeColor="text1"/>
        </w:rPr>
        <w:t>HRQoL</w:t>
      </w:r>
      <w:proofErr w:type="spellEnd"/>
      <w:r w:rsidR="00606D39">
        <w:rPr>
          <w:color w:val="000000" w:themeColor="text1"/>
        </w:rPr>
        <w:t xml:space="preserve"> was defined by the </w:t>
      </w:r>
      <w:r w:rsidR="00676525">
        <w:rPr>
          <w:color w:val="000000" w:themeColor="text1"/>
        </w:rPr>
        <w:t>ADAR</w:t>
      </w:r>
      <w:r w:rsidR="00606D39">
        <w:rPr>
          <w:color w:val="000000" w:themeColor="text1"/>
        </w:rPr>
        <w:t xml:space="preserve"> as:</w:t>
      </w:r>
      <w:r w:rsidR="00606D39" w:rsidRPr="003B24CB">
        <w:t xml:space="preserve"> </w:t>
      </w:r>
      <w:r w:rsidR="00606D39" w:rsidRPr="003B24CB">
        <w:rPr>
          <w:i/>
          <w:iCs/>
          <w:color w:val="000000" w:themeColor="text1"/>
        </w:rPr>
        <w:t xml:space="preserve">What evidence is available that quantifies </w:t>
      </w:r>
      <w:proofErr w:type="spellStart"/>
      <w:r w:rsidR="00606D39" w:rsidRPr="003B24CB">
        <w:rPr>
          <w:i/>
          <w:iCs/>
          <w:color w:val="000000" w:themeColor="text1"/>
        </w:rPr>
        <w:t>HRQoL</w:t>
      </w:r>
      <w:proofErr w:type="spellEnd"/>
      <w:r w:rsidR="00606D39" w:rsidRPr="003B24CB">
        <w:rPr>
          <w:i/>
          <w:iCs/>
          <w:color w:val="000000" w:themeColor="text1"/>
        </w:rPr>
        <w:t xml:space="preserve"> in </w:t>
      </w:r>
      <w:r w:rsidR="007A0CAF">
        <w:rPr>
          <w:i/>
          <w:iCs/>
          <w:color w:val="000000" w:themeColor="text1"/>
        </w:rPr>
        <w:t>HS</w:t>
      </w:r>
      <w:r w:rsidR="007A0CAF" w:rsidRPr="003B24CB">
        <w:rPr>
          <w:i/>
          <w:iCs/>
          <w:color w:val="000000" w:themeColor="text1"/>
        </w:rPr>
        <w:t xml:space="preserve"> </w:t>
      </w:r>
      <w:r w:rsidR="00606D39" w:rsidRPr="003B24CB">
        <w:rPr>
          <w:i/>
          <w:iCs/>
          <w:color w:val="000000" w:themeColor="text1"/>
        </w:rPr>
        <w:t xml:space="preserve">adult </w:t>
      </w:r>
      <w:r w:rsidR="00B108FA">
        <w:rPr>
          <w:i/>
          <w:iCs/>
          <w:color w:val="000000" w:themeColor="text1"/>
        </w:rPr>
        <w:t>CKD</w:t>
      </w:r>
      <w:r w:rsidR="00606D39" w:rsidRPr="003B24CB">
        <w:rPr>
          <w:i/>
          <w:iCs/>
          <w:color w:val="000000" w:themeColor="text1"/>
        </w:rPr>
        <w:t xml:space="preserve"> patients awaiting transplant and those who subsequently receive a kidney transplant?</w:t>
      </w:r>
      <w:r w:rsidR="00606D39">
        <w:rPr>
          <w:color w:val="000000" w:themeColor="text1"/>
        </w:rPr>
        <w:t xml:space="preserve"> </w:t>
      </w:r>
      <w:r w:rsidR="00A2508B" w:rsidRPr="004E2983">
        <w:rPr>
          <w:color w:val="000000" w:themeColor="text1"/>
        </w:rPr>
        <w:t xml:space="preserve">Although the </w:t>
      </w:r>
      <w:r w:rsidR="00D410E2">
        <w:rPr>
          <w:color w:val="000000" w:themeColor="text1"/>
        </w:rPr>
        <w:t xml:space="preserve">commentary </w:t>
      </w:r>
      <w:r w:rsidR="00A2508B" w:rsidRPr="004E2983">
        <w:rPr>
          <w:color w:val="000000" w:themeColor="text1"/>
        </w:rPr>
        <w:t>consider</w:t>
      </w:r>
      <w:r w:rsidR="00CD2FF6">
        <w:rPr>
          <w:color w:val="000000" w:themeColor="text1"/>
        </w:rPr>
        <w:t>ed</w:t>
      </w:r>
      <w:r w:rsidR="00A2508B" w:rsidRPr="004E2983">
        <w:rPr>
          <w:color w:val="000000" w:themeColor="text1"/>
        </w:rPr>
        <w:t xml:space="preserve"> the </w:t>
      </w:r>
      <w:r w:rsidR="006F0B62">
        <w:rPr>
          <w:color w:val="000000" w:themeColor="text1"/>
        </w:rPr>
        <w:t>SLR</w:t>
      </w:r>
      <w:r w:rsidR="00CD2FF6" w:rsidRPr="004E2983">
        <w:rPr>
          <w:color w:val="000000" w:themeColor="text1"/>
        </w:rPr>
        <w:t xml:space="preserve"> </w:t>
      </w:r>
      <w:r w:rsidR="00CD2FF6">
        <w:rPr>
          <w:color w:val="000000" w:themeColor="text1"/>
        </w:rPr>
        <w:t>by</w:t>
      </w:r>
      <w:r w:rsidR="00A2508B" w:rsidRPr="004E2983">
        <w:rPr>
          <w:color w:val="000000" w:themeColor="text1"/>
        </w:rPr>
        <w:t xml:space="preserve"> Co</w:t>
      </w:r>
      <w:r w:rsidR="00160B80">
        <w:rPr>
          <w:color w:val="000000" w:themeColor="text1"/>
        </w:rPr>
        <w:t>o</w:t>
      </w:r>
      <w:r w:rsidR="00A2508B" w:rsidRPr="004E2983">
        <w:rPr>
          <w:color w:val="000000" w:themeColor="text1"/>
        </w:rPr>
        <w:t>per et al., 2020</w:t>
      </w:r>
      <w:r w:rsidR="00ED4FC6">
        <w:rPr>
          <w:rStyle w:val="FootnoteReference"/>
          <w:color w:val="000000" w:themeColor="text1"/>
        </w:rPr>
        <w:footnoteReference w:id="9"/>
      </w:r>
      <w:r w:rsidR="00A2508B" w:rsidRPr="004E2983">
        <w:rPr>
          <w:color w:val="000000" w:themeColor="text1"/>
        </w:rPr>
        <w:t xml:space="preserve"> to be of good quality, it is highly plausible that the targeted literature search may have led to the omission of relevant evidence</w:t>
      </w:r>
      <w:r w:rsidR="005432A1">
        <w:rPr>
          <w:color w:val="000000" w:themeColor="text1"/>
        </w:rPr>
        <w:t>. T</w:t>
      </w:r>
      <w:r w:rsidR="00A2508B" w:rsidRPr="004E2983">
        <w:rPr>
          <w:color w:val="000000" w:themeColor="text1"/>
        </w:rPr>
        <w:t>he possibility of study selection bias cannot be discounted.</w:t>
      </w:r>
      <w:r w:rsidR="00B50783">
        <w:rPr>
          <w:color w:val="000000" w:themeColor="text1"/>
        </w:rPr>
        <w:t xml:space="preserve"> </w:t>
      </w:r>
      <w:r w:rsidR="00082DE4">
        <w:rPr>
          <w:color w:val="000000" w:themeColor="text1"/>
        </w:rPr>
        <w:t>The</w:t>
      </w:r>
      <w:r w:rsidR="001C00C9">
        <w:rPr>
          <w:color w:val="000000" w:themeColor="text1"/>
        </w:rPr>
        <w:t xml:space="preserve"> </w:t>
      </w:r>
      <w:r w:rsidR="00676525">
        <w:rPr>
          <w:color w:val="000000" w:themeColor="text1"/>
        </w:rPr>
        <w:t>ADAR</w:t>
      </w:r>
      <w:r w:rsidR="001C00C9">
        <w:rPr>
          <w:color w:val="000000" w:themeColor="text1"/>
        </w:rPr>
        <w:t xml:space="preserve"> used </w:t>
      </w:r>
      <w:r w:rsidR="001D6FE7">
        <w:rPr>
          <w:color w:val="000000" w:themeColor="text1"/>
        </w:rPr>
        <w:t>results from</w:t>
      </w:r>
      <w:r w:rsidR="00B50783">
        <w:rPr>
          <w:color w:val="000000" w:themeColor="text1"/>
        </w:rPr>
        <w:t xml:space="preserve"> the </w:t>
      </w:r>
      <w:r w:rsidR="00547AC6">
        <w:rPr>
          <w:color w:val="000000" w:themeColor="text1"/>
        </w:rPr>
        <w:t>Co</w:t>
      </w:r>
      <w:r w:rsidR="00160B80">
        <w:rPr>
          <w:color w:val="000000" w:themeColor="text1"/>
        </w:rPr>
        <w:t>o</w:t>
      </w:r>
      <w:r w:rsidR="00547AC6">
        <w:rPr>
          <w:color w:val="000000" w:themeColor="text1"/>
        </w:rPr>
        <w:t xml:space="preserve">per et </w:t>
      </w:r>
      <w:r w:rsidR="00160B80">
        <w:rPr>
          <w:color w:val="000000" w:themeColor="text1"/>
        </w:rPr>
        <w:t>al., 2020 SLR</w:t>
      </w:r>
      <w:r w:rsidR="00A3722E">
        <w:rPr>
          <w:color w:val="000000" w:themeColor="text1"/>
        </w:rPr>
        <w:t>,</w:t>
      </w:r>
      <w:r w:rsidR="00BC2C91">
        <w:rPr>
          <w:color w:val="000000" w:themeColor="text1"/>
        </w:rPr>
        <w:t xml:space="preserve"> which </w:t>
      </w:r>
      <w:r w:rsidR="001D6FE7">
        <w:rPr>
          <w:color w:val="000000" w:themeColor="text1"/>
        </w:rPr>
        <w:t xml:space="preserve">do not </w:t>
      </w:r>
      <w:r w:rsidR="006B5EA1">
        <w:rPr>
          <w:color w:val="000000" w:themeColor="text1"/>
        </w:rPr>
        <w:t>al</w:t>
      </w:r>
      <w:r w:rsidR="00850570">
        <w:rPr>
          <w:color w:val="000000" w:themeColor="text1"/>
        </w:rPr>
        <w:t>ign</w:t>
      </w:r>
      <w:r w:rsidR="001D6FE7">
        <w:rPr>
          <w:color w:val="000000" w:themeColor="text1"/>
        </w:rPr>
        <w:t xml:space="preserve"> with </w:t>
      </w:r>
      <w:r w:rsidR="003442F4">
        <w:rPr>
          <w:color w:val="000000" w:themeColor="text1"/>
        </w:rPr>
        <w:t>the PICO relevant population,</w:t>
      </w:r>
      <w:r w:rsidR="00A3722E">
        <w:rPr>
          <w:color w:val="000000" w:themeColor="text1"/>
        </w:rPr>
        <w:t xml:space="preserve"> in their base case.</w:t>
      </w:r>
      <w:r w:rsidR="003442F4">
        <w:rPr>
          <w:color w:val="000000" w:themeColor="text1"/>
        </w:rPr>
        <w:t xml:space="preserve"> </w:t>
      </w:r>
      <w:r w:rsidR="009F4566">
        <w:rPr>
          <w:color w:val="000000" w:themeColor="text1"/>
        </w:rPr>
        <w:t>T</w:t>
      </w:r>
      <w:r w:rsidR="003442F4">
        <w:rPr>
          <w:color w:val="000000" w:themeColor="text1"/>
        </w:rPr>
        <w:t xml:space="preserve">he </w:t>
      </w:r>
      <w:r w:rsidR="00071640">
        <w:rPr>
          <w:color w:val="000000" w:themeColor="text1"/>
        </w:rPr>
        <w:t xml:space="preserve">commentary </w:t>
      </w:r>
      <w:r w:rsidR="00895F2D">
        <w:rPr>
          <w:color w:val="000000" w:themeColor="text1"/>
        </w:rPr>
        <w:t xml:space="preserve">believe </w:t>
      </w:r>
      <w:r w:rsidR="00BC1E52">
        <w:rPr>
          <w:color w:val="000000" w:themeColor="text1"/>
        </w:rPr>
        <w:t xml:space="preserve">that the </w:t>
      </w:r>
      <w:r w:rsidR="00676525">
        <w:rPr>
          <w:color w:val="000000" w:themeColor="text1"/>
        </w:rPr>
        <w:t>ADAR</w:t>
      </w:r>
      <w:r w:rsidR="0009103B">
        <w:rPr>
          <w:color w:val="000000" w:themeColor="text1"/>
        </w:rPr>
        <w:t xml:space="preserve"> should have conducted a</w:t>
      </w:r>
      <w:r w:rsidR="0047427F">
        <w:rPr>
          <w:color w:val="000000" w:themeColor="text1"/>
        </w:rPr>
        <w:t xml:space="preserve"> SLR on</w:t>
      </w:r>
      <w:r w:rsidR="003F22E4">
        <w:rPr>
          <w:color w:val="000000" w:themeColor="text1"/>
        </w:rPr>
        <w:t xml:space="preserve"> </w:t>
      </w:r>
      <w:proofErr w:type="spellStart"/>
      <w:r w:rsidR="003F22E4">
        <w:rPr>
          <w:color w:val="000000" w:themeColor="text1"/>
        </w:rPr>
        <w:t>HRQoL</w:t>
      </w:r>
      <w:proofErr w:type="spellEnd"/>
      <w:r w:rsidR="008E4867">
        <w:rPr>
          <w:color w:val="000000" w:themeColor="text1"/>
        </w:rPr>
        <w:t xml:space="preserve"> with </w:t>
      </w:r>
      <w:r w:rsidR="00B742EA">
        <w:rPr>
          <w:color w:val="000000" w:themeColor="text1"/>
        </w:rPr>
        <w:t>relaxed inclusion cr</w:t>
      </w:r>
      <w:r w:rsidR="0062770A">
        <w:rPr>
          <w:color w:val="000000" w:themeColor="text1"/>
        </w:rPr>
        <w:t xml:space="preserve">iteria </w:t>
      </w:r>
      <w:r w:rsidR="008A4A79">
        <w:rPr>
          <w:color w:val="000000" w:themeColor="text1"/>
        </w:rPr>
        <w:t xml:space="preserve">to </w:t>
      </w:r>
      <w:r w:rsidR="000045DD">
        <w:rPr>
          <w:color w:val="000000" w:themeColor="text1"/>
        </w:rPr>
        <w:t xml:space="preserve">identify </w:t>
      </w:r>
      <w:proofErr w:type="spellStart"/>
      <w:r w:rsidR="000045DD">
        <w:rPr>
          <w:color w:val="000000" w:themeColor="text1"/>
        </w:rPr>
        <w:t>HRQoL</w:t>
      </w:r>
      <w:proofErr w:type="spellEnd"/>
      <w:r w:rsidR="00A72119">
        <w:rPr>
          <w:color w:val="000000" w:themeColor="text1"/>
        </w:rPr>
        <w:t xml:space="preserve"> in </w:t>
      </w:r>
      <w:r w:rsidR="00B65E9C">
        <w:rPr>
          <w:color w:val="000000" w:themeColor="text1"/>
        </w:rPr>
        <w:t xml:space="preserve">all </w:t>
      </w:r>
      <w:r w:rsidR="00A72119">
        <w:rPr>
          <w:color w:val="000000" w:themeColor="text1"/>
        </w:rPr>
        <w:t>transplant patients</w:t>
      </w:r>
      <w:r w:rsidR="00B65E9C">
        <w:rPr>
          <w:color w:val="000000" w:themeColor="text1"/>
        </w:rPr>
        <w:t>,</w:t>
      </w:r>
      <w:r w:rsidR="008956D1">
        <w:rPr>
          <w:color w:val="000000" w:themeColor="text1"/>
        </w:rPr>
        <w:t xml:space="preserve"> which would</w:t>
      </w:r>
      <w:r w:rsidR="009F4566">
        <w:rPr>
          <w:color w:val="000000" w:themeColor="text1"/>
        </w:rPr>
        <w:t xml:space="preserve"> have</w:t>
      </w:r>
      <w:r w:rsidR="008956D1">
        <w:rPr>
          <w:color w:val="000000" w:themeColor="text1"/>
        </w:rPr>
        <w:t xml:space="preserve"> capture</w:t>
      </w:r>
      <w:r w:rsidR="009F4566">
        <w:rPr>
          <w:color w:val="000000" w:themeColor="text1"/>
        </w:rPr>
        <w:t>d</w:t>
      </w:r>
      <w:r w:rsidR="008956D1">
        <w:rPr>
          <w:color w:val="000000" w:themeColor="text1"/>
        </w:rPr>
        <w:t xml:space="preserve"> the</w:t>
      </w:r>
      <w:r w:rsidR="000045DD">
        <w:rPr>
          <w:color w:val="000000" w:themeColor="text1"/>
        </w:rPr>
        <w:t xml:space="preserve"> </w:t>
      </w:r>
      <w:r w:rsidR="008956D1">
        <w:rPr>
          <w:color w:val="000000" w:themeColor="text1"/>
        </w:rPr>
        <w:t>S</w:t>
      </w:r>
      <w:r w:rsidR="000045DD">
        <w:rPr>
          <w:color w:val="000000" w:themeColor="text1"/>
        </w:rPr>
        <w:t>LR conducted by Cooper et al., 2020.</w:t>
      </w:r>
    </w:p>
    <w:p w14:paraId="3B70CCDC" w14:textId="75191EF8" w:rsidR="007E4E79" w:rsidRDefault="007E4E79" w:rsidP="004E2983">
      <w:pPr>
        <w:rPr>
          <w:color w:val="000000" w:themeColor="text1"/>
        </w:rPr>
      </w:pPr>
      <w:r w:rsidRPr="007E4E79">
        <w:rPr>
          <w:color w:val="000000" w:themeColor="text1"/>
        </w:rPr>
        <w:t xml:space="preserve">The </w:t>
      </w:r>
      <w:r w:rsidR="00676525">
        <w:rPr>
          <w:color w:val="000000" w:themeColor="text1"/>
        </w:rPr>
        <w:t>ADAR</w:t>
      </w:r>
      <w:r w:rsidRPr="007E4E79">
        <w:rPr>
          <w:color w:val="000000" w:themeColor="text1"/>
        </w:rPr>
        <w:t xml:space="preserve"> do</w:t>
      </w:r>
      <w:r w:rsidR="00347580">
        <w:rPr>
          <w:color w:val="000000" w:themeColor="text1"/>
        </w:rPr>
        <w:t>es</w:t>
      </w:r>
      <w:r w:rsidRPr="007E4E79">
        <w:rPr>
          <w:color w:val="000000" w:themeColor="text1"/>
        </w:rPr>
        <w:t xml:space="preserve"> not apply any reduction in </w:t>
      </w:r>
      <w:proofErr w:type="spellStart"/>
      <w:r w:rsidRPr="007E4E79">
        <w:rPr>
          <w:color w:val="000000" w:themeColor="text1"/>
        </w:rPr>
        <w:t>HRQoL</w:t>
      </w:r>
      <w:proofErr w:type="spellEnd"/>
      <w:r w:rsidRPr="007E4E79">
        <w:rPr>
          <w:color w:val="000000" w:themeColor="text1"/>
        </w:rPr>
        <w:t xml:space="preserve"> associated with treatment emergent </w:t>
      </w:r>
      <w:r w:rsidR="00D445C7">
        <w:rPr>
          <w:color w:val="000000" w:themeColor="text1"/>
        </w:rPr>
        <w:t>AEs</w:t>
      </w:r>
      <w:r w:rsidRPr="007E4E79">
        <w:rPr>
          <w:color w:val="000000" w:themeColor="text1"/>
        </w:rPr>
        <w:t xml:space="preserve">. The </w:t>
      </w:r>
      <w:r w:rsidR="007C38C2">
        <w:rPr>
          <w:color w:val="000000" w:themeColor="text1"/>
        </w:rPr>
        <w:t xml:space="preserve">commentary </w:t>
      </w:r>
      <w:r w:rsidR="00D445C7">
        <w:rPr>
          <w:color w:val="000000" w:themeColor="text1"/>
        </w:rPr>
        <w:t>stated that</w:t>
      </w:r>
      <w:r w:rsidR="00D445C7" w:rsidRPr="007E4E79">
        <w:rPr>
          <w:color w:val="000000" w:themeColor="text1"/>
        </w:rPr>
        <w:t xml:space="preserve"> </w:t>
      </w:r>
      <w:r w:rsidRPr="007E4E79">
        <w:rPr>
          <w:color w:val="000000" w:themeColor="text1"/>
        </w:rPr>
        <w:t>this should be included in the model.</w:t>
      </w:r>
    </w:p>
    <w:p w14:paraId="39D52E34" w14:textId="5FC60E7F" w:rsidR="002703D3" w:rsidRDefault="00BE5ADD" w:rsidP="004E2983">
      <w:pPr>
        <w:rPr>
          <w:color w:val="000000" w:themeColor="text1"/>
        </w:rPr>
      </w:pPr>
      <w:r w:rsidRPr="00BE5ADD">
        <w:rPr>
          <w:color w:val="000000" w:themeColor="text1"/>
        </w:rPr>
        <w:t xml:space="preserve">The </w:t>
      </w:r>
      <w:r w:rsidR="00005150">
        <w:rPr>
          <w:color w:val="000000" w:themeColor="text1"/>
        </w:rPr>
        <w:t xml:space="preserve">commentary </w:t>
      </w:r>
      <w:r w:rsidRPr="00BE5ADD">
        <w:rPr>
          <w:color w:val="000000" w:themeColor="text1"/>
        </w:rPr>
        <w:t>agree</w:t>
      </w:r>
      <w:r w:rsidR="00D445C7">
        <w:rPr>
          <w:color w:val="000000" w:themeColor="text1"/>
        </w:rPr>
        <w:t>d</w:t>
      </w:r>
      <w:r w:rsidRPr="00BE5ADD">
        <w:rPr>
          <w:color w:val="000000" w:themeColor="text1"/>
        </w:rPr>
        <w:t xml:space="preserve"> with the </w:t>
      </w:r>
      <w:r w:rsidR="00676525">
        <w:rPr>
          <w:color w:val="000000" w:themeColor="text1"/>
        </w:rPr>
        <w:t>ADAR</w:t>
      </w:r>
      <w:r w:rsidRPr="00BE5ADD">
        <w:rPr>
          <w:color w:val="000000" w:themeColor="text1"/>
        </w:rPr>
        <w:t xml:space="preserve"> that it is important to consider the </w:t>
      </w:r>
      <w:proofErr w:type="spellStart"/>
      <w:r w:rsidRPr="00BE5ADD">
        <w:rPr>
          <w:color w:val="000000" w:themeColor="text1"/>
        </w:rPr>
        <w:t>HRQoL</w:t>
      </w:r>
      <w:proofErr w:type="spellEnd"/>
      <w:r w:rsidRPr="00BE5ADD">
        <w:rPr>
          <w:color w:val="000000" w:themeColor="text1"/>
        </w:rPr>
        <w:t xml:space="preserve"> impact on carers. The scenario analysis presented </w:t>
      </w:r>
      <w:r w:rsidR="00F034AE">
        <w:rPr>
          <w:color w:val="000000" w:themeColor="text1"/>
        </w:rPr>
        <w:t>in</w:t>
      </w:r>
      <w:r w:rsidR="00F034AE" w:rsidRPr="00BE5ADD">
        <w:rPr>
          <w:color w:val="000000" w:themeColor="text1"/>
        </w:rPr>
        <w:t xml:space="preserve"> </w:t>
      </w:r>
      <w:r w:rsidRPr="00BE5ADD">
        <w:rPr>
          <w:color w:val="000000" w:themeColor="text1"/>
        </w:rPr>
        <w:t xml:space="preserve">the </w:t>
      </w:r>
      <w:r w:rsidR="00676525">
        <w:rPr>
          <w:color w:val="000000" w:themeColor="text1"/>
        </w:rPr>
        <w:t>ADAR</w:t>
      </w:r>
      <w:r w:rsidRPr="00BE5ADD">
        <w:rPr>
          <w:color w:val="000000" w:themeColor="text1"/>
        </w:rPr>
        <w:t xml:space="preserve"> has a small impact on the </w:t>
      </w:r>
      <w:r w:rsidR="00C043FA" w:rsidRPr="00C043FA">
        <w:rPr>
          <w:color w:val="000000" w:themeColor="text1"/>
        </w:rPr>
        <w:t xml:space="preserve">incremental cost-effectiveness ratio </w:t>
      </w:r>
      <w:r w:rsidR="0058648F">
        <w:rPr>
          <w:color w:val="000000" w:themeColor="text1"/>
        </w:rPr>
        <w:t>(</w:t>
      </w:r>
      <w:r w:rsidRPr="00BE5ADD">
        <w:rPr>
          <w:color w:val="000000" w:themeColor="text1"/>
        </w:rPr>
        <w:t>ICER</w:t>
      </w:r>
      <w:r w:rsidR="0058648F">
        <w:rPr>
          <w:color w:val="000000" w:themeColor="text1"/>
        </w:rPr>
        <w:t>)</w:t>
      </w:r>
      <w:r w:rsidRPr="00BE5ADD">
        <w:rPr>
          <w:color w:val="000000" w:themeColor="text1"/>
        </w:rPr>
        <w:t xml:space="preserve"> (approximate reduction of $600</w:t>
      </w:r>
      <w:r w:rsidR="001D2DE0">
        <w:rPr>
          <w:color w:val="000000" w:themeColor="text1"/>
        </w:rPr>
        <w:t xml:space="preserve"> per </w:t>
      </w:r>
      <w:r w:rsidR="001D2DE0" w:rsidRPr="001D2DE0">
        <w:rPr>
          <w:color w:val="000000" w:themeColor="text1"/>
        </w:rPr>
        <w:t>quality-adjusted life year</w:t>
      </w:r>
      <w:r w:rsidR="001D2DE0">
        <w:rPr>
          <w:color w:val="000000" w:themeColor="text1"/>
        </w:rPr>
        <w:t xml:space="preserve"> [</w:t>
      </w:r>
      <w:r w:rsidR="00866248">
        <w:rPr>
          <w:color w:val="000000" w:themeColor="text1"/>
        </w:rPr>
        <w:t>QALY</w:t>
      </w:r>
      <w:r w:rsidR="001D2DE0">
        <w:rPr>
          <w:color w:val="000000" w:themeColor="text1"/>
        </w:rPr>
        <w:t>]</w:t>
      </w:r>
      <w:r w:rsidRPr="00BE5ADD">
        <w:rPr>
          <w:color w:val="000000" w:themeColor="text1"/>
        </w:rPr>
        <w:t>).</w:t>
      </w:r>
    </w:p>
    <w:p w14:paraId="1B207C49" w14:textId="77777777" w:rsidR="00426BB0" w:rsidRPr="00FF2059" w:rsidRDefault="009342E5" w:rsidP="00FF2059">
      <w:pPr>
        <w:pStyle w:val="Heading3nonumbers"/>
      </w:pPr>
      <w:r w:rsidRPr="00FF2059">
        <w:t xml:space="preserve">Model adverse events </w:t>
      </w:r>
    </w:p>
    <w:p w14:paraId="79B2B7E7" w14:textId="39C9D39A" w:rsidR="00721D92" w:rsidRDefault="00721D92" w:rsidP="009342E5">
      <w:pPr>
        <w:rPr>
          <w:color w:val="000000" w:themeColor="text1"/>
        </w:rPr>
      </w:pPr>
      <w:r w:rsidRPr="00721D92">
        <w:rPr>
          <w:color w:val="000000" w:themeColor="text1"/>
        </w:rPr>
        <w:t xml:space="preserve">The inclusion and application of </w:t>
      </w:r>
      <w:r w:rsidR="001D2DE0">
        <w:rPr>
          <w:color w:val="000000" w:themeColor="text1"/>
        </w:rPr>
        <w:t>AEs</w:t>
      </w:r>
      <w:r w:rsidRPr="00721D92">
        <w:rPr>
          <w:color w:val="000000" w:themeColor="text1"/>
        </w:rPr>
        <w:t xml:space="preserve"> in the analysis are appropriate and reasonable.</w:t>
      </w:r>
    </w:p>
    <w:p w14:paraId="3B69696C" w14:textId="73D2C14F" w:rsidR="008D5B91" w:rsidRDefault="00520459" w:rsidP="009342E5">
      <w:pPr>
        <w:rPr>
          <w:color w:val="000000" w:themeColor="text1"/>
        </w:rPr>
      </w:pPr>
      <w:r>
        <w:rPr>
          <w:color w:val="000000" w:themeColor="text1"/>
        </w:rPr>
        <w:t>However, t</w:t>
      </w:r>
      <w:r w:rsidR="001970A1">
        <w:rPr>
          <w:color w:val="000000" w:themeColor="text1"/>
        </w:rPr>
        <w:t xml:space="preserve">he commentary </w:t>
      </w:r>
      <w:r w:rsidR="00A3505F">
        <w:rPr>
          <w:color w:val="000000" w:themeColor="text1"/>
        </w:rPr>
        <w:t xml:space="preserve">considered that </w:t>
      </w:r>
      <w:r w:rsidR="008D5B91">
        <w:rPr>
          <w:color w:val="000000" w:themeColor="text1"/>
        </w:rPr>
        <w:t>a re</w:t>
      </w:r>
      <w:r w:rsidR="008D5B91" w:rsidRPr="007E4E79">
        <w:rPr>
          <w:color w:val="000000" w:themeColor="text1"/>
        </w:rPr>
        <w:t xml:space="preserve">duction in </w:t>
      </w:r>
      <w:proofErr w:type="spellStart"/>
      <w:r w:rsidR="008D5B91" w:rsidRPr="007E4E79">
        <w:rPr>
          <w:color w:val="000000" w:themeColor="text1"/>
        </w:rPr>
        <w:t>HRQoL</w:t>
      </w:r>
      <w:proofErr w:type="spellEnd"/>
      <w:r w:rsidR="008D5B91" w:rsidRPr="007E4E79">
        <w:rPr>
          <w:color w:val="000000" w:themeColor="text1"/>
        </w:rPr>
        <w:t xml:space="preserve"> associated with treatment emergent </w:t>
      </w:r>
      <w:r w:rsidR="001D2DE0">
        <w:rPr>
          <w:color w:val="000000" w:themeColor="text1"/>
        </w:rPr>
        <w:t>AEs</w:t>
      </w:r>
      <w:r>
        <w:rPr>
          <w:color w:val="000000" w:themeColor="text1"/>
        </w:rPr>
        <w:t xml:space="preserve"> should have been modelled</w:t>
      </w:r>
      <w:r w:rsidR="00A8247E">
        <w:rPr>
          <w:color w:val="000000" w:themeColor="text1"/>
        </w:rPr>
        <w:t>,</w:t>
      </w:r>
      <w:r w:rsidR="00521559">
        <w:rPr>
          <w:color w:val="000000" w:themeColor="text1"/>
        </w:rPr>
        <w:t xml:space="preserve"> in line with the </w:t>
      </w:r>
      <w:r w:rsidR="00546139">
        <w:rPr>
          <w:color w:val="000000" w:themeColor="text1"/>
        </w:rPr>
        <w:t xml:space="preserve">inclusion of </w:t>
      </w:r>
      <w:r w:rsidR="00A8247E">
        <w:rPr>
          <w:color w:val="000000" w:themeColor="text1"/>
        </w:rPr>
        <w:t>AE</w:t>
      </w:r>
      <w:r w:rsidR="00546139">
        <w:rPr>
          <w:color w:val="000000" w:themeColor="text1"/>
        </w:rPr>
        <w:t xml:space="preserve"> </w:t>
      </w:r>
      <w:r w:rsidR="00331853">
        <w:rPr>
          <w:color w:val="000000" w:themeColor="text1"/>
        </w:rPr>
        <w:t>healthcare</w:t>
      </w:r>
      <w:r w:rsidR="00546139">
        <w:rPr>
          <w:color w:val="000000" w:themeColor="text1"/>
        </w:rPr>
        <w:t xml:space="preserve"> costs. </w:t>
      </w:r>
    </w:p>
    <w:p w14:paraId="1978B9B0" w14:textId="3715ED1C" w:rsidR="009342E5" w:rsidRPr="00FF2059" w:rsidRDefault="00426BB0" w:rsidP="00FF2059">
      <w:pPr>
        <w:pStyle w:val="Heading3nonumbers"/>
      </w:pPr>
      <w:r w:rsidRPr="00FF2059">
        <w:t xml:space="preserve">Model </w:t>
      </w:r>
      <w:r w:rsidR="00EB2FC1">
        <w:t>healthcare</w:t>
      </w:r>
      <w:r w:rsidR="009342E5" w:rsidRPr="00FF2059">
        <w:t xml:space="preserve"> resource use and costs </w:t>
      </w:r>
    </w:p>
    <w:p w14:paraId="20F576FC" w14:textId="4FD27F4B" w:rsidR="002703D3" w:rsidRDefault="00E55C6D" w:rsidP="004E2983">
      <w:pPr>
        <w:rPr>
          <w:color w:val="000000" w:themeColor="text1"/>
        </w:rPr>
      </w:pPr>
      <w:r>
        <w:rPr>
          <w:color w:val="000000" w:themeColor="text1"/>
        </w:rPr>
        <w:t xml:space="preserve">In general, the </w:t>
      </w:r>
      <w:r w:rsidR="00F51143">
        <w:rPr>
          <w:color w:val="000000" w:themeColor="text1"/>
        </w:rPr>
        <w:t>commentary</w:t>
      </w:r>
      <w:r>
        <w:rPr>
          <w:color w:val="000000" w:themeColor="text1"/>
        </w:rPr>
        <w:t xml:space="preserve"> </w:t>
      </w:r>
      <w:r w:rsidR="007F4BB5">
        <w:rPr>
          <w:color w:val="000000" w:themeColor="text1"/>
        </w:rPr>
        <w:t xml:space="preserve">found </w:t>
      </w:r>
      <w:r>
        <w:rPr>
          <w:color w:val="000000" w:themeColor="text1"/>
        </w:rPr>
        <w:t>that the</w:t>
      </w:r>
      <w:r w:rsidR="005F17FF">
        <w:rPr>
          <w:color w:val="000000" w:themeColor="text1"/>
        </w:rPr>
        <w:t xml:space="preserve"> </w:t>
      </w:r>
      <w:r w:rsidR="00EB2FC1">
        <w:rPr>
          <w:color w:val="000000" w:themeColor="text1"/>
        </w:rPr>
        <w:t>healthcare</w:t>
      </w:r>
      <w:r w:rsidR="005F17FF">
        <w:rPr>
          <w:color w:val="000000" w:themeColor="text1"/>
        </w:rPr>
        <w:t xml:space="preserve"> resource use and costs </w:t>
      </w:r>
      <w:r w:rsidR="007F4BB5">
        <w:rPr>
          <w:color w:val="000000" w:themeColor="text1"/>
        </w:rPr>
        <w:t>were</w:t>
      </w:r>
      <w:r w:rsidR="005F17FF">
        <w:rPr>
          <w:color w:val="000000" w:themeColor="text1"/>
        </w:rPr>
        <w:t xml:space="preserve"> applied appropriately. </w:t>
      </w:r>
    </w:p>
    <w:p w14:paraId="3C4B9EE9" w14:textId="36CE60EA" w:rsidR="00971A57" w:rsidRPr="00424EC0" w:rsidRDefault="005F17FF" w:rsidP="00424EC0">
      <w:pPr>
        <w:rPr>
          <w:color w:val="000000" w:themeColor="text1"/>
        </w:rPr>
      </w:pPr>
      <w:r>
        <w:rPr>
          <w:color w:val="000000" w:themeColor="text1"/>
        </w:rPr>
        <w:t xml:space="preserve">The main driver of costs </w:t>
      </w:r>
      <w:r w:rsidR="00424EC0">
        <w:rPr>
          <w:color w:val="000000" w:themeColor="text1"/>
        </w:rPr>
        <w:t>is the treatment c</w:t>
      </w:r>
      <w:r w:rsidR="00971A57" w:rsidRPr="00424EC0">
        <w:rPr>
          <w:color w:val="000000" w:themeColor="text1"/>
        </w:rPr>
        <w:t xml:space="preserve">ost of </w:t>
      </w:r>
      <w:r w:rsidR="00517F34">
        <w:rPr>
          <w:color w:val="000000" w:themeColor="text1"/>
        </w:rPr>
        <w:t>i</w:t>
      </w:r>
      <w:r w:rsidR="00971A57">
        <w:rPr>
          <w:color w:val="000000" w:themeColor="text1"/>
        </w:rPr>
        <w:t>mlifidase</w:t>
      </w:r>
      <w:r w:rsidR="00424EC0">
        <w:rPr>
          <w:color w:val="000000" w:themeColor="text1"/>
        </w:rPr>
        <w:t xml:space="preserve">, </w:t>
      </w:r>
      <w:r w:rsidR="00971A57" w:rsidRPr="00424EC0">
        <w:rPr>
          <w:color w:val="000000" w:themeColor="text1"/>
        </w:rPr>
        <w:t>applied as a weighted cost</w:t>
      </w:r>
      <w:r w:rsidR="006F200C" w:rsidRPr="00424EC0">
        <w:rPr>
          <w:color w:val="000000" w:themeColor="text1"/>
        </w:rPr>
        <w:t xml:space="preserve"> of </w:t>
      </w:r>
      <w:r w:rsidR="00EB2FC1">
        <w:rPr>
          <w:color w:val="000000" w:themeColor="text1"/>
        </w:rPr>
        <w:t xml:space="preserve">the </w:t>
      </w:r>
      <w:r w:rsidR="006F200C" w:rsidRPr="00424EC0">
        <w:rPr>
          <w:color w:val="000000" w:themeColor="text1"/>
        </w:rPr>
        <w:t>number of vials and dose</w:t>
      </w:r>
      <w:r w:rsidR="00424EC0">
        <w:rPr>
          <w:color w:val="000000" w:themeColor="text1"/>
        </w:rPr>
        <w:t xml:space="preserve">. </w:t>
      </w:r>
      <w:r w:rsidR="00203F01">
        <w:rPr>
          <w:color w:val="000000" w:themeColor="text1"/>
        </w:rPr>
        <w:t>The cost of a single Luminex test was included in the base</w:t>
      </w:r>
      <w:r w:rsidR="00FD7C87">
        <w:rPr>
          <w:color w:val="000000" w:themeColor="text1"/>
        </w:rPr>
        <w:t xml:space="preserve"> </w:t>
      </w:r>
      <w:r w:rsidR="00203F01">
        <w:rPr>
          <w:color w:val="000000" w:themeColor="text1"/>
        </w:rPr>
        <w:t>case</w:t>
      </w:r>
      <w:r w:rsidR="00EB2FC1">
        <w:rPr>
          <w:color w:val="000000" w:themeColor="text1"/>
        </w:rPr>
        <w:t>;</w:t>
      </w:r>
      <w:r w:rsidR="00203F01">
        <w:rPr>
          <w:color w:val="000000" w:themeColor="text1"/>
        </w:rPr>
        <w:t xml:space="preserve"> </w:t>
      </w:r>
      <w:r w:rsidR="00FD1047">
        <w:rPr>
          <w:color w:val="000000" w:themeColor="text1"/>
        </w:rPr>
        <w:t xml:space="preserve">increasing this to </w:t>
      </w:r>
      <w:r w:rsidR="00302B31">
        <w:rPr>
          <w:color w:val="000000" w:themeColor="text1"/>
        </w:rPr>
        <w:t xml:space="preserve">2 </w:t>
      </w:r>
      <w:r w:rsidR="00FD1047">
        <w:rPr>
          <w:color w:val="000000" w:themeColor="text1"/>
        </w:rPr>
        <w:t xml:space="preserve">doses </w:t>
      </w:r>
      <w:r w:rsidR="009E002B">
        <w:rPr>
          <w:color w:val="000000" w:themeColor="text1"/>
        </w:rPr>
        <w:t xml:space="preserve">has a small impact on the ICER (approximate increase of </w:t>
      </w:r>
      <w:r w:rsidR="00D5745C">
        <w:rPr>
          <w:color w:val="000000" w:themeColor="text1"/>
        </w:rPr>
        <w:t>$150/QALY).</w:t>
      </w:r>
    </w:p>
    <w:p w14:paraId="47C921C6" w14:textId="3239228B" w:rsidR="00AC7F9C" w:rsidRDefault="001267C8" w:rsidP="004E2983">
      <w:pPr>
        <w:rPr>
          <w:color w:val="000000" w:themeColor="text1"/>
        </w:rPr>
      </w:pPr>
      <w:r>
        <w:rPr>
          <w:color w:val="000000" w:themeColor="text1"/>
        </w:rPr>
        <w:t xml:space="preserve">For transplant and </w:t>
      </w:r>
      <w:r w:rsidR="00776CC5">
        <w:rPr>
          <w:color w:val="000000" w:themeColor="text1"/>
        </w:rPr>
        <w:t xml:space="preserve">dialysis costs, there is a material impact on the ICER when </w:t>
      </w:r>
      <w:r w:rsidR="00375AB3">
        <w:rPr>
          <w:color w:val="000000" w:themeColor="text1"/>
        </w:rPr>
        <w:t>choosing between the</w:t>
      </w:r>
      <w:r w:rsidR="004F69AE">
        <w:rPr>
          <w:color w:val="000000" w:themeColor="text1"/>
        </w:rPr>
        <w:t xml:space="preserve"> </w:t>
      </w:r>
      <w:r w:rsidR="00676525">
        <w:rPr>
          <w:color w:val="000000" w:themeColor="text1"/>
        </w:rPr>
        <w:t>ADAR</w:t>
      </w:r>
      <w:r w:rsidR="004227F0">
        <w:rPr>
          <w:color w:val="000000" w:themeColor="text1"/>
        </w:rPr>
        <w:t>’s</w:t>
      </w:r>
      <w:r w:rsidR="00375AB3">
        <w:rPr>
          <w:color w:val="000000" w:themeColor="text1"/>
        </w:rPr>
        <w:t xml:space="preserve"> micro</w:t>
      </w:r>
      <w:r w:rsidR="00BF0A97">
        <w:rPr>
          <w:color w:val="000000" w:themeColor="text1"/>
        </w:rPr>
        <w:t>-</w:t>
      </w:r>
      <w:r w:rsidR="00375AB3">
        <w:rPr>
          <w:color w:val="000000" w:themeColor="text1"/>
        </w:rPr>
        <w:t>costing</w:t>
      </w:r>
      <w:r w:rsidR="005C59EB">
        <w:rPr>
          <w:color w:val="000000" w:themeColor="text1"/>
        </w:rPr>
        <w:t xml:space="preserve"> approach</w:t>
      </w:r>
      <w:r w:rsidR="001E6FC9">
        <w:rPr>
          <w:color w:val="000000" w:themeColor="text1"/>
        </w:rPr>
        <w:t xml:space="preserve"> (ICER of </w:t>
      </w:r>
      <w:r w:rsidR="00996032" w:rsidRPr="00996032">
        <w:rPr>
          <w:color w:val="000000" w:themeColor="text1"/>
          <w:w w:val="64"/>
          <w:shd w:val="solid" w:color="000000" w:fill="000000"/>
          <w:fitText w:val="708" w:id="-1175823104"/>
          <w14:textFill>
            <w14:solidFill>
              <w14:schemeClr w14:val="tx1">
                <w14:alpha w14:val="100000"/>
              </w14:schemeClr>
            </w14:solidFill>
          </w14:textFill>
        </w:rPr>
        <w:t>||||||||||</w:t>
      </w:r>
      <w:r w:rsidR="00F80E09">
        <w:rPr>
          <w:color w:val="000000" w:themeColor="text1"/>
        </w:rPr>
        <w:t>/QALY)</w:t>
      </w:r>
      <w:r w:rsidR="00375AB3">
        <w:rPr>
          <w:color w:val="000000" w:themeColor="text1"/>
        </w:rPr>
        <w:t xml:space="preserve"> and </w:t>
      </w:r>
      <w:r w:rsidR="005A3FD5">
        <w:rPr>
          <w:color w:val="000000" w:themeColor="text1"/>
        </w:rPr>
        <w:t>Kidney Health A</w:t>
      </w:r>
      <w:r w:rsidR="00F75E6B">
        <w:rPr>
          <w:color w:val="000000" w:themeColor="text1"/>
        </w:rPr>
        <w:t>ustralia</w:t>
      </w:r>
      <w:r w:rsidR="00302B31">
        <w:rPr>
          <w:color w:val="000000" w:themeColor="text1"/>
        </w:rPr>
        <w:t>’s</w:t>
      </w:r>
      <w:r w:rsidR="00F75E6B">
        <w:rPr>
          <w:color w:val="000000" w:themeColor="text1"/>
        </w:rPr>
        <w:t xml:space="preserve"> estimated costs for 2008</w:t>
      </w:r>
      <w:r w:rsidR="00302B31">
        <w:rPr>
          <w:color w:val="000000" w:themeColor="text1"/>
        </w:rPr>
        <w:t>–</w:t>
      </w:r>
      <w:r w:rsidR="00F75E6B">
        <w:rPr>
          <w:color w:val="000000" w:themeColor="text1"/>
        </w:rPr>
        <w:t>2009</w:t>
      </w:r>
      <w:r w:rsidR="008F73E7">
        <w:rPr>
          <w:color w:val="000000" w:themeColor="text1"/>
        </w:rPr>
        <w:t xml:space="preserve"> (ICER of </w:t>
      </w:r>
      <w:r w:rsidR="00996032" w:rsidRPr="00996032">
        <w:rPr>
          <w:color w:val="000000" w:themeColor="text1"/>
          <w:w w:val="64"/>
          <w:shd w:val="solid" w:color="000000" w:fill="000000"/>
          <w:fitText w:val="708" w:id="-1175823103"/>
          <w14:textFill>
            <w14:solidFill>
              <w14:schemeClr w14:val="tx1">
                <w14:alpha w14:val="100000"/>
              </w14:schemeClr>
            </w14:solidFill>
          </w14:textFill>
        </w:rPr>
        <w:t>||||||||||</w:t>
      </w:r>
      <w:r w:rsidR="006E0E38">
        <w:rPr>
          <w:color w:val="000000" w:themeColor="text1"/>
        </w:rPr>
        <w:t>/QALY)</w:t>
      </w:r>
      <w:r w:rsidR="002018A7">
        <w:rPr>
          <w:color w:val="000000" w:themeColor="text1"/>
        </w:rPr>
        <w:t xml:space="preserve">. </w:t>
      </w:r>
      <w:r w:rsidR="001B5F1D">
        <w:rPr>
          <w:color w:val="000000" w:themeColor="text1"/>
        </w:rPr>
        <w:t>On balance, the</w:t>
      </w:r>
      <w:r w:rsidR="00A5257A">
        <w:rPr>
          <w:color w:val="000000" w:themeColor="text1"/>
        </w:rPr>
        <w:t xml:space="preserve"> Kidney Health Australia</w:t>
      </w:r>
      <w:r w:rsidR="001B5F1D">
        <w:rPr>
          <w:color w:val="000000" w:themeColor="text1"/>
        </w:rPr>
        <w:t xml:space="preserve"> </w:t>
      </w:r>
      <w:r w:rsidR="00A5257A">
        <w:rPr>
          <w:color w:val="000000" w:themeColor="text1"/>
        </w:rPr>
        <w:t>(</w:t>
      </w:r>
      <w:r w:rsidR="00141B3A">
        <w:rPr>
          <w:color w:val="000000" w:themeColor="text1"/>
        </w:rPr>
        <w:t>KHA</w:t>
      </w:r>
      <w:r w:rsidR="00A5257A">
        <w:rPr>
          <w:color w:val="000000" w:themeColor="text1"/>
        </w:rPr>
        <w:t>)</w:t>
      </w:r>
      <w:r w:rsidR="00141B3A">
        <w:rPr>
          <w:color w:val="000000" w:themeColor="text1"/>
        </w:rPr>
        <w:t xml:space="preserve"> </w:t>
      </w:r>
      <w:r w:rsidR="006B67EE">
        <w:rPr>
          <w:color w:val="000000" w:themeColor="text1"/>
        </w:rPr>
        <w:t>dialysis costs</w:t>
      </w:r>
      <w:r w:rsidR="00E1487C">
        <w:rPr>
          <w:color w:val="000000" w:themeColor="text1"/>
        </w:rPr>
        <w:t xml:space="preserve"> adjusted for inflation</w:t>
      </w:r>
      <w:r w:rsidR="006B67EE">
        <w:rPr>
          <w:color w:val="000000" w:themeColor="text1"/>
        </w:rPr>
        <w:t xml:space="preserve"> a</w:t>
      </w:r>
      <w:r w:rsidR="00E11482">
        <w:rPr>
          <w:color w:val="000000" w:themeColor="text1"/>
        </w:rPr>
        <w:t>re</w:t>
      </w:r>
      <w:r w:rsidR="006B67EE">
        <w:rPr>
          <w:color w:val="000000" w:themeColor="text1"/>
        </w:rPr>
        <w:t xml:space="preserve"> cheaper and transplant costs more expensive compared with the </w:t>
      </w:r>
      <w:r w:rsidR="00676525">
        <w:rPr>
          <w:color w:val="000000" w:themeColor="text1"/>
        </w:rPr>
        <w:t>ADAR</w:t>
      </w:r>
      <w:r w:rsidR="004227F0">
        <w:rPr>
          <w:color w:val="000000" w:themeColor="text1"/>
        </w:rPr>
        <w:t>’s</w:t>
      </w:r>
      <w:r w:rsidR="006B67EE">
        <w:rPr>
          <w:color w:val="000000" w:themeColor="text1"/>
        </w:rPr>
        <w:t xml:space="preserve"> micro-costing approach. </w:t>
      </w:r>
    </w:p>
    <w:p w14:paraId="2922983A" w14:textId="60EBCF1C" w:rsidR="002018A7" w:rsidRDefault="002018A7" w:rsidP="004E2983">
      <w:pPr>
        <w:rPr>
          <w:color w:val="000000" w:themeColor="text1"/>
        </w:rPr>
      </w:pPr>
      <w:r>
        <w:rPr>
          <w:color w:val="000000" w:themeColor="text1"/>
        </w:rPr>
        <w:t xml:space="preserve">The main driver of </w:t>
      </w:r>
      <w:r w:rsidR="00EB2FC1">
        <w:rPr>
          <w:color w:val="000000" w:themeColor="text1"/>
        </w:rPr>
        <w:t>the</w:t>
      </w:r>
      <w:r>
        <w:rPr>
          <w:color w:val="000000" w:themeColor="text1"/>
        </w:rPr>
        <w:t xml:space="preserve"> </w:t>
      </w:r>
      <w:r w:rsidR="003A611D">
        <w:rPr>
          <w:color w:val="000000" w:themeColor="text1"/>
        </w:rPr>
        <w:t xml:space="preserve">difference between the transplant costs relates to transplant maintenance costs. The </w:t>
      </w:r>
      <w:r w:rsidR="00451398">
        <w:rPr>
          <w:color w:val="000000" w:themeColor="text1"/>
        </w:rPr>
        <w:t>inflation-adjusted</w:t>
      </w:r>
      <w:r w:rsidR="003A611D">
        <w:rPr>
          <w:color w:val="000000" w:themeColor="text1"/>
        </w:rPr>
        <w:t xml:space="preserve"> KHA </w:t>
      </w:r>
      <w:r w:rsidR="006C5DC8">
        <w:rPr>
          <w:color w:val="000000" w:themeColor="text1"/>
        </w:rPr>
        <w:t xml:space="preserve">costs </w:t>
      </w:r>
      <w:r w:rsidR="00B41FE9">
        <w:rPr>
          <w:color w:val="000000" w:themeColor="text1"/>
        </w:rPr>
        <w:t xml:space="preserve">equate to a total of </w:t>
      </w:r>
      <w:r w:rsidR="00BC6FB3">
        <w:rPr>
          <w:color w:val="000000" w:themeColor="text1"/>
        </w:rPr>
        <w:t xml:space="preserve">$19,998 compared </w:t>
      </w:r>
      <w:r w:rsidR="00182EF9">
        <w:rPr>
          <w:color w:val="000000" w:themeColor="text1"/>
        </w:rPr>
        <w:t xml:space="preserve">with a total of </w:t>
      </w:r>
      <w:r w:rsidR="00AF2DDF">
        <w:rPr>
          <w:color w:val="000000" w:themeColor="text1"/>
        </w:rPr>
        <w:t>$</w:t>
      </w:r>
      <w:r w:rsidR="00A24EE5">
        <w:rPr>
          <w:color w:val="000000" w:themeColor="text1"/>
        </w:rPr>
        <w:t>2,877</w:t>
      </w:r>
      <w:r w:rsidR="00BC6FB3">
        <w:rPr>
          <w:color w:val="000000" w:themeColor="text1"/>
        </w:rPr>
        <w:t xml:space="preserve"> </w:t>
      </w:r>
      <w:r w:rsidR="005F686E">
        <w:rPr>
          <w:color w:val="000000" w:themeColor="text1"/>
        </w:rPr>
        <w:t xml:space="preserve">estimated in the </w:t>
      </w:r>
      <w:r w:rsidR="00BC6FB3">
        <w:rPr>
          <w:color w:val="000000" w:themeColor="text1"/>
        </w:rPr>
        <w:t xml:space="preserve">micro-costing </w:t>
      </w:r>
      <w:r w:rsidR="005F686E">
        <w:rPr>
          <w:color w:val="000000" w:themeColor="text1"/>
        </w:rPr>
        <w:t xml:space="preserve">approach. </w:t>
      </w:r>
      <w:r w:rsidR="009B124A">
        <w:rPr>
          <w:color w:val="000000" w:themeColor="text1"/>
        </w:rPr>
        <w:t xml:space="preserve">The </w:t>
      </w:r>
      <w:r w:rsidR="00671035">
        <w:rPr>
          <w:color w:val="000000" w:themeColor="text1"/>
        </w:rPr>
        <w:t xml:space="preserve">commentary </w:t>
      </w:r>
      <w:r w:rsidR="00EB2FC1">
        <w:rPr>
          <w:color w:val="000000" w:themeColor="text1"/>
        </w:rPr>
        <w:t>agreed</w:t>
      </w:r>
      <w:r w:rsidR="009B124A">
        <w:rPr>
          <w:color w:val="000000" w:themeColor="text1"/>
        </w:rPr>
        <w:t xml:space="preserve"> with the </w:t>
      </w:r>
      <w:r w:rsidR="00676525">
        <w:rPr>
          <w:color w:val="000000" w:themeColor="text1"/>
        </w:rPr>
        <w:t>ADAR</w:t>
      </w:r>
      <w:r w:rsidR="0006253F">
        <w:rPr>
          <w:color w:val="000000" w:themeColor="text1"/>
        </w:rPr>
        <w:t xml:space="preserve">’s </w:t>
      </w:r>
      <w:r w:rsidR="008700A1">
        <w:rPr>
          <w:color w:val="000000" w:themeColor="text1"/>
        </w:rPr>
        <w:t xml:space="preserve">conclusion </w:t>
      </w:r>
      <w:r w:rsidR="00D97045">
        <w:rPr>
          <w:color w:val="000000" w:themeColor="text1"/>
        </w:rPr>
        <w:t xml:space="preserve">that </w:t>
      </w:r>
      <w:r w:rsidR="00E2699D">
        <w:rPr>
          <w:color w:val="000000" w:themeColor="text1"/>
        </w:rPr>
        <w:t xml:space="preserve">aspects of the KHA study </w:t>
      </w:r>
      <w:r w:rsidR="00DF6580">
        <w:rPr>
          <w:color w:val="000000" w:themeColor="text1"/>
        </w:rPr>
        <w:t xml:space="preserve">are </w:t>
      </w:r>
      <w:r w:rsidR="00A00146">
        <w:rPr>
          <w:color w:val="000000" w:themeColor="text1"/>
        </w:rPr>
        <w:t xml:space="preserve">not </w:t>
      </w:r>
      <w:r w:rsidR="00685FE4">
        <w:rPr>
          <w:color w:val="000000" w:themeColor="text1"/>
        </w:rPr>
        <w:t xml:space="preserve">well </w:t>
      </w:r>
      <w:r w:rsidR="00A00146">
        <w:rPr>
          <w:color w:val="000000" w:themeColor="text1"/>
        </w:rPr>
        <w:t>described</w:t>
      </w:r>
      <w:r w:rsidR="000D415B">
        <w:rPr>
          <w:color w:val="000000" w:themeColor="text1"/>
        </w:rPr>
        <w:t>,</w:t>
      </w:r>
      <w:r w:rsidR="0041402A">
        <w:rPr>
          <w:color w:val="000000" w:themeColor="text1"/>
        </w:rPr>
        <w:t xml:space="preserve"> making it difficult </w:t>
      </w:r>
      <w:r w:rsidR="00A00146">
        <w:rPr>
          <w:color w:val="000000" w:themeColor="text1"/>
        </w:rPr>
        <w:t>to determine the generalisability and applicability to current practice</w:t>
      </w:r>
      <w:r w:rsidR="0041402A">
        <w:rPr>
          <w:color w:val="000000" w:themeColor="text1"/>
        </w:rPr>
        <w:t xml:space="preserve">. However, the </w:t>
      </w:r>
      <w:r w:rsidR="00676525">
        <w:rPr>
          <w:color w:val="000000" w:themeColor="text1"/>
        </w:rPr>
        <w:t>ADAR</w:t>
      </w:r>
      <w:r w:rsidR="00AC2145">
        <w:rPr>
          <w:color w:val="000000" w:themeColor="text1"/>
        </w:rPr>
        <w:t>’s</w:t>
      </w:r>
      <w:r w:rsidR="0041402A">
        <w:rPr>
          <w:color w:val="000000" w:themeColor="text1"/>
        </w:rPr>
        <w:t xml:space="preserve"> micro</w:t>
      </w:r>
      <w:r w:rsidR="00313847">
        <w:rPr>
          <w:color w:val="000000" w:themeColor="text1"/>
        </w:rPr>
        <w:t>-</w:t>
      </w:r>
      <w:r w:rsidR="0041402A">
        <w:rPr>
          <w:color w:val="000000" w:themeColor="text1"/>
        </w:rPr>
        <w:t xml:space="preserve">costing approach </w:t>
      </w:r>
      <w:r w:rsidR="00313847">
        <w:rPr>
          <w:color w:val="000000" w:themeColor="text1"/>
        </w:rPr>
        <w:t>considers that</w:t>
      </w:r>
      <w:r w:rsidR="00AD0006">
        <w:rPr>
          <w:color w:val="000000" w:themeColor="text1"/>
        </w:rPr>
        <w:t xml:space="preserve"> post-transplant </w:t>
      </w:r>
      <w:r w:rsidR="00735721">
        <w:rPr>
          <w:color w:val="000000" w:themeColor="text1"/>
        </w:rPr>
        <w:t xml:space="preserve">reviews </w:t>
      </w:r>
      <w:r w:rsidR="00804E33">
        <w:rPr>
          <w:color w:val="000000" w:themeColor="text1"/>
        </w:rPr>
        <w:t>incur</w:t>
      </w:r>
      <w:r w:rsidR="009D0670">
        <w:rPr>
          <w:color w:val="000000" w:themeColor="text1"/>
        </w:rPr>
        <w:t xml:space="preserve"> only</w:t>
      </w:r>
      <w:r w:rsidR="00804E33">
        <w:rPr>
          <w:color w:val="000000" w:themeColor="text1"/>
        </w:rPr>
        <w:t xml:space="preserve"> the cost of a </w:t>
      </w:r>
      <w:r w:rsidR="009617F4">
        <w:rPr>
          <w:color w:val="000000" w:themeColor="text1"/>
        </w:rPr>
        <w:t xml:space="preserve">nephrologist visit ($81.05 as per MBS item 116). </w:t>
      </w:r>
      <w:r w:rsidR="00152358">
        <w:rPr>
          <w:color w:val="000000" w:themeColor="text1"/>
        </w:rPr>
        <w:t xml:space="preserve">The </w:t>
      </w:r>
      <w:r w:rsidR="00AA586B">
        <w:rPr>
          <w:color w:val="000000" w:themeColor="text1"/>
        </w:rPr>
        <w:t xml:space="preserve">commentary noted that </w:t>
      </w:r>
      <w:r w:rsidR="00EB2FC1">
        <w:rPr>
          <w:color w:val="000000" w:themeColor="text1"/>
        </w:rPr>
        <w:t>a</w:t>
      </w:r>
      <w:r w:rsidR="00152358">
        <w:rPr>
          <w:color w:val="000000" w:themeColor="text1"/>
        </w:rPr>
        <w:t xml:space="preserve"> further exploration of the difference between the KHA estimates and the micro-costing </w:t>
      </w:r>
      <w:r w:rsidR="00C0069A">
        <w:rPr>
          <w:color w:val="000000" w:themeColor="text1"/>
        </w:rPr>
        <w:t>approach with clinical experts</w:t>
      </w:r>
      <w:r w:rsidR="00FB33F1">
        <w:rPr>
          <w:color w:val="000000" w:themeColor="text1"/>
        </w:rPr>
        <w:t xml:space="preserve"> to better understand any additional costs incurred during post-transplant follow-up</w:t>
      </w:r>
      <w:r w:rsidR="00AA586B">
        <w:rPr>
          <w:color w:val="000000" w:themeColor="text1"/>
        </w:rPr>
        <w:t xml:space="preserve"> would have been </w:t>
      </w:r>
      <w:r w:rsidR="00660895">
        <w:rPr>
          <w:color w:val="000000" w:themeColor="text1"/>
        </w:rPr>
        <w:t>appropriate</w:t>
      </w:r>
      <w:r w:rsidR="00C44DFB">
        <w:rPr>
          <w:color w:val="000000" w:themeColor="text1"/>
        </w:rPr>
        <w:t xml:space="preserve">. </w:t>
      </w:r>
      <w:r w:rsidR="004718A5">
        <w:rPr>
          <w:color w:val="000000" w:themeColor="text1"/>
        </w:rPr>
        <w:t xml:space="preserve">The </w:t>
      </w:r>
      <w:r w:rsidR="00660895">
        <w:rPr>
          <w:color w:val="000000" w:themeColor="text1"/>
        </w:rPr>
        <w:t xml:space="preserve">commentary </w:t>
      </w:r>
      <w:r w:rsidR="004718A5">
        <w:rPr>
          <w:color w:val="000000" w:themeColor="text1"/>
        </w:rPr>
        <w:t>conclude</w:t>
      </w:r>
      <w:r w:rsidR="00685FE4">
        <w:rPr>
          <w:color w:val="000000" w:themeColor="text1"/>
        </w:rPr>
        <w:t>d</w:t>
      </w:r>
      <w:r w:rsidR="004718A5">
        <w:rPr>
          <w:color w:val="000000" w:themeColor="text1"/>
        </w:rPr>
        <w:t xml:space="preserve"> that it is likely the true cost of </w:t>
      </w:r>
      <w:r w:rsidR="00A579BA">
        <w:rPr>
          <w:color w:val="000000" w:themeColor="text1"/>
        </w:rPr>
        <w:t>transplant maintenance fall</w:t>
      </w:r>
      <w:r w:rsidR="00685FE4">
        <w:rPr>
          <w:color w:val="000000" w:themeColor="text1"/>
        </w:rPr>
        <w:t>s</w:t>
      </w:r>
      <w:r w:rsidR="00A579BA">
        <w:rPr>
          <w:color w:val="000000" w:themeColor="text1"/>
        </w:rPr>
        <w:t xml:space="preserve"> between the </w:t>
      </w:r>
      <w:r w:rsidR="00676525">
        <w:rPr>
          <w:color w:val="000000" w:themeColor="text1"/>
        </w:rPr>
        <w:t>ADAR</w:t>
      </w:r>
      <w:r w:rsidR="00B13BD6">
        <w:rPr>
          <w:color w:val="000000" w:themeColor="text1"/>
        </w:rPr>
        <w:t>’s</w:t>
      </w:r>
      <w:r w:rsidR="00A579BA">
        <w:rPr>
          <w:color w:val="000000" w:themeColor="text1"/>
        </w:rPr>
        <w:t xml:space="preserve"> micro-costing approach and the KHA estimates. </w:t>
      </w:r>
    </w:p>
    <w:p w14:paraId="64452C06" w14:textId="1B695778" w:rsidR="0097128B" w:rsidRDefault="00E65867" w:rsidP="004E2983">
      <w:pPr>
        <w:rPr>
          <w:color w:val="000000" w:themeColor="text1"/>
        </w:rPr>
      </w:pPr>
      <w:r>
        <w:rPr>
          <w:color w:val="000000" w:themeColor="text1"/>
        </w:rPr>
        <w:t xml:space="preserve">For the cost of dialysis, </w:t>
      </w:r>
      <w:r w:rsidR="00256AB8">
        <w:rPr>
          <w:color w:val="000000" w:themeColor="text1"/>
        </w:rPr>
        <w:t xml:space="preserve">the </w:t>
      </w:r>
      <w:r w:rsidR="00D13E03">
        <w:rPr>
          <w:color w:val="000000" w:themeColor="text1"/>
        </w:rPr>
        <w:t xml:space="preserve">commentary </w:t>
      </w:r>
      <w:r w:rsidR="00256AB8">
        <w:rPr>
          <w:color w:val="000000" w:themeColor="text1"/>
        </w:rPr>
        <w:t>agree</w:t>
      </w:r>
      <w:r w:rsidR="00685FE4">
        <w:rPr>
          <w:color w:val="000000" w:themeColor="text1"/>
        </w:rPr>
        <w:t>d</w:t>
      </w:r>
      <w:r w:rsidR="00256AB8">
        <w:rPr>
          <w:color w:val="000000" w:themeColor="text1"/>
        </w:rPr>
        <w:t xml:space="preserve"> with the use of the </w:t>
      </w:r>
      <w:r w:rsidR="00676525">
        <w:rPr>
          <w:color w:val="000000" w:themeColor="text1"/>
        </w:rPr>
        <w:t>ADAR</w:t>
      </w:r>
      <w:r w:rsidR="00B30328">
        <w:rPr>
          <w:color w:val="000000" w:themeColor="text1"/>
        </w:rPr>
        <w:t>’s</w:t>
      </w:r>
      <w:r w:rsidR="00256AB8">
        <w:rPr>
          <w:color w:val="000000" w:themeColor="text1"/>
        </w:rPr>
        <w:t xml:space="preserve"> micro-costing approach</w:t>
      </w:r>
      <w:r w:rsidR="00BC6D34">
        <w:rPr>
          <w:color w:val="000000" w:themeColor="text1"/>
        </w:rPr>
        <w:t>. H</w:t>
      </w:r>
      <w:r w:rsidR="00256AB8">
        <w:rPr>
          <w:color w:val="000000" w:themeColor="text1"/>
        </w:rPr>
        <w:t>owever</w:t>
      </w:r>
      <w:r w:rsidR="00BB4763">
        <w:rPr>
          <w:color w:val="000000" w:themeColor="text1"/>
        </w:rPr>
        <w:t>,</w:t>
      </w:r>
      <w:r w:rsidR="00256AB8">
        <w:rPr>
          <w:color w:val="000000" w:themeColor="text1"/>
        </w:rPr>
        <w:t xml:space="preserve"> </w:t>
      </w:r>
      <w:r w:rsidR="00BC6D34">
        <w:rPr>
          <w:color w:val="000000" w:themeColor="text1"/>
        </w:rPr>
        <w:t xml:space="preserve">the </w:t>
      </w:r>
      <w:r w:rsidR="00D13E03">
        <w:rPr>
          <w:color w:val="000000" w:themeColor="text1"/>
        </w:rPr>
        <w:t xml:space="preserve">commentary </w:t>
      </w:r>
      <w:r w:rsidR="00BC6D34">
        <w:rPr>
          <w:color w:val="000000" w:themeColor="text1"/>
        </w:rPr>
        <w:t xml:space="preserve"> </w:t>
      </w:r>
      <w:r w:rsidR="00256AB8">
        <w:rPr>
          <w:color w:val="000000" w:themeColor="text1"/>
        </w:rPr>
        <w:t>note</w:t>
      </w:r>
      <w:r w:rsidR="00BC6D34">
        <w:rPr>
          <w:color w:val="000000" w:themeColor="text1"/>
        </w:rPr>
        <w:t>d</w:t>
      </w:r>
      <w:r w:rsidR="00256AB8">
        <w:rPr>
          <w:color w:val="000000" w:themeColor="text1"/>
        </w:rPr>
        <w:t xml:space="preserve"> the considerable impact </w:t>
      </w:r>
      <w:r w:rsidR="00996302">
        <w:rPr>
          <w:color w:val="000000" w:themeColor="text1"/>
        </w:rPr>
        <w:t xml:space="preserve">that variation in the </w:t>
      </w:r>
      <w:r w:rsidR="00107AA2">
        <w:rPr>
          <w:color w:val="000000" w:themeColor="text1"/>
        </w:rPr>
        <w:t xml:space="preserve">cost of dialysis has on the </w:t>
      </w:r>
      <w:r w:rsidR="00D508A7">
        <w:rPr>
          <w:color w:val="000000" w:themeColor="text1"/>
        </w:rPr>
        <w:t>ICER</w:t>
      </w:r>
      <w:r w:rsidR="0073467C">
        <w:rPr>
          <w:color w:val="000000" w:themeColor="text1"/>
        </w:rPr>
        <w:t xml:space="preserve">, and </w:t>
      </w:r>
      <w:r w:rsidR="00AF7F2A">
        <w:rPr>
          <w:color w:val="000000" w:themeColor="text1"/>
        </w:rPr>
        <w:t>took</w:t>
      </w:r>
      <w:r w:rsidR="00C31005">
        <w:rPr>
          <w:color w:val="000000" w:themeColor="text1"/>
        </w:rPr>
        <w:t xml:space="preserve"> the </w:t>
      </w:r>
      <w:r w:rsidR="0073467C">
        <w:rPr>
          <w:color w:val="000000" w:themeColor="text1"/>
        </w:rPr>
        <w:t xml:space="preserve">broader perspective that </w:t>
      </w:r>
      <w:r w:rsidR="005C2530">
        <w:rPr>
          <w:color w:val="000000" w:themeColor="text1"/>
        </w:rPr>
        <w:t xml:space="preserve">cost offsets </w:t>
      </w:r>
      <w:r w:rsidR="00887D23">
        <w:rPr>
          <w:color w:val="000000" w:themeColor="text1"/>
        </w:rPr>
        <w:t xml:space="preserve">estimated </w:t>
      </w:r>
      <w:r w:rsidR="005C2530">
        <w:rPr>
          <w:color w:val="000000" w:themeColor="text1"/>
        </w:rPr>
        <w:t xml:space="preserve">by the </w:t>
      </w:r>
      <w:r w:rsidR="00676525">
        <w:rPr>
          <w:color w:val="000000" w:themeColor="text1"/>
        </w:rPr>
        <w:t>ADAR</w:t>
      </w:r>
      <w:r w:rsidR="005C2530">
        <w:rPr>
          <w:color w:val="000000" w:themeColor="text1"/>
        </w:rPr>
        <w:t xml:space="preserve"> are unlikely to be realised</w:t>
      </w:r>
      <w:r w:rsidR="00671C2A">
        <w:rPr>
          <w:color w:val="000000" w:themeColor="text1"/>
        </w:rPr>
        <w:t xml:space="preserve"> in the context of scarce kidney supply</w:t>
      </w:r>
      <w:r w:rsidR="00D508A7">
        <w:rPr>
          <w:color w:val="000000" w:themeColor="text1"/>
        </w:rPr>
        <w:t xml:space="preserve">. </w:t>
      </w:r>
    </w:p>
    <w:p w14:paraId="43B5FE28" w14:textId="4390FC0E" w:rsidR="003D442F" w:rsidRPr="00214A6D" w:rsidRDefault="003D442F" w:rsidP="004E2983">
      <w:pPr>
        <w:rPr>
          <w:color w:val="000000" w:themeColor="text1"/>
        </w:rPr>
      </w:pPr>
      <w:r>
        <w:rPr>
          <w:color w:val="000000" w:themeColor="text1"/>
        </w:rPr>
        <w:t xml:space="preserve">The </w:t>
      </w:r>
      <w:r w:rsidR="00D13E03">
        <w:rPr>
          <w:color w:val="000000" w:themeColor="text1"/>
        </w:rPr>
        <w:t xml:space="preserve">commentary </w:t>
      </w:r>
      <w:r w:rsidR="000A10CB">
        <w:rPr>
          <w:color w:val="000000" w:themeColor="text1"/>
        </w:rPr>
        <w:t xml:space="preserve">generally </w:t>
      </w:r>
      <w:r w:rsidR="004E6B9D">
        <w:rPr>
          <w:color w:val="000000" w:themeColor="text1"/>
        </w:rPr>
        <w:t>consider</w:t>
      </w:r>
      <w:r w:rsidR="004F1FE0">
        <w:rPr>
          <w:color w:val="000000" w:themeColor="text1"/>
        </w:rPr>
        <w:t>ed that</w:t>
      </w:r>
      <w:r w:rsidR="004E6B9D">
        <w:rPr>
          <w:color w:val="000000" w:themeColor="text1"/>
        </w:rPr>
        <w:t xml:space="preserve"> t</w:t>
      </w:r>
      <w:r w:rsidR="00677833">
        <w:rPr>
          <w:color w:val="000000" w:themeColor="text1"/>
        </w:rPr>
        <w:t xml:space="preserve">he costs and resource use associated with </w:t>
      </w:r>
      <w:r w:rsidR="004F1FE0">
        <w:rPr>
          <w:color w:val="000000" w:themeColor="text1"/>
        </w:rPr>
        <w:t>AEs</w:t>
      </w:r>
      <w:r w:rsidR="004E6B9D" w:rsidRPr="00721D92">
        <w:rPr>
          <w:color w:val="000000" w:themeColor="text1"/>
        </w:rPr>
        <w:t xml:space="preserve"> in the analysis are appropriate and reasonable.</w:t>
      </w:r>
      <w:r w:rsidR="00CC1D83">
        <w:rPr>
          <w:color w:val="000000" w:themeColor="text1"/>
        </w:rPr>
        <w:t xml:space="preserve"> The </w:t>
      </w:r>
      <w:r w:rsidR="00D13E03">
        <w:rPr>
          <w:color w:val="000000" w:themeColor="text1"/>
        </w:rPr>
        <w:t xml:space="preserve">commentary </w:t>
      </w:r>
      <w:r w:rsidR="004809FD">
        <w:rPr>
          <w:color w:val="000000" w:themeColor="text1"/>
        </w:rPr>
        <w:t xml:space="preserve">queried the ADAR’s </w:t>
      </w:r>
      <w:r w:rsidR="00AC3B97">
        <w:rPr>
          <w:color w:val="000000" w:themeColor="text1"/>
        </w:rPr>
        <w:t xml:space="preserve">estimation of </w:t>
      </w:r>
      <w:r w:rsidR="004A5067">
        <w:rPr>
          <w:color w:val="000000" w:themeColor="text1"/>
        </w:rPr>
        <w:t>AE</w:t>
      </w:r>
      <w:r w:rsidR="00AC3B97">
        <w:rPr>
          <w:color w:val="000000" w:themeColor="text1"/>
        </w:rPr>
        <w:t xml:space="preserve"> costs but </w:t>
      </w:r>
      <w:r w:rsidR="004A5067">
        <w:rPr>
          <w:color w:val="000000" w:themeColor="text1"/>
        </w:rPr>
        <w:t xml:space="preserve">also </w:t>
      </w:r>
      <w:r w:rsidR="00AC3B97">
        <w:rPr>
          <w:color w:val="000000" w:themeColor="text1"/>
        </w:rPr>
        <w:t>note</w:t>
      </w:r>
      <w:r w:rsidR="004A5067">
        <w:rPr>
          <w:color w:val="000000" w:themeColor="text1"/>
        </w:rPr>
        <w:t>d</w:t>
      </w:r>
      <w:r w:rsidR="00AC3B97">
        <w:rPr>
          <w:color w:val="000000" w:themeColor="text1"/>
        </w:rPr>
        <w:t xml:space="preserve"> that this has a </w:t>
      </w:r>
      <w:r w:rsidR="00063E6F">
        <w:rPr>
          <w:color w:val="000000" w:themeColor="text1"/>
        </w:rPr>
        <w:t xml:space="preserve">non-material impact on the ICER. </w:t>
      </w:r>
    </w:p>
    <w:p w14:paraId="18578BD7" w14:textId="4E3163B0" w:rsidR="00B71670" w:rsidRPr="00FF2059" w:rsidRDefault="00AC5D8C" w:rsidP="00FF2059">
      <w:pPr>
        <w:pStyle w:val="Heading3nonumbers"/>
      </w:pPr>
      <w:r w:rsidRPr="00FF2059">
        <w:t>Incremental costs and effectiveness</w:t>
      </w:r>
      <w:r w:rsidR="00B71670" w:rsidRPr="00FF2059">
        <w:t xml:space="preserve"> </w:t>
      </w:r>
    </w:p>
    <w:p w14:paraId="63898BA3" w14:textId="57FF1183" w:rsidR="0060622A" w:rsidRDefault="00D73A64" w:rsidP="00543A4D">
      <w:pPr>
        <w:rPr>
          <w:color w:val="000000" w:themeColor="text1"/>
        </w:rPr>
      </w:pPr>
      <w:r>
        <w:rPr>
          <w:color w:val="000000" w:themeColor="text1"/>
        </w:rPr>
        <w:t xml:space="preserve">The lifetime ICER </w:t>
      </w:r>
      <w:r w:rsidR="00BE3586">
        <w:rPr>
          <w:color w:val="000000" w:themeColor="text1"/>
        </w:rPr>
        <w:t>for treatment with imlifidase</w:t>
      </w:r>
      <w:r w:rsidR="00BD171B">
        <w:rPr>
          <w:color w:val="000000" w:themeColor="text1"/>
        </w:rPr>
        <w:t>,</w:t>
      </w:r>
      <w:r w:rsidR="00BE3586">
        <w:rPr>
          <w:color w:val="000000" w:themeColor="text1"/>
        </w:rPr>
        <w:t xml:space="preserve"> </w:t>
      </w:r>
      <w:r>
        <w:rPr>
          <w:color w:val="000000" w:themeColor="text1"/>
        </w:rPr>
        <w:t xml:space="preserve">estimated by the </w:t>
      </w:r>
      <w:r w:rsidR="00676525">
        <w:rPr>
          <w:color w:val="000000" w:themeColor="text1"/>
        </w:rPr>
        <w:t>ADAR</w:t>
      </w:r>
      <w:r>
        <w:rPr>
          <w:color w:val="000000" w:themeColor="text1"/>
        </w:rPr>
        <w:t xml:space="preserve"> and presented in the </w:t>
      </w:r>
      <w:r w:rsidR="00BD171B">
        <w:rPr>
          <w:color w:val="000000" w:themeColor="text1"/>
        </w:rPr>
        <w:t>s</w:t>
      </w:r>
      <w:r>
        <w:rPr>
          <w:color w:val="000000" w:themeColor="text1"/>
        </w:rPr>
        <w:t>ubmission</w:t>
      </w:r>
      <w:r w:rsidR="00BD171B">
        <w:rPr>
          <w:color w:val="000000" w:themeColor="text1"/>
        </w:rPr>
        <w:t>,</w:t>
      </w:r>
      <w:r>
        <w:rPr>
          <w:color w:val="000000" w:themeColor="text1"/>
        </w:rPr>
        <w:t xml:space="preserve"> was</w:t>
      </w:r>
      <w:r w:rsidR="00DD26DB">
        <w:rPr>
          <w:color w:val="000000" w:themeColor="text1"/>
        </w:rPr>
        <w:t xml:space="preserve"> </w:t>
      </w:r>
      <w:r w:rsidR="00ED7D52" w:rsidRPr="00ED7D52">
        <w:rPr>
          <w:color w:val="000000" w:themeColor="text1"/>
          <w:spacing w:val="1"/>
          <w:w w:val="60"/>
          <w:shd w:val="solid" w:color="000000" w:fill="000000"/>
          <w:fitText w:val="804" w:id="-1175823102"/>
          <w14:textFill>
            <w14:solidFill>
              <w14:schemeClr w14:val="tx1">
                <w14:alpha w14:val="100000"/>
              </w14:schemeClr>
            </w14:solidFill>
          </w14:textFill>
        </w:rPr>
        <w:t>|||||||||||</w:t>
      </w:r>
      <w:r w:rsidR="00ED7D52" w:rsidRPr="00ED7D52">
        <w:rPr>
          <w:color w:val="000000" w:themeColor="text1"/>
          <w:spacing w:val="2"/>
          <w:w w:val="60"/>
          <w:shd w:val="solid" w:color="000000" w:fill="000000"/>
          <w:fitText w:val="804" w:id="-1175823102"/>
          <w14:textFill>
            <w14:solidFill>
              <w14:schemeClr w14:val="tx1">
                <w14:alpha w14:val="100000"/>
              </w14:schemeClr>
            </w14:solidFill>
          </w14:textFill>
        </w:rPr>
        <w:t>|</w:t>
      </w:r>
      <w:r w:rsidR="00DD26DB">
        <w:rPr>
          <w:color w:val="000000" w:themeColor="text1"/>
        </w:rPr>
        <w:t>QALY</w:t>
      </w:r>
      <w:r w:rsidR="00FF39D9">
        <w:rPr>
          <w:color w:val="000000" w:themeColor="text1"/>
        </w:rPr>
        <w:t xml:space="preserve"> (</w:t>
      </w:r>
      <w:r w:rsidR="0018239F">
        <w:rPr>
          <w:color w:val="000000" w:themeColor="text1"/>
        </w:rPr>
        <w:fldChar w:fldCharType="begin"/>
      </w:r>
      <w:r w:rsidR="0018239F">
        <w:rPr>
          <w:color w:val="000000" w:themeColor="text1"/>
        </w:rPr>
        <w:instrText xml:space="preserve"> REF _Ref130996132 \h </w:instrText>
      </w:r>
      <w:r w:rsidR="0018239F">
        <w:rPr>
          <w:color w:val="000000" w:themeColor="text1"/>
        </w:rPr>
      </w:r>
      <w:r w:rsidR="0018239F">
        <w:rPr>
          <w:color w:val="000000" w:themeColor="text1"/>
        </w:rPr>
        <w:fldChar w:fldCharType="separate"/>
      </w:r>
      <w:r w:rsidR="00E209CB">
        <w:t xml:space="preserve">Table </w:t>
      </w:r>
      <w:r w:rsidR="00E209CB">
        <w:rPr>
          <w:noProof/>
        </w:rPr>
        <w:t>6</w:t>
      </w:r>
      <w:r w:rsidR="0018239F">
        <w:rPr>
          <w:color w:val="000000" w:themeColor="text1"/>
        </w:rPr>
        <w:fldChar w:fldCharType="end"/>
      </w:r>
      <w:r w:rsidR="00FF39D9">
        <w:rPr>
          <w:color w:val="000000" w:themeColor="text1"/>
        </w:rPr>
        <w:t>)</w:t>
      </w:r>
      <w:r w:rsidR="00EA0CBA">
        <w:rPr>
          <w:color w:val="000000" w:themeColor="text1"/>
        </w:rPr>
        <w:t xml:space="preserve">. </w:t>
      </w:r>
      <w:r w:rsidR="0060622A">
        <w:rPr>
          <w:color w:val="000000" w:themeColor="text1"/>
        </w:rPr>
        <w:br w:type="page"/>
      </w:r>
    </w:p>
    <w:p w14:paraId="7F2D9DAD" w14:textId="303B02B8" w:rsidR="00C262DD" w:rsidRDefault="00C262DD" w:rsidP="00C262DD">
      <w:pPr>
        <w:pStyle w:val="Caption"/>
        <w:rPr>
          <w:rFonts w:ascii="Helvetica" w:hAnsi="Helvetica"/>
        </w:rPr>
      </w:pPr>
      <w:bookmarkStart w:id="27" w:name="_Ref130996132"/>
      <w:r>
        <w:t xml:space="preserve">Table </w:t>
      </w:r>
      <w:r>
        <w:fldChar w:fldCharType="begin"/>
      </w:r>
      <w:r>
        <w:instrText>SEQ Table \* ARABIC</w:instrText>
      </w:r>
      <w:r>
        <w:fldChar w:fldCharType="separate"/>
      </w:r>
      <w:r w:rsidR="00E209CB">
        <w:rPr>
          <w:noProof/>
        </w:rPr>
        <w:t>6</w:t>
      </w:r>
      <w:r>
        <w:fldChar w:fldCharType="end"/>
      </w:r>
      <w:bookmarkEnd w:id="27"/>
      <w:r>
        <w:t>: Results of the economic analysis</w:t>
      </w:r>
    </w:p>
    <w:tbl>
      <w:tblPr>
        <w:tblStyle w:val="TableGridLight"/>
        <w:tblpPr w:leftFromText="180" w:rightFromText="180" w:vertAnchor="text" w:horzAnchor="margin" w:tblpY="102"/>
        <w:tblW w:w="5000" w:type="pct"/>
        <w:tblLook w:val="04A0" w:firstRow="1" w:lastRow="0" w:firstColumn="1" w:lastColumn="0" w:noHBand="0" w:noVBand="1"/>
      </w:tblPr>
      <w:tblGrid>
        <w:gridCol w:w="2254"/>
        <w:gridCol w:w="2254"/>
        <w:gridCol w:w="2254"/>
        <w:gridCol w:w="2254"/>
      </w:tblGrid>
      <w:tr w:rsidR="00E31910" w:rsidRPr="0018239F" w14:paraId="1BF531DF" w14:textId="77777777" w:rsidTr="00936D20">
        <w:trPr>
          <w:trHeight w:val="300"/>
          <w:tblHeader/>
        </w:trPr>
        <w:tc>
          <w:tcPr>
            <w:tcW w:w="1250" w:type="pct"/>
            <w:vAlign w:val="center"/>
            <w:hideMark/>
          </w:tcPr>
          <w:p w14:paraId="670965D9" w14:textId="1565DEE4" w:rsidR="00E31910" w:rsidRPr="00147F86" w:rsidRDefault="00E31910" w:rsidP="00147F86">
            <w:pPr>
              <w:pStyle w:val="Tabletext0"/>
              <w:rPr>
                <w:b/>
                <w:bCs/>
              </w:rPr>
            </w:pPr>
            <w:r w:rsidRPr="00147F86">
              <w:rPr>
                <w:b/>
                <w:bCs/>
              </w:rPr>
              <w:t>Outcome</w:t>
            </w:r>
          </w:p>
        </w:tc>
        <w:tc>
          <w:tcPr>
            <w:tcW w:w="1250" w:type="pct"/>
            <w:vAlign w:val="center"/>
            <w:hideMark/>
          </w:tcPr>
          <w:p w14:paraId="6E9529AB" w14:textId="278607F3" w:rsidR="00E31910" w:rsidRPr="00147F86" w:rsidRDefault="00E31910" w:rsidP="00147F86">
            <w:pPr>
              <w:pStyle w:val="Tabletext0"/>
              <w:rPr>
                <w:b/>
                <w:bCs/>
              </w:rPr>
            </w:pPr>
            <w:r w:rsidRPr="00147F86">
              <w:rPr>
                <w:b/>
                <w:bCs/>
              </w:rPr>
              <w:t>Current care</w:t>
            </w:r>
          </w:p>
        </w:tc>
        <w:tc>
          <w:tcPr>
            <w:tcW w:w="1250" w:type="pct"/>
            <w:tcBorders>
              <w:bottom w:val="single" w:sz="4" w:space="0" w:color="BFBFBF" w:themeColor="background1" w:themeShade="BF"/>
            </w:tcBorders>
            <w:vAlign w:val="center"/>
            <w:hideMark/>
          </w:tcPr>
          <w:p w14:paraId="6B6C7E47" w14:textId="60A1632A" w:rsidR="00E31910" w:rsidRPr="00147F86" w:rsidRDefault="00E31910" w:rsidP="00147F86">
            <w:pPr>
              <w:pStyle w:val="Tabletext0"/>
              <w:rPr>
                <w:b/>
                <w:bCs/>
              </w:rPr>
            </w:pPr>
            <w:r w:rsidRPr="00147F86">
              <w:rPr>
                <w:b/>
                <w:bCs/>
              </w:rPr>
              <w:t>Imlifidase</w:t>
            </w:r>
          </w:p>
        </w:tc>
        <w:tc>
          <w:tcPr>
            <w:tcW w:w="1250" w:type="pct"/>
            <w:tcBorders>
              <w:bottom w:val="single" w:sz="4" w:space="0" w:color="BFBFBF" w:themeColor="background1" w:themeShade="BF"/>
            </w:tcBorders>
            <w:vAlign w:val="center"/>
            <w:hideMark/>
          </w:tcPr>
          <w:p w14:paraId="3C355F0E" w14:textId="792B521C" w:rsidR="00E31910" w:rsidRPr="00147F86" w:rsidRDefault="00E31910" w:rsidP="00147F86">
            <w:pPr>
              <w:pStyle w:val="Tabletext0"/>
              <w:rPr>
                <w:b/>
                <w:bCs/>
              </w:rPr>
            </w:pPr>
            <w:r w:rsidRPr="00147F86">
              <w:rPr>
                <w:b/>
                <w:bCs/>
              </w:rPr>
              <w:t>Incremental</w:t>
            </w:r>
          </w:p>
        </w:tc>
      </w:tr>
      <w:tr w:rsidR="00076CD8" w:rsidRPr="0018239F" w14:paraId="61AA6547" w14:textId="77777777" w:rsidTr="00936D20">
        <w:trPr>
          <w:trHeight w:val="300"/>
        </w:trPr>
        <w:tc>
          <w:tcPr>
            <w:tcW w:w="1250" w:type="pct"/>
            <w:vAlign w:val="center"/>
          </w:tcPr>
          <w:p w14:paraId="4F353E81" w14:textId="6C4E551A" w:rsidR="00076CD8" w:rsidRPr="0018239F" w:rsidRDefault="00076CD8" w:rsidP="00147F86">
            <w:pPr>
              <w:pStyle w:val="Tabletext0"/>
            </w:pPr>
            <w:r w:rsidRPr="0018239F">
              <w:t>Costs</w:t>
            </w:r>
          </w:p>
        </w:tc>
        <w:tc>
          <w:tcPr>
            <w:tcW w:w="1250" w:type="pct"/>
          </w:tcPr>
          <w:p w14:paraId="48ABB1B4" w14:textId="7A45157B" w:rsidR="00076CD8" w:rsidRPr="0018239F" w:rsidRDefault="0018239F" w:rsidP="00147F86">
            <w:pPr>
              <w:pStyle w:val="Tabletext0"/>
            </w:pPr>
            <w:r w:rsidRPr="0018239F">
              <w:t>$</w:t>
            </w:r>
            <w:r w:rsidR="00076CD8" w:rsidRPr="0018239F">
              <w:t>724,730</w:t>
            </w:r>
          </w:p>
        </w:tc>
        <w:tc>
          <w:tcPr>
            <w:tcW w:w="1250" w:type="pct"/>
            <w:shd w:val="solid" w:color="000000" w:fill="000000"/>
            <w:vAlign w:val="center"/>
          </w:tcPr>
          <w:p w14:paraId="7DCD343B" w14:textId="2E870AC2" w:rsidR="00076CD8" w:rsidRPr="0018239F" w:rsidRDefault="00D07344" w:rsidP="00147F86">
            <w:pPr>
              <w:pStyle w:val="Tabletext0"/>
            </w:pPr>
            <w:r w:rsidRPr="00D07344">
              <w:rPr>
                <w:color w:val="000000"/>
                <w:spacing w:val="15"/>
                <w:fitText w:val="568" w:id="-1175822848"/>
                <w14:textFill>
                  <w14:solidFill>
                    <w14:srgbClr w14:val="000000">
                      <w14:alpha w14:val="100000"/>
                    </w14:srgbClr>
                  </w14:solidFill>
                </w14:textFill>
              </w:rPr>
              <w:t>||||  |||</w:t>
            </w:r>
            <w:r w:rsidRPr="00D07344">
              <w:rPr>
                <w:color w:val="000000"/>
                <w:spacing w:val="2"/>
                <w:fitText w:val="568" w:id="-1175822848"/>
                <w14:textFill>
                  <w14:solidFill>
                    <w14:srgbClr w14:val="000000">
                      <w14:alpha w14:val="100000"/>
                    </w14:srgbClr>
                  </w14:solidFill>
                </w14:textFill>
              </w:rPr>
              <w:t>|</w:t>
            </w:r>
          </w:p>
        </w:tc>
        <w:tc>
          <w:tcPr>
            <w:tcW w:w="1250" w:type="pct"/>
            <w:shd w:val="solid" w:color="000000" w:fill="000000"/>
            <w:vAlign w:val="center"/>
          </w:tcPr>
          <w:p w14:paraId="4459C693" w14:textId="1B2BEFD5" w:rsidR="00076CD8" w:rsidRPr="0018239F" w:rsidRDefault="00936D20" w:rsidP="00147F86">
            <w:pPr>
              <w:pStyle w:val="Tabletext0"/>
            </w:pPr>
            <w:r w:rsidRPr="00936D20">
              <w:rPr>
                <w:color w:val="000000"/>
                <w:spacing w:val="17"/>
                <w:fitText w:val="472" w:id="-1175822847"/>
                <w14:textFill>
                  <w14:solidFill>
                    <w14:srgbClr w14:val="000000">
                      <w14:alpha w14:val="100000"/>
                    </w14:srgbClr>
                  </w14:solidFill>
                </w14:textFill>
              </w:rPr>
              <w:t>|||  ||</w:t>
            </w:r>
            <w:r w:rsidRPr="00936D20">
              <w:rPr>
                <w:color w:val="000000"/>
                <w:spacing w:val="7"/>
                <w:fitText w:val="472" w:id="-1175822847"/>
                <w14:textFill>
                  <w14:solidFill>
                    <w14:srgbClr w14:val="000000">
                      <w14:alpha w14:val="100000"/>
                    </w14:srgbClr>
                  </w14:solidFill>
                </w14:textFill>
              </w:rPr>
              <w:t>|</w:t>
            </w:r>
          </w:p>
        </w:tc>
      </w:tr>
      <w:tr w:rsidR="00076CD8" w:rsidRPr="0018239F" w14:paraId="3CF13184" w14:textId="77777777">
        <w:trPr>
          <w:trHeight w:val="300"/>
        </w:trPr>
        <w:tc>
          <w:tcPr>
            <w:tcW w:w="1250" w:type="pct"/>
            <w:noWrap/>
            <w:vAlign w:val="center"/>
          </w:tcPr>
          <w:p w14:paraId="1AF5A4A0" w14:textId="2461ED97" w:rsidR="00076CD8" w:rsidRPr="0018239F" w:rsidRDefault="0018239F" w:rsidP="00147F86">
            <w:pPr>
              <w:pStyle w:val="Tabletext0"/>
            </w:pPr>
            <w:r>
              <w:t xml:space="preserve">LYs </w:t>
            </w:r>
            <w:r w:rsidR="00076CD8" w:rsidRPr="0018239F">
              <w:t>gained</w:t>
            </w:r>
          </w:p>
        </w:tc>
        <w:tc>
          <w:tcPr>
            <w:tcW w:w="1250" w:type="pct"/>
            <w:noWrap/>
          </w:tcPr>
          <w:p w14:paraId="5CB93DB4" w14:textId="4871746F" w:rsidR="00076CD8" w:rsidRPr="0018239F" w:rsidRDefault="00EE031D" w:rsidP="00147F86">
            <w:pPr>
              <w:pStyle w:val="Tabletext0"/>
            </w:pPr>
            <w:r w:rsidRPr="0018239F">
              <w:t>7.65</w:t>
            </w:r>
          </w:p>
        </w:tc>
        <w:tc>
          <w:tcPr>
            <w:tcW w:w="1250" w:type="pct"/>
            <w:noWrap/>
            <w:vAlign w:val="center"/>
          </w:tcPr>
          <w:p w14:paraId="49810958" w14:textId="3E751DF9" w:rsidR="00076CD8" w:rsidRPr="0018239F" w:rsidRDefault="00EE031D" w:rsidP="00147F86">
            <w:pPr>
              <w:pStyle w:val="Tabletext0"/>
            </w:pPr>
            <w:r w:rsidRPr="0018239F">
              <w:t>11.92</w:t>
            </w:r>
          </w:p>
        </w:tc>
        <w:tc>
          <w:tcPr>
            <w:tcW w:w="1250" w:type="pct"/>
            <w:noWrap/>
            <w:vAlign w:val="center"/>
          </w:tcPr>
          <w:p w14:paraId="76503E78" w14:textId="0AD0F7CA" w:rsidR="00076CD8" w:rsidRPr="0018239F" w:rsidRDefault="00F875A2" w:rsidP="00147F86">
            <w:pPr>
              <w:pStyle w:val="Tabletext0"/>
            </w:pPr>
            <w:r w:rsidRPr="0018239F">
              <w:t>4.27</w:t>
            </w:r>
          </w:p>
        </w:tc>
      </w:tr>
      <w:tr w:rsidR="00076CD8" w:rsidRPr="0018239F" w14:paraId="09F929F3" w14:textId="77777777" w:rsidTr="000E0B59">
        <w:trPr>
          <w:trHeight w:val="300"/>
        </w:trPr>
        <w:tc>
          <w:tcPr>
            <w:tcW w:w="1250" w:type="pct"/>
            <w:noWrap/>
            <w:vAlign w:val="center"/>
          </w:tcPr>
          <w:p w14:paraId="012502E3" w14:textId="2A085BBE" w:rsidR="00076CD8" w:rsidRPr="0018239F" w:rsidRDefault="00076CD8" w:rsidP="00147F86">
            <w:pPr>
              <w:pStyle w:val="Tabletext0"/>
              <w:rPr>
                <w:bCs/>
              </w:rPr>
            </w:pPr>
            <w:r w:rsidRPr="0018239F">
              <w:rPr>
                <w:bCs/>
              </w:rPr>
              <w:t>QALYs gained</w:t>
            </w:r>
          </w:p>
        </w:tc>
        <w:tc>
          <w:tcPr>
            <w:tcW w:w="1250" w:type="pct"/>
            <w:noWrap/>
            <w:vAlign w:val="center"/>
          </w:tcPr>
          <w:p w14:paraId="03EC6BBA" w14:textId="6D4325D6" w:rsidR="00076CD8" w:rsidRPr="0018239F" w:rsidRDefault="007A5DB5" w:rsidP="00147F86">
            <w:pPr>
              <w:pStyle w:val="Tabletext0"/>
              <w:rPr>
                <w:bCs/>
              </w:rPr>
            </w:pPr>
            <w:r w:rsidRPr="0018239F">
              <w:t>5.18</w:t>
            </w:r>
          </w:p>
        </w:tc>
        <w:tc>
          <w:tcPr>
            <w:tcW w:w="1250" w:type="pct"/>
            <w:noWrap/>
            <w:vAlign w:val="center"/>
          </w:tcPr>
          <w:p w14:paraId="1FED66F6" w14:textId="18A01171" w:rsidR="00076CD8" w:rsidRPr="0018239F" w:rsidRDefault="008470F8" w:rsidP="00147F86">
            <w:pPr>
              <w:pStyle w:val="Tabletext0"/>
              <w:rPr>
                <w:bCs/>
              </w:rPr>
            </w:pPr>
            <w:r w:rsidRPr="0018239F">
              <w:t>9.69</w:t>
            </w:r>
          </w:p>
        </w:tc>
        <w:tc>
          <w:tcPr>
            <w:tcW w:w="1250" w:type="pct"/>
            <w:noWrap/>
            <w:vAlign w:val="center"/>
          </w:tcPr>
          <w:p w14:paraId="7193A6AA" w14:textId="06C7B463" w:rsidR="00076CD8" w:rsidRPr="0018239F" w:rsidRDefault="00623D79" w:rsidP="00147F86">
            <w:pPr>
              <w:pStyle w:val="Tabletext0"/>
              <w:rPr>
                <w:bCs/>
              </w:rPr>
            </w:pPr>
            <w:r w:rsidRPr="0018239F">
              <w:t>4.51</w:t>
            </w:r>
          </w:p>
        </w:tc>
      </w:tr>
      <w:tr w:rsidR="0018239F" w:rsidRPr="0018239F" w14:paraId="05D2FBE9" w14:textId="77777777" w:rsidTr="000E0B59">
        <w:trPr>
          <w:trHeight w:val="300"/>
        </w:trPr>
        <w:tc>
          <w:tcPr>
            <w:tcW w:w="1250" w:type="pct"/>
            <w:vAlign w:val="center"/>
          </w:tcPr>
          <w:p w14:paraId="7D2A45FA" w14:textId="5B5D76E3" w:rsidR="0018239F" w:rsidRPr="0018239F" w:rsidRDefault="0018239F" w:rsidP="00147F86">
            <w:pPr>
              <w:pStyle w:val="Tabletext0"/>
              <w:rPr>
                <w:bCs/>
              </w:rPr>
            </w:pPr>
            <w:r w:rsidRPr="0018239F">
              <w:rPr>
                <w:bCs/>
              </w:rPr>
              <w:t>ICER ($/QALY)</w:t>
            </w:r>
          </w:p>
        </w:tc>
        <w:tc>
          <w:tcPr>
            <w:tcW w:w="3750" w:type="pct"/>
            <w:gridSpan w:val="3"/>
            <w:vAlign w:val="center"/>
          </w:tcPr>
          <w:p w14:paraId="7BCC7757" w14:textId="1093874B" w:rsidR="0018239F" w:rsidRPr="0018239F" w:rsidRDefault="0018239F" w:rsidP="00147F86">
            <w:pPr>
              <w:pStyle w:val="Tabletext0"/>
              <w:rPr>
                <w:bCs/>
              </w:rPr>
            </w:pPr>
            <w:r w:rsidRPr="0018239F">
              <w:t>$</w:t>
            </w:r>
            <w:r w:rsidR="000A6321" w:rsidRPr="000A6321">
              <w:rPr>
                <w:color w:val="000000"/>
                <w:spacing w:val="26"/>
                <w:shd w:val="solid" w:color="000000" w:fill="000000"/>
                <w:fitText w:val="394" w:id="-1168416512"/>
                <w14:textFill>
                  <w14:solidFill>
                    <w14:srgbClr w14:val="000000">
                      <w14:alpha w14:val="100000"/>
                    </w14:srgbClr>
                  </w14:solidFill>
                </w14:textFill>
              </w:rPr>
              <w:t>||  |</w:t>
            </w:r>
            <w:r w:rsidR="000A6321" w:rsidRPr="000A6321">
              <w:rPr>
                <w:color w:val="000000"/>
                <w:spacing w:val="3"/>
                <w:shd w:val="solid" w:color="000000" w:fill="000000"/>
                <w:fitText w:val="394" w:id="-1168416512"/>
                <w14:textFill>
                  <w14:solidFill>
                    <w14:srgbClr w14:val="000000">
                      <w14:alpha w14:val="100000"/>
                    </w14:srgbClr>
                  </w14:solidFill>
                </w14:textFill>
              </w:rPr>
              <w:t>|</w:t>
            </w:r>
            <w:r w:rsidRPr="0018239F">
              <w:t>/QALY</w:t>
            </w:r>
          </w:p>
        </w:tc>
      </w:tr>
    </w:tbl>
    <w:p w14:paraId="771094A4" w14:textId="77777777" w:rsidR="00147F86" w:rsidRPr="0060622A" w:rsidRDefault="0018239F" w:rsidP="0060622A">
      <w:pPr>
        <w:pStyle w:val="Notes-TableFigure"/>
        <w:rPr>
          <w:b/>
          <w:bCs/>
          <w:u w:val="single"/>
        </w:rPr>
      </w:pPr>
      <w:r w:rsidRPr="0060622A">
        <w:rPr>
          <w:b/>
          <w:bCs/>
          <w:u w:val="single"/>
        </w:rPr>
        <w:t xml:space="preserve">Abbreviations: </w:t>
      </w:r>
    </w:p>
    <w:p w14:paraId="14451182" w14:textId="2D8C366C" w:rsidR="0018239F" w:rsidRPr="00A2483E" w:rsidRDefault="0018239F" w:rsidP="0060622A">
      <w:pPr>
        <w:pStyle w:val="Notes-TableFigure"/>
        <w:rPr>
          <w:rFonts w:eastAsia="Calibri"/>
        </w:rPr>
      </w:pPr>
      <w:r w:rsidRPr="0060622A">
        <w:rPr>
          <w:b/>
          <w:bCs/>
        </w:rPr>
        <w:t>ICER</w:t>
      </w:r>
      <w:r>
        <w:t xml:space="preserve"> = incremental cost-effectiveness ratio, </w:t>
      </w:r>
      <w:r w:rsidRPr="0060622A">
        <w:rPr>
          <w:b/>
          <w:bCs/>
        </w:rPr>
        <w:t>LY</w:t>
      </w:r>
      <w:r>
        <w:t xml:space="preserve"> = life year, </w:t>
      </w:r>
      <w:r w:rsidRPr="0060622A">
        <w:rPr>
          <w:b/>
          <w:bCs/>
        </w:rPr>
        <w:t>QALY</w:t>
      </w:r>
      <w:r>
        <w:t xml:space="preserve"> = quality-adjusted life year</w:t>
      </w:r>
    </w:p>
    <w:p w14:paraId="501A8179" w14:textId="77777777" w:rsidR="0060622A" w:rsidRDefault="001F6F2E" w:rsidP="0060622A">
      <w:pPr>
        <w:pStyle w:val="Notes-TableFigure"/>
        <w:rPr>
          <w:b/>
          <w:bCs/>
          <w:u w:val="single"/>
        </w:rPr>
      </w:pPr>
      <w:r w:rsidRPr="0060622A">
        <w:rPr>
          <w:b/>
          <w:bCs/>
          <w:u w:val="single"/>
        </w:rPr>
        <w:t xml:space="preserve">Source: </w:t>
      </w:r>
    </w:p>
    <w:p w14:paraId="002A7AD9" w14:textId="1A8C6CFF" w:rsidR="001F6F2E" w:rsidRPr="0060622A" w:rsidRDefault="00DD5EA4" w:rsidP="0060622A">
      <w:pPr>
        <w:pStyle w:val="Notes-TableFigure"/>
        <w:rPr>
          <w:b/>
          <w:bCs/>
          <w:u w:val="single"/>
        </w:rPr>
      </w:pPr>
      <w:r>
        <w:t>Table 78</w:t>
      </w:r>
      <w:r w:rsidR="00536A30">
        <w:t xml:space="preserve"> of ADAR</w:t>
      </w:r>
    </w:p>
    <w:p w14:paraId="5C3AF6F5" w14:textId="52DA6B69" w:rsidR="00D1462A" w:rsidRDefault="00193FB4" w:rsidP="00D1462A">
      <w:pPr>
        <w:spacing w:after="240"/>
        <w:rPr>
          <w:color w:val="000000" w:themeColor="text1"/>
        </w:rPr>
      </w:pPr>
      <w:r>
        <w:rPr>
          <w:color w:val="000000" w:themeColor="text1"/>
        </w:rPr>
        <w:t xml:space="preserve">The results of the economic analysis should be interpreted in the context of wider uncertainty around the introduction of imlifidase. </w:t>
      </w:r>
      <w:r w:rsidR="00CA63FB">
        <w:rPr>
          <w:color w:val="000000" w:themeColor="text1"/>
        </w:rPr>
        <w:t xml:space="preserve">The </w:t>
      </w:r>
      <w:r w:rsidR="00676525">
        <w:rPr>
          <w:color w:val="000000" w:themeColor="text1"/>
        </w:rPr>
        <w:t>ADAR</w:t>
      </w:r>
      <w:r w:rsidR="00CA63FB">
        <w:rPr>
          <w:color w:val="000000" w:themeColor="text1"/>
        </w:rPr>
        <w:t xml:space="preserve"> included a range of scenario analyses in the </w:t>
      </w:r>
      <w:r w:rsidR="00491141">
        <w:rPr>
          <w:color w:val="000000" w:themeColor="text1"/>
        </w:rPr>
        <w:t>s</w:t>
      </w:r>
      <w:r w:rsidR="00CA63FB">
        <w:rPr>
          <w:color w:val="000000" w:themeColor="text1"/>
        </w:rPr>
        <w:t xml:space="preserve">ubmission, assessing the sensitivity of model results to changes in </w:t>
      </w:r>
      <w:r w:rsidR="00C00083">
        <w:rPr>
          <w:color w:val="000000" w:themeColor="text1"/>
        </w:rPr>
        <w:t xml:space="preserve">assumptions and model parameters. </w:t>
      </w:r>
      <w:r w:rsidR="00D37897">
        <w:rPr>
          <w:color w:val="000000" w:themeColor="text1"/>
        </w:rPr>
        <w:t xml:space="preserve">The model was sensitive to </w:t>
      </w:r>
      <w:r w:rsidR="002E5D60">
        <w:rPr>
          <w:color w:val="000000" w:themeColor="text1"/>
        </w:rPr>
        <w:t xml:space="preserve">the population used to estimate graft </w:t>
      </w:r>
      <w:r w:rsidR="00532B43">
        <w:rPr>
          <w:color w:val="000000" w:themeColor="text1"/>
        </w:rPr>
        <w:t xml:space="preserve">and patient </w:t>
      </w:r>
      <w:r w:rsidR="002E5D60">
        <w:rPr>
          <w:color w:val="000000" w:themeColor="text1"/>
        </w:rPr>
        <w:t xml:space="preserve">survival, </w:t>
      </w:r>
      <w:r w:rsidR="00532B43">
        <w:rPr>
          <w:color w:val="000000" w:themeColor="text1"/>
        </w:rPr>
        <w:t>as well as the parametric</w:t>
      </w:r>
      <w:r w:rsidR="00C12F9F">
        <w:rPr>
          <w:color w:val="000000" w:themeColor="text1"/>
        </w:rPr>
        <w:t xml:space="preserve"> distribution used</w:t>
      </w:r>
      <w:r w:rsidR="00532B43">
        <w:rPr>
          <w:color w:val="000000" w:themeColor="text1"/>
        </w:rPr>
        <w:t>. Results were also highly se</w:t>
      </w:r>
      <w:r w:rsidR="000B6E38">
        <w:rPr>
          <w:color w:val="000000" w:themeColor="text1"/>
        </w:rPr>
        <w:t>nsitive to the</w:t>
      </w:r>
      <w:r w:rsidR="00396090">
        <w:rPr>
          <w:color w:val="000000" w:themeColor="text1"/>
        </w:rPr>
        <w:t xml:space="preserve"> approach used to estimate </w:t>
      </w:r>
      <w:r w:rsidR="0026095E">
        <w:rPr>
          <w:color w:val="000000" w:themeColor="text1"/>
        </w:rPr>
        <w:t xml:space="preserve">transplant- and </w:t>
      </w:r>
      <w:r w:rsidR="00396090">
        <w:rPr>
          <w:color w:val="000000" w:themeColor="text1"/>
        </w:rPr>
        <w:t>dialysis</w:t>
      </w:r>
      <w:r w:rsidR="000B3473">
        <w:rPr>
          <w:color w:val="000000" w:themeColor="text1"/>
        </w:rPr>
        <w:t>-</w:t>
      </w:r>
      <w:r w:rsidR="00396090">
        <w:rPr>
          <w:color w:val="000000" w:themeColor="text1"/>
        </w:rPr>
        <w:t>related costs</w:t>
      </w:r>
      <w:r w:rsidR="00723199">
        <w:rPr>
          <w:color w:val="000000" w:themeColor="text1"/>
        </w:rPr>
        <w:t>, as well as excluding the impact of completed chains and the benefits seen in co-transplanted patients. The results of scenario analyses presented</w:t>
      </w:r>
      <w:r w:rsidR="00774B0A">
        <w:rPr>
          <w:color w:val="000000" w:themeColor="text1"/>
        </w:rPr>
        <w:t xml:space="preserve"> by the </w:t>
      </w:r>
      <w:r w:rsidR="00676525">
        <w:rPr>
          <w:color w:val="000000" w:themeColor="text1"/>
        </w:rPr>
        <w:t>ADAR</w:t>
      </w:r>
      <w:r w:rsidR="00774B0A">
        <w:rPr>
          <w:color w:val="000000" w:themeColor="text1"/>
        </w:rPr>
        <w:t xml:space="preserve"> are shown in</w:t>
      </w:r>
      <w:r w:rsidR="00AD09BB">
        <w:rPr>
          <w:color w:val="000000" w:themeColor="text1"/>
        </w:rPr>
        <w:t xml:space="preserve"> </w:t>
      </w:r>
      <w:r w:rsidR="00AD09BB">
        <w:rPr>
          <w:color w:val="000000" w:themeColor="text1"/>
        </w:rPr>
        <w:fldChar w:fldCharType="begin"/>
      </w:r>
      <w:r w:rsidR="00AD09BB">
        <w:rPr>
          <w:color w:val="000000" w:themeColor="text1"/>
        </w:rPr>
        <w:instrText xml:space="preserve"> REF _Ref130997428 \h </w:instrText>
      </w:r>
      <w:r w:rsidR="00AD09BB">
        <w:rPr>
          <w:color w:val="000000" w:themeColor="text1"/>
        </w:rPr>
      </w:r>
      <w:r w:rsidR="00AD09BB">
        <w:rPr>
          <w:color w:val="000000" w:themeColor="text1"/>
        </w:rPr>
        <w:fldChar w:fldCharType="separate"/>
      </w:r>
      <w:r w:rsidR="00E209CB">
        <w:t xml:space="preserve">Table </w:t>
      </w:r>
      <w:r w:rsidR="00E209CB">
        <w:rPr>
          <w:noProof/>
        </w:rPr>
        <w:t>7</w:t>
      </w:r>
      <w:r w:rsidR="00AD09BB">
        <w:rPr>
          <w:color w:val="000000" w:themeColor="text1"/>
        </w:rPr>
        <w:fldChar w:fldCharType="end"/>
      </w:r>
      <w:r w:rsidR="00774B0A">
        <w:rPr>
          <w:color w:val="000000" w:themeColor="text1"/>
        </w:rPr>
        <w:t>.</w:t>
      </w:r>
    </w:p>
    <w:p w14:paraId="6DA93D60" w14:textId="0078374A" w:rsidR="00821881" w:rsidRDefault="00821881" w:rsidP="00821881">
      <w:pPr>
        <w:pStyle w:val="Caption"/>
        <w:rPr>
          <w:rFonts w:ascii="Helvetica" w:hAnsi="Helvetica"/>
        </w:rPr>
      </w:pPr>
      <w:bookmarkStart w:id="28" w:name="_Ref130997428"/>
      <w:r>
        <w:t xml:space="preserve">Table </w:t>
      </w:r>
      <w:r>
        <w:fldChar w:fldCharType="begin"/>
      </w:r>
      <w:r>
        <w:instrText>SEQ Table \* ARABIC</w:instrText>
      </w:r>
      <w:r>
        <w:fldChar w:fldCharType="separate"/>
      </w:r>
      <w:r w:rsidR="00E209CB">
        <w:rPr>
          <w:noProof/>
        </w:rPr>
        <w:t>7</w:t>
      </w:r>
      <w:r>
        <w:fldChar w:fldCharType="end"/>
      </w:r>
      <w:bookmarkEnd w:id="28"/>
      <w:r>
        <w:t xml:space="preserve">: Results of </w:t>
      </w:r>
      <w:r w:rsidR="00CC548E">
        <w:t>scenario analyses</w:t>
      </w:r>
    </w:p>
    <w:tbl>
      <w:tblPr>
        <w:tblStyle w:val="TableGridLight"/>
        <w:tblpPr w:leftFromText="180" w:rightFromText="180" w:vertAnchor="text" w:horzAnchor="margin" w:tblpY="102"/>
        <w:tblW w:w="5000" w:type="pct"/>
        <w:tblLayout w:type="fixed"/>
        <w:tblLook w:val="04A0" w:firstRow="1" w:lastRow="0" w:firstColumn="1" w:lastColumn="0" w:noHBand="0" w:noVBand="1"/>
      </w:tblPr>
      <w:tblGrid>
        <w:gridCol w:w="3152"/>
        <w:gridCol w:w="1976"/>
        <w:gridCol w:w="1976"/>
        <w:gridCol w:w="956"/>
        <w:gridCol w:w="956"/>
      </w:tblGrid>
      <w:tr w:rsidR="009A6D72" w:rsidRPr="0018239F" w14:paraId="628C35CA" w14:textId="6F5F9B4C" w:rsidTr="002E45E1">
        <w:trPr>
          <w:cantSplit/>
          <w:trHeight w:val="300"/>
          <w:tblHeader/>
        </w:trPr>
        <w:tc>
          <w:tcPr>
            <w:tcW w:w="1748" w:type="pct"/>
            <w:vAlign w:val="center"/>
          </w:tcPr>
          <w:p w14:paraId="10A4766D" w14:textId="16A72713" w:rsidR="00EF329C" w:rsidRPr="00D1462A" w:rsidRDefault="00EF329C" w:rsidP="00742694">
            <w:pPr>
              <w:pStyle w:val="TableText"/>
              <w:rPr>
                <w:b/>
                <w:bCs/>
              </w:rPr>
            </w:pPr>
            <w:r w:rsidRPr="00D1462A">
              <w:rPr>
                <w:b/>
                <w:bCs/>
              </w:rPr>
              <w:t>Variable or assumption</w:t>
            </w:r>
          </w:p>
        </w:tc>
        <w:tc>
          <w:tcPr>
            <w:tcW w:w="1096" w:type="pct"/>
            <w:vAlign w:val="center"/>
          </w:tcPr>
          <w:p w14:paraId="105FF277" w14:textId="3878F9FA" w:rsidR="00EF329C" w:rsidRPr="00D1462A" w:rsidRDefault="00EF329C" w:rsidP="00742694">
            <w:pPr>
              <w:pStyle w:val="TableText"/>
              <w:rPr>
                <w:b/>
                <w:bCs/>
              </w:rPr>
            </w:pPr>
            <w:r w:rsidRPr="00D1462A">
              <w:rPr>
                <w:b/>
                <w:bCs/>
              </w:rPr>
              <w:t>Base case value</w:t>
            </w:r>
          </w:p>
        </w:tc>
        <w:tc>
          <w:tcPr>
            <w:tcW w:w="1096" w:type="pct"/>
            <w:vAlign w:val="center"/>
          </w:tcPr>
          <w:p w14:paraId="4BE581EB" w14:textId="5AEF359D" w:rsidR="00EF329C" w:rsidRPr="00D1462A" w:rsidRDefault="00EF329C" w:rsidP="00742694">
            <w:pPr>
              <w:pStyle w:val="TableText"/>
              <w:rPr>
                <w:b/>
                <w:bCs/>
              </w:rPr>
            </w:pPr>
            <w:r w:rsidRPr="00D1462A">
              <w:rPr>
                <w:b/>
                <w:bCs/>
              </w:rPr>
              <w:t>Scenario value</w:t>
            </w:r>
          </w:p>
        </w:tc>
        <w:tc>
          <w:tcPr>
            <w:tcW w:w="530" w:type="pct"/>
            <w:tcBorders>
              <w:bottom w:val="single" w:sz="4" w:space="0" w:color="BFBFBF" w:themeColor="background1" w:themeShade="BF"/>
            </w:tcBorders>
            <w:vAlign w:val="center"/>
          </w:tcPr>
          <w:p w14:paraId="3EB5E12C" w14:textId="0CA2F971" w:rsidR="00EF329C" w:rsidRPr="00D1462A" w:rsidRDefault="00EF329C" w:rsidP="00742694">
            <w:pPr>
              <w:pStyle w:val="TableText"/>
              <w:rPr>
                <w:b/>
                <w:bCs/>
              </w:rPr>
            </w:pPr>
            <w:r w:rsidRPr="00D1462A">
              <w:rPr>
                <w:b/>
                <w:bCs/>
              </w:rPr>
              <w:t>ICER ($/QALY)</w:t>
            </w:r>
          </w:p>
        </w:tc>
        <w:tc>
          <w:tcPr>
            <w:tcW w:w="530" w:type="pct"/>
            <w:vAlign w:val="center"/>
          </w:tcPr>
          <w:p w14:paraId="41D5B7D5" w14:textId="3E61F7AF" w:rsidR="00EF329C" w:rsidRPr="00D1462A" w:rsidRDefault="00EF329C" w:rsidP="00742694">
            <w:pPr>
              <w:pStyle w:val="TableText"/>
              <w:rPr>
                <w:b/>
                <w:bCs/>
              </w:rPr>
            </w:pPr>
            <w:r w:rsidRPr="00D1462A">
              <w:rPr>
                <w:b/>
                <w:bCs/>
              </w:rPr>
              <w:t>ICER (%)</w:t>
            </w:r>
          </w:p>
        </w:tc>
      </w:tr>
      <w:tr w:rsidR="009A6D72" w:rsidRPr="0018239F" w14:paraId="3F1690A5" w14:textId="6E020B07" w:rsidTr="002E45E1">
        <w:trPr>
          <w:cantSplit/>
          <w:trHeight w:val="448"/>
        </w:trPr>
        <w:tc>
          <w:tcPr>
            <w:tcW w:w="1748" w:type="pct"/>
            <w:vAlign w:val="center"/>
          </w:tcPr>
          <w:p w14:paraId="37F87A4C" w14:textId="22E7D10D" w:rsidR="009A6D72" w:rsidRPr="009A6D72" w:rsidRDefault="009A6D72" w:rsidP="00742694">
            <w:pPr>
              <w:pStyle w:val="TableText"/>
            </w:pPr>
            <w:r w:rsidRPr="009A6D72">
              <w:t>Base case</w:t>
            </w:r>
          </w:p>
        </w:tc>
        <w:tc>
          <w:tcPr>
            <w:tcW w:w="1096" w:type="pct"/>
            <w:vAlign w:val="center"/>
          </w:tcPr>
          <w:p w14:paraId="52788F5F" w14:textId="0539520B" w:rsidR="009A6D72" w:rsidRPr="009A6D72" w:rsidRDefault="009A6D72" w:rsidP="00742694">
            <w:pPr>
              <w:pStyle w:val="TableText"/>
            </w:pPr>
          </w:p>
        </w:tc>
        <w:tc>
          <w:tcPr>
            <w:tcW w:w="1096" w:type="pct"/>
            <w:vAlign w:val="center"/>
          </w:tcPr>
          <w:p w14:paraId="76212093" w14:textId="40688815" w:rsidR="009A6D72" w:rsidRPr="009A6D72" w:rsidRDefault="009A6D72" w:rsidP="00742694">
            <w:pPr>
              <w:pStyle w:val="TableText"/>
            </w:pPr>
          </w:p>
        </w:tc>
        <w:tc>
          <w:tcPr>
            <w:tcW w:w="530" w:type="pct"/>
            <w:shd w:val="solid" w:color="000000" w:fill="000000"/>
            <w:vAlign w:val="center"/>
          </w:tcPr>
          <w:p w14:paraId="6FEBAB46" w14:textId="7DE37739" w:rsidR="009A6D72" w:rsidRPr="009A6D72" w:rsidRDefault="002E45E1" w:rsidP="00742694">
            <w:pPr>
              <w:pStyle w:val="TableText"/>
            </w:pPr>
            <w:r w:rsidRPr="002E45E1">
              <w:rPr>
                <w:color w:val="000000"/>
                <w:spacing w:val="81"/>
                <w:fitText w:val="414" w:id="-1168430336"/>
                <w14:textFill>
                  <w14:solidFill>
                    <w14:srgbClr w14:val="000000">
                      <w14:alpha w14:val="100000"/>
                    </w14:srgbClr>
                  </w14:solidFill>
                </w14:textFill>
              </w:rPr>
              <w:t>|||</w:t>
            </w:r>
            <w:r w:rsidRPr="002E45E1">
              <w:rPr>
                <w:color w:val="000000"/>
                <w:spacing w:val="1"/>
                <w:fitText w:val="414" w:id="-1168430336"/>
                <w14:textFill>
                  <w14:solidFill>
                    <w14:srgbClr w14:val="000000">
                      <w14:alpha w14:val="100000"/>
                    </w14:srgbClr>
                  </w14:solidFill>
                </w14:textFill>
              </w:rPr>
              <w:t>|</w:t>
            </w:r>
          </w:p>
        </w:tc>
        <w:tc>
          <w:tcPr>
            <w:tcW w:w="530" w:type="pct"/>
            <w:vAlign w:val="center"/>
          </w:tcPr>
          <w:p w14:paraId="5F6DF8A3" w14:textId="77777777" w:rsidR="009A6D72" w:rsidRPr="009A6D72" w:rsidRDefault="009A6D72" w:rsidP="00742694">
            <w:pPr>
              <w:pStyle w:val="TableText"/>
            </w:pPr>
          </w:p>
        </w:tc>
      </w:tr>
      <w:tr w:rsidR="00232ECA" w:rsidRPr="0018239F" w14:paraId="7FC5B5F7" w14:textId="77777777" w:rsidTr="00964775">
        <w:trPr>
          <w:cantSplit/>
          <w:trHeight w:val="300"/>
        </w:trPr>
        <w:tc>
          <w:tcPr>
            <w:tcW w:w="5000" w:type="pct"/>
            <w:gridSpan w:val="5"/>
            <w:noWrap/>
            <w:vAlign w:val="center"/>
          </w:tcPr>
          <w:p w14:paraId="2866833E" w14:textId="03818F43" w:rsidR="00232ECA" w:rsidRPr="00964775" w:rsidRDefault="00232ECA" w:rsidP="00964775">
            <w:pPr>
              <w:pStyle w:val="TableText"/>
              <w:tabs>
                <w:tab w:val="left" w:pos="3480"/>
              </w:tabs>
              <w:rPr>
                <w:b/>
                <w:bCs/>
              </w:rPr>
            </w:pPr>
            <w:r w:rsidRPr="00964775">
              <w:rPr>
                <w:b/>
                <w:bCs/>
              </w:rPr>
              <w:t>Scenario analyses presented in the ADAR</w:t>
            </w:r>
          </w:p>
        </w:tc>
      </w:tr>
      <w:tr w:rsidR="009A6D72" w:rsidRPr="0018239F" w14:paraId="3F24F552" w14:textId="05E9CAA1" w:rsidTr="004C753A">
        <w:trPr>
          <w:cantSplit/>
          <w:trHeight w:val="300"/>
        </w:trPr>
        <w:tc>
          <w:tcPr>
            <w:tcW w:w="1748" w:type="pct"/>
            <w:noWrap/>
            <w:vAlign w:val="center"/>
          </w:tcPr>
          <w:p w14:paraId="5FB7D94A" w14:textId="324B95F9" w:rsidR="009A6D72" w:rsidRPr="009A6D72" w:rsidRDefault="009A6D72" w:rsidP="00742694">
            <w:pPr>
              <w:pStyle w:val="TableText"/>
            </w:pPr>
            <w:r w:rsidRPr="009A6D72">
              <w:t xml:space="preserve">Time horizon </w:t>
            </w:r>
          </w:p>
        </w:tc>
        <w:tc>
          <w:tcPr>
            <w:tcW w:w="1096" w:type="pct"/>
            <w:noWrap/>
            <w:vAlign w:val="center"/>
          </w:tcPr>
          <w:p w14:paraId="2B17D36F" w14:textId="181BD8ED" w:rsidR="009A6D72" w:rsidRPr="009A6D72" w:rsidRDefault="009A6D72" w:rsidP="00742694">
            <w:pPr>
              <w:pStyle w:val="TableText"/>
            </w:pPr>
            <w:r w:rsidRPr="009A6D72">
              <w:t xml:space="preserve">Lifetime </w:t>
            </w:r>
          </w:p>
        </w:tc>
        <w:tc>
          <w:tcPr>
            <w:tcW w:w="1096" w:type="pct"/>
            <w:noWrap/>
            <w:vAlign w:val="center"/>
          </w:tcPr>
          <w:p w14:paraId="4C172436" w14:textId="7F5DCD9E" w:rsidR="009A6D72" w:rsidRPr="009A6D72" w:rsidRDefault="009A6D72" w:rsidP="00742694">
            <w:pPr>
              <w:pStyle w:val="TableText"/>
            </w:pPr>
            <w:r w:rsidRPr="009A6D72">
              <w:t>10 years</w:t>
            </w:r>
          </w:p>
        </w:tc>
        <w:tc>
          <w:tcPr>
            <w:tcW w:w="530" w:type="pct"/>
            <w:tcBorders>
              <w:bottom w:val="single" w:sz="4" w:space="0" w:color="BFBFBF" w:themeColor="background1" w:themeShade="BF"/>
            </w:tcBorders>
            <w:shd w:val="solid" w:color="000000" w:fill="000000"/>
            <w:noWrap/>
            <w:vAlign w:val="center"/>
          </w:tcPr>
          <w:p w14:paraId="2ED5121F" w14:textId="79CF4A8A" w:rsidR="009A6D72" w:rsidRPr="009A6D72" w:rsidRDefault="00842B32" w:rsidP="00742694">
            <w:pPr>
              <w:pStyle w:val="TableText"/>
            </w:pPr>
            <w:r w:rsidRPr="00842B32">
              <w:rPr>
                <w:color w:val="000000"/>
                <w:spacing w:val="79"/>
                <w:fitText w:val="408" w:id="-1175822846"/>
                <w14:textFill>
                  <w14:solidFill>
                    <w14:srgbClr w14:val="000000">
                      <w14:alpha w14:val="100000"/>
                    </w14:srgbClr>
                  </w14:solidFill>
                </w14:textFill>
              </w:rPr>
              <w:t>|||</w:t>
            </w:r>
            <w:r w:rsidRPr="00842B32">
              <w:rPr>
                <w:color w:val="000000"/>
                <w:spacing w:val="1"/>
                <w:fitText w:val="408" w:id="-1175822846"/>
                <w14:textFill>
                  <w14:solidFill>
                    <w14:srgbClr w14:val="000000">
                      <w14:alpha w14:val="100000"/>
                    </w14:srgbClr>
                  </w14:solidFill>
                </w14:textFill>
              </w:rPr>
              <w:t>|</w:t>
            </w:r>
          </w:p>
        </w:tc>
        <w:tc>
          <w:tcPr>
            <w:tcW w:w="530" w:type="pct"/>
            <w:vAlign w:val="center"/>
          </w:tcPr>
          <w:p w14:paraId="750F3789" w14:textId="7A10291E" w:rsidR="009A6D72" w:rsidRPr="009A6D72" w:rsidRDefault="009A6D72" w:rsidP="00742694">
            <w:pPr>
              <w:pStyle w:val="TableText"/>
            </w:pPr>
            <w:r w:rsidRPr="009A6D72">
              <w:t>120.1%</w:t>
            </w:r>
          </w:p>
        </w:tc>
      </w:tr>
      <w:tr w:rsidR="009A6D72" w:rsidRPr="0018239F" w14:paraId="258B7AC7" w14:textId="557CB58D" w:rsidTr="004C753A">
        <w:trPr>
          <w:cantSplit/>
          <w:trHeight w:val="300"/>
        </w:trPr>
        <w:tc>
          <w:tcPr>
            <w:tcW w:w="1748" w:type="pct"/>
            <w:noWrap/>
            <w:vAlign w:val="center"/>
          </w:tcPr>
          <w:p w14:paraId="07E41E43" w14:textId="18C5386B" w:rsidR="009A6D72" w:rsidRPr="009A6D72" w:rsidRDefault="009A6D72" w:rsidP="00742694">
            <w:pPr>
              <w:pStyle w:val="TableText"/>
            </w:pPr>
            <w:r w:rsidRPr="009A6D72">
              <w:t xml:space="preserve">Time horizon </w:t>
            </w:r>
          </w:p>
        </w:tc>
        <w:tc>
          <w:tcPr>
            <w:tcW w:w="1096" w:type="pct"/>
            <w:noWrap/>
            <w:vAlign w:val="center"/>
          </w:tcPr>
          <w:p w14:paraId="5569B127" w14:textId="4CA61837" w:rsidR="009A6D72" w:rsidRPr="009A6D72" w:rsidRDefault="009A6D72" w:rsidP="00742694">
            <w:pPr>
              <w:pStyle w:val="TableText"/>
            </w:pPr>
            <w:r w:rsidRPr="009A6D72">
              <w:t>Lifetime</w:t>
            </w:r>
          </w:p>
        </w:tc>
        <w:tc>
          <w:tcPr>
            <w:tcW w:w="1096" w:type="pct"/>
            <w:noWrap/>
            <w:vAlign w:val="center"/>
          </w:tcPr>
          <w:p w14:paraId="52BE0394" w14:textId="1AFBCC86" w:rsidR="009A6D72" w:rsidRPr="009A6D72" w:rsidRDefault="009A6D72" w:rsidP="00742694">
            <w:pPr>
              <w:pStyle w:val="TableText"/>
            </w:pPr>
            <w:r w:rsidRPr="009A6D72">
              <w:t>20 years</w:t>
            </w:r>
          </w:p>
        </w:tc>
        <w:tc>
          <w:tcPr>
            <w:tcW w:w="530" w:type="pct"/>
            <w:tcBorders>
              <w:bottom w:val="single" w:sz="4" w:space="0" w:color="BFBFBF" w:themeColor="background1" w:themeShade="BF"/>
            </w:tcBorders>
            <w:shd w:val="solid" w:color="000000" w:fill="000000"/>
            <w:noWrap/>
            <w:vAlign w:val="center"/>
          </w:tcPr>
          <w:p w14:paraId="5E9C1982" w14:textId="151FF1B2" w:rsidR="009A6D72" w:rsidRPr="009A6D72" w:rsidRDefault="004C753A" w:rsidP="00742694">
            <w:pPr>
              <w:pStyle w:val="TableText"/>
            </w:pPr>
            <w:r w:rsidRPr="004C753A">
              <w:rPr>
                <w:color w:val="000000"/>
                <w:spacing w:val="79"/>
                <w:fitText w:val="408" w:id="-1175822592"/>
                <w14:textFill>
                  <w14:solidFill>
                    <w14:srgbClr w14:val="000000">
                      <w14:alpha w14:val="100000"/>
                    </w14:srgbClr>
                  </w14:solidFill>
                </w14:textFill>
              </w:rPr>
              <w:t>|||</w:t>
            </w:r>
            <w:r w:rsidRPr="004C753A">
              <w:rPr>
                <w:color w:val="000000"/>
                <w:spacing w:val="1"/>
                <w:fitText w:val="408" w:id="-1175822592"/>
                <w14:textFill>
                  <w14:solidFill>
                    <w14:srgbClr w14:val="000000">
                      <w14:alpha w14:val="100000"/>
                    </w14:srgbClr>
                  </w14:solidFill>
                </w14:textFill>
              </w:rPr>
              <w:t>|</w:t>
            </w:r>
          </w:p>
        </w:tc>
        <w:tc>
          <w:tcPr>
            <w:tcW w:w="530" w:type="pct"/>
            <w:vAlign w:val="center"/>
          </w:tcPr>
          <w:p w14:paraId="2C4DD2FE" w14:textId="631BC3B5" w:rsidR="009A6D72" w:rsidRPr="009A6D72" w:rsidRDefault="009A6D72" w:rsidP="00742694">
            <w:pPr>
              <w:pStyle w:val="TableText"/>
            </w:pPr>
            <w:r w:rsidRPr="009A6D72">
              <w:t>-11.4%</w:t>
            </w:r>
          </w:p>
        </w:tc>
      </w:tr>
      <w:tr w:rsidR="009A6D72" w:rsidRPr="0018239F" w14:paraId="7F403066" w14:textId="77777777" w:rsidTr="00631E36">
        <w:trPr>
          <w:cantSplit/>
          <w:trHeight w:val="300"/>
        </w:trPr>
        <w:tc>
          <w:tcPr>
            <w:tcW w:w="1748" w:type="pct"/>
            <w:noWrap/>
            <w:vAlign w:val="center"/>
          </w:tcPr>
          <w:p w14:paraId="1B012348" w14:textId="611214DF" w:rsidR="009A6D72" w:rsidRPr="009A6D72" w:rsidRDefault="009A6D72" w:rsidP="00742694">
            <w:pPr>
              <w:pStyle w:val="TableText"/>
            </w:pPr>
            <w:r w:rsidRPr="009A6D72">
              <w:t>Discounting rates</w:t>
            </w:r>
          </w:p>
        </w:tc>
        <w:tc>
          <w:tcPr>
            <w:tcW w:w="1096" w:type="pct"/>
            <w:noWrap/>
            <w:vAlign w:val="center"/>
          </w:tcPr>
          <w:p w14:paraId="15B33EAD" w14:textId="48E202A7" w:rsidR="009A6D72" w:rsidRPr="009A6D72" w:rsidRDefault="009A6D72" w:rsidP="00742694">
            <w:pPr>
              <w:pStyle w:val="TableText"/>
            </w:pPr>
            <w:r w:rsidRPr="009A6D72">
              <w:t>5.0%</w:t>
            </w:r>
          </w:p>
        </w:tc>
        <w:tc>
          <w:tcPr>
            <w:tcW w:w="1096" w:type="pct"/>
            <w:noWrap/>
            <w:vAlign w:val="center"/>
          </w:tcPr>
          <w:p w14:paraId="18782B32" w14:textId="218C8F92" w:rsidR="009A6D72" w:rsidRPr="009A6D72" w:rsidRDefault="009A6D72" w:rsidP="00742694">
            <w:pPr>
              <w:pStyle w:val="TableText"/>
            </w:pPr>
            <w:r w:rsidRPr="009A6D72">
              <w:t>3.5%</w:t>
            </w:r>
          </w:p>
        </w:tc>
        <w:tc>
          <w:tcPr>
            <w:tcW w:w="530" w:type="pct"/>
            <w:tcBorders>
              <w:bottom w:val="single" w:sz="4" w:space="0" w:color="BFBFBF" w:themeColor="background1" w:themeShade="BF"/>
            </w:tcBorders>
            <w:shd w:val="solid" w:color="000000" w:fill="000000"/>
            <w:noWrap/>
            <w:vAlign w:val="center"/>
          </w:tcPr>
          <w:p w14:paraId="551DE76B" w14:textId="6BDEFA42" w:rsidR="009A6D72" w:rsidRPr="009A6D72" w:rsidRDefault="004C753A" w:rsidP="00742694">
            <w:pPr>
              <w:pStyle w:val="TableText"/>
            </w:pPr>
            <w:r w:rsidRPr="004C753A">
              <w:rPr>
                <w:color w:val="000000"/>
                <w:spacing w:val="79"/>
                <w:fitText w:val="408" w:id="-1175822591"/>
                <w14:textFill>
                  <w14:solidFill>
                    <w14:srgbClr w14:val="000000">
                      <w14:alpha w14:val="100000"/>
                    </w14:srgbClr>
                  </w14:solidFill>
                </w14:textFill>
              </w:rPr>
              <w:t>|||</w:t>
            </w:r>
            <w:r w:rsidRPr="004C753A">
              <w:rPr>
                <w:color w:val="000000"/>
                <w:spacing w:val="1"/>
                <w:fitText w:val="408" w:id="-1175822591"/>
                <w14:textFill>
                  <w14:solidFill>
                    <w14:srgbClr w14:val="000000">
                      <w14:alpha w14:val="100000"/>
                    </w14:srgbClr>
                  </w14:solidFill>
                </w14:textFill>
              </w:rPr>
              <w:t>|</w:t>
            </w:r>
          </w:p>
        </w:tc>
        <w:tc>
          <w:tcPr>
            <w:tcW w:w="530" w:type="pct"/>
            <w:vAlign w:val="center"/>
          </w:tcPr>
          <w:p w14:paraId="7743CDEF" w14:textId="38251D91" w:rsidR="009A6D72" w:rsidRPr="009A6D72" w:rsidRDefault="009A6D72" w:rsidP="00742694">
            <w:pPr>
              <w:pStyle w:val="TableText"/>
            </w:pPr>
            <w:r w:rsidRPr="009A6D72">
              <w:t>-35.4%</w:t>
            </w:r>
          </w:p>
        </w:tc>
      </w:tr>
      <w:tr w:rsidR="009A6D72" w:rsidRPr="0018239F" w14:paraId="40315861" w14:textId="77777777" w:rsidTr="00631E36">
        <w:trPr>
          <w:cantSplit/>
          <w:trHeight w:val="300"/>
        </w:trPr>
        <w:tc>
          <w:tcPr>
            <w:tcW w:w="1748" w:type="pct"/>
            <w:noWrap/>
            <w:vAlign w:val="center"/>
          </w:tcPr>
          <w:p w14:paraId="5C8DAC85" w14:textId="0DB78B1A" w:rsidR="009A6D72" w:rsidRPr="009A6D72" w:rsidRDefault="009A6D72" w:rsidP="00742694">
            <w:pPr>
              <w:pStyle w:val="TableText"/>
            </w:pPr>
            <w:r w:rsidRPr="009A6D72">
              <w:t>Discounting rates</w:t>
            </w:r>
          </w:p>
        </w:tc>
        <w:tc>
          <w:tcPr>
            <w:tcW w:w="1096" w:type="pct"/>
            <w:noWrap/>
            <w:vAlign w:val="center"/>
          </w:tcPr>
          <w:p w14:paraId="422040B5" w14:textId="286C91C8" w:rsidR="009A6D72" w:rsidRPr="009A6D72" w:rsidRDefault="009A6D72" w:rsidP="00742694">
            <w:pPr>
              <w:pStyle w:val="TableText"/>
            </w:pPr>
            <w:r w:rsidRPr="009A6D72">
              <w:t>5.0%</w:t>
            </w:r>
          </w:p>
        </w:tc>
        <w:tc>
          <w:tcPr>
            <w:tcW w:w="1096" w:type="pct"/>
            <w:noWrap/>
            <w:vAlign w:val="center"/>
          </w:tcPr>
          <w:p w14:paraId="6A5F4A26" w14:textId="682172E8" w:rsidR="009A6D72" w:rsidRPr="009A6D72" w:rsidRDefault="009A6D72" w:rsidP="00742694">
            <w:pPr>
              <w:pStyle w:val="TableText"/>
            </w:pPr>
            <w:r w:rsidRPr="009A6D72">
              <w:t>0.0%</w:t>
            </w:r>
          </w:p>
        </w:tc>
        <w:tc>
          <w:tcPr>
            <w:tcW w:w="530" w:type="pct"/>
            <w:tcBorders>
              <w:bottom w:val="single" w:sz="4" w:space="0" w:color="BFBFBF" w:themeColor="background1" w:themeShade="BF"/>
            </w:tcBorders>
            <w:shd w:val="solid" w:color="000000" w:fill="000000"/>
            <w:noWrap/>
            <w:vAlign w:val="center"/>
          </w:tcPr>
          <w:p w14:paraId="64AC914F" w14:textId="3943C522" w:rsidR="009A6D72" w:rsidRPr="009A6D72" w:rsidRDefault="00631E36" w:rsidP="00742694">
            <w:pPr>
              <w:pStyle w:val="TableText"/>
            </w:pPr>
            <w:r w:rsidRPr="00631E36">
              <w:rPr>
                <w:color w:val="000000"/>
                <w:spacing w:val="47"/>
                <w:fitText w:val="312" w:id="-1175818752"/>
                <w14:textFill>
                  <w14:solidFill>
                    <w14:srgbClr w14:val="000000">
                      <w14:alpha w14:val="100000"/>
                    </w14:srgbClr>
                  </w14:solidFill>
                </w14:textFill>
              </w:rPr>
              <w:t>|||</w:t>
            </w:r>
            <w:r w:rsidRPr="00631E36">
              <w:rPr>
                <w:color w:val="000000"/>
                <w:spacing w:val="1"/>
                <w:fitText w:val="312" w:id="-1175818752"/>
                <w14:textFill>
                  <w14:solidFill>
                    <w14:srgbClr w14:val="000000">
                      <w14:alpha w14:val="100000"/>
                    </w14:srgbClr>
                  </w14:solidFill>
                </w14:textFill>
              </w:rPr>
              <w:t>|</w:t>
            </w:r>
          </w:p>
        </w:tc>
        <w:tc>
          <w:tcPr>
            <w:tcW w:w="530" w:type="pct"/>
            <w:vAlign w:val="center"/>
          </w:tcPr>
          <w:p w14:paraId="4B4F670E" w14:textId="3738027F" w:rsidR="009A6D72" w:rsidRPr="009A6D72" w:rsidRDefault="009A6D72" w:rsidP="00742694">
            <w:pPr>
              <w:pStyle w:val="TableText"/>
            </w:pPr>
            <w:r w:rsidRPr="009A6D72">
              <w:t>-70.7%</w:t>
            </w:r>
          </w:p>
        </w:tc>
      </w:tr>
      <w:tr w:rsidR="009A6D72" w:rsidRPr="0018239F" w14:paraId="211738F6" w14:textId="77777777" w:rsidTr="00631E36">
        <w:trPr>
          <w:cantSplit/>
          <w:trHeight w:val="300"/>
        </w:trPr>
        <w:tc>
          <w:tcPr>
            <w:tcW w:w="1748" w:type="pct"/>
            <w:noWrap/>
            <w:vAlign w:val="center"/>
          </w:tcPr>
          <w:p w14:paraId="40186857" w14:textId="556020FD" w:rsidR="009A6D72" w:rsidRPr="009A6D72" w:rsidRDefault="009A6D72" w:rsidP="00742694">
            <w:pPr>
              <w:pStyle w:val="TableText"/>
            </w:pPr>
            <w:r w:rsidRPr="009A6D72">
              <w:t>AMR-DGF population</w:t>
            </w:r>
          </w:p>
        </w:tc>
        <w:tc>
          <w:tcPr>
            <w:tcW w:w="1096" w:type="pct"/>
            <w:noWrap/>
            <w:vAlign w:val="center"/>
          </w:tcPr>
          <w:p w14:paraId="0367A90D" w14:textId="66421289" w:rsidR="009A6D72" w:rsidRPr="009A6D72" w:rsidRDefault="009A6D72" w:rsidP="00742694">
            <w:pPr>
              <w:pStyle w:val="TableText"/>
            </w:pPr>
            <w:r w:rsidRPr="009A6D72">
              <w:t>All imlifidase</w:t>
            </w:r>
          </w:p>
        </w:tc>
        <w:tc>
          <w:tcPr>
            <w:tcW w:w="1096" w:type="pct"/>
            <w:noWrap/>
            <w:vAlign w:val="center"/>
          </w:tcPr>
          <w:p w14:paraId="3ACD0A3A" w14:textId="0FCDECF6" w:rsidR="009A6D72" w:rsidRPr="009A6D72" w:rsidRDefault="009A6D72" w:rsidP="00742694">
            <w:pPr>
              <w:pStyle w:val="TableText"/>
            </w:pPr>
            <w:r w:rsidRPr="009A6D72">
              <w:t>UTT-A</w:t>
            </w:r>
          </w:p>
        </w:tc>
        <w:tc>
          <w:tcPr>
            <w:tcW w:w="530" w:type="pct"/>
            <w:tcBorders>
              <w:bottom w:val="single" w:sz="4" w:space="0" w:color="BFBFBF" w:themeColor="background1" w:themeShade="BF"/>
            </w:tcBorders>
            <w:shd w:val="solid" w:color="000000" w:fill="000000"/>
            <w:noWrap/>
            <w:vAlign w:val="center"/>
          </w:tcPr>
          <w:p w14:paraId="670E16E1" w14:textId="58DD15FF" w:rsidR="009A6D72" w:rsidRPr="009A6D72" w:rsidRDefault="00631E36" w:rsidP="00742694">
            <w:pPr>
              <w:pStyle w:val="TableText"/>
            </w:pPr>
            <w:r w:rsidRPr="00631E36">
              <w:rPr>
                <w:color w:val="000000"/>
                <w:spacing w:val="79"/>
                <w:fitText w:val="408" w:id="-1175818751"/>
                <w14:textFill>
                  <w14:solidFill>
                    <w14:srgbClr w14:val="000000">
                      <w14:alpha w14:val="100000"/>
                    </w14:srgbClr>
                  </w14:solidFill>
                </w14:textFill>
              </w:rPr>
              <w:t>|||</w:t>
            </w:r>
            <w:r w:rsidRPr="00631E36">
              <w:rPr>
                <w:color w:val="000000"/>
                <w:spacing w:val="1"/>
                <w:fitText w:val="408" w:id="-1175818751"/>
                <w14:textFill>
                  <w14:solidFill>
                    <w14:srgbClr w14:val="000000">
                      <w14:alpha w14:val="100000"/>
                    </w14:srgbClr>
                  </w14:solidFill>
                </w14:textFill>
              </w:rPr>
              <w:t>|</w:t>
            </w:r>
          </w:p>
        </w:tc>
        <w:tc>
          <w:tcPr>
            <w:tcW w:w="530" w:type="pct"/>
            <w:vAlign w:val="center"/>
          </w:tcPr>
          <w:p w14:paraId="22909E57" w14:textId="62F15662" w:rsidR="009A6D72" w:rsidRPr="009A6D72" w:rsidRDefault="009A6D72" w:rsidP="00742694">
            <w:pPr>
              <w:pStyle w:val="TableText"/>
            </w:pPr>
            <w:r w:rsidRPr="009A6D72">
              <w:t>0.4%</w:t>
            </w:r>
          </w:p>
        </w:tc>
      </w:tr>
      <w:tr w:rsidR="009A6D72" w:rsidRPr="0018239F" w14:paraId="3C8FE51B" w14:textId="77777777" w:rsidTr="00631E36">
        <w:trPr>
          <w:cantSplit/>
          <w:trHeight w:val="300"/>
        </w:trPr>
        <w:tc>
          <w:tcPr>
            <w:tcW w:w="1748" w:type="pct"/>
            <w:noWrap/>
            <w:vAlign w:val="center"/>
          </w:tcPr>
          <w:p w14:paraId="0D2AB267" w14:textId="63DE5AC2" w:rsidR="009A6D72" w:rsidRPr="009A6D72" w:rsidRDefault="009A6D72" w:rsidP="00742694">
            <w:pPr>
              <w:pStyle w:val="TableText"/>
            </w:pPr>
            <w:r w:rsidRPr="009A6D72">
              <w:t>AMR excluding subclinical</w:t>
            </w:r>
          </w:p>
        </w:tc>
        <w:tc>
          <w:tcPr>
            <w:tcW w:w="1096" w:type="pct"/>
            <w:noWrap/>
            <w:vAlign w:val="center"/>
          </w:tcPr>
          <w:p w14:paraId="3A0AC6AD" w14:textId="6A084F03" w:rsidR="009A6D72" w:rsidRPr="009A6D72" w:rsidRDefault="009A6D72" w:rsidP="00742694">
            <w:pPr>
              <w:pStyle w:val="TableText"/>
            </w:pPr>
            <w:r w:rsidRPr="009A6D72">
              <w:t>Subclinical included</w:t>
            </w:r>
          </w:p>
        </w:tc>
        <w:tc>
          <w:tcPr>
            <w:tcW w:w="1096" w:type="pct"/>
            <w:noWrap/>
            <w:vAlign w:val="center"/>
          </w:tcPr>
          <w:p w14:paraId="4A74A999" w14:textId="5BCC2864" w:rsidR="009A6D72" w:rsidRPr="009A6D72" w:rsidRDefault="009A6D72" w:rsidP="00742694">
            <w:pPr>
              <w:pStyle w:val="TableText"/>
            </w:pPr>
            <w:r w:rsidRPr="009A6D72">
              <w:t>Subclinical excluded</w:t>
            </w:r>
          </w:p>
        </w:tc>
        <w:tc>
          <w:tcPr>
            <w:tcW w:w="530" w:type="pct"/>
            <w:tcBorders>
              <w:bottom w:val="single" w:sz="4" w:space="0" w:color="BFBFBF" w:themeColor="background1" w:themeShade="BF"/>
            </w:tcBorders>
            <w:shd w:val="solid" w:color="000000" w:fill="000000"/>
            <w:noWrap/>
            <w:vAlign w:val="center"/>
          </w:tcPr>
          <w:p w14:paraId="789B28BF" w14:textId="47B1229F" w:rsidR="009A6D72" w:rsidRPr="009A6D72" w:rsidRDefault="00631E36" w:rsidP="00742694">
            <w:pPr>
              <w:pStyle w:val="TableText"/>
            </w:pPr>
            <w:r w:rsidRPr="00631E36">
              <w:rPr>
                <w:color w:val="000000"/>
                <w:spacing w:val="79"/>
                <w:fitText w:val="408" w:id="-1175818750"/>
                <w14:textFill>
                  <w14:solidFill>
                    <w14:srgbClr w14:val="000000">
                      <w14:alpha w14:val="100000"/>
                    </w14:srgbClr>
                  </w14:solidFill>
                </w14:textFill>
              </w:rPr>
              <w:t>|||</w:t>
            </w:r>
            <w:r w:rsidRPr="00631E36">
              <w:rPr>
                <w:color w:val="000000"/>
                <w:spacing w:val="1"/>
                <w:fitText w:val="408" w:id="-1175818750"/>
                <w14:textFill>
                  <w14:solidFill>
                    <w14:srgbClr w14:val="000000">
                      <w14:alpha w14:val="100000"/>
                    </w14:srgbClr>
                  </w14:solidFill>
                </w14:textFill>
              </w:rPr>
              <w:t>|</w:t>
            </w:r>
          </w:p>
        </w:tc>
        <w:tc>
          <w:tcPr>
            <w:tcW w:w="530" w:type="pct"/>
            <w:vAlign w:val="center"/>
          </w:tcPr>
          <w:p w14:paraId="7377233E" w14:textId="122F778D" w:rsidR="009A6D72" w:rsidRPr="009A6D72" w:rsidRDefault="009A6D72" w:rsidP="00742694">
            <w:pPr>
              <w:pStyle w:val="TableText"/>
            </w:pPr>
            <w:r w:rsidRPr="009A6D72">
              <w:t>-1.7%</w:t>
            </w:r>
          </w:p>
        </w:tc>
      </w:tr>
      <w:tr w:rsidR="009A6D72" w:rsidRPr="0018239F" w14:paraId="545BDB50" w14:textId="77777777" w:rsidTr="00631E36">
        <w:trPr>
          <w:cantSplit/>
          <w:trHeight w:val="300"/>
        </w:trPr>
        <w:tc>
          <w:tcPr>
            <w:tcW w:w="1748" w:type="pct"/>
            <w:noWrap/>
            <w:vAlign w:val="center"/>
          </w:tcPr>
          <w:p w14:paraId="7754FFB7" w14:textId="644C9DF0" w:rsidR="009A6D72" w:rsidRPr="009A6D72" w:rsidRDefault="009A6D72" w:rsidP="00742694">
            <w:pPr>
              <w:pStyle w:val="TableText"/>
            </w:pPr>
            <w:r w:rsidRPr="009A6D72">
              <w:t>Graft survival population</w:t>
            </w:r>
          </w:p>
        </w:tc>
        <w:tc>
          <w:tcPr>
            <w:tcW w:w="1096" w:type="pct"/>
            <w:noWrap/>
            <w:vAlign w:val="center"/>
          </w:tcPr>
          <w:p w14:paraId="12E3178E" w14:textId="4236594C" w:rsidR="009A6D72" w:rsidRPr="009A6D72" w:rsidRDefault="009A6D72" w:rsidP="00742694">
            <w:pPr>
              <w:pStyle w:val="TableText"/>
            </w:pPr>
            <w:r w:rsidRPr="009A6D72">
              <w:t>All imlifidase</w:t>
            </w:r>
          </w:p>
        </w:tc>
        <w:tc>
          <w:tcPr>
            <w:tcW w:w="1096" w:type="pct"/>
            <w:noWrap/>
            <w:vAlign w:val="center"/>
          </w:tcPr>
          <w:p w14:paraId="2D0B50AB" w14:textId="3A0C91B3" w:rsidR="009A6D72" w:rsidRPr="009A6D72" w:rsidRDefault="009A6D72" w:rsidP="00742694">
            <w:pPr>
              <w:pStyle w:val="TableText"/>
            </w:pPr>
            <w:r w:rsidRPr="009A6D72">
              <w:t>UTT-A</w:t>
            </w:r>
          </w:p>
        </w:tc>
        <w:tc>
          <w:tcPr>
            <w:tcW w:w="530" w:type="pct"/>
            <w:tcBorders>
              <w:bottom w:val="single" w:sz="4" w:space="0" w:color="BFBFBF" w:themeColor="background1" w:themeShade="BF"/>
            </w:tcBorders>
            <w:shd w:val="solid" w:color="000000" w:fill="000000"/>
            <w:noWrap/>
            <w:vAlign w:val="center"/>
          </w:tcPr>
          <w:p w14:paraId="26227ECC" w14:textId="4363B5C7" w:rsidR="009A6D72" w:rsidRPr="009A6D72" w:rsidRDefault="00631E36" w:rsidP="00742694">
            <w:pPr>
              <w:pStyle w:val="TableText"/>
            </w:pPr>
            <w:r w:rsidRPr="00631E36">
              <w:rPr>
                <w:color w:val="000000"/>
                <w:spacing w:val="79"/>
                <w:fitText w:val="408" w:id="-1175818749"/>
                <w14:textFill>
                  <w14:solidFill>
                    <w14:srgbClr w14:val="000000">
                      <w14:alpha w14:val="100000"/>
                    </w14:srgbClr>
                  </w14:solidFill>
                </w14:textFill>
              </w:rPr>
              <w:t>|||</w:t>
            </w:r>
            <w:r w:rsidRPr="00631E36">
              <w:rPr>
                <w:color w:val="000000"/>
                <w:spacing w:val="1"/>
                <w:fitText w:val="408" w:id="-1175818749"/>
                <w14:textFill>
                  <w14:solidFill>
                    <w14:srgbClr w14:val="000000">
                      <w14:alpha w14:val="100000"/>
                    </w14:srgbClr>
                  </w14:solidFill>
                </w14:textFill>
              </w:rPr>
              <w:t>|</w:t>
            </w:r>
          </w:p>
        </w:tc>
        <w:tc>
          <w:tcPr>
            <w:tcW w:w="530" w:type="pct"/>
            <w:vAlign w:val="center"/>
          </w:tcPr>
          <w:p w14:paraId="14672750" w14:textId="185C4871" w:rsidR="009A6D72" w:rsidRPr="009A6D72" w:rsidRDefault="009A6D72" w:rsidP="00742694">
            <w:pPr>
              <w:pStyle w:val="TableText"/>
            </w:pPr>
            <w:r w:rsidRPr="009A6D72">
              <w:t>-39.0%</w:t>
            </w:r>
          </w:p>
        </w:tc>
      </w:tr>
      <w:tr w:rsidR="009A6D72" w:rsidRPr="0018239F" w14:paraId="209F5843" w14:textId="77777777" w:rsidTr="00631E36">
        <w:trPr>
          <w:cantSplit/>
          <w:trHeight w:val="300"/>
        </w:trPr>
        <w:tc>
          <w:tcPr>
            <w:tcW w:w="1748" w:type="pct"/>
            <w:noWrap/>
            <w:vAlign w:val="center"/>
          </w:tcPr>
          <w:p w14:paraId="62F96F31" w14:textId="6A53FBBE" w:rsidR="009A6D72" w:rsidRPr="009A6D72" w:rsidRDefault="009A6D72" w:rsidP="00742694">
            <w:pPr>
              <w:pStyle w:val="TableText"/>
            </w:pPr>
            <w:r w:rsidRPr="009A6D72">
              <w:t>Graft survival distribution</w:t>
            </w:r>
          </w:p>
        </w:tc>
        <w:tc>
          <w:tcPr>
            <w:tcW w:w="1096" w:type="pct"/>
            <w:noWrap/>
            <w:vAlign w:val="center"/>
          </w:tcPr>
          <w:p w14:paraId="162B908E" w14:textId="0F3E58BF" w:rsidR="009A6D72" w:rsidRPr="009A6D72" w:rsidRDefault="009A6D72" w:rsidP="00742694">
            <w:pPr>
              <w:pStyle w:val="TableText"/>
            </w:pPr>
            <w:r w:rsidRPr="009A6D72">
              <w:t>Exponential</w:t>
            </w:r>
          </w:p>
        </w:tc>
        <w:tc>
          <w:tcPr>
            <w:tcW w:w="1096" w:type="pct"/>
            <w:noWrap/>
            <w:vAlign w:val="center"/>
          </w:tcPr>
          <w:p w14:paraId="205564B0" w14:textId="65DF4D42" w:rsidR="009A6D72" w:rsidRPr="009A6D72" w:rsidRDefault="009A6D72" w:rsidP="00742694">
            <w:pPr>
              <w:pStyle w:val="TableText"/>
            </w:pPr>
            <w:r w:rsidRPr="009A6D72">
              <w:t>Weibull</w:t>
            </w:r>
          </w:p>
        </w:tc>
        <w:tc>
          <w:tcPr>
            <w:tcW w:w="530" w:type="pct"/>
            <w:tcBorders>
              <w:bottom w:val="single" w:sz="4" w:space="0" w:color="BFBFBF" w:themeColor="background1" w:themeShade="BF"/>
            </w:tcBorders>
            <w:shd w:val="solid" w:color="000000" w:fill="000000"/>
            <w:noWrap/>
            <w:vAlign w:val="center"/>
          </w:tcPr>
          <w:p w14:paraId="07048A42" w14:textId="477475D5" w:rsidR="009A6D72" w:rsidRPr="009A6D72" w:rsidRDefault="00631E36" w:rsidP="00742694">
            <w:pPr>
              <w:pStyle w:val="TableText"/>
            </w:pPr>
            <w:r w:rsidRPr="00631E36">
              <w:rPr>
                <w:color w:val="000000"/>
                <w:spacing w:val="79"/>
                <w:fitText w:val="408" w:id="-1175818748"/>
                <w14:textFill>
                  <w14:solidFill>
                    <w14:srgbClr w14:val="000000">
                      <w14:alpha w14:val="100000"/>
                    </w14:srgbClr>
                  </w14:solidFill>
                </w14:textFill>
              </w:rPr>
              <w:t>|||</w:t>
            </w:r>
            <w:r w:rsidRPr="00631E36">
              <w:rPr>
                <w:color w:val="000000"/>
                <w:spacing w:val="1"/>
                <w:fitText w:val="408" w:id="-1175818748"/>
                <w14:textFill>
                  <w14:solidFill>
                    <w14:srgbClr w14:val="000000">
                      <w14:alpha w14:val="100000"/>
                    </w14:srgbClr>
                  </w14:solidFill>
                </w14:textFill>
              </w:rPr>
              <w:t>|</w:t>
            </w:r>
          </w:p>
        </w:tc>
        <w:tc>
          <w:tcPr>
            <w:tcW w:w="530" w:type="pct"/>
            <w:vAlign w:val="center"/>
          </w:tcPr>
          <w:p w14:paraId="5438C30B" w14:textId="56595A06" w:rsidR="009A6D72" w:rsidRPr="009A6D72" w:rsidRDefault="009A6D72" w:rsidP="00742694">
            <w:pPr>
              <w:pStyle w:val="TableText"/>
            </w:pPr>
            <w:r w:rsidRPr="009A6D72">
              <w:t>-38.5%</w:t>
            </w:r>
          </w:p>
        </w:tc>
      </w:tr>
      <w:tr w:rsidR="009A6D72" w:rsidRPr="0018239F" w14:paraId="7A517F16" w14:textId="77777777" w:rsidTr="00631E36">
        <w:trPr>
          <w:cantSplit/>
          <w:trHeight w:val="300"/>
        </w:trPr>
        <w:tc>
          <w:tcPr>
            <w:tcW w:w="1748" w:type="pct"/>
            <w:noWrap/>
            <w:vAlign w:val="center"/>
          </w:tcPr>
          <w:p w14:paraId="19A8A615" w14:textId="178C4CC9" w:rsidR="009A6D72" w:rsidRPr="009A6D72" w:rsidRDefault="009A6D72" w:rsidP="00742694">
            <w:pPr>
              <w:pStyle w:val="TableText"/>
            </w:pPr>
            <w:r w:rsidRPr="009A6D72">
              <w:t>Survival w</w:t>
            </w:r>
            <w:r w:rsidR="00EE1FC2">
              <w:t>ith</w:t>
            </w:r>
            <w:r w:rsidRPr="009A6D72">
              <w:t xml:space="preserve"> a functioning graft population</w:t>
            </w:r>
          </w:p>
        </w:tc>
        <w:tc>
          <w:tcPr>
            <w:tcW w:w="1096" w:type="pct"/>
            <w:noWrap/>
            <w:vAlign w:val="center"/>
          </w:tcPr>
          <w:p w14:paraId="75F82C7F" w14:textId="42A3CDD2" w:rsidR="009A6D72" w:rsidRPr="009A6D72" w:rsidRDefault="009A6D72" w:rsidP="00742694">
            <w:pPr>
              <w:pStyle w:val="TableText"/>
            </w:pPr>
            <w:r w:rsidRPr="009A6D72">
              <w:t>All imlifidase</w:t>
            </w:r>
          </w:p>
        </w:tc>
        <w:tc>
          <w:tcPr>
            <w:tcW w:w="1096" w:type="pct"/>
            <w:noWrap/>
            <w:vAlign w:val="center"/>
          </w:tcPr>
          <w:p w14:paraId="4CCFFF2B" w14:textId="211BB9E6" w:rsidR="009A6D72" w:rsidRPr="009A6D72" w:rsidRDefault="009A6D72" w:rsidP="00742694">
            <w:pPr>
              <w:pStyle w:val="TableText"/>
            </w:pPr>
            <w:r w:rsidRPr="009A6D72">
              <w:t>UTT-A</w:t>
            </w:r>
          </w:p>
        </w:tc>
        <w:tc>
          <w:tcPr>
            <w:tcW w:w="530" w:type="pct"/>
            <w:tcBorders>
              <w:bottom w:val="single" w:sz="4" w:space="0" w:color="BFBFBF" w:themeColor="background1" w:themeShade="BF"/>
            </w:tcBorders>
            <w:shd w:val="solid" w:color="000000" w:fill="000000"/>
            <w:noWrap/>
            <w:vAlign w:val="center"/>
          </w:tcPr>
          <w:p w14:paraId="627CF859" w14:textId="26AF0117" w:rsidR="009A6D72" w:rsidRPr="009A6D72" w:rsidRDefault="00631E36" w:rsidP="00742694">
            <w:pPr>
              <w:pStyle w:val="TableText"/>
            </w:pPr>
            <w:r w:rsidRPr="00631E36">
              <w:rPr>
                <w:color w:val="000000"/>
                <w:spacing w:val="79"/>
                <w:fitText w:val="408" w:id="-1175818747"/>
                <w14:textFill>
                  <w14:solidFill>
                    <w14:srgbClr w14:val="000000">
                      <w14:alpha w14:val="100000"/>
                    </w14:srgbClr>
                  </w14:solidFill>
                </w14:textFill>
              </w:rPr>
              <w:t>|||</w:t>
            </w:r>
            <w:r w:rsidRPr="00631E36">
              <w:rPr>
                <w:color w:val="000000"/>
                <w:spacing w:val="1"/>
                <w:fitText w:val="408" w:id="-1175818747"/>
                <w14:textFill>
                  <w14:solidFill>
                    <w14:srgbClr w14:val="000000">
                      <w14:alpha w14:val="100000"/>
                    </w14:srgbClr>
                  </w14:solidFill>
                </w14:textFill>
              </w:rPr>
              <w:t>|</w:t>
            </w:r>
          </w:p>
        </w:tc>
        <w:tc>
          <w:tcPr>
            <w:tcW w:w="530" w:type="pct"/>
            <w:vAlign w:val="center"/>
          </w:tcPr>
          <w:p w14:paraId="6F506577" w14:textId="6200C8AD" w:rsidR="009A6D72" w:rsidRPr="009A6D72" w:rsidRDefault="009A6D72" w:rsidP="00742694">
            <w:pPr>
              <w:pStyle w:val="TableText"/>
            </w:pPr>
            <w:r w:rsidRPr="009A6D72">
              <w:t>-28.8%</w:t>
            </w:r>
          </w:p>
        </w:tc>
      </w:tr>
      <w:tr w:rsidR="009A6D72" w:rsidRPr="0018239F" w14:paraId="57C3E439" w14:textId="77777777" w:rsidTr="00DD2D41">
        <w:trPr>
          <w:cantSplit/>
          <w:trHeight w:val="300"/>
        </w:trPr>
        <w:tc>
          <w:tcPr>
            <w:tcW w:w="1748" w:type="pct"/>
            <w:noWrap/>
            <w:vAlign w:val="center"/>
          </w:tcPr>
          <w:p w14:paraId="23856EBF" w14:textId="08499F82" w:rsidR="009A6D72" w:rsidRPr="009A6D72" w:rsidRDefault="009A6D72" w:rsidP="00742694">
            <w:pPr>
              <w:pStyle w:val="TableText"/>
            </w:pPr>
            <w:r w:rsidRPr="009A6D72">
              <w:t>Survival w</w:t>
            </w:r>
            <w:r w:rsidR="00EE1FC2">
              <w:t>ith</w:t>
            </w:r>
            <w:r w:rsidRPr="009A6D72">
              <w:t xml:space="preserve"> a functioning graft distribution</w:t>
            </w:r>
          </w:p>
        </w:tc>
        <w:tc>
          <w:tcPr>
            <w:tcW w:w="1096" w:type="pct"/>
            <w:noWrap/>
            <w:vAlign w:val="center"/>
          </w:tcPr>
          <w:p w14:paraId="50F663B0" w14:textId="3FB76068" w:rsidR="009A6D72" w:rsidRPr="009A6D72" w:rsidRDefault="009A6D72" w:rsidP="00742694">
            <w:pPr>
              <w:pStyle w:val="TableText"/>
            </w:pPr>
            <w:r w:rsidRPr="009A6D72">
              <w:t>Exponential</w:t>
            </w:r>
          </w:p>
        </w:tc>
        <w:tc>
          <w:tcPr>
            <w:tcW w:w="1096" w:type="pct"/>
            <w:noWrap/>
            <w:vAlign w:val="center"/>
          </w:tcPr>
          <w:p w14:paraId="175B29A9" w14:textId="78FA43EE" w:rsidR="009A6D72" w:rsidRPr="009A6D72" w:rsidRDefault="009A6D72" w:rsidP="00742694">
            <w:pPr>
              <w:pStyle w:val="TableText"/>
            </w:pPr>
            <w:r w:rsidRPr="009A6D72">
              <w:t>Weibull</w:t>
            </w:r>
          </w:p>
        </w:tc>
        <w:tc>
          <w:tcPr>
            <w:tcW w:w="530" w:type="pct"/>
            <w:tcBorders>
              <w:bottom w:val="single" w:sz="4" w:space="0" w:color="BFBFBF" w:themeColor="background1" w:themeShade="BF"/>
            </w:tcBorders>
            <w:shd w:val="solid" w:color="000000" w:fill="000000"/>
            <w:noWrap/>
            <w:vAlign w:val="center"/>
          </w:tcPr>
          <w:p w14:paraId="1F5A0041" w14:textId="60C2995C" w:rsidR="009A6D72" w:rsidRPr="009A6D72" w:rsidRDefault="00631E36" w:rsidP="00742694">
            <w:pPr>
              <w:pStyle w:val="TableText"/>
            </w:pPr>
            <w:r w:rsidRPr="00631E36">
              <w:rPr>
                <w:color w:val="000000"/>
                <w:spacing w:val="79"/>
                <w:fitText w:val="408" w:id="-1175818496"/>
                <w14:textFill>
                  <w14:solidFill>
                    <w14:srgbClr w14:val="000000">
                      <w14:alpha w14:val="100000"/>
                    </w14:srgbClr>
                  </w14:solidFill>
                </w14:textFill>
              </w:rPr>
              <w:t>|||</w:t>
            </w:r>
            <w:r w:rsidRPr="00631E36">
              <w:rPr>
                <w:color w:val="000000"/>
                <w:spacing w:val="1"/>
                <w:fitText w:val="408" w:id="-1175818496"/>
                <w14:textFill>
                  <w14:solidFill>
                    <w14:srgbClr w14:val="000000">
                      <w14:alpha w14:val="100000"/>
                    </w14:srgbClr>
                  </w14:solidFill>
                </w14:textFill>
              </w:rPr>
              <w:t>|</w:t>
            </w:r>
          </w:p>
        </w:tc>
        <w:tc>
          <w:tcPr>
            <w:tcW w:w="530" w:type="pct"/>
            <w:vAlign w:val="center"/>
          </w:tcPr>
          <w:p w14:paraId="5AC87881" w14:textId="7D556903" w:rsidR="009A6D72" w:rsidRPr="009A6D72" w:rsidRDefault="009A6D72" w:rsidP="00742694">
            <w:pPr>
              <w:pStyle w:val="TableText"/>
            </w:pPr>
            <w:r w:rsidRPr="009A6D72">
              <w:t>8.5%</w:t>
            </w:r>
          </w:p>
        </w:tc>
      </w:tr>
      <w:tr w:rsidR="009A6D72" w:rsidRPr="0018239F" w14:paraId="68D76CAD" w14:textId="77777777" w:rsidTr="00DD2D41">
        <w:trPr>
          <w:cantSplit/>
          <w:trHeight w:val="300"/>
        </w:trPr>
        <w:tc>
          <w:tcPr>
            <w:tcW w:w="1748" w:type="pct"/>
            <w:noWrap/>
            <w:vAlign w:val="center"/>
          </w:tcPr>
          <w:p w14:paraId="1117461C" w14:textId="400FF0FB" w:rsidR="009A6D72" w:rsidRPr="009A6D72" w:rsidRDefault="009A6D72" w:rsidP="00742694">
            <w:pPr>
              <w:pStyle w:val="TableText"/>
            </w:pPr>
            <w:r w:rsidRPr="009A6D72">
              <w:t>Dialysis costing</w:t>
            </w:r>
          </w:p>
        </w:tc>
        <w:tc>
          <w:tcPr>
            <w:tcW w:w="1096" w:type="pct"/>
            <w:noWrap/>
            <w:vAlign w:val="center"/>
          </w:tcPr>
          <w:p w14:paraId="44E96D20" w14:textId="340CEC9C" w:rsidR="009A6D72" w:rsidRPr="009A6D72" w:rsidRDefault="009A6D72" w:rsidP="00742694">
            <w:pPr>
              <w:pStyle w:val="TableText"/>
            </w:pPr>
            <w:r w:rsidRPr="009A6D72">
              <w:t>Micro-costing</w:t>
            </w:r>
          </w:p>
        </w:tc>
        <w:tc>
          <w:tcPr>
            <w:tcW w:w="1096" w:type="pct"/>
            <w:noWrap/>
            <w:vAlign w:val="center"/>
          </w:tcPr>
          <w:p w14:paraId="4A0C2D01" w14:textId="6EDDECEB" w:rsidR="009A6D72" w:rsidRPr="009A6D72" w:rsidRDefault="009A6D72" w:rsidP="00742694">
            <w:pPr>
              <w:pStyle w:val="TableText"/>
            </w:pPr>
            <w:r w:rsidRPr="009A6D72">
              <w:t>KHA 2010</w:t>
            </w:r>
          </w:p>
        </w:tc>
        <w:tc>
          <w:tcPr>
            <w:tcW w:w="530" w:type="pct"/>
            <w:tcBorders>
              <w:bottom w:val="single" w:sz="4" w:space="0" w:color="BFBFBF" w:themeColor="background1" w:themeShade="BF"/>
            </w:tcBorders>
            <w:shd w:val="solid" w:color="000000" w:fill="000000"/>
            <w:noWrap/>
            <w:vAlign w:val="center"/>
          </w:tcPr>
          <w:p w14:paraId="50276B09" w14:textId="4E9C450C" w:rsidR="009A6D72" w:rsidRPr="009A6D72" w:rsidRDefault="00DD2D41" w:rsidP="00742694">
            <w:pPr>
              <w:pStyle w:val="TableText"/>
            </w:pPr>
            <w:r w:rsidRPr="00DD2D41">
              <w:rPr>
                <w:color w:val="000000"/>
                <w:spacing w:val="79"/>
                <w:fitText w:val="408" w:id="-1175818495"/>
                <w14:textFill>
                  <w14:solidFill>
                    <w14:srgbClr w14:val="000000">
                      <w14:alpha w14:val="100000"/>
                    </w14:srgbClr>
                  </w14:solidFill>
                </w14:textFill>
              </w:rPr>
              <w:t>|||</w:t>
            </w:r>
            <w:r w:rsidRPr="00DD2D41">
              <w:rPr>
                <w:color w:val="000000"/>
                <w:spacing w:val="1"/>
                <w:fitText w:val="408" w:id="-1175818495"/>
                <w14:textFill>
                  <w14:solidFill>
                    <w14:srgbClr w14:val="000000">
                      <w14:alpha w14:val="100000"/>
                    </w14:srgbClr>
                  </w14:solidFill>
                </w14:textFill>
              </w:rPr>
              <w:t>|</w:t>
            </w:r>
          </w:p>
        </w:tc>
        <w:tc>
          <w:tcPr>
            <w:tcW w:w="530" w:type="pct"/>
            <w:vAlign w:val="center"/>
          </w:tcPr>
          <w:p w14:paraId="134212C9" w14:textId="3B9B8741" w:rsidR="009A6D72" w:rsidRPr="009A6D72" w:rsidRDefault="009A6D72" w:rsidP="00742694">
            <w:pPr>
              <w:pStyle w:val="TableText"/>
            </w:pPr>
            <w:r w:rsidRPr="009A6D72">
              <w:t>77.1%</w:t>
            </w:r>
          </w:p>
        </w:tc>
      </w:tr>
      <w:tr w:rsidR="009A6D72" w:rsidRPr="0018239F" w14:paraId="71F14B3C" w14:textId="77777777" w:rsidTr="00DD2D41">
        <w:trPr>
          <w:cantSplit/>
          <w:trHeight w:val="300"/>
        </w:trPr>
        <w:tc>
          <w:tcPr>
            <w:tcW w:w="1748" w:type="pct"/>
            <w:noWrap/>
            <w:vAlign w:val="center"/>
          </w:tcPr>
          <w:p w14:paraId="7F7F6202" w14:textId="3E9CB376" w:rsidR="009A6D72" w:rsidRPr="009A6D72" w:rsidRDefault="009A6D72" w:rsidP="00742694">
            <w:pPr>
              <w:pStyle w:val="TableText"/>
            </w:pPr>
            <w:r w:rsidRPr="009A6D72">
              <w:t>Dialysis costing</w:t>
            </w:r>
          </w:p>
        </w:tc>
        <w:tc>
          <w:tcPr>
            <w:tcW w:w="1096" w:type="pct"/>
            <w:noWrap/>
            <w:vAlign w:val="center"/>
          </w:tcPr>
          <w:p w14:paraId="54DFDC37" w14:textId="52D6E1D1" w:rsidR="009A6D72" w:rsidRPr="009A6D72" w:rsidRDefault="009A6D72" w:rsidP="00742694">
            <w:pPr>
              <w:pStyle w:val="TableText"/>
            </w:pPr>
            <w:r w:rsidRPr="009A6D72">
              <w:t>Micro-costing</w:t>
            </w:r>
          </w:p>
        </w:tc>
        <w:tc>
          <w:tcPr>
            <w:tcW w:w="1096" w:type="pct"/>
            <w:noWrap/>
            <w:vAlign w:val="center"/>
          </w:tcPr>
          <w:p w14:paraId="2B0FFCA1" w14:textId="18A1DEE1" w:rsidR="009A6D72" w:rsidRPr="009A6D72" w:rsidRDefault="009A6D72" w:rsidP="00742694">
            <w:pPr>
              <w:pStyle w:val="TableText"/>
            </w:pPr>
            <w:r w:rsidRPr="009A6D72">
              <w:t>Gorham 2019</w:t>
            </w:r>
          </w:p>
        </w:tc>
        <w:tc>
          <w:tcPr>
            <w:tcW w:w="530" w:type="pct"/>
            <w:tcBorders>
              <w:bottom w:val="single" w:sz="4" w:space="0" w:color="BFBFBF" w:themeColor="background1" w:themeShade="BF"/>
            </w:tcBorders>
            <w:shd w:val="solid" w:color="000000" w:fill="000000"/>
            <w:noWrap/>
            <w:vAlign w:val="center"/>
          </w:tcPr>
          <w:p w14:paraId="1F5B6D61" w14:textId="633494E4" w:rsidR="009A6D72" w:rsidRPr="009A6D72" w:rsidRDefault="00DD2D41" w:rsidP="00742694">
            <w:pPr>
              <w:pStyle w:val="TableText"/>
            </w:pPr>
            <w:r w:rsidRPr="00DD2D41">
              <w:rPr>
                <w:color w:val="000000"/>
                <w:spacing w:val="79"/>
                <w:fitText w:val="408" w:id="-1175818494"/>
                <w14:textFill>
                  <w14:solidFill>
                    <w14:srgbClr w14:val="000000">
                      <w14:alpha w14:val="100000"/>
                    </w14:srgbClr>
                  </w14:solidFill>
                </w14:textFill>
              </w:rPr>
              <w:t>|||</w:t>
            </w:r>
            <w:r w:rsidRPr="00DD2D41">
              <w:rPr>
                <w:color w:val="000000"/>
                <w:spacing w:val="1"/>
                <w:fitText w:val="408" w:id="-1175818494"/>
                <w14:textFill>
                  <w14:solidFill>
                    <w14:srgbClr w14:val="000000">
                      <w14:alpha w14:val="100000"/>
                    </w14:srgbClr>
                  </w14:solidFill>
                </w14:textFill>
              </w:rPr>
              <w:t>|</w:t>
            </w:r>
          </w:p>
        </w:tc>
        <w:tc>
          <w:tcPr>
            <w:tcW w:w="530" w:type="pct"/>
            <w:vAlign w:val="center"/>
          </w:tcPr>
          <w:p w14:paraId="117FE142" w14:textId="21FB968D" w:rsidR="009A6D72" w:rsidRPr="009A6D72" w:rsidRDefault="009A6D72" w:rsidP="00742694">
            <w:pPr>
              <w:pStyle w:val="TableText"/>
            </w:pPr>
            <w:r w:rsidRPr="009A6D72">
              <w:t>71.8%</w:t>
            </w:r>
          </w:p>
        </w:tc>
      </w:tr>
      <w:tr w:rsidR="009A6D72" w:rsidRPr="0018239F" w14:paraId="14EF0BF3" w14:textId="77777777" w:rsidTr="00DD2D41">
        <w:trPr>
          <w:cantSplit/>
          <w:trHeight w:val="300"/>
        </w:trPr>
        <w:tc>
          <w:tcPr>
            <w:tcW w:w="1748" w:type="pct"/>
            <w:noWrap/>
            <w:vAlign w:val="center"/>
          </w:tcPr>
          <w:p w14:paraId="50E027B8" w14:textId="1C9D8D63" w:rsidR="009A6D72" w:rsidRPr="009A6D72" w:rsidRDefault="009A6D72" w:rsidP="00742694">
            <w:pPr>
              <w:pStyle w:val="TableText"/>
            </w:pPr>
            <w:r w:rsidRPr="009A6D72">
              <w:t>Dialysis costing</w:t>
            </w:r>
          </w:p>
        </w:tc>
        <w:tc>
          <w:tcPr>
            <w:tcW w:w="1096" w:type="pct"/>
            <w:noWrap/>
            <w:vAlign w:val="center"/>
          </w:tcPr>
          <w:p w14:paraId="42609F7A" w14:textId="14F009F3" w:rsidR="009A6D72" w:rsidRPr="009A6D72" w:rsidRDefault="009A6D72" w:rsidP="00742694">
            <w:pPr>
              <w:pStyle w:val="TableText"/>
            </w:pPr>
            <w:r w:rsidRPr="009A6D72">
              <w:t>Micro-costing</w:t>
            </w:r>
          </w:p>
        </w:tc>
        <w:tc>
          <w:tcPr>
            <w:tcW w:w="1096" w:type="pct"/>
            <w:noWrap/>
            <w:vAlign w:val="center"/>
          </w:tcPr>
          <w:p w14:paraId="0FD2D8CD" w14:textId="57BA6932" w:rsidR="009A6D72" w:rsidRPr="009A6D72" w:rsidRDefault="009A6D72" w:rsidP="00742694">
            <w:pPr>
              <w:pStyle w:val="TableText"/>
            </w:pPr>
            <w:r w:rsidRPr="009A6D72">
              <w:t>Remote location</w:t>
            </w:r>
          </w:p>
        </w:tc>
        <w:tc>
          <w:tcPr>
            <w:tcW w:w="530" w:type="pct"/>
            <w:tcBorders>
              <w:bottom w:val="single" w:sz="4" w:space="0" w:color="BFBFBF" w:themeColor="background1" w:themeShade="BF"/>
            </w:tcBorders>
            <w:shd w:val="solid" w:color="000000" w:fill="000000"/>
            <w:noWrap/>
            <w:vAlign w:val="center"/>
          </w:tcPr>
          <w:p w14:paraId="26D3DCE8" w14:textId="7E45FB1C" w:rsidR="009A6D72" w:rsidRPr="009A6D72" w:rsidRDefault="00DD2D41" w:rsidP="00742694">
            <w:pPr>
              <w:pStyle w:val="TableText"/>
            </w:pPr>
            <w:r w:rsidRPr="00DD2D41">
              <w:rPr>
                <w:color w:val="000000"/>
                <w:spacing w:val="33"/>
                <w:fitText w:val="576" w:id="-1175818493"/>
                <w14:textFill>
                  <w14:solidFill>
                    <w14:srgbClr w14:val="000000">
                      <w14:alpha w14:val="100000"/>
                    </w14:srgbClr>
                  </w14:solidFill>
                </w14:textFill>
              </w:rPr>
              <w:t>|||||||</w:t>
            </w:r>
            <w:r w:rsidRPr="00DD2D41">
              <w:rPr>
                <w:color w:val="000000"/>
                <w:spacing w:val="5"/>
                <w:fitText w:val="576" w:id="-1175818493"/>
                <w14:textFill>
                  <w14:solidFill>
                    <w14:srgbClr w14:val="000000">
                      <w14:alpha w14:val="100000"/>
                    </w14:srgbClr>
                  </w14:solidFill>
                </w14:textFill>
              </w:rPr>
              <w:t>|</w:t>
            </w:r>
          </w:p>
        </w:tc>
        <w:tc>
          <w:tcPr>
            <w:tcW w:w="530" w:type="pct"/>
            <w:vAlign w:val="center"/>
          </w:tcPr>
          <w:p w14:paraId="28CE7F1C" w14:textId="56F057FE" w:rsidR="009A6D72" w:rsidRPr="009A6D72" w:rsidRDefault="009A6D72" w:rsidP="00742694">
            <w:pPr>
              <w:pStyle w:val="TableText"/>
            </w:pPr>
            <w:r w:rsidRPr="009A6D72">
              <w:t>Became dominant</w:t>
            </w:r>
          </w:p>
        </w:tc>
      </w:tr>
      <w:tr w:rsidR="009A6D72" w:rsidRPr="0018239F" w14:paraId="5C03A732" w14:textId="77777777" w:rsidTr="00DD2D41">
        <w:trPr>
          <w:cantSplit/>
          <w:trHeight w:val="300"/>
        </w:trPr>
        <w:tc>
          <w:tcPr>
            <w:tcW w:w="1748" w:type="pct"/>
            <w:noWrap/>
            <w:vAlign w:val="center"/>
          </w:tcPr>
          <w:p w14:paraId="31AA144A" w14:textId="6345C86F" w:rsidR="009A6D72" w:rsidRPr="009A6D72" w:rsidRDefault="009A6D72" w:rsidP="00742694">
            <w:pPr>
              <w:pStyle w:val="TableText"/>
            </w:pPr>
            <w:r w:rsidRPr="009A6D72">
              <w:t>Transplant costing</w:t>
            </w:r>
          </w:p>
        </w:tc>
        <w:tc>
          <w:tcPr>
            <w:tcW w:w="1096" w:type="pct"/>
            <w:noWrap/>
            <w:vAlign w:val="center"/>
          </w:tcPr>
          <w:p w14:paraId="64D91866" w14:textId="25628CAA" w:rsidR="009A6D72" w:rsidRPr="009A6D72" w:rsidRDefault="009A6D72" w:rsidP="00742694">
            <w:pPr>
              <w:pStyle w:val="TableText"/>
            </w:pPr>
            <w:r w:rsidRPr="009A6D72">
              <w:t>Micro-costing</w:t>
            </w:r>
          </w:p>
        </w:tc>
        <w:tc>
          <w:tcPr>
            <w:tcW w:w="1096" w:type="pct"/>
            <w:noWrap/>
            <w:vAlign w:val="center"/>
          </w:tcPr>
          <w:p w14:paraId="7789DFC3" w14:textId="50BB2601" w:rsidR="009A6D72" w:rsidRPr="009A6D72" w:rsidRDefault="009A6D72" w:rsidP="00742694">
            <w:pPr>
              <w:pStyle w:val="TableText"/>
            </w:pPr>
            <w:r w:rsidRPr="009A6D72">
              <w:t>Modified KHA 2010</w:t>
            </w:r>
          </w:p>
        </w:tc>
        <w:tc>
          <w:tcPr>
            <w:tcW w:w="530" w:type="pct"/>
            <w:tcBorders>
              <w:bottom w:val="single" w:sz="4" w:space="0" w:color="BFBFBF" w:themeColor="background1" w:themeShade="BF"/>
            </w:tcBorders>
            <w:shd w:val="solid" w:color="000000" w:fill="000000"/>
            <w:noWrap/>
            <w:vAlign w:val="center"/>
          </w:tcPr>
          <w:p w14:paraId="7F5A2C74" w14:textId="41107E93" w:rsidR="009A6D72" w:rsidRPr="009A6D72" w:rsidRDefault="00DD2D41" w:rsidP="00742694">
            <w:pPr>
              <w:pStyle w:val="TableText"/>
            </w:pPr>
            <w:r w:rsidRPr="00DD2D41">
              <w:rPr>
                <w:color w:val="000000"/>
                <w:spacing w:val="79"/>
                <w:fitText w:val="408" w:id="-1175818492"/>
                <w14:textFill>
                  <w14:solidFill>
                    <w14:srgbClr w14:val="000000">
                      <w14:alpha w14:val="100000"/>
                    </w14:srgbClr>
                  </w14:solidFill>
                </w14:textFill>
              </w:rPr>
              <w:t>|||</w:t>
            </w:r>
            <w:r w:rsidRPr="00DD2D41">
              <w:rPr>
                <w:color w:val="000000"/>
                <w:spacing w:val="1"/>
                <w:fitText w:val="408" w:id="-1175818492"/>
                <w14:textFill>
                  <w14:solidFill>
                    <w14:srgbClr w14:val="000000">
                      <w14:alpha w14:val="100000"/>
                    </w14:srgbClr>
                  </w14:solidFill>
                </w14:textFill>
              </w:rPr>
              <w:t>|</w:t>
            </w:r>
          </w:p>
        </w:tc>
        <w:tc>
          <w:tcPr>
            <w:tcW w:w="530" w:type="pct"/>
            <w:vAlign w:val="center"/>
          </w:tcPr>
          <w:p w14:paraId="41685EA5" w14:textId="2A6336DE" w:rsidR="009A6D72" w:rsidRPr="009A6D72" w:rsidRDefault="009A6D72" w:rsidP="00742694">
            <w:pPr>
              <w:pStyle w:val="TableText"/>
            </w:pPr>
            <w:r w:rsidRPr="009A6D72">
              <w:t>29.9%</w:t>
            </w:r>
          </w:p>
        </w:tc>
      </w:tr>
      <w:tr w:rsidR="009A6D72" w:rsidRPr="0018239F" w14:paraId="3D9D3EA6" w14:textId="77777777" w:rsidTr="00DD2D41">
        <w:trPr>
          <w:cantSplit/>
          <w:trHeight w:val="300"/>
        </w:trPr>
        <w:tc>
          <w:tcPr>
            <w:tcW w:w="1748" w:type="pct"/>
            <w:noWrap/>
            <w:vAlign w:val="center"/>
          </w:tcPr>
          <w:p w14:paraId="57F08678" w14:textId="07273061" w:rsidR="009A6D72" w:rsidRPr="009A6D72" w:rsidRDefault="009A6D72" w:rsidP="00742694">
            <w:pPr>
              <w:pStyle w:val="TableText"/>
            </w:pPr>
            <w:r w:rsidRPr="009A6D72">
              <w:t>Utility</w:t>
            </w:r>
          </w:p>
        </w:tc>
        <w:tc>
          <w:tcPr>
            <w:tcW w:w="1096" w:type="pct"/>
            <w:noWrap/>
            <w:vAlign w:val="center"/>
          </w:tcPr>
          <w:p w14:paraId="41639DE2" w14:textId="36ADE2CF" w:rsidR="009A6D72" w:rsidRPr="009A6D72" w:rsidRDefault="009A6D72" w:rsidP="00742694">
            <w:pPr>
              <w:pStyle w:val="TableText"/>
            </w:pPr>
            <w:r w:rsidRPr="009A6D72">
              <w:t>Cooper 2020</w:t>
            </w:r>
          </w:p>
        </w:tc>
        <w:tc>
          <w:tcPr>
            <w:tcW w:w="1096" w:type="pct"/>
            <w:noWrap/>
            <w:vAlign w:val="center"/>
          </w:tcPr>
          <w:p w14:paraId="25ACBD59" w14:textId="47E2EEFF" w:rsidR="009A6D72" w:rsidRPr="009A6D72" w:rsidRDefault="009A6D72" w:rsidP="00742694">
            <w:pPr>
              <w:pStyle w:val="TableText"/>
            </w:pPr>
            <w:proofErr w:type="spellStart"/>
            <w:r w:rsidRPr="009A6D72">
              <w:t>Liem</w:t>
            </w:r>
            <w:proofErr w:type="spellEnd"/>
            <w:r w:rsidRPr="009A6D72">
              <w:t xml:space="preserve"> 2008</w:t>
            </w:r>
          </w:p>
        </w:tc>
        <w:tc>
          <w:tcPr>
            <w:tcW w:w="530" w:type="pct"/>
            <w:tcBorders>
              <w:bottom w:val="single" w:sz="4" w:space="0" w:color="BFBFBF" w:themeColor="background1" w:themeShade="BF"/>
            </w:tcBorders>
            <w:shd w:val="solid" w:color="000000" w:fill="000000"/>
            <w:noWrap/>
            <w:vAlign w:val="center"/>
          </w:tcPr>
          <w:p w14:paraId="6EE8B56D" w14:textId="1533C8BF" w:rsidR="009A6D72" w:rsidRPr="009A6D72" w:rsidRDefault="00DD2D41" w:rsidP="00742694">
            <w:pPr>
              <w:pStyle w:val="TableText"/>
            </w:pPr>
            <w:r w:rsidRPr="00DD2D41">
              <w:rPr>
                <w:color w:val="000000"/>
                <w:spacing w:val="79"/>
                <w:fitText w:val="408" w:id="-1175818491"/>
                <w14:textFill>
                  <w14:solidFill>
                    <w14:srgbClr w14:val="000000">
                      <w14:alpha w14:val="100000"/>
                    </w14:srgbClr>
                  </w14:solidFill>
                </w14:textFill>
              </w:rPr>
              <w:t>|||</w:t>
            </w:r>
            <w:r w:rsidRPr="00DD2D41">
              <w:rPr>
                <w:color w:val="000000"/>
                <w:spacing w:val="1"/>
                <w:fitText w:val="408" w:id="-1175818491"/>
                <w14:textFill>
                  <w14:solidFill>
                    <w14:srgbClr w14:val="000000">
                      <w14:alpha w14:val="100000"/>
                    </w14:srgbClr>
                  </w14:solidFill>
                </w14:textFill>
              </w:rPr>
              <w:t>|</w:t>
            </w:r>
          </w:p>
        </w:tc>
        <w:tc>
          <w:tcPr>
            <w:tcW w:w="530" w:type="pct"/>
            <w:vAlign w:val="center"/>
          </w:tcPr>
          <w:p w14:paraId="70851C58" w14:textId="22F58625" w:rsidR="009A6D72" w:rsidRPr="009A6D72" w:rsidRDefault="009A6D72" w:rsidP="00742694">
            <w:pPr>
              <w:pStyle w:val="TableText"/>
            </w:pPr>
            <w:r w:rsidRPr="009A6D72">
              <w:t>-7.2%</w:t>
            </w:r>
          </w:p>
        </w:tc>
      </w:tr>
      <w:tr w:rsidR="009A6D72" w:rsidRPr="0018239F" w14:paraId="58674E97" w14:textId="77777777" w:rsidTr="001748D2">
        <w:trPr>
          <w:cantSplit/>
          <w:trHeight w:val="300"/>
        </w:trPr>
        <w:tc>
          <w:tcPr>
            <w:tcW w:w="1748" w:type="pct"/>
            <w:noWrap/>
            <w:vAlign w:val="center"/>
          </w:tcPr>
          <w:p w14:paraId="547948AF" w14:textId="0577BBDA" w:rsidR="009A6D72" w:rsidRPr="009A6D72" w:rsidRDefault="009A6D72" w:rsidP="00742694">
            <w:pPr>
              <w:pStyle w:val="TableText"/>
            </w:pPr>
            <w:r w:rsidRPr="009A6D72">
              <w:t>Add caregiver disutility</w:t>
            </w:r>
          </w:p>
        </w:tc>
        <w:tc>
          <w:tcPr>
            <w:tcW w:w="1096" w:type="pct"/>
            <w:noWrap/>
            <w:vAlign w:val="center"/>
          </w:tcPr>
          <w:p w14:paraId="4BE64E5F" w14:textId="67F797A2" w:rsidR="009A6D72" w:rsidRPr="009A6D72" w:rsidRDefault="009A6D72" w:rsidP="00742694">
            <w:pPr>
              <w:pStyle w:val="TableText"/>
            </w:pPr>
            <w:r w:rsidRPr="009A6D72">
              <w:t>No caregiver disutility</w:t>
            </w:r>
          </w:p>
        </w:tc>
        <w:tc>
          <w:tcPr>
            <w:tcW w:w="1096" w:type="pct"/>
            <w:noWrap/>
            <w:vAlign w:val="center"/>
          </w:tcPr>
          <w:p w14:paraId="5D596275" w14:textId="20810A61" w:rsidR="009A6D72" w:rsidRPr="009A6D72" w:rsidRDefault="009A6D72" w:rsidP="00742694">
            <w:pPr>
              <w:pStyle w:val="TableText"/>
            </w:pPr>
            <w:r w:rsidRPr="009A6D72">
              <w:t>Add caregiver disutility</w:t>
            </w:r>
          </w:p>
        </w:tc>
        <w:tc>
          <w:tcPr>
            <w:tcW w:w="530" w:type="pct"/>
            <w:tcBorders>
              <w:bottom w:val="single" w:sz="4" w:space="0" w:color="BFBFBF" w:themeColor="background1" w:themeShade="BF"/>
            </w:tcBorders>
            <w:shd w:val="solid" w:color="000000" w:fill="000000"/>
            <w:noWrap/>
            <w:vAlign w:val="center"/>
          </w:tcPr>
          <w:p w14:paraId="49231B70" w14:textId="7AF1D894" w:rsidR="009A6D72" w:rsidRPr="009A6D72" w:rsidRDefault="00DD2D41" w:rsidP="00742694">
            <w:pPr>
              <w:pStyle w:val="TableText"/>
            </w:pPr>
            <w:r w:rsidRPr="00DD2D41">
              <w:rPr>
                <w:color w:val="000000"/>
                <w:spacing w:val="79"/>
                <w:fitText w:val="408" w:id="-1175818240"/>
                <w14:textFill>
                  <w14:solidFill>
                    <w14:srgbClr w14:val="000000">
                      <w14:alpha w14:val="100000"/>
                    </w14:srgbClr>
                  </w14:solidFill>
                </w14:textFill>
              </w:rPr>
              <w:t>|||</w:t>
            </w:r>
            <w:r w:rsidRPr="00DD2D41">
              <w:rPr>
                <w:color w:val="000000"/>
                <w:spacing w:val="1"/>
                <w:fitText w:val="408" w:id="-1175818240"/>
                <w14:textFill>
                  <w14:solidFill>
                    <w14:srgbClr w14:val="000000">
                      <w14:alpha w14:val="100000"/>
                    </w14:srgbClr>
                  </w14:solidFill>
                </w14:textFill>
              </w:rPr>
              <w:t>|</w:t>
            </w:r>
          </w:p>
        </w:tc>
        <w:tc>
          <w:tcPr>
            <w:tcW w:w="530" w:type="pct"/>
            <w:vAlign w:val="center"/>
          </w:tcPr>
          <w:p w14:paraId="62E077F8" w14:textId="5B89ED90" w:rsidR="009A6D72" w:rsidRPr="009A6D72" w:rsidRDefault="009A6D72" w:rsidP="00742694">
            <w:pPr>
              <w:pStyle w:val="TableText"/>
            </w:pPr>
            <w:r w:rsidRPr="009A6D72">
              <w:t>-3.1%</w:t>
            </w:r>
          </w:p>
        </w:tc>
      </w:tr>
      <w:tr w:rsidR="009A6D72" w:rsidRPr="0018239F" w14:paraId="53263DF1" w14:textId="77777777" w:rsidTr="001748D2">
        <w:trPr>
          <w:cantSplit/>
          <w:trHeight w:val="300"/>
        </w:trPr>
        <w:tc>
          <w:tcPr>
            <w:tcW w:w="1748" w:type="pct"/>
            <w:noWrap/>
            <w:vAlign w:val="center"/>
          </w:tcPr>
          <w:p w14:paraId="0E3EED78" w14:textId="5D6E6007" w:rsidR="009A6D72" w:rsidRPr="009A6D72" w:rsidRDefault="009A6D72" w:rsidP="00742694">
            <w:pPr>
              <w:pStyle w:val="TableText"/>
            </w:pPr>
            <w:r w:rsidRPr="009A6D72">
              <w:t>Excluding co-transplant patients</w:t>
            </w:r>
          </w:p>
        </w:tc>
        <w:tc>
          <w:tcPr>
            <w:tcW w:w="1096" w:type="pct"/>
            <w:noWrap/>
            <w:vAlign w:val="center"/>
          </w:tcPr>
          <w:p w14:paraId="1F28DCAD" w14:textId="1177EDA1" w:rsidR="009A6D72" w:rsidRPr="009A6D72" w:rsidRDefault="009A6D72" w:rsidP="00742694">
            <w:pPr>
              <w:pStyle w:val="TableText"/>
            </w:pPr>
            <w:r w:rsidRPr="009A6D72">
              <w:t>Including co-transplants</w:t>
            </w:r>
          </w:p>
        </w:tc>
        <w:tc>
          <w:tcPr>
            <w:tcW w:w="1096" w:type="pct"/>
            <w:noWrap/>
            <w:vAlign w:val="center"/>
          </w:tcPr>
          <w:p w14:paraId="7DA6A8A5" w14:textId="40E3EA6B" w:rsidR="009A6D72" w:rsidRPr="009A6D72" w:rsidRDefault="009A6D72" w:rsidP="00742694">
            <w:pPr>
              <w:pStyle w:val="TableText"/>
            </w:pPr>
            <w:r w:rsidRPr="009A6D72">
              <w:t>Excluding co-transplants</w:t>
            </w:r>
          </w:p>
        </w:tc>
        <w:tc>
          <w:tcPr>
            <w:tcW w:w="530" w:type="pct"/>
            <w:tcBorders>
              <w:bottom w:val="single" w:sz="4" w:space="0" w:color="BFBFBF" w:themeColor="background1" w:themeShade="BF"/>
            </w:tcBorders>
            <w:shd w:val="solid" w:color="000000" w:fill="000000"/>
            <w:noWrap/>
            <w:vAlign w:val="center"/>
          </w:tcPr>
          <w:p w14:paraId="7DA0ACF0" w14:textId="674AABF5" w:rsidR="009A6D72" w:rsidRPr="009A6D72" w:rsidRDefault="001748D2" w:rsidP="00742694">
            <w:pPr>
              <w:pStyle w:val="TableText"/>
            </w:pPr>
            <w:r w:rsidRPr="001748D2">
              <w:rPr>
                <w:color w:val="000000"/>
                <w:spacing w:val="79"/>
                <w:fitText w:val="408" w:id="-1175818239"/>
                <w14:textFill>
                  <w14:solidFill>
                    <w14:srgbClr w14:val="000000">
                      <w14:alpha w14:val="100000"/>
                    </w14:srgbClr>
                  </w14:solidFill>
                </w14:textFill>
              </w:rPr>
              <w:t>|||</w:t>
            </w:r>
            <w:r w:rsidRPr="001748D2">
              <w:rPr>
                <w:color w:val="000000"/>
                <w:spacing w:val="1"/>
                <w:fitText w:val="408" w:id="-1175818239"/>
                <w14:textFill>
                  <w14:solidFill>
                    <w14:srgbClr w14:val="000000">
                      <w14:alpha w14:val="100000"/>
                    </w14:srgbClr>
                  </w14:solidFill>
                </w14:textFill>
              </w:rPr>
              <w:t>|</w:t>
            </w:r>
          </w:p>
        </w:tc>
        <w:tc>
          <w:tcPr>
            <w:tcW w:w="530" w:type="pct"/>
            <w:vAlign w:val="center"/>
          </w:tcPr>
          <w:p w14:paraId="18175BB7" w14:textId="189FDB2E" w:rsidR="009A6D72" w:rsidRPr="009A6D72" w:rsidRDefault="009A6D72" w:rsidP="00742694">
            <w:pPr>
              <w:pStyle w:val="TableText"/>
            </w:pPr>
            <w:r w:rsidRPr="009A6D72">
              <w:t>235.7%</w:t>
            </w:r>
          </w:p>
        </w:tc>
      </w:tr>
      <w:tr w:rsidR="00232ECA" w:rsidRPr="0018239F" w14:paraId="0C3127CC" w14:textId="77777777" w:rsidTr="001748D2">
        <w:trPr>
          <w:cantSplit/>
          <w:trHeight w:val="300"/>
        </w:trPr>
        <w:tc>
          <w:tcPr>
            <w:tcW w:w="1748" w:type="pct"/>
            <w:noWrap/>
            <w:vAlign w:val="center"/>
          </w:tcPr>
          <w:p w14:paraId="634E70AC" w14:textId="6F632A0E" w:rsidR="00232ECA" w:rsidRPr="009A6D72" w:rsidRDefault="00232ECA" w:rsidP="00742694">
            <w:pPr>
              <w:pStyle w:val="TableText"/>
            </w:pPr>
            <w:r w:rsidRPr="009A6D72">
              <w:t>ANZKX transplant rate distribution</w:t>
            </w:r>
          </w:p>
        </w:tc>
        <w:tc>
          <w:tcPr>
            <w:tcW w:w="1096" w:type="pct"/>
            <w:noWrap/>
            <w:vAlign w:val="center"/>
          </w:tcPr>
          <w:p w14:paraId="5345606F" w14:textId="4A51604F" w:rsidR="00232ECA" w:rsidRPr="009A6D72" w:rsidRDefault="00232ECA" w:rsidP="00742694">
            <w:pPr>
              <w:pStyle w:val="TableText"/>
            </w:pPr>
            <w:r w:rsidRPr="009A6D72">
              <w:t>Weibull</w:t>
            </w:r>
          </w:p>
        </w:tc>
        <w:tc>
          <w:tcPr>
            <w:tcW w:w="1096" w:type="pct"/>
            <w:noWrap/>
            <w:vAlign w:val="center"/>
          </w:tcPr>
          <w:p w14:paraId="27915605" w14:textId="2EE88F0B" w:rsidR="00232ECA" w:rsidRPr="009A6D72" w:rsidRDefault="00232ECA" w:rsidP="00742694">
            <w:pPr>
              <w:pStyle w:val="TableText"/>
            </w:pPr>
            <w:r w:rsidRPr="009A6D72">
              <w:t>Exponential</w:t>
            </w:r>
          </w:p>
        </w:tc>
        <w:tc>
          <w:tcPr>
            <w:tcW w:w="530" w:type="pct"/>
            <w:shd w:val="solid" w:color="000000" w:fill="000000"/>
            <w:noWrap/>
            <w:vAlign w:val="center"/>
          </w:tcPr>
          <w:p w14:paraId="0D9DD38A" w14:textId="7D945F7A" w:rsidR="00232ECA" w:rsidRPr="009A6D72" w:rsidRDefault="001748D2" w:rsidP="00742694">
            <w:pPr>
              <w:pStyle w:val="TableText"/>
            </w:pPr>
            <w:r w:rsidRPr="001748D2">
              <w:rPr>
                <w:color w:val="000000"/>
                <w:spacing w:val="79"/>
                <w:fitText w:val="408" w:id="-1175818238"/>
                <w14:textFill>
                  <w14:solidFill>
                    <w14:srgbClr w14:val="000000">
                      <w14:alpha w14:val="100000"/>
                    </w14:srgbClr>
                  </w14:solidFill>
                </w14:textFill>
              </w:rPr>
              <w:t>|||</w:t>
            </w:r>
            <w:r w:rsidRPr="001748D2">
              <w:rPr>
                <w:color w:val="000000"/>
                <w:spacing w:val="1"/>
                <w:fitText w:val="408" w:id="-1175818238"/>
                <w14:textFill>
                  <w14:solidFill>
                    <w14:srgbClr w14:val="000000">
                      <w14:alpha w14:val="100000"/>
                    </w14:srgbClr>
                  </w14:solidFill>
                </w14:textFill>
              </w:rPr>
              <w:t>|</w:t>
            </w:r>
          </w:p>
        </w:tc>
        <w:tc>
          <w:tcPr>
            <w:tcW w:w="530" w:type="pct"/>
            <w:vAlign w:val="center"/>
          </w:tcPr>
          <w:p w14:paraId="7AC900D0" w14:textId="4899A569" w:rsidR="00232ECA" w:rsidRPr="009A6D72" w:rsidRDefault="00232ECA" w:rsidP="00742694">
            <w:pPr>
              <w:pStyle w:val="TableText"/>
            </w:pPr>
            <w:r w:rsidRPr="009A6D72">
              <w:t>-27.7%</w:t>
            </w:r>
          </w:p>
        </w:tc>
      </w:tr>
      <w:tr w:rsidR="00232ECA" w:rsidRPr="0018239F" w14:paraId="1248B2DC" w14:textId="77777777" w:rsidTr="00964775">
        <w:trPr>
          <w:cantSplit/>
          <w:trHeight w:val="300"/>
        </w:trPr>
        <w:tc>
          <w:tcPr>
            <w:tcW w:w="5000" w:type="pct"/>
            <w:gridSpan w:val="5"/>
            <w:noWrap/>
            <w:vAlign w:val="center"/>
          </w:tcPr>
          <w:p w14:paraId="52EE1281" w14:textId="7E3739C5" w:rsidR="00232ECA" w:rsidRPr="00964775" w:rsidRDefault="00232ECA" w:rsidP="00742694">
            <w:pPr>
              <w:pStyle w:val="TableText"/>
              <w:rPr>
                <w:b/>
                <w:bCs/>
              </w:rPr>
            </w:pPr>
            <w:r w:rsidRPr="00964775">
              <w:rPr>
                <w:b/>
                <w:bCs/>
              </w:rPr>
              <w:t>Additional scenario analyses conducted by the assessment group</w:t>
            </w:r>
          </w:p>
        </w:tc>
      </w:tr>
      <w:tr w:rsidR="00512782" w:rsidRPr="0018239F" w14:paraId="4557C032" w14:textId="77777777" w:rsidTr="00095E98">
        <w:trPr>
          <w:cantSplit/>
          <w:trHeight w:val="300"/>
        </w:trPr>
        <w:tc>
          <w:tcPr>
            <w:tcW w:w="1748" w:type="pct"/>
            <w:noWrap/>
            <w:vAlign w:val="center"/>
          </w:tcPr>
          <w:p w14:paraId="37BB848A" w14:textId="693E5505" w:rsidR="00512782" w:rsidRPr="009A6D72" w:rsidRDefault="00512782" w:rsidP="00742694">
            <w:pPr>
              <w:pStyle w:val="TableText"/>
            </w:pPr>
            <w:r w:rsidRPr="009A6D72">
              <w:t>ANZKX transplant rate</w:t>
            </w:r>
          </w:p>
        </w:tc>
        <w:tc>
          <w:tcPr>
            <w:tcW w:w="1096" w:type="pct"/>
            <w:noWrap/>
            <w:vAlign w:val="center"/>
          </w:tcPr>
          <w:p w14:paraId="2FD87C6C" w14:textId="02BC72FF" w:rsidR="00512782" w:rsidRPr="009A6D72" w:rsidRDefault="00512782" w:rsidP="00742694">
            <w:pPr>
              <w:pStyle w:val="TableText"/>
            </w:pPr>
            <w:r>
              <w:t>Estimated from years 5-6 on transplant waiting list</w:t>
            </w:r>
          </w:p>
        </w:tc>
        <w:tc>
          <w:tcPr>
            <w:tcW w:w="1096" w:type="pct"/>
            <w:noWrap/>
            <w:vAlign w:val="center"/>
          </w:tcPr>
          <w:p w14:paraId="1F2A105B" w14:textId="037E4EF8" w:rsidR="00512782" w:rsidRPr="009A6D72" w:rsidRDefault="00512782" w:rsidP="00742694">
            <w:pPr>
              <w:pStyle w:val="TableText"/>
            </w:pPr>
            <w:r>
              <w:t>Estimated from years 2-6 on transplant waiting list</w:t>
            </w:r>
          </w:p>
        </w:tc>
        <w:tc>
          <w:tcPr>
            <w:tcW w:w="530" w:type="pct"/>
            <w:tcBorders>
              <w:bottom w:val="single" w:sz="4" w:space="0" w:color="BFBFBF" w:themeColor="background1" w:themeShade="BF"/>
            </w:tcBorders>
            <w:shd w:val="solid" w:color="000000" w:fill="000000"/>
            <w:noWrap/>
            <w:vAlign w:val="center"/>
          </w:tcPr>
          <w:p w14:paraId="2BC233B9" w14:textId="0388C750" w:rsidR="00512782" w:rsidRPr="009A6D72" w:rsidRDefault="00095E98" w:rsidP="00742694">
            <w:pPr>
              <w:pStyle w:val="TableText"/>
            </w:pPr>
            <w:r w:rsidRPr="00095E98">
              <w:rPr>
                <w:color w:val="000000"/>
                <w:spacing w:val="79"/>
                <w:fitText w:val="408" w:id="-1175817472"/>
                <w14:textFill>
                  <w14:solidFill>
                    <w14:srgbClr w14:val="000000">
                      <w14:alpha w14:val="100000"/>
                    </w14:srgbClr>
                  </w14:solidFill>
                </w14:textFill>
              </w:rPr>
              <w:t>|||</w:t>
            </w:r>
            <w:r w:rsidRPr="00095E98">
              <w:rPr>
                <w:color w:val="000000"/>
                <w:spacing w:val="1"/>
                <w:fitText w:val="408" w:id="-1175817472"/>
                <w14:textFill>
                  <w14:solidFill>
                    <w14:srgbClr w14:val="000000">
                      <w14:alpha w14:val="100000"/>
                    </w14:srgbClr>
                  </w14:solidFill>
                </w14:textFill>
              </w:rPr>
              <w:t>|</w:t>
            </w:r>
          </w:p>
        </w:tc>
        <w:tc>
          <w:tcPr>
            <w:tcW w:w="530" w:type="pct"/>
            <w:vAlign w:val="center"/>
          </w:tcPr>
          <w:p w14:paraId="544710AE" w14:textId="4EC7DA2D" w:rsidR="00512782" w:rsidRPr="009A6D72" w:rsidRDefault="00512782" w:rsidP="00742694">
            <w:pPr>
              <w:pStyle w:val="TableText"/>
            </w:pPr>
            <w:r w:rsidRPr="00964775">
              <w:t>77.6%</w:t>
            </w:r>
          </w:p>
        </w:tc>
      </w:tr>
      <w:tr w:rsidR="00512782" w:rsidRPr="0018239F" w14:paraId="20C191A6" w14:textId="77777777" w:rsidTr="00095E98">
        <w:trPr>
          <w:cantSplit/>
          <w:trHeight w:val="300"/>
        </w:trPr>
        <w:tc>
          <w:tcPr>
            <w:tcW w:w="1748" w:type="pct"/>
            <w:noWrap/>
            <w:vAlign w:val="center"/>
          </w:tcPr>
          <w:p w14:paraId="1B95327F" w14:textId="24102791" w:rsidR="00512782" w:rsidRPr="009A6D72" w:rsidRDefault="00512782" w:rsidP="00742694">
            <w:pPr>
              <w:pStyle w:val="TableText"/>
            </w:pPr>
            <w:r>
              <w:t>Costs considered</w:t>
            </w:r>
          </w:p>
        </w:tc>
        <w:tc>
          <w:tcPr>
            <w:tcW w:w="1096" w:type="pct"/>
            <w:noWrap/>
            <w:vAlign w:val="center"/>
          </w:tcPr>
          <w:p w14:paraId="45BEEA09" w14:textId="0778600C" w:rsidR="00512782" w:rsidRPr="009A6D72" w:rsidRDefault="00512782" w:rsidP="00742694">
            <w:pPr>
              <w:pStyle w:val="TableText"/>
            </w:pPr>
            <w:r>
              <w:t>Considers additional costs of transplant and dialysis cost offsets</w:t>
            </w:r>
          </w:p>
        </w:tc>
        <w:tc>
          <w:tcPr>
            <w:tcW w:w="1096" w:type="pct"/>
            <w:noWrap/>
            <w:vAlign w:val="center"/>
          </w:tcPr>
          <w:p w14:paraId="48252214" w14:textId="049FAB17" w:rsidR="00512782" w:rsidRPr="009A6D72" w:rsidRDefault="00512782" w:rsidP="00742694">
            <w:pPr>
              <w:pStyle w:val="TableText"/>
            </w:pPr>
            <w:r>
              <w:t>Includes additional costs associated with imlifidase administration only</w:t>
            </w:r>
          </w:p>
        </w:tc>
        <w:tc>
          <w:tcPr>
            <w:tcW w:w="530" w:type="pct"/>
            <w:tcBorders>
              <w:bottom w:val="single" w:sz="4" w:space="0" w:color="BFBFBF" w:themeColor="background1" w:themeShade="BF"/>
            </w:tcBorders>
            <w:shd w:val="solid" w:color="000000" w:fill="000000"/>
            <w:noWrap/>
            <w:vAlign w:val="center"/>
          </w:tcPr>
          <w:p w14:paraId="539925B1" w14:textId="360DF440" w:rsidR="00512782" w:rsidRPr="009A6D72" w:rsidRDefault="00095E98" w:rsidP="00742694">
            <w:pPr>
              <w:pStyle w:val="TableText"/>
            </w:pPr>
            <w:r w:rsidRPr="00095E98">
              <w:rPr>
                <w:color w:val="000000"/>
                <w:spacing w:val="47"/>
                <w:fitText w:val="492" w:id="-1175817471"/>
                <w14:textFill>
                  <w14:solidFill>
                    <w14:srgbClr w14:val="000000">
                      <w14:alpha w14:val="100000"/>
                    </w14:srgbClr>
                  </w14:solidFill>
                </w14:textFill>
              </w:rPr>
              <w:t>|||||</w:t>
            </w:r>
            <w:r w:rsidRPr="00095E98">
              <w:rPr>
                <w:color w:val="000000"/>
                <w:spacing w:val="2"/>
                <w:fitText w:val="492" w:id="-1175817471"/>
                <w14:textFill>
                  <w14:solidFill>
                    <w14:srgbClr w14:val="000000">
                      <w14:alpha w14:val="100000"/>
                    </w14:srgbClr>
                  </w14:solidFill>
                </w14:textFill>
              </w:rPr>
              <w:t>|</w:t>
            </w:r>
          </w:p>
        </w:tc>
        <w:tc>
          <w:tcPr>
            <w:tcW w:w="530" w:type="pct"/>
            <w:vAlign w:val="center"/>
          </w:tcPr>
          <w:p w14:paraId="3547DBA1" w14:textId="6409D982" w:rsidR="00512782" w:rsidRPr="009A6D72" w:rsidRDefault="00512782" w:rsidP="00742694">
            <w:pPr>
              <w:pStyle w:val="TableText"/>
            </w:pPr>
            <w:r w:rsidRPr="00964775">
              <w:t>506.1%</w:t>
            </w:r>
          </w:p>
        </w:tc>
      </w:tr>
      <w:tr w:rsidR="00512782" w:rsidRPr="0018239F" w14:paraId="7065D7DC" w14:textId="77777777" w:rsidTr="00095E98">
        <w:trPr>
          <w:cantSplit/>
          <w:trHeight w:val="300"/>
        </w:trPr>
        <w:tc>
          <w:tcPr>
            <w:tcW w:w="1748" w:type="pct"/>
            <w:noWrap/>
            <w:vAlign w:val="center"/>
          </w:tcPr>
          <w:p w14:paraId="53D03C6C" w14:textId="2E86E0F8" w:rsidR="00512782" w:rsidRPr="009A6D72" w:rsidRDefault="00512782" w:rsidP="00742694">
            <w:pPr>
              <w:pStyle w:val="TableText"/>
            </w:pPr>
            <w:r>
              <w:t>Patients in LD chain requiring imlifidase to receive a transplant</w:t>
            </w:r>
          </w:p>
        </w:tc>
        <w:tc>
          <w:tcPr>
            <w:tcW w:w="1096" w:type="pct"/>
            <w:noWrap/>
            <w:vAlign w:val="center"/>
          </w:tcPr>
          <w:p w14:paraId="76AACBDB" w14:textId="1D034492" w:rsidR="00512782" w:rsidRPr="009A6D72" w:rsidRDefault="00512782" w:rsidP="00742694">
            <w:pPr>
              <w:pStyle w:val="TableText"/>
            </w:pPr>
            <w:r>
              <w:t>No other patients in LD chain require imlifidase</w:t>
            </w:r>
          </w:p>
        </w:tc>
        <w:tc>
          <w:tcPr>
            <w:tcW w:w="1096" w:type="pct"/>
            <w:noWrap/>
            <w:vAlign w:val="center"/>
          </w:tcPr>
          <w:p w14:paraId="115B7B7C" w14:textId="2ADE7A0F" w:rsidR="00512782" w:rsidRPr="009A6D72" w:rsidRDefault="00512782" w:rsidP="00742694">
            <w:pPr>
              <w:pStyle w:val="TableText"/>
            </w:pPr>
            <w:r>
              <w:t>One other patient requires imlifidase</w:t>
            </w:r>
          </w:p>
        </w:tc>
        <w:tc>
          <w:tcPr>
            <w:tcW w:w="530" w:type="pct"/>
            <w:tcBorders>
              <w:bottom w:val="single" w:sz="4" w:space="0" w:color="BFBFBF" w:themeColor="background1" w:themeShade="BF"/>
            </w:tcBorders>
            <w:shd w:val="solid" w:color="000000" w:fill="000000"/>
            <w:noWrap/>
            <w:vAlign w:val="center"/>
          </w:tcPr>
          <w:p w14:paraId="7D9CFF50" w14:textId="7E22742A" w:rsidR="00512782" w:rsidRPr="009A6D72" w:rsidRDefault="00095E98" w:rsidP="00742694">
            <w:pPr>
              <w:pStyle w:val="TableText"/>
            </w:pPr>
            <w:r w:rsidRPr="00095E98">
              <w:rPr>
                <w:color w:val="000000"/>
                <w:spacing w:val="79"/>
                <w:fitText w:val="408" w:id="-1175817470"/>
                <w14:textFill>
                  <w14:solidFill>
                    <w14:srgbClr w14:val="000000">
                      <w14:alpha w14:val="100000"/>
                    </w14:srgbClr>
                  </w14:solidFill>
                </w14:textFill>
              </w:rPr>
              <w:t>|||</w:t>
            </w:r>
            <w:r w:rsidRPr="00095E98">
              <w:rPr>
                <w:color w:val="000000"/>
                <w:spacing w:val="1"/>
                <w:fitText w:val="408" w:id="-1175817470"/>
                <w14:textFill>
                  <w14:solidFill>
                    <w14:srgbClr w14:val="000000">
                      <w14:alpha w14:val="100000"/>
                    </w14:srgbClr>
                  </w14:solidFill>
                </w14:textFill>
              </w:rPr>
              <w:t>|</w:t>
            </w:r>
          </w:p>
        </w:tc>
        <w:tc>
          <w:tcPr>
            <w:tcW w:w="530" w:type="pct"/>
            <w:vAlign w:val="center"/>
          </w:tcPr>
          <w:p w14:paraId="0AFB93E8" w14:textId="68EA3A9F" w:rsidR="00512782" w:rsidRPr="009A6D72" w:rsidRDefault="00512782" w:rsidP="00742694">
            <w:pPr>
              <w:pStyle w:val="TableText"/>
            </w:pPr>
            <w:r w:rsidRPr="00964775">
              <w:t>99.2%</w:t>
            </w:r>
          </w:p>
        </w:tc>
      </w:tr>
      <w:tr w:rsidR="00512782" w:rsidRPr="0018239F" w14:paraId="72CD97FD" w14:textId="77777777" w:rsidTr="00095E98">
        <w:trPr>
          <w:cantSplit/>
          <w:trHeight w:val="300"/>
        </w:trPr>
        <w:tc>
          <w:tcPr>
            <w:tcW w:w="1748" w:type="pct"/>
            <w:noWrap/>
            <w:vAlign w:val="center"/>
          </w:tcPr>
          <w:p w14:paraId="72A0FC09" w14:textId="2C1170C3" w:rsidR="00512782" w:rsidRPr="009A6D72" w:rsidRDefault="00512782" w:rsidP="00742694">
            <w:pPr>
              <w:pStyle w:val="TableText"/>
            </w:pPr>
            <w:r w:rsidRPr="009A6D72">
              <w:t>Graft survival distribution</w:t>
            </w:r>
          </w:p>
        </w:tc>
        <w:tc>
          <w:tcPr>
            <w:tcW w:w="1096" w:type="pct"/>
            <w:noWrap/>
            <w:vAlign w:val="center"/>
          </w:tcPr>
          <w:p w14:paraId="24F1C8B4" w14:textId="4510CC21" w:rsidR="00512782" w:rsidRPr="009A6D72" w:rsidRDefault="00512782" w:rsidP="00742694">
            <w:pPr>
              <w:pStyle w:val="TableText"/>
            </w:pPr>
            <w:r w:rsidRPr="009A6D72">
              <w:t>Exponential</w:t>
            </w:r>
          </w:p>
        </w:tc>
        <w:tc>
          <w:tcPr>
            <w:tcW w:w="1096" w:type="pct"/>
            <w:noWrap/>
            <w:vAlign w:val="center"/>
          </w:tcPr>
          <w:p w14:paraId="6AAD565D" w14:textId="2F08F2A1" w:rsidR="00512782" w:rsidRPr="009A6D72" w:rsidRDefault="00512782" w:rsidP="00742694">
            <w:pPr>
              <w:pStyle w:val="TableText"/>
            </w:pPr>
            <w:r>
              <w:rPr>
                <w:bCs/>
              </w:rPr>
              <w:t>Generalised gamma</w:t>
            </w:r>
          </w:p>
        </w:tc>
        <w:tc>
          <w:tcPr>
            <w:tcW w:w="530" w:type="pct"/>
            <w:shd w:val="solid" w:color="000000" w:fill="000000"/>
            <w:noWrap/>
            <w:vAlign w:val="center"/>
          </w:tcPr>
          <w:p w14:paraId="16D717BD" w14:textId="559047C2" w:rsidR="00512782" w:rsidRPr="009A6D72" w:rsidRDefault="00095E98" w:rsidP="00742694">
            <w:pPr>
              <w:pStyle w:val="TableText"/>
            </w:pPr>
            <w:r w:rsidRPr="00095E98">
              <w:rPr>
                <w:bCs/>
                <w:color w:val="000000"/>
                <w:spacing w:val="79"/>
                <w:fitText w:val="408" w:id="-1175817469"/>
                <w14:textFill>
                  <w14:solidFill>
                    <w14:srgbClr w14:val="000000">
                      <w14:alpha w14:val="100000"/>
                    </w14:srgbClr>
                  </w14:solidFill>
                </w14:textFill>
              </w:rPr>
              <w:t>|||</w:t>
            </w:r>
            <w:r w:rsidRPr="00095E98">
              <w:rPr>
                <w:bCs/>
                <w:color w:val="000000"/>
                <w:spacing w:val="1"/>
                <w:fitText w:val="408" w:id="-1175817469"/>
                <w14:textFill>
                  <w14:solidFill>
                    <w14:srgbClr w14:val="000000">
                      <w14:alpha w14:val="100000"/>
                    </w14:srgbClr>
                  </w14:solidFill>
                </w14:textFill>
              </w:rPr>
              <w:t>|</w:t>
            </w:r>
          </w:p>
        </w:tc>
        <w:tc>
          <w:tcPr>
            <w:tcW w:w="530" w:type="pct"/>
            <w:vAlign w:val="center"/>
          </w:tcPr>
          <w:p w14:paraId="54B65AFE" w14:textId="01368B10" w:rsidR="00512782" w:rsidRPr="009A6D72" w:rsidRDefault="00512782" w:rsidP="00742694">
            <w:pPr>
              <w:pStyle w:val="TableText"/>
            </w:pPr>
            <w:r w:rsidRPr="00964775">
              <w:t>77.6%</w:t>
            </w:r>
          </w:p>
        </w:tc>
      </w:tr>
    </w:tbl>
    <w:p w14:paraId="084B6CE2" w14:textId="77777777" w:rsidR="004A3299" w:rsidRPr="0060622A" w:rsidRDefault="00821881" w:rsidP="00742694">
      <w:pPr>
        <w:pStyle w:val="Notes-TableFigure"/>
        <w:rPr>
          <w:b/>
          <w:bCs/>
          <w:u w:val="single"/>
        </w:rPr>
      </w:pPr>
      <w:r w:rsidRPr="0060622A">
        <w:rPr>
          <w:b/>
          <w:bCs/>
          <w:u w:val="single"/>
        </w:rPr>
        <w:t xml:space="preserve">Abbreviations: </w:t>
      </w:r>
    </w:p>
    <w:p w14:paraId="1F8746C4" w14:textId="7D538612" w:rsidR="00D47D16" w:rsidRDefault="00A95CBC" w:rsidP="0060622A">
      <w:pPr>
        <w:pStyle w:val="Notes-TableFigure"/>
      </w:pPr>
      <w:r w:rsidRPr="0060622A">
        <w:rPr>
          <w:b/>
          <w:bCs/>
        </w:rPr>
        <w:t>KHA</w:t>
      </w:r>
      <w:r>
        <w:t xml:space="preserve"> = </w:t>
      </w:r>
      <w:r w:rsidR="00D47D16" w:rsidRPr="00D47D16">
        <w:t>Kidney health Australia 2010</w:t>
      </w:r>
      <w:r w:rsidR="00D47D16">
        <w:t>,</w:t>
      </w:r>
      <w:r w:rsidR="00D47D16" w:rsidRPr="00D47D16">
        <w:t xml:space="preserve"> </w:t>
      </w:r>
      <w:r w:rsidR="00D47D16" w:rsidRPr="0060622A">
        <w:rPr>
          <w:b/>
          <w:bCs/>
        </w:rPr>
        <w:t>LY</w:t>
      </w:r>
      <w:r>
        <w:t xml:space="preserve"> =</w:t>
      </w:r>
      <w:r w:rsidR="00D47D16" w:rsidRPr="00D47D16">
        <w:t xml:space="preserve"> life-year</w:t>
      </w:r>
      <w:r>
        <w:t>,</w:t>
      </w:r>
      <w:r w:rsidR="00D47D16" w:rsidRPr="00D47D16">
        <w:t xml:space="preserve"> </w:t>
      </w:r>
      <w:r w:rsidR="00D47D16" w:rsidRPr="0060622A">
        <w:rPr>
          <w:b/>
          <w:bCs/>
        </w:rPr>
        <w:t>QALY</w:t>
      </w:r>
      <w:r>
        <w:t xml:space="preserve"> =</w:t>
      </w:r>
      <w:r w:rsidR="00D47D16" w:rsidRPr="00D47D16">
        <w:t xml:space="preserve"> quality-adjusted life-year</w:t>
      </w:r>
      <w:r>
        <w:t>,</w:t>
      </w:r>
      <w:r w:rsidR="00D47D16" w:rsidRPr="00D47D16">
        <w:t xml:space="preserve"> </w:t>
      </w:r>
      <w:r w:rsidR="00D47D16" w:rsidRPr="0060622A">
        <w:rPr>
          <w:b/>
          <w:bCs/>
        </w:rPr>
        <w:t>ICER</w:t>
      </w:r>
      <w:r>
        <w:t xml:space="preserve"> =</w:t>
      </w:r>
      <w:r w:rsidR="00D47D16" w:rsidRPr="00D47D16">
        <w:t xml:space="preserve"> incremental cost effectiveness ratio</w:t>
      </w:r>
      <w:r>
        <w:t>,</w:t>
      </w:r>
      <w:r w:rsidR="00D47D16" w:rsidRPr="00D47D16">
        <w:t xml:space="preserve"> </w:t>
      </w:r>
      <w:r w:rsidR="00D47D16" w:rsidRPr="0060622A">
        <w:rPr>
          <w:b/>
          <w:bCs/>
        </w:rPr>
        <w:t>AMR</w:t>
      </w:r>
      <w:r>
        <w:t xml:space="preserve"> =</w:t>
      </w:r>
      <w:r w:rsidR="00D47D16" w:rsidRPr="00D47D16">
        <w:t xml:space="preserve"> antibody-mediated rejection</w:t>
      </w:r>
      <w:r>
        <w:t>,</w:t>
      </w:r>
      <w:r w:rsidR="00D47D16" w:rsidRPr="00D47D16">
        <w:t xml:space="preserve"> </w:t>
      </w:r>
      <w:r w:rsidR="00D47D16" w:rsidRPr="0060622A">
        <w:rPr>
          <w:b/>
          <w:bCs/>
        </w:rPr>
        <w:t>DGF</w:t>
      </w:r>
      <w:r>
        <w:t xml:space="preserve"> =</w:t>
      </w:r>
      <w:r w:rsidR="00D47D16" w:rsidRPr="00D47D16">
        <w:t xml:space="preserve"> delayed graft function</w:t>
      </w:r>
      <w:r>
        <w:t>,</w:t>
      </w:r>
      <w:r w:rsidR="00D47D16" w:rsidRPr="00D47D16">
        <w:t xml:space="preserve"> </w:t>
      </w:r>
      <w:r w:rsidR="00D47D16" w:rsidRPr="0060622A">
        <w:rPr>
          <w:b/>
          <w:bCs/>
        </w:rPr>
        <w:t>ANZKX</w:t>
      </w:r>
      <w:r>
        <w:t xml:space="preserve"> = </w:t>
      </w:r>
      <w:r w:rsidR="00D47D16" w:rsidRPr="00D47D16">
        <w:t>Australia and New Zealand kidney exchange</w:t>
      </w:r>
      <w:r>
        <w:t>,</w:t>
      </w:r>
      <w:r w:rsidR="00D47D16" w:rsidRPr="00D47D16">
        <w:t xml:space="preserve"> </w:t>
      </w:r>
      <w:r w:rsidR="00D47D16" w:rsidRPr="0060622A">
        <w:rPr>
          <w:b/>
          <w:bCs/>
        </w:rPr>
        <w:t>UTT-A</w:t>
      </w:r>
      <w:r>
        <w:t xml:space="preserve"> =</w:t>
      </w:r>
      <w:r w:rsidR="00D47D16" w:rsidRPr="00D47D16">
        <w:t xml:space="preserve"> unlikely to be transplanted</w:t>
      </w:r>
      <w:r w:rsidR="005951FB">
        <w:t>–</w:t>
      </w:r>
      <w:r w:rsidR="00D47D16" w:rsidRPr="00D47D16">
        <w:t>agnostic.</w:t>
      </w:r>
    </w:p>
    <w:p w14:paraId="4CA9B6A4" w14:textId="77777777" w:rsidR="004A3299" w:rsidRPr="0060622A" w:rsidRDefault="00821881" w:rsidP="0060622A">
      <w:pPr>
        <w:pStyle w:val="Notes-TableFigure"/>
        <w:rPr>
          <w:b/>
          <w:bCs/>
          <w:u w:val="single"/>
        </w:rPr>
      </w:pPr>
      <w:r w:rsidRPr="0060622A">
        <w:rPr>
          <w:b/>
          <w:bCs/>
          <w:u w:val="single"/>
        </w:rPr>
        <w:t xml:space="preserve">Source: </w:t>
      </w:r>
    </w:p>
    <w:p w14:paraId="7AF3EAE0" w14:textId="183E3301" w:rsidR="00821881" w:rsidRPr="00A2483E" w:rsidRDefault="00821881" w:rsidP="0060622A">
      <w:pPr>
        <w:pStyle w:val="Notes-TableFigure"/>
        <w:rPr>
          <w:rFonts w:eastAsia="Calibri"/>
        </w:rPr>
      </w:pPr>
      <w:r>
        <w:t>Table 80</w:t>
      </w:r>
      <w:r w:rsidR="00536A30">
        <w:t xml:space="preserve"> of ADAR</w:t>
      </w:r>
    </w:p>
    <w:p w14:paraId="7007EB7F" w14:textId="253761F7" w:rsidR="008446EF" w:rsidRDefault="000F4913" w:rsidP="00193FB4">
      <w:pPr>
        <w:rPr>
          <w:color w:val="000000" w:themeColor="text1"/>
        </w:rPr>
      </w:pPr>
      <w:r>
        <w:rPr>
          <w:color w:val="000000" w:themeColor="text1"/>
        </w:rPr>
        <w:t xml:space="preserve">In addition to the scenarios presented in the </w:t>
      </w:r>
      <w:r w:rsidR="00A65D20">
        <w:rPr>
          <w:color w:val="000000" w:themeColor="text1"/>
        </w:rPr>
        <w:t>s</w:t>
      </w:r>
      <w:r>
        <w:rPr>
          <w:color w:val="000000" w:themeColor="text1"/>
        </w:rPr>
        <w:t xml:space="preserve">ubmission, the </w:t>
      </w:r>
      <w:r w:rsidR="00E83349">
        <w:rPr>
          <w:color w:val="000000" w:themeColor="text1"/>
        </w:rPr>
        <w:t xml:space="preserve">commentary </w:t>
      </w:r>
      <w:r w:rsidR="003A7F24">
        <w:rPr>
          <w:color w:val="000000" w:themeColor="text1"/>
        </w:rPr>
        <w:t xml:space="preserve">found </w:t>
      </w:r>
      <w:r w:rsidR="00FA150E">
        <w:rPr>
          <w:color w:val="000000" w:themeColor="text1"/>
        </w:rPr>
        <w:t xml:space="preserve">there are other areas of significant uncertainty with the potential to have a material impact on the estimated cost-effectiveness of imlifidase. </w:t>
      </w:r>
      <w:r w:rsidR="003B0F80">
        <w:rPr>
          <w:color w:val="000000" w:themeColor="text1"/>
        </w:rPr>
        <w:t>A summary of the key</w:t>
      </w:r>
      <w:r w:rsidR="000B39A4">
        <w:rPr>
          <w:color w:val="000000" w:themeColor="text1"/>
        </w:rPr>
        <w:t xml:space="preserve"> </w:t>
      </w:r>
      <w:r w:rsidR="00604C40">
        <w:rPr>
          <w:color w:val="000000" w:themeColor="text1"/>
        </w:rPr>
        <w:t>uncertainties and drivers in the economic model are summarised in</w:t>
      </w:r>
      <w:r w:rsidR="008446EF">
        <w:rPr>
          <w:color w:val="000000" w:themeColor="text1"/>
        </w:rPr>
        <w:t xml:space="preserve"> </w:t>
      </w:r>
      <w:r w:rsidR="008446EF">
        <w:rPr>
          <w:color w:val="000000" w:themeColor="text1"/>
        </w:rPr>
        <w:fldChar w:fldCharType="begin"/>
      </w:r>
      <w:r w:rsidR="008446EF">
        <w:rPr>
          <w:color w:val="000000" w:themeColor="text1"/>
        </w:rPr>
        <w:instrText xml:space="preserve"> REF _Ref130997697 \h </w:instrText>
      </w:r>
      <w:r w:rsidR="008446EF">
        <w:rPr>
          <w:color w:val="000000" w:themeColor="text1"/>
        </w:rPr>
      </w:r>
      <w:r w:rsidR="008446EF">
        <w:rPr>
          <w:color w:val="000000" w:themeColor="text1"/>
        </w:rPr>
        <w:fldChar w:fldCharType="separate"/>
      </w:r>
      <w:r w:rsidR="00E209CB">
        <w:t xml:space="preserve">Table </w:t>
      </w:r>
      <w:r w:rsidR="00E209CB">
        <w:rPr>
          <w:noProof/>
        </w:rPr>
        <w:t>8</w:t>
      </w:r>
      <w:r w:rsidR="008446EF">
        <w:rPr>
          <w:color w:val="000000" w:themeColor="text1"/>
        </w:rPr>
        <w:fldChar w:fldCharType="end"/>
      </w:r>
      <w:r w:rsidR="00604C40">
        <w:rPr>
          <w:color w:val="000000" w:themeColor="text1"/>
        </w:rPr>
        <w:t xml:space="preserve">, along with a description </w:t>
      </w:r>
      <w:r w:rsidR="008446EF">
        <w:rPr>
          <w:color w:val="000000" w:themeColor="text1"/>
        </w:rPr>
        <w:t>of the anticipated impact, and</w:t>
      </w:r>
      <w:r w:rsidR="00F71CB6">
        <w:rPr>
          <w:color w:val="000000" w:themeColor="text1"/>
        </w:rPr>
        <w:t>,</w:t>
      </w:r>
      <w:r w:rsidR="008446EF">
        <w:rPr>
          <w:color w:val="000000" w:themeColor="text1"/>
        </w:rPr>
        <w:t xml:space="preserve"> where possible, the results of additional scenario analyses conducted by the assessment group as part of the commentary.</w:t>
      </w:r>
    </w:p>
    <w:p w14:paraId="4FF5D5C7" w14:textId="4DA9932E" w:rsidR="009F5F74" w:rsidRPr="009F5F74" w:rsidRDefault="009250C8" w:rsidP="009F5F74">
      <w:pPr>
        <w:rPr>
          <w:color w:val="000000" w:themeColor="text1"/>
        </w:rPr>
      </w:pPr>
      <w:r>
        <w:rPr>
          <w:color w:val="000000" w:themeColor="text1"/>
        </w:rPr>
        <w:t xml:space="preserve">In its pre-ESC </w:t>
      </w:r>
      <w:proofErr w:type="gramStart"/>
      <w:r>
        <w:rPr>
          <w:color w:val="000000" w:themeColor="text1"/>
        </w:rPr>
        <w:t>response</w:t>
      </w:r>
      <w:proofErr w:type="gramEnd"/>
      <w:r>
        <w:rPr>
          <w:color w:val="000000" w:themeColor="text1"/>
        </w:rPr>
        <w:t xml:space="preserve"> the applicant </w:t>
      </w:r>
      <w:r w:rsidR="00395DF7">
        <w:rPr>
          <w:color w:val="000000" w:themeColor="text1"/>
        </w:rPr>
        <w:t xml:space="preserve">proposed an alternative ICER value of </w:t>
      </w:r>
      <w:r w:rsidR="004F5E28">
        <w:rPr>
          <w:color w:val="000000" w:themeColor="text1"/>
        </w:rPr>
        <w:t>$</w:t>
      </w:r>
      <w:r w:rsidR="005E7BEA" w:rsidRPr="005E7BEA">
        <w:rPr>
          <w:color w:val="000000" w:themeColor="text1"/>
          <w:w w:val="65"/>
          <w:shd w:val="solid" w:color="000000" w:fill="000000"/>
          <w:fitText w:val="576" w:id="-1168413440"/>
          <w14:textFill>
            <w14:solidFill>
              <w14:schemeClr w14:val="tx1">
                <w14:alpha w14:val="100000"/>
              </w14:schemeClr>
            </w14:solidFill>
          </w14:textFill>
        </w:rPr>
        <w:t>||||||||</w:t>
      </w:r>
      <w:r w:rsidR="005E7BEA">
        <w:rPr>
          <w:color w:val="000000" w:themeColor="text1"/>
        </w:rPr>
        <w:t xml:space="preserve"> </w:t>
      </w:r>
      <w:r w:rsidR="00E3210B" w:rsidRPr="00E3210B">
        <w:rPr>
          <w:color w:val="000000" w:themeColor="text1"/>
        </w:rPr>
        <w:t>per QALY</w:t>
      </w:r>
      <w:r w:rsidR="00E3210B">
        <w:rPr>
          <w:color w:val="000000" w:themeColor="text1"/>
        </w:rPr>
        <w:t xml:space="preserve"> gained based </w:t>
      </w:r>
      <w:r w:rsidR="00F43897">
        <w:rPr>
          <w:color w:val="000000" w:themeColor="text1"/>
        </w:rPr>
        <w:t xml:space="preserve">on </w:t>
      </w:r>
      <w:r w:rsidR="00AA4AA6">
        <w:rPr>
          <w:color w:val="000000" w:themeColor="text1"/>
        </w:rPr>
        <w:t xml:space="preserve">correcting an error </w:t>
      </w:r>
      <w:r w:rsidR="00F43897">
        <w:rPr>
          <w:color w:val="000000" w:themeColor="text1"/>
        </w:rPr>
        <w:t>i</w:t>
      </w:r>
      <w:r w:rsidR="00AA4AA6">
        <w:rPr>
          <w:color w:val="000000" w:themeColor="text1"/>
        </w:rPr>
        <w:t xml:space="preserve">n </w:t>
      </w:r>
      <w:r w:rsidR="00F43897">
        <w:rPr>
          <w:color w:val="000000" w:themeColor="text1"/>
        </w:rPr>
        <w:t xml:space="preserve">the </w:t>
      </w:r>
      <w:r w:rsidR="00AA4AA6">
        <w:rPr>
          <w:color w:val="000000" w:themeColor="text1"/>
        </w:rPr>
        <w:t xml:space="preserve">costing of </w:t>
      </w:r>
      <w:r w:rsidR="00AA4AA6" w:rsidRPr="00AA4AA6">
        <w:rPr>
          <w:color w:val="000000" w:themeColor="text1"/>
        </w:rPr>
        <w:t>immunosuppressive treatment</w:t>
      </w:r>
      <w:r w:rsidR="004F5E28" w:rsidRPr="004F5E28">
        <w:t xml:space="preserve"> </w:t>
      </w:r>
      <w:r w:rsidR="004F5E28">
        <w:t xml:space="preserve">and </w:t>
      </w:r>
      <w:r w:rsidR="004F5E28" w:rsidRPr="004F5E28">
        <w:rPr>
          <w:color w:val="000000" w:themeColor="text1"/>
        </w:rPr>
        <w:t>excluding all spill-over effects</w:t>
      </w:r>
      <w:r w:rsidR="004F5E28">
        <w:rPr>
          <w:color w:val="000000" w:themeColor="text1"/>
        </w:rPr>
        <w:t xml:space="preserve"> (both positive and negative)</w:t>
      </w:r>
      <w:r w:rsidR="00247B8E">
        <w:rPr>
          <w:color w:val="000000" w:themeColor="text1"/>
        </w:rPr>
        <w:t xml:space="preserve"> i.e. the scenario captured in the </w:t>
      </w:r>
      <w:r w:rsidR="00C7272E">
        <w:rPr>
          <w:color w:val="000000" w:themeColor="text1"/>
        </w:rPr>
        <w:t>value of $</w:t>
      </w:r>
      <w:r w:rsidR="005E7BEA" w:rsidRPr="005E7BEA">
        <w:rPr>
          <w:color w:val="000000" w:themeColor="text1"/>
          <w:w w:val="64"/>
          <w:shd w:val="solid" w:color="000000" w:fill="000000"/>
          <w:fitText w:val="570" w:id="-1168413439"/>
          <w14:textFill>
            <w14:solidFill>
              <w14:schemeClr w14:val="tx1">
                <w14:alpha w14:val="100000"/>
              </w14:schemeClr>
            </w14:solidFill>
          </w14:textFill>
        </w:rPr>
        <w:t>||||||||</w:t>
      </w:r>
      <w:r w:rsidR="005E7BEA">
        <w:rPr>
          <w:color w:val="000000" w:themeColor="text1"/>
        </w:rPr>
        <w:t xml:space="preserve"> </w:t>
      </w:r>
      <w:r w:rsidR="00C7272E">
        <w:rPr>
          <w:color w:val="000000" w:themeColor="text1"/>
        </w:rPr>
        <w:t>in Table 7 but with a corrected cost of immunosuppressive treatment.</w:t>
      </w:r>
      <w:bookmarkStart w:id="29" w:name="_Ref130997697"/>
      <w:r w:rsidR="009F5F74">
        <w:rPr>
          <w:color w:val="000000" w:themeColor="text1"/>
        </w:rPr>
        <w:br w:type="page"/>
      </w:r>
    </w:p>
    <w:p w14:paraId="104BA200" w14:textId="1A5BD48D" w:rsidR="008446EF" w:rsidRDefault="008446EF" w:rsidP="008446EF">
      <w:pPr>
        <w:pStyle w:val="Caption"/>
        <w:rPr>
          <w:rFonts w:ascii="Helvetica" w:hAnsi="Helvetica"/>
        </w:rPr>
      </w:pPr>
      <w:r>
        <w:t xml:space="preserve">Table </w:t>
      </w:r>
      <w:r w:rsidR="009D2FAA">
        <w:fldChar w:fldCharType="begin"/>
      </w:r>
      <w:r w:rsidR="009D2FAA">
        <w:instrText>SEQ Table \* ARABIC</w:instrText>
      </w:r>
      <w:r w:rsidR="009D2FAA">
        <w:fldChar w:fldCharType="separate"/>
      </w:r>
      <w:r w:rsidR="00E209CB">
        <w:rPr>
          <w:noProof/>
        </w:rPr>
        <w:t>8</w:t>
      </w:r>
      <w:r w:rsidR="009D2FAA">
        <w:fldChar w:fldCharType="end"/>
      </w:r>
      <w:bookmarkEnd w:id="29"/>
      <w:r>
        <w:t xml:space="preserve">: </w:t>
      </w:r>
      <w:r w:rsidR="00612A41">
        <w:t>Exploration of k</w:t>
      </w:r>
      <w:r>
        <w:t>ey uncertainties and drivers of the model</w:t>
      </w:r>
    </w:p>
    <w:tbl>
      <w:tblPr>
        <w:tblStyle w:val="TableGridLight"/>
        <w:tblpPr w:leftFromText="180" w:rightFromText="180" w:vertAnchor="text" w:horzAnchor="margin" w:tblpY="102"/>
        <w:tblW w:w="5000" w:type="pct"/>
        <w:tblLayout w:type="fixed"/>
        <w:tblLook w:val="04A0" w:firstRow="1" w:lastRow="0" w:firstColumn="1" w:lastColumn="0" w:noHBand="0" w:noVBand="1"/>
      </w:tblPr>
      <w:tblGrid>
        <w:gridCol w:w="2263"/>
        <w:gridCol w:w="4111"/>
        <w:gridCol w:w="2642"/>
      </w:tblGrid>
      <w:tr w:rsidR="00213D24" w:rsidRPr="0018239F" w14:paraId="0B301DA5" w14:textId="77777777" w:rsidTr="00064310">
        <w:trPr>
          <w:trHeight w:val="300"/>
          <w:tblHeader/>
        </w:trPr>
        <w:tc>
          <w:tcPr>
            <w:tcW w:w="1255" w:type="pct"/>
            <w:vAlign w:val="center"/>
            <w:hideMark/>
          </w:tcPr>
          <w:p w14:paraId="409282FC" w14:textId="5025B100" w:rsidR="008446EF" w:rsidRPr="004A3299" w:rsidRDefault="008446EF" w:rsidP="009F5F74">
            <w:pPr>
              <w:pStyle w:val="Tabletext0"/>
              <w:spacing w:before="0" w:after="0"/>
              <w:rPr>
                <w:b/>
                <w:bCs/>
              </w:rPr>
            </w:pPr>
            <w:r w:rsidRPr="004A3299">
              <w:rPr>
                <w:b/>
                <w:bCs/>
              </w:rPr>
              <w:t>Description</w:t>
            </w:r>
          </w:p>
        </w:tc>
        <w:tc>
          <w:tcPr>
            <w:tcW w:w="2280" w:type="pct"/>
            <w:vAlign w:val="center"/>
            <w:hideMark/>
          </w:tcPr>
          <w:p w14:paraId="4FB7E519" w14:textId="71AB9231" w:rsidR="008446EF" w:rsidRPr="004A3299" w:rsidRDefault="00612A41" w:rsidP="009F5F74">
            <w:pPr>
              <w:pStyle w:val="Tabletext0"/>
              <w:spacing w:before="0" w:after="0"/>
              <w:rPr>
                <w:b/>
                <w:bCs/>
              </w:rPr>
            </w:pPr>
            <w:r w:rsidRPr="004A3299">
              <w:rPr>
                <w:b/>
                <w:bCs/>
              </w:rPr>
              <w:t>Rationale and method</w:t>
            </w:r>
          </w:p>
        </w:tc>
        <w:tc>
          <w:tcPr>
            <w:tcW w:w="1465" w:type="pct"/>
            <w:vAlign w:val="center"/>
            <w:hideMark/>
          </w:tcPr>
          <w:p w14:paraId="5CDCCAF8" w14:textId="195EACA8" w:rsidR="008446EF" w:rsidRPr="004A3299" w:rsidRDefault="008446EF" w:rsidP="009F5F74">
            <w:pPr>
              <w:pStyle w:val="Tabletext0"/>
              <w:spacing w:before="0" w:after="0"/>
              <w:rPr>
                <w:b/>
                <w:bCs/>
              </w:rPr>
            </w:pPr>
            <w:r w:rsidRPr="004A3299">
              <w:rPr>
                <w:b/>
                <w:bCs/>
              </w:rPr>
              <w:t>Impact</w:t>
            </w:r>
          </w:p>
        </w:tc>
      </w:tr>
      <w:tr w:rsidR="00A265F7" w:rsidRPr="0018239F" w14:paraId="72A63DF6" w14:textId="77777777" w:rsidTr="00064310">
        <w:trPr>
          <w:trHeight w:val="300"/>
        </w:trPr>
        <w:tc>
          <w:tcPr>
            <w:tcW w:w="1255" w:type="pct"/>
            <w:vAlign w:val="center"/>
          </w:tcPr>
          <w:p w14:paraId="45FE1B5C" w14:textId="56CF6DEE" w:rsidR="00A265F7" w:rsidRDefault="00A265F7" w:rsidP="009F5F74">
            <w:pPr>
              <w:pStyle w:val="Tabletext0"/>
              <w:spacing w:before="0" w:after="0"/>
            </w:pPr>
            <w:r>
              <w:rPr>
                <w:bCs/>
              </w:rPr>
              <w:t>Bias resulting from a naïve ITC</w:t>
            </w:r>
            <w:r w:rsidR="00BA2E90">
              <w:rPr>
                <w:bCs/>
              </w:rPr>
              <w:t xml:space="preserve"> between </w:t>
            </w:r>
            <w:r w:rsidR="00803120">
              <w:rPr>
                <w:bCs/>
              </w:rPr>
              <w:t>imlifidase and current care</w:t>
            </w:r>
          </w:p>
        </w:tc>
        <w:tc>
          <w:tcPr>
            <w:tcW w:w="2280" w:type="pct"/>
            <w:vAlign w:val="center"/>
          </w:tcPr>
          <w:p w14:paraId="406C73FC" w14:textId="7FF927ED" w:rsidR="00A265F7" w:rsidRPr="0018239F" w:rsidRDefault="00891B6B" w:rsidP="009F5F74">
            <w:pPr>
              <w:pStyle w:val="Tabletext0"/>
              <w:spacing w:before="0" w:after="0"/>
            </w:pPr>
            <w:r>
              <w:t xml:space="preserve">The economic evaluation is based on comparative efficacy estimates derived from a naïve </w:t>
            </w:r>
            <w:r w:rsidR="00C25ADE">
              <w:t>ITC</w:t>
            </w:r>
            <w:r w:rsidRPr="00891B6B">
              <w:t xml:space="preserve">. There are material differences </w:t>
            </w:r>
            <w:r w:rsidR="00C25ADE">
              <w:t>in patient characteristics between</w:t>
            </w:r>
            <w:r w:rsidR="002A3CAD">
              <w:t xml:space="preserve"> </w:t>
            </w:r>
            <w:r w:rsidR="009402D2">
              <w:t xml:space="preserve">imlifidase clinical trials and </w:t>
            </w:r>
            <w:r w:rsidR="00771DF4">
              <w:t>the Australian patient population.</w:t>
            </w:r>
            <w:r w:rsidRPr="00891B6B">
              <w:t xml:space="preserve"> </w:t>
            </w:r>
            <w:r w:rsidR="00771DF4">
              <w:t xml:space="preserve">There is also the potential for </w:t>
            </w:r>
            <w:r w:rsidRPr="00891B6B">
              <w:t>further unobserv</w:t>
            </w:r>
            <w:r w:rsidR="00771DF4">
              <w:t>ed</w:t>
            </w:r>
            <w:r w:rsidRPr="00891B6B">
              <w:t xml:space="preserve"> differences in prognostic factors that should be considered in assessing bias in an unanchored</w:t>
            </w:r>
            <w:r w:rsidR="00771DF4">
              <w:t xml:space="preserve"> naive</w:t>
            </w:r>
            <w:r w:rsidRPr="00891B6B">
              <w:t xml:space="preserve"> </w:t>
            </w:r>
            <w:r w:rsidR="00771DF4">
              <w:t>ITC</w:t>
            </w:r>
            <w:r w:rsidRPr="00891B6B">
              <w:t>.</w:t>
            </w:r>
          </w:p>
        </w:tc>
        <w:tc>
          <w:tcPr>
            <w:tcW w:w="1465" w:type="pct"/>
            <w:vAlign w:val="center"/>
          </w:tcPr>
          <w:p w14:paraId="1BAA630A" w14:textId="4588409F" w:rsidR="00A265F7" w:rsidRPr="0018239F" w:rsidRDefault="00670D4A" w:rsidP="009F5F74">
            <w:pPr>
              <w:pStyle w:val="Tabletext0"/>
              <w:spacing w:before="0" w:after="0"/>
            </w:pPr>
            <w:r>
              <w:t>Potential</w:t>
            </w:r>
            <w:r w:rsidR="00401C92">
              <w:t xml:space="preserve"> large </w:t>
            </w:r>
            <w:r>
              <w:t>impact on economic evaluation give</w:t>
            </w:r>
            <w:r w:rsidR="00F22EC3">
              <w:t xml:space="preserve">n the impact </w:t>
            </w:r>
            <w:r w:rsidR="00A62A28">
              <w:t>on efficacy estimates and outcomes in the modelled patient population. It is uncertain if any bias would favour the intervention or current care.</w:t>
            </w:r>
          </w:p>
        </w:tc>
      </w:tr>
      <w:tr w:rsidR="00A265F7" w:rsidRPr="0018239F" w14:paraId="51362E1A" w14:textId="77777777" w:rsidTr="00064310">
        <w:trPr>
          <w:trHeight w:val="300"/>
        </w:trPr>
        <w:tc>
          <w:tcPr>
            <w:tcW w:w="1255" w:type="pct"/>
            <w:vAlign w:val="center"/>
          </w:tcPr>
          <w:p w14:paraId="6EA40392" w14:textId="71E0A4FE" w:rsidR="00A265F7" w:rsidRDefault="00A265F7" w:rsidP="009F5F74">
            <w:pPr>
              <w:pStyle w:val="Tabletext0"/>
              <w:spacing w:before="0" w:after="0"/>
            </w:pPr>
            <w:r>
              <w:rPr>
                <w:bCs/>
              </w:rPr>
              <w:t>Underestimation of current care transplant rate</w:t>
            </w:r>
          </w:p>
        </w:tc>
        <w:tc>
          <w:tcPr>
            <w:tcW w:w="2280" w:type="pct"/>
            <w:vAlign w:val="center"/>
          </w:tcPr>
          <w:p w14:paraId="2529E5F6" w14:textId="4D098869" w:rsidR="00A265F7" w:rsidRPr="0018239F" w:rsidRDefault="000F45C7" w:rsidP="009F5F74">
            <w:pPr>
              <w:pStyle w:val="Tabletext0"/>
              <w:spacing w:before="0" w:after="0"/>
            </w:pPr>
            <w:r>
              <w:t xml:space="preserve">Based on ANZKX transplant data presented by the </w:t>
            </w:r>
            <w:r w:rsidR="00676525">
              <w:t>ADAR</w:t>
            </w:r>
            <w:r>
              <w:t>, the assumed value of 5%</w:t>
            </w:r>
            <w:r w:rsidR="008F2D30">
              <w:t xml:space="preserve"> is likely underestimated when compared with transplant rates in earlier years.</w:t>
            </w:r>
            <w:r w:rsidR="00F15CC4">
              <w:t xml:space="preserve"> Estimating transplant rates from year 2 in ANZKX onwards </w:t>
            </w:r>
            <w:r w:rsidR="00CE5C8A">
              <w:t>aligned t</w:t>
            </w:r>
            <w:r w:rsidR="00FE1AC8">
              <w:t xml:space="preserve">o PICO </w:t>
            </w:r>
            <w:r w:rsidR="00F6172E">
              <w:t xml:space="preserve">inclusion results in an estimate of </w:t>
            </w:r>
            <w:r w:rsidR="00725A39">
              <w:t>12.8</w:t>
            </w:r>
            <w:r w:rsidR="00F15CC4">
              <w:t>% per year vs 5% in company base case</w:t>
            </w:r>
            <w:r w:rsidR="00F6172E">
              <w:t>.</w:t>
            </w:r>
          </w:p>
        </w:tc>
        <w:tc>
          <w:tcPr>
            <w:tcW w:w="1465" w:type="pct"/>
            <w:vAlign w:val="center"/>
          </w:tcPr>
          <w:p w14:paraId="5367D3D3" w14:textId="57A14132" w:rsidR="00A265F7" w:rsidRPr="0018239F" w:rsidRDefault="00D67D38" w:rsidP="009F5F74">
            <w:pPr>
              <w:pStyle w:val="Tabletext0"/>
              <w:spacing w:before="0" w:after="0"/>
            </w:pPr>
            <w:r>
              <w:t>Large</w:t>
            </w:r>
            <w:r w:rsidR="00F15CC4">
              <w:t xml:space="preserve"> impact in favour of the intervention. </w:t>
            </w:r>
            <w:r w:rsidR="00E33C95">
              <w:t xml:space="preserve">Scenario analysis </w:t>
            </w:r>
            <w:r w:rsidR="005E34C3">
              <w:t>using the average transplant rate from ANZKX over years 2</w:t>
            </w:r>
            <w:r w:rsidR="005429C6">
              <w:t>–</w:t>
            </w:r>
            <w:r w:rsidR="005E34C3">
              <w:t xml:space="preserve">6 </w:t>
            </w:r>
            <w:r w:rsidR="00F15CC4">
              <w:t xml:space="preserve">resulted in an ICER of </w:t>
            </w:r>
            <w:r w:rsidR="00837265" w:rsidRPr="00837265">
              <w:rPr>
                <w:color w:val="000000"/>
                <w:spacing w:val="17"/>
                <w:shd w:val="solid" w:color="000000" w:fill="000000"/>
                <w:fitText w:val="472" w:id="-1175816704"/>
                <w14:textFill>
                  <w14:solidFill>
                    <w14:srgbClr w14:val="000000">
                      <w14:alpha w14:val="100000"/>
                    </w14:srgbClr>
                  </w14:solidFill>
                </w14:textFill>
              </w:rPr>
              <w:t>|||  ||</w:t>
            </w:r>
            <w:r w:rsidR="00837265" w:rsidRPr="00837265">
              <w:rPr>
                <w:color w:val="000000"/>
                <w:spacing w:val="7"/>
                <w:shd w:val="solid" w:color="000000" w:fill="000000"/>
                <w:fitText w:val="472" w:id="-1175816704"/>
                <w14:textFill>
                  <w14:solidFill>
                    <w14:srgbClr w14:val="000000">
                      <w14:alpha w14:val="100000"/>
                    </w14:srgbClr>
                  </w14:solidFill>
                </w14:textFill>
              </w:rPr>
              <w:t>|</w:t>
            </w:r>
            <w:r w:rsidR="00F15CC4">
              <w:t>/QALY.</w:t>
            </w:r>
          </w:p>
        </w:tc>
      </w:tr>
      <w:tr w:rsidR="00213D24" w:rsidRPr="0018239F" w14:paraId="773806B0" w14:textId="77777777" w:rsidTr="00064310">
        <w:trPr>
          <w:trHeight w:val="300"/>
        </w:trPr>
        <w:tc>
          <w:tcPr>
            <w:tcW w:w="1255" w:type="pct"/>
            <w:vAlign w:val="center"/>
          </w:tcPr>
          <w:p w14:paraId="4FEDF00C" w14:textId="604EF729" w:rsidR="008446EF" w:rsidRPr="0018239F" w:rsidRDefault="00F52E67" w:rsidP="009F5F74">
            <w:pPr>
              <w:pStyle w:val="Tabletext0"/>
              <w:spacing w:before="0" w:after="0"/>
            </w:pPr>
            <w:r>
              <w:t>C</w:t>
            </w:r>
            <w:r w:rsidR="00115CE4">
              <w:t xml:space="preserve">osts </w:t>
            </w:r>
            <w:r w:rsidR="00A265F7">
              <w:t xml:space="preserve">and benefits </w:t>
            </w:r>
            <w:r w:rsidR="00340257">
              <w:t xml:space="preserve">considering </w:t>
            </w:r>
            <w:r w:rsidR="00612A41">
              <w:t>donor kidneys as a scarce resource</w:t>
            </w:r>
            <w:r w:rsidR="000440E2">
              <w:t xml:space="preserve"> </w:t>
            </w:r>
            <w:r w:rsidR="00A265F7">
              <w:t>– negative spill-over</w:t>
            </w:r>
          </w:p>
        </w:tc>
        <w:tc>
          <w:tcPr>
            <w:tcW w:w="2280" w:type="pct"/>
            <w:vAlign w:val="center"/>
          </w:tcPr>
          <w:p w14:paraId="761EE388" w14:textId="01C30F12" w:rsidR="008446EF" w:rsidRPr="0018239F" w:rsidRDefault="005C7465" w:rsidP="009F5F74">
            <w:pPr>
              <w:pStyle w:val="Tabletext0"/>
              <w:spacing w:before="0" w:after="0"/>
            </w:pPr>
            <w:r>
              <w:t>The</w:t>
            </w:r>
            <w:r w:rsidR="000C2F78">
              <w:t xml:space="preserve"> economic evaluation presented by the </w:t>
            </w:r>
            <w:r w:rsidR="00676525">
              <w:t>ADAR</w:t>
            </w:r>
            <w:r w:rsidR="000C2F78">
              <w:t xml:space="preserve"> does not consider </w:t>
            </w:r>
            <w:r w:rsidR="00BE5C7A">
              <w:t>the negative impact of providing a scarce donor kidney to a</w:t>
            </w:r>
            <w:r w:rsidR="005429C6">
              <w:t>n</w:t>
            </w:r>
            <w:r w:rsidR="00BE5C7A">
              <w:t xml:space="preserve"> </w:t>
            </w:r>
            <w:r w:rsidR="005429C6">
              <w:t xml:space="preserve">HS </w:t>
            </w:r>
            <w:r w:rsidR="00BE5C7A">
              <w:t xml:space="preserve">patient rather than </w:t>
            </w:r>
            <w:r w:rsidR="00A271FA">
              <w:t xml:space="preserve">another potential recipient </w:t>
            </w:r>
            <w:r w:rsidR="00A27330">
              <w:t>o</w:t>
            </w:r>
            <w:r w:rsidR="00A271FA">
              <w:t>n the waiting list.</w:t>
            </w:r>
            <w:r w:rsidR="00566C0D">
              <w:t xml:space="preserve"> As such, </w:t>
            </w:r>
            <w:r w:rsidR="004462FF">
              <w:t>estimated cost</w:t>
            </w:r>
            <w:r w:rsidR="00DE5BEA">
              <w:t xml:space="preserve"> </w:t>
            </w:r>
            <w:r w:rsidR="004462FF">
              <w:t xml:space="preserve">offsets associated with reductions in dialysis provision are unlikely to be realised by the </w:t>
            </w:r>
            <w:r w:rsidR="00331853">
              <w:t>healthcare</w:t>
            </w:r>
            <w:r w:rsidR="004462FF">
              <w:t xml:space="preserve"> system</w:t>
            </w:r>
            <w:r w:rsidR="002C3FDA">
              <w:t xml:space="preserve"> in Australia</w:t>
            </w:r>
            <w:r w:rsidR="00242957">
              <w:t xml:space="preserve">. Similarly, benefits </w:t>
            </w:r>
            <w:r w:rsidR="00EA65C8">
              <w:t xml:space="preserve">in health outcomes </w:t>
            </w:r>
            <w:r w:rsidR="00AC712C">
              <w:t xml:space="preserve">are </w:t>
            </w:r>
            <w:r w:rsidR="004C44E5">
              <w:t xml:space="preserve">achieved </w:t>
            </w:r>
            <w:r w:rsidR="00EA65C8">
              <w:t xml:space="preserve">as a result of the availability of a donor kidney, rather than treatment with imlifidase, and </w:t>
            </w:r>
            <w:r w:rsidR="00CB64DA">
              <w:t xml:space="preserve">as </w:t>
            </w:r>
            <w:r w:rsidR="00EA65C8">
              <w:t xml:space="preserve">per the </w:t>
            </w:r>
            <w:r w:rsidR="00A27330">
              <w:t>s</w:t>
            </w:r>
            <w:r w:rsidR="00EA65C8">
              <w:t xml:space="preserve">ubmission, HS patients are likely to experience poorer health outcomes </w:t>
            </w:r>
            <w:r w:rsidR="00401C92">
              <w:t>than non-HS patients</w:t>
            </w:r>
            <w:r w:rsidR="00EA65C8">
              <w:t xml:space="preserve">. </w:t>
            </w:r>
          </w:p>
        </w:tc>
        <w:tc>
          <w:tcPr>
            <w:tcW w:w="1465" w:type="pct"/>
            <w:vAlign w:val="center"/>
          </w:tcPr>
          <w:p w14:paraId="1A0BDD2F" w14:textId="4B1327D7" w:rsidR="008446EF" w:rsidRPr="0018239F" w:rsidRDefault="00401C92" w:rsidP="009F5F74">
            <w:pPr>
              <w:pStyle w:val="Tabletext0"/>
              <w:spacing w:before="0" w:after="0"/>
            </w:pPr>
            <w:r>
              <w:t>Large impact in favour of the intervention</w:t>
            </w:r>
            <w:r w:rsidR="00AD11B9">
              <w:t>. Scenario analysis excluding cost offsets associated with dialysis and costs associated with transplant</w:t>
            </w:r>
            <w:r w:rsidR="00C11380">
              <w:t xml:space="preserve"> result in an ICER of </w:t>
            </w:r>
            <w:r w:rsidR="00837265" w:rsidRPr="00837265">
              <w:rPr>
                <w:color w:val="000000"/>
                <w:spacing w:val="15"/>
                <w:shd w:val="solid" w:color="000000" w:fill="000000"/>
                <w:fitText w:val="568" w:id="-1175816703"/>
                <w14:textFill>
                  <w14:solidFill>
                    <w14:srgbClr w14:val="000000">
                      <w14:alpha w14:val="100000"/>
                    </w14:srgbClr>
                  </w14:solidFill>
                </w14:textFill>
              </w:rPr>
              <w:t>||||  |||</w:t>
            </w:r>
            <w:r w:rsidR="00837265" w:rsidRPr="00837265">
              <w:rPr>
                <w:color w:val="000000"/>
                <w:spacing w:val="2"/>
                <w:shd w:val="solid" w:color="000000" w:fill="000000"/>
                <w:fitText w:val="568" w:id="-1175816703"/>
                <w14:textFill>
                  <w14:solidFill>
                    <w14:srgbClr w14:val="000000">
                      <w14:alpha w14:val="100000"/>
                    </w14:srgbClr>
                  </w14:solidFill>
                </w14:textFill>
              </w:rPr>
              <w:t>|</w:t>
            </w:r>
            <w:r w:rsidR="00C11380">
              <w:t xml:space="preserve">/QALY. Consideration of </w:t>
            </w:r>
            <w:r w:rsidR="00DD1D66">
              <w:t xml:space="preserve">the </w:t>
            </w:r>
            <w:r w:rsidR="009A32E1">
              <w:t xml:space="preserve">potential for </w:t>
            </w:r>
            <w:r w:rsidR="00DD1D66">
              <w:t xml:space="preserve">negative </w:t>
            </w:r>
            <w:r w:rsidR="009A32E1">
              <w:t>population health</w:t>
            </w:r>
            <w:r w:rsidR="00C11380">
              <w:t xml:space="preserve"> </w:t>
            </w:r>
            <w:r w:rsidR="009A32E1">
              <w:t>outcomes associated with transplanting HS patient</w:t>
            </w:r>
            <w:r w:rsidR="006875E3">
              <w:t>s would result in imlifidase being dominated by current care.</w:t>
            </w:r>
          </w:p>
        </w:tc>
      </w:tr>
      <w:tr w:rsidR="00213D24" w:rsidRPr="0018239F" w14:paraId="54C99AB7" w14:textId="77777777" w:rsidTr="00064310">
        <w:trPr>
          <w:trHeight w:val="300"/>
        </w:trPr>
        <w:tc>
          <w:tcPr>
            <w:tcW w:w="1255" w:type="pct"/>
            <w:noWrap/>
            <w:vAlign w:val="center"/>
          </w:tcPr>
          <w:p w14:paraId="3B657304" w14:textId="0A9A872B" w:rsidR="008446EF" w:rsidRPr="0018239F" w:rsidRDefault="00B56B6E" w:rsidP="009F5F74">
            <w:pPr>
              <w:pStyle w:val="Tabletext0"/>
              <w:spacing w:before="0" w:after="0"/>
            </w:pPr>
            <w:r>
              <w:t>Inc</w:t>
            </w:r>
            <w:r w:rsidR="00055A6D">
              <w:t xml:space="preserve">lusion of other </w:t>
            </w:r>
            <w:r w:rsidR="00725F57">
              <w:t>HS</w:t>
            </w:r>
            <w:r w:rsidR="00055A6D">
              <w:t xml:space="preserve"> patients </w:t>
            </w:r>
            <w:r w:rsidR="00213D24">
              <w:t>requiring treatment with imlifi</w:t>
            </w:r>
            <w:r w:rsidR="0008377B">
              <w:t>d</w:t>
            </w:r>
            <w:r w:rsidR="00213D24">
              <w:t>ase in LD chains</w:t>
            </w:r>
          </w:p>
        </w:tc>
        <w:tc>
          <w:tcPr>
            <w:tcW w:w="2280" w:type="pct"/>
            <w:noWrap/>
            <w:vAlign w:val="center"/>
          </w:tcPr>
          <w:p w14:paraId="3DFA3BA4" w14:textId="3325E0BC" w:rsidR="008446EF" w:rsidRPr="0018239F" w:rsidRDefault="00A72E4C" w:rsidP="009F5F74">
            <w:pPr>
              <w:pStyle w:val="Tabletext0"/>
              <w:spacing w:before="0" w:after="0"/>
            </w:pPr>
            <w:r>
              <w:t xml:space="preserve">The economic evaluation does not consider the potential for other patients in LD chains to require treatment with imlifidase </w:t>
            </w:r>
            <w:r w:rsidR="00B31636">
              <w:t>to complete</w:t>
            </w:r>
            <w:r w:rsidR="00FF5493">
              <w:t xml:space="preserve"> the chain</w:t>
            </w:r>
            <w:r w:rsidR="00B31636">
              <w:t xml:space="preserve">. </w:t>
            </w:r>
            <w:r w:rsidR="003139BC">
              <w:t xml:space="preserve">There is no justification provided by the </w:t>
            </w:r>
            <w:r w:rsidR="00676525">
              <w:t>ADAR</w:t>
            </w:r>
            <w:r w:rsidR="003139BC">
              <w:t xml:space="preserve"> to support this assumption. </w:t>
            </w:r>
          </w:p>
        </w:tc>
        <w:tc>
          <w:tcPr>
            <w:tcW w:w="1465" w:type="pct"/>
            <w:noWrap/>
            <w:vAlign w:val="center"/>
          </w:tcPr>
          <w:p w14:paraId="43CEDE97" w14:textId="0552F352" w:rsidR="008446EF" w:rsidRPr="0018239F" w:rsidRDefault="00C36869" w:rsidP="009F5F74">
            <w:pPr>
              <w:pStyle w:val="Tabletext0"/>
              <w:spacing w:before="0" w:after="0"/>
            </w:pPr>
            <w:r>
              <w:t xml:space="preserve">Large impact in favour of the </w:t>
            </w:r>
            <w:r w:rsidR="00C10290">
              <w:t>intervention</w:t>
            </w:r>
            <w:r>
              <w:t xml:space="preserve">. One additional patient requiring </w:t>
            </w:r>
            <w:r w:rsidR="006A4125">
              <w:t>imlifidase to close a</w:t>
            </w:r>
            <w:r w:rsidR="004610D0">
              <w:t>n</w:t>
            </w:r>
            <w:r w:rsidR="006A4125">
              <w:t xml:space="preserve"> LD chain results in an ICER of</w:t>
            </w:r>
            <w:r w:rsidR="00837265">
              <w:t xml:space="preserve"> </w:t>
            </w:r>
            <w:r w:rsidR="00837265" w:rsidRPr="00837265">
              <w:rPr>
                <w:color w:val="000000"/>
                <w:spacing w:val="19"/>
                <w:shd w:val="solid" w:color="000000" w:fill="000000"/>
                <w:fitText w:val="484" w:id="-1175816448"/>
                <w14:textFill>
                  <w14:solidFill>
                    <w14:srgbClr w14:val="000000">
                      <w14:alpha w14:val="100000"/>
                    </w14:srgbClr>
                  </w14:solidFill>
                </w14:textFill>
              </w:rPr>
              <w:t>|||  ||</w:t>
            </w:r>
            <w:r w:rsidR="00837265" w:rsidRPr="00837265">
              <w:rPr>
                <w:color w:val="000000"/>
                <w:spacing w:val="5"/>
                <w:shd w:val="solid" w:color="000000" w:fill="000000"/>
                <w:fitText w:val="484" w:id="-1175816448"/>
                <w14:textFill>
                  <w14:solidFill>
                    <w14:srgbClr w14:val="000000">
                      <w14:alpha w14:val="100000"/>
                    </w14:srgbClr>
                  </w14:solidFill>
                </w14:textFill>
              </w:rPr>
              <w:t>|</w:t>
            </w:r>
            <w:r w:rsidR="00C10290">
              <w:t>/QALY.</w:t>
            </w:r>
          </w:p>
        </w:tc>
      </w:tr>
      <w:tr w:rsidR="00213D24" w:rsidRPr="0018239F" w14:paraId="26758CB1" w14:textId="77777777" w:rsidTr="00064310">
        <w:trPr>
          <w:trHeight w:val="300"/>
        </w:trPr>
        <w:tc>
          <w:tcPr>
            <w:tcW w:w="1255" w:type="pct"/>
            <w:noWrap/>
            <w:vAlign w:val="center"/>
          </w:tcPr>
          <w:p w14:paraId="554137B8" w14:textId="498BCAC3" w:rsidR="008446EF" w:rsidRPr="0018239F" w:rsidRDefault="004635B3" w:rsidP="009F5F74">
            <w:pPr>
              <w:pStyle w:val="Tabletext0"/>
              <w:spacing w:before="0" w:after="0"/>
              <w:rPr>
                <w:bCs/>
              </w:rPr>
            </w:pPr>
            <w:r>
              <w:rPr>
                <w:bCs/>
              </w:rPr>
              <w:t>HS patients not joining LD chains after introduction of imlifidase</w:t>
            </w:r>
          </w:p>
        </w:tc>
        <w:tc>
          <w:tcPr>
            <w:tcW w:w="2280" w:type="pct"/>
            <w:noWrap/>
            <w:vAlign w:val="center"/>
          </w:tcPr>
          <w:p w14:paraId="4203747F" w14:textId="38C4D32A" w:rsidR="008446EF" w:rsidRPr="0018239F" w:rsidRDefault="00E3441C" w:rsidP="009F5F74">
            <w:pPr>
              <w:pStyle w:val="Tabletext0"/>
              <w:spacing w:before="0" w:after="0"/>
              <w:rPr>
                <w:bCs/>
              </w:rPr>
            </w:pPr>
            <w:r>
              <w:rPr>
                <w:bCs/>
              </w:rPr>
              <w:t>If</w:t>
            </w:r>
            <w:r w:rsidR="00B97829">
              <w:rPr>
                <w:bCs/>
              </w:rPr>
              <w:t xml:space="preserve"> </w:t>
            </w:r>
            <w:r w:rsidR="004610D0">
              <w:rPr>
                <w:bCs/>
              </w:rPr>
              <w:t>HS</w:t>
            </w:r>
            <w:r>
              <w:rPr>
                <w:bCs/>
              </w:rPr>
              <w:t xml:space="preserve"> patients are able to receive </w:t>
            </w:r>
            <w:r w:rsidR="00454DB8">
              <w:rPr>
                <w:bCs/>
              </w:rPr>
              <w:t xml:space="preserve">transplants from a </w:t>
            </w:r>
            <w:r w:rsidR="00E10DE3">
              <w:rPr>
                <w:bCs/>
              </w:rPr>
              <w:t>crossmatch</w:t>
            </w:r>
            <w:r w:rsidR="004610D0">
              <w:rPr>
                <w:bCs/>
              </w:rPr>
              <w:t>-</w:t>
            </w:r>
            <w:r w:rsidR="00454DB8">
              <w:rPr>
                <w:bCs/>
              </w:rPr>
              <w:t>positive</w:t>
            </w:r>
            <w:r w:rsidR="00B97829">
              <w:rPr>
                <w:bCs/>
              </w:rPr>
              <w:t xml:space="preserve"> LD</w:t>
            </w:r>
            <w:r w:rsidR="008B626F">
              <w:rPr>
                <w:bCs/>
              </w:rPr>
              <w:t>, it is unclear if patients will</w:t>
            </w:r>
            <w:r w:rsidR="006578D6">
              <w:rPr>
                <w:bCs/>
              </w:rPr>
              <w:t xml:space="preserve"> </w:t>
            </w:r>
            <w:r w:rsidR="006E24CD">
              <w:rPr>
                <w:bCs/>
              </w:rPr>
              <w:t>join LD chains</w:t>
            </w:r>
            <w:r w:rsidR="00C4561E">
              <w:rPr>
                <w:bCs/>
              </w:rPr>
              <w:t xml:space="preserve"> following the introduction of imlifidase.</w:t>
            </w:r>
          </w:p>
        </w:tc>
        <w:tc>
          <w:tcPr>
            <w:tcW w:w="1465" w:type="pct"/>
            <w:noWrap/>
            <w:vAlign w:val="center"/>
          </w:tcPr>
          <w:p w14:paraId="19990022" w14:textId="184F9A3A" w:rsidR="008446EF" w:rsidRPr="0018239F" w:rsidRDefault="005675F2" w:rsidP="009F5F74">
            <w:pPr>
              <w:pStyle w:val="Tabletext0"/>
              <w:spacing w:before="0" w:after="0"/>
              <w:rPr>
                <w:bCs/>
              </w:rPr>
            </w:pPr>
            <w:r>
              <w:t xml:space="preserve">Large impact in favour of the intervention. </w:t>
            </w:r>
            <w:r w:rsidR="005E7384">
              <w:t xml:space="preserve">Assuming patients will no longer join LD chains results in an ICER of </w:t>
            </w:r>
            <w:r w:rsidR="00837265" w:rsidRPr="00837265">
              <w:rPr>
                <w:color w:val="000000"/>
                <w:spacing w:val="17"/>
                <w:shd w:val="solid" w:color="000000" w:fill="000000"/>
                <w:fitText w:val="472" w:id="-1175816447"/>
                <w14:textFill>
                  <w14:solidFill>
                    <w14:srgbClr w14:val="000000">
                      <w14:alpha w14:val="100000"/>
                    </w14:srgbClr>
                  </w14:solidFill>
                </w14:textFill>
              </w:rPr>
              <w:t>|||  ||</w:t>
            </w:r>
            <w:r w:rsidR="00837265" w:rsidRPr="00837265">
              <w:rPr>
                <w:color w:val="000000"/>
                <w:spacing w:val="7"/>
                <w:shd w:val="solid" w:color="000000" w:fill="000000"/>
                <w:fitText w:val="472" w:id="-1175816447"/>
                <w14:textFill>
                  <w14:solidFill>
                    <w14:srgbClr w14:val="000000">
                      <w14:alpha w14:val="100000"/>
                    </w14:srgbClr>
                  </w14:solidFill>
                </w14:textFill>
              </w:rPr>
              <w:t>|</w:t>
            </w:r>
            <w:r>
              <w:t>/QALY.</w:t>
            </w:r>
          </w:p>
        </w:tc>
      </w:tr>
      <w:tr w:rsidR="004635B3" w:rsidRPr="0018239F" w14:paraId="272E3438" w14:textId="77777777" w:rsidTr="00064310">
        <w:trPr>
          <w:trHeight w:val="300"/>
        </w:trPr>
        <w:tc>
          <w:tcPr>
            <w:tcW w:w="1255" w:type="pct"/>
            <w:noWrap/>
            <w:vAlign w:val="center"/>
          </w:tcPr>
          <w:p w14:paraId="3D1CB227" w14:textId="4D1011D6" w:rsidR="004635B3" w:rsidRDefault="003E5CE8" w:rsidP="009F5F74">
            <w:pPr>
              <w:pStyle w:val="Tabletext0"/>
              <w:spacing w:before="0" w:after="0"/>
              <w:rPr>
                <w:bCs/>
              </w:rPr>
            </w:pPr>
            <w:r>
              <w:rPr>
                <w:bCs/>
              </w:rPr>
              <w:t>Overestimation of patient and graft survival</w:t>
            </w:r>
          </w:p>
        </w:tc>
        <w:tc>
          <w:tcPr>
            <w:tcW w:w="2280" w:type="pct"/>
            <w:noWrap/>
            <w:vAlign w:val="center"/>
          </w:tcPr>
          <w:p w14:paraId="10EB48FA" w14:textId="4C1496C1" w:rsidR="004635B3" w:rsidRPr="0018239F" w:rsidRDefault="00B713F9" w:rsidP="009F5F74">
            <w:pPr>
              <w:pStyle w:val="Tabletext0"/>
              <w:spacing w:before="0" w:after="0"/>
              <w:rPr>
                <w:bCs/>
              </w:rPr>
            </w:pPr>
            <w:r>
              <w:rPr>
                <w:bCs/>
              </w:rPr>
              <w:t>Model extrapolations of graft survival and patient survival with a functioning graft</w:t>
            </w:r>
            <w:r w:rsidR="00176D88">
              <w:rPr>
                <w:bCs/>
              </w:rPr>
              <w:t xml:space="preserve"> assume a constant</w:t>
            </w:r>
            <w:r w:rsidR="00A41C51">
              <w:rPr>
                <w:bCs/>
              </w:rPr>
              <w:t xml:space="preserve"> event rate</w:t>
            </w:r>
            <w:r w:rsidR="00DA1161">
              <w:rPr>
                <w:bCs/>
              </w:rPr>
              <w:t xml:space="preserve">, lacking clinical face validity. Although the </w:t>
            </w:r>
            <w:r w:rsidR="00676525">
              <w:rPr>
                <w:bCs/>
              </w:rPr>
              <w:t>ADAR</w:t>
            </w:r>
            <w:r w:rsidR="00DA1161">
              <w:rPr>
                <w:bCs/>
              </w:rPr>
              <w:t xml:space="preserve"> presents </w:t>
            </w:r>
            <w:r w:rsidR="000521FE">
              <w:rPr>
                <w:bCs/>
              </w:rPr>
              <w:t xml:space="preserve">other parametric distributions as part of scenario analyses, </w:t>
            </w:r>
            <w:r w:rsidR="001B00C9">
              <w:rPr>
                <w:bCs/>
              </w:rPr>
              <w:t xml:space="preserve">they are all likely to overestimate patient survival </w:t>
            </w:r>
            <w:r w:rsidR="00E269FF">
              <w:rPr>
                <w:bCs/>
              </w:rPr>
              <w:t>with a functioning graft.</w:t>
            </w:r>
            <w:r w:rsidR="005229DD">
              <w:rPr>
                <w:bCs/>
              </w:rPr>
              <w:t xml:space="preserve"> </w:t>
            </w:r>
            <w:r w:rsidR="001221E3">
              <w:rPr>
                <w:bCs/>
              </w:rPr>
              <w:t>The most conservative m</w:t>
            </w:r>
            <w:r w:rsidR="00A402DD">
              <w:rPr>
                <w:bCs/>
              </w:rPr>
              <w:t xml:space="preserve">odel predictions of survival with a functioning graft do not have clinical face validity in comparison with </w:t>
            </w:r>
            <w:r w:rsidR="006F7C5B">
              <w:rPr>
                <w:bCs/>
              </w:rPr>
              <w:t>Australian general population estimates</w:t>
            </w:r>
            <w:r w:rsidR="006958C6">
              <w:rPr>
                <w:bCs/>
              </w:rPr>
              <w:t>, with model predictions of mortality risk</w:t>
            </w:r>
            <w:r w:rsidR="005B7949">
              <w:rPr>
                <w:bCs/>
              </w:rPr>
              <w:t xml:space="preserve"> being overtaken by risk of mortality in the general population</w:t>
            </w:r>
            <w:r w:rsidR="006F7C5B">
              <w:rPr>
                <w:bCs/>
              </w:rPr>
              <w:t xml:space="preserve">. </w:t>
            </w:r>
            <w:r w:rsidR="005229DD">
              <w:rPr>
                <w:bCs/>
              </w:rPr>
              <w:t xml:space="preserve">No validation has been presented by the </w:t>
            </w:r>
            <w:r w:rsidR="00676525">
              <w:rPr>
                <w:bCs/>
              </w:rPr>
              <w:t>ADAR</w:t>
            </w:r>
            <w:r w:rsidR="005229DD">
              <w:rPr>
                <w:bCs/>
              </w:rPr>
              <w:t xml:space="preserve"> demonstrating that model predictions are aligned with registry data in Australia.</w:t>
            </w:r>
          </w:p>
        </w:tc>
        <w:tc>
          <w:tcPr>
            <w:tcW w:w="1465" w:type="pct"/>
            <w:noWrap/>
            <w:vAlign w:val="center"/>
          </w:tcPr>
          <w:p w14:paraId="2D5B6B40" w14:textId="2A0B845B" w:rsidR="004635B3" w:rsidRPr="0018239F" w:rsidRDefault="00447924" w:rsidP="009F5F74">
            <w:pPr>
              <w:pStyle w:val="Tabletext0"/>
              <w:spacing w:before="0" w:after="0"/>
              <w:rPr>
                <w:bCs/>
              </w:rPr>
            </w:pPr>
            <w:r>
              <w:rPr>
                <w:bCs/>
              </w:rPr>
              <w:t>Potentially large impact</w:t>
            </w:r>
            <w:r w:rsidR="008A05E0">
              <w:rPr>
                <w:bCs/>
              </w:rPr>
              <w:t>, likely to favour the intervention</w:t>
            </w:r>
            <w:r w:rsidR="005229DD">
              <w:rPr>
                <w:bCs/>
              </w:rPr>
              <w:t>.</w:t>
            </w:r>
            <w:r w:rsidR="008A05E0">
              <w:rPr>
                <w:bCs/>
              </w:rPr>
              <w:t xml:space="preserve"> </w:t>
            </w:r>
            <w:r w:rsidR="00171479">
              <w:rPr>
                <w:bCs/>
              </w:rPr>
              <w:t xml:space="preserve">Overestimation of graft </w:t>
            </w:r>
            <w:r w:rsidR="00E250F5">
              <w:rPr>
                <w:bCs/>
              </w:rPr>
              <w:t xml:space="preserve">survival </w:t>
            </w:r>
            <w:r w:rsidR="00171479">
              <w:rPr>
                <w:bCs/>
              </w:rPr>
              <w:t>and patient survival</w:t>
            </w:r>
            <w:r w:rsidR="001221E3">
              <w:rPr>
                <w:bCs/>
              </w:rPr>
              <w:t xml:space="preserve"> with a functioning graft</w:t>
            </w:r>
            <w:r w:rsidR="00171479">
              <w:rPr>
                <w:bCs/>
              </w:rPr>
              <w:t xml:space="preserve"> will result in increased benefits in patients treated with imlifidase</w:t>
            </w:r>
            <w:r w:rsidR="00630271">
              <w:rPr>
                <w:bCs/>
              </w:rPr>
              <w:t>.</w:t>
            </w:r>
            <w:r w:rsidR="003501FC">
              <w:rPr>
                <w:bCs/>
              </w:rPr>
              <w:t xml:space="preserve"> Distribution</w:t>
            </w:r>
            <w:r w:rsidR="00496CE9">
              <w:rPr>
                <w:bCs/>
              </w:rPr>
              <w:t xml:space="preserve"> resulting in poorer graft survival than the model base case (generalised gamma) result</w:t>
            </w:r>
            <w:r w:rsidR="00F0527F">
              <w:rPr>
                <w:bCs/>
              </w:rPr>
              <w:t>s</w:t>
            </w:r>
            <w:r w:rsidR="00496CE9">
              <w:rPr>
                <w:bCs/>
              </w:rPr>
              <w:t xml:space="preserve"> in an ICER of </w:t>
            </w:r>
            <w:r w:rsidR="00837265" w:rsidRPr="00837265">
              <w:rPr>
                <w:bCs/>
                <w:color w:val="000000"/>
                <w:spacing w:val="17"/>
                <w:shd w:val="solid" w:color="000000" w:fill="000000"/>
                <w:fitText w:val="472" w:id="-1175816446"/>
                <w14:textFill>
                  <w14:solidFill>
                    <w14:srgbClr w14:val="000000">
                      <w14:alpha w14:val="100000"/>
                    </w14:srgbClr>
                  </w14:solidFill>
                </w14:textFill>
              </w:rPr>
              <w:t>|||  ||</w:t>
            </w:r>
            <w:r w:rsidR="00837265" w:rsidRPr="00837265">
              <w:rPr>
                <w:bCs/>
                <w:color w:val="000000"/>
                <w:spacing w:val="7"/>
                <w:shd w:val="solid" w:color="000000" w:fill="000000"/>
                <w:fitText w:val="472" w:id="-1175816446"/>
                <w14:textFill>
                  <w14:solidFill>
                    <w14:srgbClr w14:val="000000">
                      <w14:alpha w14:val="100000"/>
                    </w14:srgbClr>
                  </w14:solidFill>
                </w14:textFill>
              </w:rPr>
              <w:t>|</w:t>
            </w:r>
            <w:r w:rsidR="00757BC0">
              <w:rPr>
                <w:bCs/>
              </w:rPr>
              <w:t>/QALY.</w:t>
            </w:r>
            <w:r w:rsidR="00600C3F">
              <w:rPr>
                <w:bCs/>
              </w:rPr>
              <w:t xml:space="preserve"> The impact of poorer survival with a functioning graft </w:t>
            </w:r>
            <w:r w:rsidR="00594C07">
              <w:rPr>
                <w:bCs/>
              </w:rPr>
              <w:t xml:space="preserve">cannot be explored in the current model, so the impact </w:t>
            </w:r>
            <w:r w:rsidR="0030578B">
              <w:rPr>
                <w:bCs/>
              </w:rPr>
              <w:t>is uncertain.</w:t>
            </w:r>
          </w:p>
        </w:tc>
      </w:tr>
    </w:tbl>
    <w:p w14:paraId="68F225E0" w14:textId="77777777" w:rsidR="00FF5493" w:rsidRPr="00D1462A" w:rsidRDefault="008446EF" w:rsidP="00D1462A">
      <w:pPr>
        <w:pStyle w:val="Notes-TableFigure"/>
        <w:rPr>
          <w:b/>
          <w:bCs/>
          <w:u w:val="single"/>
        </w:rPr>
      </w:pPr>
      <w:r w:rsidRPr="00D1462A">
        <w:rPr>
          <w:b/>
          <w:bCs/>
          <w:u w:val="single"/>
        </w:rPr>
        <w:t xml:space="preserve">Abbreviations: </w:t>
      </w:r>
    </w:p>
    <w:p w14:paraId="66DD4C7F" w14:textId="3A0D2CF6" w:rsidR="009240B6" w:rsidRPr="009240B6" w:rsidRDefault="005429C6" w:rsidP="00D1462A">
      <w:pPr>
        <w:pStyle w:val="Notes-TableFigure"/>
      </w:pPr>
      <w:r w:rsidRPr="00D1462A">
        <w:rPr>
          <w:b/>
          <w:bCs/>
        </w:rPr>
        <w:t>ANZKX</w:t>
      </w:r>
      <w:r>
        <w:t xml:space="preserve"> = </w:t>
      </w:r>
      <w:r w:rsidRPr="005429C6">
        <w:t>Australian and New Zealand Kidney Exchange</w:t>
      </w:r>
      <w:r>
        <w:t>,</w:t>
      </w:r>
      <w:r w:rsidR="008446EF" w:rsidRPr="00213D24">
        <w:t xml:space="preserve"> </w:t>
      </w:r>
      <w:r w:rsidR="004635B3" w:rsidRPr="00D1462A">
        <w:rPr>
          <w:b/>
          <w:bCs/>
        </w:rPr>
        <w:t>HS</w:t>
      </w:r>
      <w:r w:rsidR="004635B3">
        <w:t xml:space="preserve"> = highly </w:t>
      </w:r>
      <w:proofErr w:type="spellStart"/>
      <w:r w:rsidR="004635B3">
        <w:t>sensitised</w:t>
      </w:r>
      <w:proofErr w:type="spellEnd"/>
      <w:r w:rsidR="004635B3">
        <w:t>,</w:t>
      </w:r>
      <w:r w:rsidR="00F1149E">
        <w:t xml:space="preserve"> </w:t>
      </w:r>
      <w:r w:rsidR="00F1149E" w:rsidRPr="00D1462A">
        <w:rPr>
          <w:b/>
          <w:bCs/>
        </w:rPr>
        <w:t>ICER</w:t>
      </w:r>
      <w:r w:rsidR="00F1149E">
        <w:t xml:space="preserve"> = incremental cost-effectiveness ratio,</w:t>
      </w:r>
      <w:r w:rsidR="004635B3">
        <w:t xml:space="preserve"> </w:t>
      </w:r>
      <w:r w:rsidR="00020AB2" w:rsidRPr="00D1462A">
        <w:rPr>
          <w:b/>
          <w:bCs/>
        </w:rPr>
        <w:t>ITC</w:t>
      </w:r>
      <w:r w:rsidR="00020AB2">
        <w:t xml:space="preserve"> = indirect treatment comparison, </w:t>
      </w:r>
      <w:r w:rsidR="00213D24" w:rsidRPr="00D1462A">
        <w:rPr>
          <w:b/>
          <w:bCs/>
        </w:rPr>
        <w:t>LD</w:t>
      </w:r>
      <w:r w:rsidR="00213D24" w:rsidRPr="00213D24">
        <w:t xml:space="preserve"> = living donor</w:t>
      </w:r>
      <w:r w:rsidR="008E7E74">
        <w:t xml:space="preserve">, </w:t>
      </w:r>
      <w:r w:rsidR="008F0873" w:rsidRPr="00D1462A">
        <w:rPr>
          <w:b/>
          <w:bCs/>
        </w:rPr>
        <w:t>PICO</w:t>
      </w:r>
      <w:r w:rsidR="008F0873">
        <w:t xml:space="preserve"> = population intervention comparator outcomes, </w:t>
      </w:r>
      <w:r w:rsidR="008E7E74" w:rsidRPr="00FF5493">
        <w:t>QALY</w:t>
      </w:r>
      <w:r w:rsidR="008E7E74">
        <w:t xml:space="preserve"> = quality-adjusted life year</w:t>
      </w:r>
    </w:p>
    <w:p w14:paraId="48CFE5FE" w14:textId="274B451D" w:rsidR="00AE279F" w:rsidRDefault="009A0763" w:rsidP="004F307F">
      <w:pPr>
        <w:pStyle w:val="Heading2"/>
      </w:pPr>
      <w:r>
        <w:t>1</w:t>
      </w:r>
      <w:r w:rsidR="006A2B0B">
        <w:t>4</w:t>
      </w:r>
      <w:r>
        <w:t xml:space="preserve">. </w:t>
      </w:r>
      <w:r w:rsidR="00AE279F" w:rsidRPr="005E13F3">
        <w:t>Financial/budgetary impacts</w:t>
      </w:r>
    </w:p>
    <w:p w14:paraId="0AD17745" w14:textId="60F977C6" w:rsidR="00240742" w:rsidRPr="005621E9" w:rsidRDefault="00240742" w:rsidP="00240742">
      <w:pPr>
        <w:rPr>
          <w:rFonts w:cs="Helvetica"/>
        </w:rPr>
      </w:pPr>
      <w:r w:rsidRPr="005621E9">
        <w:rPr>
          <w:rFonts w:cs="Helvetica"/>
        </w:rPr>
        <w:t xml:space="preserve">The net financial impact of imlifidase </w:t>
      </w:r>
      <w:r w:rsidR="000A1F2A">
        <w:rPr>
          <w:rFonts w:cs="Helvetica"/>
        </w:rPr>
        <w:t>on</w:t>
      </w:r>
      <w:r w:rsidRPr="005621E9">
        <w:rPr>
          <w:rFonts w:cs="Helvetica"/>
        </w:rPr>
        <w:t xml:space="preserve"> </w:t>
      </w:r>
      <w:r w:rsidR="00CB7A5E">
        <w:rPr>
          <w:rFonts w:cs="Helvetica"/>
        </w:rPr>
        <w:t>s</w:t>
      </w:r>
      <w:r w:rsidRPr="005621E9">
        <w:rPr>
          <w:rFonts w:cs="Helvetica"/>
        </w:rPr>
        <w:t xml:space="preserve">tate and </w:t>
      </w:r>
      <w:r w:rsidR="00CB7A5E">
        <w:rPr>
          <w:rFonts w:cs="Helvetica"/>
        </w:rPr>
        <w:t>f</w:t>
      </w:r>
      <w:r w:rsidRPr="005621E9">
        <w:rPr>
          <w:rFonts w:cs="Helvetica"/>
        </w:rPr>
        <w:t xml:space="preserve">ederal </w:t>
      </w:r>
      <w:r w:rsidR="00CB7A5E">
        <w:rPr>
          <w:rFonts w:cs="Helvetica"/>
        </w:rPr>
        <w:t>g</w:t>
      </w:r>
      <w:r w:rsidRPr="005621E9">
        <w:rPr>
          <w:rFonts w:cs="Helvetica"/>
        </w:rPr>
        <w:t xml:space="preserve">overnments </w:t>
      </w:r>
      <w:r w:rsidR="000A1F2A">
        <w:rPr>
          <w:rFonts w:cs="Helvetica"/>
        </w:rPr>
        <w:t>is</w:t>
      </w:r>
      <w:r w:rsidRPr="005621E9">
        <w:rPr>
          <w:rFonts w:cs="Helvetica"/>
        </w:rPr>
        <w:t xml:space="preserve"> summarised in </w:t>
      </w:r>
      <w:r w:rsidR="004170CD">
        <w:rPr>
          <w:rFonts w:cs="Helvetica"/>
        </w:rPr>
        <w:fldChar w:fldCharType="begin"/>
      </w:r>
      <w:r w:rsidR="004170CD">
        <w:rPr>
          <w:rFonts w:cs="Helvetica"/>
        </w:rPr>
        <w:instrText xml:space="preserve"> REF _Ref131597252 \h </w:instrText>
      </w:r>
      <w:r w:rsidR="004170CD">
        <w:rPr>
          <w:rFonts w:cs="Helvetica"/>
        </w:rPr>
      </w:r>
      <w:r w:rsidR="004170CD">
        <w:rPr>
          <w:rFonts w:cs="Helvetica"/>
        </w:rPr>
        <w:fldChar w:fldCharType="separate"/>
      </w:r>
      <w:r w:rsidR="00E209CB">
        <w:t>Table</w:t>
      </w:r>
      <w:r w:rsidR="006A2B0B">
        <w:t> </w:t>
      </w:r>
      <w:r w:rsidR="00E209CB">
        <w:rPr>
          <w:noProof/>
        </w:rPr>
        <w:t>9</w:t>
      </w:r>
      <w:r w:rsidR="004170CD">
        <w:rPr>
          <w:rFonts w:cs="Helvetica"/>
        </w:rPr>
        <w:fldChar w:fldCharType="end"/>
      </w:r>
      <w:r w:rsidR="00FA0A33">
        <w:rPr>
          <w:rFonts w:cs="Helvetica"/>
        </w:rPr>
        <w:t>.</w:t>
      </w:r>
    </w:p>
    <w:p w14:paraId="3AC22A20" w14:textId="5FC9CC90" w:rsidR="009240B6" w:rsidRDefault="00240742" w:rsidP="009240B6">
      <w:pPr>
        <w:rPr>
          <w:rFonts w:cs="Helvetica"/>
        </w:rPr>
      </w:pPr>
      <w:r w:rsidRPr="005621E9">
        <w:rPr>
          <w:rFonts w:cs="Helvetica"/>
        </w:rPr>
        <w:t xml:space="preserve">The </w:t>
      </w:r>
      <w:r w:rsidR="00E83349">
        <w:rPr>
          <w:color w:val="000000" w:themeColor="text1"/>
        </w:rPr>
        <w:t xml:space="preserve">commentary </w:t>
      </w:r>
      <w:r w:rsidR="005429B2" w:rsidRPr="005621E9">
        <w:rPr>
          <w:rFonts w:cs="Helvetica"/>
        </w:rPr>
        <w:t>agree</w:t>
      </w:r>
      <w:r w:rsidR="002900DA">
        <w:rPr>
          <w:rFonts w:cs="Helvetica"/>
        </w:rPr>
        <w:t>d</w:t>
      </w:r>
      <w:r w:rsidR="005429B2" w:rsidRPr="005621E9">
        <w:rPr>
          <w:rFonts w:cs="Helvetica"/>
        </w:rPr>
        <w:t xml:space="preserve"> that the</w:t>
      </w:r>
      <w:r w:rsidRPr="005621E9">
        <w:rPr>
          <w:rFonts w:cs="Helvetica"/>
        </w:rPr>
        <w:t xml:space="preserve"> method of </w:t>
      </w:r>
      <w:r w:rsidR="001226E5" w:rsidRPr="005621E9">
        <w:rPr>
          <w:rFonts w:cs="Helvetica"/>
        </w:rPr>
        <w:t>analysing</w:t>
      </w:r>
      <w:r w:rsidRPr="005621E9">
        <w:rPr>
          <w:rFonts w:cs="Helvetica"/>
        </w:rPr>
        <w:t xml:space="preserve"> both prevalent and incident data in the forward estimates is a suitable approach, particularly considering the anticipated significant impact of introducing imlifidase on the current and projected patient population</w:t>
      </w:r>
      <w:r w:rsidR="002900DA">
        <w:rPr>
          <w:rFonts w:cs="Helvetica"/>
        </w:rPr>
        <w:t>’</w:t>
      </w:r>
      <w:r w:rsidRPr="005621E9">
        <w:rPr>
          <w:rFonts w:cs="Helvetica"/>
        </w:rPr>
        <w:t xml:space="preserve">s steady state. However, the </w:t>
      </w:r>
      <w:r w:rsidR="00676525">
        <w:rPr>
          <w:rFonts w:cs="Helvetica"/>
        </w:rPr>
        <w:t>ADAR</w:t>
      </w:r>
      <w:r w:rsidR="00E24A5E">
        <w:rPr>
          <w:rFonts w:cs="Helvetica"/>
        </w:rPr>
        <w:t>’</w:t>
      </w:r>
      <w:r w:rsidRPr="005621E9">
        <w:rPr>
          <w:rFonts w:cs="Helvetica"/>
        </w:rPr>
        <w:t xml:space="preserve">s approach of solely considering the financial impact </w:t>
      </w:r>
      <w:r w:rsidR="000001A8" w:rsidRPr="005621E9">
        <w:rPr>
          <w:rFonts w:cs="Helvetica"/>
        </w:rPr>
        <w:t xml:space="preserve">on </w:t>
      </w:r>
      <w:r w:rsidRPr="005621E9">
        <w:rPr>
          <w:rFonts w:cs="Helvetica"/>
        </w:rPr>
        <w:t>patients expected to use imlifidase, rather than presenting the entire patient cohort, results in an incomplete assessment of the net financial impact of introducing imlifidase</w:t>
      </w:r>
      <w:r w:rsidR="00323A65" w:rsidRPr="005621E9">
        <w:rPr>
          <w:rFonts w:cs="Helvetica"/>
        </w:rPr>
        <w:t>.</w:t>
      </w:r>
    </w:p>
    <w:p w14:paraId="60794879" w14:textId="78A1816F" w:rsidR="00240742" w:rsidRDefault="00240742" w:rsidP="00240742">
      <w:pPr>
        <w:pStyle w:val="Caption"/>
      </w:pPr>
      <w:bookmarkStart w:id="30" w:name="_Ref131597252"/>
      <w:r>
        <w:t xml:space="preserve">Table </w:t>
      </w:r>
      <w:r>
        <w:fldChar w:fldCharType="begin"/>
      </w:r>
      <w:r>
        <w:instrText>SEQ Table \* ARABIC</w:instrText>
      </w:r>
      <w:r>
        <w:fldChar w:fldCharType="separate"/>
      </w:r>
      <w:r w:rsidR="00E209CB">
        <w:rPr>
          <w:noProof/>
        </w:rPr>
        <w:t>9</w:t>
      </w:r>
      <w:r>
        <w:fldChar w:fldCharType="end"/>
      </w:r>
      <w:bookmarkEnd w:id="30"/>
      <w:r>
        <w:t>: Net financial impact</w:t>
      </w:r>
    </w:p>
    <w:tbl>
      <w:tblPr>
        <w:tblStyle w:val="TableGridLight"/>
        <w:tblpPr w:leftFromText="180" w:rightFromText="180" w:vertAnchor="text" w:horzAnchor="margin" w:tblpY="102"/>
        <w:tblW w:w="5000" w:type="pct"/>
        <w:tblLook w:val="04A0" w:firstRow="1" w:lastRow="0" w:firstColumn="1" w:lastColumn="0" w:noHBand="0" w:noVBand="1"/>
      </w:tblPr>
      <w:tblGrid>
        <w:gridCol w:w="1836"/>
        <w:gridCol w:w="1562"/>
        <w:gridCol w:w="936"/>
        <w:gridCol w:w="936"/>
        <w:gridCol w:w="936"/>
        <w:gridCol w:w="936"/>
        <w:gridCol w:w="936"/>
        <w:gridCol w:w="938"/>
      </w:tblGrid>
      <w:tr w:rsidR="00240742" w:rsidRPr="00A2483E" w14:paraId="25683733" w14:textId="77777777" w:rsidTr="00FF5493">
        <w:trPr>
          <w:trHeight w:val="300"/>
          <w:tblHeader/>
        </w:trPr>
        <w:tc>
          <w:tcPr>
            <w:tcW w:w="1885" w:type="pct"/>
            <w:gridSpan w:val="2"/>
            <w:hideMark/>
          </w:tcPr>
          <w:p w14:paraId="5FAC3DDB" w14:textId="77777777" w:rsidR="00240742" w:rsidRPr="00FF5493" w:rsidRDefault="00240742" w:rsidP="00FF5493">
            <w:pPr>
              <w:pStyle w:val="Tabletext0"/>
              <w:rPr>
                <w:b/>
                <w:bCs/>
              </w:rPr>
            </w:pPr>
            <w:bookmarkStart w:id="31" w:name="RANGE!E188"/>
            <w:r w:rsidRPr="00FF5493">
              <w:rPr>
                <w:b/>
                <w:bCs/>
              </w:rPr>
              <w:t xml:space="preserve">Parameter </w:t>
            </w:r>
            <w:bookmarkEnd w:id="31"/>
          </w:p>
        </w:tc>
        <w:tc>
          <w:tcPr>
            <w:tcW w:w="519" w:type="pct"/>
            <w:hideMark/>
          </w:tcPr>
          <w:p w14:paraId="6DCDDCA3" w14:textId="77777777" w:rsidR="00240742" w:rsidRPr="00FF5493" w:rsidRDefault="00240742" w:rsidP="00FF5493">
            <w:pPr>
              <w:pStyle w:val="Tabletext0"/>
              <w:rPr>
                <w:b/>
                <w:bCs/>
              </w:rPr>
            </w:pPr>
            <w:r w:rsidRPr="00FF5493">
              <w:rPr>
                <w:b/>
                <w:bCs/>
              </w:rPr>
              <w:t>2024</w:t>
            </w:r>
          </w:p>
        </w:tc>
        <w:tc>
          <w:tcPr>
            <w:tcW w:w="519" w:type="pct"/>
            <w:hideMark/>
          </w:tcPr>
          <w:p w14:paraId="0D965081" w14:textId="77777777" w:rsidR="00240742" w:rsidRPr="00FF5493" w:rsidRDefault="00240742" w:rsidP="00FF5493">
            <w:pPr>
              <w:pStyle w:val="Tabletext0"/>
              <w:rPr>
                <w:b/>
                <w:bCs/>
              </w:rPr>
            </w:pPr>
            <w:r w:rsidRPr="00FF5493">
              <w:rPr>
                <w:b/>
                <w:bCs/>
              </w:rPr>
              <w:t>2025</w:t>
            </w:r>
          </w:p>
        </w:tc>
        <w:tc>
          <w:tcPr>
            <w:tcW w:w="519" w:type="pct"/>
            <w:hideMark/>
          </w:tcPr>
          <w:p w14:paraId="5A9B1EEE" w14:textId="77777777" w:rsidR="00240742" w:rsidRPr="00FF5493" w:rsidRDefault="00240742" w:rsidP="00FF5493">
            <w:pPr>
              <w:pStyle w:val="Tabletext0"/>
              <w:rPr>
                <w:b/>
                <w:bCs/>
              </w:rPr>
            </w:pPr>
            <w:r w:rsidRPr="00FF5493">
              <w:rPr>
                <w:b/>
                <w:bCs/>
              </w:rPr>
              <w:t>2026</w:t>
            </w:r>
          </w:p>
        </w:tc>
        <w:tc>
          <w:tcPr>
            <w:tcW w:w="519" w:type="pct"/>
            <w:hideMark/>
          </w:tcPr>
          <w:p w14:paraId="0BFE87E6" w14:textId="77777777" w:rsidR="00240742" w:rsidRPr="00FF5493" w:rsidRDefault="00240742" w:rsidP="00FF5493">
            <w:pPr>
              <w:pStyle w:val="Tabletext0"/>
              <w:rPr>
                <w:b/>
                <w:bCs/>
              </w:rPr>
            </w:pPr>
            <w:r w:rsidRPr="00FF5493">
              <w:rPr>
                <w:b/>
                <w:bCs/>
              </w:rPr>
              <w:t>2027</w:t>
            </w:r>
          </w:p>
        </w:tc>
        <w:tc>
          <w:tcPr>
            <w:tcW w:w="519" w:type="pct"/>
            <w:hideMark/>
          </w:tcPr>
          <w:p w14:paraId="3EB04A90" w14:textId="77777777" w:rsidR="00240742" w:rsidRPr="00FF5493" w:rsidRDefault="00240742" w:rsidP="00FF5493">
            <w:pPr>
              <w:pStyle w:val="Tabletext0"/>
              <w:rPr>
                <w:b/>
                <w:bCs/>
              </w:rPr>
            </w:pPr>
            <w:r w:rsidRPr="00FF5493">
              <w:rPr>
                <w:b/>
                <w:bCs/>
              </w:rPr>
              <w:t>2028</w:t>
            </w:r>
          </w:p>
        </w:tc>
        <w:tc>
          <w:tcPr>
            <w:tcW w:w="520" w:type="pct"/>
            <w:hideMark/>
          </w:tcPr>
          <w:p w14:paraId="0C293F25" w14:textId="77777777" w:rsidR="00240742" w:rsidRPr="00FF5493" w:rsidRDefault="00240742" w:rsidP="00FF5493">
            <w:pPr>
              <w:pStyle w:val="Tabletext0"/>
              <w:rPr>
                <w:b/>
                <w:bCs/>
              </w:rPr>
            </w:pPr>
            <w:r w:rsidRPr="00FF5493">
              <w:rPr>
                <w:b/>
                <w:bCs/>
              </w:rPr>
              <w:t>2029</w:t>
            </w:r>
          </w:p>
        </w:tc>
      </w:tr>
      <w:tr w:rsidR="00240742" w:rsidRPr="00A2483E" w14:paraId="49BCBBE3" w14:textId="77777777" w:rsidTr="00FF5493">
        <w:trPr>
          <w:trHeight w:val="300"/>
        </w:trPr>
        <w:tc>
          <w:tcPr>
            <w:tcW w:w="1019" w:type="pct"/>
            <w:vMerge w:val="restart"/>
            <w:hideMark/>
          </w:tcPr>
          <w:p w14:paraId="2A1A6151" w14:textId="77777777" w:rsidR="00240742" w:rsidRPr="00A2483E" w:rsidRDefault="00240742" w:rsidP="00FF5493">
            <w:pPr>
              <w:pStyle w:val="Tabletext0"/>
            </w:pPr>
            <w:r w:rsidRPr="00A2483E">
              <w:t>Number of people eligible for imlifidase</w:t>
            </w:r>
          </w:p>
        </w:tc>
        <w:tc>
          <w:tcPr>
            <w:tcW w:w="866" w:type="pct"/>
            <w:hideMark/>
          </w:tcPr>
          <w:p w14:paraId="51142655" w14:textId="04657BF7" w:rsidR="00240742" w:rsidRPr="00A2483E" w:rsidRDefault="00240742" w:rsidP="00FF5493">
            <w:pPr>
              <w:pStyle w:val="Tabletext0"/>
            </w:pPr>
            <w:r w:rsidRPr="00A2483E">
              <w:t xml:space="preserve">Deceased </w:t>
            </w:r>
            <w:r w:rsidR="00580A80">
              <w:t>d</w:t>
            </w:r>
            <w:r w:rsidRPr="00A2483E">
              <w:t>onor</w:t>
            </w:r>
          </w:p>
        </w:tc>
        <w:tc>
          <w:tcPr>
            <w:tcW w:w="519" w:type="pct"/>
            <w:hideMark/>
          </w:tcPr>
          <w:p w14:paraId="0D0F76C7" w14:textId="77777777" w:rsidR="00240742" w:rsidRPr="00A2483E" w:rsidRDefault="00240742" w:rsidP="00FF5493">
            <w:pPr>
              <w:pStyle w:val="Tabletext0"/>
            </w:pPr>
            <w:r w:rsidRPr="00A2483E">
              <w:t>170</w:t>
            </w:r>
          </w:p>
        </w:tc>
        <w:tc>
          <w:tcPr>
            <w:tcW w:w="519" w:type="pct"/>
            <w:hideMark/>
          </w:tcPr>
          <w:p w14:paraId="254C795A" w14:textId="77777777" w:rsidR="00240742" w:rsidRPr="00A2483E" w:rsidRDefault="00240742" w:rsidP="00FF5493">
            <w:pPr>
              <w:pStyle w:val="Tabletext0"/>
            </w:pPr>
            <w:r w:rsidRPr="00A2483E">
              <w:t>155</w:t>
            </w:r>
          </w:p>
        </w:tc>
        <w:tc>
          <w:tcPr>
            <w:tcW w:w="519" w:type="pct"/>
            <w:hideMark/>
          </w:tcPr>
          <w:p w14:paraId="01D828FF" w14:textId="77777777" w:rsidR="00240742" w:rsidRPr="00A2483E" w:rsidRDefault="00240742" w:rsidP="00FF5493">
            <w:pPr>
              <w:pStyle w:val="Tabletext0"/>
            </w:pPr>
            <w:r w:rsidRPr="00A2483E">
              <w:t>138</w:t>
            </w:r>
          </w:p>
        </w:tc>
        <w:tc>
          <w:tcPr>
            <w:tcW w:w="519" w:type="pct"/>
            <w:hideMark/>
          </w:tcPr>
          <w:p w14:paraId="5CA9740F" w14:textId="77777777" w:rsidR="00240742" w:rsidRPr="00A2483E" w:rsidRDefault="00240742" w:rsidP="00FF5493">
            <w:pPr>
              <w:pStyle w:val="Tabletext0"/>
            </w:pPr>
            <w:r w:rsidRPr="00A2483E">
              <w:t>114</w:t>
            </w:r>
          </w:p>
        </w:tc>
        <w:tc>
          <w:tcPr>
            <w:tcW w:w="519" w:type="pct"/>
            <w:hideMark/>
          </w:tcPr>
          <w:p w14:paraId="6BD650D8" w14:textId="77777777" w:rsidR="00240742" w:rsidRPr="00A2483E" w:rsidRDefault="00240742" w:rsidP="00FF5493">
            <w:pPr>
              <w:pStyle w:val="Tabletext0"/>
            </w:pPr>
            <w:r w:rsidRPr="00A2483E">
              <w:t>88</w:t>
            </w:r>
          </w:p>
        </w:tc>
        <w:tc>
          <w:tcPr>
            <w:tcW w:w="520" w:type="pct"/>
            <w:hideMark/>
          </w:tcPr>
          <w:p w14:paraId="17E866CE" w14:textId="77777777" w:rsidR="00240742" w:rsidRPr="00A2483E" w:rsidRDefault="00240742" w:rsidP="00FF5493">
            <w:pPr>
              <w:pStyle w:val="Tabletext0"/>
            </w:pPr>
            <w:r w:rsidRPr="00A2483E">
              <w:t>64</w:t>
            </w:r>
          </w:p>
        </w:tc>
      </w:tr>
      <w:tr w:rsidR="00240742" w:rsidRPr="00A2483E" w14:paraId="32728BA8" w14:textId="77777777" w:rsidTr="00FF5493">
        <w:trPr>
          <w:trHeight w:val="300"/>
        </w:trPr>
        <w:tc>
          <w:tcPr>
            <w:tcW w:w="1019" w:type="pct"/>
            <w:vMerge/>
            <w:hideMark/>
          </w:tcPr>
          <w:p w14:paraId="6880BF24" w14:textId="77777777" w:rsidR="00240742" w:rsidRPr="00A2483E" w:rsidRDefault="00240742" w:rsidP="00FF5493">
            <w:pPr>
              <w:pStyle w:val="Tabletext0"/>
            </w:pPr>
          </w:p>
        </w:tc>
        <w:tc>
          <w:tcPr>
            <w:tcW w:w="866" w:type="pct"/>
            <w:hideMark/>
          </w:tcPr>
          <w:p w14:paraId="2E31B374" w14:textId="21EA9A62" w:rsidR="00240742" w:rsidRPr="00A2483E" w:rsidRDefault="00240742" w:rsidP="00FF5493">
            <w:pPr>
              <w:pStyle w:val="Tabletext0"/>
            </w:pPr>
            <w:r w:rsidRPr="00A2483E">
              <w:t xml:space="preserve">Living </w:t>
            </w:r>
            <w:r w:rsidR="00580A80">
              <w:t>d</w:t>
            </w:r>
            <w:r w:rsidRPr="00A2483E">
              <w:t>onor</w:t>
            </w:r>
          </w:p>
        </w:tc>
        <w:tc>
          <w:tcPr>
            <w:tcW w:w="519" w:type="pct"/>
            <w:noWrap/>
            <w:hideMark/>
          </w:tcPr>
          <w:p w14:paraId="43BE27C8" w14:textId="77777777" w:rsidR="00240742" w:rsidRPr="00A2483E" w:rsidRDefault="00240742" w:rsidP="00FF5493">
            <w:pPr>
              <w:pStyle w:val="Tabletext0"/>
            </w:pPr>
            <w:r w:rsidRPr="00A2483E">
              <w:t>30</w:t>
            </w:r>
          </w:p>
        </w:tc>
        <w:tc>
          <w:tcPr>
            <w:tcW w:w="519" w:type="pct"/>
            <w:noWrap/>
            <w:hideMark/>
          </w:tcPr>
          <w:p w14:paraId="7108F7CC" w14:textId="77777777" w:rsidR="00240742" w:rsidRPr="00A2483E" w:rsidRDefault="00240742" w:rsidP="00FF5493">
            <w:pPr>
              <w:pStyle w:val="Tabletext0"/>
            </w:pPr>
            <w:r w:rsidRPr="00A2483E">
              <w:t>27</w:t>
            </w:r>
          </w:p>
        </w:tc>
        <w:tc>
          <w:tcPr>
            <w:tcW w:w="519" w:type="pct"/>
            <w:noWrap/>
            <w:hideMark/>
          </w:tcPr>
          <w:p w14:paraId="00174CA4" w14:textId="77777777" w:rsidR="00240742" w:rsidRPr="00A2483E" w:rsidRDefault="00240742" w:rsidP="00FF5493">
            <w:pPr>
              <w:pStyle w:val="Tabletext0"/>
            </w:pPr>
            <w:r w:rsidRPr="00A2483E">
              <w:t>24</w:t>
            </w:r>
          </w:p>
        </w:tc>
        <w:tc>
          <w:tcPr>
            <w:tcW w:w="519" w:type="pct"/>
            <w:noWrap/>
            <w:hideMark/>
          </w:tcPr>
          <w:p w14:paraId="18E3E90D" w14:textId="77777777" w:rsidR="00240742" w:rsidRPr="00A2483E" w:rsidRDefault="00240742" w:rsidP="00FF5493">
            <w:pPr>
              <w:pStyle w:val="Tabletext0"/>
            </w:pPr>
            <w:r w:rsidRPr="00A2483E">
              <w:t>20</w:t>
            </w:r>
          </w:p>
        </w:tc>
        <w:tc>
          <w:tcPr>
            <w:tcW w:w="519" w:type="pct"/>
            <w:noWrap/>
            <w:hideMark/>
          </w:tcPr>
          <w:p w14:paraId="7A705769" w14:textId="77777777" w:rsidR="00240742" w:rsidRPr="00A2483E" w:rsidRDefault="00240742" w:rsidP="00FF5493">
            <w:pPr>
              <w:pStyle w:val="Tabletext0"/>
            </w:pPr>
            <w:r w:rsidRPr="00A2483E">
              <w:t>15</w:t>
            </w:r>
          </w:p>
        </w:tc>
        <w:tc>
          <w:tcPr>
            <w:tcW w:w="520" w:type="pct"/>
            <w:noWrap/>
            <w:hideMark/>
          </w:tcPr>
          <w:p w14:paraId="42D64DC6" w14:textId="77777777" w:rsidR="00240742" w:rsidRPr="00A2483E" w:rsidRDefault="00240742" w:rsidP="00FF5493">
            <w:pPr>
              <w:pStyle w:val="Tabletext0"/>
            </w:pPr>
            <w:r w:rsidRPr="00A2483E">
              <w:t>10</w:t>
            </w:r>
          </w:p>
        </w:tc>
      </w:tr>
      <w:tr w:rsidR="00240742" w:rsidRPr="00A2483E" w14:paraId="09AA97B4" w14:textId="77777777" w:rsidTr="00776A70">
        <w:trPr>
          <w:trHeight w:val="300"/>
        </w:trPr>
        <w:tc>
          <w:tcPr>
            <w:tcW w:w="1019" w:type="pct"/>
            <w:vMerge/>
            <w:hideMark/>
          </w:tcPr>
          <w:p w14:paraId="6F6486FE" w14:textId="77777777" w:rsidR="00240742" w:rsidRPr="00A2483E" w:rsidRDefault="00240742" w:rsidP="00FF5493">
            <w:pPr>
              <w:pStyle w:val="Tabletext0"/>
            </w:pPr>
          </w:p>
        </w:tc>
        <w:tc>
          <w:tcPr>
            <w:tcW w:w="866" w:type="pct"/>
            <w:hideMark/>
          </w:tcPr>
          <w:p w14:paraId="7E9BABBD" w14:textId="77777777" w:rsidR="00240742" w:rsidRPr="00A2483E" w:rsidRDefault="00240742" w:rsidP="00FF5493">
            <w:pPr>
              <w:pStyle w:val="Tabletext0"/>
            </w:pPr>
            <w:r w:rsidRPr="00A2483E">
              <w:t>Total</w:t>
            </w:r>
          </w:p>
        </w:tc>
        <w:tc>
          <w:tcPr>
            <w:tcW w:w="519" w:type="pct"/>
            <w:tcBorders>
              <w:bottom w:val="single" w:sz="4" w:space="0" w:color="BFBFBF" w:themeColor="background1" w:themeShade="BF"/>
            </w:tcBorders>
            <w:noWrap/>
            <w:hideMark/>
          </w:tcPr>
          <w:p w14:paraId="35188066" w14:textId="77777777" w:rsidR="00240742" w:rsidRPr="00A2483E" w:rsidRDefault="00240742" w:rsidP="00FF5493">
            <w:pPr>
              <w:pStyle w:val="Tabletext0"/>
            </w:pPr>
            <w:r w:rsidRPr="00A2483E">
              <w:t>200</w:t>
            </w:r>
          </w:p>
        </w:tc>
        <w:tc>
          <w:tcPr>
            <w:tcW w:w="519" w:type="pct"/>
            <w:tcBorders>
              <w:bottom w:val="single" w:sz="4" w:space="0" w:color="BFBFBF" w:themeColor="background1" w:themeShade="BF"/>
            </w:tcBorders>
            <w:noWrap/>
            <w:hideMark/>
          </w:tcPr>
          <w:p w14:paraId="0802A3F2" w14:textId="77777777" w:rsidR="00240742" w:rsidRPr="00A2483E" w:rsidRDefault="00240742" w:rsidP="00FF5493">
            <w:pPr>
              <w:pStyle w:val="Tabletext0"/>
            </w:pPr>
            <w:r w:rsidRPr="00A2483E">
              <w:t>182</w:t>
            </w:r>
          </w:p>
        </w:tc>
        <w:tc>
          <w:tcPr>
            <w:tcW w:w="519" w:type="pct"/>
            <w:tcBorders>
              <w:bottom w:val="single" w:sz="4" w:space="0" w:color="BFBFBF" w:themeColor="background1" w:themeShade="BF"/>
            </w:tcBorders>
            <w:noWrap/>
            <w:hideMark/>
          </w:tcPr>
          <w:p w14:paraId="68583B0D" w14:textId="77777777" w:rsidR="00240742" w:rsidRPr="00A2483E" w:rsidRDefault="00240742" w:rsidP="00FF5493">
            <w:pPr>
              <w:pStyle w:val="Tabletext0"/>
            </w:pPr>
            <w:r w:rsidRPr="00A2483E">
              <w:t>162</w:t>
            </w:r>
          </w:p>
        </w:tc>
        <w:tc>
          <w:tcPr>
            <w:tcW w:w="519" w:type="pct"/>
            <w:tcBorders>
              <w:bottom w:val="single" w:sz="4" w:space="0" w:color="BFBFBF" w:themeColor="background1" w:themeShade="BF"/>
            </w:tcBorders>
            <w:noWrap/>
            <w:hideMark/>
          </w:tcPr>
          <w:p w14:paraId="1BDE4E25" w14:textId="77777777" w:rsidR="00240742" w:rsidRPr="00A2483E" w:rsidRDefault="00240742" w:rsidP="00FF5493">
            <w:pPr>
              <w:pStyle w:val="Tabletext0"/>
            </w:pPr>
            <w:r w:rsidRPr="00A2483E">
              <w:t>134</w:t>
            </w:r>
          </w:p>
        </w:tc>
        <w:tc>
          <w:tcPr>
            <w:tcW w:w="519" w:type="pct"/>
            <w:tcBorders>
              <w:bottom w:val="single" w:sz="4" w:space="0" w:color="BFBFBF" w:themeColor="background1" w:themeShade="BF"/>
            </w:tcBorders>
            <w:noWrap/>
            <w:hideMark/>
          </w:tcPr>
          <w:p w14:paraId="3A68B4EA" w14:textId="77777777" w:rsidR="00240742" w:rsidRPr="00A2483E" w:rsidRDefault="00240742" w:rsidP="00FF5493">
            <w:pPr>
              <w:pStyle w:val="Tabletext0"/>
            </w:pPr>
            <w:r w:rsidRPr="00A2483E">
              <w:t>103</w:t>
            </w:r>
          </w:p>
        </w:tc>
        <w:tc>
          <w:tcPr>
            <w:tcW w:w="520" w:type="pct"/>
            <w:tcBorders>
              <w:bottom w:val="single" w:sz="4" w:space="0" w:color="BFBFBF" w:themeColor="background1" w:themeShade="BF"/>
            </w:tcBorders>
            <w:noWrap/>
            <w:hideMark/>
          </w:tcPr>
          <w:p w14:paraId="5DF135D2" w14:textId="77777777" w:rsidR="00240742" w:rsidRPr="00A2483E" w:rsidRDefault="00240742" w:rsidP="00FF5493">
            <w:pPr>
              <w:pStyle w:val="Tabletext0"/>
            </w:pPr>
            <w:r w:rsidRPr="00A2483E">
              <w:t>74</w:t>
            </w:r>
          </w:p>
        </w:tc>
      </w:tr>
      <w:tr w:rsidR="00776A70" w:rsidRPr="00A2483E" w14:paraId="3377FD19" w14:textId="77777777" w:rsidTr="00776A70">
        <w:trPr>
          <w:trHeight w:val="300"/>
        </w:trPr>
        <w:tc>
          <w:tcPr>
            <w:tcW w:w="1019" w:type="pct"/>
            <w:vMerge w:val="restart"/>
            <w:hideMark/>
          </w:tcPr>
          <w:p w14:paraId="708A82C5" w14:textId="31F586E0" w:rsidR="00240742" w:rsidRPr="00A2483E" w:rsidRDefault="00240742" w:rsidP="00FF5493">
            <w:pPr>
              <w:pStyle w:val="Tabletext0"/>
            </w:pPr>
            <w:r w:rsidRPr="00A2483E">
              <w:t xml:space="preserve">Number of people who receive </w:t>
            </w:r>
            <w:r w:rsidR="00580A80">
              <w:t>i</w:t>
            </w:r>
            <w:r w:rsidRPr="00A2483E">
              <w:t>mlifidase</w:t>
            </w:r>
          </w:p>
        </w:tc>
        <w:tc>
          <w:tcPr>
            <w:tcW w:w="866" w:type="pct"/>
            <w:hideMark/>
          </w:tcPr>
          <w:p w14:paraId="0CC7AA1E" w14:textId="50A50001" w:rsidR="00240742" w:rsidRPr="00A2483E" w:rsidRDefault="00240742" w:rsidP="00FF5493">
            <w:pPr>
              <w:pStyle w:val="Tabletext0"/>
            </w:pPr>
            <w:r w:rsidRPr="00A2483E">
              <w:t xml:space="preserve">Deceased </w:t>
            </w:r>
            <w:r w:rsidR="00580A80">
              <w:t>d</w:t>
            </w:r>
            <w:r w:rsidRPr="00A2483E">
              <w:t>onor</w:t>
            </w:r>
          </w:p>
        </w:tc>
        <w:tc>
          <w:tcPr>
            <w:tcW w:w="519" w:type="pct"/>
            <w:tcBorders>
              <w:bottom w:val="single" w:sz="4" w:space="0" w:color="BFBFBF" w:themeColor="background1" w:themeShade="BF"/>
            </w:tcBorders>
            <w:shd w:val="solid" w:color="000000" w:fill="000000"/>
            <w:hideMark/>
          </w:tcPr>
          <w:p w14:paraId="62D5FFC3" w14:textId="19A14E61" w:rsidR="00240742" w:rsidRPr="00A2483E" w:rsidRDefault="00485FFD" w:rsidP="00FF5493">
            <w:pPr>
              <w:pStyle w:val="Tabletext0"/>
            </w:pPr>
            <w:r w:rsidRPr="00485FFD">
              <w:rPr>
                <w:color w:val="000000"/>
                <w:w w:val="36"/>
                <w:fitText w:val="64" w:id="-1175812352"/>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hideMark/>
          </w:tcPr>
          <w:p w14:paraId="46C1C4E4" w14:textId="20B8C9E2" w:rsidR="00240742" w:rsidRPr="00A2483E" w:rsidRDefault="00D000FE" w:rsidP="00FF5493">
            <w:pPr>
              <w:pStyle w:val="Tabletext0"/>
            </w:pPr>
            <w:r w:rsidRPr="00D000FE">
              <w:rPr>
                <w:color w:val="000000"/>
                <w:w w:val="36"/>
                <w:fitText w:val="64" w:id="-1175811838"/>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hideMark/>
          </w:tcPr>
          <w:p w14:paraId="12AB2BA2" w14:textId="5ADE667B" w:rsidR="00240742" w:rsidRPr="00A2483E" w:rsidRDefault="00D000FE" w:rsidP="00FF5493">
            <w:pPr>
              <w:pStyle w:val="Tabletext0"/>
            </w:pPr>
            <w:r w:rsidRPr="00D000FE">
              <w:rPr>
                <w:color w:val="000000"/>
                <w:w w:val="36"/>
                <w:fitText w:val="64" w:id="-1175811584"/>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hideMark/>
          </w:tcPr>
          <w:p w14:paraId="4BB5A04C" w14:textId="4403C739" w:rsidR="00240742" w:rsidRPr="00A2483E" w:rsidRDefault="00776A70" w:rsidP="00FF5493">
            <w:pPr>
              <w:pStyle w:val="Tabletext0"/>
            </w:pPr>
            <w:r w:rsidRPr="00776A70">
              <w:rPr>
                <w:color w:val="000000"/>
                <w:w w:val="36"/>
                <w:fitText w:val="64" w:id="-1175811328"/>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hideMark/>
          </w:tcPr>
          <w:p w14:paraId="11D3512A" w14:textId="5B3926F2" w:rsidR="00240742" w:rsidRPr="00A2483E" w:rsidRDefault="00776A70" w:rsidP="00FF5493">
            <w:pPr>
              <w:pStyle w:val="Tabletext0"/>
            </w:pPr>
            <w:r w:rsidRPr="00776A70">
              <w:rPr>
                <w:color w:val="000000"/>
                <w:w w:val="36"/>
                <w:fitText w:val="64" w:id="-1175811322"/>
                <w14:textFill>
                  <w14:solidFill>
                    <w14:srgbClr w14:val="000000">
                      <w14:alpha w14:val="100000"/>
                    </w14:srgbClr>
                  </w14:solidFill>
                </w14:textFill>
              </w:rPr>
              <w:t>|  |</w:t>
            </w:r>
          </w:p>
        </w:tc>
        <w:tc>
          <w:tcPr>
            <w:tcW w:w="520" w:type="pct"/>
            <w:tcBorders>
              <w:bottom w:val="single" w:sz="4" w:space="0" w:color="BFBFBF" w:themeColor="background1" w:themeShade="BF"/>
            </w:tcBorders>
            <w:shd w:val="solid" w:color="000000" w:fill="000000"/>
            <w:hideMark/>
          </w:tcPr>
          <w:p w14:paraId="72DD6BA8" w14:textId="3CB18A3C" w:rsidR="00240742" w:rsidRPr="00A2483E" w:rsidRDefault="00776A70" w:rsidP="00FF5493">
            <w:pPr>
              <w:pStyle w:val="Tabletext0"/>
            </w:pPr>
            <w:r w:rsidRPr="00776A70">
              <w:rPr>
                <w:color w:val="000000"/>
                <w:w w:val="36"/>
                <w:fitText w:val="64" w:id="-1175811069"/>
                <w14:textFill>
                  <w14:solidFill>
                    <w14:srgbClr w14:val="000000">
                      <w14:alpha w14:val="100000"/>
                    </w14:srgbClr>
                  </w14:solidFill>
                </w14:textFill>
              </w:rPr>
              <w:t>|  |</w:t>
            </w:r>
          </w:p>
        </w:tc>
      </w:tr>
      <w:tr w:rsidR="00776A70" w:rsidRPr="00A2483E" w14:paraId="2850E6BF" w14:textId="77777777" w:rsidTr="00776A70">
        <w:trPr>
          <w:trHeight w:val="300"/>
        </w:trPr>
        <w:tc>
          <w:tcPr>
            <w:tcW w:w="1019" w:type="pct"/>
            <w:vMerge/>
            <w:hideMark/>
          </w:tcPr>
          <w:p w14:paraId="1D3585AB" w14:textId="77777777" w:rsidR="00240742" w:rsidRPr="00A2483E" w:rsidRDefault="00240742" w:rsidP="00FF5493">
            <w:pPr>
              <w:pStyle w:val="Tabletext0"/>
            </w:pPr>
          </w:p>
        </w:tc>
        <w:tc>
          <w:tcPr>
            <w:tcW w:w="866" w:type="pct"/>
            <w:hideMark/>
          </w:tcPr>
          <w:p w14:paraId="2955C5F1" w14:textId="0598E762" w:rsidR="00240742" w:rsidRPr="00A2483E" w:rsidRDefault="00240742" w:rsidP="00FF5493">
            <w:pPr>
              <w:pStyle w:val="Tabletext0"/>
            </w:pPr>
            <w:r w:rsidRPr="00A2483E">
              <w:t xml:space="preserve">Living </w:t>
            </w:r>
            <w:r w:rsidR="00580A80">
              <w:t>d</w:t>
            </w:r>
            <w:r w:rsidRPr="00A2483E">
              <w:t>onor</w:t>
            </w:r>
          </w:p>
        </w:tc>
        <w:tc>
          <w:tcPr>
            <w:tcW w:w="519" w:type="pct"/>
            <w:tcBorders>
              <w:bottom w:val="single" w:sz="4" w:space="0" w:color="BFBFBF" w:themeColor="background1" w:themeShade="BF"/>
            </w:tcBorders>
            <w:shd w:val="solid" w:color="000000" w:fill="000000"/>
            <w:noWrap/>
            <w:hideMark/>
          </w:tcPr>
          <w:p w14:paraId="5A9779B4" w14:textId="4147FDEB" w:rsidR="00240742" w:rsidRPr="00A2483E" w:rsidRDefault="00485FFD" w:rsidP="00FF5493">
            <w:pPr>
              <w:pStyle w:val="Tabletext0"/>
            </w:pPr>
            <w:r w:rsidRPr="00485FFD">
              <w:rPr>
                <w:color w:val="000000"/>
                <w:w w:val="22"/>
                <w:fitText w:val="40" w:id="-1175812351"/>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0024CF5A" w14:textId="11987265" w:rsidR="00240742" w:rsidRPr="00A2483E" w:rsidRDefault="00D000FE" w:rsidP="00FF5493">
            <w:pPr>
              <w:pStyle w:val="Tabletext0"/>
            </w:pPr>
            <w:r w:rsidRPr="00D000FE">
              <w:rPr>
                <w:color w:val="000000"/>
                <w:w w:val="22"/>
                <w:fitText w:val="40" w:id="-1175811837"/>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1F3364D2" w14:textId="424AF423" w:rsidR="00240742" w:rsidRPr="00A2483E" w:rsidRDefault="00776A70" w:rsidP="00FF5493">
            <w:pPr>
              <w:pStyle w:val="Tabletext0"/>
            </w:pPr>
            <w:r w:rsidRPr="00776A70">
              <w:rPr>
                <w:color w:val="000000"/>
                <w:w w:val="22"/>
                <w:fitText w:val="40" w:id="-1175811583"/>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11AF9DD1" w14:textId="63095B3E" w:rsidR="00240742" w:rsidRPr="00A2483E" w:rsidRDefault="00776A70" w:rsidP="00FF5493">
            <w:pPr>
              <w:pStyle w:val="Tabletext0"/>
            </w:pPr>
            <w:r w:rsidRPr="00776A70">
              <w:rPr>
                <w:color w:val="000000"/>
                <w:w w:val="22"/>
                <w:fitText w:val="40" w:id="-1175811327"/>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19460E67" w14:textId="2B7BC65D" w:rsidR="00240742" w:rsidRPr="00A2483E" w:rsidRDefault="00776A70" w:rsidP="00FF5493">
            <w:pPr>
              <w:pStyle w:val="Tabletext0"/>
            </w:pPr>
            <w:r w:rsidRPr="00776A70">
              <w:rPr>
                <w:color w:val="000000"/>
                <w:w w:val="22"/>
                <w:fitText w:val="40" w:id="-1175811321"/>
                <w14:textFill>
                  <w14:solidFill>
                    <w14:srgbClr w14:val="000000">
                      <w14:alpha w14:val="100000"/>
                    </w14:srgbClr>
                  </w14:solidFill>
                </w14:textFill>
              </w:rPr>
              <w:t>|  |</w:t>
            </w:r>
          </w:p>
        </w:tc>
        <w:tc>
          <w:tcPr>
            <w:tcW w:w="520" w:type="pct"/>
            <w:tcBorders>
              <w:bottom w:val="single" w:sz="4" w:space="0" w:color="BFBFBF" w:themeColor="background1" w:themeShade="BF"/>
            </w:tcBorders>
            <w:shd w:val="solid" w:color="000000" w:fill="000000"/>
            <w:noWrap/>
            <w:hideMark/>
          </w:tcPr>
          <w:p w14:paraId="2FA35717" w14:textId="1A553EBF" w:rsidR="00240742" w:rsidRPr="00A2483E" w:rsidRDefault="00776A70" w:rsidP="00FF5493">
            <w:pPr>
              <w:pStyle w:val="Tabletext0"/>
            </w:pPr>
            <w:r w:rsidRPr="00776A70">
              <w:rPr>
                <w:color w:val="000000"/>
                <w:w w:val="22"/>
                <w:fitText w:val="40" w:id="-1175811068"/>
                <w14:textFill>
                  <w14:solidFill>
                    <w14:srgbClr w14:val="000000">
                      <w14:alpha w14:val="100000"/>
                    </w14:srgbClr>
                  </w14:solidFill>
                </w14:textFill>
              </w:rPr>
              <w:t>|  |</w:t>
            </w:r>
          </w:p>
        </w:tc>
      </w:tr>
      <w:tr w:rsidR="00776A70" w:rsidRPr="00A2483E" w14:paraId="06641D51" w14:textId="77777777" w:rsidTr="00776A70">
        <w:trPr>
          <w:trHeight w:val="300"/>
        </w:trPr>
        <w:tc>
          <w:tcPr>
            <w:tcW w:w="1019" w:type="pct"/>
            <w:vMerge/>
            <w:hideMark/>
          </w:tcPr>
          <w:p w14:paraId="42B0FB9D" w14:textId="77777777" w:rsidR="00240742" w:rsidRPr="00A2483E" w:rsidRDefault="00240742" w:rsidP="00FF5493">
            <w:pPr>
              <w:pStyle w:val="Tabletext0"/>
            </w:pPr>
          </w:p>
        </w:tc>
        <w:tc>
          <w:tcPr>
            <w:tcW w:w="866" w:type="pct"/>
            <w:hideMark/>
          </w:tcPr>
          <w:p w14:paraId="1AB181CA" w14:textId="77777777" w:rsidR="00240742" w:rsidRPr="00A2483E" w:rsidRDefault="00240742" w:rsidP="00FF5493">
            <w:pPr>
              <w:pStyle w:val="Tabletext0"/>
            </w:pPr>
            <w:r w:rsidRPr="00A2483E">
              <w:t>Total</w:t>
            </w:r>
          </w:p>
        </w:tc>
        <w:tc>
          <w:tcPr>
            <w:tcW w:w="519" w:type="pct"/>
            <w:tcBorders>
              <w:bottom w:val="single" w:sz="4" w:space="0" w:color="BFBFBF" w:themeColor="background1" w:themeShade="BF"/>
            </w:tcBorders>
            <w:shd w:val="solid" w:color="000000" w:fill="000000"/>
            <w:noWrap/>
            <w:hideMark/>
          </w:tcPr>
          <w:p w14:paraId="26CCEE5D" w14:textId="0D861429" w:rsidR="00240742" w:rsidRPr="00A2483E" w:rsidRDefault="00485FFD" w:rsidP="00FF5493">
            <w:pPr>
              <w:pStyle w:val="Tabletext0"/>
            </w:pPr>
            <w:r w:rsidRPr="00485FFD">
              <w:rPr>
                <w:color w:val="000000"/>
                <w:w w:val="36"/>
                <w:fitText w:val="64" w:id="-1175812350"/>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1EE1204E" w14:textId="45909F1A" w:rsidR="00240742" w:rsidRPr="00A2483E" w:rsidRDefault="00D000FE" w:rsidP="00FF5493">
            <w:pPr>
              <w:pStyle w:val="Tabletext0"/>
            </w:pPr>
            <w:r w:rsidRPr="00D000FE">
              <w:rPr>
                <w:color w:val="000000"/>
                <w:w w:val="36"/>
                <w:fitText w:val="64" w:id="-1175811836"/>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3DA124DB" w14:textId="193AD7F8" w:rsidR="00240742" w:rsidRPr="00A2483E" w:rsidRDefault="00776A70" w:rsidP="00FF5493">
            <w:pPr>
              <w:pStyle w:val="Tabletext0"/>
            </w:pPr>
            <w:r w:rsidRPr="00776A70">
              <w:rPr>
                <w:color w:val="000000"/>
                <w:w w:val="36"/>
                <w:fitText w:val="64" w:id="-1175811582"/>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6A0FBB33" w14:textId="682E54E2" w:rsidR="00240742" w:rsidRPr="00A2483E" w:rsidRDefault="00776A70" w:rsidP="00FF5493">
            <w:pPr>
              <w:pStyle w:val="Tabletext0"/>
            </w:pPr>
            <w:r w:rsidRPr="00776A70">
              <w:rPr>
                <w:color w:val="000000"/>
                <w:w w:val="36"/>
                <w:fitText w:val="64" w:id="-1175811326"/>
                <w14:textFill>
                  <w14:solidFill>
                    <w14:srgbClr w14:val="000000">
                      <w14:alpha w14:val="100000"/>
                    </w14:srgbClr>
                  </w14:solidFill>
                </w14:textFill>
              </w:rPr>
              <w:t>|  |</w:t>
            </w:r>
          </w:p>
        </w:tc>
        <w:tc>
          <w:tcPr>
            <w:tcW w:w="519" w:type="pct"/>
            <w:tcBorders>
              <w:bottom w:val="single" w:sz="4" w:space="0" w:color="BFBFBF" w:themeColor="background1" w:themeShade="BF"/>
            </w:tcBorders>
            <w:shd w:val="solid" w:color="000000" w:fill="000000"/>
            <w:noWrap/>
            <w:hideMark/>
          </w:tcPr>
          <w:p w14:paraId="788D84F7" w14:textId="0FA96347" w:rsidR="00240742" w:rsidRPr="00A2483E" w:rsidRDefault="00776A70" w:rsidP="00FF5493">
            <w:pPr>
              <w:pStyle w:val="Tabletext0"/>
            </w:pPr>
            <w:r w:rsidRPr="00776A70">
              <w:rPr>
                <w:color w:val="000000"/>
                <w:w w:val="36"/>
                <w:fitText w:val="64" w:id="-1175811320"/>
                <w14:textFill>
                  <w14:solidFill>
                    <w14:srgbClr w14:val="000000">
                      <w14:alpha w14:val="100000"/>
                    </w14:srgbClr>
                  </w14:solidFill>
                </w14:textFill>
              </w:rPr>
              <w:t>|  |</w:t>
            </w:r>
          </w:p>
        </w:tc>
        <w:tc>
          <w:tcPr>
            <w:tcW w:w="520" w:type="pct"/>
            <w:tcBorders>
              <w:bottom w:val="single" w:sz="4" w:space="0" w:color="BFBFBF" w:themeColor="background1" w:themeShade="BF"/>
            </w:tcBorders>
            <w:shd w:val="solid" w:color="000000" w:fill="000000"/>
            <w:noWrap/>
            <w:hideMark/>
          </w:tcPr>
          <w:p w14:paraId="6832F815" w14:textId="3D4340FE" w:rsidR="00240742" w:rsidRPr="00A2483E" w:rsidRDefault="00776A70" w:rsidP="00FF5493">
            <w:pPr>
              <w:pStyle w:val="Tabletext0"/>
            </w:pPr>
            <w:r w:rsidRPr="00776A70">
              <w:rPr>
                <w:color w:val="000000"/>
                <w:w w:val="36"/>
                <w:fitText w:val="64" w:id="-1175811067"/>
                <w14:textFill>
                  <w14:solidFill>
                    <w14:srgbClr w14:val="000000">
                      <w14:alpha w14:val="100000"/>
                    </w14:srgbClr>
                  </w14:solidFill>
                </w14:textFill>
              </w:rPr>
              <w:t>|  |</w:t>
            </w:r>
          </w:p>
        </w:tc>
      </w:tr>
      <w:tr w:rsidR="00776A70" w:rsidRPr="00A2483E" w14:paraId="03D0CB47" w14:textId="77777777" w:rsidTr="00776A70">
        <w:trPr>
          <w:trHeight w:val="300"/>
        </w:trPr>
        <w:tc>
          <w:tcPr>
            <w:tcW w:w="1885" w:type="pct"/>
            <w:gridSpan w:val="2"/>
            <w:hideMark/>
          </w:tcPr>
          <w:p w14:paraId="49C55E2E" w14:textId="10DFC790" w:rsidR="00240742" w:rsidRPr="00A2483E" w:rsidRDefault="00240742" w:rsidP="00FF5493">
            <w:pPr>
              <w:pStyle w:val="Tabletext0"/>
            </w:pPr>
            <w:r w:rsidRPr="00A2483E">
              <w:t xml:space="preserve">Cost of </w:t>
            </w:r>
            <w:r w:rsidR="00580A80">
              <w:t>i</w:t>
            </w:r>
            <w:r w:rsidRPr="00A2483E">
              <w:t xml:space="preserve">mlifidase to all </w:t>
            </w:r>
            <w:r w:rsidR="00580A80">
              <w:t>g</w:t>
            </w:r>
            <w:r w:rsidRPr="00A2483E">
              <w:t>overnments</w:t>
            </w:r>
          </w:p>
        </w:tc>
        <w:tc>
          <w:tcPr>
            <w:tcW w:w="519" w:type="pct"/>
            <w:tcBorders>
              <w:bottom w:val="single" w:sz="4" w:space="0" w:color="BFBFBF" w:themeColor="background1" w:themeShade="BF"/>
            </w:tcBorders>
            <w:shd w:val="solid" w:color="000000" w:fill="000000"/>
            <w:hideMark/>
          </w:tcPr>
          <w:p w14:paraId="33BAD591" w14:textId="00C36A40" w:rsidR="00240742" w:rsidRPr="00A2483E" w:rsidRDefault="00EC7E41" w:rsidP="00FF5493">
            <w:pPr>
              <w:pStyle w:val="Tabletext0"/>
            </w:pPr>
            <w:r w:rsidRPr="00EC7E41">
              <w:rPr>
                <w:color w:val="000000"/>
                <w:spacing w:val="12"/>
                <w:fitText w:val="436" w:id="-1175812096"/>
                <w14:textFill>
                  <w14:solidFill>
                    <w14:srgbClr w14:val="000000">
                      <w14:alpha w14:val="100000"/>
                    </w14:srgbClr>
                  </w14:solidFill>
                </w14:textFill>
              </w:rPr>
              <w:t>|||  ||</w:t>
            </w:r>
            <w:r w:rsidRPr="00EC7E41">
              <w:rPr>
                <w:color w:val="000000"/>
                <w:spacing w:val="6"/>
                <w:fitText w:val="436" w:id="-1175812096"/>
                <w14:textFill>
                  <w14:solidFill>
                    <w14:srgbClr w14:val="00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219FE0C3" w14:textId="192C47CB" w:rsidR="00240742" w:rsidRPr="00A2483E" w:rsidRDefault="00D000FE" w:rsidP="00FF5493">
            <w:pPr>
              <w:pStyle w:val="Tabletext0"/>
            </w:pPr>
            <w:r w:rsidRPr="00D000FE">
              <w:rPr>
                <w:color w:val="000000"/>
                <w:spacing w:val="12"/>
                <w:fitText w:val="436" w:id="-1175811835"/>
                <w14:textFill>
                  <w14:solidFill>
                    <w14:srgbClr w14:val="000000">
                      <w14:alpha w14:val="100000"/>
                    </w14:srgbClr>
                  </w14:solidFill>
                </w14:textFill>
              </w:rPr>
              <w:t>|||  ||</w:t>
            </w:r>
            <w:r w:rsidRPr="00D000FE">
              <w:rPr>
                <w:color w:val="000000"/>
                <w:spacing w:val="6"/>
                <w:fitText w:val="436" w:id="-1175811835"/>
                <w14:textFill>
                  <w14:solidFill>
                    <w14:srgbClr w14:val="00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0D7E5E74" w14:textId="6FF72551" w:rsidR="00240742" w:rsidRPr="00A2483E" w:rsidRDefault="00776A70" w:rsidP="00FF5493">
            <w:pPr>
              <w:pStyle w:val="Tabletext0"/>
            </w:pPr>
            <w:r w:rsidRPr="00776A70">
              <w:rPr>
                <w:color w:val="000000"/>
                <w:spacing w:val="12"/>
                <w:fitText w:val="436" w:id="-1175811581"/>
                <w14:textFill>
                  <w14:solidFill>
                    <w14:srgbClr w14:val="000000">
                      <w14:alpha w14:val="100000"/>
                    </w14:srgbClr>
                  </w14:solidFill>
                </w14:textFill>
              </w:rPr>
              <w:t>|||  ||</w:t>
            </w:r>
            <w:r w:rsidRPr="00776A70">
              <w:rPr>
                <w:color w:val="000000"/>
                <w:spacing w:val="6"/>
                <w:fitText w:val="436" w:id="-1175811581"/>
                <w14:textFill>
                  <w14:solidFill>
                    <w14:srgbClr w14:val="00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43FA31CD" w14:textId="45176432" w:rsidR="00240742" w:rsidRPr="00A2483E" w:rsidRDefault="00776A70" w:rsidP="00FF5493">
            <w:pPr>
              <w:pStyle w:val="Tabletext0"/>
            </w:pPr>
            <w:r w:rsidRPr="00776A70">
              <w:rPr>
                <w:color w:val="000000"/>
                <w:spacing w:val="12"/>
                <w:fitText w:val="436" w:id="-1175811325"/>
                <w14:textFill>
                  <w14:solidFill>
                    <w14:srgbClr w14:val="000000">
                      <w14:alpha w14:val="100000"/>
                    </w14:srgbClr>
                  </w14:solidFill>
                </w14:textFill>
              </w:rPr>
              <w:t>|||  ||</w:t>
            </w:r>
            <w:r w:rsidRPr="00776A70">
              <w:rPr>
                <w:color w:val="000000"/>
                <w:spacing w:val="6"/>
                <w:fitText w:val="436" w:id="-1175811325"/>
                <w14:textFill>
                  <w14:solidFill>
                    <w14:srgbClr w14:val="00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70555F02" w14:textId="07E3942F" w:rsidR="00240742" w:rsidRPr="00A2483E" w:rsidRDefault="00776A70" w:rsidP="00FF5493">
            <w:pPr>
              <w:pStyle w:val="Tabletext0"/>
            </w:pPr>
            <w:r w:rsidRPr="00776A70">
              <w:rPr>
                <w:color w:val="000000"/>
                <w:spacing w:val="12"/>
                <w:fitText w:val="436" w:id="-1175811072"/>
                <w14:textFill>
                  <w14:solidFill>
                    <w14:srgbClr w14:val="000000">
                      <w14:alpha w14:val="100000"/>
                    </w14:srgbClr>
                  </w14:solidFill>
                </w14:textFill>
              </w:rPr>
              <w:t>|||  ||</w:t>
            </w:r>
            <w:r w:rsidRPr="00776A70">
              <w:rPr>
                <w:color w:val="000000"/>
                <w:spacing w:val="6"/>
                <w:fitText w:val="436" w:id="-1175811072"/>
                <w14:textFill>
                  <w14:solidFill>
                    <w14:srgbClr w14:val="000000">
                      <w14:alpha w14:val="100000"/>
                    </w14:srgbClr>
                  </w14:solidFill>
                </w14:textFill>
              </w:rPr>
              <w:t>|</w:t>
            </w:r>
          </w:p>
        </w:tc>
        <w:tc>
          <w:tcPr>
            <w:tcW w:w="520" w:type="pct"/>
            <w:tcBorders>
              <w:bottom w:val="single" w:sz="4" w:space="0" w:color="BFBFBF" w:themeColor="background1" w:themeShade="BF"/>
            </w:tcBorders>
            <w:shd w:val="solid" w:color="000000" w:fill="000000"/>
            <w:hideMark/>
          </w:tcPr>
          <w:p w14:paraId="162AD241" w14:textId="2B769304" w:rsidR="00240742" w:rsidRPr="00A2483E" w:rsidRDefault="00776A70" w:rsidP="00FF5493">
            <w:pPr>
              <w:pStyle w:val="Tabletext0"/>
            </w:pPr>
            <w:r w:rsidRPr="00776A70">
              <w:rPr>
                <w:color w:val="000000"/>
                <w:spacing w:val="12"/>
                <w:fitText w:val="436" w:id="-1175811066"/>
                <w14:textFill>
                  <w14:solidFill>
                    <w14:srgbClr w14:val="000000">
                      <w14:alpha w14:val="100000"/>
                    </w14:srgbClr>
                  </w14:solidFill>
                </w14:textFill>
              </w:rPr>
              <w:t>|||  ||</w:t>
            </w:r>
            <w:r w:rsidRPr="00776A70">
              <w:rPr>
                <w:color w:val="000000"/>
                <w:spacing w:val="6"/>
                <w:fitText w:val="436" w:id="-1175811066"/>
                <w14:textFill>
                  <w14:solidFill>
                    <w14:srgbClr w14:val="000000">
                      <w14:alpha w14:val="100000"/>
                    </w14:srgbClr>
                  </w14:solidFill>
                </w14:textFill>
              </w:rPr>
              <w:t>|</w:t>
            </w:r>
          </w:p>
        </w:tc>
      </w:tr>
      <w:tr w:rsidR="00776A70" w:rsidRPr="00A2483E" w14:paraId="1CF2FD21" w14:textId="77777777" w:rsidTr="00776A70">
        <w:trPr>
          <w:trHeight w:val="300"/>
        </w:trPr>
        <w:tc>
          <w:tcPr>
            <w:tcW w:w="1885" w:type="pct"/>
            <w:gridSpan w:val="2"/>
            <w:hideMark/>
          </w:tcPr>
          <w:p w14:paraId="7C131717" w14:textId="62282804" w:rsidR="00240742" w:rsidRPr="00A2483E" w:rsidRDefault="00240742" w:rsidP="00FF5493">
            <w:pPr>
              <w:pStyle w:val="Tabletext0"/>
            </w:pPr>
            <w:r w:rsidRPr="00A2483E">
              <w:t>Change in use of dialysis</w:t>
            </w:r>
            <w:r w:rsidR="00580A80">
              <w:t>-</w:t>
            </w:r>
            <w:r w:rsidRPr="00A2483E">
              <w:t>related costs</w:t>
            </w:r>
          </w:p>
        </w:tc>
        <w:tc>
          <w:tcPr>
            <w:tcW w:w="519" w:type="pct"/>
            <w:tcBorders>
              <w:bottom w:val="single" w:sz="4" w:space="0" w:color="BFBFBF" w:themeColor="background1" w:themeShade="BF"/>
            </w:tcBorders>
            <w:shd w:val="solid" w:color="000000" w:fill="000000"/>
            <w:hideMark/>
          </w:tcPr>
          <w:p w14:paraId="0369C552" w14:textId="5D727655" w:rsidR="00240742" w:rsidRPr="00A2483E" w:rsidRDefault="00EC7E41" w:rsidP="00FF5493">
            <w:pPr>
              <w:pStyle w:val="Tabletext0"/>
              <w:rPr>
                <w:color w:val="FF0000"/>
              </w:rPr>
            </w:pPr>
            <w:r w:rsidRPr="00EC7E41">
              <w:rPr>
                <w:color w:val="FF0000"/>
                <w:spacing w:val="12"/>
                <w:fitText w:val="436" w:id="-1175811840"/>
                <w14:textFill>
                  <w14:solidFill>
                    <w14:srgbClr w14:val="FF0000">
                      <w14:alpha w14:val="100000"/>
                    </w14:srgbClr>
                  </w14:solidFill>
                </w14:textFill>
              </w:rPr>
              <w:t>|||  ||</w:t>
            </w:r>
            <w:r w:rsidRPr="00EC7E41">
              <w:rPr>
                <w:color w:val="FF0000"/>
                <w:spacing w:val="6"/>
                <w:fitText w:val="436" w:id="-1175811840"/>
                <w14:textFill>
                  <w14:solidFill>
                    <w14:srgbClr w14:val="FF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0BC386ED" w14:textId="288E5077" w:rsidR="00240742" w:rsidRPr="00A2483E" w:rsidRDefault="00D000FE" w:rsidP="00FF5493">
            <w:pPr>
              <w:pStyle w:val="Tabletext0"/>
              <w:rPr>
                <w:color w:val="FF0000"/>
              </w:rPr>
            </w:pPr>
            <w:r w:rsidRPr="00D000FE">
              <w:rPr>
                <w:color w:val="FF0000"/>
                <w:spacing w:val="24"/>
                <w:fitText w:val="520" w:id="-1175811834"/>
                <w14:textFill>
                  <w14:solidFill>
                    <w14:srgbClr w14:val="FF0000">
                      <w14:alpha w14:val="100000"/>
                    </w14:srgbClr>
                  </w14:solidFill>
                </w14:textFill>
              </w:rPr>
              <w:t>|||  ||</w:t>
            </w:r>
            <w:r w:rsidRPr="00D000FE">
              <w:rPr>
                <w:color w:val="FF0000"/>
                <w:spacing w:val="6"/>
                <w:fitText w:val="520" w:id="-1175811834"/>
                <w14:textFill>
                  <w14:solidFill>
                    <w14:srgbClr w14:val="FF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671BE50C" w14:textId="258C06E8" w:rsidR="00240742" w:rsidRPr="00A2483E" w:rsidRDefault="00776A70" w:rsidP="00FF5493">
            <w:pPr>
              <w:pStyle w:val="Tabletext0"/>
              <w:rPr>
                <w:color w:val="FF0000"/>
              </w:rPr>
            </w:pPr>
            <w:r w:rsidRPr="00776A70">
              <w:rPr>
                <w:color w:val="FF0000"/>
                <w:spacing w:val="24"/>
                <w:fitText w:val="520" w:id="-1175811580"/>
                <w14:textFill>
                  <w14:solidFill>
                    <w14:srgbClr w14:val="FF0000">
                      <w14:alpha w14:val="100000"/>
                    </w14:srgbClr>
                  </w14:solidFill>
                </w14:textFill>
              </w:rPr>
              <w:t>|||  ||</w:t>
            </w:r>
            <w:r w:rsidRPr="00776A70">
              <w:rPr>
                <w:color w:val="FF0000"/>
                <w:spacing w:val="6"/>
                <w:fitText w:val="520" w:id="-1175811580"/>
                <w14:textFill>
                  <w14:solidFill>
                    <w14:srgbClr w14:val="FF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342EEAFB" w14:textId="6F2B136C" w:rsidR="00240742" w:rsidRPr="00A2483E" w:rsidRDefault="00776A70" w:rsidP="00FF5493">
            <w:pPr>
              <w:pStyle w:val="Tabletext0"/>
              <w:rPr>
                <w:color w:val="FF0000"/>
              </w:rPr>
            </w:pPr>
            <w:r w:rsidRPr="00776A70">
              <w:rPr>
                <w:color w:val="FF0000"/>
                <w:spacing w:val="24"/>
                <w:fitText w:val="520" w:id="-1175811324"/>
                <w14:textFill>
                  <w14:solidFill>
                    <w14:srgbClr w14:val="FF0000">
                      <w14:alpha w14:val="100000"/>
                    </w14:srgbClr>
                  </w14:solidFill>
                </w14:textFill>
              </w:rPr>
              <w:t>|||  ||</w:t>
            </w:r>
            <w:r w:rsidRPr="00776A70">
              <w:rPr>
                <w:color w:val="FF0000"/>
                <w:spacing w:val="6"/>
                <w:fitText w:val="520" w:id="-1175811324"/>
                <w14:textFill>
                  <w14:solidFill>
                    <w14:srgbClr w14:val="FF0000">
                      <w14:alpha w14:val="100000"/>
                    </w14:srgbClr>
                  </w14:solidFill>
                </w14:textFill>
              </w:rPr>
              <w:t>|</w:t>
            </w:r>
          </w:p>
        </w:tc>
        <w:tc>
          <w:tcPr>
            <w:tcW w:w="519" w:type="pct"/>
            <w:tcBorders>
              <w:bottom w:val="single" w:sz="4" w:space="0" w:color="BFBFBF" w:themeColor="background1" w:themeShade="BF"/>
            </w:tcBorders>
            <w:shd w:val="solid" w:color="000000" w:fill="000000"/>
            <w:hideMark/>
          </w:tcPr>
          <w:p w14:paraId="06F96F10" w14:textId="640A1946" w:rsidR="00240742" w:rsidRPr="00A2483E" w:rsidRDefault="00776A70" w:rsidP="00FF5493">
            <w:pPr>
              <w:pStyle w:val="Tabletext0"/>
              <w:rPr>
                <w:color w:val="FF0000"/>
              </w:rPr>
            </w:pPr>
            <w:r w:rsidRPr="00776A70">
              <w:rPr>
                <w:color w:val="FF0000"/>
                <w:spacing w:val="24"/>
                <w:fitText w:val="520" w:id="-1175811071"/>
                <w14:textFill>
                  <w14:solidFill>
                    <w14:srgbClr w14:val="FF0000">
                      <w14:alpha w14:val="100000"/>
                    </w14:srgbClr>
                  </w14:solidFill>
                </w14:textFill>
              </w:rPr>
              <w:t>|||  ||</w:t>
            </w:r>
            <w:r w:rsidRPr="00776A70">
              <w:rPr>
                <w:color w:val="FF0000"/>
                <w:spacing w:val="6"/>
                <w:fitText w:val="520" w:id="-1175811071"/>
                <w14:textFill>
                  <w14:solidFill>
                    <w14:srgbClr w14:val="FF0000">
                      <w14:alpha w14:val="100000"/>
                    </w14:srgbClr>
                  </w14:solidFill>
                </w14:textFill>
              </w:rPr>
              <w:t>|</w:t>
            </w:r>
          </w:p>
        </w:tc>
        <w:tc>
          <w:tcPr>
            <w:tcW w:w="520" w:type="pct"/>
            <w:tcBorders>
              <w:bottom w:val="single" w:sz="4" w:space="0" w:color="BFBFBF" w:themeColor="background1" w:themeShade="BF"/>
            </w:tcBorders>
            <w:shd w:val="solid" w:color="000000" w:fill="000000"/>
            <w:hideMark/>
          </w:tcPr>
          <w:p w14:paraId="2A265E0E" w14:textId="48B6B43F" w:rsidR="00240742" w:rsidRPr="00A2483E" w:rsidRDefault="00776A70" w:rsidP="00FF5493">
            <w:pPr>
              <w:pStyle w:val="Tabletext0"/>
              <w:rPr>
                <w:color w:val="FF0000"/>
              </w:rPr>
            </w:pPr>
            <w:r w:rsidRPr="00776A70">
              <w:rPr>
                <w:color w:val="FF0000"/>
                <w:spacing w:val="24"/>
                <w:fitText w:val="520" w:id="-1175811065"/>
                <w14:textFill>
                  <w14:solidFill>
                    <w14:srgbClr w14:val="FF0000">
                      <w14:alpha w14:val="100000"/>
                    </w14:srgbClr>
                  </w14:solidFill>
                </w14:textFill>
              </w:rPr>
              <w:t>|||  ||</w:t>
            </w:r>
            <w:r w:rsidRPr="00776A70">
              <w:rPr>
                <w:color w:val="FF0000"/>
                <w:spacing w:val="6"/>
                <w:fitText w:val="520" w:id="-1175811065"/>
                <w14:textFill>
                  <w14:solidFill>
                    <w14:srgbClr w14:val="FF0000">
                      <w14:alpha w14:val="100000"/>
                    </w14:srgbClr>
                  </w14:solidFill>
                </w14:textFill>
              </w:rPr>
              <w:t>|</w:t>
            </w:r>
          </w:p>
        </w:tc>
      </w:tr>
      <w:tr w:rsidR="00240742" w:rsidRPr="00A2483E" w14:paraId="555A39D9" w14:textId="77777777" w:rsidTr="00776A70">
        <w:trPr>
          <w:trHeight w:val="300"/>
        </w:trPr>
        <w:tc>
          <w:tcPr>
            <w:tcW w:w="1885" w:type="pct"/>
            <w:gridSpan w:val="2"/>
            <w:hideMark/>
          </w:tcPr>
          <w:p w14:paraId="30E59DC0" w14:textId="49844ADE" w:rsidR="00240742" w:rsidRPr="00A2483E" w:rsidRDefault="00240742" w:rsidP="00FF5493">
            <w:pPr>
              <w:pStyle w:val="Tabletext0"/>
            </w:pPr>
            <w:r w:rsidRPr="00A2483E">
              <w:t xml:space="preserve">Net financial impact to </w:t>
            </w:r>
            <w:r w:rsidR="00CB7A5E">
              <w:t>s</w:t>
            </w:r>
            <w:r w:rsidRPr="00A2483E">
              <w:t xml:space="preserve">tate and </w:t>
            </w:r>
            <w:r w:rsidR="00CB7A5E">
              <w:t>f</w:t>
            </w:r>
            <w:r w:rsidRPr="00A2483E">
              <w:t xml:space="preserve">ederal </w:t>
            </w:r>
            <w:r w:rsidR="00CB7A5E">
              <w:t>g</w:t>
            </w:r>
            <w:r w:rsidRPr="00A2483E">
              <w:t>overnments</w:t>
            </w:r>
          </w:p>
        </w:tc>
        <w:tc>
          <w:tcPr>
            <w:tcW w:w="519" w:type="pct"/>
            <w:shd w:val="solid" w:color="000000" w:fill="000000"/>
            <w:hideMark/>
          </w:tcPr>
          <w:p w14:paraId="73E1A284" w14:textId="25D3979C" w:rsidR="00240742" w:rsidRPr="00A2483E" w:rsidRDefault="00EC7E41" w:rsidP="00FF5493">
            <w:pPr>
              <w:pStyle w:val="Tabletext0"/>
            </w:pPr>
            <w:r w:rsidRPr="00EC7E41">
              <w:rPr>
                <w:color w:val="000000"/>
                <w:spacing w:val="12"/>
                <w:fitText w:val="436" w:id="-1175811839"/>
                <w14:textFill>
                  <w14:solidFill>
                    <w14:srgbClr w14:val="000000">
                      <w14:alpha w14:val="100000"/>
                    </w14:srgbClr>
                  </w14:solidFill>
                </w14:textFill>
              </w:rPr>
              <w:t>|||  ||</w:t>
            </w:r>
            <w:r w:rsidRPr="00EC7E41">
              <w:rPr>
                <w:color w:val="000000"/>
                <w:spacing w:val="6"/>
                <w:fitText w:val="436" w:id="-1175811839"/>
                <w14:textFill>
                  <w14:solidFill>
                    <w14:srgbClr w14:val="000000">
                      <w14:alpha w14:val="100000"/>
                    </w14:srgbClr>
                  </w14:solidFill>
                </w14:textFill>
              </w:rPr>
              <w:t>|</w:t>
            </w:r>
          </w:p>
        </w:tc>
        <w:tc>
          <w:tcPr>
            <w:tcW w:w="519" w:type="pct"/>
            <w:shd w:val="solid" w:color="000000" w:fill="000000"/>
            <w:hideMark/>
          </w:tcPr>
          <w:p w14:paraId="3224A501" w14:textId="03E5EB84" w:rsidR="00240742" w:rsidRPr="00A2483E" w:rsidRDefault="00D000FE" w:rsidP="00FF5493">
            <w:pPr>
              <w:pStyle w:val="Tabletext0"/>
            </w:pPr>
            <w:r w:rsidRPr="00D000FE">
              <w:rPr>
                <w:color w:val="000000"/>
                <w:spacing w:val="12"/>
                <w:fitText w:val="436" w:id="-1175811833"/>
                <w14:textFill>
                  <w14:solidFill>
                    <w14:srgbClr w14:val="000000">
                      <w14:alpha w14:val="100000"/>
                    </w14:srgbClr>
                  </w14:solidFill>
                </w14:textFill>
              </w:rPr>
              <w:t>|||  ||</w:t>
            </w:r>
            <w:r w:rsidRPr="00D000FE">
              <w:rPr>
                <w:color w:val="000000"/>
                <w:spacing w:val="6"/>
                <w:fitText w:val="436" w:id="-1175811833"/>
                <w14:textFill>
                  <w14:solidFill>
                    <w14:srgbClr w14:val="000000">
                      <w14:alpha w14:val="100000"/>
                    </w14:srgbClr>
                  </w14:solidFill>
                </w14:textFill>
              </w:rPr>
              <w:t>|</w:t>
            </w:r>
          </w:p>
        </w:tc>
        <w:tc>
          <w:tcPr>
            <w:tcW w:w="519" w:type="pct"/>
            <w:shd w:val="solid" w:color="000000" w:fill="000000"/>
            <w:hideMark/>
          </w:tcPr>
          <w:p w14:paraId="42DAE55D" w14:textId="37CD4913" w:rsidR="00240742" w:rsidRPr="00A2483E" w:rsidRDefault="00776A70" w:rsidP="00FF5493">
            <w:pPr>
              <w:pStyle w:val="Tabletext0"/>
            </w:pPr>
            <w:r w:rsidRPr="00776A70">
              <w:rPr>
                <w:color w:val="000000"/>
                <w:spacing w:val="12"/>
                <w:fitText w:val="436" w:id="-1175811579"/>
                <w14:textFill>
                  <w14:solidFill>
                    <w14:srgbClr w14:val="000000">
                      <w14:alpha w14:val="100000"/>
                    </w14:srgbClr>
                  </w14:solidFill>
                </w14:textFill>
              </w:rPr>
              <w:t>|||  ||</w:t>
            </w:r>
            <w:r w:rsidRPr="00776A70">
              <w:rPr>
                <w:color w:val="000000"/>
                <w:spacing w:val="6"/>
                <w:fitText w:val="436" w:id="-1175811579"/>
                <w14:textFill>
                  <w14:solidFill>
                    <w14:srgbClr w14:val="000000">
                      <w14:alpha w14:val="100000"/>
                    </w14:srgbClr>
                  </w14:solidFill>
                </w14:textFill>
              </w:rPr>
              <w:t>|</w:t>
            </w:r>
          </w:p>
        </w:tc>
        <w:tc>
          <w:tcPr>
            <w:tcW w:w="519" w:type="pct"/>
            <w:shd w:val="solid" w:color="000000" w:fill="000000"/>
            <w:hideMark/>
          </w:tcPr>
          <w:p w14:paraId="629DFDFF" w14:textId="70386463" w:rsidR="00240742" w:rsidRPr="00A2483E" w:rsidRDefault="00776A70" w:rsidP="00FF5493">
            <w:pPr>
              <w:pStyle w:val="Tabletext0"/>
            </w:pPr>
            <w:r w:rsidRPr="00776A70">
              <w:rPr>
                <w:color w:val="000000"/>
                <w:spacing w:val="15"/>
                <w:fitText w:val="340" w:id="-1175811323"/>
                <w14:textFill>
                  <w14:solidFill>
                    <w14:srgbClr w14:val="000000">
                      <w14:alpha w14:val="100000"/>
                    </w14:srgbClr>
                  </w14:solidFill>
                </w14:textFill>
              </w:rPr>
              <w:t>||  |</w:t>
            </w:r>
            <w:r w:rsidRPr="00776A70">
              <w:rPr>
                <w:color w:val="000000"/>
                <w:spacing w:val="4"/>
                <w:fitText w:val="340" w:id="-1175811323"/>
                <w14:textFill>
                  <w14:solidFill>
                    <w14:srgbClr w14:val="000000">
                      <w14:alpha w14:val="100000"/>
                    </w14:srgbClr>
                  </w14:solidFill>
                </w14:textFill>
              </w:rPr>
              <w:t>|</w:t>
            </w:r>
          </w:p>
        </w:tc>
        <w:tc>
          <w:tcPr>
            <w:tcW w:w="519" w:type="pct"/>
            <w:shd w:val="solid" w:color="000000" w:fill="000000"/>
            <w:hideMark/>
          </w:tcPr>
          <w:p w14:paraId="6225F7FA" w14:textId="63488BC6" w:rsidR="00240742" w:rsidRPr="00A2483E" w:rsidRDefault="00776A70" w:rsidP="00FF5493">
            <w:pPr>
              <w:pStyle w:val="Tabletext0"/>
              <w:rPr>
                <w:color w:val="FF0000"/>
              </w:rPr>
            </w:pPr>
            <w:r w:rsidRPr="00776A70">
              <w:rPr>
                <w:color w:val="FF0000"/>
                <w:spacing w:val="12"/>
                <w:fitText w:val="436" w:id="-1175811070"/>
                <w14:textFill>
                  <w14:solidFill>
                    <w14:srgbClr w14:val="FF0000">
                      <w14:alpha w14:val="100000"/>
                    </w14:srgbClr>
                  </w14:solidFill>
                </w14:textFill>
              </w:rPr>
              <w:t>|||  ||</w:t>
            </w:r>
            <w:r w:rsidRPr="00776A70">
              <w:rPr>
                <w:color w:val="FF0000"/>
                <w:spacing w:val="6"/>
                <w:fitText w:val="436" w:id="-1175811070"/>
                <w14:textFill>
                  <w14:solidFill>
                    <w14:srgbClr w14:val="FF0000">
                      <w14:alpha w14:val="100000"/>
                    </w14:srgbClr>
                  </w14:solidFill>
                </w14:textFill>
              </w:rPr>
              <w:t>|</w:t>
            </w:r>
          </w:p>
        </w:tc>
        <w:tc>
          <w:tcPr>
            <w:tcW w:w="520" w:type="pct"/>
            <w:shd w:val="solid" w:color="000000" w:fill="000000"/>
            <w:hideMark/>
          </w:tcPr>
          <w:p w14:paraId="65A71194" w14:textId="1784C33A" w:rsidR="00240742" w:rsidRPr="00A2483E" w:rsidRDefault="00776A70" w:rsidP="00FF5493">
            <w:pPr>
              <w:pStyle w:val="Tabletext0"/>
              <w:rPr>
                <w:color w:val="FF0000"/>
              </w:rPr>
            </w:pPr>
            <w:r w:rsidRPr="00776A70">
              <w:rPr>
                <w:color w:val="FF0000"/>
                <w:spacing w:val="24"/>
                <w:fitText w:val="520" w:id="-1175810816"/>
                <w14:textFill>
                  <w14:solidFill>
                    <w14:srgbClr w14:val="FF0000">
                      <w14:alpha w14:val="100000"/>
                    </w14:srgbClr>
                  </w14:solidFill>
                </w14:textFill>
              </w:rPr>
              <w:t>|||  ||</w:t>
            </w:r>
            <w:r w:rsidRPr="00776A70">
              <w:rPr>
                <w:color w:val="FF0000"/>
                <w:spacing w:val="6"/>
                <w:fitText w:val="520" w:id="-1175810816"/>
                <w14:textFill>
                  <w14:solidFill>
                    <w14:srgbClr w14:val="FF0000">
                      <w14:alpha w14:val="100000"/>
                    </w14:srgbClr>
                  </w14:solidFill>
                </w14:textFill>
              </w:rPr>
              <w:t>|</w:t>
            </w:r>
          </w:p>
        </w:tc>
      </w:tr>
    </w:tbl>
    <w:p w14:paraId="7E909D40" w14:textId="69A0CAA6" w:rsidR="00240742" w:rsidRPr="005621E9" w:rsidRDefault="00240742" w:rsidP="006A2B0B">
      <w:pPr>
        <w:spacing w:before="240"/>
        <w:rPr>
          <w:rFonts w:cs="Helvetica"/>
        </w:rPr>
      </w:pPr>
      <w:r w:rsidRPr="005621E9">
        <w:rPr>
          <w:rFonts w:cs="Helvetica"/>
        </w:rPr>
        <w:t xml:space="preserve">The </w:t>
      </w:r>
      <w:r w:rsidR="00676525">
        <w:rPr>
          <w:rFonts w:cs="Helvetica"/>
        </w:rPr>
        <w:t>ADAR</w:t>
      </w:r>
      <w:r w:rsidRPr="005621E9">
        <w:rPr>
          <w:rFonts w:cs="Helvetica"/>
        </w:rPr>
        <w:t xml:space="preserve"> projects </w:t>
      </w:r>
      <w:r w:rsidR="007442C6">
        <w:rPr>
          <w:rFonts w:cs="Helvetica"/>
        </w:rPr>
        <w:t>annual</w:t>
      </w:r>
      <w:r w:rsidRPr="005621E9">
        <w:rPr>
          <w:rFonts w:cs="Helvetica"/>
        </w:rPr>
        <w:t xml:space="preserve"> budget savings of $</w:t>
      </w:r>
      <w:r w:rsidR="006F47F3" w:rsidRPr="006F47F3">
        <w:rPr>
          <w:rFonts w:cs="Helvetica"/>
          <w:color w:val="000000"/>
          <w:w w:val="70"/>
          <w:shd w:val="solid" w:color="000000" w:fill="000000"/>
          <w:fitText w:val="312" w:id="-1175810814"/>
          <w14:textFill>
            <w14:solidFill>
              <w14:srgbClr w14:val="000000">
                <w14:alpha w14:val="100000"/>
              </w14:srgbClr>
            </w14:solidFill>
          </w14:textFill>
        </w:rPr>
        <w:t>||||</w:t>
      </w:r>
      <w:r w:rsidR="006F47F3">
        <w:rPr>
          <w:rFonts w:cs="Helvetica"/>
        </w:rPr>
        <w:t xml:space="preserve"> </w:t>
      </w:r>
      <w:r w:rsidRPr="005621E9">
        <w:rPr>
          <w:rFonts w:cs="Helvetica"/>
        </w:rPr>
        <w:t>million by 2029, driven by dialysis</w:t>
      </w:r>
      <w:r w:rsidR="004422B0">
        <w:rPr>
          <w:rFonts w:cs="Helvetica"/>
        </w:rPr>
        <w:t>-</w:t>
      </w:r>
      <w:r w:rsidRPr="005621E9">
        <w:rPr>
          <w:rFonts w:cs="Helvetica"/>
        </w:rPr>
        <w:t>related cost</w:t>
      </w:r>
      <w:r w:rsidR="008F3D8A">
        <w:rPr>
          <w:rFonts w:cs="Helvetica"/>
        </w:rPr>
        <w:t>-</w:t>
      </w:r>
      <w:r w:rsidRPr="005621E9">
        <w:rPr>
          <w:rFonts w:cs="Helvetica"/>
        </w:rPr>
        <w:t>savings</w:t>
      </w:r>
      <w:r w:rsidR="00046BAA">
        <w:rPr>
          <w:rFonts w:cs="Helvetica"/>
        </w:rPr>
        <w:t xml:space="preserve"> that</w:t>
      </w:r>
      <w:r w:rsidR="004422B0">
        <w:rPr>
          <w:rFonts w:cs="Helvetica"/>
        </w:rPr>
        <w:t xml:space="preserve"> </w:t>
      </w:r>
      <w:r w:rsidRPr="005621E9">
        <w:rPr>
          <w:rFonts w:cs="Helvetica"/>
        </w:rPr>
        <w:t>are unlikely to be reali</w:t>
      </w:r>
      <w:r w:rsidR="00B15B95" w:rsidRPr="005621E9">
        <w:rPr>
          <w:rFonts w:cs="Helvetica"/>
        </w:rPr>
        <w:t>s</w:t>
      </w:r>
      <w:r w:rsidRPr="005621E9">
        <w:rPr>
          <w:rFonts w:cs="Helvetica"/>
        </w:rPr>
        <w:t xml:space="preserve">ed </w:t>
      </w:r>
      <w:r w:rsidR="004422B0">
        <w:rPr>
          <w:rFonts w:cs="Helvetica"/>
        </w:rPr>
        <w:t>due to</w:t>
      </w:r>
      <w:r w:rsidRPr="005621E9">
        <w:rPr>
          <w:rFonts w:cs="Helvetica"/>
        </w:rPr>
        <w:t xml:space="preserve"> the introduction of imlifidase. </w:t>
      </w:r>
      <w:r w:rsidR="002C6F6B" w:rsidRPr="005621E9">
        <w:rPr>
          <w:rFonts w:cs="Helvetica"/>
        </w:rPr>
        <w:t xml:space="preserve">The </w:t>
      </w:r>
      <w:r w:rsidR="00E83349">
        <w:rPr>
          <w:color w:val="000000" w:themeColor="text1"/>
        </w:rPr>
        <w:t xml:space="preserve">commentary </w:t>
      </w:r>
      <w:r w:rsidR="009572D3">
        <w:rPr>
          <w:rFonts w:cs="Helvetica"/>
        </w:rPr>
        <w:t>found</w:t>
      </w:r>
      <w:r w:rsidR="002C6F6B" w:rsidRPr="005621E9">
        <w:rPr>
          <w:rFonts w:cs="Helvetica"/>
        </w:rPr>
        <w:t xml:space="preserve"> that t</w:t>
      </w:r>
      <w:r w:rsidRPr="005621E9">
        <w:rPr>
          <w:rFonts w:cs="Helvetica"/>
        </w:rPr>
        <w:t>his analysis does not consider that there are more patients on the transplant waiting list than donor kidneys available. As such, if a patient could not receive a kidney due to sensiti</w:t>
      </w:r>
      <w:r w:rsidR="00B15B95" w:rsidRPr="005621E9">
        <w:rPr>
          <w:rFonts w:cs="Helvetica"/>
        </w:rPr>
        <w:t>s</w:t>
      </w:r>
      <w:r w:rsidRPr="005621E9">
        <w:rPr>
          <w:rFonts w:cs="Helvetica"/>
        </w:rPr>
        <w:t>ation</w:t>
      </w:r>
      <w:r w:rsidR="000A1F2A">
        <w:rPr>
          <w:rFonts w:cs="Helvetica"/>
        </w:rPr>
        <w:t>,</w:t>
      </w:r>
      <w:r w:rsidRPr="005621E9">
        <w:rPr>
          <w:rFonts w:cs="Helvetica"/>
        </w:rPr>
        <w:t xml:space="preserve"> another patient would </w:t>
      </w:r>
      <w:r w:rsidR="000A1F2A">
        <w:rPr>
          <w:rFonts w:cs="Helvetica"/>
        </w:rPr>
        <w:t xml:space="preserve">likely </w:t>
      </w:r>
      <w:r w:rsidRPr="005621E9">
        <w:rPr>
          <w:rFonts w:cs="Helvetica"/>
        </w:rPr>
        <w:t>receive this kidney instead and the costs of dialysis would be avoided regardless of the introduction of imlifidase.</w:t>
      </w:r>
      <w:r w:rsidR="002946A1" w:rsidRPr="005621E9">
        <w:rPr>
          <w:rFonts w:cs="Helvetica"/>
        </w:rPr>
        <w:t xml:space="preserve"> Therefore, </w:t>
      </w:r>
      <w:r w:rsidR="00D86A29">
        <w:rPr>
          <w:rFonts w:cs="Helvetica"/>
        </w:rPr>
        <w:t xml:space="preserve">the </w:t>
      </w:r>
      <w:r w:rsidR="00E83349">
        <w:rPr>
          <w:color w:val="000000" w:themeColor="text1"/>
        </w:rPr>
        <w:t xml:space="preserve">commentary </w:t>
      </w:r>
      <w:r w:rsidR="00786491">
        <w:rPr>
          <w:rFonts w:cs="Helvetica"/>
        </w:rPr>
        <w:t>prefer</w:t>
      </w:r>
      <w:r w:rsidR="00092157">
        <w:rPr>
          <w:rFonts w:cs="Helvetica"/>
        </w:rPr>
        <w:t>red that</w:t>
      </w:r>
      <w:r w:rsidR="00786491">
        <w:rPr>
          <w:rFonts w:cs="Helvetica"/>
        </w:rPr>
        <w:t xml:space="preserve"> no cost offsets</w:t>
      </w:r>
      <w:r w:rsidR="00D86A29">
        <w:rPr>
          <w:rFonts w:cs="Helvetica"/>
        </w:rPr>
        <w:t xml:space="preserve"> </w:t>
      </w:r>
      <w:r w:rsidR="00B46D47">
        <w:rPr>
          <w:rFonts w:cs="Helvetica"/>
        </w:rPr>
        <w:t>be considered in the</w:t>
      </w:r>
      <w:r w:rsidR="00D86A29">
        <w:rPr>
          <w:rFonts w:cs="Helvetica"/>
        </w:rPr>
        <w:t xml:space="preserve"> financial impact of imlifidase</w:t>
      </w:r>
      <w:r w:rsidR="00B22613">
        <w:rPr>
          <w:rFonts w:cs="Helvetica"/>
        </w:rPr>
        <w:t>, res</w:t>
      </w:r>
      <w:r w:rsidR="006B6E2F">
        <w:rPr>
          <w:rFonts w:cs="Helvetica"/>
        </w:rPr>
        <w:t xml:space="preserve">ulting in an </w:t>
      </w:r>
      <w:r w:rsidR="00101556">
        <w:rPr>
          <w:rFonts w:cs="Helvetica"/>
        </w:rPr>
        <w:t xml:space="preserve">average budget impact of </w:t>
      </w:r>
      <w:r w:rsidR="00ED4CF1">
        <w:rPr>
          <w:rFonts w:cs="Helvetica"/>
        </w:rPr>
        <w:t xml:space="preserve">approximately </w:t>
      </w:r>
      <w:r w:rsidR="00101556">
        <w:rPr>
          <w:rFonts w:cs="Helvetica"/>
        </w:rPr>
        <w:t>more than $</w:t>
      </w:r>
      <w:r w:rsidR="006F47F3" w:rsidRPr="006F47F3">
        <w:rPr>
          <w:rFonts w:cs="Helvetica" w:hint="eastAsia"/>
          <w:color w:val="000000"/>
          <w:w w:val="21"/>
          <w:shd w:val="solid" w:color="000000" w:fill="000000"/>
          <w:fitText w:val="120" w:id="-1175810560"/>
          <w14:textFill>
            <w14:solidFill>
              <w14:srgbClr w14:val="000000">
                <w14:alpha w14:val="100000"/>
              </w14:srgbClr>
            </w14:solidFill>
          </w14:textFill>
        </w:rPr>
        <w:t xml:space="preserve">　</w:t>
      </w:r>
      <w:r w:rsidR="006F47F3" w:rsidRPr="006F47F3">
        <w:rPr>
          <w:rFonts w:cs="Helvetica"/>
          <w:color w:val="000000"/>
          <w:w w:val="21"/>
          <w:shd w:val="solid" w:color="000000" w:fill="000000"/>
          <w:fitText w:val="120" w:id="-1175810560"/>
          <w14:textFill>
            <w14:solidFill>
              <w14:srgbClr w14:val="000000">
                <w14:alpha w14:val="100000"/>
              </w14:srgbClr>
            </w14:solidFill>
          </w14:textFill>
        </w:rPr>
        <w:t>|</w:t>
      </w:r>
      <w:r w:rsidR="006F47F3" w:rsidRPr="006F47F3">
        <w:rPr>
          <w:rFonts w:cs="Helvetica" w:hint="eastAsia"/>
          <w:color w:val="000000"/>
          <w:w w:val="21"/>
          <w:shd w:val="solid" w:color="000000" w:fill="000000"/>
          <w:fitText w:val="120" w:id="-1175810560"/>
          <w14:textFill>
            <w14:solidFill>
              <w14:srgbClr w14:val="000000">
                <w14:alpha w14:val="100000"/>
              </w14:srgbClr>
            </w14:solidFill>
          </w14:textFill>
        </w:rPr>
        <w:t xml:space="preserve">　</w:t>
      </w:r>
      <w:r w:rsidR="00101556">
        <w:rPr>
          <w:rFonts w:cs="Helvetica"/>
        </w:rPr>
        <w:t xml:space="preserve"> million </w:t>
      </w:r>
      <w:r w:rsidR="00712505">
        <w:rPr>
          <w:rFonts w:cs="Helvetica"/>
        </w:rPr>
        <w:t xml:space="preserve">per year </w:t>
      </w:r>
      <w:r w:rsidR="00101556">
        <w:rPr>
          <w:rFonts w:cs="Helvetica"/>
        </w:rPr>
        <w:t>over 2024-</w:t>
      </w:r>
      <w:r w:rsidR="00712505">
        <w:rPr>
          <w:rFonts w:cs="Helvetica"/>
        </w:rPr>
        <w:t xml:space="preserve"> 2029</w:t>
      </w:r>
      <w:r w:rsidR="00B46D47">
        <w:rPr>
          <w:rFonts w:cs="Helvetica"/>
        </w:rPr>
        <w:t xml:space="preserve">. </w:t>
      </w:r>
    </w:p>
    <w:p w14:paraId="0BF773C6" w14:textId="52280FD3" w:rsidR="006A1DD1" w:rsidRPr="005621E9" w:rsidRDefault="00B54ADB" w:rsidP="00E507F8">
      <w:pPr>
        <w:rPr>
          <w:rFonts w:cs="Helvetica"/>
        </w:rPr>
      </w:pPr>
      <w:r w:rsidRPr="005621E9">
        <w:rPr>
          <w:rFonts w:cs="Helvetica"/>
        </w:rPr>
        <w:t>The only scenario where</w:t>
      </w:r>
      <w:r w:rsidR="00F843EB" w:rsidRPr="005621E9">
        <w:rPr>
          <w:rFonts w:cs="Helvetica"/>
        </w:rPr>
        <w:t xml:space="preserve"> the introduction of</w:t>
      </w:r>
      <w:r w:rsidRPr="005621E9">
        <w:rPr>
          <w:rFonts w:cs="Helvetica"/>
        </w:rPr>
        <w:t xml:space="preserve"> imlifidase </w:t>
      </w:r>
      <w:r w:rsidR="00F843EB" w:rsidRPr="005621E9">
        <w:rPr>
          <w:rFonts w:cs="Helvetica"/>
        </w:rPr>
        <w:t>could</w:t>
      </w:r>
      <w:r w:rsidRPr="005621E9">
        <w:rPr>
          <w:rFonts w:cs="Helvetica"/>
        </w:rPr>
        <w:t xml:space="preserve"> result in </w:t>
      </w:r>
      <w:r w:rsidR="00C33C01" w:rsidRPr="005621E9">
        <w:rPr>
          <w:rFonts w:cs="Helvetica"/>
        </w:rPr>
        <w:t xml:space="preserve">financial </w:t>
      </w:r>
      <w:r w:rsidRPr="005621E9">
        <w:rPr>
          <w:rFonts w:cs="Helvetica"/>
        </w:rPr>
        <w:t>cost</w:t>
      </w:r>
      <w:r w:rsidR="00092157">
        <w:rPr>
          <w:rFonts w:cs="Helvetica"/>
        </w:rPr>
        <w:t>-</w:t>
      </w:r>
      <w:r w:rsidRPr="005621E9">
        <w:rPr>
          <w:rFonts w:cs="Helvetica"/>
        </w:rPr>
        <w:t>savings</w:t>
      </w:r>
      <w:r w:rsidR="003D709A" w:rsidRPr="005621E9">
        <w:rPr>
          <w:rFonts w:cs="Helvetica"/>
        </w:rPr>
        <w:t xml:space="preserve"> for the </w:t>
      </w:r>
      <w:r w:rsidR="007130D5" w:rsidRPr="005621E9">
        <w:rPr>
          <w:rFonts w:cs="Helvetica"/>
        </w:rPr>
        <w:t xml:space="preserve">full </w:t>
      </w:r>
      <w:r w:rsidR="00EB5045" w:rsidRPr="005621E9">
        <w:rPr>
          <w:rFonts w:cs="Helvetica"/>
        </w:rPr>
        <w:t>patient</w:t>
      </w:r>
      <w:r w:rsidR="007130D5" w:rsidRPr="005621E9">
        <w:rPr>
          <w:rFonts w:cs="Helvetica"/>
        </w:rPr>
        <w:t xml:space="preserve"> cohort</w:t>
      </w:r>
      <w:r w:rsidRPr="005621E9">
        <w:rPr>
          <w:rFonts w:cs="Helvetica"/>
        </w:rPr>
        <w:t xml:space="preserve"> is </w:t>
      </w:r>
      <w:r w:rsidR="00DB0AB5">
        <w:rPr>
          <w:rFonts w:cs="Helvetica"/>
        </w:rPr>
        <w:t>one in which</w:t>
      </w:r>
      <w:r w:rsidR="00DB0AB5" w:rsidRPr="005621E9">
        <w:rPr>
          <w:rFonts w:cs="Helvetica"/>
        </w:rPr>
        <w:t xml:space="preserve"> </w:t>
      </w:r>
      <w:r w:rsidR="000217F9" w:rsidRPr="005621E9">
        <w:rPr>
          <w:rFonts w:cs="Helvetica"/>
        </w:rPr>
        <w:t>imlifidase</w:t>
      </w:r>
      <w:r w:rsidR="00EB3841">
        <w:rPr>
          <w:rFonts w:cs="Helvetica"/>
        </w:rPr>
        <w:t>-</w:t>
      </w:r>
      <w:r w:rsidR="000217F9" w:rsidRPr="005621E9">
        <w:rPr>
          <w:rFonts w:cs="Helvetica"/>
        </w:rPr>
        <w:t>treated</w:t>
      </w:r>
      <w:r w:rsidRPr="005621E9">
        <w:rPr>
          <w:rFonts w:cs="Helvetica"/>
        </w:rPr>
        <w:t xml:space="preserve"> patie</w:t>
      </w:r>
      <w:r w:rsidR="00E560A9">
        <w:rPr>
          <w:rFonts w:cs="Helvetica"/>
        </w:rPr>
        <w:t xml:space="preserve">nts on the </w:t>
      </w:r>
      <w:r w:rsidRPr="005621E9">
        <w:rPr>
          <w:rFonts w:cs="Helvetica"/>
        </w:rPr>
        <w:t xml:space="preserve">LD waiting list </w:t>
      </w:r>
      <w:r w:rsidR="00EB5045" w:rsidRPr="005621E9">
        <w:rPr>
          <w:rFonts w:cs="Helvetica"/>
        </w:rPr>
        <w:t>close</w:t>
      </w:r>
      <w:r w:rsidRPr="005621E9">
        <w:rPr>
          <w:rFonts w:cs="Helvetica"/>
        </w:rPr>
        <w:t xml:space="preserve"> paired kidney chain</w:t>
      </w:r>
      <w:r w:rsidR="00423F97" w:rsidRPr="005621E9">
        <w:rPr>
          <w:rFonts w:cs="Helvetica"/>
        </w:rPr>
        <w:t>s</w:t>
      </w:r>
      <w:r w:rsidRPr="005621E9">
        <w:rPr>
          <w:rFonts w:cs="Helvetica"/>
        </w:rPr>
        <w:t xml:space="preserve"> that would otherwise remain open. </w:t>
      </w:r>
      <w:r w:rsidR="00DB0AB5">
        <w:rPr>
          <w:rFonts w:cs="Helvetica"/>
        </w:rPr>
        <w:t>T</w:t>
      </w:r>
      <w:r w:rsidR="00011776" w:rsidRPr="005621E9">
        <w:rPr>
          <w:rFonts w:cs="Helvetica"/>
        </w:rPr>
        <w:t xml:space="preserve">he </w:t>
      </w:r>
      <w:r w:rsidR="00676525">
        <w:rPr>
          <w:rFonts w:cs="Helvetica"/>
        </w:rPr>
        <w:t>ADAR</w:t>
      </w:r>
      <w:r w:rsidR="00011776" w:rsidRPr="005621E9">
        <w:rPr>
          <w:rFonts w:cs="Helvetica"/>
        </w:rPr>
        <w:t xml:space="preserve"> has not </w:t>
      </w:r>
      <w:r w:rsidR="00423F97" w:rsidRPr="005621E9">
        <w:rPr>
          <w:rFonts w:cs="Helvetica"/>
        </w:rPr>
        <w:t>fully</w:t>
      </w:r>
      <w:r w:rsidR="00011776" w:rsidRPr="005621E9">
        <w:rPr>
          <w:rFonts w:cs="Helvetica"/>
        </w:rPr>
        <w:t xml:space="preserve"> explored this scenario</w:t>
      </w:r>
      <w:r w:rsidR="006B07D0">
        <w:rPr>
          <w:rFonts w:cs="Helvetica"/>
        </w:rPr>
        <w:t>,</w:t>
      </w:r>
      <w:r w:rsidR="00011776" w:rsidRPr="005621E9">
        <w:rPr>
          <w:rFonts w:cs="Helvetica"/>
        </w:rPr>
        <w:t xml:space="preserve"> and </w:t>
      </w:r>
      <w:r w:rsidRPr="005621E9">
        <w:rPr>
          <w:rFonts w:cs="Helvetica"/>
        </w:rPr>
        <w:t xml:space="preserve">given </w:t>
      </w:r>
      <w:r w:rsidR="006B07D0">
        <w:rPr>
          <w:rFonts w:cs="Helvetica"/>
        </w:rPr>
        <w:t xml:space="preserve">that </w:t>
      </w:r>
      <w:r w:rsidR="00C502C6" w:rsidRPr="005621E9">
        <w:rPr>
          <w:rFonts w:cs="Helvetica"/>
        </w:rPr>
        <w:t>it</w:t>
      </w:r>
      <w:r w:rsidRPr="005621E9">
        <w:rPr>
          <w:rFonts w:cs="Helvetica"/>
        </w:rPr>
        <w:t xml:space="preserve"> is a small</w:t>
      </w:r>
      <w:r w:rsidR="009C334A" w:rsidRPr="005621E9">
        <w:rPr>
          <w:rFonts w:cs="Helvetica"/>
        </w:rPr>
        <w:t>er</w:t>
      </w:r>
      <w:r w:rsidRPr="005621E9">
        <w:rPr>
          <w:rFonts w:cs="Helvetica"/>
        </w:rPr>
        <w:t xml:space="preserve"> patient group</w:t>
      </w:r>
      <w:r w:rsidR="006B07D0">
        <w:rPr>
          <w:rFonts w:cs="Helvetica"/>
        </w:rPr>
        <w:t xml:space="preserve">, </w:t>
      </w:r>
      <w:r w:rsidRPr="005621E9">
        <w:rPr>
          <w:rFonts w:cs="Helvetica"/>
        </w:rPr>
        <w:t>the potential cost</w:t>
      </w:r>
      <w:r w:rsidR="006B07D0">
        <w:rPr>
          <w:rFonts w:cs="Helvetica"/>
        </w:rPr>
        <w:t>-</w:t>
      </w:r>
      <w:r w:rsidRPr="005621E9">
        <w:rPr>
          <w:rFonts w:cs="Helvetica"/>
        </w:rPr>
        <w:t xml:space="preserve">savings may not be significant enough to offset the overall </w:t>
      </w:r>
      <w:r w:rsidR="00FA4E74" w:rsidRPr="005621E9">
        <w:rPr>
          <w:rFonts w:cs="Helvetica"/>
        </w:rPr>
        <w:t>financial</w:t>
      </w:r>
      <w:r w:rsidRPr="005621E9">
        <w:rPr>
          <w:rFonts w:cs="Helvetica"/>
        </w:rPr>
        <w:t xml:space="preserve"> impact across the entire patient population.</w:t>
      </w:r>
      <w:r w:rsidR="008B00E2" w:rsidRPr="005621E9">
        <w:rPr>
          <w:rFonts w:cs="Helvetica"/>
        </w:rPr>
        <w:t xml:space="preserve"> In addition,</w:t>
      </w:r>
      <w:r w:rsidR="00E96AA4" w:rsidRPr="005621E9">
        <w:rPr>
          <w:rFonts w:cs="Helvetica"/>
        </w:rPr>
        <w:t xml:space="preserve"> the introduction of imlifidase will likely reduce the number of HS </w:t>
      </w:r>
      <w:r w:rsidR="00DC6903" w:rsidRPr="005621E9">
        <w:rPr>
          <w:rFonts w:cs="Helvetica"/>
        </w:rPr>
        <w:t>patients joining the LD waiting lis</w:t>
      </w:r>
      <w:r w:rsidR="00EB5EA8" w:rsidRPr="005621E9">
        <w:rPr>
          <w:rFonts w:cs="Helvetica"/>
        </w:rPr>
        <w:t>t</w:t>
      </w:r>
      <w:r w:rsidR="00AC60E9">
        <w:rPr>
          <w:rFonts w:cs="Helvetica"/>
        </w:rPr>
        <w:t>, thus</w:t>
      </w:r>
      <w:r w:rsidR="00EB5EA8" w:rsidRPr="005621E9">
        <w:rPr>
          <w:rFonts w:cs="Helvetica"/>
        </w:rPr>
        <w:t xml:space="preserve"> </w:t>
      </w:r>
      <w:r w:rsidR="000945C7" w:rsidRPr="005621E9">
        <w:rPr>
          <w:rFonts w:cs="Helvetica"/>
        </w:rPr>
        <w:t xml:space="preserve">further </w:t>
      </w:r>
      <w:r w:rsidR="00ED4217" w:rsidRPr="005621E9">
        <w:rPr>
          <w:rFonts w:cs="Helvetica"/>
        </w:rPr>
        <w:t>reduc</w:t>
      </w:r>
      <w:r w:rsidR="00A808DC">
        <w:rPr>
          <w:rFonts w:cs="Helvetica"/>
        </w:rPr>
        <w:t>ing</w:t>
      </w:r>
      <w:r w:rsidR="000945C7" w:rsidRPr="005621E9">
        <w:rPr>
          <w:rFonts w:cs="Helvetica"/>
        </w:rPr>
        <w:t xml:space="preserve"> </w:t>
      </w:r>
      <w:r w:rsidR="00F34287" w:rsidRPr="005621E9">
        <w:rPr>
          <w:rFonts w:cs="Helvetica"/>
        </w:rPr>
        <w:t xml:space="preserve">the </w:t>
      </w:r>
      <w:r w:rsidR="00C53BAF" w:rsidRPr="005621E9">
        <w:rPr>
          <w:rFonts w:cs="Helvetica"/>
        </w:rPr>
        <w:t xml:space="preserve">potential </w:t>
      </w:r>
      <w:r w:rsidR="00FE5559" w:rsidRPr="005621E9">
        <w:rPr>
          <w:rFonts w:cs="Helvetica"/>
        </w:rPr>
        <w:t>cost</w:t>
      </w:r>
      <w:r w:rsidR="00DE5BEA">
        <w:rPr>
          <w:rFonts w:cs="Helvetica"/>
        </w:rPr>
        <w:t xml:space="preserve"> </w:t>
      </w:r>
      <w:r w:rsidR="00FE5559" w:rsidRPr="005621E9">
        <w:rPr>
          <w:rFonts w:cs="Helvetica"/>
        </w:rPr>
        <w:t xml:space="preserve">offset imlifidase </w:t>
      </w:r>
      <w:r w:rsidR="0032058A" w:rsidRPr="005621E9">
        <w:rPr>
          <w:rFonts w:cs="Helvetica"/>
        </w:rPr>
        <w:t xml:space="preserve">could provide by closing </w:t>
      </w:r>
      <w:r w:rsidR="001659D9" w:rsidRPr="005621E9">
        <w:rPr>
          <w:rFonts w:cs="Helvetica"/>
        </w:rPr>
        <w:t>paired kidney chains.</w:t>
      </w:r>
    </w:p>
    <w:p w14:paraId="52FA128C" w14:textId="5C4D7DC2" w:rsidR="00A32B43" w:rsidRPr="005621E9" w:rsidRDefault="009572D3" w:rsidP="00467554">
      <w:pPr>
        <w:rPr>
          <w:rFonts w:cs="Helvetica"/>
        </w:rPr>
      </w:pPr>
      <w:r>
        <w:rPr>
          <w:rFonts w:cs="Helvetica"/>
        </w:rPr>
        <w:t xml:space="preserve">The </w:t>
      </w:r>
      <w:r w:rsidR="00E83349">
        <w:rPr>
          <w:color w:val="000000" w:themeColor="text1"/>
        </w:rPr>
        <w:t xml:space="preserve">commentary </w:t>
      </w:r>
      <w:r w:rsidRPr="005621E9">
        <w:rPr>
          <w:rFonts w:cs="Helvetica"/>
        </w:rPr>
        <w:t>f</w:t>
      </w:r>
      <w:r>
        <w:rPr>
          <w:rFonts w:cs="Helvetica"/>
        </w:rPr>
        <w:t>ound that</w:t>
      </w:r>
      <w:r w:rsidR="00DB4EF2" w:rsidRPr="005621E9">
        <w:rPr>
          <w:rFonts w:cs="Helvetica"/>
        </w:rPr>
        <w:t xml:space="preserve"> the </w:t>
      </w:r>
      <w:r w:rsidR="00676525">
        <w:rPr>
          <w:rFonts w:cs="Helvetica"/>
        </w:rPr>
        <w:t>ADAR</w:t>
      </w:r>
      <w:r w:rsidR="006B6676" w:rsidRPr="005621E9">
        <w:rPr>
          <w:rFonts w:cs="Helvetica"/>
        </w:rPr>
        <w:t xml:space="preserve"> </w:t>
      </w:r>
      <w:r w:rsidR="00A949D2" w:rsidRPr="005621E9">
        <w:rPr>
          <w:rFonts w:cs="Helvetica"/>
        </w:rPr>
        <w:t xml:space="preserve">has </w:t>
      </w:r>
      <w:r w:rsidR="00DA66E5" w:rsidRPr="005621E9">
        <w:rPr>
          <w:rFonts w:cs="Helvetica"/>
        </w:rPr>
        <w:t xml:space="preserve">made </w:t>
      </w:r>
      <w:r w:rsidR="00C5366B" w:rsidRPr="005621E9">
        <w:rPr>
          <w:rFonts w:cs="Helvetica"/>
        </w:rPr>
        <w:t xml:space="preserve">assumptions </w:t>
      </w:r>
      <w:r w:rsidR="00DA66E5" w:rsidRPr="005621E9">
        <w:rPr>
          <w:rFonts w:cs="Helvetica"/>
        </w:rPr>
        <w:t xml:space="preserve">to determine </w:t>
      </w:r>
      <w:r w:rsidR="00F728AD">
        <w:rPr>
          <w:rFonts w:cs="Helvetica"/>
        </w:rPr>
        <w:t xml:space="preserve">the </w:t>
      </w:r>
      <w:r w:rsidR="00D54CC5" w:rsidRPr="005621E9">
        <w:rPr>
          <w:rFonts w:cs="Helvetica"/>
        </w:rPr>
        <w:t>net financial impact</w:t>
      </w:r>
      <w:r w:rsidR="007C2351" w:rsidRPr="005621E9">
        <w:rPr>
          <w:rFonts w:cs="Helvetica"/>
        </w:rPr>
        <w:t xml:space="preserve"> that</w:t>
      </w:r>
      <w:r w:rsidR="00D54CC5" w:rsidRPr="005621E9">
        <w:rPr>
          <w:rFonts w:cs="Helvetica"/>
        </w:rPr>
        <w:t xml:space="preserve"> lack scientific </w:t>
      </w:r>
      <w:r w:rsidR="00F728AD">
        <w:rPr>
          <w:rFonts w:cs="Helvetica"/>
        </w:rPr>
        <w:t>rigour</w:t>
      </w:r>
      <w:r w:rsidR="00D54CC5" w:rsidRPr="005621E9">
        <w:rPr>
          <w:rFonts w:cs="Helvetica"/>
        </w:rPr>
        <w:t xml:space="preserve"> and transparency</w:t>
      </w:r>
      <w:r w:rsidR="00F728AD">
        <w:rPr>
          <w:rFonts w:cs="Helvetica"/>
        </w:rPr>
        <w:t>,</w:t>
      </w:r>
      <w:r w:rsidR="00D54CC5" w:rsidRPr="005621E9">
        <w:rPr>
          <w:rFonts w:cs="Helvetica"/>
        </w:rPr>
        <w:t xml:space="preserve"> making the presented net financial impact highly uncertain. </w:t>
      </w:r>
    </w:p>
    <w:p w14:paraId="2426EB61" w14:textId="5BB9A580" w:rsidR="00C54793" w:rsidRDefault="00A32B43">
      <w:pPr>
        <w:rPr>
          <w:rFonts w:cs="Helvetica"/>
        </w:rPr>
      </w:pPr>
      <w:r w:rsidRPr="005621E9">
        <w:rPr>
          <w:rFonts w:cs="Helvetica"/>
        </w:rPr>
        <w:t xml:space="preserve">The </w:t>
      </w:r>
      <w:r w:rsidR="0034020D">
        <w:rPr>
          <w:rFonts w:cs="Helvetica"/>
        </w:rPr>
        <w:t xml:space="preserve">commentary noted that the </w:t>
      </w:r>
      <w:r w:rsidR="00676525">
        <w:rPr>
          <w:rFonts w:cs="Helvetica"/>
        </w:rPr>
        <w:t>ADAR</w:t>
      </w:r>
      <w:r w:rsidRPr="005621E9">
        <w:rPr>
          <w:rFonts w:cs="Helvetica"/>
        </w:rPr>
        <w:t xml:space="preserve"> </w:t>
      </w:r>
      <w:r w:rsidR="00CC3C94" w:rsidRPr="005621E9">
        <w:rPr>
          <w:rFonts w:cs="Helvetica"/>
        </w:rPr>
        <w:t>d</w:t>
      </w:r>
      <w:r w:rsidR="009572D3">
        <w:rPr>
          <w:rFonts w:cs="Helvetica"/>
        </w:rPr>
        <w:t>oes</w:t>
      </w:r>
      <w:r w:rsidR="00CC3C94" w:rsidRPr="005621E9">
        <w:rPr>
          <w:rFonts w:cs="Helvetica"/>
        </w:rPr>
        <w:t xml:space="preserve"> not include additional </w:t>
      </w:r>
      <w:r w:rsidR="006F380A" w:rsidRPr="005621E9">
        <w:rPr>
          <w:rFonts w:cs="Helvetica"/>
        </w:rPr>
        <w:t xml:space="preserve">administration/monitoring </w:t>
      </w:r>
      <w:r w:rsidR="00CC3C94" w:rsidRPr="005621E9">
        <w:rPr>
          <w:rFonts w:cs="Helvetica"/>
        </w:rPr>
        <w:t>costs</w:t>
      </w:r>
      <w:r w:rsidR="00BD0F30">
        <w:rPr>
          <w:rFonts w:cs="Helvetica"/>
        </w:rPr>
        <w:t>,</w:t>
      </w:r>
      <w:r w:rsidR="00CC66B0" w:rsidRPr="005621E9">
        <w:rPr>
          <w:rFonts w:cs="Helvetica"/>
        </w:rPr>
        <w:t xml:space="preserve"> such as</w:t>
      </w:r>
      <w:r w:rsidR="001A62F3" w:rsidRPr="005621E9">
        <w:rPr>
          <w:rFonts w:cs="Helvetica"/>
        </w:rPr>
        <w:t xml:space="preserve"> </w:t>
      </w:r>
      <w:r w:rsidR="00CC66B0" w:rsidRPr="005621E9">
        <w:rPr>
          <w:rFonts w:cs="Helvetica"/>
        </w:rPr>
        <w:t>p</w:t>
      </w:r>
      <w:r w:rsidR="001A62F3" w:rsidRPr="005621E9">
        <w:rPr>
          <w:rFonts w:cs="Helvetica"/>
        </w:rPr>
        <w:t>otential</w:t>
      </w:r>
      <w:r w:rsidR="00CC66B0" w:rsidRPr="005621E9">
        <w:rPr>
          <w:rFonts w:cs="Helvetica"/>
        </w:rPr>
        <w:t>ly</w:t>
      </w:r>
      <w:r w:rsidR="001A62F3" w:rsidRPr="005621E9">
        <w:rPr>
          <w:rFonts w:cs="Helvetica"/>
        </w:rPr>
        <w:t xml:space="preserve"> </w:t>
      </w:r>
      <w:r w:rsidR="006A1DD1" w:rsidRPr="005621E9">
        <w:rPr>
          <w:rFonts w:cs="Helvetica"/>
        </w:rPr>
        <w:t xml:space="preserve">prolonged </w:t>
      </w:r>
      <w:r w:rsidR="00ED4318">
        <w:rPr>
          <w:rFonts w:cs="Helvetica"/>
        </w:rPr>
        <w:t>cold ischemia time</w:t>
      </w:r>
      <w:r w:rsidR="00772CFB" w:rsidRPr="005621E9">
        <w:rPr>
          <w:rFonts w:cs="Helvetica"/>
        </w:rPr>
        <w:t xml:space="preserve"> </w:t>
      </w:r>
      <w:r w:rsidR="000817AF" w:rsidRPr="005621E9">
        <w:rPr>
          <w:rFonts w:cs="Helvetica"/>
        </w:rPr>
        <w:t>or</w:t>
      </w:r>
      <w:r w:rsidR="00823562" w:rsidRPr="005621E9">
        <w:rPr>
          <w:rFonts w:cs="Helvetica"/>
        </w:rPr>
        <w:t xml:space="preserve"> the cost of </w:t>
      </w:r>
      <w:r w:rsidR="00212C7B" w:rsidRPr="005621E9">
        <w:rPr>
          <w:rFonts w:cs="Helvetica"/>
        </w:rPr>
        <w:t xml:space="preserve">patients who </w:t>
      </w:r>
      <w:r w:rsidR="00520BB1" w:rsidRPr="005621E9">
        <w:rPr>
          <w:rFonts w:cs="Helvetica"/>
        </w:rPr>
        <w:t>are</w:t>
      </w:r>
      <w:r w:rsidR="00212C7B" w:rsidRPr="005621E9">
        <w:rPr>
          <w:rFonts w:cs="Helvetica"/>
        </w:rPr>
        <w:t xml:space="preserve"> initiated with </w:t>
      </w:r>
      <w:r w:rsidR="007617D4" w:rsidRPr="005621E9">
        <w:rPr>
          <w:rFonts w:cs="Helvetica"/>
        </w:rPr>
        <w:t>imlifidase</w:t>
      </w:r>
      <w:r w:rsidR="00A1443B" w:rsidRPr="005621E9">
        <w:rPr>
          <w:rFonts w:cs="Helvetica"/>
        </w:rPr>
        <w:t xml:space="preserve"> </w:t>
      </w:r>
      <w:r w:rsidR="00B20189" w:rsidRPr="005621E9">
        <w:rPr>
          <w:rFonts w:cs="Helvetica"/>
        </w:rPr>
        <w:t xml:space="preserve">but do not </w:t>
      </w:r>
      <w:r w:rsidR="009572D3">
        <w:rPr>
          <w:rFonts w:cs="Helvetica"/>
        </w:rPr>
        <w:t>proceed</w:t>
      </w:r>
      <w:r w:rsidR="00995AD8" w:rsidRPr="005621E9">
        <w:rPr>
          <w:rFonts w:cs="Helvetica"/>
        </w:rPr>
        <w:t xml:space="preserve"> to </w:t>
      </w:r>
      <w:r w:rsidR="007617D4" w:rsidRPr="005621E9">
        <w:rPr>
          <w:rFonts w:cs="Helvetica"/>
        </w:rPr>
        <w:t>transplant</w:t>
      </w:r>
      <w:r w:rsidR="00BD0F30">
        <w:rPr>
          <w:rFonts w:cs="Helvetica"/>
        </w:rPr>
        <w:t>ation</w:t>
      </w:r>
      <w:r w:rsidR="00995AD8" w:rsidRPr="005621E9">
        <w:rPr>
          <w:rFonts w:cs="Helvetica"/>
        </w:rPr>
        <w:t xml:space="preserve"> (</w:t>
      </w:r>
      <w:r w:rsidR="00772CFB" w:rsidRPr="005621E9">
        <w:rPr>
          <w:rFonts w:cs="Helvetica"/>
        </w:rPr>
        <w:t xml:space="preserve">clinical trial </w:t>
      </w:r>
      <w:r w:rsidR="007617D4" w:rsidRPr="005621E9">
        <w:rPr>
          <w:rFonts w:cs="Helvetica"/>
        </w:rPr>
        <w:t xml:space="preserve">data </w:t>
      </w:r>
      <w:r w:rsidR="00772CFB" w:rsidRPr="005621E9">
        <w:rPr>
          <w:rFonts w:cs="Helvetica"/>
        </w:rPr>
        <w:t>shows</w:t>
      </w:r>
      <w:r w:rsidR="007617D4" w:rsidRPr="005621E9">
        <w:rPr>
          <w:rFonts w:cs="Helvetica"/>
        </w:rPr>
        <w:t xml:space="preserve"> that </w:t>
      </w:r>
      <w:r w:rsidR="00B8519E">
        <w:rPr>
          <w:rFonts w:cs="Helvetica"/>
        </w:rPr>
        <w:br/>
      </w:r>
      <w:r w:rsidR="007617D4" w:rsidRPr="005621E9">
        <w:rPr>
          <w:rFonts w:cs="Helvetica"/>
        </w:rPr>
        <w:t xml:space="preserve">52/54 patients given a full dose </w:t>
      </w:r>
      <w:r w:rsidR="00441A6E" w:rsidRPr="005621E9">
        <w:rPr>
          <w:rFonts w:cs="Helvetica"/>
        </w:rPr>
        <w:t>of im</w:t>
      </w:r>
      <w:r w:rsidR="0047303C">
        <w:rPr>
          <w:rFonts w:cs="Helvetica"/>
        </w:rPr>
        <w:t>lifidase</w:t>
      </w:r>
      <w:r w:rsidR="00441A6E" w:rsidRPr="005621E9">
        <w:rPr>
          <w:rFonts w:cs="Helvetica"/>
        </w:rPr>
        <w:t xml:space="preserve"> </w:t>
      </w:r>
      <w:r w:rsidR="007617D4" w:rsidRPr="005621E9">
        <w:rPr>
          <w:rFonts w:cs="Helvetica"/>
        </w:rPr>
        <w:t>proceed</w:t>
      </w:r>
      <w:r w:rsidR="006E0B0A">
        <w:rPr>
          <w:rFonts w:cs="Helvetica"/>
        </w:rPr>
        <w:t>ed</w:t>
      </w:r>
      <w:r w:rsidR="007617D4" w:rsidRPr="005621E9">
        <w:rPr>
          <w:rFonts w:cs="Helvetica"/>
        </w:rPr>
        <w:t xml:space="preserve"> to transplantation</w:t>
      </w:r>
      <w:r w:rsidR="00772CFB" w:rsidRPr="005621E9">
        <w:rPr>
          <w:rFonts w:cs="Helvetica"/>
        </w:rPr>
        <w:t>).</w:t>
      </w:r>
      <w:r w:rsidR="00981D0B" w:rsidRPr="005621E9">
        <w:rPr>
          <w:rFonts w:cs="Helvetica"/>
        </w:rPr>
        <w:t xml:space="preserve"> </w:t>
      </w:r>
      <w:r w:rsidR="00C57BFD" w:rsidRPr="005621E9">
        <w:rPr>
          <w:rFonts w:cs="Helvetica"/>
        </w:rPr>
        <w:t xml:space="preserve">In addition, </w:t>
      </w:r>
      <w:r w:rsidR="00EE3291" w:rsidRPr="005621E9">
        <w:rPr>
          <w:rFonts w:cs="Helvetica"/>
        </w:rPr>
        <w:t xml:space="preserve">there is </w:t>
      </w:r>
      <w:r w:rsidR="0047303C">
        <w:rPr>
          <w:rFonts w:cs="Helvetica"/>
        </w:rPr>
        <w:t>a</w:t>
      </w:r>
      <w:r w:rsidR="00EE3291" w:rsidRPr="005621E9">
        <w:rPr>
          <w:rFonts w:cs="Helvetica"/>
        </w:rPr>
        <w:t xml:space="preserve"> lack of </w:t>
      </w:r>
      <w:r w:rsidR="007A0D79" w:rsidRPr="005621E9">
        <w:rPr>
          <w:rFonts w:cs="Helvetica"/>
        </w:rPr>
        <w:t xml:space="preserve">justification </w:t>
      </w:r>
      <w:r w:rsidR="004148A1" w:rsidRPr="005621E9">
        <w:rPr>
          <w:rFonts w:cs="Helvetica"/>
        </w:rPr>
        <w:t xml:space="preserve">for </w:t>
      </w:r>
      <w:r w:rsidR="00496E8B">
        <w:rPr>
          <w:rFonts w:cs="Helvetica"/>
        </w:rPr>
        <w:t>several</w:t>
      </w:r>
      <w:r w:rsidR="00BA3833" w:rsidRPr="005621E9">
        <w:rPr>
          <w:rFonts w:cs="Helvetica"/>
        </w:rPr>
        <w:t xml:space="preserve"> assumptions made</w:t>
      </w:r>
      <w:r w:rsidR="009E2489" w:rsidRPr="005621E9">
        <w:rPr>
          <w:rFonts w:cs="Helvetica"/>
        </w:rPr>
        <w:t xml:space="preserve"> by the </w:t>
      </w:r>
      <w:r w:rsidR="00676525">
        <w:rPr>
          <w:rFonts w:cs="Helvetica"/>
        </w:rPr>
        <w:t>ADAR</w:t>
      </w:r>
      <w:r w:rsidR="00BA3833" w:rsidRPr="005621E9">
        <w:rPr>
          <w:rFonts w:cs="Helvetica"/>
        </w:rPr>
        <w:t xml:space="preserve">, such as </w:t>
      </w:r>
      <w:r w:rsidR="008E6546" w:rsidRPr="005621E9">
        <w:rPr>
          <w:rFonts w:cs="Helvetica"/>
        </w:rPr>
        <w:t xml:space="preserve">the </w:t>
      </w:r>
      <w:r w:rsidR="00307809" w:rsidRPr="005621E9">
        <w:rPr>
          <w:rFonts w:cs="Helvetica"/>
        </w:rPr>
        <w:t>estimate</w:t>
      </w:r>
      <w:r w:rsidR="008E6546" w:rsidRPr="005621E9">
        <w:rPr>
          <w:rFonts w:cs="Helvetica"/>
        </w:rPr>
        <w:t xml:space="preserve"> of </w:t>
      </w:r>
      <w:r w:rsidR="00307809" w:rsidRPr="005621E9">
        <w:rPr>
          <w:rFonts w:cs="Helvetica"/>
        </w:rPr>
        <w:t xml:space="preserve">annual LD grafts, </w:t>
      </w:r>
      <w:r w:rsidR="00496E8B">
        <w:rPr>
          <w:rFonts w:cs="Helvetica"/>
        </w:rPr>
        <w:t xml:space="preserve">the </w:t>
      </w:r>
      <w:r w:rsidR="0037702A" w:rsidRPr="005621E9">
        <w:rPr>
          <w:rFonts w:cs="Helvetica"/>
        </w:rPr>
        <w:t xml:space="preserve">number of </w:t>
      </w:r>
      <w:r w:rsidR="00AF4998" w:rsidRPr="005621E9">
        <w:rPr>
          <w:rFonts w:cs="Helvetica"/>
        </w:rPr>
        <w:t>new HS</w:t>
      </w:r>
      <w:r w:rsidR="009A3953" w:rsidRPr="005621E9">
        <w:rPr>
          <w:rFonts w:cs="Helvetica"/>
        </w:rPr>
        <w:t xml:space="preserve"> patients</w:t>
      </w:r>
      <w:r w:rsidR="00AF4998" w:rsidRPr="005621E9">
        <w:rPr>
          <w:rFonts w:cs="Helvetica"/>
        </w:rPr>
        <w:t xml:space="preserve"> per year, </w:t>
      </w:r>
      <w:r w:rsidR="009B6D8D" w:rsidRPr="005621E9">
        <w:rPr>
          <w:rFonts w:cs="Helvetica"/>
        </w:rPr>
        <w:t xml:space="preserve">rate of transplantation of </w:t>
      </w:r>
      <w:r w:rsidR="00E5172D" w:rsidRPr="005621E9">
        <w:rPr>
          <w:rFonts w:cs="Helvetica"/>
        </w:rPr>
        <w:t>HS patients in the absence of imlifidase</w:t>
      </w:r>
      <w:r w:rsidR="00AC6754" w:rsidRPr="005621E9">
        <w:rPr>
          <w:rFonts w:cs="Helvetica"/>
        </w:rPr>
        <w:t xml:space="preserve">, length of </w:t>
      </w:r>
      <w:r w:rsidR="00BC2A23" w:rsidRPr="005621E9">
        <w:rPr>
          <w:rFonts w:cs="Helvetica"/>
        </w:rPr>
        <w:t xml:space="preserve">chain for transplants and </w:t>
      </w:r>
      <w:r w:rsidR="009C171D" w:rsidRPr="005621E9">
        <w:rPr>
          <w:rFonts w:cs="Helvetica"/>
        </w:rPr>
        <w:t xml:space="preserve">projected </w:t>
      </w:r>
      <w:r w:rsidR="00F73765" w:rsidRPr="005621E9">
        <w:rPr>
          <w:rFonts w:cs="Helvetica"/>
        </w:rPr>
        <w:t>market uptake</w:t>
      </w:r>
      <w:r w:rsidR="00505189" w:rsidRPr="005621E9">
        <w:rPr>
          <w:rFonts w:cs="Helvetica"/>
        </w:rPr>
        <w:t>.</w:t>
      </w:r>
      <w:r w:rsidR="00A808DC">
        <w:rPr>
          <w:rFonts w:cs="Helvetica"/>
        </w:rPr>
        <w:t xml:space="preserve"> </w:t>
      </w:r>
    </w:p>
    <w:p w14:paraId="2251BA10" w14:textId="3445D04E" w:rsidR="00A808DC" w:rsidRPr="00D1462A" w:rsidRDefault="00C43934">
      <w:r>
        <w:rPr>
          <w:rFonts w:cs="Helvetica"/>
        </w:rPr>
        <w:t>T</w:t>
      </w:r>
      <w:r w:rsidR="0034020D">
        <w:rPr>
          <w:rFonts w:cs="Helvetica"/>
        </w:rPr>
        <w:t xml:space="preserve">he </w:t>
      </w:r>
      <w:r w:rsidR="0034020D">
        <w:rPr>
          <w:color w:val="000000" w:themeColor="text1"/>
        </w:rPr>
        <w:t xml:space="preserve">commentary </w:t>
      </w:r>
      <w:r w:rsidR="00C646E7">
        <w:rPr>
          <w:color w:val="000000" w:themeColor="text1"/>
        </w:rPr>
        <w:t>noted</w:t>
      </w:r>
      <w:r w:rsidR="0034020D">
        <w:rPr>
          <w:color w:val="000000" w:themeColor="text1"/>
        </w:rPr>
        <w:t xml:space="preserve"> that </w:t>
      </w:r>
      <w:r w:rsidR="00A808DC">
        <w:t>the health economic evaluation estimat</w:t>
      </w:r>
      <w:r w:rsidR="00C646E7">
        <w:t>ed</w:t>
      </w:r>
      <w:r w:rsidR="00A808DC">
        <w:t xml:space="preserve"> an increase in total costs following introduction of imlifidase </w:t>
      </w:r>
      <w:r w:rsidR="00D706FA">
        <w:t>though</w:t>
      </w:r>
      <w:r w:rsidR="0054578A">
        <w:t xml:space="preserve"> the financial analysis estimates</w:t>
      </w:r>
      <w:r w:rsidR="00D706FA">
        <w:t xml:space="preserve"> cost savings</w:t>
      </w:r>
      <w:r w:rsidR="006C1CD2">
        <w:t xml:space="preserve"> </w:t>
      </w:r>
      <w:r w:rsidR="0054578A">
        <w:t>by 2029</w:t>
      </w:r>
      <w:r w:rsidR="00A808DC">
        <w:t xml:space="preserve">. </w:t>
      </w:r>
      <w:r>
        <w:t xml:space="preserve">However </w:t>
      </w:r>
      <w:r w:rsidR="00027CE3">
        <w:t>the pre-ESC response clarified that t</w:t>
      </w:r>
      <w:r w:rsidR="00027CE3" w:rsidRPr="00027CE3">
        <w:t>he differences comes from the difference in the nature of these models: the Cost Effectiveness Model (CEM) is a cohort model and therefore follows the same patients from model entry to death. The Financial Impact Model (FIM) accounts for the annual number of patients to be treated and allows for inflows and outflows of patients every year</w:t>
      </w:r>
      <w:r w:rsidR="00223ADD">
        <w:t xml:space="preserve">. The assessment group accepted this </w:t>
      </w:r>
      <w:r w:rsidR="006F5899">
        <w:t xml:space="preserve">clarification. </w:t>
      </w:r>
    </w:p>
    <w:p w14:paraId="701893E1" w14:textId="7DCA2E1F" w:rsidR="00DB2309" w:rsidRPr="00DB2309" w:rsidRDefault="00DB2309" w:rsidP="004F307F">
      <w:pPr>
        <w:pStyle w:val="Heading2"/>
      </w:pPr>
      <w:r w:rsidRPr="00DB2309">
        <w:t>1</w:t>
      </w:r>
      <w:r w:rsidR="006A2B0B">
        <w:t>5</w:t>
      </w:r>
      <w:r w:rsidRPr="00DB2309">
        <w:t xml:space="preserve">. </w:t>
      </w:r>
      <w:r w:rsidR="005F63A7">
        <w:t>Equity</w:t>
      </w:r>
      <w:r w:rsidR="005F63A7" w:rsidRPr="00DB2309">
        <w:t xml:space="preserve"> </w:t>
      </w:r>
      <w:r w:rsidRPr="00DB2309">
        <w:t>considerations</w:t>
      </w:r>
    </w:p>
    <w:p w14:paraId="5DFAE84B" w14:textId="425F0554" w:rsidR="0015745E" w:rsidRDefault="0015745E" w:rsidP="0015745E">
      <w:r w:rsidRPr="0015745E">
        <w:t xml:space="preserve">The </w:t>
      </w:r>
      <w:r w:rsidR="0015431F">
        <w:rPr>
          <w:color w:val="000000" w:themeColor="text1"/>
        </w:rPr>
        <w:t xml:space="preserve">commentary </w:t>
      </w:r>
      <w:r w:rsidRPr="0015745E">
        <w:t>concurred</w:t>
      </w:r>
      <w:r w:rsidR="0015431F">
        <w:t xml:space="preserve"> with the ADAR</w:t>
      </w:r>
      <w:r w:rsidRPr="0015745E">
        <w:t xml:space="preserve"> that equity considerations are pertinent to </w:t>
      </w:r>
      <w:r w:rsidR="00323FDB">
        <w:t>using</w:t>
      </w:r>
      <w:r w:rsidRPr="0015745E">
        <w:t xml:space="preserve"> imlifidase in </w:t>
      </w:r>
      <w:r w:rsidR="00D82B87">
        <w:t xml:space="preserve">HS </w:t>
      </w:r>
      <w:r w:rsidRPr="0015745E">
        <w:t xml:space="preserve">patients. Notably, pregnancy is a significant factor contributing to </w:t>
      </w:r>
      <w:r w:rsidR="009064D6">
        <w:t>sensitisation</w:t>
      </w:r>
      <w:r w:rsidRPr="0015745E">
        <w:t xml:space="preserve">, putting women, particularly mothers, at a higher risk of being highly </w:t>
      </w:r>
      <w:r w:rsidR="009064D6">
        <w:t>sensitised</w:t>
      </w:r>
      <w:r w:rsidRPr="0015745E">
        <w:t xml:space="preserve"> and potentially facing disadvantages in accessing kidney transplantation. </w:t>
      </w:r>
      <w:r>
        <w:t xml:space="preserve">The </w:t>
      </w:r>
      <w:r w:rsidR="0015431F">
        <w:rPr>
          <w:color w:val="000000" w:themeColor="text1"/>
        </w:rPr>
        <w:t xml:space="preserve">commentary </w:t>
      </w:r>
      <w:r>
        <w:t>agreed that e</w:t>
      </w:r>
      <w:r w:rsidRPr="0015745E">
        <w:t xml:space="preserve">mploying imlifidase would help promote equity between genders and among women with and without </w:t>
      </w:r>
      <w:r w:rsidR="007E4BD3" w:rsidRPr="0015745E">
        <w:t xml:space="preserve">history </w:t>
      </w:r>
      <w:r w:rsidR="007E4BD3">
        <w:t xml:space="preserve">of </w:t>
      </w:r>
      <w:r w:rsidRPr="0015745E">
        <w:t xml:space="preserve">pregnancy. </w:t>
      </w:r>
    </w:p>
    <w:p w14:paraId="0389A700" w14:textId="357E11AD" w:rsidR="00017184" w:rsidRDefault="007E4BD3" w:rsidP="0015745E">
      <w:r>
        <w:t>T</w:t>
      </w:r>
      <w:r w:rsidR="00E836BF">
        <w:t xml:space="preserve">he </w:t>
      </w:r>
      <w:r w:rsidR="0015431F">
        <w:rPr>
          <w:color w:val="000000" w:themeColor="text1"/>
        </w:rPr>
        <w:t xml:space="preserve">commentary </w:t>
      </w:r>
      <w:r w:rsidR="002B5DA9" w:rsidRPr="002B5DA9">
        <w:t>observed</w:t>
      </w:r>
      <w:r w:rsidR="00E836BF">
        <w:t xml:space="preserve"> that</w:t>
      </w:r>
      <w:r w:rsidR="00E836BF" w:rsidRPr="00E836BF">
        <w:t xml:space="preserve"> </w:t>
      </w:r>
      <w:r w:rsidR="0019755A">
        <w:t xml:space="preserve">certain patient groups, such as </w:t>
      </w:r>
      <w:r w:rsidR="00CC1952">
        <w:t xml:space="preserve">Aboriginal and Torres Strait Islander patients and other ethnic minorities, </w:t>
      </w:r>
      <w:r w:rsidR="00976E3F">
        <w:t>are more likely to be highly sensitised and remain on waiting lists for extended periods, with minimal prospects for transplantation.</w:t>
      </w:r>
      <w:r w:rsidR="00486272">
        <w:t xml:space="preserve"> This</w:t>
      </w:r>
      <w:r w:rsidR="00B924B0">
        <w:t xml:space="preserve"> also</w:t>
      </w:r>
      <w:r w:rsidR="00486272">
        <w:t xml:space="preserve"> raises equity concerns.</w:t>
      </w:r>
      <w:r w:rsidR="00E836BF" w:rsidRPr="00E836BF">
        <w:t xml:space="preserve"> </w:t>
      </w:r>
      <w:r w:rsidR="002A20EB">
        <w:t xml:space="preserve">The </w:t>
      </w:r>
      <w:r w:rsidR="0015431F">
        <w:rPr>
          <w:color w:val="000000" w:themeColor="text1"/>
        </w:rPr>
        <w:t xml:space="preserve">commentary </w:t>
      </w:r>
      <w:r w:rsidR="002B5DA9" w:rsidRPr="002B5DA9">
        <w:t>concurred</w:t>
      </w:r>
      <w:r w:rsidR="002A20EB">
        <w:t xml:space="preserve"> </w:t>
      </w:r>
      <w:r w:rsidR="0015431F">
        <w:t xml:space="preserve">with the ADAR </w:t>
      </w:r>
      <w:r w:rsidR="002A20EB">
        <w:t xml:space="preserve">that </w:t>
      </w:r>
      <w:r w:rsidR="002B5DA9" w:rsidRPr="002B5DA9">
        <w:t>employing imlifidase helps</w:t>
      </w:r>
      <w:r w:rsidR="002A20EB" w:rsidRPr="0015745E">
        <w:t xml:space="preserve"> to </w:t>
      </w:r>
      <w:r w:rsidR="002B5DA9" w:rsidRPr="002B5DA9">
        <w:t xml:space="preserve">achieve </w:t>
      </w:r>
      <w:r w:rsidR="002A20EB" w:rsidRPr="0015745E">
        <w:t xml:space="preserve">a more equitable </w:t>
      </w:r>
      <w:r w:rsidR="002B5DA9" w:rsidRPr="002B5DA9">
        <w:t>allocation</w:t>
      </w:r>
      <w:r w:rsidR="002A20EB" w:rsidRPr="0015745E">
        <w:t xml:space="preserve"> of kidneys for Aboriginal and Torres Strait Islander</w:t>
      </w:r>
      <w:r w:rsidR="003031DC">
        <w:t xml:space="preserve"> patients and those</w:t>
      </w:r>
      <w:r w:rsidR="002B5DA9" w:rsidRPr="002B5DA9">
        <w:t xml:space="preserve"> with</w:t>
      </w:r>
      <w:r w:rsidR="003031DC">
        <w:t>in</w:t>
      </w:r>
      <w:r w:rsidR="002A20EB" w:rsidRPr="0015745E">
        <w:t xml:space="preserve"> other minority ethnic groups.</w:t>
      </w:r>
    </w:p>
    <w:p w14:paraId="75B72279" w14:textId="027CDD0D" w:rsidR="00AA6A09" w:rsidRPr="00D812F8" w:rsidRDefault="00D812F8" w:rsidP="00D812F8">
      <w:pPr>
        <w:pStyle w:val="Heading2"/>
      </w:pPr>
      <w:r>
        <w:t>16.</w:t>
      </w:r>
      <w:r>
        <w:tab/>
        <w:t>Key issues from ESC to MSAC</w:t>
      </w:r>
    </w:p>
    <w:p w14:paraId="73FF8D6B" w14:textId="77777777" w:rsidR="007107FB" w:rsidRDefault="007107FB" w:rsidP="007107FB">
      <w:pPr>
        <w:pStyle w:val="BoxName0"/>
      </w:pPr>
      <w:r w:rsidRPr="00C749CB">
        <w:t>Main issues for MSAC consideration</w:t>
      </w:r>
    </w:p>
    <w:p w14:paraId="2DE13C28" w14:textId="77777777" w:rsidR="007107FB" w:rsidRDefault="007107FB" w:rsidP="007107FB">
      <w:pPr>
        <w:pStyle w:val="BoxName0"/>
      </w:pPr>
      <w:r>
        <w:t>Clinical issues:</w:t>
      </w:r>
    </w:p>
    <w:p w14:paraId="34CD8ECB" w14:textId="77777777" w:rsidR="007107FB" w:rsidRPr="00B550B1" w:rsidRDefault="007107FB" w:rsidP="007107FB">
      <w:pPr>
        <w:pStyle w:val="BoxBullet"/>
        <w:rPr>
          <w:b/>
          <w:bCs/>
        </w:rPr>
      </w:pPr>
      <w:r>
        <w:t xml:space="preserve">There is limited and uncertain evidence regarding the comparative efficacy and safety of imlifidase. The evidence is strongest for short-term efficacy outcomes in achieving successful transplantation. </w:t>
      </w:r>
    </w:p>
    <w:p w14:paraId="4CEBC76E" w14:textId="77777777" w:rsidR="007107FB" w:rsidRPr="00E7059B" w:rsidRDefault="007107FB" w:rsidP="007107FB">
      <w:pPr>
        <w:pStyle w:val="BoxBullet"/>
        <w:rPr>
          <w:b/>
          <w:bCs/>
        </w:rPr>
      </w:pPr>
      <w:r>
        <w:t>There is uncertainty about the long-term outcomes of imlifidase treatment. Further data may be forthcoming from follow up of initial trials, new Phase III trials, and real-world experience from the UK and Europe (where imlifidase has conditional marketing approval with further data to be provided to regulators in 2023 and 2025 for use in deceased donor (DD) kidney transplants).</w:t>
      </w:r>
    </w:p>
    <w:p w14:paraId="0C4E9DF5" w14:textId="77777777" w:rsidR="007107FB" w:rsidRPr="00E7059B" w:rsidRDefault="007107FB" w:rsidP="007107FB">
      <w:pPr>
        <w:pStyle w:val="BoxBullet"/>
        <w:rPr>
          <w:b/>
          <w:bCs/>
        </w:rPr>
      </w:pPr>
      <w:r>
        <w:t xml:space="preserve">While there is a clinical unmet need for highly sensitised patients to be able to receive donor kidneys and move off dialysis, there is uncertainty about the likely uptake in practice as highlighted by submissions from state and territory governments. The Transplant Society of Australia and New Zealand and </w:t>
      </w:r>
      <w:proofErr w:type="spellStart"/>
      <w:r>
        <w:t>OrganMatch</w:t>
      </w:r>
      <w:proofErr w:type="spellEnd"/>
      <w:r>
        <w:t xml:space="preserve"> may be helpful in clarifying the unmet need and practicalities about how imlifidase could be implemented into clinical practice. Consider soliciting submissions from other states and territories who are yet to provide input (Queensland, NT, ACT, Tasmania).</w:t>
      </w:r>
    </w:p>
    <w:p w14:paraId="3F0E6F0F" w14:textId="77777777" w:rsidR="007107FB" w:rsidRDefault="007107FB" w:rsidP="007107FB">
      <w:pPr>
        <w:pStyle w:val="BoxHeading"/>
      </w:pPr>
      <w:r>
        <w:t>Economic issues:</w:t>
      </w:r>
    </w:p>
    <w:p w14:paraId="27C76EFD" w14:textId="77777777" w:rsidR="007107FB" w:rsidRDefault="007107FB" w:rsidP="007107FB">
      <w:pPr>
        <w:pStyle w:val="BoxBullet"/>
      </w:pPr>
      <w:r>
        <w:t>There is uncertainty around the inputs used for the economic model. The key data for imlifidase (such as graft survival and survival rates) are based on parametric extrapolations of the pooled clinical trial data, which includes the all-transplanted population (this population also includes those who received imlifidase but would not have been eligible for imlifidase treatment under the proposed PICO criteria) and the unlikely to be transplanted – agnostic to source of donor kidney (UTT-A) population (only those who meet the PICO criteria) who may be more appropriate for the economic evaluation. There is also uncertainty around the probability of transplant without imlifidase, which is likely underestimated. Regarding the current care inputs, there are concerns around the heterogeneity between populations, which makes comparisons subject to confounding.</w:t>
      </w:r>
    </w:p>
    <w:p w14:paraId="28F99FE7" w14:textId="77777777" w:rsidR="007107FB" w:rsidRDefault="007107FB" w:rsidP="007107FB">
      <w:pPr>
        <w:pStyle w:val="BoxBullet"/>
      </w:pPr>
      <w:r>
        <w:t>The main limitations associated with the observed incremental clinical benefits in the model-based evaluation are the quality of the imlifidase trials (no control arm, small sample size, lack of long-term data to reasonably inform the long-term effectiveness of the treatment) and the uncertainty in the indirect comparison.</w:t>
      </w:r>
    </w:p>
    <w:p w14:paraId="0B78190B" w14:textId="73B2CF39" w:rsidR="007107FB" w:rsidRDefault="007107FB" w:rsidP="007107FB">
      <w:pPr>
        <w:pStyle w:val="BoxBullet"/>
      </w:pPr>
      <w:r>
        <w:t xml:space="preserve">The base case ICER </w:t>
      </w:r>
      <w:r w:rsidRPr="00A35DD3">
        <w:t xml:space="preserve">heavily relied on several uncertain assumptions in the </w:t>
      </w:r>
      <w:r>
        <w:t xml:space="preserve">economic </w:t>
      </w:r>
      <w:r w:rsidRPr="00A35DD3">
        <w:t>mode</w:t>
      </w:r>
      <w:r>
        <w:t>l</w:t>
      </w:r>
      <w:r w:rsidR="00140452">
        <w:t>.</w:t>
      </w:r>
      <w:r>
        <w:t xml:space="preserve"> In particular the model assumes that </w:t>
      </w:r>
      <w:r w:rsidRPr="00A35DD3">
        <w:t xml:space="preserve">for every patient transplanted with a </w:t>
      </w:r>
      <w:r>
        <w:t>living donor (</w:t>
      </w:r>
      <w:r w:rsidRPr="00A35DD3">
        <w:t>LD</w:t>
      </w:r>
      <w:r>
        <w:t xml:space="preserve">) kidney </w:t>
      </w:r>
      <w:r w:rsidRPr="00A35DD3">
        <w:t>following imlifidase treatment, six other LD-waitlisted patients would also be transplanted</w:t>
      </w:r>
      <w:r>
        <w:t xml:space="preserve"> via the </w:t>
      </w:r>
      <w:r w:rsidRPr="005B3F03">
        <w:t>creation of a donation chain for co-transplant patients</w:t>
      </w:r>
      <w:r>
        <w:t xml:space="preserve">. It also estimates </w:t>
      </w:r>
      <w:r w:rsidRPr="00A2723A">
        <w:t>cost offsets in the intervention arm due to reduced dialysis</w:t>
      </w:r>
      <w:r>
        <w:t xml:space="preserve"> in the target highly sensitised (HS) population but </w:t>
      </w:r>
      <w:r w:rsidRPr="00A2723A">
        <w:t>ignores the potential impact of opportunity costs</w:t>
      </w:r>
      <w:r>
        <w:t xml:space="preserve"> of kidneys denied to the non-HS population (both in terms of dialysis costs and incremental outcomes in that population) </w:t>
      </w:r>
      <w:r w:rsidRPr="000E3320">
        <w:t xml:space="preserve">due to earlier access to donor kidneys for the </w:t>
      </w:r>
      <w:r>
        <w:t xml:space="preserve">HS </w:t>
      </w:r>
      <w:r w:rsidRPr="000E3320">
        <w:t>population</w:t>
      </w:r>
      <w:r>
        <w:t xml:space="preserve"> with a fixed size deceased donor kidney pool.</w:t>
      </w:r>
      <w:r w:rsidRPr="000E3561">
        <w:t xml:space="preserve"> </w:t>
      </w:r>
      <w:r>
        <w:t>O</w:t>
      </w:r>
      <w:r w:rsidRPr="000E3561">
        <w:t>mitting cost offsets associated with reductions in the provision of dialysis</w:t>
      </w:r>
      <w:r>
        <w:t xml:space="preserve"> to the HS population</w:t>
      </w:r>
      <w:r w:rsidRPr="000E3561">
        <w:t xml:space="preserve"> </w:t>
      </w:r>
      <w:r>
        <w:t>increases the ICER from $</w:t>
      </w:r>
      <w:r w:rsidR="00846D57" w:rsidRPr="00846D57">
        <w:rPr>
          <w:w w:val="65"/>
          <w:shd w:val="solid" w:color="000000" w:fill="000000"/>
          <w:fitText w:val="216" w:id="-1175810559"/>
          <w14:textFill>
            <w14:solidFill>
              <w14:srgbClr w14:val="000000">
                <w14:alpha w14:val="100000"/>
              </w14:srgbClr>
            </w14:solidFill>
          </w14:textFill>
        </w:rPr>
        <w:t>|||</w:t>
      </w:r>
      <w:r w:rsidR="00846D57">
        <w:t xml:space="preserve"> </w:t>
      </w:r>
      <w:r>
        <w:t xml:space="preserve">to </w:t>
      </w:r>
      <w:r w:rsidRPr="000E3561">
        <w:t>$</w:t>
      </w:r>
      <w:r w:rsidR="00846D57" w:rsidRPr="00846D57">
        <w:rPr>
          <w:w w:val="79"/>
          <w:shd w:val="solid" w:color="000000" w:fill="000000"/>
          <w:fitText w:val="348" w:id="-1175810558"/>
          <w14:textFill>
            <w14:solidFill>
              <w14:srgbClr w14:val="000000">
                <w14:alpha w14:val="100000"/>
              </w14:srgbClr>
            </w14:solidFill>
          </w14:textFill>
        </w:rPr>
        <w:t>||||</w:t>
      </w:r>
      <w:r w:rsidR="00846D57">
        <w:t xml:space="preserve"> </w:t>
      </w:r>
      <w:r w:rsidRPr="000E3561">
        <w:t>per QALY gained.</w:t>
      </w:r>
    </w:p>
    <w:p w14:paraId="19657059" w14:textId="77777777" w:rsidR="007107FB" w:rsidRDefault="007107FB" w:rsidP="007107FB">
      <w:pPr>
        <w:pStyle w:val="BoxHeading"/>
      </w:pPr>
      <w:r>
        <w:t>Financial issues:</w:t>
      </w:r>
    </w:p>
    <w:p w14:paraId="6393C665" w14:textId="77777777" w:rsidR="007107FB" w:rsidRDefault="007107FB" w:rsidP="007107FB">
      <w:pPr>
        <w:pStyle w:val="BoxBullet"/>
      </w:pPr>
      <w:r>
        <w:t>The financial impacts, with estimated cost savings by year 6, are uncertain. The estimated cost savings are driven by dialysis-related cost savings, which may be overestimated due to uncertainty in the uptake rate and the likelihood of dialysis-related cost savings not being fully realised by the Australian healthcare system.</w:t>
      </w:r>
    </w:p>
    <w:p w14:paraId="372EF625" w14:textId="77777777" w:rsidR="007107FB" w:rsidRDefault="007107FB" w:rsidP="007107FB">
      <w:pPr>
        <w:pStyle w:val="BoxHeading"/>
      </w:pPr>
      <w:r>
        <w:t>Other relevant information:</w:t>
      </w:r>
    </w:p>
    <w:p w14:paraId="1FA5C109" w14:textId="77777777" w:rsidR="007107FB" w:rsidRDefault="007107FB" w:rsidP="007107FB">
      <w:pPr>
        <w:pStyle w:val="BoxBullet"/>
      </w:pPr>
      <w:r>
        <w:t>There are implementation challenges to consider. Addressing the significant implementation challenges will require working with multiple stakeholders, while further modelling and evidence may help define potential positive equity impacts and potential negative utility impacts for Australians on transplant waitlists.</w:t>
      </w:r>
    </w:p>
    <w:p w14:paraId="34EB36B5" w14:textId="77777777" w:rsidR="007107FB" w:rsidRDefault="007107FB" w:rsidP="007107FB">
      <w:pPr>
        <w:pStyle w:val="BoxBullet"/>
      </w:pPr>
      <w:r>
        <w:t xml:space="preserve">There are also ethical issues. A key </w:t>
      </w:r>
      <w:r w:rsidRPr="004978B4">
        <w:t>ethical issue to consider with this application</w:t>
      </w:r>
      <w:r>
        <w:t xml:space="preserve"> is</w:t>
      </w:r>
      <w:r w:rsidRPr="004978B4">
        <w:t xml:space="preserve"> </w:t>
      </w:r>
      <w:r>
        <w:t>the equity versus utility trade-off: (</w:t>
      </w:r>
      <w:proofErr w:type="spellStart"/>
      <w:r>
        <w:t>i</w:t>
      </w:r>
      <w:proofErr w:type="spellEnd"/>
      <w:r>
        <w:t xml:space="preserve">) On the one hand, imlifidase may increase equity in access to transplantation for HS patients who otherwise may be unlikely to undergo transplantation; these include people who need re-transplantation, people who have been pregnant and First Nations people; (ii)  On the other hand,  because DD kidney numbers are already fully utilised and imlifidase does not result in a net increase in DD kidney transplantations, more non-sensitised patients would remain on the DD waitlist and on dialysis if there is increased access to DD transplantations for HS patients. There may also be poorer incremental outcomes associated with kidney transplants to the HS population. Therefore overall the increased access to DD transplantations for HS patients facilitated by imlifidase may result in a possible decreased overall utility for the population. </w:t>
      </w:r>
    </w:p>
    <w:p w14:paraId="3E9E9FB0" w14:textId="77777777" w:rsidR="007107FB" w:rsidRDefault="007107FB" w:rsidP="007107FB">
      <w:pPr>
        <w:pStyle w:val="BoxBullet"/>
      </w:pPr>
      <w:r>
        <w:t>I</w:t>
      </w:r>
      <w:r w:rsidRPr="00DC7C1E">
        <w:t xml:space="preserve">n the absence of better data and studies, there </w:t>
      </w:r>
      <w:r>
        <w:t>is</w:t>
      </w:r>
      <w:r w:rsidRPr="00DC7C1E">
        <w:t xml:space="preserve"> a potential role for a risk-sharing agreement, price reduction and full review of clinical effectiveness, cost-effectiveness and budget impact </w:t>
      </w:r>
      <w:r>
        <w:t xml:space="preserve">analysis </w:t>
      </w:r>
      <w:r w:rsidRPr="00DC7C1E">
        <w:t>when longer-term data become available</w:t>
      </w:r>
      <w:r>
        <w:t xml:space="preserve"> in the event that imlifidase is approved for funding.</w:t>
      </w:r>
    </w:p>
    <w:p w14:paraId="6660E5EC" w14:textId="77777777" w:rsidR="007107FB" w:rsidRDefault="007107FB" w:rsidP="003B384E">
      <w:pPr>
        <w:spacing w:before="240"/>
        <w:rPr>
          <w:rStyle w:val="Strong"/>
        </w:rPr>
      </w:pPr>
      <w:r w:rsidRPr="00194327">
        <w:rPr>
          <w:rStyle w:val="Strong"/>
        </w:rPr>
        <w:t>ESC discussion</w:t>
      </w:r>
    </w:p>
    <w:p w14:paraId="2E617769" w14:textId="77777777" w:rsidR="007107FB" w:rsidRDefault="007107FB" w:rsidP="007107FB">
      <w:r>
        <w:t>ESC noted that this application from Hansa Biopharma was requesting funding for the use of imlifidase for the desensitisation of highly sensitised (HS) adult kidney transplant patients with a positive crossmatch against an available deceased donor (DD) or living donor (LD) who are unlikely to be transplanted under current kidney allocation systems. Funding is sought through the National Health Reform Agreement (NHRA) Addendum 2020–25 for highly specialised therapies.</w:t>
      </w:r>
    </w:p>
    <w:p w14:paraId="6C2EC777" w14:textId="77777777" w:rsidR="007107FB" w:rsidRDefault="007107FB" w:rsidP="007107FB">
      <w:r>
        <w:t>ESC noted that, subject to a positive recommendation from MSAC, funding agreements will need to be negotiated with each respective state and territory.</w:t>
      </w:r>
    </w:p>
    <w:p w14:paraId="59A715A4" w14:textId="77777777" w:rsidR="007107FB" w:rsidRDefault="007107FB" w:rsidP="007107FB">
      <w:r>
        <w:t xml:space="preserve">ESC noted that an application to register imlifidase was submitted to the Therapeutic Goods Administration (TGA) but was still under consideration. ESC noted that the application was for provisional registration, and as such provision of updated clinical trial evidence will be a condition of provisional regulatory approval. </w:t>
      </w:r>
    </w:p>
    <w:p w14:paraId="79F626B1" w14:textId="611504EC" w:rsidR="007107FB" w:rsidRDefault="007107FB" w:rsidP="007107FB">
      <w:r>
        <w:t>ESC noted that imlifidase is a high-cost drug; one vial costs approximately $</w:t>
      </w:r>
      <w:r w:rsidR="00F17BA0" w:rsidRPr="00F17BA0">
        <w:rPr>
          <w:color w:val="000000"/>
          <w:w w:val="63"/>
          <w:shd w:val="solid" w:color="000000" w:fill="000000"/>
          <w:fitText w:val="696" w:id="-1175810304"/>
          <w14:textFill>
            <w14:solidFill>
              <w14:srgbClr w14:val="000000">
                <w14:alpha w14:val="100000"/>
              </w14:srgbClr>
            </w14:solidFill>
          </w14:textFill>
        </w:rPr>
        <w:t>||||||||||</w:t>
      </w:r>
      <w:r>
        <w:t>, and most patients require two vials considered as one dose. A small proportion (estimated to be 6.5% in the ADAR, based on clinical trials data) of patients require two doses (a cost of approximately $</w:t>
      </w:r>
      <w:r w:rsidR="00F17BA0" w:rsidRPr="00F17BA0">
        <w:rPr>
          <w:color w:val="000000"/>
          <w:w w:val="60"/>
          <w:shd w:val="solid" w:color="000000" w:fill="000000"/>
          <w:fitText w:val="660" w:id="-1175810303"/>
          <w14:textFill>
            <w14:solidFill>
              <w14:srgbClr w14:val="000000">
                <w14:alpha w14:val="100000"/>
              </w14:srgbClr>
            </w14:solidFill>
          </w14:textFill>
        </w:rPr>
        <w:t>||||||||||</w:t>
      </w:r>
      <w:r>
        <w:t xml:space="preserve">) because they do not achieve a crossmatch conversion; this can potentially increase the cold ischaemic time (with an additional crossmatch test) and may add an additional 8–10 hours to the transplant process. As such, </w:t>
      </w:r>
      <w:hyperlink r:id="rId17" w:history="1">
        <w:r>
          <w:rPr>
            <w:rStyle w:val="Hyperlink"/>
          </w:rPr>
          <w:t>guidance</w:t>
        </w:r>
      </w:hyperlink>
      <w:bookmarkStart w:id="32" w:name="_Hlk138690888"/>
      <w:r>
        <w:t xml:space="preserve"> from the National Institute for Health and Care Excellence (NICE) limits imlifidase </w:t>
      </w:r>
      <w:bookmarkEnd w:id="32"/>
      <w:r>
        <w:t xml:space="preserve">to one infusion. However, ESC noted that PASC agreed that imlifidase should not be limited to one dose, although PASC noted that it should be specified that, if given, the second dose would be in the context of the initial transplant. ESC also noted that </w:t>
      </w:r>
      <w:r w:rsidRPr="0060236E">
        <w:t xml:space="preserve">guidance from </w:t>
      </w:r>
      <w:r>
        <w:t xml:space="preserve">NICE </w:t>
      </w:r>
      <w:r w:rsidRPr="0060236E">
        <w:t>limits imlifidase</w:t>
      </w:r>
      <w:r>
        <w:t xml:space="preserve"> to </w:t>
      </w:r>
      <w:r w:rsidRPr="0060236E">
        <w:t>DD</w:t>
      </w:r>
      <w:r>
        <w:t xml:space="preserve"> kidney transplant recipients.</w:t>
      </w:r>
    </w:p>
    <w:p w14:paraId="733746A3" w14:textId="77777777" w:rsidR="007107FB" w:rsidRDefault="007107FB" w:rsidP="007107FB">
      <w:r>
        <w:t xml:space="preserve">ESC noted that a kidney transplant is the preferred treatment option for patients with end-stage kidney disease (ESKD), with patient survival and quality of life post-transplantation being superior to dialysis. However, around one-third of patients waiting for kidney transplantation have donor-specific antibodies (DSA) against human leukocyte antigens (HLA) which may present a significant immunologic barrier to transplantation. </w:t>
      </w:r>
    </w:p>
    <w:p w14:paraId="2A9DE29D" w14:textId="77777777" w:rsidR="007107FB" w:rsidRDefault="007107FB" w:rsidP="007107FB">
      <w:r>
        <w:t>ESC noted that recent amendments to the Australian prioritisation algorithm (introduced May 2021) to prioritise HS patients to receive donor kidneys are anticipated to improve access to transplantation for HS patients.  However, these patients are still likely to have less access to transplantation than non-sensitised patients. Therefore, there is a clinical need for an effective desensitisation treatment for HS ESKD patients with a positive crossmatch against an available DD or LD.</w:t>
      </w:r>
    </w:p>
    <w:p w14:paraId="060B5D35" w14:textId="33846D6F" w:rsidR="007107FB" w:rsidRDefault="007107FB" w:rsidP="007107FB">
      <w:pPr>
        <w:pStyle w:val="BodyText"/>
      </w:pPr>
      <w:r w:rsidRPr="00035465">
        <w:t xml:space="preserve">ESC noted that input was received from four state and territory governments: </w:t>
      </w:r>
      <w:r w:rsidR="00130FAA" w:rsidRPr="00130FAA">
        <w:rPr>
          <w:color w:val="000000"/>
          <w:w w:val="58"/>
          <w:shd w:val="solid" w:color="000000" w:fill="000000"/>
          <w:fitText w:val="1536" w:id="-1168429824"/>
          <w14:textFill>
            <w14:solidFill>
              <w14:srgbClr w14:val="000000">
                <w14:alpha w14:val="100000"/>
              </w14:srgbClr>
            </w14:solidFill>
          </w14:textFill>
        </w:rPr>
        <w:t>||||||||||||||||||||||||</w:t>
      </w:r>
      <w:r w:rsidR="00130FAA">
        <w:t xml:space="preserve"> </w:t>
      </w:r>
      <w:r w:rsidR="00130FAA" w:rsidRPr="00130FAA">
        <w:rPr>
          <w:color w:val="000000"/>
          <w:w w:val="56"/>
          <w:shd w:val="solid" w:color="000000" w:fill="000000"/>
          <w:fitText w:val="4200" w:id="-1168429823"/>
          <w14:textFill>
            <w14:solidFill>
              <w14:srgbClr w14:val="000000">
                <w14:alpha w14:val="100000"/>
              </w14:srgbClr>
            </w14:solidFill>
          </w14:textFill>
        </w:rPr>
        <w:t>|||||||||||||||||||||||||||||||||||||||||||||||||||||||||||||||||||</w:t>
      </w:r>
      <w:r w:rsidR="00130FAA" w:rsidRPr="00130FAA">
        <w:rPr>
          <w:color w:val="000000"/>
          <w:spacing w:val="14"/>
          <w:w w:val="56"/>
          <w:shd w:val="solid" w:color="000000" w:fill="000000"/>
          <w:fitText w:val="4200" w:id="-1168429823"/>
          <w14:textFill>
            <w14:solidFill>
              <w14:srgbClr w14:val="000000">
                <w14:alpha w14:val="100000"/>
              </w14:srgbClr>
            </w14:solidFill>
          </w14:textFill>
        </w:rPr>
        <w:t>|</w:t>
      </w:r>
      <w:r w:rsidRPr="00035465">
        <w:t>. These submissions expressed concern regarding the level and quality of evidence provided, especially the short length of follow-up, small sample size and relevance to the Australian context. They also noted that the following should be considered:</w:t>
      </w:r>
    </w:p>
    <w:p w14:paraId="7D036842" w14:textId="77777777" w:rsidR="007107FB" w:rsidRDefault="007107FB" w:rsidP="007107FB">
      <w:pPr>
        <w:pStyle w:val="BodyText"/>
        <w:numPr>
          <w:ilvl w:val="0"/>
          <w:numId w:val="34"/>
        </w:numPr>
      </w:pPr>
      <w:r w:rsidRPr="00B94A90">
        <w:t>mechanisms for ongoing data collection and the need for post-implementation review</w:t>
      </w:r>
    </w:p>
    <w:p w14:paraId="06C39A0D" w14:textId="77777777" w:rsidR="007107FB" w:rsidRDefault="007107FB" w:rsidP="007107FB">
      <w:pPr>
        <w:pStyle w:val="BodyText"/>
        <w:numPr>
          <w:ilvl w:val="0"/>
          <w:numId w:val="34"/>
        </w:numPr>
      </w:pPr>
      <w:r w:rsidRPr="00B94A90">
        <w:t>the price of treatment should be lower and should include the cost of tissue typing</w:t>
      </w:r>
    </w:p>
    <w:p w14:paraId="18F991C2" w14:textId="77777777" w:rsidR="007107FB" w:rsidRDefault="007107FB" w:rsidP="007107FB">
      <w:pPr>
        <w:pStyle w:val="BodyText"/>
        <w:numPr>
          <w:ilvl w:val="0"/>
          <w:numId w:val="34"/>
        </w:numPr>
      </w:pPr>
      <w:r w:rsidRPr="00B94A90">
        <w:t>eligibility criteria</w:t>
      </w:r>
    </w:p>
    <w:p w14:paraId="39597952" w14:textId="77777777" w:rsidR="007107FB" w:rsidRDefault="007107FB" w:rsidP="007107FB">
      <w:pPr>
        <w:pStyle w:val="BodyText"/>
        <w:numPr>
          <w:ilvl w:val="0"/>
          <w:numId w:val="34"/>
        </w:numPr>
      </w:pPr>
      <w:r>
        <w:t>k</w:t>
      </w:r>
      <w:r w:rsidRPr="00B94A90">
        <w:t>idney allocation algorithm</w:t>
      </w:r>
    </w:p>
    <w:p w14:paraId="38902152" w14:textId="77777777" w:rsidR="007107FB" w:rsidRDefault="007107FB" w:rsidP="007107FB">
      <w:pPr>
        <w:pStyle w:val="BodyText"/>
        <w:numPr>
          <w:ilvl w:val="0"/>
          <w:numId w:val="34"/>
        </w:numPr>
      </w:pPr>
      <w:r w:rsidRPr="00B94A90">
        <w:t xml:space="preserve">the need to limit treatment to </w:t>
      </w:r>
      <w:proofErr w:type="spellStart"/>
      <w:r w:rsidRPr="00B94A90">
        <w:t>specialised</w:t>
      </w:r>
      <w:proofErr w:type="spellEnd"/>
      <w:r w:rsidRPr="00B94A90">
        <w:t xml:space="preserve"> treatment </w:t>
      </w:r>
      <w:proofErr w:type="spellStart"/>
      <w:r w:rsidRPr="00B94A90">
        <w:t>centres</w:t>
      </w:r>
      <w:proofErr w:type="spellEnd"/>
      <w:r w:rsidRPr="00B94A90">
        <w:t xml:space="preserve"> with </w:t>
      </w:r>
      <w:proofErr w:type="spellStart"/>
      <w:r w:rsidRPr="00B94A90">
        <w:t>specialised</w:t>
      </w:r>
      <w:proofErr w:type="spellEnd"/>
      <w:r w:rsidRPr="00B94A90">
        <w:t xml:space="preserve"> trained staff</w:t>
      </w:r>
    </w:p>
    <w:p w14:paraId="0C5B1B29" w14:textId="77777777" w:rsidR="007107FB" w:rsidRDefault="007107FB" w:rsidP="007107FB">
      <w:pPr>
        <w:pStyle w:val="BodyText"/>
        <w:numPr>
          <w:ilvl w:val="0"/>
          <w:numId w:val="34"/>
        </w:numPr>
      </w:pPr>
      <w:r w:rsidRPr="00B94A90">
        <w:t>impact</w:t>
      </w:r>
      <w:r>
        <w:t xml:space="preserve"> of imlifidase on access to transplantations for non-HS patients</w:t>
      </w:r>
    </w:p>
    <w:p w14:paraId="1E2DBB9A" w14:textId="77777777" w:rsidR="007107FB" w:rsidRDefault="007107FB" w:rsidP="007107FB">
      <w:pPr>
        <w:pStyle w:val="BodyText"/>
        <w:numPr>
          <w:ilvl w:val="0"/>
          <w:numId w:val="34"/>
        </w:numPr>
      </w:pPr>
      <w:r>
        <w:t>equity considerations.</w:t>
      </w:r>
    </w:p>
    <w:p w14:paraId="5B82D644" w14:textId="5F4FCACB" w:rsidR="007107FB" w:rsidRDefault="007107FB" w:rsidP="007107FB">
      <w:r>
        <w:t xml:space="preserve">The submissions also noted that only a small number of patients may be eligible for imlifidase. Specifically, </w:t>
      </w:r>
      <w:r w:rsidR="00B5090C" w:rsidRPr="00B5090C">
        <w:rPr>
          <w:color w:val="000000"/>
          <w:w w:val="55"/>
          <w:shd w:val="solid" w:color="000000" w:fill="000000"/>
          <w:fitText w:val="7062" w:id="-1168429568"/>
          <w14:textFill>
            <w14:solidFill>
              <w14:srgbClr w14:val="000000">
                <w14:alpha w14:val="100000"/>
              </w14:srgbClr>
            </w14:solidFill>
          </w14:textFill>
        </w:rPr>
        <w:t>|||||||||||||||||||||||||||||||||||||||||||||||||||||||||||||||||||||||||||||||||||||||||||||||||||||||||||||||||||</w:t>
      </w:r>
      <w:r w:rsidR="00B5090C" w:rsidRPr="00B5090C">
        <w:rPr>
          <w:color w:val="000000"/>
          <w:spacing w:val="58"/>
          <w:w w:val="55"/>
          <w:shd w:val="solid" w:color="000000" w:fill="000000"/>
          <w:fitText w:val="7062" w:id="-1168429568"/>
          <w14:textFill>
            <w14:solidFill>
              <w14:srgbClr w14:val="000000">
                <w14:alpha w14:val="100000"/>
              </w14:srgbClr>
            </w14:solidFill>
          </w14:textFill>
        </w:rPr>
        <w:t>|</w:t>
      </w:r>
      <w:r w:rsidR="00B5090C">
        <w:t xml:space="preserve"> </w:t>
      </w:r>
      <w:r w:rsidR="00B5090C" w:rsidRPr="00B5090C">
        <w:rPr>
          <w:color w:val="000000"/>
          <w:w w:val="55"/>
          <w:shd w:val="solid" w:color="000000" w:fill="000000"/>
          <w:fitText w:val="8784" w:id="-1168429567"/>
          <w14:textFill>
            <w14:solidFill>
              <w14:srgbClr w14:val="000000">
                <w14:alpha w14:val="100000"/>
              </w14:srgbClr>
            </w14:solidFill>
          </w14:textFill>
        </w:rPr>
        <w:t>|||||||||||||||||||||||||||||||||||||||||||||||||||||||||||||||||||||||||||||||||||||||||||||||||||||||||||||||||||||||||||||||||||||||||||||||</w:t>
      </w:r>
      <w:r w:rsidR="00B5090C" w:rsidRPr="00B5090C">
        <w:rPr>
          <w:color w:val="000000"/>
          <w:spacing w:val="90"/>
          <w:w w:val="55"/>
          <w:shd w:val="solid" w:color="000000" w:fill="000000"/>
          <w:fitText w:val="8784" w:id="-1168429567"/>
          <w14:textFill>
            <w14:solidFill>
              <w14:srgbClr w14:val="000000">
                <w14:alpha w14:val="100000"/>
              </w14:srgbClr>
            </w14:solidFill>
          </w14:textFill>
        </w:rPr>
        <w:t>|</w:t>
      </w:r>
      <w:r w:rsidR="00B5090C">
        <w:t xml:space="preserve"> </w:t>
      </w:r>
      <w:r w:rsidR="00B5090C" w:rsidRPr="00B5090C">
        <w:rPr>
          <w:color w:val="000000"/>
          <w:w w:val="55"/>
          <w:shd w:val="solid" w:color="000000" w:fill="000000"/>
          <w:fitText w:val="8286" w:id="-1168429566"/>
          <w14:textFill>
            <w14:solidFill>
              <w14:srgbClr w14:val="000000">
                <w14:alpha w14:val="100000"/>
              </w14:srgbClr>
            </w14:solidFill>
          </w14:textFill>
        </w:rPr>
        <w:t>|||||||||||||||||||||||||||||||||||||||||||||||||||||||||||||||||||||||||||||||||||||||||||||||||||||||||||||||||||||||||||||||||||||||</w:t>
      </w:r>
      <w:r w:rsidR="00B5090C" w:rsidRPr="00B5090C">
        <w:rPr>
          <w:color w:val="000000"/>
          <w:spacing w:val="75"/>
          <w:w w:val="55"/>
          <w:shd w:val="solid" w:color="000000" w:fill="000000"/>
          <w:fitText w:val="8286" w:id="-1168429566"/>
          <w14:textFill>
            <w14:solidFill>
              <w14:srgbClr w14:val="000000">
                <w14:alpha w14:val="100000"/>
              </w14:srgbClr>
            </w14:solidFill>
          </w14:textFill>
        </w:rPr>
        <w:t>|</w:t>
      </w:r>
      <w:r w:rsidR="00B5090C">
        <w:t xml:space="preserve"> </w:t>
      </w:r>
      <w:r w:rsidR="00B5090C" w:rsidRPr="00B5090C">
        <w:rPr>
          <w:color w:val="000000"/>
          <w:w w:val="54"/>
          <w:shd w:val="solid" w:color="000000" w:fill="000000"/>
          <w:fitText w:val="8226" w:id="-1168429565"/>
          <w14:textFill>
            <w14:solidFill>
              <w14:srgbClr w14:val="000000">
                <w14:alpha w14:val="100000"/>
              </w14:srgbClr>
            </w14:solidFill>
          </w14:textFill>
        </w:rPr>
        <w:t>|||||||||||||||||||||||||||||||||||||||||||||||||||||||||||||||||||||||||||||||||||||||||||||||||||||||||||||||||||||||||||||||||||||||</w:t>
      </w:r>
      <w:r w:rsidR="00B5090C" w:rsidRPr="00B5090C">
        <w:rPr>
          <w:color w:val="000000"/>
          <w:spacing w:val="147"/>
          <w:w w:val="54"/>
          <w:shd w:val="solid" w:color="000000" w:fill="000000"/>
          <w:fitText w:val="8226" w:id="-1168429565"/>
          <w14:textFill>
            <w14:solidFill>
              <w14:srgbClr w14:val="000000">
                <w14:alpha w14:val="100000"/>
              </w14:srgbClr>
            </w14:solidFill>
          </w14:textFill>
        </w:rPr>
        <w:t>|</w:t>
      </w:r>
      <w:r w:rsidR="00B5090C">
        <w:t xml:space="preserve"> </w:t>
      </w:r>
      <w:r w:rsidR="00B5090C" w:rsidRPr="00B5090C">
        <w:rPr>
          <w:color w:val="000000"/>
          <w:w w:val="65"/>
          <w:shd w:val="solid" w:color="000000" w:fill="000000"/>
          <w:fitText w:val="576" w:id="-1168429564"/>
          <w14:textFill>
            <w14:solidFill>
              <w14:srgbClr w14:val="000000">
                <w14:alpha w14:val="100000"/>
              </w14:srgbClr>
            </w14:solidFill>
          </w14:textFill>
        </w:rPr>
        <w:t>|||||||</w:t>
      </w:r>
      <w:r w:rsidR="00B5090C" w:rsidRPr="00B5090C">
        <w:rPr>
          <w:color w:val="000000"/>
          <w:spacing w:val="5"/>
          <w:w w:val="65"/>
          <w:shd w:val="solid" w:color="000000" w:fill="000000"/>
          <w:fitText w:val="576" w:id="-1168429564"/>
          <w14:textFill>
            <w14:solidFill>
              <w14:srgbClr w14:val="000000">
                <w14:alpha w14:val="100000"/>
              </w14:srgbClr>
            </w14:solidFill>
          </w14:textFill>
        </w:rPr>
        <w:t>|</w:t>
      </w:r>
      <w:r w:rsidR="00B5090C">
        <w:t xml:space="preserve"> </w:t>
      </w:r>
      <w:r w:rsidR="00B5090C" w:rsidRPr="00B5090C">
        <w:rPr>
          <w:color w:val="000000"/>
          <w:w w:val="55"/>
          <w:shd w:val="solid" w:color="000000" w:fill="000000"/>
          <w:fitText w:val="7746" w:id="-1168429563"/>
          <w14:textFill>
            <w14:solidFill>
              <w14:srgbClr w14:val="000000">
                <w14:alpha w14:val="100000"/>
              </w14:srgbClr>
            </w14:solidFill>
          </w14:textFill>
        </w:rPr>
        <w:t>|||||||||||||||||||||||||||||||||||||||||||||||||||||||||||||||||||||||||||||||||||||||||||||||||||||||||||||||||||||||||||||||</w:t>
      </w:r>
      <w:r w:rsidR="00B5090C" w:rsidRPr="00B5090C">
        <w:rPr>
          <w:color w:val="000000"/>
          <w:spacing w:val="18"/>
          <w:w w:val="55"/>
          <w:shd w:val="solid" w:color="000000" w:fill="000000"/>
          <w:fitText w:val="7746" w:id="-1168429563"/>
          <w14:textFill>
            <w14:solidFill>
              <w14:srgbClr w14:val="000000">
                <w14:alpha w14:val="100000"/>
              </w14:srgbClr>
            </w14:solidFill>
          </w14:textFill>
        </w:rPr>
        <w:t>|</w:t>
      </w:r>
    </w:p>
    <w:p w14:paraId="4562C7F1" w14:textId="77777777" w:rsidR="007107FB" w:rsidRPr="009437E3" w:rsidRDefault="007107FB" w:rsidP="007107FB">
      <w:r>
        <w:t>ESC noted that there were further submissions received from a consumer group, transplant unit and professional individuals. These submissions stated that imlifidase treatment will increase equity of access to transplantation for HS patients (but that it would need to be made available to all transplant units and for all HS patients), will improve quality of life and longevity, and could result in future cost savings due to decreased dialysis. However, consultation did note that, if transplantation was not successful in HS patients, it would result in someone else missing out on a donor kidney. The need for long-term monitoring was also noted in the feedback, which would be an additional expense.</w:t>
      </w:r>
    </w:p>
    <w:p w14:paraId="799D4F33" w14:textId="77777777" w:rsidR="007107FB" w:rsidRDefault="007107FB" w:rsidP="007107FB">
      <w:pPr>
        <w:pStyle w:val="NormalBeforeBullet0"/>
      </w:pPr>
      <w:r w:rsidDel="000B26C9">
        <w:t xml:space="preserve">ESC noted that the proposed eligible population are adult patients with EKSD who </w:t>
      </w:r>
      <w:proofErr w:type="gramStart"/>
      <w:r w:rsidDel="000B26C9">
        <w:t>are</w:t>
      </w:r>
      <w:r>
        <w:t xml:space="preserve"> </w:t>
      </w:r>
      <w:r w:rsidDel="000B26C9">
        <w:t>HS</w:t>
      </w:r>
      <w:proofErr w:type="gramEnd"/>
      <w:r w:rsidDel="000B26C9">
        <w:t xml:space="preserve"> and unlikely to be transplanted. Additionally, they must:</w:t>
      </w:r>
    </w:p>
    <w:p w14:paraId="22F451E3" w14:textId="77777777" w:rsidR="007107FB" w:rsidRDefault="007107FB" w:rsidP="007107FB">
      <w:pPr>
        <w:pStyle w:val="NormalBeforeBullet0"/>
        <w:numPr>
          <w:ilvl w:val="0"/>
          <w:numId w:val="35"/>
        </w:numPr>
      </w:pPr>
      <w:r>
        <w:t xml:space="preserve">be active on the DD and/or LD </w:t>
      </w:r>
      <w:proofErr w:type="gramStart"/>
      <w:r>
        <w:t>waitlist</w:t>
      </w:r>
      <w:proofErr w:type="gramEnd"/>
    </w:p>
    <w:p w14:paraId="11F63CC5" w14:textId="77777777" w:rsidR="007107FB" w:rsidRDefault="007107FB" w:rsidP="007107FB">
      <w:pPr>
        <w:pStyle w:val="NormalBeforeBullet0"/>
        <w:numPr>
          <w:ilvl w:val="0"/>
          <w:numId w:val="35"/>
        </w:numPr>
      </w:pPr>
      <w:r>
        <w:t>have a calculated panel-</w:t>
      </w:r>
      <w:r w:rsidRPr="006309F0">
        <w:t>reactive</w:t>
      </w:r>
      <w:r>
        <w:t xml:space="preserve"> antibody (</w:t>
      </w:r>
      <w:proofErr w:type="spellStart"/>
      <w:r>
        <w:t>cPRA</w:t>
      </w:r>
      <w:proofErr w:type="spellEnd"/>
      <w:r>
        <w:t>) test of ≥95%</w:t>
      </w:r>
    </w:p>
    <w:p w14:paraId="2E861A19" w14:textId="77777777" w:rsidR="007107FB" w:rsidRDefault="007107FB" w:rsidP="007107FB">
      <w:pPr>
        <w:pStyle w:val="NormalBeforeBullet0"/>
        <w:numPr>
          <w:ilvl w:val="0"/>
          <w:numId w:val="35"/>
        </w:numPr>
      </w:pPr>
      <w:r>
        <w:t xml:space="preserve">have a positive </w:t>
      </w:r>
      <w:r w:rsidRPr="006309F0">
        <w:t>crossmatch</w:t>
      </w:r>
      <w:r>
        <w:t xml:space="preserve"> against an available </w:t>
      </w:r>
      <w:proofErr w:type="gramStart"/>
      <w:r>
        <w:t>donor</w:t>
      </w:r>
      <w:proofErr w:type="gramEnd"/>
    </w:p>
    <w:p w14:paraId="69A40453" w14:textId="77777777" w:rsidR="007107FB" w:rsidRPr="009A3922" w:rsidRDefault="007107FB" w:rsidP="007107FB">
      <w:pPr>
        <w:pStyle w:val="NormalBeforeBullet0"/>
        <w:numPr>
          <w:ilvl w:val="0"/>
          <w:numId w:val="35"/>
        </w:numPr>
      </w:pPr>
      <w:r>
        <w:t>have been on the donor transplant list for at least one year.</w:t>
      </w:r>
    </w:p>
    <w:p w14:paraId="5446DCC9" w14:textId="77777777" w:rsidR="007107FB" w:rsidRDefault="007107FB" w:rsidP="007107FB">
      <w:r>
        <w:t xml:space="preserve">ESC noted that the comparator was current care, which is the absence of imlifidase and includes remaining on the transplant list and receiving ongoing dialysis until a transplant becomes available, which may or may not occur. If a transplant does become available, it will be at a decreased rate compared to the intervention. ESC noted that the </w:t>
      </w:r>
      <w:r w:rsidRPr="00B97F1C">
        <w:t>comparator</w:t>
      </w:r>
      <w:r>
        <w:t xml:space="preserve"> does not i</w:t>
      </w:r>
      <w:r w:rsidRPr="00B97F1C">
        <w:t>nclude</w:t>
      </w:r>
      <w:r>
        <w:t xml:space="preserve"> </w:t>
      </w:r>
      <w:r w:rsidRPr="00B97F1C">
        <w:t xml:space="preserve">other available </w:t>
      </w:r>
      <w:r>
        <w:t xml:space="preserve">off-label </w:t>
      </w:r>
      <w:r w:rsidRPr="00B97F1C">
        <w:t xml:space="preserve">desensitisation treatments for </w:t>
      </w:r>
      <w:r>
        <w:t xml:space="preserve">LD </w:t>
      </w:r>
      <w:r w:rsidRPr="00B97F1C">
        <w:t>transplantations</w:t>
      </w:r>
      <w:r>
        <w:t xml:space="preserve">. These were not considered an appropriate comparator for the PICO as they are not often offered to patients given their low transplantation success rate (with only a small sub-population expected to respond). </w:t>
      </w:r>
    </w:p>
    <w:p w14:paraId="3D90F5CB" w14:textId="77777777" w:rsidR="007107FB" w:rsidRDefault="007107FB" w:rsidP="007107FB">
      <w:r>
        <w:t>ESC noted that the clinical evidence for the intervention was primarily based on four small Phase II clinical studies of imlifidase. ESC noted that the trial data used for the intervention were from single-arm uncontrolled studies conducted in small, heterogenous populations. Also, in some instances, the other medications used in the trial were not routinely used in Australian practice, which made the generalisability of the trial results to Australian practice uncertain. ESC noted the applicant comment that they are conducting a Phase III post-approval efficacy study. The commentary also identified a possible second Phase III study, and suggested that these two studies could help address evidence gaps and uncertainties when the results become available.</w:t>
      </w:r>
    </w:p>
    <w:p w14:paraId="7D32405D" w14:textId="77777777" w:rsidR="007107FB" w:rsidRDefault="007107FB" w:rsidP="007107FB">
      <w:r>
        <w:t>ESC noted that comparator outcomes were sourced from published Australia and New Zealand Dialysis and Transplant Registry (ANZDATA) kidney replacement therapy outcomes data (from the 44</w:t>
      </w:r>
      <w:r w:rsidRPr="00D377B4">
        <w:t>th</w:t>
      </w:r>
      <w:r>
        <w:t xml:space="preserve"> annual report, published in 2021). ESC noted that, because direct comparative imlifidase studies could not be conducted, the applicant used naïve indirect treatment comparison (ITC) to indirectly compare a relevant subpopulation of patients from the imlifidase studies with the comparator. The applicant assessed the risk of bias of their ITC to be moderate. However, ESC noted that the applicant used the Risk Of Bias In Non-randomised Studies – of Interventions (ROBINS-I) tool to evaluate the risk of bias for both the intervention and comparator studies. However, ESC questioned the use of ROBINS-I in evaluating individual single arm trials of the intervention,</w:t>
      </w:r>
      <w:r w:rsidDel="00F05B9E">
        <w:t xml:space="preserve"> </w:t>
      </w:r>
      <w:r>
        <w:t>ESC considered that ROBINS-I could only be used to evaluate the applicant’s naïve indirect comparison, which likely has a high risk of bias as it does not try to emulate a target trial (for example, through inverse probability of censoring weighting). ESC noted that this assessment aligned with the commentary which also assessed the ITC as likely having high risk of bias.</w:t>
      </w:r>
    </w:p>
    <w:p w14:paraId="0BDC24E7" w14:textId="77777777" w:rsidR="007107FB" w:rsidRDefault="007107FB" w:rsidP="007107FB">
      <w:r>
        <w:t>ESC noted that the imlifidase clinical data were reported for three populations: unlikely to be transplanted – agnostic to source of donor kidney (UTT-A) which is all patients who meet the PICO criteria, inclusive of both LD and DD transplant lists, unlikely to be transplanted (UTT) which is the subset of the PICO defined patients only on the DD transplant list, and all transplanted which is all imlifidase-enabled patients across all studies including those who would not have been eligible for imlifidase under the PICO criteria.</w:t>
      </w:r>
    </w:p>
    <w:p w14:paraId="178061CD" w14:textId="77777777" w:rsidR="007107FB" w:rsidRDefault="007107FB" w:rsidP="007107FB">
      <w:pPr>
        <w:pStyle w:val="NormalBeforeBullet0"/>
      </w:pPr>
      <w:r>
        <w:t>Regarding comparative safety, ESC noted that, out of 54 patients (from all studies):</w:t>
      </w:r>
    </w:p>
    <w:p w14:paraId="3334AB92" w14:textId="77777777" w:rsidR="007107FB" w:rsidRDefault="007107FB" w:rsidP="007107FB">
      <w:pPr>
        <w:pStyle w:val="NormalBeforeBullet0"/>
        <w:numPr>
          <w:ilvl w:val="0"/>
          <w:numId w:val="36"/>
        </w:numPr>
      </w:pPr>
      <w:r>
        <w:t xml:space="preserve">one patient did not receive a transplant following an infusion-related reaction (serious adverse event) with imlifidase that resulted in treatment </w:t>
      </w:r>
      <w:r w:rsidRPr="00A24C49">
        <w:t xml:space="preserve">and study </w:t>
      </w:r>
      <w:proofErr w:type="gramStart"/>
      <w:r w:rsidRPr="00A24C49">
        <w:t>discontinuation</w:t>
      </w:r>
      <w:proofErr w:type="gramEnd"/>
    </w:p>
    <w:p w14:paraId="06A6DF6D" w14:textId="77777777" w:rsidR="007107FB" w:rsidRDefault="007107FB" w:rsidP="007107FB">
      <w:pPr>
        <w:pStyle w:val="Bullet"/>
        <w:numPr>
          <w:ilvl w:val="0"/>
          <w:numId w:val="36"/>
        </w:numPr>
        <w:spacing w:before="0"/>
      </w:pPr>
      <w:r w:rsidRPr="00A24C49">
        <w:t>one patient experienced graft failure and decided to not co</w:t>
      </w:r>
      <w:r>
        <w:t xml:space="preserve">mplete the </w:t>
      </w:r>
      <w:proofErr w:type="gramStart"/>
      <w:r>
        <w:t>study</w:t>
      </w:r>
      <w:proofErr w:type="gramEnd"/>
    </w:p>
    <w:p w14:paraId="11EA5772" w14:textId="019A4411" w:rsidR="007107FB" w:rsidRDefault="007107FB" w:rsidP="007107FB">
      <w:pPr>
        <w:pStyle w:val="BulletLast"/>
        <w:numPr>
          <w:ilvl w:val="0"/>
          <w:numId w:val="36"/>
        </w:numPr>
      </w:pPr>
      <w:r>
        <w:t>one patient who was not transplanted in the first study was transplanted in a later study.</w:t>
      </w:r>
    </w:p>
    <w:p w14:paraId="662973FF" w14:textId="77777777" w:rsidR="007107FB" w:rsidRPr="00483410" w:rsidRDefault="007107FB" w:rsidP="005B0EFB">
      <w:pPr>
        <w:pStyle w:val="Bullet"/>
        <w:numPr>
          <w:ilvl w:val="0"/>
          <w:numId w:val="0"/>
        </w:numPr>
        <w:spacing w:before="0"/>
        <w:rPr>
          <w:rFonts w:ascii="Franklin Gothic Book" w:hAnsi="Franklin Gothic Book"/>
        </w:rPr>
      </w:pPr>
      <w:r w:rsidRPr="00483410">
        <w:rPr>
          <w:rFonts w:ascii="Franklin Gothic Book" w:hAnsi="Franklin Gothic Book"/>
        </w:rPr>
        <w:t xml:space="preserve">Regarding comparative effectiveness, ESC noted </w:t>
      </w:r>
      <w:proofErr w:type="gramStart"/>
      <w:r w:rsidRPr="00483410">
        <w:rPr>
          <w:rFonts w:ascii="Franklin Gothic Book" w:hAnsi="Franklin Gothic Book"/>
        </w:rPr>
        <w:t>that</w:t>
      </w:r>
      <w:proofErr w:type="gramEnd"/>
      <w:r w:rsidRPr="00483410">
        <w:rPr>
          <w:rFonts w:ascii="Franklin Gothic Book" w:hAnsi="Franklin Gothic Book"/>
        </w:rPr>
        <w:t xml:space="preserve"> </w:t>
      </w:r>
    </w:p>
    <w:p w14:paraId="5F53F7B1" w14:textId="77777777" w:rsidR="007107FB" w:rsidRDefault="007107FB" w:rsidP="007107FB">
      <w:pPr>
        <w:pStyle w:val="ListParagraph"/>
        <w:numPr>
          <w:ilvl w:val="0"/>
          <w:numId w:val="33"/>
        </w:numPr>
      </w:pPr>
      <w:r>
        <w:t xml:space="preserve">all patients (albeit a small group) showed crossmatch conversion; although it appeared that that one patient had not converted, this was deemed to be clinically insignificant, and transplantation went ahead. </w:t>
      </w:r>
    </w:p>
    <w:p w14:paraId="33523D62" w14:textId="77777777" w:rsidR="007107FB" w:rsidRDefault="007107FB" w:rsidP="007107FB">
      <w:pPr>
        <w:pStyle w:val="ListParagraph"/>
        <w:numPr>
          <w:ilvl w:val="0"/>
          <w:numId w:val="33"/>
        </w:numPr>
      </w:pPr>
      <w:r>
        <w:t xml:space="preserve">all UTT and UTT-A patients had </w:t>
      </w:r>
      <w:proofErr w:type="spellStart"/>
      <w:r>
        <w:t>cPRA</w:t>
      </w:r>
      <w:proofErr w:type="spellEnd"/>
      <w:r>
        <w:t xml:space="preserve"> ≥95% and were transplanted. In the absence of imlifidase, it was estimated that 24 of the 25 UTT patients (96%) had &lt;1% compatible donors in the </w:t>
      </w:r>
      <w:proofErr w:type="spellStart"/>
      <w:r>
        <w:t>Eurotransplant</w:t>
      </w:r>
      <w:proofErr w:type="spellEnd"/>
      <w:r>
        <w:t xml:space="preserve"> database. ESC noted that the applicant stated that Australian data would be similar, but the commentary argued that it may not be; for example, 43.6% of patients on the Australian DD waitlist with </w:t>
      </w:r>
      <w:proofErr w:type="spellStart"/>
      <w:r>
        <w:t>cPRA</w:t>
      </w:r>
      <w:proofErr w:type="spellEnd"/>
      <w:r>
        <w:t xml:space="preserve"> 95–98% are transplanted in the first year.</w:t>
      </w:r>
    </w:p>
    <w:p w14:paraId="7509AAA5" w14:textId="77777777" w:rsidR="007107FB" w:rsidRDefault="007107FB" w:rsidP="007107FB">
      <w:r>
        <w:t>ESC noted that patient survival was good up until six months after imlifidase treatment and transplantation. ESC noted that while three patients died between 6–12 months, to the knowledge of the applicant, there is no reason to assume that any death was related to imlifidase treatment, or due to kidney malfunction. The applicant also stated that the survival estimates were applicable to an Australian population based on overall survival in transplant patients in Australia being better than the US and similar to Sweden (the two countries where almost all the trial participants were based). The commentary agreed that it is reasonable to apply these results to an Australian population.</w:t>
      </w:r>
    </w:p>
    <w:p w14:paraId="0EE4782D" w14:textId="77777777" w:rsidR="007107FB" w:rsidRDefault="007107FB" w:rsidP="007107FB">
      <w:r>
        <w:t>Regarding graft survival, ESC noted that, in the all-transplanted patients, three (7%) patients lost their grafts during the six-month study period. The commentary agreed with the applicant that the results were applicable to the Australian population, based on graft survival in transplant patients in Australia being better than the US (where most trial patients were).</w:t>
      </w:r>
    </w:p>
    <w:p w14:paraId="6DE3101D" w14:textId="77777777" w:rsidR="007107FB" w:rsidRDefault="007107FB" w:rsidP="007107FB">
      <w:r>
        <w:t>Regarding graft rejection over time due to antibody-mediated rejection (AMR), ESC noted that AMRs were reported in 10 patients in the UTT-A and UTT populations, and all were successfully treated using standard therapies. ESC noted that the applicant considered this to be a safety consideration rather than an efficacy outcome. Imlifidase aims to avoid hyperacute rejection and is not expected to impact other rejection events. ESC noted that the commentary accepted that rates of AMR from the UTT-A subgroup (30%) were broadly consistent with the variable frequency of HS patients reported by the European Medicines Agency (12–61%); however, it was still unclear how generalisable these data are to an Australian population.</w:t>
      </w:r>
    </w:p>
    <w:p w14:paraId="3AEE2A76" w14:textId="77777777" w:rsidR="007107FB" w:rsidRDefault="007107FB" w:rsidP="007107FB">
      <w:r>
        <w:t>ESC noted that the applicant reported that kidney function (by glomerular filtration rate) was “satisfactory” at six months for most patients. However, the commentary noted that the definition of “satisfactory kidney function” was unclear. For delayed graft function (DGF), ESC noted that the applicant stated that the incidence of DGF can vary greatly among centres, from 3.2% to 63.3%. The applicant stated that one US study found that the duration of DGF, rather than the occurrence of DGF, was associated with graft survival, and the applicant cited expert opinion that the duration of DGF was shorter in Australia than the US (where most of the trial participants were). However, no justification was provided for this.</w:t>
      </w:r>
    </w:p>
    <w:p w14:paraId="5DDFC982" w14:textId="77777777" w:rsidR="007107FB" w:rsidRPr="00A74CC3" w:rsidRDefault="007107FB" w:rsidP="007107FB">
      <w:r>
        <w:t>ESC noted that health-related quality of life (</w:t>
      </w:r>
      <w:proofErr w:type="spellStart"/>
      <w:r>
        <w:t>HRQoL</w:t>
      </w:r>
      <w:proofErr w:type="spellEnd"/>
      <w:r>
        <w:t xml:space="preserve">) was not collected in the trials. ESC noted that both the five-level European Quality of Life (EQ-5D-5L) and the short-form Kidney Disease Quality of Life Questionnaire (KDWOL-SF 1.3) improved over time in participants, but data were available for only a few patients. </w:t>
      </w:r>
    </w:p>
    <w:p w14:paraId="6D42557E" w14:textId="1631EAAA" w:rsidR="007107FB" w:rsidRDefault="007107FB" w:rsidP="007107FB">
      <w:r>
        <w:t>ESC noted the clinical claim that the use of imlifidase results in superior effectiveness and at least non-inferior safety compared with current care in the absence of imlifidase. ESC noted that the commentary considered that the efficacy evidence sufficiently supported the superior-effectiveness claim. However, ESC considered there was uncertainty in comparative effectiveness and the applicability of the evidence to the Australian HS treatment population, with small patient numbers and a high risk of bias. ESC also considered the claim of at least non-inferior safety to be uncertain. Both the applicant-developed assessment report (ADAR) and the commentary noted that assessing the adverse effect profile is difficult, given that patients in both arms experienced adverse events of different types and frequencies. Moreover, obtaining long-term data on graft survival can be challenging, as it requires ongoing monitoring of patients over many years and may be subject to various confounding factors.</w:t>
      </w:r>
      <w:r w:rsidRPr="006D6BC7">
        <w:t xml:space="preserve"> </w:t>
      </w:r>
      <w:r>
        <w:t>ESC noted that t</w:t>
      </w:r>
      <w:r w:rsidRPr="006D6BC7">
        <w:t>he applicant is conducting a Phase 3 Post Approval Efficacy Study</w:t>
      </w:r>
      <w:r>
        <w:t xml:space="preserve"> and the c</w:t>
      </w:r>
      <w:r w:rsidRPr="006D6BC7">
        <w:t xml:space="preserve">ommentary identified a possible </w:t>
      </w:r>
      <w:r>
        <w:t>second</w:t>
      </w:r>
      <w:r w:rsidRPr="006D6BC7">
        <w:t xml:space="preserve"> Phase 3 study</w:t>
      </w:r>
      <w:r>
        <w:t xml:space="preserve">. ESC noted the commentary’s view that </w:t>
      </w:r>
      <w:r w:rsidRPr="006D6BC7">
        <w:t>these</w:t>
      </w:r>
      <w:r>
        <w:t xml:space="preserve"> two </w:t>
      </w:r>
      <w:r w:rsidRPr="006D6BC7">
        <w:t>studies could help address evidence gaps and uncertainties</w:t>
      </w:r>
      <w:r>
        <w:t>.</w:t>
      </w:r>
    </w:p>
    <w:p w14:paraId="24D6B7BD" w14:textId="77777777" w:rsidR="007107FB" w:rsidRDefault="007107FB" w:rsidP="007107FB">
      <w:r>
        <w:t xml:space="preserve">ESC noted that the economic evaluation was a model-based cost-utility analysis (CUA) using a lifetime time horizon (initial age of 47 years) and a Markov model with four health states. ESC noted that in the model, graft survival and the transition from dialysis to functioning graft (hence leading to the avoidance of dialysis costs for the HS population) is what drives the outcomes in determining the incremental cost effectiveness ratio.  </w:t>
      </w:r>
    </w:p>
    <w:p w14:paraId="5C5395F7" w14:textId="246913D8" w:rsidR="007107FB" w:rsidRDefault="007107FB" w:rsidP="007107FB">
      <w:pPr>
        <w:pStyle w:val="NormalBeforeBullet0"/>
      </w:pPr>
      <w:r>
        <w:t>ESC considered the</w:t>
      </w:r>
      <w:r w:rsidDel="0017786C">
        <w:t xml:space="preserve"> </w:t>
      </w:r>
      <w:r>
        <w:t>model structure (health states included in the model) to be appropriate. The model included the possibility of not converting all patients into negative crossmatch after imlifidase (not all patients receive a transplant), the possibility of transplant in the comparator arm, and a health state “dialysis – not waitlisted” that allows some patients who are no longer fit for transplant to be removed from the transplant lists. However, the base case ICER heavily relied on several uncertain assumptions in the model:</w:t>
      </w:r>
    </w:p>
    <w:p w14:paraId="0DAD0970" w14:textId="77777777" w:rsidR="007107FB" w:rsidRPr="005B3F03" w:rsidRDefault="007107FB" w:rsidP="007107FB">
      <w:pPr>
        <w:pStyle w:val="Bullet"/>
        <w:numPr>
          <w:ilvl w:val="0"/>
          <w:numId w:val="37"/>
        </w:numPr>
        <w:spacing w:before="0"/>
        <w:rPr>
          <w:rFonts w:ascii="Franklin Gothic Book" w:hAnsi="Franklin Gothic Book"/>
        </w:rPr>
      </w:pPr>
      <w:r w:rsidRPr="005B3F03">
        <w:rPr>
          <w:rFonts w:ascii="Franklin Gothic Book" w:hAnsi="Franklin Gothic Book"/>
        </w:rPr>
        <w:t>The model assumed that, for every patient transplanted with an LD following imlifidase treatment, six other LD-waitlisted patients would also be transplanted; this was based on expert opinion and assumes the creation of a donation chain for co-transplant patients.</w:t>
      </w:r>
    </w:p>
    <w:p w14:paraId="424FC5F5" w14:textId="77777777" w:rsidR="007107FB" w:rsidRPr="005B3F03" w:rsidRDefault="007107FB" w:rsidP="007107FB">
      <w:pPr>
        <w:pStyle w:val="Bullet"/>
        <w:numPr>
          <w:ilvl w:val="0"/>
          <w:numId w:val="37"/>
        </w:numPr>
        <w:spacing w:before="0"/>
        <w:rPr>
          <w:rFonts w:ascii="Franklin Gothic Book" w:hAnsi="Franklin Gothic Book"/>
        </w:rPr>
      </w:pPr>
      <w:r w:rsidRPr="005B3F03">
        <w:rPr>
          <w:rFonts w:ascii="Franklin Gothic Book" w:hAnsi="Franklin Gothic Book"/>
        </w:rPr>
        <w:t>The model was designed to estimate cost offsets in the intervention arm due to reduced dialysis, but it ignores the potential impact of opportunity costs (in favour of the proposed intervention). Kidneys are scarce resources, with demand that exceeds supply; any kidney used with imlifidase could have potentially been used for patients outside of the target population (on the transplant waitlist), with cost savings from avoiding dialysis.</w:t>
      </w:r>
    </w:p>
    <w:p w14:paraId="096A31A8" w14:textId="77777777" w:rsidR="007107FB" w:rsidRPr="005B3F03" w:rsidRDefault="007107FB" w:rsidP="007107FB">
      <w:pPr>
        <w:pStyle w:val="BulletLast"/>
        <w:numPr>
          <w:ilvl w:val="0"/>
          <w:numId w:val="37"/>
        </w:numPr>
      </w:pPr>
      <w:r w:rsidRPr="005B3F03">
        <w:t>The model considered the impacts on incremental health outcomes – that is, considering benefits for HS patients treated with imlifidase (transition to the functioning graft state), but did not consider the incremental outcomes associated with providing the donor kidney to another patient on the waitlist.</w:t>
      </w:r>
    </w:p>
    <w:p w14:paraId="49FFB1DA" w14:textId="77777777" w:rsidR="007107FB" w:rsidRDefault="007107FB" w:rsidP="007107FB">
      <w:r>
        <w:t xml:space="preserve">ESC noted that these uncertainties and in particular the one relating to the potential impact of opportunity costs are not typically discussed in an economic evaluation but are of relevance here because of the inability of the supply of donor kidneys to match demand. </w:t>
      </w:r>
    </w:p>
    <w:p w14:paraId="7156DE65" w14:textId="77777777" w:rsidR="007107FB" w:rsidRDefault="007107FB" w:rsidP="007107FB">
      <w:r>
        <w:t xml:space="preserve">ESC considered that, without further evidence and analysis, the potential impact of these model structuring issues and assumptions on the ICER was unclear but potentially may lead to an underestimated ICER (as discussed further below). ESC noted that the kidney allocation scenario in the economic model could be conceptualised as a ‘queuing’ problem in the sense that with or without imlifidase, there would always be patients queueing for a kidney (though there would be a shorter queueing time for HS patients) without a significant expansion in the supply of donor kidneys. </w:t>
      </w:r>
    </w:p>
    <w:p w14:paraId="2C9EBF9B" w14:textId="14042EDD" w:rsidR="007107FB" w:rsidRDefault="007107FB" w:rsidP="007107FB">
      <w:r>
        <w:t xml:space="preserve">ESC noted that, for the model inputs for imlifidase, key data (such as graft survival and survival rates) came from parametric extrapolations of the pooled clinical trial data. The data from the all-transplanted population (n=46 patients), included patients with a </w:t>
      </w:r>
      <w:proofErr w:type="spellStart"/>
      <w:r>
        <w:t>cPRA</w:t>
      </w:r>
      <w:proofErr w:type="spellEnd"/>
      <w:r>
        <w:t xml:space="preserve"> &lt;95% (28% of patients) or a negative crossmatch (15%) who would not be eligible for imlifidase treatment in accordance with the PICO. ESC considered that the UTT-A population (n=30 patients) was the closest match to the target population, so, although a smaller group than the all-transplanted population, would be the most appropriate for use in the economic evaluation. ESC considered the main limitations associated with the observed incremental clinical benefits in the model-based evaluation were the quality of the imlifidase trials and the uncertainty in the indirect comparison.</w:t>
      </w:r>
    </w:p>
    <w:p w14:paraId="61295AF9" w14:textId="77777777" w:rsidR="007107FB" w:rsidRDefault="007107FB" w:rsidP="007107FB">
      <w:r>
        <w:t>ESC also considered there to be uncertainty around the probability of transplant without imlifidase – this was estimated to be 5% based on clinician expert opinion, but ESC considered this to likely be an underestimate (in favour of the intervention) as a higher rate of HS patients are transplanted through the Australia and New Zealand Paired Kidney Exchange (for instance 19.6% of HS patients in year 2 according to the commentary). Regarding the current care inputs, ESC was concerned about the heterogeneity between populations, which makes comparisons subject to confounding.</w:t>
      </w:r>
    </w:p>
    <w:p w14:paraId="0A93EF1B" w14:textId="77777777" w:rsidR="007107FB" w:rsidRPr="00C62491" w:rsidRDefault="007107FB" w:rsidP="007107FB">
      <w:r>
        <w:t>ESC noted that the utility values were sourced from the age- and gender-dependent health utilities (EQ-5D-5L) in a randomly selected community sample in South Australia (adjusted with utility decrements). The commentary noted that the health state utility decrement values used in the model were derived from a targeted literature review and not adequately justified. However, ESC acknowledged that the utility values did not have a big impact on the ICER.</w:t>
      </w:r>
    </w:p>
    <w:p w14:paraId="6848A0D1" w14:textId="5B0E7E9F" w:rsidR="007107FB" w:rsidRDefault="007107FB" w:rsidP="007107FB">
      <w:r>
        <w:t>ESC noted that the main driver of incremental cost in the economic model was the total cost of imlifidase, based on a weighted cost of the number of vials (per kilogram) and number of doses ($</w:t>
      </w:r>
      <w:r w:rsidR="000474F9" w:rsidRPr="000474F9">
        <w:rPr>
          <w:color w:val="000000"/>
          <w:w w:val="63"/>
          <w:shd w:val="solid" w:color="000000" w:fill="000000"/>
          <w:fitText w:val="696" w:id="-1175806464"/>
          <w14:textFill>
            <w14:solidFill>
              <w14:srgbClr w14:val="000000">
                <w14:alpha w14:val="100000"/>
              </w14:srgbClr>
            </w14:solidFill>
          </w14:textFill>
        </w:rPr>
        <w:t>||||||||||</w:t>
      </w:r>
      <w:r>
        <w:t>), plus the cost of prior Luminex testing and co-medication ($</w:t>
      </w:r>
      <w:r w:rsidR="000474F9" w:rsidRPr="000474F9">
        <w:rPr>
          <w:color w:val="000000"/>
          <w:w w:val="63"/>
          <w:shd w:val="solid" w:color="000000" w:fill="000000"/>
          <w:fitText w:val="696" w:id="-1175806463"/>
          <w14:textFill>
            <w14:solidFill>
              <w14:srgbClr w14:val="000000">
                <w14:alpha w14:val="100000"/>
              </w14:srgbClr>
            </w14:solidFill>
          </w14:textFill>
        </w:rPr>
        <w:t>||||||||||</w:t>
      </w:r>
      <w:r>
        <w:t xml:space="preserve">/patient/lifetime). </w:t>
      </w:r>
    </w:p>
    <w:p w14:paraId="454E731A" w14:textId="7DBE9F17" w:rsidR="007107FB" w:rsidRDefault="007107FB" w:rsidP="007107FB">
      <w:r>
        <w:t>ESC noted that the base case ICER was $</w:t>
      </w:r>
      <w:r w:rsidR="00C66010" w:rsidRPr="00C66010">
        <w:rPr>
          <w:color w:val="000000"/>
          <w:w w:val="65"/>
          <w:shd w:val="solid" w:color="000000" w:fill="000000"/>
          <w:fitText w:val="576" w:id="-1175805440"/>
          <w14:textFill>
            <w14:solidFill>
              <w14:srgbClr w14:val="000000">
                <w14:alpha w14:val="100000"/>
              </w14:srgbClr>
            </w14:solidFill>
          </w14:textFill>
        </w:rPr>
        <w:t>||||||||</w:t>
      </w:r>
      <w:r w:rsidR="00C66010">
        <w:t xml:space="preserve"> </w:t>
      </w:r>
      <w:r>
        <w:t>per quality-adjusted life year (QALY) gained. ESC noted that the submission conducted a range of deterministic sensitivity analyses. The variables with the biggest impact on the ICER were the number of co-transplants in a donation chain when imlifidase is used, and the cost of dialysis (i.e. the micro costing approach compared to using Kidney Health Australia inflation adjusted costs).</w:t>
      </w:r>
    </w:p>
    <w:p w14:paraId="6DA28BFA" w14:textId="343D4A28" w:rsidR="007107FB" w:rsidRDefault="007107FB" w:rsidP="007107FB">
      <w:pPr>
        <w:pStyle w:val="NormalBeforeBullet0"/>
      </w:pPr>
      <w:r>
        <w:t>ESC considered that, because of the substantial uncertainty around the model inputs and assumptions, a relatively conservative approach should be used in the base-case analysis. ESC considered the following conservative approaches and their effect on the ICER:</w:t>
      </w:r>
    </w:p>
    <w:p w14:paraId="0FE0E65E" w14:textId="4937D048" w:rsidR="007107FB" w:rsidRPr="00035465" w:rsidRDefault="007107FB" w:rsidP="007107FB">
      <w:pPr>
        <w:pStyle w:val="Bullet"/>
        <w:numPr>
          <w:ilvl w:val="0"/>
          <w:numId w:val="38"/>
        </w:numPr>
        <w:spacing w:before="0"/>
        <w:rPr>
          <w:rFonts w:ascii="Franklin Gothic Book" w:hAnsi="Franklin Gothic Book"/>
        </w:rPr>
      </w:pPr>
      <w:r w:rsidRPr="00035465">
        <w:rPr>
          <w:rFonts w:ascii="Franklin Gothic Book" w:hAnsi="Franklin Gothic Book"/>
        </w:rPr>
        <w:t>Using a higher probability of transplant without imlifidase (based on the average transplant rate from the Australia and New Zealand Paired Kidney Exchange over years 2–6) results in an ICER of $</w:t>
      </w:r>
      <w:r w:rsidR="00C66010" w:rsidRPr="00C66010">
        <w:rPr>
          <w:rFonts w:ascii="Franklin Gothic Book" w:hAnsi="Franklin Gothic Book"/>
          <w:color w:val="000000"/>
          <w:shd w:val="solid" w:color="000000" w:fill="000000"/>
          <w14:textFill>
            <w14:solidFill>
              <w14:srgbClr w14:val="000000">
                <w14:alpha w14:val="100000"/>
              </w14:srgbClr>
            </w14:solidFill>
          </w14:textFill>
        </w:rPr>
        <w:t>|</w:t>
      </w:r>
      <w:r w:rsidR="00C66010">
        <w:rPr>
          <w:rFonts w:ascii="Franklin Gothic Book" w:hAnsi="Franklin Gothic Book"/>
        </w:rPr>
        <w:t xml:space="preserve"> </w:t>
      </w:r>
      <w:r w:rsidRPr="00035465">
        <w:rPr>
          <w:rFonts w:ascii="Franklin Gothic Book" w:hAnsi="Franklin Gothic Book"/>
        </w:rPr>
        <w:t>per QALY gained.</w:t>
      </w:r>
    </w:p>
    <w:p w14:paraId="41F25108" w14:textId="386C6D67" w:rsidR="007107FB" w:rsidRPr="00035465" w:rsidRDefault="007107FB" w:rsidP="007107FB">
      <w:pPr>
        <w:pStyle w:val="Bullet"/>
        <w:numPr>
          <w:ilvl w:val="0"/>
          <w:numId w:val="38"/>
        </w:numPr>
        <w:spacing w:before="0"/>
        <w:rPr>
          <w:rFonts w:ascii="Franklin Gothic Book" w:hAnsi="Franklin Gothic Book"/>
        </w:rPr>
      </w:pPr>
      <w:r w:rsidRPr="00035465">
        <w:rPr>
          <w:rFonts w:ascii="Franklin Gothic Book" w:hAnsi="Franklin Gothic Book"/>
        </w:rPr>
        <w:t>Excluding the assumption that for every patient transplanted with an LD following imlifidase treatment, there would be six other LD-waitlisted co-transplant patients results in an ICER of $</w:t>
      </w:r>
      <w:r w:rsidR="00C66010" w:rsidRPr="00C66010">
        <w:rPr>
          <w:rFonts w:ascii="Franklin Gothic Book" w:hAnsi="Franklin Gothic Book"/>
          <w:color w:val="000000"/>
          <w:shd w:val="solid" w:color="000000" w:fill="000000"/>
          <w14:textFill>
            <w14:solidFill>
              <w14:srgbClr w14:val="000000">
                <w14:alpha w14:val="100000"/>
              </w14:srgbClr>
            </w14:solidFill>
          </w14:textFill>
        </w:rPr>
        <w:t>|</w:t>
      </w:r>
      <w:r w:rsidR="00C66010">
        <w:rPr>
          <w:rFonts w:ascii="Franklin Gothic Book" w:hAnsi="Franklin Gothic Book"/>
        </w:rPr>
        <w:t xml:space="preserve"> </w:t>
      </w:r>
      <w:r w:rsidRPr="00035465">
        <w:rPr>
          <w:rFonts w:ascii="Franklin Gothic Book" w:hAnsi="Franklin Gothic Book"/>
        </w:rPr>
        <w:t>per QALY gained.</w:t>
      </w:r>
    </w:p>
    <w:p w14:paraId="081B722E" w14:textId="72B162FA" w:rsidR="007107FB" w:rsidRPr="00035465" w:rsidRDefault="007107FB" w:rsidP="007107FB">
      <w:pPr>
        <w:pStyle w:val="Bullet"/>
        <w:numPr>
          <w:ilvl w:val="0"/>
          <w:numId w:val="38"/>
        </w:numPr>
        <w:spacing w:before="0"/>
        <w:rPr>
          <w:rFonts w:ascii="Franklin Gothic Book" w:hAnsi="Franklin Gothic Book"/>
        </w:rPr>
      </w:pPr>
      <w:r w:rsidRPr="00035465">
        <w:rPr>
          <w:rFonts w:ascii="Franklin Gothic Book" w:hAnsi="Franklin Gothic Book"/>
        </w:rPr>
        <w:t>Adjusting for both these variables results in an ICER of $</w:t>
      </w:r>
      <w:r w:rsidR="000F2166" w:rsidRPr="000F2166">
        <w:rPr>
          <w:rFonts w:ascii="Franklin Gothic Book" w:hAnsi="Franklin Gothic Book"/>
          <w:color w:val="000000"/>
          <w:w w:val="65"/>
          <w:shd w:val="solid" w:color="000000" w:fill="000000"/>
          <w:fitText w:val="216" w:id="-1168415744"/>
          <w14:textFill>
            <w14:solidFill>
              <w14:srgbClr w14:val="000000">
                <w14:alpha w14:val="100000"/>
              </w14:srgbClr>
            </w14:solidFill>
          </w14:textFill>
        </w:rPr>
        <w:t>|||</w:t>
      </w:r>
      <w:r w:rsidR="000F2166">
        <w:rPr>
          <w:rFonts w:ascii="Franklin Gothic Book" w:hAnsi="Franklin Gothic Book"/>
        </w:rPr>
        <w:t xml:space="preserve"> </w:t>
      </w:r>
      <w:r w:rsidRPr="00035465">
        <w:rPr>
          <w:rFonts w:ascii="Franklin Gothic Book" w:hAnsi="Franklin Gothic Book"/>
        </w:rPr>
        <w:t>per QALY gained.</w:t>
      </w:r>
    </w:p>
    <w:p w14:paraId="1FF8131F" w14:textId="38A8B612" w:rsidR="007107FB" w:rsidRPr="00035465" w:rsidRDefault="007107FB" w:rsidP="007107FB">
      <w:pPr>
        <w:pStyle w:val="BulletLast"/>
        <w:numPr>
          <w:ilvl w:val="0"/>
          <w:numId w:val="38"/>
        </w:numPr>
      </w:pPr>
      <w:r w:rsidRPr="00035465">
        <w:t>Using the UTT-A population and also adjusting for all variables in the economic analysis results in an ICER of $</w:t>
      </w:r>
      <w:r w:rsidR="00C66010" w:rsidRPr="00C66010">
        <w:rPr>
          <w:shd w:val="solid" w:color="000000" w:fill="000000"/>
          <w14:textFill>
            <w14:solidFill>
              <w14:srgbClr w14:val="000000">
                <w14:alpha w14:val="100000"/>
              </w14:srgbClr>
            </w14:solidFill>
          </w14:textFill>
        </w:rPr>
        <w:t>|</w:t>
      </w:r>
      <w:r w:rsidR="00C66010">
        <w:t xml:space="preserve"> </w:t>
      </w:r>
      <w:r w:rsidRPr="00035465">
        <w:t>per QALY gained.</w:t>
      </w:r>
    </w:p>
    <w:p w14:paraId="0B025FE3" w14:textId="53FA4FF9" w:rsidR="007107FB" w:rsidRDefault="007107FB" w:rsidP="007107FB">
      <w:r>
        <w:t>ESC also noted that omitting cost offsets associated with reductions in the provision of dialysis facilitated by imlifidase (for the reasons discussed previously i.e. because of the opportunity costs to the non-HS population) results in an ICER of $</w:t>
      </w:r>
      <w:r w:rsidR="00C66010" w:rsidRPr="00C66010">
        <w:rPr>
          <w:color w:val="000000"/>
          <w:w w:val="63"/>
          <w:shd w:val="solid" w:color="000000" w:fill="000000"/>
          <w:fitText w:val="696" w:id="-1175805184"/>
          <w14:textFill>
            <w14:solidFill>
              <w14:srgbClr w14:val="000000">
                <w14:alpha w14:val="100000"/>
              </w14:srgbClr>
            </w14:solidFill>
          </w14:textFill>
        </w:rPr>
        <w:t>||||||||||</w:t>
      </w:r>
      <w:r w:rsidR="00C66010">
        <w:t xml:space="preserve"> </w:t>
      </w:r>
      <w:r>
        <w:t>per QALY gained.</w:t>
      </w:r>
    </w:p>
    <w:p w14:paraId="75252FD9" w14:textId="322D8D23" w:rsidR="007107FB" w:rsidRDefault="007107FB" w:rsidP="007107FB">
      <w:r>
        <w:t>ESC noted that an epidemiological approach was used to determine financial impacts. The net financial impact in the ADAR ranged from a cost of $</w:t>
      </w:r>
      <w:r w:rsidR="007F67A4" w:rsidRPr="007F67A4">
        <w:rPr>
          <w:color w:val="000000"/>
          <w:w w:val="70"/>
          <w:shd w:val="solid" w:color="000000" w:fill="000000"/>
          <w:fitText w:val="312" w:id="-1175805183"/>
          <w14:textFill>
            <w14:solidFill>
              <w14:srgbClr w14:val="000000">
                <w14:alpha w14:val="100000"/>
              </w14:srgbClr>
            </w14:solidFill>
          </w14:textFill>
        </w:rPr>
        <w:t>||||</w:t>
      </w:r>
      <w:r w:rsidR="007F67A4">
        <w:t> </w:t>
      </w:r>
      <w:r>
        <w:t>million in year 1 to a saving of $</w:t>
      </w:r>
      <w:r w:rsidR="007F67A4" w:rsidRPr="007F67A4">
        <w:rPr>
          <w:color w:val="000000"/>
          <w:w w:val="70"/>
          <w:shd w:val="solid" w:color="000000" w:fill="000000"/>
          <w:fitText w:val="312" w:id="-1175805182"/>
          <w14:textFill>
            <w14:solidFill>
              <w14:srgbClr w14:val="000000">
                <w14:alpha w14:val="100000"/>
              </w14:srgbClr>
            </w14:solidFill>
          </w14:textFill>
        </w:rPr>
        <w:t>||||</w:t>
      </w:r>
      <w:r w:rsidR="007F67A4">
        <w:t> </w:t>
      </w:r>
      <w:r>
        <w:t>million in year 6, which was driven by dialysis-related cost savings. ESC considered that this may be an overestimate due to uncertainty in the uptake rate and the likelihood of dialysis-related cost savings not being fully realised by the Australian healthcare system. ESC noted that, if cost savings were not realised, the average budget impact would be approximately $</w:t>
      </w:r>
      <w:r w:rsidR="007F67A4" w:rsidRPr="007F67A4">
        <w:rPr>
          <w:color w:val="000000"/>
          <w:spacing w:val="1"/>
          <w:w w:val="59"/>
          <w:shd w:val="solid" w:color="000000" w:fill="000000"/>
          <w:fitText w:val="792" w:id="-1175805181"/>
          <w14:textFill>
            <w14:solidFill>
              <w14:srgbClr w14:val="000000">
                <w14:alpha w14:val="100000"/>
              </w14:srgbClr>
            </w14:solidFill>
          </w14:textFill>
        </w:rPr>
        <w:t>|||||||||||</w:t>
      </w:r>
      <w:r w:rsidR="007F67A4" w:rsidRPr="007F67A4">
        <w:rPr>
          <w:color w:val="000000"/>
          <w:spacing w:val="2"/>
          <w:w w:val="59"/>
          <w:shd w:val="solid" w:color="000000" w:fill="000000"/>
          <w:fitText w:val="792" w:id="-1175805181"/>
          <w14:textFill>
            <w14:solidFill>
              <w14:srgbClr w14:val="000000">
                <w14:alpha w14:val="100000"/>
              </w14:srgbClr>
            </w14:solidFill>
          </w14:textFill>
        </w:rPr>
        <w:t>|</w:t>
      </w:r>
      <w:r>
        <w:t>/year from 2024 to 2029.</w:t>
      </w:r>
    </w:p>
    <w:p w14:paraId="2EA9945D" w14:textId="77777777" w:rsidR="007107FB" w:rsidRDefault="007107FB" w:rsidP="007107FB">
      <w:r>
        <w:t xml:space="preserve">ESC considered that, </w:t>
      </w:r>
      <w:bookmarkStart w:id="33" w:name="_Hlk138255555"/>
      <w:r>
        <w:t>in the absence of better data and studies, there was a potential role for a risk-sharing agreement, price reduction and full review of clinical effectiveness, cost-effectiveness and budget impact when longer-term data become available</w:t>
      </w:r>
      <w:bookmarkEnd w:id="33"/>
      <w:r>
        <w:t>. ESC noted that, in the pre-ESC response, the applicant discussed a plan for long-term studies to monitor graft survival.</w:t>
      </w:r>
    </w:p>
    <w:p w14:paraId="3AAD896E" w14:textId="77777777" w:rsidR="007107FB" w:rsidRDefault="007107FB" w:rsidP="007107FB">
      <w:r>
        <w:t>ESC considered that there were also several implementation issues. The eligibility criteria and the DD kidney allocation algorithm would need to be updated by the Renal Transplant Advisory Committee (RTAC) of the Transplantation Society of Australia and New Zealand (TSANZ) if imlifidase is supported, and this will require time and consultation. There is also a need to consider the availability of trained specialists, specialised treatment centres and other specialised services, including rapid provision and reporting of donor-specific antibody testing, which is provided by Lifeblood. Based on expert opinion from the ADAR, only seven transplant centres are currently able to undertake desensitisation. Finally, there is a need to establish mechanisms for ongoing data collection both pre and post implementation, potentially through ANZDATA.</w:t>
      </w:r>
    </w:p>
    <w:p w14:paraId="2E7E0C0A" w14:textId="77777777" w:rsidR="007107FB" w:rsidRPr="00FF631E" w:rsidRDefault="007107FB" w:rsidP="007107FB">
      <w:pPr>
        <w:pStyle w:val="NormalBeforeBullet0"/>
      </w:pPr>
      <w:r>
        <w:t>ESC also noted that there were several ethical issues to consider with this application and in particular the equity versus utility trade-off:</w:t>
      </w:r>
    </w:p>
    <w:p w14:paraId="34A0B59F" w14:textId="77777777" w:rsidR="007107FB" w:rsidRPr="00FF631E" w:rsidRDefault="007107FB" w:rsidP="007107FB">
      <w:pPr>
        <w:pStyle w:val="Bullet"/>
        <w:numPr>
          <w:ilvl w:val="0"/>
          <w:numId w:val="39"/>
        </w:numPr>
        <w:spacing w:before="0"/>
        <w:rPr>
          <w:rFonts w:ascii="Franklin Gothic Book" w:hAnsi="Franklin Gothic Book"/>
        </w:rPr>
      </w:pPr>
      <w:r w:rsidRPr="00FF631E">
        <w:rPr>
          <w:rFonts w:ascii="Franklin Gothic Book" w:hAnsi="Franklin Gothic Book"/>
        </w:rPr>
        <w:t xml:space="preserve">On the one hand, imlifidase may increase equity in access to transplantation for HS patients who otherwise may be unlikely to undergo transplantation; these include people who need re-transplantation, people who have been pregnant and First Nations people. </w:t>
      </w:r>
    </w:p>
    <w:p w14:paraId="14647460" w14:textId="77777777" w:rsidR="007107FB" w:rsidRPr="00FF631E" w:rsidRDefault="007107FB" w:rsidP="007107FB">
      <w:pPr>
        <w:pStyle w:val="BulletLast"/>
        <w:numPr>
          <w:ilvl w:val="0"/>
          <w:numId w:val="39"/>
        </w:numPr>
        <w:rPr>
          <w:rFonts w:cstheme="minorHAnsi"/>
        </w:rPr>
      </w:pPr>
      <w:r w:rsidRPr="00FF631E">
        <w:rPr>
          <w:rFonts w:cstheme="minorHAnsi"/>
        </w:rPr>
        <w:t xml:space="preserve">On the other hand, as already noted in the context of the economic modelling, because DD kidney numbers are already fully utilised and imlifidase does not result in a net increase in DD kidney transplantations, more non-sensitised patients would remain on the DD waitlist and on dialysis if there is increased access to DD transplantations for HS patients. There may also be poorer incremental outcomes associated with kidney transplants to the HS population. Therefore overall the increased access to DD transplantations for HS patients facilitated by imlifidase may result in a possible decreased overall utility for the population. The state and territory submissions agree; New South Wales and Victoria noted the risk of organ rejection due to immune recovery, while South Australia and Western Australia noted that increased cold </w:t>
      </w:r>
      <w:r>
        <w:rPr>
          <w:rFonts w:cstheme="minorHAnsi"/>
        </w:rPr>
        <w:t xml:space="preserve">ischaemic </w:t>
      </w:r>
      <w:r w:rsidRPr="00FF631E">
        <w:rPr>
          <w:rFonts w:cstheme="minorHAnsi"/>
        </w:rPr>
        <w:t>time (especially if two infusions are needed) may lead to poorer outcomes. The pre-ESC response stated that the impact for non-sensitised patients in allocating a kidney to a HS patient is most likely to be a non-substantial delay, not a denied kidney transplantation, and that imlifidase enabled kidney transplantation for HS patients who demonstrate graft survival outcomes similar to other patient populations routinely transplanted.</w:t>
      </w:r>
    </w:p>
    <w:p w14:paraId="6CD131A8" w14:textId="77777777" w:rsidR="007107FB" w:rsidRDefault="007107FB" w:rsidP="007107FB">
      <w:r>
        <w:t>ESC therefore considered that the intervention would be more impactful if there was a surplus of kidneys, and the only way to increase supply was through the LD pool, which would require targeted campaigns. However, data were uncertain for LDs, and patients on LD waitlists had other treatment options.</w:t>
      </w:r>
    </w:p>
    <w:p w14:paraId="0D575860" w14:textId="77777777" w:rsidR="00C10E88" w:rsidRDefault="00C10E88" w:rsidP="00C10E88">
      <w:pPr>
        <w:pStyle w:val="Heading2"/>
        <w:numPr>
          <w:ilvl w:val="0"/>
          <w:numId w:val="0"/>
        </w:numPr>
      </w:pPr>
      <w:r>
        <w:t>17.</w:t>
      </w:r>
      <w:r>
        <w:tab/>
        <w:t>Applicant comments on MSAC’s Public Summary Document</w:t>
      </w:r>
    </w:p>
    <w:p w14:paraId="48B8862E" w14:textId="1F9A4EA0" w:rsidR="003C6006" w:rsidRDefault="003C6006" w:rsidP="003C6006">
      <w:r w:rsidRPr="005A04E6">
        <w:t xml:space="preserve">There is a clinical unmet need for highly sensitised Australian patients to be able to receive donor kidneys and move off dialysis. Kidney Transplant Specialists were supportive of this application, making Idefirix available to those unable to be transplanted despite being on the waiting list substantially longer than patients who are not highly sensitised. Current kidney organ allocation in Australia balances equity of access with the potential utility of the organ for most patients. However, some patients that are highly sensitised are still left with no option and remain on dialysis which has significant impact on patients’ morbidity, mortality and quality of life. Imlifidase helps enable equity of access to the standard of care, kidney transplantation, to a small number of highly sensitised patients identified within the eligibility criteria of the ratified PICO population agreed by the PICO Advisory Sub Committee (PASC). </w:t>
      </w:r>
      <w:r>
        <w:t xml:space="preserve">The applicant contends </w:t>
      </w:r>
      <w:r w:rsidRPr="005A04E6">
        <w:t xml:space="preserve">Imlifidase is a cost-effective treatment for the specific population receiving an </w:t>
      </w:r>
      <w:r>
        <w:t>imlifidase</w:t>
      </w:r>
      <w:r w:rsidRPr="005A04E6">
        <w:t xml:space="preserve"> enabled transplantation. If clinical decision making for kidney organ allocation was aligned with MSAC preferred model scenarios focussed on spill-over effects, higher risk patients such as the diabetics and older patients would </w:t>
      </w:r>
      <w:r>
        <w:t>seldom</w:t>
      </w:r>
      <w:r w:rsidRPr="005A04E6">
        <w:t xml:space="preserve"> be transplanted, which would challenge equity principles established by the Australian organ allocation system. Hansa Biopharma remains aligned with the conclusions of the PASC within the ratified PICO “</w:t>
      </w:r>
      <w:r w:rsidRPr="00F15035">
        <w:rPr>
          <w:i/>
          <w:iCs/>
        </w:rPr>
        <w:t xml:space="preserve">PASC agreed [that as such these] off-label desensitisation regimens were not an appropriate comparator for imlifidase”. </w:t>
      </w:r>
      <w:r w:rsidRPr="005A04E6">
        <w:t xml:space="preserve">Hansa Biopharma remains fully committed to continue engaging with MSAC and the Australian transplant community to ensure Australian patients </w:t>
      </w:r>
      <w:r>
        <w:t>have public funding for</w:t>
      </w:r>
      <w:r w:rsidRPr="005A04E6">
        <w:t xml:space="preserve"> Idefirix.</w:t>
      </w:r>
    </w:p>
    <w:p w14:paraId="17B5B961" w14:textId="77777777" w:rsidR="00C10E88" w:rsidRDefault="00C10E88" w:rsidP="00C10E88">
      <w:pPr>
        <w:pStyle w:val="Heading2"/>
        <w:numPr>
          <w:ilvl w:val="0"/>
          <w:numId w:val="0"/>
        </w:numPr>
      </w:pPr>
      <w:r>
        <w:t>18.</w:t>
      </w:r>
      <w:r>
        <w:tab/>
        <w:t>Further information on MSAC</w:t>
      </w:r>
    </w:p>
    <w:p w14:paraId="692CBA9A" w14:textId="79BB01E8" w:rsidR="007107FB" w:rsidRPr="00C10E88" w:rsidRDefault="00C10E88" w:rsidP="00C10E88">
      <w:pPr>
        <w:pStyle w:val="BodyText"/>
        <w:rPr>
          <w:b/>
          <w:bCs/>
          <w:i/>
          <w:iCs/>
        </w:rPr>
      </w:pPr>
      <w:r w:rsidRPr="00F309FA">
        <w:rPr>
          <w:bCs/>
          <w:iCs/>
        </w:rPr>
        <w:t xml:space="preserve">MSAC Terms of Reference and other information are available on the MSAC Website: </w:t>
      </w:r>
      <w:hyperlink r:id="rId18" w:tooltip="Link to the MSAC website" w:history="1">
        <w:r w:rsidRPr="00F309FA">
          <w:rPr>
            <w:rStyle w:val="Hyperlink"/>
            <w:bCs/>
            <w:iCs/>
          </w:rPr>
          <w:t>visit the MSAC website</w:t>
        </w:r>
      </w:hyperlink>
    </w:p>
    <w:sectPr w:rsidR="007107FB" w:rsidRPr="00C10E88" w:rsidSect="00697A82">
      <w:footerReference w:type="even"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A609" w14:textId="77777777" w:rsidR="009F5FBA" w:rsidRDefault="009F5FBA" w:rsidP="00B62DF2">
      <w:pPr>
        <w:spacing w:after="0" w:line="240" w:lineRule="auto"/>
      </w:pPr>
      <w:r>
        <w:separator/>
      </w:r>
    </w:p>
  </w:endnote>
  <w:endnote w:type="continuationSeparator" w:id="0">
    <w:p w14:paraId="75DD2B72" w14:textId="77777777" w:rsidR="009F5FBA" w:rsidRDefault="009F5FBA" w:rsidP="00B62DF2">
      <w:pPr>
        <w:spacing w:after="0" w:line="240" w:lineRule="auto"/>
      </w:pPr>
      <w:r>
        <w:continuationSeparator/>
      </w:r>
    </w:p>
  </w:endnote>
  <w:endnote w:type="continuationNotice" w:id="1">
    <w:p w14:paraId="536AF098" w14:textId="77777777" w:rsidR="009F5FBA" w:rsidRDefault="009F5F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522F" w14:textId="77777777" w:rsidR="00460A03" w:rsidRDefault="00460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3135"/>
      <w:docPartObj>
        <w:docPartGallery w:val="Page Numbers (Bottom of Page)"/>
        <w:docPartUnique/>
      </w:docPartObj>
    </w:sdtPr>
    <w:sdtEndPr>
      <w:rPr>
        <w:noProof/>
      </w:rPr>
    </w:sdtEndPr>
    <w:sdtContent>
      <w:p w14:paraId="46B5965A" w14:textId="6E082DD5" w:rsidR="00FD4529" w:rsidRDefault="00FD4529" w:rsidP="00A7114B">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1EA6" w14:textId="77777777" w:rsidR="00460A03" w:rsidRDefault="00460A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9A58" w14:textId="26FCFD7C" w:rsidR="00D76AFE" w:rsidRDefault="00D76AFE" w:rsidP="002B180F">
    <w:pPr>
      <w:pStyle w:val="Footer"/>
      <w:tabs>
        <w:tab w:val="clear" w:pos="4513"/>
        <w:tab w:val="center" w:pos="3828"/>
      </w:tabs>
      <w:jc w:val="right"/>
    </w:pPr>
    <w:r>
      <w:fldChar w:fldCharType="begin"/>
    </w:r>
    <w:r>
      <w:instrText xml:space="preserve"> PAGE   \* MERGEFORMAT </w:instrText>
    </w:r>
    <w:r>
      <w:fldChar w:fldCharType="separate"/>
    </w:r>
    <w:r>
      <w:rPr>
        <w:noProof/>
      </w:rPr>
      <w:t>22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238048"/>
      <w:docPartObj>
        <w:docPartGallery w:val="Page Numbers (Bottom of Page)"/>
        <w:docPartUnique/>
      </w:docPartObj>
    </w:sdtPr>
    <w:sdtEndPr>
      <w:rPr>
        <w:noProof/>
      </w:rPr>
    </w:sdtEndPr>
    <w:sdtContent>
      <w:p w14:paraId="61B4E157" w14:textId="53C24F86" w:rsidR="00FD4529" w:rsidRDefault="00FD4529" w:rsidP="002B180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1457" w14:textId="77777777" w:rsidR="009F5FBA" w:rsidRDefault="009F5FBA" w:rsidP="00B62DF2">
      <w:pPr>
        <w:spacing w:after="0" w:line="240" w:lineRule="auto"/>
      </w:pPr>
      <w:r>
        <w:separator/>
      </w:r>
    </w:p>
  </w:footnote>
  <w:footnote w:type="continuationSeparator" w:id="0">
    <w:p w14:paraId="234A184C" w14:textId="77777777" w:rsidR="009F5FBA" w:rsidRDefault="009F5FBA" w:rsidP="00B62DF2">
      <w:pPr>
        <w:spacing w:after="0" w:line="240" w:lineRule="auto"/>
      </w:pPr>
      <w:r>
        <w:continuationSeparator/>
      </w:r>
    </w:p>
  </w:footnote>
  <w:footnote w:type="continuationNotice" w:id="1">
    <w:p w14:paraId="57F40718" w14:textId="77777777" w:rsidR="009F5FBA" w:rsidRDefault="009F5FBA">
      <w:pPr>
        <w:spacing w:before="0" w:after="0" w:line="240" w:lineRule="auto"/>
      </w:pPr>
    </w:p>
  </w:footnote>
  <w:footnote w:id="2">
    <w:p w14:paraId="0DA6058F" w14:textId="3D69533A" w:rsidR="00EB637B" w:rsidRDefault="00EB637B">
      <w:pPr>
        <w:pStyle w:val="FootnoteText"/>
      </w:pPr>
      <w:r>
        <w:rPr>
          <w:rStyle w:val="FootnoteReference"/>
        </w:rPr>
        <w:footnoteRef/>
      </w:r>
      <w:r>
        <w:t xml:space="preserve"> </w:t>
      </w:r>
      <w:r w:rsidR="00987CFB" w:rsidRPr="00987CFB">
        <w:t>E</w:t>
      </w:r>
      <w:r w:rsidR="00987CFB">
        <w:t xml:space="preserve">uropean </w:t>
      </w:r>
      <w:r w:rsidR="00987CFB" w:rsidRPr="00987CFB">
        <w:t>M</w:t>
      </w:r>
      <w:r w:rsidR="00987CFB">
        <w:t xml:space="preserve">edicines </w:t>
      </w:r>
      <w:r w:rsidR="00987CFB" w:rsidRPr="00987CFB">
        <w:t>A</w:t>
      </w:r>
      <w:r w:rsidR="00987CFB">
        <w:t>gency</w:t>
      </w:r>
      <w:r w:rsidR="00987CFB" w:rsidRPr="00987CFB">
        <w:t>. 2020. Imlifidase - Summary of product characteristics (SmPC) and European public assessment report (EPAR) [Online]. https://www.ema.europa.eu/en/documents/product-information/idefirix-epar-product-information_en.pdf. Available: https://www.ema.europa.eu/en/documents/product-information/idefirix-epar-product-information_en.pdf [Accessed May 2022]</w:t>
      </w:r>
    </w:p>
  </w:footnote>
  <w:footnote w:id="3">
    <w:p w14:paraId="6D75427D" w14:textId="443A5A33" w:rsidR="00510E8C" w:rsidRDefault="00510E8C">
      <w:pPr>
        <w:pStyle w:val="FootnoteText"/>
      </w:pPr>
      <w:r>
        <w:rPr>
          <w:rStyle w:val="FootnoteReference"/>
        </w:rPr>
        <w:footnoteRef/>
      </w:r>
      <w:r>
        <w:t xml:space="preserve"> </w:t>
      </w:r>
      <w:r w:rsidR="005B0E74" w:rsidRPr="005B0E74">
        <w:t xml:space="preserve">Jordan SC, </w:t>
      </w:r>
      <w:r w:rsidR="000B770B">
        <w:t xml:space="preserve">et al. </w:t>
      </w:r>
      <w:r w:rsidR="009661A0">
        <w:t>(2017). ‘I</w:t>
      </w:r>
      <w:r w:rsidR="00C65DCD">
        <w:t>g</w:t>
      </w:r>
      <w:r w:rsidR="005B0E74" w:rsidRPr="005B0E74">
        <w:t>G Endopeptidase in Highly Sensitized Patients Undergoing Transplantation.</w:t>
      </w:r>
      <w:r w:rsidR="007E23F1">
        <w:t xml:space="preserve">’ </w:t>
      </w:r>
      <w:r w:rsidR="005B0E74" w:rsidRPr="005B0E74">
        <w:t xml:space="preserve"> </w:t>
      </w:r>
      <w:r w:rsidR="005B0E74" w:rsidRPr="00035465">
        <w:rPr>
          <w:i/>
          <w:iCs/>
        </w:rPr>
        <w:t>N</w:t>
      </w:r>
      <w:r w:rsidR="007E23F1" w:rsidRPr="00035465">
        <w:rPr>
          <w:i/>
          <w:iCs/>
        </w:rPr>
        <w:t>ew</w:t>
      </w:r>
      <w:r w:rsidR="005B0E74" w:rsidRPr="00035465">
        <w:rPr>
          <w:i/>
          <w:iCs/>
        </w:rPr>
        <w:t xml:space="preserve"> Engl</w:t>
      </w:r>
      <w:r w:rsidR="007E23F1" w:rsidRPr="00035465">
        <w:rPr>
          <w:i/>
          <w:iCs/>
        </w:rPr>
        <w:t xml:space="preserve">and </w:t>
      </w:r>
      <w:r w:rsidR="005B0E74" w:rsidRPr="00035465">
        <w:rPr>
          <w:i/>
          <w:iCs/>
        </w:rPr>
        <w:t xml:space="preserve"> J</w:t>
      </w:r>
      <w:r w:rsidR="007E23F1" w:rsidRPr="00035465">
        <w:rPr>
          <w:i/>
          <w:iCs/>
        </w:rPr>
        <w:t xml:space="preserve">ournal of </w:t>
      </w:r>
      <w:r w:rsidR="005B0E74" w:rsidRPr="00035465">
        <w:rPr>
          <w:i/>
          <w:iCs/>
        </w:rPr>
        <w:t>Med</w:t>
      </w:r>
      <w:r w:rsidR="007E23F1" w:rsidRPr="00035465">
        <w:rPr>
          <w:i/>
          <w:iCs/>
        </w:rPr>
        <w:t>icine</w:t>
      </w:r>
      <w:r w:rsidR="004D0B3E">
        <w:t xml:space="preserve">, </w:t>
      </w:r>
      <w:r w:rsidR="005B0E74" w:rsidRPr="005B0E74">
        <w:t>377(5):442-453.</w:t>
      </w:r>
    </w:p>
  </w:footnote>
  <w:footnote w:id="4">
    <w:p w14:paraId="397E843A" w14:textId="0FAA945C" w:rsidR="00C65DCD" w:rsidRDefault="00C65DCD">
      <w:pPr>
        <w:pStyle w:val="FootnoteText"/>
      </w:pPr>
      <w:r>
        <w:rPr>
          <w:rStyle w:val="FootnoteReference"/>
        </w:rPr>
        <w:footnoteRef/>
      </w:r>
      <w:r>
        <w:t xml:space="preserve"> </w:t>
      </w:r>
      <w:r w:rsidR="00D50CE1">
        <w:t xml:space="preserve">Sypek </w:t>
      </w:r>
      <w:r w:rsidR="00D50CE1" w:rsidRPr="00D50CE1">
        <w:t xml:space="preserve">MP, </w:t>
      </w:r>
      <w:r w:rsidR="00D50CE1">
        <w:t>et al. (</w:t>
      </w:r>
      <w:r w:rsidR="00D50CE1" w:rsidRPr="00D50CE1">
        <w:t>2021</w:t>
      </w:r>
      <w:r w:rsidR="005670B3">
        <w:t>)</w:t>
      </w:r>
      <w:r w:rsidR="00D50CE1" w:rsidRPr="00D50CE1">
        <w:t xml:space="preserve">. </w:t>
      </w:r>
      <w:r w:rsidR="005670B3">
        <w:t>‘</w:t>
      </w:r>
      <w:r w:rsidR="00D50CE1" w:rsidRPr="00D50CE1">
        <w:t>The Introduction of cPRA and Its Impact on Access to Deceased Donor Kidney Transplantation for Highly Sensitized Patients in Australia.</w:t>
      </w:r>
      <w:r w:rsidR="005670B3">
        <w:t>’</w:t>
      </w:r>
      <w:r w:rsidR="00D50CE1" w:rsidRPr="00D50CE1">
        <w:t xml:space="preserve"> </w:t>
      </w:r>
      <w:r w:rsidR="00D50CE1" w:rsidRPr="00035465">
        <w:rPr>
          <w:i/>
          <w:iCs/>
        </w:rPr>
        <w:t>Transplantation</w:t>
      </w:r>
      <w:r w:rsidR="00D50CE1" w:rsidRPr="00D50CE1">
        <w:t>, 105</w:t>
      </w:r>
      <w:r w:rsidR="005670B3">
        <w:t xml:space="preserve">: </w:t>
      </w:r>
      <w:r w:rsidR="00D50CE1" w:rsidRPr="00D50CE1">
        <w:t>1317-1325</w:t>
      </w:r>
    </w:p>
  </w:footnote>
  <w:footnote w:id="5">
    <w:p w14:paraId="421BABAB" w14:textId="1E7A5929" w:rsidR="006B13BA" w:rsidRDefault="006B13BA">
      <w:pPr>
        <w:pStyle w:val="FootnoteText"/>
      </w:pPr>
      <w:r>
        <w:rPr>
          <w:rStyle w:val="FootnoteReference"/>
        </w:rPr>
        <w:footnoteRef/>
      </w:r>
      <w:r>
        <w:t xml:space="preserve"> </w:t>
      </w:r>
      <w:r w:rsidR="005B4C62" w:rsidRPr="005B4C62">
        <w:t>M</w:t>
      </w:r>
      <w:r w:rsidR="005B4C62">
        <w:t>erion</w:t>
      </w:r>
      <w:r w:rsidR="005B4C62" w:rsidRPr="005B4C62">
        <w:t xml:space="preserve"> RM, </w:t>
      </w:r>
      <w:r w:rsidR="005B4C62">
        <w:t>et al. (</w:t>
      </w:r>
      <w:r w:rsidR="005B4C62" w:rsidRPr="005B4C62">
        <w:t>2018</w:t>
      </w:r>
      <w:r w:rsidR="005B4C62">
        <w:t>)</w:t>
      </w:r>
      <w:r w:rsidR="005B4C62" w:rsidRPr="005B4C62">
        <w:t xml:space="preserve">. </w:t>
      </w:r>
      <w:r w:rsidR="005B4C62">
        <w:t>‘</w:t>
      </w:r>
      <w:r w:rsidR="005B4C62" w:rsidRPr="005B4C62">
        <w:t>Kidney transplant graft outcomes in 379 257 recipients on 3 continents.</w:t>
      </w:r>
      <w:r w:rsidR="005B4C62" w:rsidRPr="00035465">
        <w:rPr>
          <w:i/>
          <w:iCs/>
        </w:rPr>
        <w:t>’ American Journal of  Transplantation</w:t>
      </w:r>
      <w:r w:rsidR="005B4C62" w:rsidRPr="005B4C62">
        <w:t>, 18</w:t>
      </w:r>
      <w:r w:rsidR="005B4C62">
        <w:t xml:space="preserve">: </w:t>
      </w:r>
      <w:r w:rsidR="005B4C62" w:rsidRPr="005B4C62">
        <w:t>1914-1923.</w:t>
      </w:r>
    </w:p>
  </w:footnote>
  <w:footnote w:id="6">
    <w:p w14:paraId="31C77189" w14:textId="36235594" w:rsidR="00B13359" w:rsidRDefault="00B13359">
      <w:pPr>
        <w:pStyle w:val="FootnoteText"/>
      </w:pPr>
      <w:r>
        <w:rPr>
          <w:rStyle w:val="FootnoteReference"/>
        </w:rPr>
        <w:footnoteRef/>
      </w:r>
      <w:r>
        <w:t xml:space="preserve"> </w:t>
      </w:r>
      <w:r w:rsidR="00985660" w:rsidRPr="00985660">
        <w:t>O</w:t>
      </w:r>
      <w:r w:rsidR="00985660">
        <w:t xml:space="preserve">randi </w:t>
      </w:r>
      <w:r w:rsidR="00985660" w:rsidRPr="00985660">
        <w:t xml:space="preserve">BJ, </w:t>
      </w:r>
      <w:r w:rsidR="00985660">
        <w:t>et al. (</w:t>
      </w:r>
      <w:r w:rsidR="00985660" w:rsidRPr="00985660">
        <w:t>2015</w:t>
      </w:r>
      <w:r w:rsidR="00985660">
        <w:t>)</w:t>
      </w:r>
      <w:r w:rsidR="00985660" w:rsidRPr="00985660">
        <w:t xml:space="preserve">. </w:t>
      </w:r>
      <w:r w:rsidR="00985660">
        <w:t>‘</w:t>
      </w:r>
      <w:r w:rsidR="00985660" w:rsidRPr="00985660">
        <w:t>Center-level variation in the development of delayed graft function after deceased donor kidney transplantation.</w:t>
      </w:r>
      <w:r w:rsidR="00985660">
        <w:t>’</w:t>
      </w:r>
      <w:r w:rsidR="00FD30B4">
        <w:t xml:space="preserve"> </w:t>
      </w:r>
      <w:r w:rsidR="00985660" w:rsidRPr="00035465">
        <w:rPr>
          <w:i/>
          <w:iCs/>
        </w:rPr>
        <w:t>Transplantation</w:t>
      </w:r>
      <w:r w:rsidR="00985660" w:rsidRPr="00985660">
        <w:t>, 99</w:t>
      </w:r>
      <w:r w:rsidR="00FD30B4">
        <w:t xml:space="preserve">: </w:t>
      </w:r>
      <w:r w:rsidR="00985660" w:rsidRPr="00985660">
        <w:t>997-1002.</w:t>
      </w:r>
    </w:p>
  </w:footnote>
  <w:footnote w:id="7">
    <w:p w14:paraId="328F6B67" w14:textId="65AC5D33" w:rsidR="007D3C0F" w:rsidRDefault="007D3C0F">
      <w:pPr>
        <w:pStyle w:val="FootnoteText"/>
      </w:pPr>
      <w:r>
        <w:rPr>
          <w:rStyle w:val="FootnoteReference"/>
        </w:rPr>
        <w:footnoteRef/>
      </w:r>
      <w:r>
        <w:t xml:space="preserve"> </w:t>
      </w:r>
      <w:r w:rsidR="00E45138">
        <w:t>Budhiraja, P. et al</w:t>
      </w:r>
      <w:r w:rsidR="00E45138" w:rsidRPr="00E45138">
        <w:t xml:space="preserve">. </w:t>
      </w:r>
      <w:r w:rsidR="00E45138">
        <w:t>(</w:t>
      </w:r>
      <w:r w:rsidR="00E45138" w:rsidRPr="00E45138">
        <w:t>2022</w:t>
      </w:r>
      <w:r w:rsidR="00A3299E">
        <w:t>)</w:t>
      </w:r>
      <w:r w:rsidR="00E45138" w:rsidRPr="00E45138">
        <w:t xml:space="preserve">. </w:t>
      </w:r>
      <w:r w:rsidR="00A3299E">
        <w:t>‘</w:t>
      </w:r>
      <w:r w:rsidR="00E45138" w:rsidRPr="00E45138">
        <w:t>Duration of delayed graft function and its impact on graft outcomes in deceased donor kidney transplantation.</w:t>
      </w:r>
      <w:r w:rsidR="00A3299E">
        <w:t>’</w:t>
      </w:r>
      <w:r w:rsidR="00E45138" w:rsidRPr="00E45138">
        <w:t xml:space="preserve"> </w:t>
      </w:r>
      <w:r w:rsidR="00E45138" w:rsidRPr="00035465">
        <w:rPr>
          <w:i/>
          <w:iCs/>
        </w:rPr>
        <w:t>BMC Nephrology</w:t>
      </w:r>
      <w:r w:rsidR="00EB18FD">
        <w:rPr>
          <w:i/>
          <w:iCs/>
        </w:rPr>
        <w:t>,</w:t>
      </w:r>
      <w:r w:rsidR="00E45138" w:rsidRPr="00E45138">
        <w:t xml:space="preserve"> 23</w:t>
      </w:r>
      <w:r w:rsidR="00A3299E">
        <w:t xml:space="preserve">: </w:t>
      </w:r>
      <w:r w:rsidR="00E45138" w:rsidRPr="00E45138">
        <w:t>154.</w:t>
      </w:r>
    </w:p>
  </w:footnote>
  <w:footnote w:id="8">
    <w:p w14:paraId="066501F5" w14:textId="40F3FC70" w:rsidR="00547720" w:rsidRDefault="00547720">
      <w:pPr>
        <w:pStyle w:val="FootnoteText"/>
      </w:pPr>
      <w:r>
        <w:rPr>
          <w:rStyle w:val="FootnoteReference"/>
        </w:rPr>
        <w:footnoteRef/>
      </w:r>
      <w:r>
        <w:t xml:space="preserve"> </w:t>
      </w:r>
      <w:r w:rsidR="0033799A" w:rsidRPr="0033799A">
        <w:t>S</w:t>
      </w:r>
      <w:r w:rsidR="0033799A">
        <w:t>ypek MP,  et al. (</w:t>
      </w:r>
      <w:r w:rsidR="0033799A" w:rsidRPr="0033799A">
        <w:t>2022</w:t>
      </w:r>
      <w:r w:rsidR="0033799A">
        <w:t>)</w:t>
      </w:r>
      <w:r w:rsidR="0033799A" w:rsidRPr="0033799A">
        <w:t xml:space="preserve">. </w:t>
      </w:r>
      <w:r w:rsidR="0033799A">
        <w:t>‘</w:t>
      </w:r>
      <w:r w:rsidR="0033799A" w:rsidRPr="0033799A">
        <w:t>Healthcare professional and community preferences in deceased donor kidney allocation: A best-worst scaling survey.</w:t>
      </w:r>
      <w:r w:rsidR="0033799A">
        <w:t>’</w:t>
      </w:r>
      <w:r w:rsidR="0033799A" w:rsidRPr="0033799A">
        <w:t xml:space="preserve"> </w:t>
      </w:r>
      <w:r w:rsidR="0033799A" w:rsidRPr="00035465">
        <w:rPr>
          <w:i/>
          <w:iCs/>
        </w:rPr>
        <w:t>American Journal of  Transplantation</w:t>
      </w:r>
      <w:r w:rsidR="0033799A" w:rsidRPr="0033799A">
        <w:t>, 22</w:t>
      </w:r>
      <w:r w:rsidR="00EB18FD">
        <w:t xml:space="preserve">: </w:t>
      </w:r>
      <w:r w:rsidR="0033799A" w:rsidRPr="0033799A">
        <w:t xml:space="preserve"> 886-897</w:t>
      </w:r>
      <w:r w:rsidR="00EB18FD">
        <w:t>.</w:t>
      </w:r>
    </w:p>
  </w:footnote>
  <w:footnote w:id="9">
    <w:p w14:paraId="00565046" w14:textId="1918B20C" w:rsidR="00ED4FC6" w:rsidRDefault="00ED4FC6">
      <w:pPr>
        <w:pStyle w:val="FootnoteText"/>
      </w:pPr>
      <w:r>
        <w:rPr>
          <w:rStyle w:val="FootnoteReference"/>
        </w:rPr>
        <w:footnoteRef/>
      </w:r>
      <w:r>
        <w:t xml:space="preserve"> </w:t>
      </w:r>
      <w:r w:rsidR="00877DF7" w:rsidRPr="00877DF7">
        <w:t>Cooper, J.T.,</w:t>
      </w:r>
      <w:r w:rsidR="00877DF7">
        <w:t xml:space="preserve"> et al.</w:t>
      </w:r>
      <w:r w:rsidR="00877DF7" w:rsidRPr="00877DF7">
        <w:t xml:space="preserve"> (2020). </w:t>
      </w:r>
      <w:r w:rsidR="00877DF7">
        <w:t>‘</w:t>
      </w:r>
      <w:r w:rsidR="00877DF7" w:rsidRPr="00877DF7">
        <w:t>Health related quality of life utility weights for economic evaluation through different stages of chronic kidney disease: a systematic literature review.</w:t>
      </w:r>
      <w:r w:rsidR="00877DF7">
        <w:t>’</w:t>
      </w:r>
      <w:r w:rsidR="00877DF7" w:rsidRPr="00877DF7">
        <w:t xml:space="preserve"> </w:t>
      </w:r>
      <w:r w:rsidR="00877DF7" w:rsidRPr="00035465">
        <w:rPr>
          <w:i/>
          <w:iCs/>
        </w:rPr>
        <w:t>Health</w:t>
      </w:r>
      <w:r w:rsidR="00267C9F">
        <w:rPr>
          <w:i/>
          <w:iCs/>
        </w:rPr>
        <w:t xml:space="preserve"> and</w:t>
      </w:r>
      <w:r w:rsidR="00877DF7" w:rsidRPr="00035465">
        <w:rPr>
          <w:i/>
          <w:iCs/>
        </w:rPr>
        <w:t xml:space="preserve"> Qual</w:t>
      </w:r>
      <w:r w:rsidR="00267C9F">
        <w:rPr>
          <w:i/>
          <w:iCs/>
        </w:rPr>
        <w:t>ity of</w:t>
      </w:r>
      <w:r w:rsidR="00877DF7" w:rsidRPr="00035465">
        <w:rPr>
          <w:i/>
          <w:iCs/>
        </w:rPr>
        <w:t xml:space="preserve"> Life Outcomes</w:t>
      </w:r>
      <w:r w:rsidR="00877DF7" w:rsidRPr="00877DF7">
        <w:t xml:space="preserve"> 18(1): 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D92C" w14:textId="77777777" w:rsidR="00460A03" w:rsidRDefault="00460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A35B" w14:textId="77777777" w:rsidR="00460A03" w:rsidRDefault="00460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A7AE" w14:textId="77777777" w:rsidR="00460A03" w:rsidRDefault="0046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640"/>
    <w:multiLevelType w:val="hybridMultilevel"/>
    <w:tmpl w:val="E6EEF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2787E"/>
    <w:multiLevelType w:val="hybridMultilevel"/>
    <w:tmpl w:val="8D1AB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429E5"/>
    <w:multiLevelType w:val="hybridMultilevel"/>
    <w:tmpl w:val="0656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DC0BAC"/>
    <w:multiLevelType w:val="hybridMultilevel"/>
    <w:tmpl w:val="E74CE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5C0E"/>
    <w:multiLevelType w:val="hybridMultilevel"/>
    <w:tmpl w:val="392A4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5010C"/>
    <w:multiLevelType w:val="hybridMultilevel"/>
    <w:tmpl w:val="D3B4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433EAF"/>
    <w:multiLevelType w:val="hybridMultilevel"/>
    <w:tmpl w:val="EC10D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A616A"/>
    <w:multiLevelType w:val="hybridMultilevel"/>
    <w:tmpl w:val="A4DC2D8E"/>
    <w:lvl w:ilvl="0" w:tplc="6CFED9DE">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C4E2B"/>
    <w:multiLevelType w:val="hybridMultilevel"/>
    <w:tmpl w:val="F730A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BED5D83"/>
    <w:multiLevelType w:val="hybridMultilevel"/>
    <w:tmpl w:val="623AB768"/>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532117"/>
    <w:multiLevelType w:val="hybridMultilevel"/>
    <w:tmpl w:val="2DDA6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119CA"/>
    <w:multiLevelType w:val="hybridMultilevel"/>
    <w:tmpl w:val="3BEC5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C2819"/>
    <w:multiLevelType w:val="hybridMultilevel"/>
    <w:tmpl w:val="4A5041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numFmt w:val="none"/>
      <w:pStyle w:val="Heading2"/>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漀(耗萏 萑ﺘ葞 葠ﺘ䩏"/>
      <w:lvlJc w:val="left"/>
      <w:rPr>
        <w:rFonts w:ascii="Symbol" w:hAnsi="Wingdings" w:cs="Wingdings"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38CB7987"/>
    <w:multiLevelType w:val="hybridMultilevel"/>
    <w:tmpl w:val="FD44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520C98"/>
    <w:multiLevelType w:val="hybridMultilevel"/>
    <w:tmpl w:val="CB28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6C7B0F"/>
    <w:multiLevelType w:val="hybridMultilevel"/>
    <w:tmpl w:val="9C54B6E6"/>
    <w:lvl w:ilvl="0" w:tplc="777C6CE2">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095746"/>
    <w:multiLevelType w:val="hybridMultilevel"/>
    <w:tmpl w:val="28BC0FCE"/>
    <w:lvl w:ilvl="0" w:tplc="A26EFB64">
      <w:numFmt w:val="decimal"/>
      <w:pStyle w:val="Instructionaltext-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6" w15:restartNumberingAfterBreak="0">
    <w:nsid w:val="4B7172D7"/>
    <w:multiLevelType w:val="hybridMultilevel"/>
    <w:tmpl w:val="F84E7C86"/>
    <w:lvl w:ilvl="0" w:tplc="336E4BDC">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71068"/>
    <w:multiLevelType w:val="hybridMultilevel"/>
    <w:tmpl w:val="1C22A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9C7C1F"/>
    <w:multiLevelType w:val="hybridMultilevel"/>
    <w:tmpl w:val="FB28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EB7DEC"/>
    <w:multiLevelType w:val="hybridMultilevel"/>
    <w:tmpl w:val="2DCA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7E051C"/>
    <w:multiLevelType w:val="hybridMultilevel"/>
    <w:tmpl w:val="E8582E76"/>
    <w:lvl w:ilvl="0" w:tplc="7FCC4FDE">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253DA"/>
    <w:multiLevelType w:val="hybridMultilevel"/>
    <w:tmpl w:val="56DC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E22CD"/>
    <w:multiLevelType w:val="hybridMultilevel"/>
    <w:tmpl w:val="ADE6C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817A60"/>
    <w:multiLevelType w:val="hybridMultilevel"/>
    <w:tmpl w:val="051E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2A6080"/>
    <w:multiLevelType w:val="hybridMultilevel"/>
    <w:tmpl w:val="B546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4316E"/>
    <w:multiLevelType w:val="hybridMultilevel"/>
    <w:tmpl w:val="BFC68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BD2578"/>
    <w:multiLevelType w:val="hybridMultilevel"/>
    <w:tmpl w:val="4CD4A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12317B"/>
    <w:multiLevelType w:val="hybridMultilevel"/>
    <w:tmpl w:val="B6241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E81FDC"/>
    <w:multiLevelType w:val="hybridMultilevel"/>
    <w:tmpl w:val="D5C698E8"/>
    <w:lvl w:ilvl="0" w:tplc="FFFFFFFF">
      <w:start w:val="1"/>
      <w:numFmt w:val="bullet"/>
      <w:pStyle w:val="BulletBeforeDash"/>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7B7AB7"/>
    <w:multiLevelType w:val="hybridMultilevel"/>
    <w:tmpl w:val="0232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16cid:durableId="1631209229">
    <w:abstractNumId w:val="20"/>
  </w:num>
  <w:num w:numId="2" w16cid:durableId="971834738">
    <w:abstractNumId w:val="42"/>
  </w:num>
  <w:num w:numId="3" w16cid:durableId="909772847">
    <w:abstractNumId w:val="4"/>
  </w:num>
  <w:num w:numId="4" w16cid:durableId="1886788942">
    <w:abstractNumId w:val="11"/>
  </w:num>
  <w:num w:numId="5" w16cid:durableId="1537081584">
    <w:abstractNumId w:val="39"/>
  </w:num>
  <w:num w:numId="6" w16cid:durableId="273754665">
    <w:abstractNumId w:val="12"/>
  </w:num>
  <w:num w:numId="7" w16cid:durableId="1000692483">
    <w:abstractNumId w:val="14"/>
  </w:num>
  <w:num w:numId="8" w16cid:durableId="2124759932">
    <w:abstractNumId w:val="19"/>
  </w:num>
  <w:num w:numId="9" w16cid:durableId="1682006651">
    <w:abstractNumId w:val="25"/>
  </w:num>
  <w:num w:numId="10" w16cid:durableId="1565994732">
    <w:abstractNumId w:val="30"/>
  </w:num>
  <w:num w:numId="11" w16cid:durableId="824395328">
    <w:abstractNumId w:val="15"/>
    <w:lvlOverride w:ilvl="0">
      <w:startOverride w:val="1"/>
    </w:lvlOverride>
  </w:num>
  <w:num w:numId="12" w16cid:durableId="125852877">
    <w:abstractNumId w:val="35"/>
  </w:num>
  <w:num w:numId="13" w16cid:durableId="1711151318">
    <w:abstractNumId w:val="27"/>
  </w:num>
  <w:num w:numId="14" w16cid:durableId="924845621">
    <w:abstractNumId w:val="32"/>
  </w:num>
  <w:num w:numId="15" w16cid:durableId="1633515133">
    <w:abstractNumId w:val="7"/>
  </w:num>
  <w:num w:numId="16" w16cid:durableId="687103213">
    <w:abstractNumId w:val="1"/>
  </w:num>
  <w:num w:numId="17" w16cid:durableId="368844791">
    <w:abstractNumId w:val="0"/>
  </w:num>
  <w:num w:numId="18" w16cid:durableId="602305806">
    <w:abstractNumId w:val="41"/>
  </w:num>
  <w:num w:numId="19" w16cid:durableId="1972051390">
    <w:abstractNumId w:val="3"/>
  </w:num>
  <w:num w:numId="20" w16cid:durableId="1512602585">
    <w:abstractNumId w:val="17"/>
  </w:num>
  <w:num w:numId="21" w16cid:durableId="1654020950">
    <w:abstractNumId w:val="2"/>
  </w:num>
  <w:num w:numId="22" w16cid:durableId="967591118">
    <w:abstractNumId w:val="22"/>
  </w:num>
  <w:num w:numId="23" w16cid:durableId="408845343">
    <w:abstractNumId w:val="37"/>
  </w:num>
  <w:num w:numId="24" w16cid:durableId="1490099700">
    <w:abstractNumId w:val="28"/>
  </w:num>
  <w:num w:numId="25" w16cid:durableId="951084234">
    <w:abstractNumId w:val="8"/>
  </w:num>
  <w:num w:numId="26" w16cid:durableId="1822232143">
    <w:abstractNumId w:val="5"/>
  </w:num>
  <w:num w:numId="27" w16cid:durableId="341393630">
    <w:abstractNumId w:val="26"/>
  </w:num>
  <w:num w:numId="28" w16cid:durableId="1355500583">
    <w:abstractNumId w:val="29"/>
  </w:num>
  <w:num w:numId="29" w16cid:durableId="1225684207">
    <w:abstractNumId w:val="20"/>
  </w:num>
  <w:num w:numId="30" w16cid:durableId="1034503374">
    <w:abstractNumId w:val="31"/>
  </w:num>
  <w:num w:numId="31" w16cid:durableId="660931845">
    <w:abstractNumId w:val="40"/>
  </w:num>
  <w:num w:numId="32" w16cid:durableId="612058821">
    <w:abstractNumId w:val="6"/>
  </w:num>
  <w:num w:numId="33" w16cid:durableId="84769965">
    <w:abstractNumId w:val="24"/>
  </w:num>
  <w:num w:numId="34" w16cid:durableId="1508326235">
    <w:abstractNumId w:val="16"/>
  </w:num>
  <w:num w:numId="35" w16cid:durableId="121389787">
    <w:abstractNumId w:val="13"/>
  </w:num>
  <w:num w:numId="36" w16cid:durableId="1808544546">
    <w:abstractNumId w:val="33"/>
  </w:num>
  <w:num w:numId="37" w16cid:durableId="938488171">
    <w:abstractNumId w:val="34"/>
  </w:num>
  <w:num w:numId="38" w16cid:durableId="105851925">
    <w:abstractNumId w:val="21"/>
  </w:num>
  <w:num w:numId="39" w16cid:durableId="1426263875">
    <w:abstractNumId w:val="9"/>
  </w:num>
  <w:num w:numId="40" w16cid:durableId="1129935309">
    <w:abstractNumId w:val="36"/>
  </w:num>
  <w:num w:numId="41" w16cid:durableId="932082446">
    <w:abstractNumId w:val="38"/>
  </w:num>
  <w:num w:numId="42" w16cid:durableId="568419264">
    <w:abstractNumId w:val="20"/>
  </w:num>
  <w:num w:numId="43" w16cid:durableId="1891720345">
    <w:abstractNumId w:val="23"/>
  </w:num>
  <w:num w:numId="44" w16cid:durableId="1059130005">
    <w:abstractNumId w:val="18"/>
  </w:num>
  <w:num w:numId="45" w16cid:durableId="189800670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DEzMTQwMrK0sLBU0lEKTi0uzszPAymwqAUA7tLZxiwAAAA="/>
    <w:docVar w:name="EN.Layout" w:val="&lt;ENLayout&gt;&lt;Style&gt;Harvard&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20sw9ag929s9efv0jxxt9y95rf5eadd5dr&quot;&gt;My EndNote Library&lt;record-ids&gt;&lt;item&gt;483&lt;/item&gt;&lt;item&gt;496&lt;/item&gt;&lt;item&gt;497&lt;/item&gt;&lt;item&gt;566&lt;/item&gt;&lt;item&gt;568&lt;/item&gt;&lt;item&gt;573&lt;/item&gt;&lt;item&gt;576&lt;/item&gt;&lt;item&gt;582&lt;/item&gt;&lt;/record-ids&gt;&lt;/item&gt;&lt;/Libraries&gt;"/>
  </w:docVars>
  <w:rsids>
    <w:rsidRoot w:val="008157F1"/>
    <w:rsid w:val="000001A8"/>
    <w:rsid w:val="000005A1"/>
    <w:rsid w:val="00000933"/>
    <w:rsid w:val="00000B9D"/>
    <w:rsid w:val="00000F3F"/>
    <w:rsid w:val="0000109A"/>
    <w:rsid w:val="00001145"/>
    <w:rsid w:val="000011A3"/>
    <w:rsid w:val="000011DD"/>
    <w:rsid w:val="0000154A"/>
    <w:rsid w:val="000016A6"/>
    <w:rsid w:val="00001A65"/>
    <w:rsid w:val="00001A9C"/>
    <w:rsid w:val="00001AE6"/>
    <w:rsid w:val="00001BC1"/>
    <w:rsid w:val="00001D55"/>
    <w:rsid w:val="0000221D"/>
    <w:rsid w:val="000023FD"/>
    <w:rsid w:val="000028AD"/>
    <w:rsid w:val="000028C9"/>
    <w:rsid w:val="00002EA9"/>
    <w:rsid w:val="00002FE2"/>
    <w:rsid w:val="0000308D"/>
    <w:rsid w:val="0000365D"/>
    <w:rsid w:val="00003F41"/>
    <w:rsid w:val="00004155"/>
    <w:rsid w:val="00004380"/>
    <w:rsid w:val="000043A4"/>
    <w:rsid w:val="000045DD"/>
    <w:rsid w:val="00004821"/>
    <w:rsid w:val="00004A87"/>
    <w:rsid w:val="00004D69"/>
    <w:rsid w:val="00004F7F"/>
    <w:rsid w:val="00005150"/>
    <w:rsid w:val="000054C9"/>
    <w:rsid w:val="000054D2"/>
    <w:rsid w:val="00005824"/>
    <w:rsid w:val="00005C6C"/>
    <w:rsid w:val="00005D37"/>
    <w:rsid w:val="000062CA"/>
    <w:rsid w:val="00006392"/>
    <w:rsid w:val="000064D7"/>
    <w:rsid w:val="00006636"/>
    <w:rsid w:val="0000675E"/>
    <w:rsid w:val="00006DF3"/>
    <w:rsid w:val="00007465"/>
    <w:rsid w:val="000075CE"/>
    <w:rsid w:val="00007A12"/>
    <w:rsid w:val="00007A2F"/>
    <w:rsid w:val="00007A43"/>
    <w:rsid w:val="00007B42"/>
    <w:rsid w:val="00007CB4"/>
    <w:rsid w:val="00007D02"/>
    <w:rsid w:val="00007DCE"/>
    <w:rsid w:val="00007FEA"/>
    <w:rsid w:val="000100B0"/>
    <w:rsid w:val="000104FD"/>
    <w:rsid w:val="00010615"/>
    <w:rsid w:val="00011568"/>
    <w:rsid w:val="0001167E"/>
    <w:rsid w:val="00011776"/>
    <w:rsid w:val="00011981"/>
    <w:rsid w:val="00011A18"/>
    <w:rsid w:val="00011BEA"/>
    <w:rsid w:val="000123F0"/>
    <w:rsid w:val="000125A7"/>
    <w:rsid w:val="0001266C"/>
    <w:rsid w:val="0001290A"/>
    <w:rsid w:val="000129AB"/>
    <w:rsid w:val="000129F7"/>
    <w:rsid w:val="00012DA1"/>
    <w:rsid w:val="00012FC9"/>
    <w:rsid w:val="0001305D"/>
    <w:rsid w:val="00013386"/>
    <w:rsid w:val="00013983"/>
    <w:rsid w:val="00013AC7"/>
    <w:rsid w:val="00014338"/>
    <w:rsid w:val="00014543"/>
    <w:rsid w:val="0001488D"/>
    <w:rsid w:val="00014974"/>
    <w:rsid w:val="00014D90"/>
    <w:rsid w:val="00015384"/>
    <w:rsid w:val="000160A8"/>
    <w:rsid w:val="00016FE7"/>
    <w:rsid w:val="00017184"/>
    <w:rsid w:val="000172B3"/>
    <w:rsid w:val="00017548"/>
    <w:rsid w:val="00017C33"/>
    <w:rsid w:val="00017DEB"/>
    <w:rsid w:val="000205D3"/>
    <w:rsid w:val="00020AB2"/>
    <w:rsid w:val="00020BA2"/>
    <w:rsid w:val="00020CB8"/>
    <w:rsid w:val="000210F8"/>
    <w:rsid w:val="000217F9"/>
    <w:rsid w:val="00021924"/>
    <w:rsid w:val="000219B3"/>
    <w:rsid w:val="00022305"/>
    <w:rsid w:val="0002272F"/>
    <w:rsid w:val="000227D2"/>
    <w:rsid w:val="000228B8"/>
    <w:rsid w:val="000233BE"/>
    <w:rsid w:val="0002341F"/>
    <w:rsid w:val="000235F1"/>
    <w:rsid w:val="0002368A"/>
    <w:rsid w:val="0002380B"/>
    <w:rsid w:val="0002381B"/>
    <w:rsid w:val="00023A1D"/>
    <w:rsid w:val="000240C4"/>
    <w:rsid w:val="000240F4"/>
    <w:rsid w:val="00024436"/>
    <w:rsid w:val="00024884"/>
    <w:rsid w:val="00024B45"/>
    <w:rsid w:val="00024BF5"/>
    <w:rsid w:val="00024BF9"/>
    <w:rsid w:val="00024E1D"/>
    <w:rsid w:val="00024EA5"/>
    <w:rsid w:val="000254E4"/>
    <w:rsid w:val="00025A31"/>
    <w:rsid w:val="00025BFD"/>
    <w:rsid w:val="00025C92"/>
    <w:rsid w:val="00026CDA"/>
    <w:rsid w:val="000272FE"/>
    <w:rsid w:val="0002730D"/>
    <w:rsid w:val="0002755F"/>
    <w:rsid w:val="0002781E"/>
    <w:rsid w:val="00027CE3"/>
    <w:rsid w:val="0003045A"/>
    <w:rsid w:val="00030499"/>
    <w:rsid w:val="00030759"/>
    <w:rsid w:val="00030D98"/>
    <w:rsid w:val="000310AF"/>
    <w:rsid w:val="0003128A"/>
    <w:rsid w:val="000312E8"/>
    <w:rsid w:val="00031B08"/>
    <w:rsid w:val="00031BED"/>
    <w:rsid w:val="00031E23"/>
    <w:rsid w:val="00031F21"/>
    <w:rsid w:val="00032294"/>
    <w:rsid w:val="0003235D"/>
    <w:rsid w:val="000323FF"/>
    <w:rsid w:val="000326B4"/>
    <w:rsid w:val="00032D5E"/>
    <w:rsid w:val="000330F4"/>
    <w:rsid w:val="0003339F"/>
    <w:rsid w:val="000334AF"/>
    <w:rsid w:val="0003350D"/>
    <w:rsid w:val="00033BB6"/>
    <w:rsid w:val="00033C46"/>
    <w:rsid w:val="00034191"/>
    <w:rsid w:val="0003423A"/>
    <w:rsid w:val="00034573"/>
    <w:rsid w:val="0003477F"/>
    <w:rsid w:val="00035465"/>
    <w:rsid w:val="000356CA"/>
    <w:rsid w:val="00035DF6"/>
    <w:rsid w:val="00036320"/>
    <w:rsid w:val="00036AD8"/>
    <w:rsid w:val="00037037"/>
    <w:rsid w:val="00037302"/>
    <w:rsid w:val="00037515"/>
    <w:rsid w:val="000376D1"/>
    <w:rsid w:val="00037B59"/>
    <w:rsid w:val="00037FFE"/>
    <w:rsid w:val="0004005D"/>
    <w:rsid w:val="00040134"/>
    <w:rsid w:val="000403B0"/>
    <w:rsid w:val="0004049F"/>
    <w:rsid w:val="000408CE"/>
    <w:rsid w:val="00040ADF"/>
    <w:rsid w:val="00040B19"/>
    <w:rsid w:val="00040BDA"/>
    <w:rsid w:val="00040FB4"/>
    <w:rsid w:val="0004107E"/>
    <w:rsid w:val="00041220"/>
    <w:rsid w:val="00041483"/>
    <w:rsid w:val="0004178C"/>
    <w:rsid w:val="00041A04"/>
    <w:rsid w:val="00041F5D"/>
    <w:rsid w:val="0004284C"/>
    <w:rsid w:val="0004296A"/>
    <w:rsid w:val="00042A36"/>
    <w:rsid w:val="00042D01"/>
    <w:rsid w:val="000431C7"/>
    <w:rsid w:val="00043FE0"/>
    <w:rsid w:val="000440DC"/>
    <w:rsid w:val="000440E2"/>
    <w:rsid w:val="000441A2"/>
    <w:rsid w:val="000442D3"/>
    <w:rsid w:val="00044371"/>
    <w:rsid w:val="000443A6"/>
    <w:rsid w:val="000443FC"/>
    <w:rsid w:val="00044451"/>
    <w:rsid w:val="00044806"/>
    <w:rsid w:val="000449C0"/>
    <w:rsid w:val="000449D1"/>
    <w:rsid w:val="0004520A"/>
    <w:rsid w:val="000457E4"/>
    <w:rsid w:val="00045AC7"/>
    <w:rsid w:val="00045B8D"/>
    <w:rsid w:val="00045CC5"/>
    <w:rsid w:val="00046404"/>
    <w:rsid w:val="0004682C"/>
    <w:rsid w:val="00046926"/>
    <w:rsid w:val="00046B6A"/>
    <w:rsid w:val="00046BAA"/>
    <w:rsid w:val="00046BC2"/>
    <w:rsid w:val="00046F71"/>
    <w:rsid w:val="00046FE6"/>
    <w:rsid w:val="0004707A"/>
    <w:rsid w:val="000470E9"/>
    <w:rsid w:val="00047268"/>
    <w:rsid w:val="000472D4"/>
    <w:rsid w:val="000474F9"/>
    <w:rsid w:val="000475C3"/>
    <w:rsid w:val="00047900"/>
    <w:rsid w:val="00047DAF"/>
    <w:rsid w:val="0005028D"/>
    <w:rsid w:val="00050314"/>
    <w:rsid w:val="000503E3"/>
    <w:rsid w:val="00050899"/>
    <w:rsid w:val="00050A78"/>
    <w:rsid w:val="00050FB1"/>
    <w:rsid w:val="00051125"/>
    <w:rsid w:val="00051869"/>
    <w:rsid w:val="00052012"/>
    <w:rsid w:val="000521FE"/>
    <w:rsid w:val="00052486"/>
    <w:rsid w:val="0005250F"/>
    <w:rsid w:val="0005275F"/>
    <w:rsid w:val="00052953"/>
    <w:rsid w:val="00052DD3"/>
    <w:rsid w:val="000531A3"/>
    <w:rsid w:val="0005326D"/>
    <w:rsid w:val="0005390B"/>
    <w:rsid w:val="00053992"/>
    <w:rsid w:val="00053C63"/>
    <w:rsid w:val="00053C89"/>
    <w:rsid w:val="00053F6C"/>
    <w:rsid w:val="00054424"/>
    <w:rsid w:val="000548B8"/>
    <w:rsid w:val="00055503"/>
    <w:rsid w:val="00055627"/>
    <w:rsid w:val="00055685"/>
    <w:rsid w:val="00055A6D"/>
    <w:rsid w:val="00056047"/>
    <w:rsid w:val="000563CC"/>
    <w:rsid w:val="0005667E"/>
    <w:rsid w:val="00056797"/>
    <w:rsid w:val="00057440"/>
    <w:rsid w:val="00057513"/>
    <w:rsid w:val="00057835"/>
    <w:rsid w:val="00057869"/>
    <w:rsid w:val="00057984"/>
    <w:rsid w:val="00057BE3"/>
    <w:rsid w:val="00057FAF"/>
    <w:rsid w:val="00060135"/>
    <w:rsid w:val="0006019C"/>
    <w:rsid w:val="000601EE"/>
    <w:rsid w:val="00060944"/>
    <w:rsid w:val="00060CE6"/>
    <w:rsid w:val="00061236"/>
    <w:rsid w:val="00061274"/>
    <w:rsid w:val="000613FA"/>
    <w:rsid w:val="0006156D"/>
    <w:rsid w:val="000619C7"/>
    <w:rsid w:val="00061ED4"/>
    <w:rsid w:val="00062072"/>
    <w:rsid w:val="0006253F"/>
    <w:rsid w:val="0006257C"/>
    <w:rsid w:val="00062EF1"/>
    <w:rsid w:val="0006339C"/>
    <w:rsid w:val="000635E9"/>
    <w:rsid w:val="00063E6F"/>
    <w:rsid w:val="00064310"/>
    <w:rsid w:val="000643EC"/>
    <w:rsid w:val="00064783"/>
    <w:rsid w:val="000647C2"/>
    <w:rsid w:val="00064D9A"/>
    <w:rsid w:val="00064E01"/>
    <w:rsid w:val="00065956"/>
    <w:rsid w:val="00065D6E"/>
    <w:rsid w:val="00065E84"/>
    <w:rsid w:val="00066069"/>
    <w:rsid w:val="0006661B"/>
    <w:rsid w:val="000667E7"/>
    <w:rsid w:val="000667ED"/>
    <w:rsid w:val="0006687B"/>
    <w:rsid w:val="0006698B"/>
    <w:rsid w:val="000679E2"/>
    <w:rsid w:val="00067A24"/>
    <w:rsid w:val="000700C5"/>
    <w:rsid w:val="0007021F"/>
    <w:rsid w:val="00070422"/>
    <w:rsid w:val="00070606"/>
    <w:rsid w:val="0007085B"/>
    <w:rsid w:val="000709A0"/>
    <w:rsid w:val="00070B95"/>
    <w:rsid w:val="00070DE2"/>
    <w:rsid w:val="00071640"/>
    <w:rsid w:val="00071733"/>
    <w:rsid w:val="000719FD"/>
    <w:rsid w:val="00071F88"/>
    <w:rsid w:val="00072845"/>
    <w:rsid w:val="00072B3D"/>
    <w:rsid w:val="00072B6D"/>
    <w:rsid w:val="00073159"/>
    <w:rsid w:val="00073222"/>
    <w:rsid w:val="0007333B"/>
    <w:rsid w:val="00073AA6"/>
    <w:rsid w:val="00073E56"/>
    <w:rsid w:val="00074199"/>
    <w:rsid w:val="0007458B"/>
    <w:rsid w:val="00074E14"/>
    <w:rsid w:val="00074F02"/>
    <w:rsid w:val="00075060"/>
    <w:rsid w:val="000751E0"/>
    <w:rsid w:val="000753C1"/>
    <w:rsid w:val="0007545A"/>
    <w:rsid w:val="00075693"/>
    <w:rsid w:val="00075697"/>
    <w:rsid w:val="000759C5"/>
    <w:rsid w:val="00076035"/>
    <w:rsid w:val="000763AF"/>
    <w:rsid w:val="0007694B"/>
    <w:rsid w:val="00076CD8"/>
    <w:rsid w:val="000772BF"/>
    <w:rsid w:val="000774F0"/>
    <w:rsid w:val="000775F8"/>
    <w:rsid w:val="00077785"/>
    <w:rsid w:val="00077876"/>
    <w:rsid w:val="00080002"/>
    <w:rsid w:val="00080241"/>
    <w:rsid w:val="00080A9D"/>
    <w:rsid w:val="00080E05"/>
    <w:rsid w:val="00081778"/>
    <w:rsid w:val="000817AF"/>
    <w:rsid w:val="00081B92"/>
    <w:rsid w:val="00081CFA"/>
    <w:rsid w:val="00081D10"/>
    <w:rsid w:val="00082527"/>
    <w:rsid w:val="0008252D"/>
    <w:rsid w:val="00082DE4"/>
    <w:rsid w:val="00083460"/>
    <w:rsid w:val="0008377B"/>
    <w:rsid w:val="00083BE6"/>
    <w:rsid w:val="00084126"/>
    <w:rsid w:val="000846F9"/>
    <w:rsid w:val="000847E6"/>
    <w:rsid w:val="00084A1E"/>
    <w:rsid w:val="00084AAC"/>
    <w:rsid w:val="00085030"/>
    <w:rsid w:val="000850BE"/>
    <w:rsid w:val="000851E3"/>
    <w:rsid w:val="00085447"/>
    <w:rsid w:val="000854DE"/>
    <w:rsid w:val="000856BC"/>
    <w:rsid w:val="0008587E"/>
    <w:rsid w:val="00085A1B"/>
    <w:rsid w:val="00085E15"/>
    <w:rsid w:val="00085F4F"/>
    <w:rsid w:val="000860CD"/>
    <w:rsid w:val="0008662B"/>
    <w:rsid w:val="00086E6B"/>
    <w:rsid w:val="000870B6"/>
    <w:rsid w:val="00087108"/>
    <w:rsid w:val="0008730E"/>
    <w:rsid w:val="000873B3"/>
    <w:rsid w:val="00087465"/>
    <w:rsid w:val="0008755D"/>
    <w:rsid w:val="00087671"/>
    <w:rsid w:val="0008786B"/>
    <w:rsid w:val="0008798E"/>
    <w:rsid w:val="00087ADD"/>
    <w:rsid w:val="00087E4D"/>
    <w:rsid w:val="00090613"/>
    <w:rsid w:val="00090BD1"/>
    <w:rsid w:val="0009103B"/>
    <w:rsid w:val="00091589"/>
    <w:rsid w:val="000916C9"/>
    <w:rsid w:val="00091857"/>
    <w:rsid w:val="00091985"/>
    <w:rsid w:val="00091A24"/>
    <w:rsid w:val="00091B6D"/>
    <w:rsid w:val="00091B7A"/>
    <w:rsid w:val="00091C59"/>
    <w:rsid w:val="00091F35"/>
    <w:rsid w:val="00091FE0"/>
    <w:rsid w:val="00092157"/>
    <w:rsid w:val="000928DA"/>
    <w:rsid w:val="0009293B"/>
    <w:rsid w:val="00092987"/>
    <w:rsid w:val="00092A21"/>
    <w:rsid w:val="0009350B"/>
    <w:rsid w:val="00093728"/>
    <w:rsid w:val="00093A3F"/>
    <w:rsid w:val="00093D9A"/>
    <w:rsid w:val="000945C7"/>
    <w:rsid w:val="000945E1"/>
    <w:rsid w:val="00094656"/>
    <w:rsid w:val="00094824"/>
    <w:rsid w:val="00094930"/>
    <w:rsid w:val="00094A28"/>
    <w:rsid w:val="00094D0A"/>
    <w:rsid w:val="00094E16"/>
    <w:rsid w:val="00094E6E"/>
    <w:rsid w:val="00095147"/>
    <w:rsid w:val="00095352"/>
    <w:rsid w:val="000958E0"/>
    <w:rsid w:val="00095B1F"/>
    <w:rsid w:val="00095E54"/>
    <w:rsid w:val="00095E98"/>
    <w:rsid w:val="00096028"/>
    <w:rsid w:val="000962BE"/>
    <w:rsid w:val="0009638E"/>
    <w:rsid w:val="00096949"/>
    <w:rsid w:val="00096B52"/>
    <w:rsid w:val="00096B61"/>
    <w:rsid w:val="00096D58"/>
    <w:rsid w:val="0009707A"/>
    <w:rsid w:val="000974CD"/>
    <w:rsid w:val="000974FF"/>
    <w:rsid w:val="000978F9"/>
    <w:rsid w:val="00097938"/>
    <w:rsid w:val="00097A6D"/>
    <w:rsid w:val="00097D9C"/>
    <w:rsid w:val="000A02BA"/>
    <w:rsid w:val="000A0550"/>
    <w:rsid w:val="000A0673"/>
    <w:rsid w:val="000A0EA3"/>
    <w:rsid w:val="000A0EA6"/>
    <w:rsid w:val="000A10BF"/>
    <w:rsid w:val="000A10CB"/>
    <w:rsid w:val="000A13D9"/>
    <w:rsid w:val="000A16B9"/>
    <w:rsid w:val="000A1D9A"/>
    <w:rsid w:val="000A1F22"/>
    <w:rsid w:val="000A1F2A"/>
    <w:rsid w:val="000A2064"/>
    <w:rsid w:val="000A22C9"/>
    <w:rsid w:val="000A2461"/>
    <w:rsid w:val="000A2867"/>
    <w:rsid w:val="000A291A"/>
    <w:rsid w:val="000A29E9"/>
    <w:rsid w:val="000A2ACD"/>
    <w:rsid w:val="000A2B65"/>
    <w:rsid w:val="000A2D30"/>
    <w:rsid w:val="000A2DA8"/>
    <w:rsid w:val="000A2E6A"/>
    <w:rsid w:val="000A30B1"/>
    <w:rsid w:val="000A367A"/>
    <w:rsid w:val="000A4CE6"/>
    <w:rsid w:val="000A4D3D"/>
    <w:rsid w:val="000A4D8D"/>
    <w:rsid w:val="000A4F9E"/>
    <w:rsid w:val="000A5A4E"/>
    <w:rsid w:val="000A5BC2"/>
    <w:rsid w:val="000A5C47"/>
    <w:rsid w:val="000A629E"/>
    <w:rsid w:val="000A6321"/>
    <w:rsid w:val="000A6B30"/>
    <w:rsid w:val="000A6BE1"/>
    <w:rsid w:val="000A7316"/>
    <w:rsid w:val="000B0048"/>
    <w:rsid w:val="000B0977"/>
    <w:rsid w:val="000B0B7D"/>
    <w:rsid w:val="000B0DF6"/>
    <w:rsid w:val="000B0E59"/>
    <w:rsid w:val="000B11A7"/>
    <w:rsid w:val="000B1213"/>
    <w:rsid w:val="000B1715"/>
    <w:rsid w:val="000B195D"/>
    <w:rsid w:val="000B1B6B"/>
    <w:rsid w:val="000B1EC4"/>
    <w:rsid w:val="000B26C9"/>
    <w:rsid w:val="000B29AB"/>
    <w:rsid w:val="000B2B40"/>
    <w:rsid w:val="000B2E1C"/>
    <w:rsid w:val="000B2EF2"/>
    <w:rsid w:val="000B3009"/>
    <w:rsid w:val="000B3330"/>
    <w:rsid w:val="000B3473"/>
    <w:rsid w:val="000B3720"/>
    <w:rsid w:val="000B38BE"/>
    <w:rsid w:val="000B39A4"/>
    <w:rsid w:val="000B41A7"/>
    <w:rsid w:val="000B4213"/>
    <w:rsid w:val="000B426F"/>
    <w:rsid w:val="000B461E"/>
    <w:rsid w:val="000B4C49"/>
    <w:rsid w:val="000B4CE4"/>
    <w:rsid w:val="000B5816"/>
    <w:rsid w:val="000B59F1"/>
    <w:rsid w:val="000B5D82"/>
    <w:rsid w:val="000B6B0A"/>
    <w:rsid w:val="000B6C7B"/>
    <w:rsid w:val="000B6CF0"/>
    <w:rsid w:val="000B6DBB"/>
    <w:rsid w:val="000B6E38"/>
    <w:rsid w:val="000B703D"/>
    <w:rsid w:val="000B703E"/>
    <w:rsid w:val="000B720C"/>
    <w:rsid w:val="000B7665"/>
    <w:rsid w:val="000B770B"/>
    <w:rsid w:val="000C06A0"/>
    <w:rsid w:val="000C1282"/>
    <w:rsid w:val="000C1470"/>
    <w:rsid w:val="000C172C"/>
    <w:rsid w:val="000C1CE1"/>
    <w:rsid w:val="000C21A5"/>
    <w:rsid w:val="000C22FC"/>
    <w:rsid w:val="000C2657"/>
    <w:rsid w:val="000C26BD"/>
    <w:rsid w:val="000C2ECA"/>
    <w:rsid w:val="000C2F78"/>
    <w:rsid w:val="000C3221"/>
    <w:rsid w:val="000C3320"/>
    <w:rsid w:val="000C3C74"/>
    <w:rsid w:val="000C3E03"/>
    <w:rsid w:val="000C4525"/>
    <w:rsid w:val="000C4C23"/>
    <w:rsid w:val="000C4EEC"/>
    <w:rsid w:val="000C542B"/>
    <w:rsid w:val="000C5ED6"/>
    <w:rsid w:val="000C617D"/>
    <w:rsid w:val="000C647F"/>
    <w:rsid w:val="000C6671"/>
    <w:rsid w:val="000C6B23"/>
    <w:rsid w:val="000C6D32"/>
    <w:rsid w:val="000C6D7E"/>
    <w:rsid w:val="000C782E"/>
    <w:rsid w:val="000C7C46"/>
    <w:rsid w:val="000C7D97"/>
    <w:rsid w:val="000C7EB3"/>
    <w:rsid w:val="000D021C"/>
    <w:rsid w:val="000D04E8"/>
    <w:rsid w:val="000D07B2"/>
    <w:rsid w:val="000D08E4"/>
    <w:rsid w:val="000D0A7A"/>
    <w:rsid w:val="000D0D56"/>
    <w:rsid w:val="000D1206"/>
    <w:rsid w:val="000D1324"/>
    <w:rsid w:val="000D142D"/>
    <w:rsid w:val="000D1B52"/>
    <w:rsid w:val="000D1CAB"/>
    <w:rsid w:val="000D2043"/>
    <w:rsid w:val="000D24E4"/>
    <w:rsid w:val="000D299B"/>
    <w:rsid w:val="000D3823"/>
    <w:rsid w:val="000D3831"/>
    <w:rsid w:val="000D38F1"/>
    <w:rsid w:val="000D3B1A"/>
    <w:rsid w:val="000D3C5C"/>
    <w:rsid w:val="000D4106"/>
    <w:rsid w:val="000D415B"/>
    <w:rsid w:val="000D4979"/>
    <w:rsid w:val="000D4A0A"/>
    <w:rsid w:val="000D4C1B"/>
    <w:rsid w:val="000D5462"/>
    <w:rsid w:val="000D5523"/>
    <w:rsid w:val="000D5749"/>
    <w:rsid w:val="000D589B"/>
    <w:rsid w:val="000D5C97"/>
    <w:rsid w:val="000D5E9B"/>
    <w:rsid w:val="000D5F47"/>
    <w:rsid w:val="000D6C96"/>
    <w:rsid w:val="000D6F4C"/>
    <w:rsid w:val="000D71B2"/>
    <w:rsid w:val="000D7DDD"/>
    <w:rsid w:val="000E001A"/>
    <w:rsid w:val="000E0048"/>
    <w:rsid w:val="000E0109"/>
    <w:rsid w:val="000E02A7"/>
    <w:rsid w:val="000E03DC"/>
    <w:rsid w:val="000E0620"/>
    <w:rsid w:val="000E0649"/>
    <w:rsid w:val="000E0AF6"/>
    <w:rsid w:val="000E0B59"/>
    <w:rsid w:val="000E0BBA"/>
    <w:rsid w:val="000E0D7B"/>
    <w:rsid w:val="000E0E9D"/>
    <w:rsid w:val="000E0F6C"/>
    <w:rsid w:val="000E0FEB"/>
    <w:rsid w:val="000E102B"/>
    <w:rsid w:val="000E10FC"/>
    <w:rsid w:val="000E1124"/>
    <w:rsid w:val="000E138E"/>
    <w:rsid w:val="000E148C"/>
    <w:rsid w:val="000E1E2E"/>
    <w:rsid w:val="000E2631"/>
    <w:rsid w:val="000E27D0"/>
    <w:rsid w:val="000E2DCD"/>
    <w:rsid w:val="000E3320"/>
    <w:rsid w:val="000E3561"/>
    <w:rsid w:val="000E397B"/>
    <w:rsid w:val="000E3A26"/>
    <w:rsid w:val="000E404E"/>
    <w:rsid w:val="000E4235"/>
    <w:rsid w:val="000E4528"/>
    <w:rsid w:val="000E476D"/>
    <w:rsid w:val="000E493D"/>
    <w:rsid w:val="000E4B40"/>
    <w:rsid w:val="000E4D82"/>
    <w:rsid w:val="000E4DFC"/>
    <w:rsid w:val="000E53E8"/>
    <w:rsid w:val="000E5531"/>
    <w:rsid w:val="000E55F1"/>
    <w:rsid w:val="000E594B"/>
    <w:rsid w:val="000E5D9F"/>
    <w:rsid w:val="000E5E6F"/>
    <w:rsid w:val="000E6410"/>
    <w:rsid w:val="000E6673"/>
    <w:rsid w:val="000E66E7"/>
    <w:rsid w:val="000E678B"/>
    <w:rsid w:val="000E6806"/>
    <w:rsid w:val="000E6856"/>
    <w:rsid w:val="000E6A7B"/>
    <w:rsid w:val="000E6B4A"/>
    <w:rsid w:val="000E7501"/>
    <w:rsid w:val="000E7745"/>
    <w:rsid w:val="000E79E2"/>
    <w:rsid w:val="000E7AD9"/>
    <w:rsid w:val="000E7BE9"/>
    <w:rsid w:val="000E7D7B"/>
    <w:rsid w:val="000E7EC5"/>
    <w:rsid w:val="000E7F9D"/>
    <w:rsid w:val="000F0126"/>
    <w:rsid w:val="000F0651"/>
    <w:rsid w:val="000F0A7A"/>
    <w:rsid w:val="000F0A84"/>
    <w:rsid w:val="000F18C9"/>
    <w:rsid w:val="000F1D05"/>
    <w:rsid w:val="000F1D2D"/>
    <w:rsid w:val="000F2166"/>
    <w:rsid w:val="000F22DC"/>
    <w:rsid w:val="000F27EA"/>
    <w:rsid w:val="000F2A67"/>
    <w:rsid w:val="000F2E01"/>
    <w:rsid w:val="000F3002"/>
    <w:rsid w:val="000F32C8"/>
    <w:rsid w:val="000F3CB0"/>
    <w:rsid w:val="000F3D9E"/>
    <w:rsid w:val="000F3E47"/>
    <w:rsid w:val="000F45C7"/>
    <w:rsid w:val="000F4913"/>
    <w:rsid w:val="000F54D4"/>
    <w:rsid w:val="000F56F0"/>
    <w:rsid w:val="000F590C"/>
    <w:rsid w:val="000F5A54"/>
    <w:rsid w:val="000F5B72"/>
    <w:rsid w:val="000F631D"/>
    <w:rsid w:val="000F64BE"/>
    <w:rsid w:val="000F667C"/>
    <w:rsid w:val="000F674B"/>
    <w:rsid w:val="000F693C"/>
    <w:rsid w:val="000F6B40"/>
    <w:rsid w:val="000F6BC1"/>
    <w:rsid w:val="000F7987"/>
    <w:rsid w:val="000F7B9D"/>
    <w:rsid w:val="000F7BD0"/>
    <w:rsid w:val="000F7D40"/>
    <w:rsid w:val="00100311"/>
    <w:rsid w:val="0010051C"/>
    <w:rsid w:val="00100578"/>
    <w:rsid w:val="00100C39"/>
    <w:rsid w:val="00101556"/>
    <w:rsid w:val="001015A6"/>
    <w:rsid w:val="001016EB"/>
    <w:rsid w:val="0010173B"/>
    <w:rsid w:val="00101A7D"/>
    <w:rsid w:val="00101F74"/>
    <w:rsid w:val="00101FDB"/>
    <w:rsid w:val="0010265B"/>
    <w:rsid w:val="001028E5"/>
    <w:rsid w:val="00102F38"/>
    <w:rsid w:val="00103B6C"/>
    <w:rsid w:val="00103E0D"/>
    <w:rsid w:val="00104126"/>
    <w:rsid w:val="00104371"/>
    <w:rsid w:val="0010437A"/>
    <w:rsid w:val="0010448B"/>
    <w:rsid w:val="00104863"/>
    <w:rsid w:val="00104932"/>
    <w:rsid w:val="00104966"/>
    <w:rsid w:val="00104C8A"/>
    <w:rsid w:val="0010521F"/>
    <w:rsid w:val="00105252"/>
    <w:rsid w:val="00105B39"/>
    <w:rsid w:val="0010625A"/>
    <w:rsid w:val="00106306"/>
    <w:rsid w:val="001066CA"/>
    <w:rsid w:val="00106C56"/>
    <w:rsid w:val="00106D3A"/>
    <w:rsid w:val="0010714F"/>
    <w:rsid w:val="00107160"/>
    <w:rsid w:val="00107481"/>
    <w:rsid w:val="00107524"/>
    <w:rsid w:val="00107AA2"/>
    <w:rsid w:val="00107DCD"/>
    <w:rsid w:val="00107EF0"/>
    <w:rsid w:val="0011051C"/>
    <w:rsid w:val="0011074D"/>
    <w:rsid w:val="0011095A"/>
    <w:rsid w:val="001109D1"/>
    <w:rsid w:val="00110F95"/>
    <w:rsid w:val="00110FC8"/>
    <w:rsid w:val="00111253"/>
    <w:rsid w:val="00111417"/>
    <w:rsid w:val="00111AF0"/>
    <w:rsid w:val="00111C3C"/>
    <w:rsid w:val="00111F19"/>
    <w:rsid w:val="00111FB9"/>
    <w:rsid w:val="001124FA"/>
    <w:rsid w:val="0011285F"/>
    <w:rsid w:val="00112A75"/>
    <w:rsid w:val="00112C5D"/>
    <w:rsid w:val="0011301B"/>
    <w:rsid w:val="001130D6"/>
    <w:rsid w:val="0011349E"/>
    <w:rsid w:val="001135E9"/>
    <w:rsid w:val="0011369C"/>
    <w:rsid w:val="00113A24"/>
    <w:rsid w:val="00113C60"/>
    <w:rsid w:val="00113FBE"/>
    <w:rsid w:val="0011412D"/>
    <w:rsid w:val="001142EA"/>
    <w:rsid w:val="00114542"/>
    <w:rsid w:val="0011454A"/>
    <w:rsid w:val="00114649"/>
    <w:rsid w:val="00114C3B"/>
    <w:rsid w:val="00115691"/>
    <w:rsid w:val="00115796"/>
    <w:rsid w:val="00115818"/>
    <w:rsid w:val="00115A3B"/>
    <w:rsid w:val="00115CE4"/>
    <w:rsid w:val="001161ED"/>
    <w:rsid w:val="00116529"/>
    <w:rsid w:val="001165E2"/>
    <w:rsid w:val="00116645"/>
    <w:rsid w:val="001167BE"/>
    <w:rsid w:val="00116B31"/>
    <w:rsid w:val="00116D76"/>
    <w:rsid w:val="00117039"/>
    <w:rsid w:val="00117397"/>
    <w:rsid w:val="0011772B"/>
    <w:rsid w:val="00117A38"/>
    <w:rsid w:val="00117DB8"/>
    <w:rsid w:val="00117F04"/>
    <w:rsid w:val="0012008E"/>
    <w:rsid w:val="0012075F"/>
    <w:rsid w:val="00120BD3"/>
    <w:rsid w:val="00120ED4"/>
    <w:rsid w:val="0012100C"/>
    <w:rsid w:val="00121033"/>
    <w:rsid w:val="00121052"/>
    <w:rsid w:val="001210E4"/>
    <w:rsid w:val="00121169"/>
    <w:rsid w:val="001218E9"/>
    <w:rsid w:val="001221E3"/>
    <w:rsid w:val="001226E5"/>
    <w:rsid w:val="00122AE3"/>
    <w:rsid w:val="00122C4A"/>
    <w:rsid w:val="00122DAE"/>
    <w:rsid w:val="00122EE1"/>
    <w:rsid w:val="00123043"/>
    <w:rsid w:val="0012327A"/>
    <w:rsid w:val="0012344B"/>
    <w:rsid w:val="0012350D"/>
    <w:rsid w:val="00123658"/>
    <w:rsid w:val="001237AF"/>
    <w:rsid w:val="00123946"/>
    <w:rsid w:val="00123D29"/>
    <w:rsid w:val="00123E4D"/>
    <w:rsid w:val="0012419A"/>
    <w:rsid w:val="0012455F"/>
    <w:rsid w:val="00124598"/>
    <w:rsid w:val="001247EB"/>
    <w:rsid w:val="00124ADC"/>
    <w:rsid w:val="00124CB6"/>
    <w:rsid w:val="00124D87"/>
    <w:rsid w:val="00124E62"/>
    <w:rsid w:val="00124F3C"/>
    <w:rsid w:val="00125A9B"/>
    <w:rsid w:val="00125B61"/>
    <w:rsid w:val="00126122"/>
    <w:rsid w:val="001267C8"/>
    <w:rsid w:val="00126D17"/>
    <w:rsid w:val="00126E6C"/>
    <w:rsid w:val="00127438"/>
    <w:rsid w:val="00127BC8"/>
    <w:rsid w:val="00127DF3"/>
    <w:rsid w:val="0013045C"/>
    <w:rsid w:val="001304D2"/>
    <w:rsid w:val="00130738"/>
    <w:rsid w:val="00130CD4"/>
    <w:rsid w:val="00130EAC"/>
    <w:rsid w:val="00130FAA"/>
    <w:rsid w:val="00131137"/>
    <w:rsid w:val="00131448"/>
    <w:rsid w:val="00131851"/>
    <w:rsid w:val="001319D1"/>
    <w:rsid w:val="00131AF4"/>
    <w:rsid w:val="00131D45"/>
    <w:rsid w:val="001320F0"/>
    <w:rsid w:val="00132774"/>
    <w:rsid w:val="00132A08"/>
    <w:rsid w:val="00132B7F"/>
    <w:rsid w:val="00132C5F"/>
    <w:rsid w:val="00132EA5"/>
    <w:rsid w:val="00133105"/>
    <w:rsid w:val="001334C7"/>
    <w:rsid w:val="001336C9"/>
    <w:rsid w:val="001336E0"/>
    <w:rsid w:val="00133F34"/>
    <w:rsid w:val="001348B1"/>
    <w:rsid w:val="001349B3"/>
    <w:rsid w:val="00134C96"/>
    <w:rsid w:val="00135273"/>
    <w:rsid w:val="00135788"/>
    <w:rsid w:val="0013592F"/>
    <w:rsid w:val="00135A0C"/>
    <w:rsid w:val="00135C0F"/>
    <w:rsid w:val="00135FC9"/>
    <w:rsid w:val="0013671B"/>
    <w:rsid w:val="00136778"/>
    <w:rsid w:val="00136960"/>
    <w:rsid w:val="00136F6F"/>
    <w:rsid w:val="001370C4"/>
    <w:rsid w:val="001370F5"/>
    <w:rsid w:val="00137881"/>
    <w:rsid w:val="00140352"/>
    <w:rsid w:val="00140452"/>
    <w:rsid w:val="001406A9"/>
    <w:rsid w:val="0014085E"/>
    <w:rsid w:val="00140B28"/>
    <w:rsid w:val="00141B3A"/>
    <w:rsid w:val="0014251F"/>
    <w:rsid w:val="00142783"/>
    <w:rsid w:val="001427F0"/>
    <w:rsid w:val="001428FB"/>
    <w:rsid w:val="0014311B"/>
    <w:rsid w:val="00143478"/>
    <w:rsid w:val="0014377C"/>
    <w:rsid w:val="00143D89"/>
    <w:rsid w:val="00143F2F"/>
    <w:rsid w:val="0014489C"/>
    <w:rsid w:val="0014498C"/>
    <w:rsid w:val="00144C0A"/>
    <w:rsid w:val="0014518D"/>
    <w:rsid w:val="00145830"/>
    <w:rsid w:val="00145876"/>
    <w:rsid w:val="00146610"/>
    <w:rsid w:val="00146624"/>
    <w:rsid w:val="001466CA"/>
    <w:rsid w:val="00146828"/>
    <w:rsid w:val="00146889"/>
    <w:rsid w:val="00147677"/>
    <w:rsid w:val="00147710"/>
    <w:rsid w:val="00147A23"/>
    <w:rsid w:val="00147CE5"/>
    <w:rsid w:val="00147F86"/>
    <w:rsid w:val="00150376"/>
    <w:rsid w:val="00150473"/>
    <w:rsid w:val="001507D4"/>
    <w:rsid w:val="00150921"/>
    <w:rsid w:val="00150EDE"/>
    <w:rsid w:val="001515DD"/>
    <w:rsid w:val="001516A3"/>
    <w:rsid w:val="00151DBD"/>
    <w:rsid w:val="001522FA"/>
    <w:rsid w:val="00152358"/>
    <w:rsid w:val="001523F2"/>
    <w:rsid w:val="00152B88"/>
    <w:rsid w:val="00152D5B"/>
    <w:rsid w:val="00152EAA"/>
    <w:rsid w:val="0015301F"/>
    <w:rsid w:val="001530F5"/>
    <w:rsid w:val="001531D6"/>
    <w:rsid w:val="001532D5"/>
    <w:rsid w:val="001536AF"/>
    <w:rsid w:val="00153B9F"/>
    <w:rsid w:val="00153BC1"/>
    <w:rsid w:val="00154115"/>
    <w:rsid w:val="00154224"/>
    <w:rsid w:val="0015431F"/>
    <w:rsid w:val="0015438D"/>
    <w:rsid w:val="001544DF"/>
    <w:rsid w:val="001546F2"/>
    <w:rsid w:val="001547D8"/>
    <w:rsid w:val="001547F3"/>
    <w:rsid w:val="00154855"/>
    <w:rsid w:val="001548F6"/>
    <w:rsid w:val="00154944"/>
    <w:rsid w:val="001550AB"/>
    <w:rsid w:val="00155208"/>
    <w:rsid w:val="00155434"/>
    <w:rsid w:val="0015568A"/>
    <w:rsid w:val="00155BDA"/>
    <w:rsid w:val="00155F48"/>
    <w:rsid w:val="00155FCE"/>
    <w:rsid w:val="001563A8"/>
    <w:rsid w:val="00156669"/>
    <w:rsid w:val="001568EB"/>
    <w:rsid w:val="00156980"/>
    <w:rsid w:val="00156A99"/>
    <w:rsid w:val="00156CB4"/>
    <w:rsid w:val="00156DAA"/>
    <w:rsid w:val="00156F4F"/>
    <w:rsid w:val="00156FA7"/>
    <w:rsid w:val="001571D7"/>
    <w:rsid w:val="0015745E"/>
    <w:rsid w:val="00157700"/>
    <w:rsid w:val="00157A70"/>
    <w:rsid w:val="00157E4B"/>
    <w:rsid w:val="0016023A"/>
    <w:rsid w:val="0016035A"/>
    <w:rsid w:val="00160731"/>
    <w:rsid w:val="00160B80"/>
    <w:rsid w:val="00160E19"/>
    <w:rsid w:val="00160FF9"/>
    <w:rsid w:val="0016129D"/>
    <w:rsid w:val="00161BC0"/>
    <w:rsid w:val="00161D1D"/>
    <w:rsid w:val="001625BE"/>
    <w:rsid w:val="001629A0"/>
    <w:rsid w:val="00162DBF"/>
    <w:rsid w:val="001630A7"/>
    <w:rsid w:val="00163329"/>
    <w:rsid w:val="0016378B"/>
    <w:rsid w:val="00163AE0"/>
    <w:rsid w:val="001643B0"/>
    <w:rsid w:val="00164431"/>
    <w:rsid w:val="00164AA4"/>
    <w:rsid w:val="00164CB8"/>
    <w:rsid w:val="00164CF8"/>
    <w:rsid w:val="001651A2"/>
    <w:rsid w:val="001653AE"/>
    <w:rsid w:val="00165447"/>
    <w:rsid w:val="00165593"/>
    <w:rsid w:val="0016569F"/>
    <w:rsid w:val="001659D9"/>
    <w:rsid w:val="00165EDA"/>
    <w:rsid w:val="00166286"/>
    <w:rsid w:val="001662BF"/>
    <w:rsid w:val="001666CC"/>
    <w:rsid w:val="00166944"/>
    <w:rsid w:val="00166C51"/>
    <w:rsid w:val="00166DDF"/>
    <w:rsid w:val="00167322"/>
    <w:rsid w:val="00167487"/>
    <w:rsid w:val="001674A7"/>
    <w:rsid w:val="00167514"/>
    <w:rsid w:val="001675BC"/>
    <w:rsid w:val="00167681"/>
    <w:rsid w:val="00167ABD"/>
    <w:rsid w:val="00167C08"/>
    <w:rsid w:val="00167CDE"/>
    <w:rsid w:val="00167D71"/>
    <w:rsid w:val="00167EF5"/>
    <w:rsid w:val="00170346"/>
    <w:rsid w:val="00170494"/>
    <w:rsid w:val="001705B0"/>
    <w:rsid w:val="00170687"/>
    <w:rsid w:val="001708BF"/>
    <w:rsid w:val="00170A7C"/>
    <w:rsid w:val="00170A8A"/>
    <w:rsid w:val="00170D45"/>
    <w:rsid w:val="00170D5B"/>
    <w:rsid w:val="00170F06"/>
    <w:rsid w:val="0017103C"/>
    <w:rsid w:val="00171206"/>
    <w:rsid w:val="0017141B"/>
    <w:rsid w:val="00171479"/>
    <w:rsid w:val="001719BE"/>
    <w:rsid w:val="00171B3C"/>
    <w:rsid w:val="00171B51"/>
    <w:rsid w:val="00171B7D"/>
    <w:rsid w:val="00171FA4"/>
    <w:rsid w:val="001723EF"/>
    <w:rsid w:val="0017267C"/>
    <w:rsid w:val="001726B1"/>
    <w:rsid w:val="00172B8F"/>
    <w:rsid w:val="001731CF"/>
    <w:rsid w:val="001734BB"/>
    <w:rsid w:val="001736F8"/>
    <w:rsid w:val="00173D81"/>
    <w:rsid w:val="00173D85"/>
    <w:rsid w:val="00174105"/>
    <w:rsid w:val="001748D2"/>
    <w:rsid w:val="00174ACB"/>
    <w:rsid w:val="00174AD5"/>
    <w:rsid w:val="00174CB4"/>
    <w:rsid w:val="00174E01"/>
    <w:rsid w:val="00174FD4"/>
    <w:rsid w:val="00175382"/>
    <w:rsid w:val="0017545F"/>
    <w:rsid w:val="001756F5"/>
    <w:rsid w:val="00175705"/>
    <w:rsid w:val="0017593C"/>
    <w:rsid w:val="00175D3A"/>
    <w:rsid w:val="00176014"/>
    <w:rsid w:val="0017636B"/>
    <w:rsid w:val="001766F0"/>
    <w:rsid w:val="00176ADF"/>
    <w:rsid w:val="00176C9C"/>
    <w:rsid w:val="00176D88"/>
    <w:rsid w:val="00177184"/>
    <w:rsid w:val="0017733D"/>
    <w:rsid w:val="00177342"/>
    <w:rsid w:val="00177348"/>
    <w:rsid w:val="0017749E"/>
    <w:rsid w:val="001774C1"/>
    <w:rsid w:val="0017786C"/>
    <w:rsid w:val="00177C32"/>
    <w:rsid w:val="00180317"/>
    <w:rsid w:val="00180BA2"/>
    <w:rsid w:val="001810D3"/>
    <w:rsid w:val="0018148D"/>
    <w:rsid w:val="00181945"/>
    <w:rsid w:val="00181EFC"/>
    <w:rsid w:val="0018239F"/>
    <w:rsid w:val="001823B9"/>
    <w:rsid w:val="00182517"/>
    <w:rsid w:val="001828C8"/>
    <w:rsid w:val="001828FB"/>
    <w:rsid w:val="00182EF9"/>
    <w:rsid w:val="00182F6F"/>
    <w:rsid w:val="0018325E"/>
    <w:rsid w:val="00183AD8"/>
    <w:rsid w:val="00183DA4"/>
    <w:rsid w:val="001840F8"/>
    <w:rsid w:val="001848BC"/>
    <w:rsid w:val="00184BAE"/>
    <w:rsid w:val="00185040"/>
    <w:rsid w:val="001850D9"/>
    <w:rsid w:val="001854AF"/>
    <w:rsid w:val="0018581B"/>
    <w:rsid w:val="00185BEF"/>
    <w:rsid w:val="0018610D"/>
    <w:rsid w:val="001864E4"/>
    <w:rsid w:val="00186DBD"/>
    <w:rsid w:val="00187234"/>
    <w:rsid w:val="0018778E"/>
    <w:rsid w:val="00187818"/>
    <w:rsid w:val="00187C37"/>
    <w:rsid w:val="0019004A"/>
    <w:rsid w:val="001901BB"/>
    <w:rsid w:val="001901BE"/>
    <w:rsid w:val="0019048B"/>
    <w:rsid w:val="00190677"/>
    <w:rsid w:val="0019084B"/>
    <w:rsid w:val="00190973"/>
    <w:rsid w:val="00190D8B"/>
    <w:rsid w:val="00191399"/>
    <w:rsid w:val="0019162F"/>
    <w:rsid w:val="00191C97"/>
    <w:rsid w:val="00192147"/>
    <w:rsid w:val="00192196"/>
    <w:rsid w:val="00192396"/>
    <w:rsid w:val="00192620"/>
    <w:rsid w:val="00192E0E"/>
    <w:rsid w:val="0019362A"/>
    <w:rsid w:val="00193679"/>
    <w:rsid w:val="00193BDD"/>
    <w:rsid w:val="00193FB4"/>
    <w:rsid w:val="0019436A"/>
    <w:rsid w:val="0019453D"/>
    <w:rsid w:val="0019474E"/>
    <w:rsid w:val="00194E26"/>
    <w:rsid w:val="00194F71"/>
    <w:rsid w:val="00195321"/>
    <w:rsid w:val="00195728"/>
    <w:rsid w:val="001958B3"/>
    <w:rsid w:val="0019619B"/>
    <w:rsid w:val="001965C9"/>
    <w:rsid w:val="00196A01"/>
    <w:rsid w:val="00196F50"/>
    <w:rsid w:val="001970A1"/>
    <w:rsid w:val="001970C0"/>
    <w:rsid w:val="001973E0"/>
    <w:rsid w:val="0019755A"/>
    <w:rsid w:val="0019795C"/>
    <w:rsid w:val="00197B48"/>
    <w:rsid w:val="00197BC0"/>
    <w:rsid w:val="00197C64"/>
    <w:rsid w:val="00197D65"/>
    <w:rsid w:val="00197E06"/>
    <w:rsid w:val="00197EB3"/>
    <w:rsid w:val="001A01C7"/>
    <w:rsid w:val="001A022F"/>
    <w:rsid w:val="001A04AC"/>
    <w:rsid w:val="001A0615"/>
    <w:rsid w:val="001A0634"/>
    <w:rsid w:val="001A0833"/>
    <w:rsid w:val="001A089F"/>
    <w:rsid w:val="001A09CB"/>
    <w:rsid w:val="001A09EC"/>
    <w:rsid w:val="001A0EC0"/>
    <w:rsid w:val="001A1477"/>
    <w:rsid w:val="001A14C7"/>
    <w:rsid w:val="001A1C9E"/>
    <w:rsid w:val="001A1CB7"/>
    <w:rsid w:val="001A228B"/>
    <w:rsid w:val="001A2AD8"/>
    <w:rsid w:val="001A2BEF"/>
    <w:rsid w:val="001A2E27"/>
    <w:rsid w:val="001A3099"/>
    <w:rsid w:val="001A3494"/>
    <w:rsid w:val="001A3BC3"/>
    <w:rsid w:val="001A3BE5"/>
    <w:rsid w:val="001A3C4A"/>
    <w:rsid w:val="001A420B"/>
    <w:rsid w:val="001A46B1"/>
    <w:rsid w:val="001A4B97"/>
    <w:rsid w:val="001A4F7D"/>
    <w:rsid w:val="001A51F3"/>
    <w:rsid w:val="001A587C"/>
    <w:rsid w:val="001A62F3"/>
    <w:rsid w:val="001A6B25"/>
    <w:rsid w:val="001A6B3C"/>
    <w:rsid w:val="001A753C"/>
    <w:rsid w:val="001A7B42"/>
    <w:rsid w:val="001A7D8F"/>
    <w:rsid w:val="001B00AB"/>
    <w:rsid w:val="001B00C9"/>
    <w:rsid w:val="001B0499"/>
    <w:rsid w:val="001B04F9"/>
    <w:rsid w:val="001B0891"/>
    <w:rsid w:val="001B0A31"/>
    <w:rsid w:val="001B0DEB"/>
    <w:rsid w:val="001B0F4E"/>
    <w:rsid w:val="001B18E8"/>
    <w:rsid w:val="001B1E37"/>
    <w:rsid w:val="001B21D8"/>
    <w:rsid w:val="001B2283"/>
    <w:rsid w:val="001B2688"/>
    <w:rsid w:val="001B29F4"/>
    <w:rsid w:val="001B2A24"/>
    <w:rsid w:val="001B2A97"/>
    <w:rsid w:val="001B2CD4"/>
    <w:rsid w:val="001B2E97"/>
    <w:rsid w:val="001B368A"/>
    <w:rsid w:val="001B3E7B"/>
    <w:rsid w:val="001B4073"/>
    <w:rsid w:val="001B4087"/>
    <w:rsid w:val="001B4775"/>
    <w:rsid w:val="001B4CE2"/>
    <w:rsid w:val="001B4D1B"/>
    <w:rsid w:val="001B52BB"/>
    <w:rsid w:val="001B59E0"/>
    <w:rsid w:val="001B5F1D"/>
    <w:rsid w:val="001B6A01"/>
    <w:rsid w:val="001B6A14"/>
    <w:rsid w:val="001B6C83"/>
    <w:rsid w:val="001B6C99"/>
    <w:rsid w:val="001B6E68"/>
    <w:rsid w:val="001B7096"/>
    <w:rsid w:val="001B7329"/>
    <w:rsid w:val="001B76A1"/>
    <w:rsid w:val="001B77A0"/>
    <w:rsid w:val="001C00C9"/>
    <w:rsid w:val="001C015E"/>
    <w:rsid w:val="001C0486"/>
    <w:rsid w:val="001C04D6"/>
    <w:rsid w:val="001C07B5"/>
    <w:rsid w:val="001C086F"/>
    <w:rsid w:val="001C08A7"/>
    <w:rsid w:val="001C0B5B"/>
    <w:rsid w:val="001C139D"/>
    <w:rsid w:val="001C174A"/>
    <w:rsid w:val="001C1D05"/>
    <w:rsid w:val="001C1E95"/>
    <w:rsid w:val="001C2A48"/>
    <w:rsid w:val="001C2AB8"/>
    <w:rsid w:val="001C3049"/>
    <w:rsid w:val="001C327C"/>
    <w:rsid w:val="001C348F"/>
    <w:rsid w:val="001C34DE"/>
    <w:rsid w:val="001C34F0"/>
    <w:rsid w:val="001C3524"/>
    <w:rsid w:val="001C354C"/>
    <w:rsid w:val="001C3672"/>
    <w:rsid w:val="001C38E8"/>
    <w:rsid w:val="001C3C63"/>
    <w:rsid w:val="001C3F07"/>
    <w:rsid w:val="001C4038"/>
    <w:rsid w:val="001C4303"/>
    <w:rsid w:val="001C432A"/>
    <w:rsid w:val="001C433A"/>
    <w:rsid w:val="001C45C1"/>
    <w:rsid w:val="001C4822"/>
    <w:rsid w:val="001C4858"/>
    <w:rsid w:val="001C4BBE"/>
    <w:rsid w:val="001C5730"/>
    <w:rsid w:val="001C5EC6"/>
    <w:rsid w:val="001C6223"/>
    <w:rsid w:val="001C6547"/>
    <w:rsid w:val="001C686D"/>
    <w:rsid w:val="001C69E3"/>
    <w:rsid w:val="001C6AFD"/>
    <w:rsid w:val="001C6DFD"/>
    <w:rsid w:val="001C6E11"/>
    <w:rsid w:val="001C702E"/>
    <w:rsid w:val="001C7702"/>
    <w:rsid w:val="001C7CD5"/>
    <w:rsid w:val="001C7E31"/>
    <w:rsid w:val="001D0DAC"/>
    <w:rsid w:val="001D1480"/>
    <w:rsid w:val="001D1DD6"/>
    <w:rsid w:val="001D1E66"/>
    <w:rsid w:val="001D22E5"/>
    <w:rsid w:val="001D2343"/>
    <w:rsid w:val="001D29A8"/>
    <w:rsid w:val="001D2DE0"/>
    <w:rsid w:val="001D32C0"/>
    <w:rsid w:val="001D3A64"/>
    <w:rsid w:val="001D3C36"/>
    <w:rsid w:val="001D434C"/>
    <w:rsid w:val="001D4359"/>
    <w:rsid w:val="001D437B"/>
    <w:rsid w:val="001D497F"/>
    <w:rsid w:val="001D56FB"/>
    <w:rsid w:val="001D56FC"/>
    <w:rsid w:val="001D5725"/>
    <w:rsid w:val="001D5793"/>
    <w:rsid w:val="001D6437"/>
    <w:rsid w:val="001D67CE"/>
    <w:rsid w:val="001D6852"/>
    <w:rsid w:val="001D6A79"/>
    <w:rsid w:val="001D6B97"/>
    <w:rsid w:val="001D6DB5"/>
    <w:rsid w:val="001D6E7D"/>
    <w:rsid w:val="001D6FE7"/>
    <w:rsid w:val="001D7476"/>
    <w:rsid w:val="001D74A7"/>
    <w:rsid w:val="001D7535"/>
    <w:rsid w:val="001E08F0"/>
    <w:rsid w:val="001E0C4F"/>
    <w:rsid w:val="001E0EBC"/>
    <w:rsid w:val="001E0F10"/>
    <w:rsid w:val="001E0F9A"/>
    <w:rsid w:val="001E1108"/>
    <w:rsid w:val="001E15F2"/>
    <w:rsid w:val="001E177E"/>
    <w:rsid w:val="001E1DD9"/>
    <w:rsid w:val="001E2073"/>
    <w:rsid w:val="001E22F7"/>
    <w:rsid w:val="001E2538"/>
    <w:rsid w:val="001E269B"/>
    <w:rsid w:val="001E293F"/>
    <w:rsid w:val="001E2B9F"/>
    <w:rsid w:val="001E2F2C"/>
    <w:rsid w:val="001E2F9E"/>
    <w:rsid w:val="001E3596"/>
    <w:rsid w:val="001E3731"/>
    <w:rsid w:val="001E3CB6"/>
    <w:rsid w:val="001E465F"/>
    <w:rsid w:val="001E48DB"/>
    <w:rsid w:val="001E540B"/>
    <w:rsid w:val="001E55A1"/>
    <w:rsid w:val="001E5ACB"/>
    <w:rsid w:val="001E5C39"/>
    <w:rsid w:val="001E5C85"/>
    <w:rsid w:val="001E603E"/>
    <w:rsid w:val="001E6088"/>
    <w:rsid w:val="001E62A8"/>
    <w:rsid w:val="001E636D"/>
    <w:rsid w:val="001E63C6"/>
    <w:rsid w:val="001E6B9C"/>
    <w:rsid w:val="001E6BD0"/>
    <w:rsid w:val="001E6BED"/>
    <w:rsid w:val="001E6DC0"/>
    <w:rsid w:val="001E6FC9"/>
    <w:rsid w:val="001E7365"/>
    <w:rsid w:val="001E75E4"/>
    <w:rsid w:val="001E7756"/>
    <w:rsid w:val="001E781F"/>
    <w:rsid w:val="001E7ECB"/>
    <w:rsid w:val="001E7ED3"/>
    <w:rsid w:val="001F0022"/>
    <w:rsid w:val="001F0147"/>
    <w:rsid w:val="001F05A2"/>
    <w:rsid w:val="001F0617"/>
    <w:rsid w:val="001F071D"/>
    <w:rsid w:val="001F0E9E"/>
    <w:rsid w:val="001F1906"/>
    <w:rsid w:val="001F1990"/>
    <w:rsid w:val="001F1B37"/>
    <w:rsid w:val="001F1E06"/>
    <w:rsid w:val="001F209F"/>
    <w:rsid w:val="001F21ED"/>
    <w:rsid w:val="001F2287"/>
    <w:rsid w:val="001F2390"/>
    <w:rsid w:val="001F2398"/>
    <w:rsid w:val="001F2755"/>
    <w:rsid w:val="001F2902"/>
    <w:rsid w:val="001F2CF8"/>
    <w:rsid w:val="001F2E52"/>
    <w:rsid w:val="001F3DC8"/>
    <w:rsid w:val="001F3F36"/>
    <w:rsid w:val="001F3F64"/>
    <w:rsid w:val="001F41FC"/>
    <w:rsid w:val="001F48A9"/>
    <w:rsid w:val="001F573E"/>
    <w:rsid w:val="001F586A"/>
    <w:rsid w:val="001F5D20"/>
    <w:rsid w:val="001F60B0"/>
    <w:rsid w:val="001F658C"/>
    <w:rsid w:val="001F675C"/>
    <w:rsid w:val="001F67A7"/>
    <w:rsid w:val="001F6D47"/>
    <w:rsid w:val="001F6D8C"/>
    <w:rsid w:val="001F6F2E"/>
    <w:rsid w:val="001F6F44"/>
    <w:rsid w:val="001F7328"/>
    <w:rsid w:val="001F7563"/>
    <w:rsid w:val="001F7730"/>
    <w:rsid w:val="001F7A97"/>
    <w:rsid w:val="001F7AD2"/>
    <w:rsid w:val="001F7C3A"/>
    <w:rsid w:val="001F7F09"/>
    <w:rsid w:val="00200236"/>
    <w:rsid w:val="0020086D"/>
    <w:rsid w:val="00200E93"/>
    <w:rsid w:val="00200F04"/>
    <w:rsid w:val="002014DB"/>
    <w:rsid w:val="002018A7"/>
    <w:rsid w:val="00201BEF"/>
    <w:rsid w:val="002021BC"/>
    <w:rsid w:val="002025FC"/>
    <w:rsid w:val="00202C34"/>
    <w:rsid w:val="00202D84"/>
    <w:rsid w:val="0020317C"/>
    <w:rsid w:val="00203445"/>
    <w:rsid w:val="00203594"/>
    <w:rsid w:val="00203E0C"/>
    <w:rsid w:val="00203F01"/>
    <w:rsid w:val="00204041"/>
    <w:rsid w:val="002044C4"/>
    <w:rsid w:val="00204CB9"/>
    <w:rsid w:val="0020507B"/>
    <w:rsid w:val="002060CF"/>
    <w:rsid w:val="002060E2"/>
    <w:rsid w:val="00206578"/>
    <w:rsid w:val="00206CE1"/>
    <w:rsid w:val="00207135"/>
    <w:rsid w:val="00207332"/>
    <w:rsid w:val="0020748D"/>
    <w:rsid w:val="0020757A"/>
    <w:rsid w:val="00207802"/>
    <w:rsid w:val="0020793A"/>
    <w:rsid w:val="00207D3E"/>
    <w:rsid w:val="00207F59"/>
    <w:rsid w:val="00210CE8"/>
    <w:rsid w:val="00210E19"/>
    <w:rsid w:val="00210E76"/>
    <w:rsid w:val="0021108D"/>
    <w:rsid w:val="0021142B"/>
    <w:rsid w:val="00211B1E"/>
    <w:rsid w:val="00211B9A"/>
    <w:rsid w:val="00211DC3"/>
    <w:rsid w:val="0021296A"/>
    <w:rsid w:val="002129F4"/>
    <w:rsid w:val="00212C25"/>
    <w:rsid w:val="00212C7B"/>
    <w:rsid w:val="002132F3"/>
    <w:rsid w:val="00213576"/>
    <w:rsid w:val="00213A82"/>
    <w:rsid w:val="00213D24"/>
    <w:rsid w:val="0021433A"/>
    <w:rsid w:val="00214554"/>
    <w:rsid w:val="00214A6D"/>
    <w:rsid w:val="002150EF"/>
    <w:rsid w:val="00215112"/>
    <w:rsid w:val="002155B6"/>
    <w:rsid w:val="002157E4"/>
    <w:rsid w:val="00215AFB"/>
    <w:rsid w:val="00215DEA"/>
    <w:rsid w:val="002160DC"/>
    <w:rsid w:val="00216570"/>
    <w:rsid w:val="002172B0"/>
    <w:rsid w:val="00217484"/>
    <w:rsid w:val="0021773E"/>
    <w:rsid w:val="0021780D"/>
    <w:rsid w:val="00217962"/>
    <w:rsid w:val="002200D8"/>
    <w:rsid w:val="00220AA6"/>
    <w:rsid w:val="00221081"/>
    <w:rsid w:val="002211F2"/>
    <w:rsid w:val="00221457"/>
    <w:rsid w:val="002214F2"/>
    <w:rsid w:val="002215FD"/>
    <w:rsid w:val="00221700"/>
    <w:rsid w:val="00221C2B"/>
    <w:rsid w:val="00221FA3"/>
    <w:rsid w:val="002221D5"/>
    <w:rsid w:val="002224A1"/>
    <w:rsid w:val="00222525"/>
    <w:rsid w:val="00222677"/>
    <w:rsid w:val="002226D3"/>
    <w:rsid w:val="00222A2F"/>
    <w:rsid w:val="00222B32"/>
    <w:rsid w:val="00222BBE"/>
    <w:rsid w:val="0022354C"/>
    <w:rsid w:val="00223664"/>
    <w:rsid w:val="00223A56"/>
    <w:rsid w:val="00223ADC"/>
    <w:rsid w:val="00223ADD"/>
    <w:rsid w:val="00223C04"/>
    <w:rsid w:val="00223F4B"/>
    <w:rsid w:val="00224155"/>
    <w:rsid w:val="002243D5"/>
    <w:rsid w:val="00224624"/>
    <w:rsid w:val="00224953"/>
    <w:rsid w:val="00224C20"/>
    <w:rsid w:val="00225378"/>
    <w:rsid w:val="002255D7"/>
    <w:rsid w:val="00225694"/>
    <w:rsid w:val="002257BC"/>
    <w:rsid w:val="00225833"/>
    <w:rsid w:val="00225F17"/>
    <w:rsid w:val="00226095"/>
    <w:rsid w:val="0022618D"/>
    <w:rsid w:val="0022692B"/>
    <w:rsid w:val="00226B16"/>
    <w:rsid w:val="00226D7B"/>
    <w:rsid w:val="002273AD"/>
    <w:rsid w:val="0022774B"/>
    <w:rsid w:val="00227756"/>
    <w:rsid w:val="0022776D"/>
    <w:rsid w:val="002279FF"/>
    <w:rsid w:val="00227A1F"/>
    <w:rsid w:val="00227B89"/>
    <w:rsid w:val="00227C4E"/>
    <w:rsid w:val="00227CDF"/>
    <w:rsid w:val="00227F43"/>
    <w:rsid w:val="00227F75"/>
    <w:rsid w:val="00227FD9"/>
    <w:rsid w:val="002300AB"/>
    <w:rsid w:val="002300AC"/>
    <w:rsid w:val="00230488"/>
    <w:rsid w:val="00230538"/>
    <w:rsid w:val="002307E6"/>
    <w:rsid w:val="00230916"/>
    <w:rsid w:val="00230C5A"/>
    <w:rsid w:val="00231168"/>
    <w:rsid w:val="0023140A"/>
    <w:rsid w:val="00231659"/>
    <w:rsid w:val="00231F6E"/>
    <w:rsid w:val="0023213E"/>
    <w:rsid w:val="00232364"/>
    <w:rsid w:val="002327A2"/>
    <w:rsid w:val="00232B08"/>
    <w:rsid w:val="00232ECA"/>
    <w:rsid w:val="00233078"/>
    <w:rsid w:val="0023334C"/>
    <w:rsid w:val="002338B5"/>
    <w:rsid w:val="00233D7F"/>
    <w:rsid w:val="00233E40"/>
    <w:rsid w:val="002345C3"/>
    <w:rsid w:val="00234640"/>
    <w:rsid w:val="0023466F"/>
    <w:rsid w:val="00234848"/>
    <w:rsid w:val="00234DD1"/>
    <w:rsid w:val="00235001"/>
    <w:rsid w:val="00235266"/>
    <w:rsid w:val="0023583C"/>
    <w:rsid w:val="00235AD1"/>
    <w:rsid w:val="00235E7C"/>
    <w:rsid w:val="00235F95"/>
    <w:rsid w:val="002362DD"/>
    <w:rsid w:val="002365B1"/>
    <w:rsid w:val="002365D9"/>
    <w:rsid w:val="002366B3"/>
    <w:rsid w:val="00236842"/>
    <w:rsid w:val="0023689F"/>
    <w:rsid w:val="00237B91"/>
    <w:rsid w:val="00237D46"/>
    <w:rsid w:val="00237E15"/>
    <w:rsid w:val="00237E62"/>
    <w:rsid w:val="00237FAE"/>
    <w:rsid w:val="00240106"/>
    <w:rsid w:val="0024031F"/>
    <w:rsid w:val="00240742"/>
    <w:rsid w:val="00240F9F"/>
    <w:rsid w:val="002411C7"/>
    <w:rsid w:val="002412EF"/>
    <w:rsid w:val="00241AE3"/>
    <w:rsid w:val="00241DED"/>
    <w:rsid w:val="00242232"/>
    <w:rsid w:val="0024234E"/>
    <w:rsid w:val="0024243E"/>
    <w:rsid w:val="00242605"/>
    <w:rsid w:val="00242766"/>
    <w:rsid w:val="002428B3"/>
    <w:rsid w:val="00242943"/>
    <w:rsid w:val="00242957"/>
    <w:rsid w:val="00242C7D"/>
    <w:rsid w:val="00242F4E"/>
    <w:rsid w:val="00243F54"/>
    <w:rsid w:val="002440D7"/>
    <w:rsid w:val="00244762"/>
    <w:rsid w:val="002449D7"/>
    <w:rsid w:val="00244A25"/>
    <w:rsid w:val="00244A4D"/>
    <w:rsid w:val="002452A0"/>
    <w:rsid w:val="0024561E"/>
    <w:rsid w:val="00245769"/>
    <w:rsid w:val="00245781"/>
    <w:rsid w:val="00245A57"/>
    <w:rsid w:val="00245AA3"/>
    <w:rsid w:val="00245D4A"/>
    <w:rsid w:val="00246095"/>
    <w:rsid w:val="002463A6"/>
    <w:rsid w:val="002464EA"/>
    <w:rsid w:val="00246ADB"/>
    <w:rsid w:val="00247B8E"/>
    <w:rsid w:val="00250784"/>
    <w:rsid w:val="00250CA6"/>
    <w:rsid w:val="00251356"/>
    <w:rsid w:val="00251464"/>
    <w:rsid w:val="002514F5"/>
    <w:rsid w:val="00251692"/>
    <w:rsid w:val="002517A5"/>
    <w:rsid w:val="00251F6C"/>
    <w:rsid w:val="0025249C"/>
    <w:rsid w:val="0025280C"/>
    <w:rsid w:val="0025298B"/>
    <w:rsid w:val="00253513"/>
    <w:rsid w:val="002536C1"/>
    <w:rsid w:val="00253705"/>
    <w:rsid w:val="002539ED"/>
    <w:rsid w:val="00253A63"/>
    <w:rsid w:val="00253B53"/>
    <w:rsid w:val="00253B7B"/>
    <w:rsid w:val="00254136"/>
    <w:rsid w:val="0025427E"/>
    <w:rsid w:val="0025440D"/>
    <w:rsid w:val="00254447"/>
    <w:rsid w:val="00254461"/>
    <w:rsid w:val="002544CB"/>
    <w:rsid w:val="0025450E"/>
    <w:rsid w:val="002545AE"/>
    <w:rsid w:val="0025467D"/>
    <w:rsid w:val="002548A5"/>
    <w:rsid w:val="00254C2D"/>
    <w:rsid w:val="00254F1C"/>
    <w:rsid w:val="00255152"/>
    <w:rsid w:val="00255443"/>
    <w:rsid w:val="0025554E"/>
    <w:rsid w:val="002557F2"/>
    <w:rsid w:val="002558FA"/>
    <w:rsid w:val="00255D81"/>
    <w:rsid w:val="00255DAE"/>
    <w:rsid w:val="00255DED"/>
    <w:rsid w:val="0025602D"/>
    <w:rsid w:val="00256092"/>
    <w:rsid w:val="0025693F"/>
    <w:rsid w:val="00256AB8"/>
    <w:rsid w:val="00256AF8"/>
    <w:rsid w:val="00256BDF"/>
    <w:rsid w:val="002573D4"/>
    <w:rsid w:val="00257D1D"/>
    <w:rsid w:val="0026015B"/>
    <w:rsid w:val="00260186"/>
    <w:rsid w:val="00260391"/>
    <w:rsid w:val="0026095E"/>
    <w:rsid w:val="00260B65"/>
    <w:rsid w:val="00261148"/>
    <w:rsid w:val="0026141C"/>
    <w:rsid w:val="0026159C"/>
    <w:rsid w:val="002617D2"/>
    <w:rsid w:val="0026197B"/>
    <w:rsid w:val="00262134"/>
    <w:rsid w:val="00262213"/>
    <w:rsid w:val="00262330"/>
    <w:rsid w:val="002624E2"/>
    <w:rsid w:val="00262AD2"/>
    <w:rsid w:val="00262F57"/>
    <w:rsid w:val="002635D5"/>
    <w:rsid w:val="002635DE"/>
    <w:rsid w:val="0026369B"/>
    <w:rsid w:val="002636E0"/>
    <w:rsid w:val="0026375A"/>
    <w:rsid w:val="002638F4"/>
    <w:rsid w:val="002639C0"/>
    <w:rsid w:val="00263BE2"/>
    <w:rsid w:val="00263FB5"/>
    <w:rsid w:val="002644DF"/>
    <w:rsid w:val="0026462D"/>
    <w:rsid w:val="0026488B"/>
    <w:rsid w:val="002649F9"/>
    <w:rsid w:val="00264E25"/>
    <w:rsid w:val="00264F16"/>
    <w:rsid w:val="00265382"/>
    <w:rsid w:val="0026558B"/>
    <w:rsid w:val="002660A5"/>
    <w:rsid w:val="002660C4"/>
    <w:rsid w:val="002661E1"/>
    <w:rsid w:val="00266217"/>
    <w:rsid w:val="0026674F"/>
    <w:rsid w:val="0026712C"/>
    <w:rsid w:val="002675F6"/>
    <w:rsid w:val="00267C10"/>
    <w:rsid w:val="00267C9F"/>
    <w:rsid w:val="00267E78"/>
    <w:rsid w:val="00270123"/>
    <w:rsid w:val="002702C6"/>
    <w:rsid w:val="00270318"/>
    <w:rsid w:val="002703D3"/>
    <w:rsid w:val="00270749"/>
    <w:rsid w:val="0027098A"/>
    <w:rsid w:val="00270B21"/>
    <w:rsid w:val="00270B27"/>
    <w:rsid w:val="00270C51"/>
    <w:rsid w:val="00270C62"/>
    <w:rsid w:val="00270E1C"/>
    <w:rsid w:val="00270F0C"/>
    <w:rsid w:val="00270FC3"/>
    <w:rsid w:val="00271190"/>
    <w:rsid w:val="00271422"/>
    <w:rsid w:val="00271527"/>
    <w:rsid w:val="0027160C"/>
    <w:rsid w:val="0027190D"/>
    <w:rsid w:val="002726D7"/>
    <w:rsid w:val="002731C6"/>
    <w:rsid w:val="002731CA"/>
    <w:rsid w:val="002731F2"/>
    <w:rsid w:val="002732C8"/>
    <w:rsid w:val="002735C1"/>
    <w:rsid w:val="00273C3C"/>
    <w:rsid w:val="00273C70"/>
    <w:rsid w:val="00273F5B"/>
    <w:rsid w:val="00274446"/>
    <w:rsid w:val="00274692"/>
    <w:rsid w:val="00274DDE"/>
    <w:rsid w:val="002751C4"/>
    <w:rsid w:val="002751D1"/>
    <w:rsid w:val="00275209"/>
    <w:rsid w:val="002755B8"/>
    <w:rsid w:val="00275924"/>
    <w:rsid w:val="0027601F"/>
    <w:rsid w:val="0027612C"/>
    <w:rsid w:val="002764F0"/>
    <w:rsid w:val="0027658C"/>
    <w:rsid w:val="00276A6A"/>
    <w:rsid w:val="0027711E"/>
    <w:rsid w:val="00277509"/>
    <w:rsid w:val="002779CB"/>
    <w:rsid w:val="00277BC4"/>
    <w:rsid w:val="00277BDA"/>
    <w:rsid w:val="00277E3A"/>
    <w:rsid w:val="0028001E"/>
    <w:rsid w:val="00280312"/>
    <w:rsid w:val="002803E6"/>
    <w:rsid w:val="0028040B"/>
    <w:rsid w:val="002805F4"/>
    <w:rsid w:val="00280713"/>
    <w:rsid w:val="00280B83"/>
    <w:rsid w:val="00280F15"/>
    <w:rsid w:val="00280FB3"/>
    <w:rsid w:val="00281E64"/>
    <w:rsid w:val="00282259"/>
    <w:rsid w:val="00282707"/>
    <w:rsid w:val="00282CF4"/>
    <w:rsid w:val="00282D4B"/>
    <w:rsid w:val="002831C8"/>
    <w:rsid w:val="00283226"/>
    <w:rsid w:val="002832FC"/>
    <w:rsid w:val="00283479"/>
    <w:rsid w:val="002834F1"/>
    <w:rsid w:val="00283649"/>
    <w:rsid w:val="00283A4E"/>
    <w:rsid w:val="00283AE1"/>
    <w:rsid w:val="00283B9C"/>
    <w:rsid w:val="00283E52"/>
    <w:rsid w:val="00284340"/>
    <w:rsid w:val="00284569"/>
    <w:rsid w:val="00284A08"/>
    <w:rsid w:val="00286629"/>
    <w:rsid w:val="002877D4"/>
    <w:rsid w:val="00287AE8"/>
    <w:rsid w:val="00287E24"/>
    <w:rsid w:val="00287E78"/>
    <w:rsid w:val="002900DA"/>
    <w:rsid w:val="00290426"/>
    <w:rsid w:val="00290676"/>
    <w:rsid w:val="00290C7A"/>
    <w:rsid w:val="00290CB8"/>
    <w:rsid w:val="00290CBF"/>
    <w:rsid w:val="00291049"/>
    <w:rsid w:val="0029104B"/>
    <w:rsid w:val="00291462"/>
    <w:rsid w:val="00291572"/>
    <w:rsid w:val="002918ED"/>
    <w:rsid w:val="00291A68"/>
    <w:rsid w:val="00291B86"/>
    <w:rsid w:val="00291D0B"/>
    <w:rsid w:val="00292385"/>
    <w:rsid w:val="002923CE"/>
    <w:rsid w:val="002924EF"/>
    <w:rsid w:val="00292623"/>
    <w:rsid w:val="0029290A"/>
    <w:rsid w:val="00292ABB"/>
    <w:rsid w:val="00292C9E"/>
    <w:rsid w:val="0029382D"/>
    <w:rsid w:val="00293F25"/>
    <w:rsid w:val="00294362"/>
    <w:rsid w:val="00294495"/>
    <w:rsid w:val="00294568"/>
    <w:rsid w:val="0029466A"/>
    <w:rsid w:val="002946A1"/>
    <w:rsid w:val="00294C38"/>
    <w:rsid w:val="00294F76"/>
    <w:rsid w:val="002952A0"/>
    <w:rsid w:val="00295401"/>
    <w:rsid w:val="00296A05"/>
    <w:rsid w:val="00296A55"/>
    <w:rsid w:val="00296E54"/>
    <w:rsid w:val="00296F71"/>
    <w:rsid w:val="00297504"/>
    <w:rsid w:val="00297C42"/>
    <w:rsid w:val="00297DBC"/>
    <w:rsid w:val="00297E18"/>
    <w:rsid w:val="00297E58"/>
    <w:rsid w:val="002A0099"/>
    <w:rsid w:val="002A016D"/>
    <w:rsid w:val="002A04B4"/>
    <w:rsid w:val="002A06FE"/>
    <w:rsid w:val="002A0C3E"/>
    <w:rsid w:val="002A118C"/>
    <w:rsid w:val="002A1423"/>
    <w:rsid w:val="002A145B"/>
    <w:rsid w:val="002A14EC"/>
    <w:rsid w:val="002A15BF"/>
    <w:rsid w:val="002A18BE"/>
    <w:rsid w:val="002A1FF7"/>
    <w:rsid w:val="002A20EB"/>
    <w:rsid w:val="002A210E"/>
    <w:rsid w:val="002A21EC"/>
    <w:rsid w:val="002A25B2"/>
    <w:rsid w:val="002A2768"/>
    <w:rsid w:val="002A2ED5"/>
    <w:rsid w:val="002A36F6"/>
    <w:rsid w:val="002A3802"/>
    <w:rsid w:val="002A39D2"/>
    <w:rsid w:val="002A3A01"/>
    <w:rsid w:val="002A3BDC"/>
    <w:rsid w:val="002A3CAD"/>
    <w:rsid w:val="002A3D36"/>
    <w:rsid w:val="002A3FB3"/>
    <w:rsid w:val="002A4084"/>
    <w:rsid w:val="002A423A"/>
    <w:rsid w:val="002A4AD6"/>
    <w:rsid w:val="002A4FC7"/>
    <w:rsid w:val="002A50B4"/>
    <w:rsid w:val="002A51AD"/>
    <w:rsid w:val="002A542E"/>
    <w:rsid w:val="002A566D"/>
    <w:rsid w:val="002A5839"/>
    <w:rsid w:val="002A5F33"/>
    <w:rsid w:val="002A6B58"/>
    <w:rsid w:val="002A6C17"/>
    <w:rsid w:val="002A6C4A"/>
    <w:rsid w:val="002A6E9F"/>
    <w:rsid w:val="002A6FE3"/>
    <w:rsid w:val="002A7196"/>
    <w:rsid w:val="002A758B"/>
    <w:rsid w:val="002A76AE"/>
    <w:rsid w:val="002A777C"/>
    <w:rsid w:val="002A7A10"/>
    <w:rsid w:val="002A7D66"/>
    <w:rsid w:val="002B03BC"/>
    <w:rsid w:val="002B03EB"/>
    <w:rsid w:val="002B127E"/>
    <w:rsid w:val="002B1384"/>
    <w:rsid w:val="002B14C3"/>
    <w:rsid w:val="002B180F"/>
    <w:rsid w:val="002B19F2"/>
    <w:rsid w:val="002B1A10"/>
    <w:rsid w:val="002B1BEF"/>
    <w:rsid w:val="002B2075"/>
    <w:rsid w:val="002B25C3"/>
    <w:rsid w:val="002B2BEF"/>
    <w:rsid w:val="002B3681"/>
    <w:rsid w:val="002B3901"/>
    <w:rsid w:val="002B3E1E"/>
    <w:rsid w:val="002B459E"/>
    <w:rsid w:val="002B4809"/>
    <w:rsid w:val="002B4A69"/>
    <w:rsid w:val="002B4B15"/>
    <w:rsid w:val="002B4D16"/>
    <w:rsid w:val="002B5426"/>
    <w:rsid w:val="002B55AB"/>
    <w:rsid w:val="002B57B2"/>
    <w:rsid w:val="002B5DA9"/>
    <w:rsid w:val="002B5DE3"/>
    <w:rsid w:val="002B667C"/>
    <w:rsid w:val="002B681F"/>
    <w:rsid w:val="002B6958"/>
    <w:rsid w:val="002B6AFE"/>
    <w:rsid w:val="002B74F5"/>
    <w:rsid w:val="002B79C1"/>
    <w:rsid w:val="002B7B96"/>
    <w:rsid w:val="002B7E74"/>
    <w:rsid w:val="002B7F34"/>
    <w:rsid w:val="002C0323"/>
    <w:rsid w:val="002C0835"/>
    <w:rsid w:val="002C0905"/>
    <w:rsid w:val="002C0B7E"/>
    <w:rsid w:val="002C101E"/>
    <w:rsid w:val="002C11CA"/>
    <w:rsid w:val="002C12D4"/>
    <w:rsid w:val="002C147D"/>
    <w:rsid w:val="002C15B1"/>
    <w:rsid w:val="002C1BA2"/>
    <w:rsid w:val="002C1CFC"/>
    <w:rsid w:val="002C1E1E"/>
    <w:rsid w:val="002C1EC2"/>
    <w:rsid w:val="002C211E"/>
    <w:rsid w:val="002C2239"/>
    <w:rsid w:val="002C22DD"/>
    <w:rsid w:val="002C2E65"/>
    <w:rsid w:val="002C2EDF"/>
    <w:rsid w:val="002C2EEE"/>
    <w:rsid w:val="002C3023"/>
    <w:rsid w:val="002C3132"/>
    <w:rsid w:val="002C31B5"/>
    <w:rsid w:val="002C3282"/>
    <w:rsid w:val="002C360F"/>
    <w:rsid w:val="002C3A6E"/>
    <w:rsid w:val="002C3D45"/>
    <w:rsid w:val="002C3FDA"/>
    <w:rsid w:val="002C45E8"/>
    <w:rsid w:val="002C47EE"/>
    <w:rsid w:val="002C4D3F"/>
    <w:rsid w:val="002C50A6"/>
    <w:rsid w:val="002C54C1"/>
    <w:rsid w:val="002C569A"/>
    <w:rsid w:val="002C57C1"/>
    <w:rsid w:val="002C5B59"/>
    <w:rsid w:val="002C5BE2"/>
    <w:rsid w:val="002C6106"/>
    <w:rsid w:val="002C6680"/>
    <w:rsid w:val="002C674D"/>
    <w:rsid w:val="002C6A72"/>
    <w:rsid w:val="002C6AB6"/>
    <w:rsid w:val="002C6F6B"/>
    <w:rsid w:val="002C70B7"/>
    <w:rsid w:val="002C70CE"/>
    <w:rsid w:val="002C7232"/>
    <w:rsid w:val="002C734E"/>
    <w:rsid w:val="002C7C92"/>
    <w:rsid w:val="002C7CB2"/>
    <w:rsid w:val="002C7E2D"/>
    <w:rsid w:val="002C7EB4"/>
    <w:rsid w:val="002D0484"/>
    <w:rsid w:val="002D04FA"/>
    <w:rsid w:val="002D090E"/>
    <w:rsid w:val="002D0C9A"/>
    <w:rsid w:val="002D0CFA"/>
    <w:rsid w:val="002D0DE3"/>
    <w:rsid w:val="002D11CF"/>
    <w:rsid w:val="002D18C3"/>
    <w:rsid w:val="002D1C42"/>
    <w:rsid w:val="002D225B"/>
    <w:rsid w:val="002D281E"/>
    <w:rsid w:val="002D2E7E"/>
    <w:rsid w:val="002D35E7"/>
    <w:rsid w:val="002D3784"/>
    <w:rsid w:val="002D3D02"/>
    <w:rsid w:val="002D4121"/>
    <w:rsid w:val="002D4216"/>
    <w:rsid w:val="002D4591"/>
    <w:rsid w:val="002D4BDD"/>
    <w:rsid w:val="002D4BE5"/>
    <w:rsid w:val="002D4EA3"/>
    <w:rsid w:val="002D5097"/>
    <w:rsid w:val="002D50A1"/>
    <w:rsid w:val="002D5157"/>
    <w:rsid w:val="002D5336"/>
    <w:rsid w:val="002D55E4"/>
    <w:rsid w:val="002D5AAC"/>
    <w:rsid w:val="002D6360"/>
    <w:rsid w:val="002D64E5"/>
    <w:rsid w:val="002D6551"/>
    <w:rsid w:val="002D6620"/>
    <w:rsid w:val="002D6889"/>
    <w:rsid w:val="002D690D"/>
    <w:rsid w:val="002D6ECC"/>
    <w:rsid w:val="002D706B"/>
    <w:rsid w:val="002D72C9"/>
    <w:rsid w:val="002D7CF6"/>
    <w:rsid w:val="002E0B26"/>
    <w:rsid w:val="002E0C8F"/>
    <w:rsid w:val="002E0D35"/>
    <w:rsid w:val="002E1ECD"/>
    <w:rsid w:val="002E2014"/>
    <w:rsid w:val="002E25BD"/>
    <w:rsid w:val="002E25D0"/>
    <w:rsid w:val="002E25E8"/>
    <w:rsid w:val="002E28B9"/>
    <w:rsid w:val="002E2BDB"/>
    <w:rsid w:val="002E2D38"/>
    <w:rsid w:val="002E38ED"/>
    <w:rsid w:val="002E3BCD"/>
    <w:rsid w:val="002E3FFF"/>
    <w:rsid w:val="002E4012"/>
    <w:rsid w:val="002E45E1"/>
    <w:rsid w:val="002E4CFE"/>
    <w:rsid w:val="002E5363"/>
    <w:rsid w:val="002E55A4"/>
    <w:rsid w:val="002E5760"/>
    <w:rsid w:val="002E58A5"/>
    <w:rsid w:val="002E59E5"/>
    <w:rsid w:val="002E5D60"/>
    <w:rsid w:val="002E5DA7"/>
    <w:rsid w:val="002E5DDE"/>
    <w:rsid w:val="002E5F9A"/>
    <w:rsid w:val="002E5FE6"/>
    <w:rsid w:val="002E60A1"/>
    <w:rsid w:val="002E61CB"/>
    <w:rsid w:val="002E63BE"/>
    <w:rsid w:val="002E647A"/>
    <w:rsid w:val="002E675C"/>
    <w:rsid w:val="002E6AA4"/>
    <w:rsid w:val="002E6D88"/>
    <w:rsid w:val="002E6DFE"/>
    <w:rsid w:val="002E7566"/>
    <w:rsid w:val="002E7775"/>
    <w:rsid w:val="002E78AB"/>
    <w:rsid w:val="002E7AD2"/>
    <w:rsid w:val="002E7BF8"/>
    <w:rsid w:val="002E7D22"/>
    <w:rsid w:val="002E7DCC"/>
    <w:rsid w:val="002E7F12"/>
    <w:rsid w:val="002F0501"/>
    <w:rsid w:val="002F0591"/>
    <w:rsid w:val="002F08F4"/>
    <w:rsid w:val="002F0B6E"/>
    <w:rsid w:val="002F0B95"/>
    <w:rsid w:val="002F11BA"/>
    <w:rsid w:val="002F1399"/>
    <w:rsid w:val="002F140E"/>
    <w:rsid w:val="002F1538"/>
    <w:rsid w:val="002F19E3"/>
    <w:rsid w:val="002F1B80"/>
    <w:rsid w:val="002F20E2"/>
    <w:rsid w:val="002F2426"/>
    <w:rsid w:val="002F2723"/>
    <w:rsid w:val="002F279B"/>
    <w:rsid w:val="002F2930"/>
    <w:rsid w:val="002F2A4B"/>
    <w:rsid w:val="002F2C0C"/>
    <w:rsid w:val="002F2FF2"/>
    <w:rsid w:val="002F32FB"/>
    <w:rsid w:val="002F342F"/>
    <w:rsid w:val="002F3570"/>
    <w:rsid w:val="002F35A1"/>
    <w:rsid w:val="002F3B81"/>
    <w:rsid w:val="002F3D4B"/>
    <w:rsid w:val="002F4072"/>
    <w:rsid w:val="002F47A5"/>
    <w:rsid w:val="002F554D"/>
    <w:rsid w:val="002F5611"/>
    <w:rsid w:val="002F59B8"/>
    <w:rsid w:val="002F5B26"/>
    <w:rsid w:val="002F5F5E"/>
    <w:rsid w:val="002F5F85"/>
    <w:rsid w:val="002F6235"/>
    <w:rsid w:val="002F647A"/>
    <w:rsid w:val="002F693F"/>
    <w:rsid w:val="002F7063"/>
    <w:rsid w:val="002F774A"/>
    <w:rsid w:val="002F7A36"/>
    <w:rsid w:val="00300482"/>
    <w:rsid w:val="003008CC"/>
    <w:rsid w:val="00300DC0"/>
    <w:rsid w:val="00301245"/>
    <w:rsid w:val="00301348"/>
    <w:rsid w:val="00301763"/>
    <w:rsid w:val="00301BE8"/>
    <w:rsid w:val="00301E5B"/>
    <w:rsid w:val="00301F76"/>
    <w:rsid w:val="00301FCE"/>
    <w:rsid w:val="003021A0"/>
    <w:rsid w:val="00302252"/>
    <w:rsid w:val="00302B2C"/>
    <w:rsid w:val="00302B31"/>
    <w:rsid w:val="00302BF5"/>
    <w:rsid w:val="00302C12"/>
    <w:rsid w:val="003031DC"/>
    <w:rsid w:val="003031F5"/>
    <w:rsid w:val="0030379D"/>
    <w:rsid w:val="0030397A"/>
    <w:rsid w:val="00303C60"/>
    <w:rsid w:val="00303EC3"/>
    <w:rsid w:val="00304578"/>
    <w:rsid w:val="00304B83"/>
    <w:rsid w:val="00304DC8"/>
    <w:rsid w:val="00304FB8"/>
    <w:rsid w:val="00305094"/>
    <w:rsid w:val="0030578B"/>
    <w:rsid w:val="0030639D"/>
    <w:rsid w:val="00306E31"/>
    <w:rsid w:val="00306FB8"/>
    <w:rsid w:val="00307299"/>
    <w:rsid w:val="0030730E"/>
    <w:rsid w:val="003073C3"/>
    <w:rsid w:val="00307809"/>
    <w:rsid w:val="003078C9"/>
    <w:rsid w:val="00307A4B"/>
    <w:rsid w:val="00307F1A"/>
    <w:rsid w:val="00310938"/>
    <w:rsid w:val="00310996"/>
    <w:rsid w:val="00310B9B"/>
    <w:rsid w:val="00310C3F"/>
    <w:rsid w:val="00310DB4"/>
    <w:rsid w:val="00310EEA"/>
    <w:rsid w:val="0031141E"/>
    <w:rsid w:val="00311B72"/>
    <w:rsid w:val="00312979"/>
    <w:rsid w:val="00312B43"/>
    <w:rsid w:val="00312C59"/>
    <w:rsid w:val="0031308E"/>
    <w:rsid w:val="00313847"/>
    <w:rsid w:val="00313923"/>
    <w:rsid w:val="003139BC"/>
    <w:rsid w:val="00313F64"/>
    <w:rsid w:val="003140D2"/>
    <w:rsid w:val="0031485F"/>
    <w:rsid w:val="003149B6"/>
    <w:rsid w:val="003151C6"/>
    <w:rsid w:val="0031531E"/>
    <w:rsid w:val="003156A8"/>
    <w:rsid w:val="00315A8B"/>
    <w:rsid w:val="00315F14"/>
    <w:rsid w:val="003166B9"/>
    <w:rsid w:val="003168B0"/>
    <w:rsid w:val="00316A9F"/>
    <w:rsid w:val="00317484"/>
    <w:rsid w:val="00317714"/>
    <w:rsid w:val="0031793D"/>
    <w:rsid w:val="00317ABA"/>
    <w:rsid w:val="0032057E"/>
    <w:rsid w:val="0032058A"/>
    <w:rsid w:val="00320A17"/>
    <w:rsid w:val="00320A2D"/>
    <w:rsid w:val="00321415"/>
    <w:rsid w:val="0032166C"/>
    <w:rsid w:val="003218A7"/>
    <w:rsid w:val="003218D5"/>
    <w:rsid w:val="00321B56"/>
    <w:rsid w:val="00321E22"/>
    <w:rsid w:val="003220F3"/>
    <w:rsid w:val="0032216E"/>
    <w:rsid w:val="0032231B"/>
    <w:rsid w:val="00322C32"/>
    <w:rsid w:val="00322C49"/>
    <w:rsid w:val="00322DA9"/>
    <w:rsid w:val="00322E52"/>
    <w:rsid w:val="00323246"/>
    <w:rsid w:val="00323558"/>
    <w:rsid w:val="003235F2"/>
    <w:rsid w:val="00323657"/>
    <w:rsid w:val="00323731"/>
    <w:rsid w:val="0032390A"/>
    <w:rsid w:val="00323A65"/>
    <w:rsid w:val="00323AF6"/>
    <w:rsid w:val="00323E3A"/>
    <w:rsid w:val="00323F27"/>
    <w:rsid w:val="00323FDB"/>
    <w:rsid w:val="0032428B"/>
    <w:rsid w:val="00324424"/>
    <w:rsid w:val="00324C0C"/>
    <w:rsid w:val="00324C91"/>
    <w:rsid w:val="003250B7"/>
    <w:rsid w:val="003251A3"/>
    <w:rsid w:val="003251C2"/>
    <w:rsid w:val="003253E8"/>
    <w:rsid w:val="00325736"/>
    <w:rsid w:val="00325FA0"/>
    <w:rsid w:val="00325FEF"/>
    <w:rsid w:val="003260A1"/>
    <w:rsid w:val="003266A8"/>
    <w:rsid w:val="00326F1C"/>
    <w:rsid w:val="00327104"/>
    <w:rsid w:val="00327162"/>
    <w:rsid w:val="00327287"/>
    <w:rsid w:val="00327390"/>
    <w:rsid w:val="0032765C"/>
    <w:rsid w:val="003276F6"/>
    <w:rsid w:val="0032782A"/>
    <w:rsid w:val="00327B37"/>
    <w:rsid w:val="003303E9"/>
    <w:rsid w:val="00330407"/>
    <w:rsid w:val="00330A0A"/>
    <w:rsid w:val="00330DC7"/>
    <w:rsid w:val="003315AA"/>
    <w:rsid w:val="00331853"/>
    <w:rsid w:val="00331930"/>
    <w:rsid w:val="00331B72"/>
    <w:rsid w:val="00331CD7"/>
    <w:rsid w:val="00332048"/>
    <w:rsid w:val="003320DA"/>
    <w:rsid w:val="0033230F"/>
    <w:rsid w:val="00332584"/>
    <w:rsid w:val="003326C3"/>
    <w:rsid w:val="003328A9"/>
    <w:rsid w:val="00332F72"/>
    <w:rsid w:val="0033307F"/>
    <w:rsid w:val="0033318F"/>
    <w:rsid w:val="00333190"/>
    <w:rsid w:val="00333548"/>
    <w:rsid w:val="00333C26"/>
    <w:rsid w:val="00334223"/>
    <w:rsid w:val="003342E5"/>
    <w:rsid w:val="0033444D"/>
    <w:rsid w:val="0033447A"/>
    <w:rsid w:val="00334777"/>
    <w:rsid w:val="00334F13"/>
    <w:rsid w:val="003353CD"/>
    <w:rsid w:val="0033547D"/>
    <w:rsid w:val="003362AE"/>
    <w:rsid w:val="003362FE"/>
    <w:rsid w:val="00336488"/>
    <w:rsid w:val="003368C3"/>
    <w:rsid w:val="0033696C"/>
    <w:rsid w:val="00336B2A"/>
    <w:rsid w:val="00336F35"/>
    <w:rsid w:val="003371B5"/>
    <w:rsid w:val="0033782E"/>
    <w:rsid w:val="0033799A"/>
    <w:rsid w:val="00337BAF"/>
    <w:rsid w:val="0034020D"/>
    <w:rsid w:val="00340257"/>
    <w:rsid w:val="00340307"/>
    <w:rsid w:val="00340341"/>
    <w:rsid w:val="0034089A"/>
    <w:rsid w:val="00340B4E"/>
    <w:rsid w:val="00340F02"/>
    <w:rsid w:val="00340F75"/>
    <w:rsid w:val="00341468"/>
    <w:rsid w:val="003415EF"/>
    <w:rsid w:val="003417CB"/>
    <w:rsid w:val="00341893"/>
    <w:rsid w:val="003419A8"/>
    <w:rsid w:val="003419F5"/>
    <w:rsid w:val="00341CBE"/>
    <w:rsid w:val="00341FDC"/>
    <w:rsid w:val="003420A7"/>
    <w:rsid w:val="0034210F"/>
    <w:rsid w:val="003424F3"/>
    <w:rsid w:val="00342596"/>
    <w:rsid w:val="003427DB"/>
    <w:rsid w:val="00342D0C"/>
    <w:rsid w:val="00343307"/>
    <w:rsid w:val="00343316"/>
    <w:rsid w:val="003435A9"/>
    <w:rsid w:val="00343A55"/>
    <w:rsid w:val="00343ADD"/>
    <w:rsid w:val="00343FA5"/>
    <w:rsid w:val="00344277"/>
    <w:rsid w:val="003442F4"/>
    <w:rsid w:val="00344649"/>
    <w:rsid w:val="00344694"/>
    <w:rsid w:val="00344AD3"/>
    <w:rsid w:val="00344B94"/>
    <w:rsid w:val="00344C44"/>
    <w:rsid w:val="0034532E"/>
    <w:rsid w:val="003453D8"/>
    <w:rsid w:val="00345496"/>
    <w:rsid w:val="00345BCF"/>
    <w:rsid w:val="00345E07"/>
    <w:rsid w:val="00345E4C"/>
    <w:rsid w:val="003460C2"/>
    <w:rsid w:val="0034625E"/>
    <w:rsid w:val="0034640F"/>
    <w:rsid w:val="003466F9"/>
    <w:rsid w:val="003468F8"/>
    <w:rsid w:val="0034694F"/>
    <w:rsid w:val="00346AC8"/>
    <w:rsid w:val="00346CFF"/>
    <w:rsid w:val="00347028"/>
    <w:rsid w:val="00347580"/>
    <w:rsid w:val="0034785C"/>
    <w:rsid w:val="00350092"/>
    <w:rsid w:val="00350116"/>
    <w:rsid w:val="00350119"/>
    <w:rsid w:val="003501A4"/>
    <w:rsid w:val="003501FC"/>
    <w:rsid w:val="003504FC"/>
    <w:rsid w:val="00350850"/>
    <w:rsid w:val="003509BB"/>
    <w:rsid w:val="00350A27"/>
    <w:rsid w:val="00350A8C"/>
    <w:rsid w:val="00350C04"/>
    <w:rsid w:val="00351071"/>
    <w:rsid w:val="003519AD"/>
    <w:rsid w:val="00351D91"/>
    <w:rsid w:val="00351E0E"/>
    <w:rsid w:val="00351FEA"/>
    <w:rsid w:val="003520A4"/>
    <w:rsid w:val="00352525"/>
    <w:rsid w:val="003525A8"/>
    <w:rsid w:val="00352E1E"/>
    <w:rsid w:val="00353193"/>
    <w:rsid w:val="00353489"/>
    <w:rsid w:val="003539F2"/>
    <w:rsid w:val="00353ACB"/>
    <w:rsid w:val="00353CD6"/>
    <w:rsid w:val="00353D31"/>
    <w:rsid w:val="00353DAB"/>
    <w:rsid w:val="00354034"/>
    <w:rsid w:val="00354312"/>
    <w:rsid w:val="00354E95"/>
    <w:rsid w:val="00354EB4"/>
    <w:rsid w:val="00354ED3"/>
    <w:rsid w:val="00355045"/>
    <w:rsid w:val="003553C2"/>
    <w:rsid w:val="003556FE"/>
    <w:rsid w:val="003558DD"/>
    <w:rsid w:val="00355B93"/>
    <w:rsid w:val="00355C01"/>
    <w:rsid w:val="0035613C"/>
    <w:rsid w:val="00356858"/>
    <w:rsid w:val="00356B89"/>
    <w:rsid w:val="00356D29"/>
    <w:rsid w:val="00356EEB"/>
    <w:rsid w:val="00356F8B"/>
    <w:rsid w:val="0035704B"/>
    <w:rsid w:val="003571C2"/>
    <w:rsid w:val="00357204"/>
    <w:rsid w:val="003579DE"/>
    <w:rsid w:val="003579E0"/>
    <w:rsid w:val="003602F6"/>
    <w:rsid w:val="00360328"/>
    <w:rsid w:val="003606E2"/>
    <w:rsid w:val="00360AAB"/>
    <w:rsid w:val="00360BCB"/>
    <w:rsid w:val="00360CDE"/>
    <w:rsid w:val="00360DF7"/>
    <w:rsid w:val="00360E53"/>
    <w:rsid w:val="00361009"/>
    <w:rsid w:val="00361038"/>
    <w:rsid w:val="003612C7"/>
    <w:rsid w:val="003612F4"/>
    <w:rsid w:val="0036166E"/>
    <w:rsid w:val="00362116"/>
    <w:rsid w:val="00362663"/>
    <w:rsid w:val="00362E1C"/>
    <w:rsid w:val="00362F9B"/>
    <w:rsid w:val="00362FF5"/>
    <w:rsid w:val="00363087"/>
    <w:rsid w:val="00363304"/>
    <w:rsid w:val="0036336C"/>
    <w:rsid w:val="00363484"/>
    <w:rsid w:val="00363769"/>
    <w:rsid w:val="0036384D"/>
    <w:rsid w:val="003638BB"/>
    <w:rsid w:val="00363CEB"/>
    <w:rsid w:val="00363FB2"/>
    <w:rsid w:val="003640A7"/>
    <w:rsid w:val="003644B3"/>
    <w:rsid w:val="00364593"/>
    <w:rsid w:val="003647CB"/>
    <w:rsid w:val="00364FF2"/>
    <w:rsid w:val="00365069"/>
    <w:rsid w:val="003650A4"/>
    <w:rsid w:val="003651BB"/>
    <w:rsid w:val="003652B6"/>
    <w:rsid w:val="00365447"/>
    <w:rsid w:val="003654D4"/>
    <w:rsid w:val="00365CDC"/>
    <w:rsid w:val="003661D2"/>
    <w:rsid w:val="00366DCB"/>
    <w:rsid w:val="00366DCE"/>
    <w:rsid w:val="003673D9"/>
    <w:rsid w:val="003678F6"/>
    <w:rsid w:val="0036794E"/>
    <w:rsid w:val="00367F69"/>
    <w:rsid w:val="00370F98"/>
    <w:rsid w:val="0037100A"/>
    <w:rsid w:val="003717C6"/>
    <w:rsid w:val="00371EB8"/>
    <w:rsid w:val="0037224C"/>
    <w:rsid w:val="00372308"/>
    <w:rsid w:val="0037250F"/>
    <w:rsid w:val="0037282A"/>
    <w:rsid w:val="00372A1E"/>
    <w:rsid w:val="0037301F"/>
    <w:rsid w:val="00373159"/>
    <w:rsid w:val="003739F9"/>
    <w:rsid w:val="00373A7A"/>
    <w:rsid w:val="00373A91"/>
    <w:rsid w:val="00373EC5"/>
    <w:rsid w:val="00373F26"/>
    <w:rsid w:val="003742BA"/>
    <w:rsid w:val="003747F9"/>
    <w:rsid w:val="00374C4C"/>
    <w:rsid w:val="00374E43"/>
    <w:rsid w:val="003751F8"/>
    <w:rsid w:val="003754E6"/>
    <w:rsid w:val="00375AB3"/>
    <w:rsid w:val="003763A1"/>
    <w:rsid w:val="0037678C"/>
    <w:rsid w:val="00376A26"/>
    <w:rsid w:val="0037702A"/>
    <w:rsid w:val="00377332"/>
    <w:rsid w:val="003778CD"/>
    <w:rsid w:val="00377EC5"/>
    <w:rsid w:val="0038005F"/>
    <w:rsid w:val="00380164"/>
    <w:rsid w:val="003801D1"/>
    <w:rsid w:val="00380542"/>
    <w:rsid w:val="003805E4"/>
    <w:rsid w:val="003811B9"/>
    <w:rsid w:val="0038146C"/>
    <w:rsid w:val="003815A8"/>
    <w:rsid w:val="00381DFC"/>
    <w:rsid w:val="00381ED9"/>
    <w:rsid w:val="00381FCB"/>
    <w:rsid w:val="00382117"/>
    <w:rsid w:val="003822D5"/>
    <w:rsid w:val="00382609"/>
    <w:rsid w:val="00382945"/>
    <w:rsid w:val="00382A25"/>
    <w:rsid w:val="00382BF5"/>
    <w:rsid w:val="00382C18"/>
    <w:rsid w:val="003832BE"/>
    <w:rsid w:val="0038387B"/>
    <w:rsid w:val="00383935"/>
    <w:rsid w:val="00383BDA"/>
    <w:rsid w:val="00383E36"/>
    <w:rsid w:val="003840BA"/>
    <w:rsid w:val="0038418D"/>
    <w:rsid w:val="00384190"/>
    <w:rsid w:val="00384219"/>
    <w:rsid w:val="003847FD"/>
    <w:rsid w:val="00384927"/>
    <w:rsid w:val="0038502A"/>
    <w:rsid w:val="00385146"/>
    <w:rsid w:val="0038552D"/>
    <w:rsid w:val="00385957"/>
    <w:rsid w:val="00385E8C"/>
    <w:rsid w:val="00386124"/>
    <w:rsid w:val="003864CE"/>
    <w:rsid w:val="003864D5"/>
    <w:rsid w:val="00386AD4"/>
    <w:rsid w:val="00386C1F"/>
    <w:rsid w:val="003871F7"/>
    <w:rsid w:val="00387222"/>
    <w:rsid w:val="00387537"/>
    <w:rsid w:val="00387A48"/>
    <w:rsid w:val="00387B77"/>
    <w:rsid w:val="00390056"/>
    <w:rsid w:val="003904DD"/>
    <w:rsid w:val="00390544"/>
    <w:rsid w:val="00390567"/>
    <w:rsid w:val="0039057D"/>
    <w:rsid w:val="00390AAA"/>
    <w:rsid w:val="00390AF2"/>
    <w:rsid w:val="00390D89"/>
    <w:rsid w:val="00390FD7"/>
    <w:rsid w:val="00391286"/>
    <w:rsid w:val="003913C1"/>
    <w:rsid w:val="00391701"/>
    <w:rsid w:val="00391A52"/>
    <w:rsid w:val="00391DDD"/>
    <w:rsid w:val="00392442"/>
    <w:rsid w:val="00392D25"/>
    <w:rsid w:val="00393020"/>
    <w:rsid w:val="003930FE"/>
    <w:rsid w:val="003933B7"/>
    <w:rsid w:val="00393973"/>
    <w:rsid w:val="003941B1"/>
    <w:rsid w:val="00394AF6"/>
    <w:rsid w:val="00394C64"/>
    <w:rsid w:val="00395DF7"/>
    <w:rsid w:val="00396090"/>
    <w:rsid w:val="00396482"/>
    <w:rsid w:val="003966F6"/>
    <w:rsid w:val="0039677D"/>
    <w:rsid w:val="00396DB0"/>
    <w:rsid w:val="00396EE2"/>
    <w:rsid w:val="00397CC3"/>
    <w:rsid w:val="003A03FE"/>
    <w:rsid w:val="003A0654"/>
    <w:rsid w:val="003A0660"/>
    <w:rsid w:val="003A0710"/>
    <w:rsid w:val="003A0D52"/>
    <w:rsid w:val="003A0DA9"/>
    <w:rsid w:val="003A24F0"/>
    <w:rsid w:val="003A2ED1"/>
    <w:rsid w:val="003A2F32"/>
    <w:rsid w:val="003A3330"/>
    <w:rsid w:val="003A3A20"/>
    <w:rsid w:val="003A4575"/>
    <w:rsid w:val="003A477A"/>
    <w:rsid w:val="003A48A0"/>
    <w:rsid w:val="003A4BC7"/>
    <w:rsid w:val="003A4C47"/>
    <w:rsid w:val="003A4CE3"/>
    <w:rsid w:val="003A4D7D"/>
    <w:rsid w:val="003A5378"/>
    <w:rsid w:val="003A5572"/>
    <w:rsid w:val="003A5BD5"/>
    <w:rsid w:val="003A5CE2"/>
    <w:rsid w:val="003A611D"/>
    <w:rsid w:val="003A6717"/>
    <w:rsid w:val="003A6724"/>
    <w:rsid w:val="003A67EA"/>
    <w:rsid w:val="003A68DB"/>
    <w:rsid w:val="003A694C"/>
    <w:rsid w:val="003A69F1"/>
    <w:rsid w:val="003A6BC7"/>
    <w:rsid w:val="003A6E1A"/>
    <w:rsid w:val="003A7A8E"/>
    <w:rsid w:val="003A7C6F"/>
    <w:rsid w:val="003A7F24"/>
    <w:rsid w:val="003B0201"/>
    <w:rsid w:val="003B0279"/>
    <w:rsid w:val="003B04AA"/>
    <w:rsid w:val="003B05DC"/>
    <w:rsid w:val="003B0891"/>
    <w:rsid w:val="003B08CC"/>
    <w:rsid w:val="003B0BA1"/>
    <w:rsid w:val="003B0CE3"/>
    <w:rsid w:val="003B0E8D"/>
    <w:rsid w:val="003B0F80"/>
    <w:rsid w:val="003B1F76"/>
    <w:rsid w:val="003B1FAF"/>
    <w:rsid w:val="003B24CB"/>
    <w:rsid w:val="003B2BB0"/>
    <w:rsid w:val="003B2C32"/>
    <w:rsid w:val="003B2D04"/>
    <w:rsid w:val="003B2EAF"/>
    <w:rsid w:val="003B384E"/>
    <w:rsid w:val="003B3D3D"/>
    <w:rsid w:val="003B3F4C"/>
    <w:rsid w:val="003B3FBB"/>
    <w:rsid w:val="003B4506"/>
    <w:rsid w:val="003B4599"/>
    <w:rsid w:val="003B45C3"/>
    <w:rsid w:val="003B4A66"/>
    <w:rsid w:val="003B4DF9"/>
    <w:rsid w:val="003B4F4A"/>
    <w:rsid w:val="003B5124"/>
    <w:rsid w:val="003B52DC"/>
    <w:rsid w:val="003B595F"/>
    <w:rsid w:val="003B5C94"/>
    <w:rsid w:val="003B5E3A"/>
    <w:rsid w:val="003B60F2"/>
    <w:rsid w:val="003B61B7"/>
    <w:rsid w:val="003B651A"/>
    <w:rsid w:val="003B6ABA"/>
    <w:rsid w:val="003B7047"/>
    <w:rsid w:val="003B72C5"/>
    <w:rsid w:val="003B72E4"/>
    <w:rsid w:val="003B773C"/>
    <w:rsid w:val="003B7D36"/>
    <w:rsid w:val="003BBA49"/>
    <w:rsid w:val="003C01FE"/>
    <w:rsid w:val="003C02D8"/>
    <w:rsid w:val="003C0949"/>
    <w:rsid w:val="003C0BE1"/>
    <w:rsid w:val="003C0C9B"/>
    <w:rsid w:val="003C1AE2"/>
    <w:rsid w:val="003C1D19"/>
    <w:rsid w:val="003C1D5C"/>
    <w:rsid w:val="003C232B"/>
    <w:rsid w:val="003C23AC"/>
    <w:rsid w:val="003C2BB4"/>
    <w:rsid w:val="003C307A"/>
    <w:rsid w:val="003C3437"/>
    <w:rsid w:val="003C38FA"/>
    <w:rsid w:val="003C3943"/>
    <w:rsid w:val="003C3E31"/>
    <w:rsid w:val="003C3FDA"/>
    <w:rsid w:val="003C4682"/>
    <w:rsid w:val="003C46DE"/>
    <w:rsid w:val="003C4A99"/>
    <w:rsid w:val="003C4B5D"/>
    <w:rsid w:val="003C4D3D"/>
    <w:rsid w:val="003C4D97"/>
    <w:rsid w:val="003C4F7A"/>
    <w:rsid w:val="003C4F8F"/>
    <w:rsid w:val="003C5211"/>
    <w:rsid w:val="003C53C1"/>
    <w:rsid w:val="003C5852"/>
    <w:rsid w:val="003C5AE2"/>
    <w:rsid w:val="003C5B6F"/>
    <w:rsid w:val="003C5BA3"/>
    <w:rsid w:val="003C5DD1"/>
    <w:rsid w:val="003C5F71"/>
    <w:rsid w:val="003C5F94"/>
    <w:rsid w:val="003C6006"/>
    <w:rsid w:val="003C6033"/>
    <w:rsid w:val="003C649A"/>
    <w:rsid w:val="003C64ED"/>
    <w:rsid w:val="003C6569"/>
    <w:rsid w:val="003C6885"/>
    <w:rsid w:val="003C6AA6"/>
    <w:rsid w:val="003C6B59"/>
    <w:rsid w:val="003C7000"/>
    <w:rsid w:val="003C7087"/>
    <w:rsid w:val="003C7C12"/>
    <w:rsid w:val="003C7F2B"/>
    <w:rsid w:val="003D019E"/>
    <w:rsid w:val="003D093F"/>
    <w:rsid w:val="003D0FB2"/>
    <w:rsid w:val="003D184F"/>
    <w:rsid w:val="003D1C6A"/>
    <w:rsid w:val="003D230E"/>
    <w:rsid w:val="003D23DA"/>
    <w:rsid w:val="003D2892"/>
    <w:rsid w:val="003D299E"/>
    <w:rsid w:val="003D2D23"/>
    <w:rsid w:val="003D33FE"/>
    <w:rsid w:val="003D3666"/>
    <w:rsid w:val="003D3859"/>
    <w:rsid w:val="003D3873"/>
    <w:rsid w:val="003D3A8D"/>
    <w:rsid w:val="003D3AF2"/>
    <w:rsid w:val="003D3B8E"/>
    <w:rsid w:val="003D3DCE"/>
    <w:rsid w:val="003D4017"/>
    <w:rsid w:val="003D423E"/>
    <w:rsid w:val="003D442F"/>
    <w:rsid w:val="003D48D3"/>
    <w:rsid w:val="003D4984"/>
    <w:rsid w:val="003D49BE"/>
    <w:rsid w:val="003D4D3C"/>
    <w:rsid w:val="003D5450"/>
    <w:rsid w:val="003D558F"/>
    <w:rsid w:val="003D55E1"/>
    <w:rsid w:val="003D5B58"/>
    <w:rsid w:val="003D5CD3"/>
    <w:rsid w:val="003D6167"/>
    <w:rsid w:val="003D6222"/>
    <w:rsid w:val="003D6333"/>
    <w:rsid w:val="003D6364"/>
    <w:rsid w:val="003D63EB"/>
    <w:rsid w:val="003D641A"/>
    <w:rsid w:val="003D65D6"/>
    <w:rsid w:val="003D695C"/>
    <w:rsid w:val="003D6A2A"/>
    <w:rsid w:val="003D6D61"/>
    <w:rsid w:val="003D6E7A"/>
    <w:rsid w:val="003D6F92"/>
    <w:rsid w:val="003D709A"/>
    <w:rsid w:val="003D71EB"/>
    <w:rsid w:val="003D73B3"/>
    <w:rsid w:val="003D7754"/>
    <w:rsid w:val="003D7AAF"/>
    <w:rsid w:val="003E0072"/>
    <w:rsid w:val="003E0503"/>
    <w:rsid w:val="003E06C1"/>
    <w:rsid w:val="003E0904"/>
    <w:rsid w:val="003E0966"/>
    <w:rsid w:val="003E09AB"/>
    <w:rsid w:val="003E1006"/>
    <w:rsid w:val="003E10F1"/>
    <w:rsid w:val="003E218D"/>
    <w:rsid w:val="003E22CB"/>
    <w:rsid w:val="003E2343"/>
    <w:rsid w:val="003E2779"/>
    <w:rsid w:val="003E2D58"/>
    <w:rsid w:val="003E31C2"/>
    <w:rsid w:val="003E33FC"/>
    <w:rsid w:val="003E35C5"/>
    <w:rsid w:val="003E3BE4"/>
    <w:rsid w:val="003E3CA7"/>
    <w:rsid w:val="003E3F81"/>
    <w:rsid w:val="003E406B"/>
    <w:rsid w:val="003E43C0"/>
    <w:rsid w:val="003E4C79"/>
    <w:rsid w:val="003E4F96"/>
    <w:rsid w:val="003E52EC"/>
    <w:rsid w:val="003E58DA"/>
    <w:rsid w:val="003E5A3E"/>
    <w:rsid w:val="003E5B93"/>
    <w:rsid w:val="003E5CCA"/>
    <w:rsid w:val="003E5CE8"/>
    <w:rsid w:val="003E6824"/>
    <w:rsid w:val="003E69B7"/>
    <w:rsid w:val="003E6ABA"/>
    <w:rsid w:val="003E7773"/>
    <w:rsid w:val="003E79E0"/>
    <w:rsid w:val="003E7C80"/>
    <w:rsid w:val="003E7D22"/>
    <w:rsid w:val="003E7DF7"/>
    <w:rsid w:val="003F0106"/>
    <w:rsid w:val="003F011C"/>
    <w:rsid w:val="003F03AD"/>
    <w:rsid w:val="003F068B"/>
    <w:rsid w:val="003F115E"/>
    <w:rsid w:val="003F12A0"/>
    <w:rsid w:val="003F13DB"/>
    <w:rsid w:val="003F1463"/>
    <w:rsid w:val="003F14C2"/>
    <w:rsid w:val="003F16B8"/>
    <w:rsid w:val="003F19FF"/>
    <w:rsid w:val="003F2210"/>
    <w:rsid w:val="003F22E4"/>
    <w:rsid w:val="003F261F"/>
    <w:rsid w:val="003F2C4A"/>
    <w:rsid w:val="003F3199"/>
    <w:rsid w:val="003F3812"/>
    <w:rsid w:val="003F3D2F"/>
    <w:rsid w:val="003F4BFA"/>
    <w:rsid w:val="003F4F7C"/>
    <w:rsid w:val="003F5176"/>
    <w:rsid w:val="003F535C"/>
    <w:rsid w:val="003F549F"/>
    <w:rsid w:val="003F59D5"/>
    <w:rsid w:val="003F5A3D"/>
    <w:rsid w:val="003F5D82"/>
    <w:rsid w:val="003F6446"/>
    <w:rsid w:val="003F6569"/>
    <w:rsid w:val="003F6D6F"/>
    <w:rsid w:val="003F6D76"/>
    <w:rsid w:val="003F7079"/>
    <w:rsid w:val="003F707C"/>
    <w:rsid w:val="003F7095"/>
    <w:rsid w:val="003F7196"/>
    <w:rsid w:val="003F79F0"/>
    <w:rsid w:val="003F7AC5"/>
    <w:rsid w:val="004003E7"/>
    <w:rsid w:val="00400666"/>
    <w:rsid w:val="0040086D"/>
    <w:rsid w:val="004008AF"/>
    <w:rsid w:val="004009AE"/>
    <w:rsid w:val="004009C9"/>
    <w:rsid w:val="00400A5E"/>
    <w:rsid w:val="00400B5F"/>
    <w:rsid w:val="00401A00"/>
    <w:rsid w:val="00401A48"/>
    <w:rsid w:val="00401C92"/>
    <w:rsid w:val="00401DBF"/>
    <w:rsid w:val="00401E76"/>
    <w:rsid w:val="00402701"/>
    <w:rsid w:val="00402CEC"/>
    <w:rsid w:val="00402E1E"/>
    <w:rsid w:val="00402E5D"/>
    <w:rsid w:val="004033D9"/>
    <w:rsid w:val="00403988"/>
    <w:rsid w:val="0040416E"/>
    <w:rsid w:val="004041B3"/>
    <w:rsid w:val="00404971"/>
    <w:rsid w:val="00404A94"/>
    <w:rsid w:val="00405120"/>
    <w:rsid w:val="004051EA"/>
    <w:rsid w:val="0040551F"/>
    <w:rsid w:val="0040571B"/>
    <w:rsid w:val="00405729"/>
    <w:rsid w:val="004058DF"/>
    <w:rsid w:val="00405F84"/>
    <w:rsid w:val="00406C48"/>
    <w:rsid w:val="00407019"/>
    <w:rsid w:val="00407052"/>
    <w:rsid w:val="004075B8"/>
    <w:rsid w:val="0040761A"/>
    <w:rsid w:val="0040771F"/>
    <w:rsid w:val="00407B6C"/>
    <w:rsid w:val="004111F7"/>
    <w:rsid w:val="00411399"/>
    <w:rsid w:val="00411628"/>
    <w:rsid w:val="00411E00"/>
    <w:rsid w:val="004120F4"/>
    <w:rsid w:val="0041217D"/>
    <w:rsid w:val="00412277"/>
    <w:rsid w:val="004123A4"/>
    <w:rsid w:val="004125C6"/>
    <w:rsid w:val="00412670"/>
    <w:rsid w:val="0041275F"/>
    <w:rsid w:val="00412860"/>
    <w:rsid w:val="00412D07"/>
    <w:rsid w:val="00412EE3"/>
    <w:rsid w:val="004131D8"/>
    <w:rsid w:val="004131F3"/>
    <w:rsid w:val="00413671"/>
    <w:rsid w:val="00413790"/>
    <w:rsid w:val="00413932"/>
    <w:rsid w:val="00413CD0"/>
    <w:rsid w:val="00413E6A"/>
    <w:rsid w:val="0041402A"/>
    <w:rsid w:val="004144B5"/>
    <w:rsid w:val="0041462D"/>
    <w:rsid w:val="004146D6"/>
    <w:rsid w:val="0041476F"/>
    <w:rsid w:val="004148A1"/>
    <w:rsid w:val="00414CA7"/>
    <w:rsid w:val="00414EAF"/>
    <w:rsid w:val="0041534C"/>
    <w:rsid w:val="004155A1"/>
    <w:rsid w:val="00415687"/>
    <w:rsid w:val="0041585B"/>
    <w:rsid w:val="00415DC6"/>
    <w:rsid w:val="00415F79"/>
    <w:rsid w:val="00416301"/>
    <w:rsid w:val="00416B40"/>
    <w:rsid w:val="00416BA0"/>
    <w:rsid w:val="00416CBE"/>
    <w:rsid w:val="00416D30"/>
    <w:rsid w:val="00416EEB"/>
    <w:rsid w:val="004170CD"/>
    <w:rsid w:val="004177C2"/>
    <w:rsid w:val="004178FC"/>
    <w:rsid w:val="0041790B"/>
    <w:rsid w:val="0041796A"/>
    <w:rsid w:val="00417A14"/>
    <w:rsid w:val="00417C92"/>
    <w:rsid w:val="00420886"/>
    <w:rsid w:val="00420D04"/>
    <w:rsid w:val="00420D24"/>
    <w:rsid w:val="00420F03"/>
    <w:rsid w:val="00420F65"/>
    <w:rsid w:val="00420FD0"/>
    <w:rsid w:val="00421015"/>
    <w:rsid w:val="004218CD"/>
    <w:rsid w:val="004218DE"/>
    <w:rsid w:val="004218E9"/>
    <w:rsid w:val="00421A89"/>
    <w:rsid w:val="00421E98"/>
    <w:rsid w:val="00421EBC"/>
    <w:rsid w:val="00422139"/>
    <w:rsid w:val="0042235A"/>
    <w:rsid w:val="004227F0"/>
    <w:rsid w:val="00422DDB"/>
    <w:rsid w:val="0042304B"/>
    <w:rsid w:val="0042384B"/>
    <w:rsid w:val="00423881"/>
    <w:rsid w:val="00423893"/>
    <w:rsid w:val="00423A9C"/>
    <w:rsid w:val="00423F97"/>
    <w:rsid w:val="00424084"/>
    <w:rsid w:val="0042460E"/>
    <w:rsid w:val="004246C9"/>
    <w:rsid w:val="0042476B"/>
    <w:rsid w:val="00424868"/>
    <w:rsid w:val="00424998"/>
    <w:rsid w:val="004249F7"/>
    <w:rsid w:val="00424EC0"/>
    <w:rsid w:val="0042512F"/>
    <w:rsid w:val="00425260"/>
    <w:rsid w:val="004255FA"/>
    <w:rsid w:val="0042597B"/>
    <w:rsid w:val="00425E5C"/>
    <w:rsid w:val="0042656C"/>
    <w:rsid w:val="00426576"/>
    <w:rsid w:val="0042664B"/>
    <w:rsid w:val="0042688D"/>
    <w:rsid w:val="00426BB0"/>
    <w:rsid w:val="00426D8F"/>
    <w:rsid w:val="00427355"/>
    <w:rsid w:val="004273AD"/>
    <w:rsid w:val="00427849"/>
    <w:rsid w:val="00427F43"/>
    <w:rsid w:val="00430092"/>
    <w:rsid w:val="004300F8"/>
    <w:rsid w:val="00430328"/>
    <w:rsid w:val="0043055A"/>
    <w:rsid w:val="004305AE"/>
    <w:rsid w:val="004308E3"/>
    <w:rsid w:val="00430CED"/>
    <w:rsid w:val="00431040"/>
    <w:rsid w:val="00431257"/>
    <w:rsid w:val="004312BB"/>
    <w:rsid w:val="0043167D"/>
    <w:rsid w:val="00431800"/>
    <w:rsid w:val="0043193F"/>
    <w:rsid w:val="00431D42"/>
    <w:rsid w:val="004321F4"/>
    <w:rsid w:val="00432C69"/>
    <w:rsid w:val="0043304D"/>
    <w:rsid w:val="004330E9"/>
    <w:rsid w:val="00433205"/>
    <w:rsid w:val="00433541"/>
    <w:rsid w:val="004338E4"/>
    <w:rsid w:val="0043398F"/>
    <w:rsid w:val="0043448B"/>
    <w:rsid w:val="00434939"/>
    <w:rsid w:val="00434984"/>
    <w:rsid w:val="00434A05"/>
    <w:rsid w:val="00434BF0"/>
    <w:rsid w:val="00434C91"/>
    <w:rsid w:val="00434E23"/>
    <w:rsid w:val="0043551F"/>
    <w:rsid w:val="00435E63"/>
    <w:rsid w:val="004363D5"/>
    <w:rsid w:val="00436514"/>
    <w:rsid w:val="0043655A"/>
    <w:rsid w:val="00436A48"/>
    <w:rsid w:val="00436E56"/>
    <w:rsid w:val="004378A8"/>
    <w:rsid w:val="00437CDF"/>
    <w:rsid w:val="00437D58"/>
    <w:rsid w:val="004411E6"/>
    <w:rsid w:val="00441A6E"/>
    <w:rsid w:val="00441BE3"/>
    <w:rsid w:val="00441C12"/>
    <w:rsid w:val="004421E1"/>
    <w:rsid w:val="00442295"/>
    <w:rsid w:val="004422B0"/>
    <w:rsid w:val="004423E1"/>
    <w:rsid w:val="004423F7"/>
    <w:rsid w:val="00442650"/>
    <w:rsid w:val="0044274D"/>
    <w:rsid w:val="0044288C"/>
    <w:rsid w:val="004428F9"/>
    <w:rsid w:val="00442A49"/>
    <w:rsid w:val="00442BCF"/>
    <w:rsid w:val="00442CAB"/>
    <w:rsid w:val="00442DD7"/>
    <w:rsid w:val="00443788"/>
    <w:rsid w:val="00443BB5"/>
    <w:rsid w:val="00443E03"/>
    <w:rsid w:val="0044491B"/>
    <w:rsid w:val="0044588C"/>
    <w:rsid w:val="00445A9F"/>
    <w:rsid w:val="00445ABF"/>
    <w:rsid w:val="00445CAB"/>
    <w:rsid w:val="00445E82"/>
    <w:rsid w:val="00446102"/>
    <w:rsid w:val="004462B4"/>
    <w:rsid w:val="004462FF"/>
    <w:rsid w:val="004463B1"/>
    <w:rsid w:val="004467A3"/>
    <w:rsid w:val="0044690B"/>
    <w:rsid w:val="00446A33"/>
    <w:rsid w:val="00446BBE"/>
    <w:rsid w:val="0044745D"/>
    <w:rsid w:val="004476C3"/>
    <w:rsid w:val="0044782C"/>
    <w:rsid w:val="00447924"/>
    <w:rsid w:val="00447983"/>
    <w:rsid w:val="00447B21"/>
    <w:rsid w:val="00447B86"/>
    <w:rsid w:val="00450045"/>
    <w:rsid w:val="0045009D"/>
    <w:rsid w:val="00450307"/>
    <w:rsid w:val="004505D8"/>
    <w:rsid w:val="0045067C"/>
    <w:rsid w:val="00450767"/>
    <w:rsid w:val="0045093D"/>
    <w:rsid w:val="004509D6"/>
    <w:rsid w:val="00450C27"/>
    <w:rsid w:val="00450FAE"/>
    <w:rsid w:val="00451062"/>
    <w:rsid w:val="00451398"/>
    <w:rsid w:val="00451645"/>
    <w:rsid w:val="004517F9"/>
    <w:rsid w:val="004520A3"/>
    <w:rsid w:val="00452C50"/>
    <w:rsid w:val="00452CA5"/>
    <w:rsid w:val="00452CB4"/>
    <w:rsid w:val="00452D25"/>
    <w:rsid w:val="004530F9"/>
    <w:rsid w:val="004534AF"/>
    <w:rsid w:val="00453826"/>
    <w:rsid w:val="00453B58"/>
    <w:rsid w:val="00453C93"/>
    <w:rsid w:val="00453D64"/>
    <w:rsid w:val="0045417C"/>
    <w:rsid w:val="004542D0"/>
    <w:rsid w:val="00454A9F"/>
    <w:rsid w:val="00454AF0"/>
    <w:rsid w:val="00454B52"/>
    <w:rsid w:val="00454D69"/>
    <w:rsid w:val="00454DB8"/>
    <w:rsid w:val="00454F8E"/>
    <w:rsid w:val="004552F5"/>
    <w:rsid w:val="004557F2"/>
    <w:rsid w:val="004558BD"/>
    <w:rsid w:val="00455D50"/>
    <w:rsid w:val="00455ECE"/>
    <w:rsid w:val="004560F5"/>
    <w:rsid w:val="00456113"/>
    <w:rsid w:val="004562B5"/>
    <w:rsid w:val="00456C81"/>
    <w:rsid w:val="00456E2F"/>
    <w:rsid w:val="00457726"/>
    <w:rsid w:val="00457B6F"/>
    <w:rsid w:val="00457D4C"/>
    <w:rsid w:val="00457DD3"/>
    <w:rsid w:val="00457DDC"/>
    <w:rsid w:val="004600FC"/>
    <w:rsid w:val="00460665"/>
    <w:rsid w:val="004608A9"/>
    <w:rsid w:val="00460A03"/>
    <w:rsid w:val="00460D4C"/>
    <w:rsid w:val="00460E5B"/>
    <w:rsid w:val="004610D0"/>
    <w:rsid w:val="004611CB"/>
    <w:rsid w:val="004611D3"/>
    <w:rsid w:val="004614CA"/>
    <w:rsid w:val="00461526"/>
    <w:rsid w:val="004621C7"/>
    <w:rsid w:val="004625FD"/>
    <w:rsid w:val="00462778"/>
    <w:rsid w:val="00462B0E"/>
    <w:rsid w:val="00462EBD"/>
    <w:rsid w:val="0046315E"/>
    <w:rsid w:val="004631FE"/>
    <w:rsid w:val="00463570"/>
    <w:rsid w:val="004635B3"/>
    <w:rsid w:val="00463627"/>
    <w:rsid w:val="00463941"/>
    <w:rsid w:val="0046498B"/>
    <w:rsid w:val="00464A1B"/>
    <w:rsid w:val="00464CA8"/>
    <w:rsid w:val="00464D4A"/>
    <w:rsid w:val="00464D50"/>
    <w:rsid w:val="00464F6C"/>
    <w:rsid w:val="00464F90"/>
    <w:rsid w:val="004652B5"/>
    <w:rsid w:val="00465306"/>
    <w:rsid w:val="00465751"/>
    <w:rsid w:val="00465BF6"/>
    <w:rsid w:val="00465C48"/>
    <w:rsid w:val="00465D89"/>
    <w:rsid w:val="004661FF"/>
    <w:rsid w:val="0046628E"/>
    <w:rsid w:val="00466336"/>
    <w:rsid w:val="00466875"/>
    <w:rsid w:val="00466B95"/>
    <w:rsid w:val="00466FA8"/>
    <w:rsid w:val="004674FB"/>
    <w:rsid w:val="00467554"/>
    <w:rsid w:val="004677C1"/>
    <w:rsid w:val="0046783D"/>
    <w:rsid w:val="00467F89"/>
    <w:rsid w:val="00467FC0"/>
    <w:rsid w:val="004701E7"/>
    <w:rsid w:val="00470700"/>
    <w:rsid w:val="00470706"/>
    <w:rsid w:val="00470838"/>
    <w:rsid w:val="00470A54"/>
    <w:rsid w:val="00470DAD"/>
    <w:rsid w:val="00470F39"/>
    <w:rsid w:val="00471639"/>
    <w:rsid w:val="004716FA"/>
    <w:rsid w:val="004718A5"/>
    <w:rsid w:val="004719D0"/>
    <w:rsid w:val="00471C40"/>
    <w:rsid w:val="00471D0D"/>
    <w:rsid w:val="00471E34"/>
    <w:rsid w:val="00472038"/>
    <w:rsid w:val="004722CB"/>
    <w:rsid w:val="0047263C"/>
    <w:rsid w:val="0047272C"/>
    <w:rsid w:val="0047287B"/>
    <w:rsid w:val="004729C1"/>
    <w:rsid w:val="00472D35"/>
    <w:rsid w:val="0047303C"/>
    <w:rsid w:val="0047345D"/>
    <w:rsid w:val="00473D2A"/>
    <w:rsid w:val="00473DB8"/>
    <w:rsid w:val="0047427F"/>
    <w:rsid w:val="004742D1"/>
    <w:rsid w:val="0047445B"/>
    <w:rsid w:val="00474AB0"/>
    <w:rsid w:val="00474ABF"/>
    <w:rsid w:val="00474B24"/>
    <w:rsid w:val="00474E01"/>
    <w:rsid w:val="00474F40"/>
    <w:rsid w:val="0047505B"/>
    <w:rsid w:val="00475119"/>
    <w:rsid w:val="004752AC"/>
    <w:rsid w:val="00475A8B"/>
    <w:rsid w:val="00475B69"/>
    <w:rsid w:val="004762C5"/>
    <w:rsid w:val="00476519"/>
    <w:rsid w:val="0047664E"/>
    <w:rsid w:val="00476A64"/>
    <w:rsid w:val="00476A94"/>
    <w:rsid w:val="00476B22"/>
    <w:rsid w:val="00476B9A"/>
    <w:rsid w:val="00476F3B"/>
    <w:rsid w:val="00477122"/>
    <w:rsid w:val="0047723B"/>
    <w:rsid w:val="00477615"/>
    <w:rsid w:val="00477623"/>
    <w:rsid w:val="00477681"/>
    <w:rsid w:val="00477D25"/>
    <w:rsid w:val="00480726"/>
    <w:rsid w:val="00480862"/>
    <w:rsid w:val="004809FD"/>
    <w:rsid w:val="00480D62"/>
    <w:rsid w:val="00481209"/>
    <w:rsid w:val="00481447"/>
    <w:rsid w:val="00481738"/>
    <w:rsid w:val="0048198B"/>
    <w:rsid w:val="00481EF1"/>
    <w:rsid w:val="0048274D"/>
    <w:rsid w:val="00482804"/>
    <w:rsid w:val="0048291E"/>
    <w:rsid w:val="00482B47"/>
    <w:rsid w:val="00482BEF"/>
    <w:rsid w:val="00482CE7"/>
    <w:rsid w:val="00482D14"/>
    <w:rsid w:val="00482EAF"/>
    <w:rsid w:val="0048323E"/>
    <w:rsid w:val="00483410"/>
    <w:rsid w:val="00483793"/>
    <w:rsid w:val="00483D8B"/>
    <w:rsid w:val="00484087"/>
    <w:rsid w:val="0048484D"/>
    <w:rsid w:val="00484C95"/>
    <w:rsid w:val="00484D92"/>
    <w:rsid w:val="00484DC5"/>
    <w:rsid w:val="0048506A"/>
    <w:rsid w:val="00485162"/>
    <w:rsid w:val="0048521C"/>
    <w:rsid w:val="00485432"/>
    <w:rsid w:val="00485675"/>
    <w:rsid w:val="004856B5"/>
    <w:rsid w:val="00485AC0"/>
    <w:rsid w:val="00485CD3"/>
    <w:rsid w:val="00485FFD"/>
    <w:rsid w:val="00486272"/>
    <w:rsid w:val="0048629B"/>
    <w:rsid w:val="004867E2"/>
    <w:rsid w:val="00486EF4"/>
    <w:rsid w:val="00486F82"/>
    <w:rsid w:val="004873FD"/>
    <w:rsid w:val="004876AA"/>
    <w:rsid w:val="00487C85"/>
    <w:rsid w:val="00487E9A"/>
    <w:rsid w:val="004902A7"/>
    <w:rsid w:val="00490709"/>
    <w:rsid w:val="004909D7"/>
    <w:rsid w:val="00490DC4"/>
    <w:rsid w:val="00491123"/>
    <w:rsid w:val="00491141"/>
    <w:rsid w:val="004914DD"/>
    <w:rsid w:val="004920E7"/>
    <w:rsid w:val="00492177"/>
    <w:rsid w:val="00492237"/>
    <w:rsid w:val="00492CFE"/>
    <w:rsid w:val="0049366D"/>
    <w:rsid w:val="004937DA"/>
    <w:rsid w:val="004944A3"/>
    <w:rsid w:val="0049497C"/>
    <w:rsid w:val="00494A65"/>
    <w:rsid w:val="00494AD1"/>
    <w:rsid w:val="00494B7F"/>
    <w:rsid w:val="00494F64"/>
    <w:rsid w:val="00495382"/>
    <w:rsid w:val="00495557"/>
    <w:rsid w:val="00495AD0"/>
    <w:rsid w:val="00495CBD"/>
    <w:rsid w:val="00495EDF"/>
    <w:rsid w:val="00496A83"/>
    <w:rsid w:val="00496CE9"/>
    <w:rsid w:val="00496E8B"/>
    <w:rsid w:val="00496EAF"/>
    <w:rsid w:val="00497016"/>
    <w:rsid w:val="0049739D"/>
    <w:rsid w:val="004978B4"/>
    <w:rsid w:val="00497B5F"/>
    <w:rsid w:val="00497B9F"/>
    <w:rsid w:val="00497D1A"/>
    <w:rsid w:val="004A032E"/>
    <w:rsid w:val="004A0347"/>
    <w:rsid w:val="004A04F4"/>
    <w:rsid w:val="004A050A"/>
    <w:rsid w:val="004A06EE"/>
    <w:rsid w:val="004A0D1E"/>
    <w:rsid w:val="004A0DE8"/>
    <w:rsid w:val="004A0FBC"/>
    <w:rsid w:val="004A121C"/>
    <w:rsid w:val="004A1261"/>
    <w:rsid w:val="004A2084"/>
    <w:rsid w:val="004A27D0"/>
    <w:rsid w:val="004A2A2D"/>
    <w:rsid w:val="004A2B88"/>
    <w:rsid w:val="004A3299"/>
    <w:rsid w:val="004A3355"/>
    <w:rsid w:val="004A3617"/>
    <w:rsid w:val="004A393B"/>
    <w:rsid w:val="004A3BC0"/>
    <w:rsid w:val="004A4072"/>
    <w:rsid w:val="004A4430"/>
    <w:rsid w:val="004A4A1F"/>
    <w:rsid w:val="004A4AE6"/>
    <w:rsid w:val="004A4ECD"/>
    <w:rsid w:val="004A4FDF"/>
    <w:rsid w:val="004A5067"/>
    <w:rsid w:val="004A5219"/>
    <w:rsid w:val="004A5425"/>
    <w:rsid w:val="004A5489"/>
    <w:rsid w:val="004A5873"/>
    <w:rsid w:val="004A5D18"/>
    <w:rsid w:val="004A5E73"/>
    <w:rsid w:val="004A608E"/>
    <w:rsid w:val="004A61ED"/>
    <w:rsid w:val="004A6339"/>
    <w:rsid w:val="004A6535"/>
    <w:rsid w:val="004A676F"/>
    <w:rsid w:val="004A69CA"/>
    <w:rsid w:val="004A6B82"/>
    <w:rsid w:val="004A6DB4"/>
    <w:rsid w:val="004A6F00"/>
    <w:rsid w:val="004A7186"/>
    <w:rsid w:val="004A72BD"/>
    <w:rsid w:val="004A73DC"/>
    <w:rsid w:val="004A745C"/>
    <w:rsid w:val="004A7A52"/>
    <w:rsid w:val="004B0002"/>
    <w:rsid w:val="004B01F7"/>
    <w:rsid w:val="004B0249"/>
    <w:rsid w:val="004B02AC"/>
    <w:rsid w:val="004B051E"/>
    <w:rsid w:val="004B0585"/>
    <w:rsid w:val="004B0F44"/>
    <w:rsid w:val="004B157E"/>
    <w:rsid w:val="004B171E"/>
    <w:rsid w:val="004B19FE"/>
    <w:rsid w:val="004B296F"/>
    <w:rsid w:val="004B2A4D"/>
    <w:rsid w:val="004B2B0C"/>
    <w:rsid w:val="004B2CE2"/>
    <w:rsid w:val="004B2F45"/>
    <w:rsid w:val="004B33C2"/>
    <w:rsid w:val="004B35E1"/>
    <w:rsid w:val="004B3DF6"/>
    <w:rsid w:val="004B3FB0"/>
    <w:rsid w:val="004B40E9"/>
    <w:rsid w:val="004B4214"/>
    <w:rsid w:val="004B4380"/>
    <w:rsid w:val="004B484B"/>
    <w:rsid w:val="004B4ADB"/>
    <w:rsid w:val="004B4BAD"/>
    <w:rsid w:val="004B4CDA"/>
    <w:rsid w:val="004B4E21"/>
    <w:rsid w:val="004B52FD"/>
    <w:rsid w:val="004B5B09"/>
    <w:rsid w:val="004B5DA0"/>
    <w:rsid w:val="004B647D"/>
    <w:rsid w:val="004B64E3"/>
    <w:rsid w:val="004B66D0"/>
    <w:rsid w:val="004B689D"/>
    <w:rsid w:val="004B69D3"/>
    <w:rsid w:val="004B6E42"/>
    <w:rsid w:val="004B7012"/>
    <w:rsid w:val="004B73FF"/>
    <w:rsid w:val="004B7EC4"/>
    <w:rsid w:val="004C0CA7"/>
    <w:rsid w:val="004C0E97"/>
    <w:rsid w:val="004C152B"/>
    <w:rsid w:val="004C1825"/>
    <w:rsid w:val="004C1848"/>
    <w:rsid w:val="004C209F"/>
    <w:rsid w:val="004C25CD"/>
    <w:rsid w:val="004C280B"/>
    <w:rsid w:val="004C3166"/>
    <w:rsid w:val="004C32FB"/>
    <w:rsid w:val="004C3675"/>
    <w:rsid w:val="004C3696"/>
    <w:rsid w:val="004C3F2B"/>
    <w:rsid w:val="004C3FDC"/>
    <w:rsid w:val="004C41BE"/>
    <w:rsid w:val="004C44E5"/>
    <w:rsid w:val="004C48C8"/>
    <w:rsid w:val="004C4CDF"/>
    <w:rsid w:val="004C4F29"/>
    <w:rsid w:val="004C598D"/>
    <w:rsid w:val="004C5F38"/>
    <w:rsid w:val="004C6256"/>
    <w:rsid w:val="004C6469"/>
    <w:rsid w:val="004C6C63"/>
    <w:rsid w:val="004C6DA7"/>
    <w:rsid w:val="004C7073"/>
    <w:rsid w:val="004C71D2"/>
    <w:rsid w:val="004C7316"/>
    <w:rsid w:val="004C753A"/>
    <w:rsid w:val="004C77DB"/>
    <w:rsid w:val="004C79BE"/>
    <w:rsid w:val="004C7F21"/>
    <w:rsid w:val="004D08F9"/>
    <w:rsid w:val="004D0B3E"/>
    <w:rsid w:val="004D0EE0"/>
    <w:rsid w:val="004D0EFE"/>
    <w:rsid w:val="004D129F"/>
    <w:rsid w:val="004D155B"/>
    <w:rsid w:val="004D1642"/>
    <w:rsid w:val="004D1F91"/>
    <w:rsid w:val="004D2348"/>
    <w:rsid w:val="004D2350"/>
    <w:rsid w:val="004D23D5"/>
    <w:rsid w:val="004D295A"/>
    <w:rsid w:val="004D2978"/>
    <w:rsid w:val="004D2D62"/>
    <w:rsid w:val="004D348D"/>
    <w:rsid w:val="004D3897"/>
    <w:rsid w:val="004D3D47"/>
    <w:rsid w:val="004D3F91"/>
    <w:rsid w:val="004D4425"/>
    <w:rsid w:val="004D4828"/>
    <w:rsid w:val="004D4857"/>
    <w:rsid w:val="004D49B1"/>
    <w:rsid w:val="004D49DD"/>
    <w:rsid w:val="004D5355"/>
    <w:rsid w:val="004D5571"/>
    <w:rsid w:val="004D5F03"/>
    <w:rsid w:val="004D5FFF"/>
    <w:rsid w:val="004D6263"/>
    <w:rsid w:val="004D6771"/>
    <w:rsid w:val="004D6963"/>
    <w:rsid w:val="004D6A3B"/>
    <w:rsid w:val="004D7122"/>
    <w:rsid w:val="004D71AC"/>
    <w:rsid w:val="004D74C2"/>
    <w:rsid w:val="004D75F6"/>
    <w:rsid w:val="004D787B"/>
    <w:rsid w:val="004D7D52"/>
    <w:rsid w:val="004E01F3"/>
    <w:rsid w:val="004E07D9"/>
    <w:rsid w:val="004E084E"/>
    <w:rsid w:val="004E0A42"/>
    <w:rsid w:val="004E0BC9"/>
    <w:rsid w:val="004E0EF4"/>
    <w:rsid w:val="004E1011"/>
    <w:rsid w:val="004E10C0"/>
    <w:rsid w:val="004E1449"/>
    <w:rsid w:val="004E1883"/>
    <w:rsid w:val="004E1B3E"/>
    <w:rsid w:val="004E1DAC"/>
    <w:rsid w:val="004E2886"/>
    <w:rsid w:val="004E2983"/>
    <w:rsid w:val="004E2998"/>
    <w:rsid w:val="004E2BD6"/>
    <w:rsid w:val="004E2CAF"/>
    <w:rsid w:val="004E2DC8"/>
    <w:rsid w:val="004E3347"/>
    <w:rsid w:val="004E3442"/>
    <w:rsid w:val="004E367B"/>
    <w:rsid w:val="004E38A0"/>
    <w:rsid w:val="004E3DB9"/>
    <w:rsid w:val="004E4052"/>
    <w:rsid w:val="004E41D0"/>
    <w:rsid w:val="004E4591"/>
    <w:rsid w:val="004E464B"/>
    <w:rsid w:val="004E48A8"/>
    <w:rsid w:val="004E4C7B"/>
    <w:rsid w:val="004E51B2"/>
    <w:rsid w:val="004E5AB5"/>
    <w:rsid w:val="004E5B60"/>
    <w:rsid w:val="004E5C3E"/>
    <w:rsid w:val="004E5EC4"/>
    <w:rsid w:val="004E6766"/>
    <w:rsid w:val="004E6B9D"/>
    <w:rsid w:val="004E72A7"/>
    <w:rsid w:val="004E751C"/>
    <w:rsid w:val="004F0097"/>
    <w:rsid w:val="004F00F3"/>
    <w:rsid w:val="004F0C29"/>
    <w:rsid w:val="004F0ECB"/>
    <w:rsid w:val="004F14BF"/>
    <w:rsid w:val="004F1AF5"/>
    <w:rsid w:val="004F1FE0"/>
    <w:rsid w:val="004F2241"/>
    <w:rsid w:val="004F229D"/>
    <w:rsid w:val="004F2568"/>
    <w:rsid w:val="004F307F"/>
    <w:rsid w:val="004F34D7"/>
    <w:rsid w:val="004F3D7C"/>
    <w:rsid w:val="004F4043"/>
    <w:rsid w:val="004F41FE"/>
    <w:rsid w:val="004F4320"/>
    <w:rsid w:val="004F433C"/>
    <w:rsid w:val="004F46F1"/>
    <w:rsid w:val="004F483A"/>
    <w:rsid w:val="004F4907"/>
    <w:rsid w:val="004F4E54"/>
    <w:rsid w:val="004F5252"/>
    <w:rsid w:val="004F5665"/>
    <w:rsid w:val="004F5723"/>
    <w:rsid w:val="004F5E28"/>
    <w:rsid w:val="004F5FF9"/>
    <w:rsid w:val="004F64C9"/>
    <w:rsid w:val="004F654B"/>
    <w:rsid w:val="004F69AE"/>
    <w:rsid w:val="004F6A0B"/>
    <w:rsid w:val="004F6A5B"/>
    <w:rsid w:val="004F6AD3"/>
    <w:rsid w:val="004F6ED7"/>
    <w:rsid w:val="004F7590"/>
    <w:rsid w:val="004F7755"/>
    <w:rsid w:val="004F7B30"/>
    <w:rsid w:val="004F7DE9"/>
    <w:rsid w:val="004F7EE6"/>
    <w:rsid w:val="005001CA"/>
    <w:rsid w:val="005001D3"/>
    <w:rsid w:val="0050070C"/>
    <w:rsid w:val="005009FB"/>
    <w:rsid w:val="00500C00"/>
    <w:rsid w:val="00501386"/>
    <w:rsid w:val="005014B7"/>
    <w:rsid w:val="00501BD9"/>
    <w:rsid w:val="00501C25"/>
    <w:rsid w:val="005024A9"/>
    <w:rsid w:val="005027A6"/>
    <w:rsid w:val="0050291E"/>
    <w:rsid w:val="00502B5C"/>
    <w:rsid w:val="00502DAE"/>
    <w:rsid w:val="00502FFB"/>
    <w:rsid w:val="00503347"/>
    <w:rsid w:val="0050347F"/>
    <w:rsid w:val="00503540"/>
    <w:rsid w:val="00503796"/>
    <w:rsid w:val="005038A0"/>
    <w:rsid w:val="005038EA"/>
    <w:rsid w:val="005043F3"/>
    <w:rsid w:val="00504839"/>
    <w:rsid w:val="005049CF"/>
    <w:rsid w:val="00504A82"/>
    <w:rsid w:val="00504C8C"/>
    <w:rsid w:val="00505189"/>
    <w:rsid w:val="005053A4"/>
    <w:rsid w:val="00505D0C"/>
    <w:rsid w:val="00505E19"/>
    <w:rsid w:val="0050612B"/>
    <w:rsid w:val="00506852"/>
    <w:rsid w:val="00506D7D"/>
    <w:rsid w:val="00507073"/>
    <w:rsid w:val="005072B4"/>
    <w:rsid w:val="00507500"/>
    <w:rsid w:val="00507B7B"/>
    <w:rsid w:val="00507D45"/>
    <w:rsid w:val="005103C5"/>
    <w:rsid w:val="00510417"/>
    <w:rsid w:val="00510936"/>
    <w:rsid w:val="00510A0A"/>
    <w:rsid w:val="00510AE7"/>
    <w:rsid w:val="00510E8C"/>
    <w:rsid w:val="005115BA"/>
    <w:rsid w:val="005115F6"/>
    <w:rsid w:val="00511B5F"/>
    <w:rsid w:val="00511DB7"/>
    <w:rsid w:val="00512288"/>
    <w:rsid w:val="0051267A"/>
    <w:rsid w:val="00512782"/>
    <w:rsid w:val="005127F7"/>
    <w:rsid w:val="00512EA7"/>
    <w:rsid w:val="005131D3"/>
    <w:rsid w:val="005132E2"/>
    <w:rsid w:val="0051352C"/>
    <w:rsid w:val="005138E5"/>
    <w:rsid w:val="00513DAA"/>
    <w:rsid w:val="00513F5F"/>
    <w:rsid w:val="0051447C"/>
    <w:rsid w:val="005148AE"/>
    <w:rsid w:val="00514CCD"/>
    <w:rsid w:val="00514FC2"/>
    <w:rsid w:val="00515306"/>
    <w:rsid w:val="00515771"/>
    <w:rsid w:val="00515BFA"/>
    <w:rsid w:val="005165D5"/>
    <w:rsid w:val="00516660"/>
    <w:rsid w:val="005168CE"/>
    <w:rsid w:val="005169C7"/>
    <w:rsid w:val="00516ADB"/>
    <w:rsid w:val="0051725D"/>
    <w:rsid w:val="005173CF"/>
    <w:rsid w:val="005177F8"/>
    <w:rsid w:val="0051782D"/>
    <w:rsid w:val="00517A86"/>
    <w:rsid w:val="00517BB5"/>
    <w:rsid w:val="00517F34"/>
    <w:rsid w:val="00517FE3"/>
    <w:rsid w:val="00520459"/>
    <w:rsid w:val="0052081A"/>
    <w:rsid w:val="00520B8D"/>
    <w:rsid w:val="00520BB1"/>
    <w:rsid w:val="005212FE"/>
    <w:rsid w:val="00521559"/>
    <w:rsid w:val="005217C8"/>
    <w:rsid w:val="00521A12"/>
    <w:rsid w:val="00522755"/>
    <w:rsid w:val="005229DD"/>
    <w:rsid w:val="00522B5E"/>
    <w:rsid w:val="00523040"/>
    <w:rsid w:val="0052349D"/>
    <w:rsid w:val="00523A66"/>
    <w:rsid w:val="00523A70"/>
    <w:rsid w:val="00523EFA"/>
    <w:rsid w:val="005243FB"/>
    <w:rsid w:val="005244C7"/>
    <w:rsid w:val="00524BE8"/>
    <w:rsid w:val="00525061"/>
    <w:rsid w:val="00525123"/>
    <w:rsid w:val="00525141"/>
    <w:rsid w:val="0052548B"/>
    <w:rsid w:val="0052560D"/>
    <w:rsid w:val="005256D2"/>
    <w:rsid w:val="0052575D"/>
    <w:rsid w:val="0052602C"/>
    <w:rsid w:val="0052607E"/>
    <w:rsid w:val="005261AC"/>
    <w:rsid w:val="005261CF"/>
    <w:rsid w:val="005265A1"/>
    <w:rsid w:val="005266A5"/>
    <w:rsid w:val="00526780"/>
    <w:rsid w:val="00526C92"/>
    <w:rsid w:val="00526EF3"/>
    <w:rsid w:val="00526F2D"/>
    <w:rsid w:val="0052719E"/>
    <w:rsid w:val="0052724C"/>
    <w:rsid w:val="005273E4"/>
    <w:rsid w:val="005275FC"/>
    <w:rsid w:val="0052768C"/>
    <w:rsid w:val="0052796B"/>
    <w:rsid w:val="00527A4B"/>
    <w:rsid w:val="0053010C"/>
    <w:rsid w:val="0053031A"/>
    <w:rsid w:val="0053052A"/>
    <w:rsid w:val="0053083A"/>
    <w:rsid w:val="00530896"/>
    <w:rsid w:val="005308D5"/>
    <w:rsid w:val="005310AF"/>
    <w:rsid w:val="00531163"/>
    <w:rsid w:val="0053116F"/>
    <w:rsid w:val="00531603"/>
    <w:rsid w:val="00531A0F"/>
    <w:rsid w:val="00531CA7"/>
    <w:rsid w:val="00531D10"/>
    <w:rsid w:val="0053200F"/>
    <w:rsid w:val="00532027"/>
    <w:rsid w:val="00532039"/>
    <w:rsid w:val="0053211E"/>
    <w:rsid w:val="00532240"/>
    <w:rsid w:val="00532571"/>
    <w:rsid w:val="00532B43"/>
    <w:rsid w:val="00532CD0"/>
    <w:rsid w:val="00532D92"/>
    <w:rsid w:val="00532F19"/>
    <w:rsid w:val="00533031"/>
    <w:rsid w:val="00533193"/>
    <w:rsid w:val="00533320"/>
    <w:rsid w:val="005342C3"/>
    <w:rsid w:val="005343F6"/>
    <w:rsid w:val="00534664"/>
    <w:rsid w:val="00534B45"/>
    <w:rsid w:val="00534D24"/>
    <w:rsid w:val="00534E0C"/>
    <w:rsid w:val="0053504E"/>
    <w:rsid w:val="005354A3"/>
    <w:rsid w:val="005362F5"/>
    <w:rsid w:val="005367CE"/>
    <w:rsid w:val="00536872"/>
    <w:rsid w:val="00536A30"/>
    <w:rsid w:val="00536B49"/>
    <w:rsid w:val="00536B4F"/>
    <w:rsid w:val="00536E7E"/>
    <w:rsid w:val="00537222"/>
    <w:rsid w:val="0053723D"/>
    <w:rsid w:val="0053725B"/>
    <w:rsid w:val="00537A63"/>
    <w:rsid w:val="005401F7"/>
    <w:rsid w:val="005408E4"/>
    <w:rsid w:val="005409F3"/>
    <w:rsid w:val="00540C57"/>
    <w:rsid w:val="00540E99"/>
    <w:rsid w:val="00540FB4"/>
    <w:rsid w:val="005414B3"/>
    <w:rsid w:val="005418A2"/>
    <w:rsid w:val="00541917"/>
    <w:rsid w:val="00541A24"/>
    <w:rsid w:val="00541D07"/>
    <w:rsid w:val="00541D4A"/>
    <w:rsid w:val="005429B2"/>
    <w:rsid w:val="005429C6"/>
    <w:rsid w:val="00542E56"/>
    <w:rsid w:val="005430A6"/>
    <w:rsid w:val="0054316F"/>
    <w:rsid w:val="005432A1"/>
    <w:rsid w:val="00543845"/>
    <w:rsid w:val="00543A4D"/>
    <w:rsid w:val="00543AE7"/>
    <w:rsid w:val="00543C91"/>
    <w:rsid w:val="005440BF"/>
    <w:rsid w:val="005447C2"/>
    <w:rsid w:val="00544D03"/>
    <w:rsid w:val="0054578A"/>
    <w:rsid w:val="00545C9E"/>
    <w:rsid w:val="00545D53"/>
    <w:rsid w:val="00545E34"/>
    <w:rsid w:val="00546139"/>
    <w:rsid w:val="005461FD"/>
    <w:rsid w:val="0054650E"/>
    <w:rsid w:val="005466B1"/>
    <w:rsid w:val="0054685C"/>
    <w:rsid w:val="00546CB1"/>
    <w:rsid w:val="00546F6A"/>
    <w:rsid w:val="005471A0"/>
    <w:rsid w:val="005472A0"/>
    <w:rsid w:val="00547720"/>
    <w:rsid w:val="0054783E"/>
    <w:rsid w:val="00547887"/>
    <w:rsid w:val="00547933"/>
    <w:rsid w:val="005479F0"/>
    <w:rsid w:val="00547AC6"/>
    <w:rsid w:val="00547BAF"/>
    <w:rsid w:val="005501EC"/>
    <w:rsid w:val="00550847"/>
    <w:rsid w:val="005508F6"/>
    <w:rsid w:val="005509E7"/>
    <w:rsid w:val="00550BD1"/>
    <w:rsid w:val="00550DC3"/>
    <w:rsid w:val="0055106A"/>
    <w:rsid w:val="005510D6"/>
    <w:rsid w:val="00551199"/>
    <w:rsid w:val="00551771"/>
    <w:rsid w:val="00552543"/>
    <w:rsid w:val="005528FE"/>
    <w:rsid w:val="00552E9B"/>
    <w:rsid w:val="0055310D"/>
    <w:rsid w:val="005531BD"/>
    <w:rsid w:val="005531F7"/>
    <w:rsid w:val="00553238"/>
    <w:rsid w:val="00553332"/>
    <w:rsid w:val="00553DA2"/>
    <w:rsid w:val="00553DBD"/>
    <w:rsid w:val="00554209"/>
    <w:rsid w:val="005544E2"/>
    <w:rsid w:val="0055490C"/>
    <w:rsid w:val="00554B85"/>
    <w:rsid w:val="00554C2C"/>
    <w:rsid w:val="0055526A"/>
    <w:rsid w:val="005552BA"/>
    <w:rsid w:val="005557E2"/>
    <w:rsid w:val="00555D86"/>
    <w:rsid w:val="00555FE3"/>
    <w:rsid w:val="0055625D"/>
    <w:rsid w:val="00556523"/>
    <w:rsid w:val="00556566"/>
    <w:rsid w:val="00556615"/>
    <w:rsid w:val="005567B2"/>
    <w:rsid w:val="00556C47"/>
    <w:rsid w:val="00556D24"/>
    <w:rsid w:val="005572A1"/>
    <w:rsid w:val="0055742C"/>
    <w:rsid w:val="00557870"/>
    <w:rsid w:val="00557F3F"/>
    <w:rsid w:val="00557F80"/>
    <w:rsid w:val="00560118"/>
    <w:rsid w:val="00560139"/>
    <w:rsid w:val="00560277"/>
    <w:rsid w:val="00560938"/>
    <w:rsid w:val="00560AF1"/>
    <w:rsid w:val="00561071"/>
    <w:rsid w:val="0056121D"/>
    <w:rsid w:val="00561425"/>
    <w:rsid w:val="005614B1"/>
    <w:rsid w:val="00561562"/>
    <w:rsid w:val="005616BF"/>
    <w:rsid w:val="0056202F"/>
    <w:rsid w:val="005621BA"/>
    <w:rsid w:val="005621E9"/>
    <w:rsid w:val="005628BD"/>
    <w:rsid w:val="00562900"/>
    <w:rsid w:val="00562E28"/>
    <w:rsid w:val="00563B8E"/>
    <w:rsid w:val="00563D1C"/>
    <w:rsid w:val="00563DA4"/>
    <w:rsid w:val="00563DE6"/>
    <w:rsid w:val="00563F05"/>
    <w:rsid w:val="00564487"/>
    <w:rsid w:val="005647FC"/>
    <w:rsid w:val="005648A2"/>
    <w:rsid w:val="00564F70"/>
    <w:rsid w:val="0056528D"/>
    <w:rsid w:val="005654C2"/>
    <w:rsid w:val="005654D0"/>
    <w:rsid w:val="00565B7D"/>
    <w:rsid w:val="00565C9F"/>
    <w:rsid w:val="00565D7E"/>
    <w:rsid w:val="00565E49"/>
    <w:rsid w:val="00565F9F"/>
    <w:rsid w:val="005660D4"/>
    <w:rsid w:val="005661E9"/>
    <w:rsid w:val="0056628B"/>
    <w:rsid w:val="00566298"/>
    <w:rsid w:val="005662C7"/>
    <w:rsid w:val="005664F1"/>
    <w:rsid w:val="00566C0D"/>
    <w:rsid w:val="00566E9A"/>
    <w:rsid w:val="005670B3"/>
    <w:rsid w:val="005675F2"/>
    <w:rsid w:val="00567674"/>
    <w:rsid w:val="00567F31"/>
    <w:rsid w:val="0057014B"/>
    <w:rsid w:val="005702AD"/>
    <w:rsid w:val="00570505"/>
    <w:rsid w:val="00570546"/>
    <w:rsid w:val="005707F3"/>
    <w:rsid w:val="005708B7"/>
    <w:rsid w:val="0057091E"/>
    <w:rsid w:val="00570AD6"/>
    <w:rsid w:val="00570E4B"/>
    <w:rsid w:val="00570FA8"/>
    <w:rsid w:val="00571194"/>
    <w:rsid w:val="0057147D"/>
    <w:rsid w:val="005714FB"/>
    <w:rsid w:val="00571A40"/>
    <w:rsid w:val="00571B5D"/>
    <w:rsid w:val="00571BF7"/>
    <w:rsid w:val="00571C72"/>
    <w:rsid w:val="00572017"/>
    <w:rsid w:val="005723D6"/>
    <w:rsid w:val="00572720"/>
    <w:rsid w:val="005729A7"/>
    <w:rsid w:val="0057356E"/>
    <w:rsid w:val="00573DAA"/>
    <w:rsid w:val="00573E81"/>
    <w:rsid w:val="00574063"/>
    <w:rsid w:val="005749C2"/>
    <w:rsid w:val="00574A66"/>
    <w:rsid w:val="00574A6E"/>
    <w:rsid w:val="00574BC9"/>
    <w:rsid w:val="00574BEE"/>
    <w:rsid w:val="00574D11"/>
    <w:rsid w:val="00574F1D"/>
    <w:rsid w:val="00574F3B"/>
    <w:rsid w:val="005757F9"/>
    <w:rsid w:val="005758CD"/>
    <w:rsid w:val="00575B93"/>
    <w:rsid w:val="00575D3B"/>
    <w:rsid w:val="00575DA2"/>
    <w:rsid w:val="005762BE"/>
    <w:rsid w:val="00576939"/>
    <w:rsid w:val="00577145"/>
    <w:rsid w:val="0057728E"/>
    <w:rsid w:val="005773BE"/>
    <w:rsid w:val="005773CC"/>
    <w:rsid w:val="005777C4"/>
    <w:rsid w:val="00577806"/>
    <w:rsid w:val="00577C41"/>
    <w:rsid w:val="00577DE4"/>
    <w:rsid w:val="00577F62"/>
    <w:rsid w:val="00577FD8"/>
    <w:rsid w:val="00580355"/>
    <w:rsid w:val="00580729"/>
    <w:rsid w:val="00580A80"/>
    <w:rsid w:val="00580DC4"/>
    <w:rsid w:val="00580F38"/>
    <w:rsid w:val="005819EF"/>
    <w:rsid w:val="00581F4A"/>
    <w:rsid w:val="00582002"/>
    <w:rsid w:val="0058220A"/>
    <w:rsid w:val="00582259"/>
    <w:rsid w:val="00582303"/>
    <w:rsid w:val="00582365"/>
    <w:rsid w:val="005833AC"/>
    <w:rsid w:val="005837B4"/>
    <w:rsid w:val="005842A1"/>
    <w:rsid w:val="0058465C"/>
    <w:rsid w:val="0058486B"/>
    <w:rsid w:val="0058488C"/>
    <w:rsid w:val="00584975"/>
    <w:rsid w:val="00584D09"/>
    <w:rsid w:val="0058533B"/>
    <w:rsid w:val="005856CC"/>
    <w:rsid w:val="00585869"/>
    <w:rsid w:val="00585A86"/>
    <w:rsid w:val="00585B6F"/>
    <w:rsid w:val="00585BC0"/>
    <w:rsid w:val="00585C1B"/>
    <w:rsid w:val="00585DDE"/>
    <w:rsid w:val="0058648F"/>
    <w:rsid w:val="00586591"/>
    <w:rsid w:val="0058659B"/>
    <w:rsid w:val="005865EF"/>
    <w:rsid w:val="005868FA"/>
    <w:rsid w:val="0058695A"/>
    <w:rsid w:val="00586E50"/>
    <w:rsid w:val="00587396"/>
    <w:rsid w:val="00587639"/>
    <w:rsid w:val="005878BA"/>
    <w:rsid w:val="00587B35"/>
    <w:rsid w:val="00587D31"/>
    <w:rsid w:val="00587E0E"/>
    <w:rsid w:val="00590083"/>
    <w:rsid w:val="00590158"/>
    <w:rsid w:val="00590A1D"/>
    <w:rsid w:val="00590E7A"/>
    <w:rsid w:val="0059100E"/>
    <w:rsid w:val="00591677"/>
    <w:rsid w:val="00591B2A"/>
    <w:rsid w:val="005920BF"/>
    <w:rsid w:val="00592176"/>
    <w:rsid w:val="0059256D"/>
    <w:rsid w:val="00592638"/>
    <w:rsid w:val="005926EA"/>
    <w:rsid w:val="005928AC"/>
    <w:rsid w:val="00592A26"/>
    <w:rsid w:val="00592F97"/>
    <w:rsid w:val="00593138"/>
    <w:rsid w:val="00593248"/>
    <w:rsid w:val="005934F1"/>
    <w:rsid w:val="00593A33"/>
    <w:rsid w:val="00593C2F"/>
    <w:rsid w:val="00594353"/>
    <w:rsid w:val="00594736"/>
    <w:rsid w:val="005947B5"/>
    <w:rsid w:val="00594C07"/>
    <w:rsid w:val="00594E37"/>
    <w:rsid w:val="00594E71"/>
    <w:rsid w:val="005951FB"/>
    <w:rsid w:val="0059529A"/>
    <w:rsid w:val="005953BC"/>
    <w:rsid w:val="00595711"/>
    <w:rsid w:val="005958D5"/>
    <w:rsid w:val="00595936"/>
    <w:rsid w:val="00595B18"/>
    <w:rsid w:val="005960BB"/>
    <w:rsid w:val="005969D9"/>
    <w:rsid w:val="00596AB8"/>
    <w:rsid w:val="00596BB4"/>
    <w:rsid w:val="005972BF"/>
    <w:rsid w:val="00597407"/>
    <w:rsid w:val="00597B9F"/>
    <w:rsid w:val="00597BD9"/>
    <w:rsid w:val="005A0140"/>
    <w:rsid w:val="005A0496"/>
    <w:rsid w:val="005A07F2"/>
    <w:rsid w:val="005A08A8"/>
    <w:rsid w:val="005A0B31"/>
    <w:rsid w:val="005A1027"/>
    <w:rsid w:val="005A103F"/>
    <w:rsid w:val="005A116D"/>
    <w:rsid w:val="005A1279"/>
    <w:rsid w:val="005A182C"/>
    <w:rsid w:val="005A1DA2"/>
    <w:rsid w:val="005A1E49"/>
    <w:rsid w:val="005A2381"/>
    <w:rsid w:val="005A2489"/>
    <w:rsid w:val="005A2499"/>
    <w:rsid w:val="005A24A8"/>
    <w:rsid w:val="005A2830"/>
    <w:rsid w:val="005A338B"/>
    <w:rsid w:val="005A33B1"/>
    <w:rsid w:val="005A365E"/>
    <w:rsid w:val="005A38E2"/>
    <w:rsid w:val="005A39A2"/>
    <w:rsid w:val="005A3C25"/>
    <w:rsid w:val="005A3EBE"/>
    <w:rsid w:val="005A3F1A"/>
    <w:rsid w:val="005A3FD5"/>
    <w:rsid w:val="005A4047"/>
    <w:rsid w:val="005A4384"/>
    <w:rsid w:val="005A46DD"/>
    <w:rsid w:val="005A4E2C"/>
    <w:rsid w:val="005A5273"/>
    <w:rsid w:val="005A5968"/>
    <w:rsid w:val="005A5FA7"/>
    <w:rsid w:val="005A64C0"/>
    <w:rsid w:val="005A6A66"/>
    <w:rsid w:val="005A6BFB"/>
    <w:rsid w:val="005A6D85"/>
    <w:rsid w:val="005A7012"/>
    <w:rsid w:val="005A7274"/>
    <w:rsid w:val="005A78D0"/>
    <w:rsid w:val="005A7A5E"/>
    <w:rsid w:val="005A7B74"/>
    <w:rsid w:val="005A7C83"/>
    <w:rsid w:val="005A7F70"/>
    <w:rsid w:val="005B0532"/>
    <w:rsid w:val="005B09F4"/>
    <w:rsid w:val="005B0AC3"/>
    <w:rsid w:val="005B0C95"/>
    <w:rsid w:val="005B0E74"/>
    <w:rsid w:val="005B0EFB"/>
    <w:rsid w:val="005B106A"/>
    <w:rsid w:val="005B10C1"/>
    <w:rsid w:val="005B12D1"/>
    <w:rsid w:val="005B1AA7"/>
    <w:rsid w:val="005B1C07"/>
    <w:rsid w:val="005B20FD"/>
    <w:rsid w:val="005B219B"/>
    <w:rsid w:val="005B2221"/>
    <w:rsid w:val="005B2EF1"/>
    <w:rsid w:val="005B3054"/>
    <w:rsid w:val="005B315D"/>
    <w:rsid w:val="005B32D2"/>
    <w:rsid w:val="005B3432"/>
    <w:rsid w:val="005B348B"/>
    <w:rsid w:val="005B3B52"/>
    <w:rsid w:val="005B3BD6"/>
    <w:rsid w:val="005B3F03"/>
    <w:rsid w:val="005B4140"/>
    <w:rsid w:val="005B4C62"/>
    <w:rsid w:val="005B4DD4"/>
    <w:rsid w:val="005B4F74"/>
    <w:rsid w:val="005B50C6"/>
    <w:rsid w:val="005B5167"/>
    <w:rsid w:val="005B551B"/>
    <w:rsid w:val="005B563C"/>
    <w:rsid w:val="005B5727"/>
    <w:rsid w:val="005B57E3"/>
    <w:rsid w:val="005B57EB"/>
    <w:rsid w:val="005B5954"/>
    <w:rsid w:val="005B5AE8"/>
    <w:rsid w:val="005B64BD"/>
    <w:rsid w:val="005B6B45"/>
    <w:rsid w:val="005B6CCC"/>
    <w:rsid w:val="005B6D29"/>
    <w:rsid w:val="005B7949"/>
    <w:rsid w:val="005B7B79"/>
    <w:rsid w:val="005B7D6C"/>
    <w:rsid w:val="005B7F31"/>
    <w:rsid w:val="005C0C04"/>
    <w:rsid w:val="005C0E3E"/>
    <w:rsid w:val="005C11BA"/>
    <w:rsid w:val="005C126D"/>
    <w:rsid w:val="005C139A"/>
    <w:rsid w:val="005C17C9"/>
    <w:rsid w:val="005C1955"/>
    <w:rsid w:val="005C1A83"/>
    <w:rsid w:val="005C1AD0"/>
    <w:rsid w:val="005C1D38"/>
    <w:rsid w:val="005C1DF1"/>
    <w:rsid w:val="005C1E53"/>
    <w:rsid w:val="005C2530"/>
    <w:rsid w:val="005C2DBC"/>
    <w:rsid w:val="005C2E0E"/>
    <w:rsid w:val="005C2E13"/>
    <w:rsid w:val="005C2F1F"/>
    <w:rsid w:val="005C30FD"/>
    <w:rsid w:val="005C3179"/>
    <w:rsid w:val="005C3680"/>
    <w:rsid w:val="005C3C1A"/>
    <w:rsid w:val="005C3E8F"/>
    <w:rsid w:val="005C40AF"/>
    <w:rsid w:val="005C41E0"/>
    <w:rsid w:val="005C4392"/>
    <w:rsid w:val="005C4723"/>
    <w:rsid w:val="005C4AA3"/>
    <w:rsid w:val="005C4AD9"/>
    <w:rsid w:val="005C4ED7"/>
    <w:rsid w:val="005C5116"/>
    <w:rsid w:val="005C52CD"/>
    <w:rsid w:val="005C58CA"/>
    <w:rsid w:val="005C59EB"/>
    <w:rsid w:val="005C5A5E"/>
    <w:rsid w:val="005C5C5D"/>
    <w:rsid w:val="005C5C6D"/>
    <w:rsid w:val="005C5DB4"/>
    <w:rsid w:val="005C5F1D"/>
    <w:rsid w:val="005C60C3"/>
    <w:rsid w:val="005C62B8"/>
    <w:rsid w:val="005C63FA"/>
    <w:rsid w:val="005C68FD"/>
    <w:rsid w:val="005C6AAE"/>
    <w:rsid w:val="005C6CA7"/>
    <w:rsid w:val="005C6EDB"/>
    <w:rsid w:val="005C7215"/>
    <w:rsid w:val="005C73C4"/>
    <w:rsid w:val="005C7418"/>
    <w:rsid w:val="005C7446"/>
    <w:rsid w:val="005C7465"/>
    <w:rsid w:val="005C74A5"/>
    <w:rsid w:val="005C7AD1"/>
    <w:rsid w:val="005C7EE7"/>
    <w:rsid w:val="005C7F94"/>
    <w:rsid w:val="005D00EA"/>
    <w:rsid w:val="005D023B"/>
    <w:rsid w:val="005D02C4"/>
    <w:rsid w:val="005D08D7"/>
    <w:rsid w:val="005D0AB8"/>
    <w:rsid w:val="005D0C63"/>
    <w:rsid w:val="005D117D"/>
    <w:rsid w:val="005D13DD"/>
    <w:rsid w:val="005D1820"/>
    <w:rsid w:val="005D1B2D"/>
    <w:rsid w:val="005D210B"/>
    <w:rsid w:val="005D2304"/>
    <w:rsid w:val="005D2318"/>
    <w:rsid w:val="005D2682"/>
    <w:rsid w:val="005D26D5"/>
    <w:rsid w:val="005D289F"/>
    <w:rsid w:val="005D29C6"/>
    <w:rsid w:val="005D2C74"/>
    <w:rsid w:val="005D2D74"/>
    <w:rsid w:val="005D3308"/>
    <w:rsid w:val="005D3706"/>
    <w:rsid w:val="005D390B"/>
    <w:rsid w:val="005D3A04"/>
    <w:rsid w:val="005D3C38"/>
    <w:rsid w:val="005D407A"/>
    <w:rsid w:val="005D48FE"/>
    <w:rsid w:val="005D4EB9"/>
    <w:rsid w:val="005D50AD"/>
    <w:rsid w:val="005D5282"/>
    <w:rsid w:val="005D5994"/>
    <w:rsid w:val="005D5DD7"/>
    <w:rsid w:val="005D6328"/>
    <w:rsid w:val="005D692A"/>
    <w:rsid w:val="005D6956"/>
    <w:rsid w:val="005D6C3F"/>
    <w:rsid w:val="005D6D6C"/>
    <w:rsid w:val="005D7002"/>
    <w:rsid w:val="005D7471"/>
    <w:rsid w:val="005D749D"/>
    <w:rsid w:val="005D75F1"/>
    <w:rsid w:val="005D7802"/>
    <w:rsid w:val="005D7F62"/>
    <w:rsid w:val="005E0210"/>
    <w:rsid w:val="005E0750"/>
    <w:rsid w:val="005E1284"/>
    <w:rsid w:val="005E1430"/>
    <w:rsid w:val="005E164C"/>
    <w:rsid w:val="005E1B28"/>
    <w:rsid w:val="005E1D6F"/>
    <w:rsid w:val="005E221A"/>
    <w:rsid w:val="005E221C"/>
    <w:rsid w:val="005E234F"/>
    <w:rsid w:val="005E245C"/>
    <w:rsid w:val="005E2702"/>
    <w:rsid w:val="005E29B7"/>
    <w:rsid w:val="005E2D32"/>
    <w:rsid w:val="005E34C3"/>
    <w:rsid w:val="005E3DF4"/>
    <w:rsid w:val="005E44AE"/>
    <w:rsid w:val="005E46AB"/>
    <w:rsid w:val="005E488F"/>
    <w:rsid w:val="005E5039"/>
    <w:rsid w:val="005E53F4"/>
    <w:rsid w:val="005E563B"/>
    <w:rsid w:val="005E5773"/>
    <w:rsid w:val="005E5874"/>
    <w:rsid w:val="005E5B27"/>
    <w:rsid w:val="005E666D"/>
    <w:rsid w:val="005E66F6"/>
    <w:rsid w:val="005E681C"/>
    <w:rsid w:val="005E6B20"/>
    <w:rsid w:val="005E6E9C"/>
    <w:rsid w:val="005E7182"/>
    <w:rsid w:val="005E7384"/>
    <w:rsid w:val="005E75D5"/>
    <w:rsid w:val="005E77EE"/>
    <w:rsid w:val="005E78AB"/>
    <w:rsid w:val="005E7A46"/>
    <w:rsid w:val="005E7AD2"/>
    <w:rsid w:val="005E7AE7"/>
    <w:rsid w:val="005E7BEA"/>
    <w:rsid w:val="005F008E"/>
    <w:rsid w:val="005F07AA"/>
    <w:rsid w:val="005F0803"/>
    <w:rsid w:val="005F0AF5"/>
    <w:rsid w:val="005F0CDE"/>
    <w:rsid w:val="005F0EDE"/>
    <w:rsid w:val="005F1479"/>
    <w:rsid w:val="005F1555"/>
    <w:rsid w:val="005F168A"/>
    <w:rsid w:val="005F17FF"/>
    <w:rsid w:val="005F1C62"/>
    <w:rsid w:val="005F1E46"/>
    <w:rsid w:val="005F25B8"/>
    <w:rsid w:val="005F293E"/>
    <w:rsid w:val="005F2978"/>
    <w:rsid w:val="005F3087"/>
    <w:rsid w:val="005F3560"/>
    <w:rsid w:val="005F3B8E"/>
    <w:rsid w:val="005F3C1E"/>
    <w:rsid w:val="005F3C8B"/>
    <w:rsid w:val="005F40DF"/>
    <w:rsid w:val="005F4259"/>
    <w:rsid w:val="005F4721"/>
    <w:rsid w:val="005F49ED"/>
    <w:rsid w:val="005F4CA6"/>
    <w:rsid w:val="005F4D02"/>
    <w:rsid w:val="005F4F92"/>
    <w:rsid w:val="005F5204"/>
    <w:rsid w:val="005F601C"/>
    <w:rsid w:val="005F6223"/>
    <w:rsid w:val="005F63A7"/>
    <w:rsid w:val="005F6484"/>
    <w:rsid w:val="005F648F"/>
    <w:rsid w:val="005F667D"/>
    <w:rsid w:val="005F686E"/>
    <w:rsid w:val="005F69BB"/>
    <w:rsid w:val="005F6BE7"/>
    <w:rsid w:val="005F6C01"/>
    <w:rsid w:val="005F720A"/>
    <w:rsid w:val="005F75C8"/>
    <w:rsid w:val="005F794A"/>
    <w:rsid w:val="005F7D6D"/>
    <w:rsid w:val="005F7EAE"/>
    <w:rsid w:val="0060005C"/>
    <w:rsid w:val="00600214"/>
    <w:rsid w:val="00600476"/>
    <w:rsid w:val="00600C3F"/>
    <w:rsid w:val="00600FD5"/>
    <w:rsid w:val="006010D6"/>
    <w:rsid w:val="006013A5"/>
    <w:rsid w:val="00601649"/>
    <w:rsid w:val="00601CE7"/>
    <w:rsid w:val="0060236E"/>
    <w:rsid w:val="006025D4"/>
    <w:rsid w:val="0060263A"/>
    <w:rsid w:val="00602658"/>
    <w:rsid w:val="0060268E"/>
    <w:rsid w:val="0060282F"/>
    <w:rsid w:val="00602D99"/>
    <w:rsid w:val="00602F43"/>
    <w:rsid w:val="0060348C"/>
    <w:rsid w:val="00603B08"/>
    <w:rsid w:val="00603B59"/>
    <w:rsid w:val="00603C30"/>
    <w:rsid w:val="00603EC4"/>
    <w:rsid w:val="00603EDC"/>
    <w:rsid w:val="006041B6"/>
    <w:rsid w:val="0060466B"/>
    <w:rsid w:val="0060486F"/>
    <w:rsid w:val="00604A51"/>
    <w:rsid w:val="00604C40"/>
    <w:rsid w:val="00605005"/>
    <w:rsid w:val="00605287"/>
    <w:rsid w:val="006052CC"/>
    <w:rsid w:val="00605312"/>
    <w:rsid w:val="00605776"/>
    <w:rsid w:val="006057FB"/>
    <w:rsid w:val="0060622A"/>
    <w:rsid w:val="00606D39"/>
    <w:rsid w:val="00607122"/>
    <w:rsid w:val="00607514"/>
    <w:rsid w:val="006075C4"/>
    <w:rsid w:val="00607B91"/>
    <w:rsid w:val="00607EDB"/>
    <w:rsid w:val="00607F11"/>
    <w:rsid w:val="00610162"/>
    <w:rsid w:val="00610166"/>
    <w:rsid w:val="006104B9"/>
    <w:rsid w:val="00610ABA"/>
    <w:rsid w:val="00610CA1"/>
    <w:rsid w:val="00610DC0"/>
    <w:rsid w:val="00610DF6"/>
    <w:rsid w:val="00610E5E"/>
    <w:rsid w:val="0061124C"/>
    <w:rsid w:val="00611362"/>
    <w:rsid w:val="00611509"/>
    <w:rsid w:val="006118B6"/>
    <w:rsid w:val="00611A67"/>
    <w:rsid w:val="00611EB8"/>
    <w:rsid w:val="006126E2"/>
    <w:rsid w:val="006128D2"/>
    <w:rsid w:val="006128F9"/>
    <w:rsid w:val="006128FE"/>
    <w:rsid w:val="00612A41"/>
    <w:rsid w:val="00612BF6"/>
    <w:rsid w:val="00613037"/>
    <w:rsid w:val="006135AB"/>
    <w:rsid w:val="0061374E"/>
    <w:rsid w:val="006138E4"/>
    <w:rsid w:val="00613D13"/>
    <w:rsid w:val="00613ED5"/>
    <w:rsid w:val="00614255"/>
    <w:rsid w:val="00614442"/>
    <w:rsid w:val="006144F6"/>
    <w:rsid w:val="00614874"/>
    <w:rsid w:val="00614C86"/>
    <w:rsid w:val="00614F64"/>
    <w:rsid w:val="006153D0"/>
    <w:rsid w:val="0061559F"/>
    <w:rsid w:val="0061587B"/>
    <w:rsid w:val="00615A0A"/>
    <w:rsid w:val="00615E57"/>
    <w:rsid w:val="006160BB"/>
    <w:rsid w:val="00616407"/>
    <w:rsid w:val="00616450"/>
    <w:rsid w:val="00616527"/>
    <w:rsid w:val="00616B73"/>
    <w:rsid w:val="00616C35"/>
    <w:rsid w:val="00616D49"/>
    <w:rsid w:val="00616F25"/>
    <w:rsid w:val="00616F92"/>
    <w:rsid w:val="00617049"/>
    <w:rsid w:val="0061755B"/>
    <w:rsid w:val="006208BD"/>
    <w:rsid w:val="00620E5A"/>
    <w:rsid w:val="006216D5"/>
    <w:rsid w:val="00621761"/>
    <w:rsid w:val="006219E9"/>
    <w:rsid w:val="00621B28"/>
    <w:rsid w:val="00621B62"/>
    <w:rsid w:val="00621BD3"/>
    <w:rsid w:val="00621EED"/>
    <w:rsid w:val="00622312"/>
    <w:rsid w:val="0062307A"/>
    <w:rsid w:val="00623120"/>
    <w:rsid w:val="00623D79"/>
    <w:rsid w:val="00623FDD"/>
    <w:rsid w:val="006241E0"/>
    <w:rsid w:val="0062471A"/>
    <w:rsid w:val="006250E9"/>
    <w:rsid w:val="00625720"/>
    <w:rsid w:val="0062587C"/>
    <w:rsid w:val="00625983"/>
    <w:rsid w:val="00625AA5"/>
    <w:rsid w:val="00625CE0"/>
    <w:rsid w:val="00625DD1"/>
    <w:rsid w:val="00625E51"/>
    <w:rsid w:val="00626102"/>
    <w:rsid w:val="0062620D"/>
    <w:rsid w:val="006266E0"/>
    <w:rsid w:val="00626B41"/>
    <w:rsid w:val="00626F00"/>
    <w:rsid w:val="006270BB"/>
    <w:rsid w:val="00627165"/>
    <w:rsid w:val="0062770A"/>
    <w:rsid w:val="006277D5"/>
    <w:rsid w:val="0063009C"/>
    <w:rsid w:val="00630271"/>
    <w:rsid w:val="00630A95"/>
    <w:rsid w:val="00630B26"/>
    <w:rsid w:val="00630CEB"/>
    <w:rsid w:val="00630FF3"/>
    <w:rsid w:val="006312BD"/>
    <w:rsid w:val="006313C2"/>
    <w:rsid w:val="00631E36"/>
    <w:rsid w:val="006328C2"/>
    <w:rsid w:val="006328CD"/>
    <w:rsid w:val="00632BF9"/>
    <w:rsid w:val="00632E32"/>
    <w:rsid w:val="0063302A"/>
    <w:rsid w:val="0063303F"/>
    <w:rsid w:val="0063306F"/>
    <w:rsid w:val="0063321A"/>
    <w:rsid w:val="00633462"/>
    <w:rsid w:val="0063389B"/>
    <w:rsid w:val="00633A12"/>
    <w:rsid w:val="00633B2F"/>
    <w:rsid w:val="00633E82"/>
    <w:rsid w:val="006342BE"/>
    <w:rsid w:val="006343A9"/>
    <w:rsid w:val="00634A5E"/>
    <w:rsid w:val="00634E42"/>
    <w:rsid w:val="0063510B"/>
    <w:rsid w:val="00635518"/>
    <w:rsid w:val="00635FA7"/>
    <w:rsid w:val="0063622A"/>
    <w:rsid w:val="00636365"/>
    <w:rsid w:val="006365A5"/>
    <w:rsid w:val="00636904"/>
    <w:rsid w:val="0063714A"/>
    <w:rsid w:val="006371F8"/>
    <w:rsid w:val="00637263"/>
    <w:rsid w:val="00637829"/>
    <w:rsid w:val="00637875"/>
    <w:rsid w:val="00637A7E"/>
    <w:rsid w:val="00637FCE"/>
    <w:rsid w:val="00640049"/>
    <w:rsid w:val="006407FF"/>
    <w:rsid w:val="00640C31"/>
    <w:rsid w:val="00640DAE"/>
    <w:rsid w:val="00640E76"/>
    <w:rsid w:val="006411FA"/>
    <w:rsid w:val="00641372"/>
    <w:rsid w:val="00641C08"/>
    <w:rsid w:val="00641C9D"/>
    <w:rsid w:val="00641E9E"/>
    <w:rsid w:val="00642033"/>
    <w:rsid w:val="00642523"/>
    <w:rsid w:val="0064253D"/>
    <w:rsid w:val="00642666"/>
    <w:rsid w:val="0064278F"/>
    <w:rsid w:val="00642C7C"/>
    <w:rsid w:val="00642F92"/>
    <w:rsid w:val="00643226"/>
    <w:rsid w:val="00643288"/>
    <w:rsid w:val="006433E8"/>
    <w:rsid w:val="006435FB"/>
    <w:rsid w:val="006438A2"/>
    <w:rsid w:val="00643929"/>
    <w:rsid w:val="00643DE8"/>
    <w:rsid w:val="00643EC8"/>
    <w:rsid w:val="006446AA"/>
    <w:rsid w:val="00644855"/>
    <w:rsid w:val="0064486E"/>
    <w:rsid w:val="00644A0A"/>
    <w:rsid w:val="00644AAF"/>
    <w:rsid w:val="00644B30"/>
    <w:rsid w:val="00644D33"/>
    <w:rsid w:val="006456D7"/>
    <w:rsid w:val="006459EF"/>
    <w:rsid w:val="006460E2"/>
    <w:rsid w:val="006465F3"/>
    <w:rsid w:val="00646AA0"/>
    <w:rsid w:val="00646AD8"/>
    <w:rsid w:val="00646D2E"/>
    <w:rsid w:val="00646D86"/>
    <w:rsid w:val="006475BA"/>
    <w:rsid w:val="006477DA"/>
    <w:rsid w:val="00647B3A"/>
    <w:rsid w:val="00647E99"/>
    <w:rsid w:val="00647ED4"/>
    <w:rsid w:val="00647EDB"/>
    <w:rsid w:val="00647F0F"/>
    <w:rsid w:val="00647F84"/>
    <w:rsid w:val="006505FF"/>
    <w:rsid w:val="00650990"/>
    <w:rsid w:val="00650E1E"/>
    <w:rsid w:val="0065118C"/>
    <w:rsid w:val="006515DE"/>
    <w:rsid w:val="0065169A"/>
    <w:rsid w:val="0065180F"/>
    <w:rsid w:val="00651BC0"/>
    <w:rsid w:val="00651C76"/>
    <w:rsid w:val="00651D56"/>
    <w:rsid w:val="0065256F"/>
    <w:rsid w:val="006529C3"/>
    <w:rsid w:val="00652AB6"/>
    <w:rsid w:val="00652F5C"/>
    <w:rsid w:val="00653473"/>
    <w:rsid w:val="006534BF"/>
    <w:rsid w:val="006535BC"/>
    <w:rsid w:val="006537D7"/>
    <w:rsid w:val="00653D97"/>
    <w:rsid w:val="00653E49"/>
    <w:rsid w:val="00653F85"/>
    <w:rsid w:val="0065444A"/>
    <w:rsid w:val="00654538"/>
    <w:rsid w:val="00654947"/>
    <w:rsid w:val="00654D2D"/>
    <w:rsid w:val="00654E05"/>
    <w:rsid w:val="00654F68"/>
    <w:rsid w:val="0065528C"/>
    <w:rsid w:val="006557F2"/>
    <w:rsid w:val="00655C73"/>
    <w:rsid w:val="00655CF9"/>
    <w:rsid w:val="00655D35"/>
    <w:rsid w:val="00655D45"/>
    <w:rsid w:val="00655D56"/>
    <w:rsid w:val="0065600D"/>
    <w:rsid w:val="006565BF"/>
    <w:rsid w:val="006566DF"/>
    <w:rsid w:val="0065672E"/>
    <w:rsid w:val="00656B1B"/>
    <w:rsid w:val="0065714C"/>
    <w:rsid w:val="0065757C"/>
    <w:rsid w:val="0065763B"/>
    <w:rsid w:val="00657668"/>
    <w:rsid w:val="0065769C"/>
    <w:rsid w:val="00657733"/>
    <w:rsid w:val="006578D6"/>
    <w:rsid w:val="006578F1"/>
    <w:rsid w:val="0065796C"/>
    <w:rsid w:val="00657A6C"/>
    <w:rsid w:val="006601FC"/>
    <w:rsid w:val="006603DF"/>
    <w:rsid w:val="006603E4"/>
    <w:rsid w:val="006604B2"/>
    <w:rsid w:val="00660895"/>
    <w:rsid w:val="00660A74"/>
    <w:rsid w:val="00660B90"/>
    <w:rsid w:val="00660BE8"/>
    <w:rsid w:val="00660BFF"/>
    <w:rsid w:val="00660E47"/>
    <w:rsid w:val="0066155B"/>
    <w:rsid w:val="00661B77"/>
    <w:rsid w:val="00662724"/>
    <w:rsid w:val="00662B68"/>
    <w:rsid w:val="00662E5F"/>
    <w:rsid w:val="00663193"/>
    <w:rsid w:val="006639B2"/>
    <w:rsid w:val="00663B70"/>
    <w:rsid w:val="00664434"/>
    <w:rsid w:val="0066471D"/>
    <w:rsid w:val="006648B8"/>
    <w:rsid w:val="006649FE"/>
    <w:rsid w:val="00664BF5"/>
    <w:rsid w:val="00664D55"/>
    <w:rsid w:val="0066516A"/>
    <w:rsid w:val="006655EA"/>
    <w:rsid w:val="0066561F"/>
    <w:rsid w:val="00665D83"/>
    <w:rsid w:val="006660FE"/>
    <w:rsid w:val="00666A58"/>
    <w:rsid w:val="0066724E"/>
    <w:rsid w:val="006677A3"/>
    <w:rsid w:val="00670650"/>
    <w:rsid w:val="00670D4A"/>
    <w:rsid w:val="00670D9C"/>
    <w:rsid w:val="00671035"/>
    <w:rsid w:val="0067109D"/>
    <w:rsid w:val="0067115B"/>
    <w:rsid w:val="006712C0"/>
    <w:rsid w:val="006715D2"/>
    <w:rsid w:val="00671C2A"/>
    <w:rsid w:val="00672088"/>
    <w:rsid w:val="00672528"/>
    <w:rsid w:val="0067293A"/>
    <w:rsid w:val="0067309C"/>
    <w:rsid w:val="0067339F"/>
    <w:rsid w:val="00673586"/>
    <w:rsid w:val="00673D3D"/>
    <w:rsid w:val="00673E26"/>
    <w:rsid w:val="006744AC"/>
    <w:rsid w:val="00674648"/>
    <w:rsid w:val="0067489C"/>
    <w:rsid w:val="006749A3"/>
    <w:rsid w:val="00674A26"/>
    <w:rsid w:val="00674C7D"/>
    <w:rsid w:val="0067503E"/>
    <w:rsid w:val="00675351"/>
    <w:rsid w:val="00675CB1"/>
    <w:rsid w:val="00675F3E"/>
    <w:rsid w:val="00675FBA"/>
    <w:rsid w:val="00675FF0"/>
    <w:rsid w:val="00676385"/>
    <w:rsid w:val="00676525"/>
    <w:rsid w:val="0067674A"/>
    <w:rsid w:val="00676E19"/>
    <w:rsid w:val="00677131"/>
    <w:rsid w:val="00677773"/>
    <w:rsid w:val="006777CF"/>
    <w:rsid w:val="00677833"/>
    <w:rsid w:val="00677A24"/>
    <w:rsid w:val="00677BDA"/>
    <w:rsid w:val="00677BE8"/>
    <w:rsid w:val="006800A4"/>
    <w:rsid w:val="00680B40"/>
    <w:rsid w:val="00680F22"/>
    <w:rsid w:val="00681002"/>
    <w:rsid w:val="0068106B"/>
    <w:rsid w:val="0068197D"/>
    <w:rsid w:val="006819D8"/>
    <w:rsid w:val="00681E68"/>
    <w:rsid w:val="00681EC9"/>
    <w:rsid w:val="006822FA"/>
    <w:rsid w:val="00682569"/>
    <w:rsid w:val="0068284A"/>
    <w:rsid w:val="0068288C"/>
    <w:rsid w:val="006833D5"/>
    <w:rsid w:val="00683593"/>
    <w:rsid w:val="00683F36"/>
    <w:rsid w:val="006840F2"/>
    <w:rsid w:val="006845AA"/>
    <w:rsid w:val="0068494C"/>
    <w:rsid w:val="00684D63"/>
    <w:rsid w:val="00684E17"/>
    <w:rsid w:val="0068503E"/>
    <w:rsid w:val="00685058"/>
    <w:rsid w:val="0068532F"/>
    <w:rsid w:val="00685589"/>
    <w:rsid w:val="00685849"/>
    <w:rsid w:val="006858D4"/>
    <w:rsid w:val="00685D88"/>
    <w:rsid w:val="00685DD1"/>
    <w:rsid w:val="00685EDB"/>
    <w:rsid w:val="00685FE4"/>
    <w:rsid w:val="0068605F"/>
    <w:rsid w:val="006861BA"/>
    <w:rsid w:val="00686313"/>
    <w:rsid w:val="0068682C"/>
    <w:rsid w:val="00686837"/>
    <w:rsid w:val="006868B7"/>
    <w:rsid w:val="00686955"/>
    <w:rsid w:val="006869B3"/>
    <w:rsid w:val="00686A3E"/>
    <w:rsid w:val="00686D7A"/>
    <w:rsid w:val="0068735D"/>
    <w:rsid w:val="006875E3"/>
    <w:rsid w:val="00687900"/>
    <w:rsid w:val="00687A50"/>
    <w:rsid w:val="00687F89"/>
    <w:rsid w:val="006901C8"/>
    <w:rsid w:val="0069032D"/>
    <w:rsid w:val="00690465"/>
    <w:rsid w:val="00691060"/>
    <w:rsid w:val="00691084"/>
    <w:rsid w:val="0069138B"/>
    <w:rsid w:val="006915F7"/>
    <w:rsid w:val="00691A70"/>
    <w:rsid w:val="00691A95"/>
    <w:rsid w:val="00691B15"/>
    <w:rsid w:val="00691E9C"/>
    <w:rsid w:val="006923E7"/>
    <w:rsid w:val="006926AE"/>
    <w:rsid w:val="00692734"/>
    <w:rsid w:val="0069284F"/>
    <w:rsid w:val="00692AF9"/>
    <w:rsid w:val="00693361"/>
    <w:rsid w:val="00693641"/>
    <w:rsid w:val="006938AA"/>
    <w:rsid w:val="006939F4"/>
    <w:rsid w:val="00693B2C"/>
    <w:rsid w:val="00693CF9"/>
    <w:rsid w:val="00693DF1"/>
    <w:rsid w:val="00694535"/>
    <w:rsid w:val="0069474B"/>
    <w:rsid w:val="0069475D"/>
    <w:rsid w:val="0069491C"/>
    <w:rsid w:val="00694B7B"/>
    <w:rsid w:val="00694F90"/>
    <w:rsid w:val="0069549A"/>
    <w:rsid w:val="006954A2"/>
    <w:rsid w:val="0069552D"/>
    <w:rsid w:val="0069568F"/>
    <w:rsid w:val="006958C6"/>
    <w:rsid w:val="00695905"/>
    <w:rsid w:val="00695A36"/>
    <w:rsid w:val="00695C49"/>
    <w:rsid w:val="00695D2D"/>
    <w:rsid w:val="006960D0"/>
    <w:rsid w:val="006960DD"/>
    <w:rsid w:val="0069620B"/>
    <w:rsid w:val="00696468"/>
    <w:rsid w:val="0069646D"/>
    <w:rsid w:val="00696B12"/>
    <w:rsid w:val="00696B9D"/>
    <w:rsid w:val="00696FB9"/>
    <w:rsid w:val="00697168"/>
    <w:rsid w:val="00697966"/>
    <w:rsid w:val="00697A82"/>
    <w:rsid w:val="00697A95"/>
    <w:rsid w:val="006A095F"/>
    <w:rsid w:val="006A11AE"/>
    <w:rsid w:val="006A19EF"/>
    <w:rsid w:val="006A1CDE"/>
    <w:rsid w:val="006A1DD1"/>
    <w:rsid w:val="006A1E57"/>
    <w:rsid w:val="006A2164"/>
    <w:rsid w:val="006A26E4"/>
    <w:rsid w:val="006A2732"/>
    <w:rsid w:val="006A2B0B"/>
    <w:rsid w:val="006A2F1F"/>
    <w:rsid w:val="006A3798"/>
    <w:rsid w:val="006A3A2B"/>
    <w:rsid w:val="006A404A"/>
    <w:rsid w:val="006A4125"/>
    <w:rsid w:val="006A4619"/>
    <w:rsid w:val="006A486F"/>
    <w:rsid w:val="006A48F6"/>
    <w:rsid w:val="006A4B6A"/>
    <w:rsid w:val="006A5318"/>
    <w:rsid w:val="006A5491"/>
    <w:rsid w:val="006A578C"/>
    <w:rsid w:val="006A60B2"/>
    <w:rsid w:val="006A61AB"/>
    <w:rsid w:val="006A699D"/>
    <w:rsid w:val="006A6A1F"/>
    <w:rsid w:val="006A6BF1"/>
    <w:rsid w:val="006A706F"/>
    <w:rsid w:val="006A719E"/>
    <w:rsid w:val="006A72BB"/>
    <w:rsid w:val="006A738F"/>
    <w:rsid w:val="006A7DB3"/>
    <w:rsid w:val="006A7E5D"/>
    <w:rsid w:val="006B0186"/>
    <w:rsid w:val="006B07D0"/>
    <w:rsid w:val="006B0E36"/>
    <w:rsid w:val="006B13B2"/>
    <w:rsid w:val="006B13BA"/>
    <w:rsid w:val="006B1503"/>
    <w:rsid w:val="006B191A"/>
    <w:rsid w:val="006B2336"/>
    <w:rsid w:val="006B24DC"/>
    <w:rsid w:val="006B2C0A"/>
    <w:rsid w:val="006B2F19"/>
    <w:rsid w:val="006B3032"/>
    <w:rsid w:val="006B305C"/>
    <w:rsid w:val="006B3421"/>
    <w:rsid w:val="006B34A8"/>
    <w:rsid w:val="006B3C4A"/>
    <w:rsid w:val="006B3ED9"/>
    <w:rsid w:val="006B43C5"/>
    <w:rsid w:val="006B43E5"/>
    <w:rsid w:val="006B44FF"/>
    <w:rsid w:val="006B4642"/>
    <w:rsid w:val="006B4687"/>
    <w:rsid w:val="006B4B4A"/>
    <w:rsid w:val="006B4EE7"/>
    <w:rsid w:val="006B501A"/>
    <w:rsid w:val="006B5202"/>
    <w:rsid w:val="006B5352"/>
    <w:rsid w:val="006B5454"/>
    <w:rsid w:val="006B57BA"/>
    <w:rsid w:val="006B5DDE"/>
    <w:rsid w:val="006B5EA1"/>
    <w:rsid w:val="006B5FAD"/>
    <w:rsid w:val="006B6676"/>
    <w:rsid w:val="006B67EE"/>
    <w:rsid w:val="006B6CF3"/>
    <w:rsid w:val="006B6E2F"/>
    <w:rsid w:val="006B6F60"/>
    <w:rsid w:val="006B70BE"/>
    <w:rsid w:val="006B7431"/>
    <w:rsid w:val="006B75C6"/>
    <w:rsid w:val="006B777C"/>
    <w:rsid w:val="006B77C0"/>
    <w:rsid w:val="006C0B67"/>
    <w:rsid w:val="006C0D17"/>
    <w:rsid w:val="006C1390"/>
    <w:rsid w:val="006C146D"/>
    <w:rsid w:val="006C150F"/>
    <w:rsid w:val="006C1C37"/>
    <w:rsid w:val="006C1CD2"/>
    <w:rsid w:val="006C202F"/>
    <w:rsid w:val="006C22EF"/>
    <w:rsid w:val="006C2353"/>
    <w:rsid w:val="006C236A"/>
    <w:rsid w:val="006C2376"/>
    <w:rsid w:val="006C242B"/>
    <w:rsid w:val="006C2556"/>
    <w:rsid w:val="006C2732"/>
    <w:rsid w:val="006C28B0"/>
    <w:rsid w:val="006C3129"/>
    <w:rsid w:val="006C3166"/>
    <w:rsid w:val="006C354C"/>
    <w:rsid w:val="006C36F4"/>
    <w:rsid w:val="006C37F5"/>
    <w:rsid w:val="006C392C"/>
    <w:rsid w:val="006C3A45"/>
    <w:rsid w:val="006C3A9B"/>
    <w:rsid w:val="006C3B76"/>
    <w:rsid w:val="006C3EEC"/>
    <w:rsid w:val="006C4572"/>
    <w:rsid w:val="006C4610"/>
    <w:rsid w:val="006C47DB"/>
    <w:rsid w:val="006C49D0"/>
    <w:rsid w:val="006C4A19"/>
    <w:rsid w:val="006C4B85"/>
    <w:rsid w:val="006C5272"/>
    <w:rsid w:val="006C5331"/>
    <w:rsid w:val="006C547B"/>
    <w:rsid w:val="006C5A8E"/>
    <w:rsid w:val="006C5C6E"/>
    <w:rsid w:val="006C5DC8"/>
    <w:rsid w:val="006C5F80"/>
    <w:rsid w:val="006C5FC9"/>
    <w:rsid w:val="006C73FF"/>
    <w:rsid w:val="006C7B03"/>
    <w:rsid w:val="006C7FA5"/>
    <w:rsid w:val="006D012F"/>
    <w:rsid w:val="006D0194"/>
    <w:rsid w:val="006D068E"/>
    <w:rsid w:val="006D0892"/>
    <w:rsid w:val="006D08CD"/>
    <w:rsid w:val="006D0970"/>
    <w:rsid w:val="006D0EC2"/>
    <w:rsid w:val="006D100C"/>
    <w:rsid w:val="006D104E"/>
    <w:rsid w:val="006D1058"/>
    <w:rsid w:val="006D1067"/>
    <w:rsid w:val="006D1702"/>
    <w:rsid w:val="006D1740"/>
    <w:rsid w:val="006D1A56"/>
    <w:rsid w:val="006D27A8"/>
    <w:rsid w:val="006D280A"/>
    <w:rsid w:val="006D293D"/>
    <w:rsid w:val="006D2C3E"/>
    <w:rsid w:val="006D2D9D"/>
    <w:rsid w:val="006D2E7B"/>
    <w:rsid w:val="006D30F9"/>
    <w:rsid w:val="006D3444"/>
    <w:rsid w:val="006D354B"/>
    <w:rsid w:val="006D3B5D"/>
    <w:rsid w:val="006D3C58"/>
    <w:rsid w:val="006D3F31"/>
    <w:rsid w:val="006D425E"/>
    <w:rsid w:val="006D459D"/>
    <w:rsid w:val="006D4C72"/>
    <w:rsid w:val="006D4E4C"/>
    <w:rsid w:val="006D537F"/>
    <w:rsid w:val="006D5490"/>
    <w:rsid w:val="006D5585"/>
    <w:rsid w:val="006D5593"/>
    <w:rsid w:val="006D594E"/>
    <w:rsid w:val="006D5CA3"/>
    <w:rsid w:val="006D5CAC"/>
    <w:rsid w:val="006D5D33"/>
    <w:rsid w:val="006D5F76"/>
    <w:rsid w:val="006D6118"/>
    <w:rsid w:val="006D61B4"/>
    <w:rsid w:val="006D65C4"/>
    <w:rsid w:val="006D693C"/>
    <w:rsid w:val="006D6BC7"/>
    <w:rsid w:val="006D6CB6"/>
    <w:rsid w:val="006D6CEB"/>
    <w:rsid w:val="006D6D96"/>
    <w:rsid w:val="006D6E2F"/>
    <w:rsid w:val="006D6E9F"/>
    <w:rsid w:val="006D7211"/>
    <w:rsid w:val="006D75C8"/>
    <w:rsid w:val="006D77D4"/>
    <w:rsid w:val="006E0900"/>
    <w:rsid w:val="006E0B0A"/>
    <w:rsid w:val="006E0D4A"/>
    <w:rsid w:val="006E0E38"/>
    <w:rsid w:val="006E0E53"/>
    <w:rsid w:val="006E0F48"/>
    <w:rsid w:val="006E103C"/>
    <w:rsid w:val="006E1EA3"/>
    <w:rsid w:val="006E20B9"/>
    <w:rsid w:val="006E24CD"/>
    <w:rsid w:val="006E2635"/>
    <w:rsid w:val="006E28C4"/>
    <w:rsid w:val="006E2BB8"/>
    <w:rsid w:val="006E32BE"/>
    <w:rsid w:val="006E3BD1"/>
    <w:rsid w:val="006E3E59"/>
    <w:rsid w:val="006E403D"/>
    <w:rsid w:val="006E4194"/>
    <w:rsid w:val="006E42EA"/>
    <w:rsid w:val="006E4308"/>
    <w:rsid w:val="006E43BE"/>
    <w:rsid w:val="006E504A"/>
    <w:rsid w:val="006E54AE"/>
    <w:rsid w:val="006E5BD5"/>
    <w:rsid w:val="006E634A"/>
    <w:rsid w:val="006E6413"/>
    <w:rsid w:val="006E6436"/>
    <w:rsid w:val="006E6BB0"/>
    <w:rsid w:val="006E70C1"/>
    <w:rsid w:val="006E7179"/>
    <w:rsid w:val="006E7348"/>
    <w:rsid w:val="006E74C4"/>
    <w:rsid w:val="006E7AB4"/>
    <w:rsid w:val="006E7BC0"/>
    <w:rsid w:val="006E7E2B"/>
    <w:rsid w:val="006F0B62"/>
    <w:rsid w:val="006F0CEA"/>
    <w:rsid w:val="006F0D1A"/>
    <w:rsid w:val="006F0D46"/>
    <w:rsid w:val="006F12DF"/>
    <w:rsid w:val="006F14A9"/>
    <w:rsid w:val="006F16F6"/>
    <w:rsid w:val="006F18F5"/>
    <w:rsid w:val="006F1A82"/>
    <w:rsid w:val="006F1AED"/>
    <w:rsid w:val="006F1B33"/>
    <w:rsid w:val="006F1B86"/>
    <w:rsid w:val="006F1E20"/>
    <w:rsid w:val="006F1F32"/>
    <w:rsid w:val="006F1F63"/>
    <w:rsid w:val="006F200C"/>
    <w:rsid w:val="006F2203"/>
    <w:rsid w:val="006F23DD"/>
    <w:rsid w:val="006F2470"/>
    <w:rsid w:val="006F3558"/>
    <w:rsid w:val="006F363A"/>
    <w:rsid w:val="006F380A"/>
    <w:rsid w:val="006F3830"/>
    <w:rsid w:val="006F3916"/>
    <w:rsid w:val="006F3AA2"/>
    <w:rsid w:val="006F3BEE"/>
    <w:rsid w:val="006F3CED"/>
    <w:rsid w:val="006F433A"/>
    <w:rsid w:val="006F43B4"/>
    <w:rsid w:val="006F47F3"/>
    <w:rsid w:val="006F501D"/>
    <w:rsid w:val="006F5158"/>
    <w:rsid w:val="006F5899"/>
    <w:rsid w:val="006F58B4"/>
    <w:rsid w:val="006F6004"/>
    <w:rsid w:val="006F61DC"/>
    <w:rsid w:val="006F6276"/>
    <w:rsid w:val="006F645E"/>
    <w:rsid w:val="006F6761"/>
    <w:rsid w:val="006F6C01"/>
    <w:rsid w:val="006F7731"/>
    <w:rsid w:val="006F779D"/>
    <w:rsid w:val="006F77AF"/>
    <w:rsid w:val="006F7C5B"/>
    <w:rsid w:val="006F7C70"/>
    <w:rsid w:val="0070057D"/>
    <w:rsid w:val="00700950"/>
    <w:rsid w:val="00700C91"/>
    <w:rsid w:val="00701136"/>
    <w:rsid w:val="007014D9"/>
    <w:rsid w:val="007019FE"/>
    <w:rsid w:val="00701AE2"/>
    <w:rsid w:val="00701B70"/>
    <w:rsid w:val="00701D0B"/>
    <w:rsid w:val="00701DB4"/>
    <w:rsid w:val="00701E36"/>
    <w:rsid w:val="0070279D"/>
    <w:rsid w:val="007027B1"/>
    <w:rsid w:val="00702A4A"/>
    <w:rsid w:val="00702B26"/>
    <w:rsid w:val="00702EB1"/>
    <w:rsid w:val="0070319A"/>
    <w:rsid w:val="0070340D"/>
    <w:rsid w:val="00703569"/>
    <w:rsid w:val="007038D7"/>
    <w:rsid w:val="007039F7"/>
    <w:rsid w:val="00703A8E"/>
    <w:rsid w:val="00703CB4"/>
    <w:rsid w:val="00703E04"/>
    <w:rsid w:val="007043AD"/>
    <w:rsid w:val="00704E1E"/>
    <w:rsid w:val="00704F10"/>
    <w:rsid w:val="00705CBC"/>
    <w:rsid w:val="00705DD0"/>
    <w:rsid w:val="0070618A"/>
    <w:rsid w:val="00706253"/>
    <w:rsid w:val="007063A6"/>
    <w:rsid w:val="0070641A"/>
    <w:rsid w:val="007065A3"/>
    <w:rsid w:val="007065ED"/>
    <w:rsid w:val="00706FEF"/>
    <w:rsid w:val="007074D0"/>
    <w:rsid w:val="007074F8"/>
    <w:rsid w:val="00707777"/>
    <w:rsid w:val="00707983"/>
    <w:rsid w:val="00707C18"/>
    <w:rsid w:val="007101A2"/>
    <w:rsid w:val="007103A9"/>
    <w:rsid w:val="00710485"/>
    <w:rsid w:val="0071049F"/>
    <w:rsid w:val="0071077B"/>
    <w:rsid w:val="007107FB"/>
    <w:rsid w:val="007108FA"/>
    <w:rsid w:val="00710B06"/>
    <w:rsid w:val="00710ECC"/>
    <w:rsid w:val="0071103A"/>
    <w:rsid w:val="00711537"/>
    <w:rsid w:val="00711C83"/>
    <w:rsid w:val="007123B0"/>
    <w:rsid w:val="00712505"/>
    <w:rsid w:val="00712810"/>
    <w:rsid w:val="007128ED"/>
    <w:rsid w:val="00712C0D"/>
    <w:rsid w:val="00712C73"/>
    <w:rsid w:val="007130D5"/>
    <w:rsid w:val="00713548"/>
    <w:rsid w:val="00713589"/>
    <w:rsid w:val="00713A37"/>
    <w:rsid w:val="00713BC6"/>
    <w:rsid w:val="00713E14"/>
    <w:rsid w:val="00714589"/>
    <w:rsid w:val="007150A0"/>
    <w:rsid w:val="007157DC"/>
    <w:rsid w:val="00715CBC"/>
    <w:rsid w:val="007164E5"/>
    <w:rsid w:val="00716658"/>
    <w:rsid w:val="00716AD2"/>
    <w:rsid w:val="00716E17"/>
    <w:rsid w:val="007170A2"/>
    <w:rsid w:val="0071721A"/>
    <w:rsid w:val="007172B9"/>
    <w:rsid w:val="00717836"/>
    <w:rsid w:val="00717FD1"/>
    <w:rsid w:val="007203CA"/>
    <w:rsid w:val="00720638"/>
    <w:rsid w:val="007206FB"/>
    <w:rsid w:val="00720964"/>
    <w:rsid w:val="00720DAF"/>
    <w:rsid w:val="00720E6C"/>
    <w:rsid w:val="0072127E"/>
    <w:rsid w:val="007213D5"/>
    <w:rsid w:val="0072185A"/>
    <w:rsid w:val="00721995"/>
    <w:rsid w:val="00721D92"/>
    <w:rsid w:val="007226F5"/>
    <w:rsid w:val="007228A3"/>
    <w:rsid w:val="00722951"/>
    <w:rsid w:val="00722D7E"/>
    <w:rsid w:val="00723199"/>
    <w:rsid w:val="00723292"/>
    <w:rsid w:val="00723AC6"/>
    <w:rsid w:val="00723B2C"/>
    <w:rsid w:val="00723B4A"/>
    <w:rsid w:val="00723DB3"/>
    <w:rsid w:val="00723FDB"/>
    <w:rsid w:val="00724067"/>
    <w:rsid w:val="007246C8"/>
    <w:rsid w:val="00724ED0"/>
    <w:rsid w:val="00724F92"/>
    <w:rsid w:val="00725037"/>
    <w:rsid w:val="0072512D"/>
    <w:rsid w:val="007251E5"/>
    <w:rsid w:val="007253D6"/>
    <w:rsid w:val="007256BE"/>
    <w:rsid w:val="0072578A"/>
    <w:rsid w:val="0072597A"/>
    <w:rsid w:val="00725A39"/>
    <w:rsid w:val="00725F2E"/>
    <w:rsid w:val="00725F30"/>
    <w:rsid w:val="00725F57"/>
    <w:rsid w:val="00726412"/>
    <w:rsid w:val="0072652E"/>
    <w:rsid w:val="00726A79"/>
    <w:rsid w:val="00726B1E"/>
    <w:rsid w:val="007271BA"/>
    <w:rsid w:val="0072727B"/>
    <w:rsid w:val="007277FA"/>
    <w:rsid w:val="0072785A"/>
    <w:rsid w:val="00727985"/>
    <w:rsid w:val="00727CD6"/>
    <w:rsid w:val="00727ECA"/>
    <w:rsid w:val="00730527"/>
    <w:rsid w:val="0073095F"/>
    <w:rsid w:val="00730E4F"/>
    <w:rsid w:val="00730F39"/>
    <w:rsid w:val="007319E5"/>
    <w:rsid w:val="00731A71"/>
    <w:rsid w:val="00731AB4"/>
    <w:rsid w:val="00731EC0"/>
    <w:rsid w:val="00731F27"/>
    <w:rsid w:val="00731F53"/>
    <w:rsid w:val="0073238F"/>
    <w:rsid w:val="0073241E"/>
    <w:rsid w:val="0073325D"/>
    <w:rsid w:val="007332B2"/>
    <w:rsid w:val="007338A3"/>
    <w:rsid w:val="0073467C"/>
    <w:rsid w:val="00734CC9"/>
    <w:rsid w:val="00734D1A"/>
    <w:rsid w:val="0073513A"/>
    <w:rsid w:val="0073513F"/>
    <w:rsid w:val="007354A1"/>
    <w:rsid w:val="00735626"/>
    <w:rsid w:val="00735721"/>
    <w:rsid w:val="00735B00"/>
    <w:rsid w:val="00736452"/>
    <w:rsid w:val="00736576"/>
    <w:rsid w:val="007367A1"/>
    <w:rsid w:val="00736ABE"/>
    <w:rsid w:val="00736AFC"/>
    <w:rsid w:val="00736BA4"/>
    <w:rsid w:val="00736BF5"/>
    <w:rsid w:val="00736FF5"/>
    <w:rsid w:val="007370A7"/>
    <w:rsid w:val="0073792C"/>
    <w:rsid w:val="00737C24"/>
    <w:rsid w:val="00737FB1"/>
    <w:rsid w:val="00737FC5"/>
    <w:rsid w:val="007403C5"/>
    <w:rsid w:val="007405EB"/>
    <w:rsid w:val="00740AE8"/>
    <w:rsid w:val="00740F86"/>
    <w:rsid w:val="00741CF7"/>
    <w:rsid w:val="00741E98"/>
    <w:rsid w:val="00741F0B"/>
    <w:rsid w:val="007421B3"/>
    <w:rsid w:val="0074257A"/>
    <w:rsid w:val="00742694"/>
    <w:rsid w:val="00742F42"/>
    <w:rsid w:val="007437ED"/>
    <w:rsid w:val="007438D3"/>
    <w:rsid w:val="00743AEB"/>
    <w:rsid w:val="00743E2C"/>
    <w:rsid w:val="00743F6A"/>
    <w:rsid w:val="007441BA"/>
    <w:rsid w:val="00744266"/>
    <w:rsid w:val="007442C6"/>
    <w:rsid w:val="00744422"/>
    <w:rsid w:val="0074443E"/>
    <w:rsid w:val="00744482"/>
    <w:rsid w:val="0074485F"/>
    <w:rsid w:val="00744AC3"/>
    <w:rsid w:val="00744B31"/>
    <w:rsid w:val="007454FC"/>
    <w:rsid w:val="0074597C"/>
    <w:rsid w:val="00745E1B"/>
    <w:rsid w:val="00745F84"/>
    <w:rsid w:val="007464B1"/>
    <w:rsid w:val="00746535"/>
    <w:rsid w:val="00746565"/>
    <w:rsid w:val="00746C1D"/>
    <w:rsid w:val="00746C5C"/>
    <w:rsid w:val="00746EFD"/>
    <w:rsid w:val="0074737D"/>
    <w:rsid w:val="00747434"/>
    <w:rsid w:val="0074788B"/>
    <w:rsid w:val="00747ABF"/>
    <w:rsid w:val="007500CE"/>
    <w:rsid w:val="007500F2"/>
    <w:rsid w:val="007504A2"/>
    <w:rsid w:val="0075083D"/>
    <w:rsid w:val="00750FA6"/>
    <w:rsid w:val="007510C3"/>
    <w:rsid w:val="00751153"/>
    <w:rsid w:val="0075137C"/>
    <w:rsid w:val="00751402"/>
    <w:rsid w:val="007515A5"/>
    <w:rsid w:val="0075178C"/>
    <w:rsid w:val="00751AE4"/>
    <w:rsid w:val="00751D7F"/>
    <w:rsid w:val="00752445"/>
    <w:rsid w:val="007527DD"/>
    <w:rsid w:val="00752D69"/>
    <w:rsid w:val="007534A8"/>
    <w:rsid w:val="00753714"/>
    <w:rsid w:val="007538C3"/>
    <w:rsid w:val="00753DDA"/>
    <w:rsid w:val="00754099"/>
    <w:rsid w:val="0075416F"/>
    <w:rsid w:val="0075418A"/>
    <w:rsid w:val="0075459B"/>
    <w:rsid w:val="007546FE"/>
    <w:rsid w:val="007547AE"/>
    <w:rsid w:val="00754921"/>
    <w:rsid w:val="00755326"/>
    <w:rsid w:val="007553FC"/>
    <w:rsid w:val="00755C91"/>
    <w:rsid w:val="00755CF2"/>
    <w:rsid w:val="0075615F"/>
    <w:rsid w:val="00756676"/>
    <w:rsid w:val="00756856"/>
    <w:rsid w:val="007568A8"/>
    <w:rsid w:val="00757131"/>
    <w:rsid w:val="00757BC0"/>
    <w:rsid w:val="00757C00"/>
    <w:rsid w:val="00760076"/>
    <w:rsid w:val="00760200"/>
    <w:rsid w:val="00760353"/>
    <w:rsid w:val="007603DB"/>
    <w:rsid w:val="007608B6"/>
    <w:rsid w:val="00760971"/>
    <w:rsid w:val="00760A10"/>
    <w:rsid w:val="00760F08"/>
    <w:rsid w:val="00761272"/>
    <w:rsid w:val="007615E6"/>
    <w:rsid w:val="007617D4"/>
    <w:rsid w:val="00761C8B"/>
    <w:rsid w:val="00761D6F"/>
    <w:rsid w:val="00761DCA"/>
    <w:rsid w:val="007621B4"/>
    <w:rsid w:val="0076228F"/>
    <w:rsid w:val="00762480"/>
    <w:rsid w:val="0076260D"/>
    <w:rsid w:val="007628FD"/>
    <w:rsid w:val="00762BF7"/>
    <w:rsid w:val="00762F05"/>
    <w:rsid w:val="00762F2C"/>
    <w:rsid w:val="00763381"/>
    <w:rsid w:val="00763B77"/>
    <w:rsid w:val="00764151"/>
    <w:rsid w:val="007642CC"/>
    <w:rsid w:val="007645C8"/>
    <w:rsid w:val="0076512C"/>
    <w:rsid w:val="007651FA"/>
    <w:rsid w:val="0076556B"/>
    <w:rsid w:val="0076582D"/>
    <w:rsid w:val="0076668D"/>
    <w:rsid w:val="00766B3F"/>
    <w:rsid w:val="0076702C"/>
    <w:rsid w:val="00767183"/>
    <w:rsid w:val="00767F6C"/>
    <w:rsid w:val="007701DA"/>
    <w:rsid w:val="0077089F"/>
    <w:rsid w:val="00770CC3"/>
    <w:rsid w:val="00770D57"/>
    <w:rsid w:val="00770F3C"/>
    <w:rsid w:val="00771092"/>
    <w:rsid w:val="007710DD"/>
    <w:rsid w:val="00771D94"/>
    <w:rsid w:val="00771DF4"/>
    <w:rsid w:val="00771EC7"/>
    <w:rsid w:val="00772143"/>
    <w:rsid w:val="00772723"/>
    <w:rsid w:val="00772829"/>
    <w:rsid w:val="007728B3"/>
    <w:rsid w:val="00772CFB"/>
    <w:rsid w:val="00772D39"/>
    <w:rsid w:val="00772ECC"/>
    <w:rsid w:val="00772FD8"/>
    <w:rsid w:val="007735C5"/>
    <w:rsid w:val="00773A2D"/>
    <w:rsid w:val="00773B49"/>
    <w:rsid w:val="00773C4F"/>
    <w:rsid w:val="00773D7E"/>
    <w:rsid w:val="007742E2"/>
    <w:rsid w:val="007743BE"/>
    <w:rsid w:val="007743E4"/>
    <w:rsid w:val="00774731"/>
    <w:rsid w:val="00774AD7"/>
    <w:rsid w:val="00774B0A"/>
    <w:rsid w:val="00774D5F"/>
    <w:rsid w:val="00774E54"/>
    <w:rsid w:val="007755CD"/>
    <w:rsid w:val="00775640"/>
    <w:rsid w:val="0077591C"/>
    <w:rsid w:val="00775B33"/>
    <w:rsid w:val="00775B92"/>
    <w:rsid w:val="00775C2A"/>
    <w:rsid w:val="00775ECD"/>
    <w:rsid w:val="00775EE6"/>
    <w:rsid w:val="00775FCC"/>
    <w:rsid w:val="007764EA"/>
    <w:rsid w:val="00776A70"/>
    <w:rsid w:val="00776C40"/>
    <w:rsid w:val="00776CC5"/>
    <w:rsid w:val="00776F2E"/>
    <w:rsid w:val="00776F46"/>
    <w:rsid w:val="00777358"/>
    <w:rsid w:val="007773C0"/>
    <w:rsid w:val="007774D0"/>
    <w:rsid w:val="00777848"/>
    <w:rsid w:val="00777893"/>
    <w:rsid w:val="00777C71"/>
    <w:rsid w:val="00777F4A"/>
    <w:rsid w:val="00780180"/>
    <w:rsid w:val="007801DC"/>
    <w:rsid w:val="007802AD"/>
    <w:rsid w:val="007807AC"/>
    <w:rsid w:val="00780B4D"/>
    <w:rsid w:val="0078139C"/>
    <w:rsid w:val="007816D8"/>
    <w:rsid w:val="00781926"/>
    <w:rsid w:val="00781FE3"/>
    <w:rsid w:val="007821D9"/>
    <w:rsid w:val="00782236"/>
    <w:rsid w:val="00782239"/>
    <w:rsid w:val="007824AD"/>
    <w:rsid w:val="0078263D"/>
    <w:rsid w:val="007827EF"/>
    <w:rsid w:val="00782998"/>
    <w:rsid w:val="00783157"/>
    <w:rsid w:val="007836F9"/>
    <w:rsid w:val="007837FC"/>
    <w:rsid w:val="00783951"/>
    <w:rsid w:val="00783985"/>
    <w:rsid w:val="00783C4E"/>
    <w:rsid w:val="00783CAA"/>
    <w:rsid w:val="00783F00"/>
    <w:rsid w:val="007840E5"/>
    <w:rsid w:val="007842D1"/>
    <w:rsid w:val="00784341"/>
    <w:rsid w:val="007846D4"/>
    <w:rsid w:val="0078476A"/>
    <w:rsid w:val="007847E3"/>
    <w:rsid w:val="00784B00"/>
    <w:rsid w:val="007852E9"/>
    <w:rsid w:val="0078548F"/>
    <w:rsid w:val="00785531"/>
    <w:rsid w:val="00785721"/>
    <w:rsid w:val="007857E1"/>
    <w:rsid w:val="007858B1"/>
    <w:rsid w:val="007858BA"/>
    <w:rsid w:val="00785A81"/>
    <w:rsid w:val="00785D64"/>
    <w:rsid w:val="0078610A"/>
    <w:rsid w:val="00786491"/>
    <w:rsid w:val="0078651D"/>
    <w:rsid w:val="00786A0A"/>
    <w:rsid w:val="00786A79"/>
    <w:rsid w:val="00786CCA"/>
    <w:rsid w:val="00786DC4"/>
    <w:rsid w:val="00786E4F"/>
    <w:rsid w:val="00787C71"/>
    <w:rsid w:val="00787D09"/>
    <w:rsid w:val="00787FE1"/>
    <w:rsid w:val="00790B15"/>
    <w:rsid w:val="00790E0C"/>
    <w:rsid w:val="00790F49"/>
    <w:rsid w:val="00791142"/>
    <w:rsid w:val="00791306"/>
    <w:rsid w:val="00791B42"/>
    <w:rsid w:val="00791DCE"/>
    <w:rsid w:val="00792DD4"/>
    <w:rsid w:val="007931CB"/>
    <w:rsid w:val="0079367A"/>
    <w:rsid w:val="00793A8D"/>
    <w:rsid w:val="00793BDC"/>
    <w:rsid w:val="00793C3C"/>
    <w:rsid w:val="00793F50"/>
    <w:rsid w:val="00794493"/>
    <w:rsid w:val="00794F8B"/>
    <w:rsid w:val="007951D4"/>
    <w:rsid w:val="007960AE"/>
    <w:rsid w:val="00796162"/>
    <w:rsid w:val="007961C5"/>
    <w:rsid w:val="007967B9"/>
    <w:rsid w:val="00796BA1"/>
    <w:rsid w:val="00796E69"/>
    <w:rsid w:val="00797B9C"/>
    <w:rsid w:val="00797C46"/>
    <w:rsid w:val="007A0078"/>
    <w:rsid w:val="007A0488"/>
    <w:rsid w:val="007A0723"/>
    <w:rsid w:val="007A0CAF"/>
    <w:rsid w:val="007A0D68"/>
    <w:rsid w:val="007A0D79"/>
    <w:rsid w:val="007A12B0"/>
    <w:rsid w:val="007A17DB"/>
    <w:rsid w:val="007A1821"/>
    <w:rsid w:val="007A19F6"/>
    <w:rsid w:val="007A1DEA"/>
    <w:rsid w:val="007A1F7C"/>
    <w:rsid w:val="007A21A8"/>
    <w:rsid w:val="007A26BA"/>
    <w:rsid w:val="007A2782"/>
    <w:rsid w:val="007A2B65"/>
    <w:rsid w:val="007A2E35"/>
    <w:rsid w:val="007A2EAD"/>
    <w:rsid w:val="007A3352"/>
    <w:rsid w:val="007A3492"/>
    <w:rsid w:val="007A3BE3"/>
    <w:rsid w:val="007A3CBF"/>
    <w:rsid w:val="007A3F73"/>
    <w:rsid w:val="007A40A2"/>
    <w:rsid w:val="007A43DC"/>
    <w:rsid w:val="007A4485"/>
    <w:rsid w:val="007A475C"/>
    <w:rsid w:val="007A4BCF"/>
    <w:rsid w:val="007A4DA4"/>
    <w:rsid w:val="007A4E9C"/>
    <w:rsid w:val="007A5581"/>
    <w:rsid w:val="007A5617"/>
    <w:rsid w:val="007A5D62"/>
    <w:rsid w:val="007A5DB5"/>
    <w:rsid w:val="007A64FE"/>
    <w:rsid w:val="007B0245"/>
    <w:rsid w:val="007B083F"/>
    <w:rsid w:val="007B0880"/>
    <w:rsid w:val="007B0A6B"/>
    <w:rsid w:val="007B0D01"/>
    <w:rsid w:val="007B1044"/>
    <w:rsid w:val="007B1136"/>
    <w:rsid w:val="007B127D"/>
    <w:rsid w:val="007B15F6"/>
    <w:rsid w:val="007B1BD8"/>
    <w:rsid w:val="007B1DBC"/>
    <w:rsid w:val="007B2085"/>
    <w:rsid w:val="007B2364"/>
    <w:rsid w:val="007B2812"/>
    <w:rsid w:val="007B2DEB"/>
    <w:rsid w:val="007B2FDC"/>
    <w:rsid w:val="007B3552"/>
    <w:rsid w:val="007B38A0"/>
    <w:rsid w:val="007B38B7"/>
    <w:rsid w:val="007B4239"/>
    <w:rsid w:val="007B441D"/>
    <w:rsid w:val="007B4685"/>
    <w:rsid w:val="007B493D"/>
    <w:rsid w:val="007B4F7B"/>
    <w:rsid w:val="007B5230"/>
    <w:rsid w:val="007B583D"/>
    <w:rsid w:val="007B5F12"/>
    <w:rsid w:val="007B60EB"/>
    <w:rsid w:val="007B6684"/>
    <w:rsid w:val="007B6A5C"/>
    <w:rsid w:val="007B6B21"/>
    <w:rsid w:val="007B6F61"/>
    <w:rsid w:val="007B7024"/>
    <w:rsid w:val="007B7473"/>
    <w:rsid w:val="007B76DB"/>
    <w:rsid w:val="007B785D"/>
    <w:rsid w:val="007B7BE1"/>
    <w:rsid w:val="007B7CB2"/>
    <w:rsid w:val="007B7D48"/>
    <w:rsid w:val="007C0274"/>
    <w:rsid w:val="007C02E1"/>
    <w:rsid w:val="007C0390"/>
    <w:rsid w:val="007C06CE"/>
    <w:rsid w:val="007C0D96"/>
    <w:rsid w:val="007C0F13"/>
    <w:rsid w:val="007C0F25"/>
    <w:rsid w:val="007C14A2"/>
    <w:rsid w:val="007C14B8"/>
    <w:rsid w:val="007C2189"/>
    <w:rsid w:val="007C22A3"/>
    <w:rsid w:val="007C2351"/>
    <w:rsid w:val="007C27CA"/>
    <w:rsid w:val="007C2A28"/>
    <w:rsid w:val="007C2A9E"/>
    <w:rsid w:val="007C2D37"/>
    <w:rsid w:val="007C300E"/>
    <w:rsid w:val="007C328D"/>
    <w:rsid w:val="007C336F"/>
    <w:rsid w:val="007C36E9"/>
    <w:rsid w:val="007C3791"/>
    <w:rsid w:val="007C38C2"/>
    <w:rsid w:val="007C3AC0"/>
    <w:rsid w:val="007C3C74"/>
    <w:rsid w:val="007C41B1"/>
    <w:rsid w:val="007C4552"/>
    <w:rsid w:val="007C4745"/>
    <w:rsid w:val="007C4C34"/>
    <w:rsid w:val="007C4C80"/>
    <w:rsid w:val="007C4F21"/>
    <w:rsid w:val="007C573A"/>
    <w:rsid w:val="007C5CEF"/>
    <w:rsid w:val="007C66CC"/>
    <w:rsid w:val="007C67C2"/>
    <w:rsid w:val="007C68B0"/>
    <w:rsid w:val="007C6A34"/>
    <w:rsid w:val="007C6A39"/>
    <w:rsid w:val="007C6B13"/>
    <w:rsid w:val="007C6BB2"/>
    <w:rsid w:val="007C736E"/>
    <w:rsid w:val="007D000A"/>
    <w:rsid w:val="007D028B"/>
    <w:rsid w:val="007D04E9"/>
    <w:rsid w:val="007D11BA"/>
    <w:rsid w:val="007D137C"/>
    <w:rsid w:val="007D1E44"/>
    <w:rsid w:val="007D1F9E"/>
    <w:rsid w:val="007D2488"/>
    <w:rsid w:val="007D30B7"/>
    <w:rsid w:val="007D3476"/>
    <w:rsid w:val="007D37B6"/>
    <w:rsid w:val="007D38A5"/>
    <w:rsid w:val="007D3A23"/>
    <w:rsid w:val="007D3C0F"/>
    <w:rsid w:val="007D411B"/>
    <w:rsid w:val="007D43BA"/>
    <w:rsid w:val="007D4404"/>
    <w:rsid w:val="007D4AD1"/>
    <w:rsid w:val="007D5168"/>
    <w:rsid w:val="007D59A3"/>
    <w:rsid w:val="007D6410"/>
    <w:rsid w:val="007D6C11"/>
    <w:rsid w:val="007D7093"/>
    <w:rsid w:val="007D7214"/>
    <w:rsid w:val="007D7567"/>
    <w:rsid w:val="007D7725"/>
    <w:rsid w:val="007D7801"/>
    <w:rsid w:val="007D7F0A"/>
    <w:rsid w:val="007E03EB"/>
    <w:rsid w:val="007E0BBB"/>
    <w:rsid w:val="007E0D2F"/>
    <w:rsid w:val="007E0E11"/>
    <w:rsid w:val="007E15AD"/>
    <w:rsid w:val="007E1DF6"/>
    <w:rsid w:val="007E2189"/>
    <w:rsid w:val="007E23F1"/>
    <w:rsid w:val="007E24EB"/>
    <w:rsid w:val="007E25ED"/>
    <w:rsid w:val="007E2703"/>
    <w:rsid w:val="007E2960"/>
    <w:rsid w:val="007E2BC0"/>
    <w:rsid w:val="007E346E"/>
    <w:rsid w:val="007E3471"/>
    <w:rsid w:val="007E350F"/>
    <w:rsid w:val="007E3639"/>
    <w:rsid w:val="007E3722"/>
    <w:rsid w:val="007E4116"/>
    <w:rsid w:val="007E4450"/>
    <w:rsid w:val="007E47C9"/>
    <w:rsid w:val="007E4AF0"/>
    <w:rsid w:val="007E4BD3"/>
    <w:rsid w:val="007E4C15"/>
    <w:rsid w:val="007E4E79"/>
    <w:rsid w:val="007E4F85"/>
    <w:rsid w:val="007E50E7"/>
    <w:rsid w:val="007E5379"/>
    <w:rsid w:val="007E59AE"/>
    <w:rsid w:val="007E5D52"/>
    <w:rsid w:val="007E5E2B"/>
    <w:rsid w:val="007E662D"/>
    <w:rsid w:val="007E66E8"/>
    <w:rsid w:val="007E67AC"/>
    <w:rsid w:val="007E69AD"/>
    <w:rsid w:val="007E6A7C"/>
    <w:rsid w:val="007E6C20"/>
    <w:rsid w:val="007E6C54"/>
    <w:rsid w:val="007E6F82"/>
    <w:rsid w:val="007E73D3"/>
    <w:rsid w:val="007E74BF"/>
    <w:rsid w:val="007E76DF"/>
    <w:rsid w:val="007E7BA2"/>
    <w:rsid w:val="007F064F"/>
    <w:rsid w:val="007F097D"/>
    <w:rsid w:val="007F0E75"/>
    <w:rsid w:val="007F130B"/>
    <w:rsid w:val="007F16B8"/>
    <w:rsid w:val="007F1823"/>
    <w:rsid w:val="007F19D2"/>
    <w:rsid w:val="007F1DEC"/>
    <w:rsid w:val="007F201A"/>
    <w:rsid w:val="007F214F"/>
    <w:rsid w:val="007F259B"/>
    <w:rsid w:val="007F2BB0"/>
    <w:rsid w:val="007F2E93"/>
    <w:rsid w:val="007F412F"/>
    <w:rsid w:val="007F42B4"/>
    <w:rsid w:val="007F4408"/>
    <w:rsid w:val="007F4BB5"/>
    <w:rsid w:val="007F4D70"/>
    <w:rsid w:val="007F5529"/>
    <w:rsid w:val="007F5585"/>
    <w:rsid w:val="007F5BB3"/>
    <w:rsid w:val="007F5C1F"/>
    <w:rsid w:val="007F5DD9"/>
    <w:rsid w:val="007F63DB"/>
    <w:rsid w:val="007F660A"/>
    <w:rsid w:val="007F665E"/>
    <w:rsid w:val="007F67A4"/>
    <w:rsid w:val="007F67E9"/>
    <w:rsid w:val="007F6937"/>
    <w:rsid w:val="007F70EA"/>
    <w:rsid w:val="007F7259"/>
    <w:rsid w:val="007F7274"/>
    <w:rsid w:val="007F73B5"/>
    <w:rsid w:val="007F74B9"/>
    <w:rsid w:val="007F7844"/>
    <w:rsid w:val="007F78F9"/>
    <w:rsid w:val="007F7BDA"/>
    <w:rsid w:val="007F7BFB"/>
    <w:rsid w:val="007F7C7B"/>
    <w:rsid w:val="007F7CDC"/>
    <w:rsid w:val="007F7EA8"/>
    <w:rsid w:val="008001D1"/>
    <w:rsid w:val="00800771"/>
    <w:rsid w:val="008007C4"/>
    <w:rsid w:val="00800DF7"/>
    <w:rsid w:val="00801030"/>
    <w:rsid w:val="008010C3"/>
    <w:rsid w:val="00801786"/>
    <w:rsid w:val="00801A4B"/>
    <w:rsid w:val="00802104"/>
    <w:rsid w:val="00802194"/>
    <w:rsid w:val="0080227D"/>
    <w:rsid w:val="00802294"/>
    <w:rsid w:val="0080237E"/>
    <w:rsid w:val="00802A5E"/>
    <w:rsid w:val="00802B2D"/>
    <w:rsid w:val="00802DA9"/>
    <w:rsid w:val="00803057"/>
    <w:rsid w:val="00803120"/>
    <w:rsid w:val="00803340"/>
    <w:rsid w:val="00803C91"/>
    <w:rsid w:val="00803F2A"/>
    <w:rsid w:val="00804032"/>
    <w:rsid w:val="008040A2"/>
    <w:rsid w:val="008041AD"/>
    <w:rsid w:val="00804632"/>
    <w:rsid w:val="00804692"/>
    <w:rsid w:val="00804B9E"/>
    <w:rsid w:val="00804E33"/>
    <w:rsid w:val="00804ED6"/>
    <w:rsid w:val="00804FC0"/>
    <w:rsid w:val="008054A5"/>
    <w:rsid w:val="008054D9"/>
    <w:rsid w:val="0080569F"/>
    <w:rsid w:val="0080590E"/>
    <w:rsid w:val="00805A5E"/>
    <w:rsid w:val="0080634B"/>
    <w:rsid w:val="008065A0"/>
    <w:rsid w:val="008065B2"/>
    <w:rsid w:val="00806688"/>
    <w:rsid w:val="008067FB"/>
    <w:rsid w:val="00806ED3"/>
    <w:rsid w:val="00807038"/>
    <w:rsid w:val="008072ED"/>
    <w:rsid w:val="0080754F"/>
    <w:rsid w:val="00807A3E"/>
    <w:rsid w:val="00810338"/>
    <w:rsid w:val="00810401"/>
    <w:rsid w:val="0081050F"/>
    <w:rsid w:val="00810749"/>
    <w:rsid w:val="00810911"/>
    <w:rsid w:val="0081099A"/>
    <w:rsid w:val="00810F82"/>
    <w:rsid w:val="008118AF"/>
    <w:rsid w:val="00811BC8"/>
    <w:rsid w:val="00812062"/>
    <w:rsid w:val="00812086"/>
    <w:rsid w:val="00812282"/>
    <w:rsid w:val="00812505"/>
    <w:rsid w:val="0081261D"/>
    <w:rsid w:val="00812890"/>
    <w:rsid w:val="00812C2B"/>
    <w:rsid w:val="00812D9E"/>
    <w:rsid w:val="00813190"/>
    <w:rsid w:val="0081359E"/>
    <w:rsid w:val="00813788"/>
    <w:rsid w:val="00813EA6"/>
    <w:rsid w:val="00813F79"/>
    <w:rsid w:val="0081431A"/>
    <w:rsid w:val="0081466F"/>
    <w:rsid w:val="008148E4"/>
    <w:rsid w:val="00814DCB"/>
    <w:rsid w:val="008150A5"/>
    <w:rsid w:val="008153DA"/>
    <w:rsid w:val="008157F1"/>
    <w:rsid w:val="0081594E"/>
    <w:rsid w:val="0081642B"/>
    <w:rsid w:val="008164C7"/>
    <w:rsid w:val="0081656B"/>
    <w:rsid w:val="00816626"/>
    <w:rsid w:val="00816D6C"/>
    <w:rsid w:val="00816EC2"/>
    <w:rsid w:val="00817387"/>
    <w:rsid w:val="008174C5"/>
    <w:rsid w:val="0081797C"/>
    <w:rsid w:val="00817D70"/>
    <w:rsid w:val="00817F96"/>
    <w:rsid w:val="00820041"/>
    <w:rsid w:val="00820295"/>
    <w:rsid w:val="008203C0"/>
    <w:rsid w:val="008203D3"/>
    <w:rsid w:val="0082040A"/>
    <w:rsid w:val="008204C2"/>
    <w:rsid w:val="00820E34"/>
    <w:rsid w:val="00820E9E"/>
    <w:rsid w:val="00821246"/>
    <w:rsid w:val="008212FF"/>
    <w:rsid w:val="008214B0"/>
    <w:rsid w:val="0082168B"/>
    <w:rsid w:val="00821765"/>
    <w:rsid w:val="00821881"/>
    <w:rsid w:val="00821BE1"/>
    <w:rsid w:val="00822502"/>
    <w:rsid w:val="0082253F"/>
    <w:rsid w:val="008226F2"/>
    <w:rsid w:val="008232F9"/>
    <w:rsid w:val="00823444"/>
    <w:rsid w:val="00823562"/>
    <w:rsid w:val="008235B1"/>
    <w:rsid w:val="008236E1"/>
    <w:rsid w:val="00823A8A"/>
    <w:rsid w:val="00823D6D"/>
    <w:rsid w:val="008242FD"/>
    <w:rsid w:val="0082441B"/>
    <w:rsid w:val="00824458"/>
    <w:rsid w:val="00824752"/>
    <w:rsid w:val="0082475A"/>
    <w:rsid w:val="00824778"/>
    <w:rsid w:val="008249F7"/>
    <w:rsid w:val="00824B74"/>
    <w:rsid w:val="00824E8F"/>
    <w:rsid w:val="0082508B"/>
    <w:rsid w:val="0082538D"/>
    <w:rsid w:val="00825885"/>
    <w:rsid w:val="00825A8A"/>
    <w:rsid w:val="00825B35"/>
    <w:rsid w:val="00825C82"/>
    <w:rsid w:val="008261B5"/>
    <w:rsid w:val="00826393"/>
    <w:rsid w:val="00826461"/>
    <w:rsid w:val="00826681"/>
    <w:rsid w:val="00826AE1"/>
    <w:rsid w:val="00826D44"/>
    <w:rsid w:val="00826E8B"/>
    <w:rsid w:val="00826EFB"/>
    <w:rsid w:val="00827027"/>
    <w:rsid w:val="0082702A"/>
    <w:rsid w:val="0082746F"/>
    <w:rsid w:val="0082790E"/>
    <w:rsid w:val="00827B8D"/>
    <w:rsid w:val="0083025C"/>
    <w:rsid w:val="00830331"/>
    <w:rsid w:val="0083095D"/>
    <w:rsid w:val="00830B93"/>
    <w:rsid w:val="008326A5"/>
    <w:rsid w:val="00832A96"/>
    <w:rsid w:val="00832BD5"/>
    <w:rsid w:val="00832F61"/>
    <w:rsid w:val="00832FB1"/>
    <w:rsid w:val="008337DD"/>
    <w:rsid w:val="00833AB5"/>
    <w:rsid w:val="00833B3B"/>
    <w:rsid w:val="00833F07"/>
    <w:rsid w:val="00834090"/>
    <w:rsid w:val="0083411A"/>
    <w:rsid w:val="00834EEF"/>
    <w:rsid w:val="008351E7"/>
    <w:rsid w:val="00835736"/>
    <w:rsid w:val="0083576E"/>
    <w:rsid w:val="00835D37"/>
    <w:rsid w:val="00835EC9"/>
    <w:rsid w:val="00835F4F"/>
    <w:rsid w:val="0083617F"/>
    <w:rsid w:val="00836893"/>
    <w:rsid w:val="00836DDD"/>
    <w:rsid w:val="00836E82"/>
    <w:rsid w:val="00836FEA"/>
    <w:rsid w:val="00837115"/>
    <w:rsid w:val="00837244"/>
    <w:rsid w:val="00837265"/>
    <w:rsid w:val="008375FB"/>
    <w:rsid w:val="00837A13"/>
    <w:rsid w:val="0084090E"/>
    <w:rsid w:val="00840966"/>
    <w:rsid w:val="00840A1E"/>
    <w:rsid w:val="00841317"/>
    <w:rsid w:val="00841388"/>
    <w:rsid w:val="00841614"/>
    <w:rsid w:val="00841C9F"/>
    <w:rsid w:val="00841CAC"/>
    <w:rsid w:val="00841EFB"/>
    <w:rsid w:val="00841F44"/>
    <w:rsid w:val="008422EA"/>
    <w:rsid w:val="008423CA"/>
    <w:rsid w:val="00842457"/>
    <w:rsid w:val="00842B32"/>
    <w:rsid w:val="00842C82"/>
    <w:rsid w:val="00842F2D"/>
    <w:rsid w:val="008434BB"/>
    <w:rsid w:val="008436D7"/>
    <w:rsid w:val="00843936"/>
    <w:rsid w:val="00843B03"/>
    <w:rsid w:val="00843C9E"/>
    <w:rsid w:val="008440FE"/>
    <w:rsid w:val="0084454C"/>
    <w:rsid w:val="0084460A"/>
    <w:rsid w:val="008446EF"/>
    <w:rsid w:val="00844C4E"/>
    <w:rsid w:val="00844F96"/>
    <w:rsid w:val="008450ED"/>
    <w:rsid w:val="0084516C"/>
    <w:rsid w:val="00845188"/>
    <w:rsid w:val="00845955"/>
    <w:rsid w:val="00845FB6"/>
    <w:rsid w:val="00846119"/>
    <w:rsid w:val="008468B8"/>
    <w:rsid w:val="00846A5A"/>
    <w:rsid w:val="00846C44"/>
    <w:rsid w:val="00846D57"/>
    <w:rsid w:val="00846F6F"/>
    <w:rsid w:val="00847052"/>
    <w:rsid w:val="008470F8"/>
    <w:rsid w:val="008470FC"/>
    <w:rsid w:val="008474E3"/>
    <w:rsid w:val="00847CD1"/>
    <w:rsid w:val="00847EC4"/>
    <w:rsid w:val="00847F15"/>
    <w:rsid w:val="00850069"/>
    <w:rsid w:val="00850276"/>
    <w:rsid w:val="00850314"/>
    <w:rsid w:val="00850570"/>
    <w:rsid w:val="008507A9"/>
    <w:rsid w:val="008507C6"/>
    <w:rsid w:val="0085090C"/>
    <w:rsid w:val="00850B7B"/>
    <w:rsid w:val="00850BC5"/>
    <w:rsid w:val="0085133D"/>
    <w:rsid w:val="00851666"/>
    <w:rsid w:val="00851C69"/>
    <w:rsid w:val="00851EC5"/>
    <w:rsid w:val="0085226F"/>
    <w:rsid w:val="00852331"/>
    <w:rsid w:val="00852559"/>
    <w:rsid w:val="008527ED"/>
    <w:rsid w:val="008533D8"/>
    <w:rsid w:val="008535FA"/>
    <w:rsid w:val="008537F7"/>
    <w:rsid w:val="00853DF7"/>
    <w:rsid w:val="00854619"/>
    <w:rsid w:val="00854638"/>
    <w:rsid w:val="008546BE"/>
    <w:rsid w:val="00854AE6"/>
    <w:rsid w:val="00854D3E"/>
    <w:rsid w:val="00855274"/>
    <w:rsid w:val="008553C5"/>
    <w:rsid w:val="008553E7"/>
    <w:rsid w:val="00855534"/>
    <w:rsid w:val="008555A3"/>
    <w:rsid w:val="00855840"/>
    <w:rsid w:val="00855DFE"/>
    <w:rsid w:val="00855ECF"/>
    <w:rsid w:val="00856074"/>
    <w:rsid w:val="00857473"/>
    <w:rsid w:val="00857717"/>
    <w:rsid w:val="00857949"/>
    <w:rsid w:val="00857982"/>
    <w:rsid w:val="00857F0F"/>
    <w:rsid w:val="00860077"/>
    <w:rsid w:val="008604C6"/>
    <w:rsid w:val="00860835"/>
    <w:rsid w:val="00860B07"/>
    <w:rsid w:val="00860B35"/>
    <w:rsid w:val="00860F3B"/>
    <w:rsid w:val="00861063"/>
    <w:rsid w:val="008610AF"/>
    <w:rsid w:val="00861D24"/>
    <w:rsid w:val="00862A08"/>
    <w:rsid w:val="00862B84"/>
    <w:rsid w:val="00862CF0"/>
    <w:rsid w:val="00862F32"/>
    <w:rsid w:val="0086340D"/>
    <w:rsid w:val="0086370B"/>
    <w:rsid w:val="00863741"/>
    <w:rsid w:val="008638A2"/>
    <w:rsid w:val="00863B87"/>
    <w:rsid w:val="0086410D"/>
    <w:rsid w:val="0086416D"/>
    <w:rsid w:val="008644EA"/>
    <w:rsid w:val="00864986"/>
    <w:rsid w:val="00864C65"/>
    <w:rsid w:val="00864E4D"/>
    <w:rsid w:val="0086586E"/>
    <w:rsid w:val="00865C4D"/>
    <w:rsid w:val="00865DCA"/>
    <w:rsid w:val="00866248"/>
    <w:rsid w:val="00866468"/>
    <w:rsid w:val="008664FE"/>
    <w:rsid w:val="0086678C"/>
    <w:rsid w:val="00866C24"/>
    <w:rsid w:val="00867031"/>
    <w:rsid w:val="008672E0"/>
    <w:rsid w:val="0086741E"/>
    <w:rsid w:val="00867D65"/>
    <w:rsid w:val="00870036"/>
    <w:rsid w:val="008700A1"/>
    <w:rsid w:val="008702FF"/>
    <w:rsid w:val="00870790"/>
    <w:rsid w:val="00870D9A"/>
    <w:rsid w:val="008712C9"/>
    <w:rsid w:val="008717BC"/>
    <w:rsid w:val="00871845"/>
    <w:rsid w:val="00871892"/>
    <w:rsid w:val="008718F3"/>
    <w:rsid w:val="008719C2"/>
    <w:rsid w:val="008720C1"/>
    <w:rsid w:val="00872148"/>
    <w:rsid w:val="0087224D"/>
    <w:rsid w:val="008724E2"/>
    <w:rsid w:val="00872568"/>
    <w:rsid w:val="008725A7"/>
    <w:rsid w:val="0087277A"/>
    <w:rsid w:val="00872953"/>
    <w:rsid w:val="00872A47"/>
    <w:rsid w:val="00872CB2"/>
    <w:rsid w:val="0087301C"/>
    <w:rsid w:val="0087326E"/>
    <w:rsid w:val="0087338B"/>
    <w:rsid w:val="0087356F"/>
    <w:rsid w:val="008736E2"/>
    <w:rsid w:val="00873B13"/>
    <w:rsid w:val="008740C0"/>
    <w:rsid w:val="008741FB"/>
    <w:rsid w:val="008742CB"/>
    <w:rsid w:val="00874464"/>
    <w:rsid w:val="00874565"/>
    <w:rsid w:val="00874707"/>
    <w:rsid w:val="00874882"/>
    <w:rsid w:val="0087498D"/>
    <w:rsid w:val="00874C7F"/>
    <w:rsid w:val="00874CAD"/>
    <w:rsid w:val="00874D81"/>
    <w:rsid w:val="008750A0"/>
    <w:rsid w:val="00875502"/>
    <w:rsid w:val="00875AAA"/>
    <w:rsid w:val="00875AB2"/>
    <w:rsid w:val="00875D1C"/>
    <w:rsid w:val="00876876"/>
    <w:rsid w:val="00876C84"/>
    <w:rsid w:val="00876EF6"/>
    <w:rsid w:val="00876FD4"/>
    <w:rsid w:val="00877247"/>
    <w:rsid w:val="0087779D"/>
    <w:rsid w:val="00877BEF"/>
    <w:rsid w:val="00877C8D"/>
    <w:rsid w:val="00877DF7"/>
    <w:rsid w:val="00877E9C"/>
    <w:rsid w:val="008801AE"/>
    <w:rsid w:val="00880A24"/>
    <w:rsid w:val="00880AA3"/>
    <w:rsid w:val="00880AFB"/>
    <w:rsid w:val="00880B1C"/>
    <w:rsid w:val="00880BB7"/>
    <w:rsid w:val="00881294"/>
    <w:rsid w:val="0088130B"/>
    <w:rsid w:val="008813ED"/>
    <w:rsid w:val="008815C9"/>
    <w:rsid w:val="0088164F"/>
    <w:rsid w:val="00881E64"/>
    <w:rsid w:val="00881EAB"/>
    <w:rsid w:val="00881EDA"/>
    <w:rsid w:val="00881EEE"/>
    <w:rsid w:val="008820CC"/>
    <w:rsid w:val="008827D6"/>
    <w:rsid w:val="00882803"/>
    <w:rsid w:val="00882935"/>
    <w:rsid w:val="00882CA7"/>
    <w:rsid w:val="00883CA0"/>
    <w:rsid w:val="0088421C"/>
    <w:rsid w:val="0088439A"/>
    <w:rsid w:val="0088445B"/>
    <w:rsid w:val="0088456B"/>
    <w:rsid w:val="0088500D"/>
    <w:rsid w:val="008853F2"/>
    <w:rsid w:val="0088594C"/>
    <w:rsid w:val="00886120"/>
    <w:rsid w:val="008862D7"/>
    <w:rsid w:val="00886A91"/>
    <w:rsid w:val="00886D5F"/>
    <w:rsid w:val="0088710C"/>
    <w:rsid w:val="00887CD7"/>
    <w:rsid w:val="00887D23"/>
    <w:rsid w:val="008900B9"/>
    <w:rsid w:val="00890767"/>
    <w:rsid w:val="0089088D"/>
    <w:rsid w:val="008908F9"/>
    <w:rsid w:val="0089099D"/>
    <w:rsid w:val="00890E93"/>
    <w:rsid w:val="008911FE"/>
    <w:rsid w:val="0089162F"/>
    <w:rsid w:val="00891957"/>
    <w:rsid w:val="00891A78"/>
    <w:rsid w:val="00891AF6"/>
    <w:rsid w:val="00891B6B"/>
    <w:rsid w:val="00891BC3"/>
    <w:rsid w:val="00891CFD"/>
    <w:rsid w:val="00891F4D"/>
    <w:rsid w:val="008920A1"/>
    <w:rsid w:val="008921AE"/>
    <w:rsid w:val="008923C4"/>
    <w:rsid w:val="0089255B"/>
    <w:rsid w:val="00892598"/>
    <w:rsid w:val="008926AA"/>
    <w:rsid w:val="0089294D"/>
    <w:rsid w:val="00892D0C"/>
    <w:rsid w:val="008937C8"/>
    <w:rsid w:val="00893C8E"/>
    <w:rsid w:val="00893EB7"/>
    <w:rsid w:val="00893FFE"/>
    <w:rsid w:val="008941B2"/>
    <w:rsid w:val="008943B8"/>
    <w:rsid w:val="008945C9"/>
    <w:rsid w:val="00895521"/>
    <w:rsid w:val="008956D1"/>
    <w:rsid w:val="00895AD8"/>
    <w:rsid w:val="00895BC2"/>
    <w:rsid w:val="00895C63"/>
    <w:rsid w:val="00895F2D"/>
    <w:rsid w:val="008960D1"/>
    <w:rsid w:val="008962FB"/>
    <w:rsid w:val="008963FA"/>
    <w:rsid w:val="008966BB"/>
    <w:rsid w:val="008967C4"/>
    <w:rsid w:val="00896ABB"/>
    <w:rsid w:val="0089721D"/>
    <w:rsid w:val="00897436"/>
    <w:rsid w:val="00897CD8"/>
    <w:rsid w:val="00897F7E"/>
    <w:rsid w:val="008A01B6"/>
    <w:rsid w:val="008A05E0"/>
    <w:rsid w:val="008A09CC"/>
    <w:rsid w:val="008A0AD7"/>
    <w:rsid w:val="008A0B13"/>
    <w:rsid w:val="008A0D2A"/>
    <w:rsid w:val="008A0E70"/>
    <w:rsid w:val="008A0FF5"/>
    <w:rsid w:val="008A1168"/>
    <w:rsid w:val="008A11B5"/>
    <w:rsid w:val="008A1693"/>
    <w:rsid w:val="008A1946"/>
    <w:rsid w:val="008A1C28"/>
    <w:rsid w:val="008A1CD6"/>
    <w:rsid w:val="008A1D54"/>
    <w:rsid w:val="008A22BE"/>
    <w:rsid w:val="008A237C"/>
    <w:rsid w:val="008A2503"/>
    <w:rsid w:val="008A254F"/>
    <w:rsid w:val="008A2630"/>
    <w:rsid w:val="008A280B"/>
    <w:rsid w:val="008A30E3"/>
    <w:rsid w:val="008A34AD"/>
    <w:rsid w:val="008A3627"/>
    <w:rsid w:val="008A3988"/>
    <w:rsid w:val="008A4365"/>
    <w:rsid w:val="008A4432"/>
    <w:rsid w:val="008A498B"/>
    <w:rsid w:val="008A4A79"/>
    <w:rsid w:val="008A4A9C"/>
    <w:rsid w:val="008A4CC2"/>
    <w:rsid w:val="008A4DA0"/>
    <w:rsid w:val="008A522A"/>
    <w:rsid w:val="008A5833"/>
    <w:rsid w:val="008A5897"/>
    <w:rsid w:val="008A58AF"/>
    <w:rsid w:val="008A5E99"/>
    <w:rsid w:val="008A5F3E"/>
    <w:rsid w:val="008A61FD"/>
    <w:rsid w:val="008A66FD"/>
    <w:rsid w:val="008A6C1F"/>
    <w:rsid w:val="008A6D33"/>
    <w:rsid w:val="008A6F63"/>
    <w:rsid w:val="008A7400"/>
    <w:rsid w:val="008A7644"/>
    <w:rsid w:val="008A7690"/>
    <w:rsid w:val="008A7D86"/>
    <w:rsid w:val="008B00E2"/>
    <w:rsid w:val="008B01DA"/>
    <w:rsid w:val="008B0233"/>
    <w:rsid w:val="008B0616"/>
    <w:rsid w:val="008B06A5"/>
    <w:rsid w:val="008B06B0"/>
    <w:rsid w:val="008B072B"/>
    <w:rsid w:val="008B0DE1"/>
    <w:rsid w:val="008B1D1A"/>
    <w:rsid w:val="008B25C7"/>
    <w:rsid w:val="008B2AD1"/>
    <w:rsid w:val="008B2D1E"/>
    <w:rsid w:val="008B2EFC"/>
    <w:rsid w:val="008B3425"/>
    <w:rsid w:val="008B3638"/>
    <w:rsid w:val="008B3A88"/>
    <w:rsid w:val="008B3D90"/>
    <w:rsid w:val="008B3F74"/>
    <w:rsid w:val="008B4167"/>
    <w:rsid w:val="008B4245"/>
    <w:rsid w:val="008B4850"/>
    <w:rsid w:val="008B4BD1"/>
    <w:rsid w:val="008B4BEE"/>
    <w:rsid w:val="008B4BFC"/>
    <w:rsid w:val="008B4D83"/>
    <w:rsid w:val="008B4DD0"/>
    <w:rsid w:val="008B4E82"/>
    <w:rsid w:val="008B4F32"/>
    <w:rsid w:val="008B507A"/>
    <w:rsid w:val="008B5153"/>
    <w:rsid w:val="008B51B4"/>
    <w:rsid w:val="008B56F9"/>
    <w:rsid w:val="008B5882"/>
    <w:rsid w:val="008B5B67"/>
    <w:rsid w:val="008B5D17"/>
    <w:rsid w:val="008B5D44"/>
    <w:rsid w:val="008B5D7A"/>
    <w:rsid w:val="008B6090"/>
    <w:rsid w:val="008B626F"/>
    <w:rsid w:val="008B64A9"/>
    <w:rsid w:val="008B66DB"/>
    <w:rsid w:val="008B66E3"/>
    <w:rsid w:val="008B6A08"/>
    <w:rsid w:val="008B6DCF"/>
    <w:rsid w:val="008B7046"/>
    <w:rsid w:val="008B7551"/>
    <w:rsid w:val="008B7664"/>
    <w:rsid w:val="008B7848"/>
    <w:rsid w:val="008B7854"/>
    <w:rsid w:val="008B7B11"/>
    <w:rsid w:val="008B7DAB"/>
    <w:rsid w:val="008B7E23"/>
    <w:rsid w:val="008B7F30"/>
    <w:rsid w:val="008C0622"/>
    <w:rsid w:val="008C074F"/>
    <w:rsid w:val="008C0EED"/>
    <w:rsid w:val="008C1416"/>
    <w:rsid w:val="008C1C6C"/>
    <w:rsid w:val="008C1E05"/>
    <w:rsid w:val="008C1F13"/>
    <w:rsid w:val="008C20AD"/>
    <w:rsid w:val="008C21D1"/>
    <w:rsid w:val="008C2641"/>
    <w:rsid w:val="008C290A"/>
    <w:rsid w:val="008C29B0"/>
    <w:rsid w:val="008C308B"/>
    <w:rsid w:val="008C34BB"/>
    <w:rsid w:val="008C384E"/>
    <w:rsid w:val="008C3984"/>
    <w:rsid w:val="008C3AC1"/>
    <w:rsid w:val="008C3DC3"/>
    <w:rsid w:val="008C45CE"/>
    <w:rsid w:val="008C45E2"/>
    <w:rsid w:val="008C4607"/>
    <w:rsid w:val="008C50AB"/>
    <w:rsid w:val="008C5135"/>
    <w:rsid w:val="008C5254"/>
    <w:rsid w:val="008C5AA4"/>
    <w:rsid w:val="008C5DAB"/>
    <w:rsid w:val="008C626C"/>
    <w:rsid w:val="008C628F"/>
    <w:rsid w:val="008C6AA2"/>
    <w:rsid w:val="008C6B8F"/>
    <w:rsid w:val="008C70A5"/>
    <w:rsid w:val="008C7243"/>
    <w:rsid w:val="008C72CA"/>
    <w:rsid w:val="008D0382"/>
    <w:rsid w:val="008D075C"/>
    <w:rsid w:val="008D1125"/>
    <w:rsid w:val="008D17BD"/>
    <w:rsid w:val="008D1AB2"/>
    <w:rsid w:val="008D1BB6"/>
    <w:rsid w:val="008D1E95"/>
    <w:rsid w:val="008D1F8B"/>
    <w:rsid w:val="008D207A"/>
    <w:rsid w:val="008D2494"/>
    <w:rsid w:val="008D2DEB"/>
    <w:rsid w:val="008D3323"/>
    <w:rsid w:val="008D33FD"/>
    <w:rsid w:val="008D365A"/>
    <w:rsid w:val="008D3714"/>
    <w:rsid w:val="008D3719"/>
    <w:rsid w:val="008D3726"/>
    <w:rsid w:val="008D390E"/>
    <w:rsid w:val="008D3ABB"/>
    <w:rsid w:val="008D3C57"/>
    <w:rsid w:val="008D3E5D"/>
    <w:rsid w:val="008D48F5"/>
    <w:rsid w:val="008D4CB0"/>
    <w:rsid w:val="008D4CF1"/>
    <w:rsid w:val="008D4F55"/>
    <w:rsid w:val="008D4F8C"/>
    <w:rsid w:val="008D521E"/>
    <w:rsid w:val="008D529F"/>
    <w:rsid w:val="008D544C"/>
    <w:rsid w:val="008D54E4"/>
    <w:rsid w:val="008D5B91"/>
    <w:rsid w:val="008D5E27"/>
    <w:rsid w:val="008D5FDE"/>
    <w:rsid w:val="008D603B"/>
    <w:rsid w:val="008D629C"/>
    <w:rsid w:val="008D635B"/>
    <w:rsid w:val="008D6397"/>
    <w:rsid w:val="008D6577"/>
    <w:rsid w:val="008D69A7"/>
    <w:rsid w:val="008D70E1"/>
    <w:rsid w:val="008D73A5"/>
    <w:rsid w:val="008D73C9"/>
    <w:rsid w:val="008D74B3"/>
    <w:rsid w:val="008D77A6"/>
    <w:rsid w:val="008D77E4"/>
    <w:rsid w:val="008D7C7B"/>
    <w:rsid w:val="008D7FD7"/>
    <w:rsid w:val="008E00B6"/>
    <w:rsid w:val="008E0281"/>
    <w:rsid w:val="008E02B2"/>
    <w:rsid w:val="008E06ED"/>
    <w:rsid w:val="008E090C"/>
    <w:rsid w:val="008E0EC1"/>
    <w:rsid w:val="008E0F63"/>
    <w:rsid w:val="008E1080"/>
    <w:rsid w:val="008E10E9"/>
    <w:rsid w:val="008E122E"/>
    <w:rsid w:val="008E1278"/>
    <w:rsid w:val="008E155D"/>
    <w:rsid w:val="008E16BF"/>
    <w:rsid w:val="008E18EE"/>
    <w:rsid w:val="008E1B1F"/>
    <w:rsid w:val="008E1C8B"/>
    <w:rsid w:val="008E2148"/>
    <w:rsid w:val="008E27F8"/>
    <w:rsid w:val="008E3049"/>
    <w:rsid w:val="008E31C4"/>
    <w:rsid w:val="008E332C"/>
    <w:rsid w:val="008E35A3"/>
    <w:rsid w:val="008E35F7"/>
    <w:rsid w:val="008E36E5"/>
    <w:rsid w:val="008E3885"/>
    <w:rsid w:val="008E38AE"/>
    <w:rsid w:val="008E3C6C"/>
    <w:rsid w:val="008E3E54"/>
    <w:rsid w:val="008E46F4"/>
    <w:rsid w:val="008E4832"/>
    <w:rsid w:val="008E4867"/>
    <w:rsid w:val="008E4AAB"/>
    <w:rsid w:val="008E5235"/>
    <w:rsid w:val="008E52E7"/>
    <w:rsid w:val="008E54A9"/>
    <w:rsid w:val="008E5A42"/>
    <w:rsid w:val="008E5BA7"/>
    <w:rsid w:val="008E5F32"/>
    <w:rsid w:val="008E6546"/>
    <w:rsid w:val="008E6878"/>
    <w:rsid w:val="008E7274"/>
    <w:rsid w:val="008E7B7E"/>
    <w:rsid w:val="008E7E74"/>
    <w:rsid w:val="008E7F68"/>
    <w:rsid w:val="008F0070"/>
    <w:rsid w:val="008F0562"/>
    <w:rsid w:val="008F072E"/>
    <w:rsid w:val="008F07E3"/>
    <w:rsid w:val="008F080E"/>
    <w:rsid w:val="008F0873"/>
    <w:rsid w:val="008F0979"/>
    <w:rsid w:val="008F0C49"/>
    <w:rsid w:val="008F0CFF"/>
    <w:rsid w:val="008F0FC1"/>
    <w:rsid w:val="008F0FFB"/>
    <w:rsid w:val="008F1484"/>
    <w:rsid w:val="008F1658"/>
    <w:rsid w:val="008F1799"/>
    <w:rsid w:val="008F19C4"/>
    <w:rsid w:val="008F1B42"/>
    <w:rsid w:val="008F1CCF"/>
    <w:rsid w:val="008F1CE1"/>
    <w:rsid w:val="008F1ECA"/>
    <w:rsid w:val="008F260B"/>
    <w:rsid w:val="008F2D30"/>
    <w:rsid w:val="008F2FC7"/>
    <w:rsid w:val="008F3267"/>
    <w:rsid w:val="008F3334"/>
    <w:rsid w:val="008F3676"/>
    <w:rsid w:val="008F3A7A"/>
    <w:rsid w:val="008F3D8A"/>
    <w:rsid w:val="008F4065"/>
    <w:rsid w:val="008F4688"/>
    <w:rsid w:val="008F4744"/>
    <w:rsid w:val="008F4AAF"/>
    <w:rsid w:val="008F4F0F"/>
    <w:rsid w:val="008F529C"/>
    <w:rsid w:val="008F54CA"/>
    <w:rsid w:val="008F5C57"/>
    <w:rsid w:val="008F5FE4"/>
    <w:rsid w:val="008F6429"/>
    <w:rsid w:val="008F68F4"/>
    <w:rsid w:val="008F6BD9"/>
    <w:rsid w:val="008F6C3D"/>
    <w:rsid w:val="008F7220"/>
    <w:rsid w:val="008F7261"/>
    <w:rsid w:val="008F73E7"/>
    <w:rsid w:val="008F7486"/>
    <w:rsid w:val="008F778E"/>
    <w:rsid w:val="008F7B32"/>
    <w:rsid w:val="00900B19"/>
    <w:rsid w:val="00900E49"/>
    <w:rsid w:val="00900F42"/>
    <w:rsid w:val="00901331"/>
    <w:rsid w:val="009014F3"/>
    <w:rsid w:val="009015FB"/>
    <w:rsid w:val="00901706"/>
    <w:rsid w:val="00901963"/>
    <w:rsid w:val="00901E30"/>
    <w:rsid w:val="00901EA5"/>
    <w:rsid w:val="00901EE0"/>
    <w:rsid w:val="0090241A"/>
    <w:rsid w:val="00902725"/>
    <w:rsid w:val="0090355A"/>
    <w:rsid w:val="00903813"/>
    <w:rsid w:val="009039E8"/>
    <w:rsid w:val="009047CB"/>
    <w:rsid w:val="009048D1"/>
    <w:rsid w:val="00904AC0"/>
    <w:rsid w:val="0090535D"/>
    <w:rsid w:val="00905648"/>
    <w:rsid w:val="009058E8"/>
    <w:rsid w:val="00905D1E"/>
    <w:rsid w:val="009064D6"/>
    <w:rsid w:val="00906821"/>
    <w:rsid w:val="00906C7F"/>
    <w:rsid w:val="00906E65"/>
    <w:rsid w:val="00906F11"/>
    <w:rsid w:val="00907198"/>
    <w:rsid w:val="009073DC"/>
    <w:rsid w:val="0090796F"/>
    <w:rsid w:val="009079A4"/>
    <w:rsid w:val="009079E5"/>
    <w:rsid w:val="00907B24"/>
    <w:rsid w:val="00907BFB"/>
    <w:rsid w:val="00907C47"/>
    <w:rsid w:val="00910229"/>
    <w:rsid w:val="0091055E"/>
    <w:rsid w:val="00910B48"/>
    <w:rsid w:val="0091112D"/>
    <w:rsid w:val="0091125B"/>
    <w:rsid w:val="00911431"/>
    <w:rsid w:val="0091158F"/>
    <w:rsid w:val="00911A15"/>
    <w:rsid w:val="00911FDD"/>
    <w:rsid w:val="00912C0A"/>
    <w:rsid w:val="00912CAC"/>
    <w:rsid w:val="00913124"/>
    <w:rsid w:val="0091338A"/>
    <w:rsid w:val="00914326"/>
    <w:rsid w:val="009144D5"/>
    <w:rsid w:val="00914676"/>
    <w:rsid w:val="00914E18"/>
    <w:rsid w:val="0091517C"/>
    <w:rsid w:val="0091545E"/>
    <w:rsid w:val="00915568"/>
    <w:rsid w:val="00915B6D"/>
    <w:rsid w:val="00915F17"/>
    <w:rsid w:val="00915F98"/>
    <w:rsid w:val="00915FA3"/>
    <w:rsid w:val="009167C5"/>
    <w:rsid w:val="00916BBE"/>
    <w:rsid w:val="00916F53"/>
    <w:rsid w:val="00916FEC"/>
    <w:rsid w:val="00917367"/>
    <w:rsid w:val="00917454"/>
    <w:rsid w:val="00917553"/>
    <w:rsid w:val="00917682"/>
    <w:rsid w:val="0091775D"/>
    <w:rsid w:val="00917A51"/>
    <w:rsid w:val="00917E28"/>
    <w:rsid w:val="0092007C"/>
    <w:rsid w:val="00920307"/>
    <w:rsid w:val="00920331"/>
    <w:rsid w:val="009204D3"/>
    <w:rsid w:val="00920A45"/>
    <w:rsid w:val="00920A9E"/>
    <w:rsid w:val="009210E4"/>
    <w:rsid w:val="00921631"/>
    <w:rsid w:val="009217F8"/>
    <w:rsid w:val="009219E3"/>
    <w:rsid w:val="00921A4B"/>
    <w:rsid w:val="00921F2E"/>
    <w:rsid w:val="00922907"/>
    <w:rsid w:val="00922BDC"/>
    <w:rsid w:val="00923167"/>
    <w:rsid w:val="009231FC"/>
    <w:rsid w:val="009232EB"/>
    <w:rsid w:val="00923A9D"/>
    <w:rsid w:val="00923DA3"/>
    <w:rsid w:val="009240B6"/>
    <w:rsid w:val="009242EF"/>
    <w:rsid w:val="00924320"/>
    <w:rsid w:val="0092470E"/>
    <w:rsid w:val="009247CD"/>
    <w:rsid w:val="00924B68"/>
    <w:rsid w:val="00924F11"/>
    <w:rsid w:val="00924F26"/>
    <w:rsid w:val="00925038"/>
    <w:rsid w:val="009250C8"/>
    <w:rsid w:val="00925187"/>
    <w:rsid w:val="00925824"/>
    <w:rsid w:val="00925EAE"/>
    <w:rsid w:val="0092600B"/>
    <w:rsid w:val="009260A7"/>
    <w:rsid w:val="0092668F"/>
    <w:rsid w:val="009268E7"/>
    <w:rsid w:val="0092709C"/>
    <w:rsid w:val="009270A7"/>
    <w:rsid w:val="0092717F"/>
    <w:rsid w:val="00927481"/>
    <w:rsid w:val="00927744"/>
    <w:rsid w:val="0092799C"/>
    <w:rsid w:val="00927B05"/>
    <w:rsid w:val="00927F61"/>
    <w:rsid w:val="00930343"/>
    <w:rsid w:val="00930545"/>
    <w:rsid w:val="00930743"/>
    <w:rsid w:val="00930AAD"/>
    <w:rsid w:val="00930F4E"/>
    <w:rsid w:val="0093108B"/>
    <w:rsid w:val="009310D8"/>
    <w:rsid w:val="0093136B"/>
    <w:rsid w:val="00931470"/>
    <w:rsid w:val="00931A83"/>
    <w:rsid w:val="00931F20"/>
    <w:rsid w:val="0093290B"/>
    <w:rsid w:val="00932A47"/>
    <w:rsid w:val="00932DAD"/>
    <w:rsid w:val="00933005"/>
    <w:rsid w:val="00933094"/>
    <w:rsid w:val="00933422"/>
    <w:rsid w:val="00933768"/>
    <w:rsid w:val="009338CD"/>
    <w:rsid w:val="009338FE"/>
    <w:rsid w:val="00933D98"/>
    <w:rsid w:val="009342E5"/>
    <w:rsid w:val="0093437B"/>
    <w:rsid w:val="009345AE"/>
    <w:rsid w:val="0093476F"/>
    <w:rsid w:val="009348DE"/>
    <w:rsid w:val="00934C0F"/>
    <w:rsid w:val="00934C82"/>
    <w:rsid w:val="00934FBC"/>
    <w:rsid w:val="0093518F"/>
    <w:rsid w:val="009354D7"/>
    <w:rsid w:val="00935D13"/>
    <w:rsid w:val="00935E43"/>
    <w:rsid w:val="00936062"/>
    <w:rsid w:val="00936D20"/>
    <w:rsid w:val="00936FED"/>
    <w:rsid w:val="00937387"/>
    <w:rsid w:val="009374BD"/>
    <w:rsid w:val="00937CBE"/>
    <w:rsid w:val="00937F78"/>
    <w:rsid w:val="00940186"/>
    <w:rsid w:val="00940223"/>
    <w:rsid w:val="009402D2"/>
    <w:rsid w:val="009402F3"/>
    <w:rsid w:val="0094056E"/>
    <w:rsid w:val="00940863"/>
    <w:rsid w:val="00941A65"/>
    <w:rsid w:val="00941B18"/>
    <w:rsid w:val="00941E73"/>
    <w:rsid w:val="00941FFB"/>
    <w:rsid w:val="00942302"/>
    <w:rsid w:val="00942539"/>
    <w:rsid w:val="00942B09"/>
    <w:rsid w:val="00942FF2"/>
    <w:rsid w:val="00943386"/>
    <w:rsid w:val="009438E2"/>
    <w:rsid w:val="00943C64"/>
    <w:rsid w:val="00944087"/>
    <w:rsid w:val="0094418D"/>
    <w:rsid w:val="009442A5"/>
    <w:rsid w:val="009446E0"/>
    <w:rsid w:val="00944E74"/>
    <w:rsid w:val="00944F30"/>
    <w:rsid w:val="0094504B"/>
    <w:rsid w:val="00945147"/>
    <w:rsid w:val="009451DB"/>
    <w:rsid w:val="009460C0"/>
    <w:rsid w:val="00946232"/>
    <w:rsid w:val="009466C5"/>
    <w:rsid w:val="00946854"/>
    <w:rsid w:val="00946EAB"/>
    <w:rsid w:val="00946F11"/>
    <w:rsid w:val="009470D9"/>
    <w:rsid w:val="00947304"/>
    <w:rsid w:val="0094752A"/>
    <w:rsid w:val="00947CB6"/>
    <w:rsid w:val="00947E90"/>
    <w:rsid w:val="0095008A"/>
    <w:rsid w:val="0095012E"/>
    <w:rsid w:val="0095057E"/>
    <w:rsid w:val="00950E13"/>
    <w:rsid w:val="00950FCC"/>
    <w:rsid w:val="00950FE9"/>
    <w:rsid w:val="00951649"/>
    <w:rsid w:val="009516C6"/>
    <w:rsid w:val="00951934"/>
    <w:rsid w:val="00951A94"/>
    <w:rsid w:val="00951ACF"/>
    <w:rsid w:val="0095207B"/>
    <w:rsid w:val="0095216F"/>
    <w:rsid w:val="00952346"/>
    <w:rsid w:val="009529FA"/>
    <w:rsid w:val="0095312C"/>
    <w:rsid w:val="009536AD"/>
    <w:rsid w:val="00953AB8"/>
    <w:rsid w:val="00954065"/>
    <w:rsid w:val="009542A6"/>
    <w:rsid w:val="00954635"/>
    <w:rsid w:val="0095481D"/>
    <w:rsid w:val="00954B0E"/>
    <w:rsid w:val="00954C8C"/>
    <w:rsid w:val="00954E88"/>
    <w:rsid w:val="00955247"/>
    <w:rsid w:val="009557F2"/>
    <w:rsid w:val="00955FD7"/>
    <w:rsid w:val="00956A69"/>
    <w:rsid w:val="00956ACE"/>
    <w:rsid w:val="0095728F"/>
    <w:rsid w:val="009572A0"/>
    <w:rsid w:val="009572D3"/>
    <w:rsid w:val="00957D24"/>
    <w:rsid w:val="00957D49"/>
    <w:rsid w:val="00957F44"/>
    <w:rsid w:val="00957FD2"/>
    <w:rsid w:val="009600B5"/>
    <w:rsid w:val="00960955"/>
    <w:rsid w:val="00960A25"/>
    <w:rsid w:val="00960A49"/>
    <w:rsid w:val="00960C9D"/>
    <w:rsid w:val="00960DCF"/>
    <w:rsid w:val="009617F4"/>
    <w:rsid w:val="0096188E"/>
    <w:rsid w:val="00961A42"/>
    <w:rsid w:val="00961A51"/>
    <w:rsid w:val="00961B53"/>
    <w:rsid w:val="00961BDB"/>
    <w:rsid w:val="00961CE7"/>
    <w:rsid w:val="00961D67"/>
    <w:rsid w:val="00962663"/>
    <w:rsid w:val="00962D86"/>
    <w:rsid w:val="00963264"/>
    <w:rsid w:val="0096389D"/>
    <w:rsid w:val="009638C1"/>
    <w:rsid w:val="009639CC"/>
    <w:rsid w:val="00963A50"/>
    <w:rsid w:val="00963AD6"/>
    <w:rsid w:val="00963B15"/>
    <w:rsid w:val="00964775"/>
    <w:rsid w:val="00964E09"/>
    <w:rsid w:val="00964EE6"/>
    <w:rsid w:val="009652DB"/>
    <w:rsid w:val="00965332"/>
    <w:rsid w:val="009653F8"/>
    <w:rsid w:val="009658B9"/>
    <w:rsid w:val="00966149"/>
    <w:rsid w:val="009661A0"/>
    <w:rsid w:val="00966355"/>
    <w:rsid w:val="00966DB0"/>
    <w:rsid w:val="009671FC"/>
    <w:rsid w:val="00967306"/>
    <w:rsid w:val="009676C0"/>
    <w:rsid w:val="00967847"/>
    <w:rsid w:val="00967E04"/>
    <w:rsid w:val="00967E2A"/>
    <w:rsid w:val="00970322"/>
    <w:rsid w:val="00970DD6"/>
    <w:rsid w:val="00970EEC"/>
    <w:rsid w:val="009710A3"/>
    <w:rsid w:val="0097128B"/>
    <w:rsid w:val="0097138B"/>
    <w:rsid w:val="00971598"/>
    <w:rsid w:val="0097165F"/>
    <w:rsid w:val="009719A1"/>
    <w:rsid w:val="00971A57"/>
    <w:rsid w:val="00971E6C"/>
    <w:rsid w:val="009722F8"/>
    <w:rsid w:val="009729EF"/>
    <w:rsid w:val="00972D3C"/>
    <w:rsid w:val="009733F1"/>
    <w:rsid w:val="00973441"/>
    <w:rsid w:val="009739B5"/>
    <w:rsid w:val="00973BFD"/>
    <w:rsid w:val="0097487C"/>
    <w:rsid w:val="00974BB5"/>
    <w:rsid w:val="00974F7B"/>
    <w:rsid w:val="009755A5"/>
    <w:rsid w:val="0097595E"/>
    <w:rsid w:val="00975AF0"/>
    <w:rsid w:val="00975B65"/>
    <w:rsid w:val="00975E60"/>
    <w:rsid w:val="00975F9A"/>
    <w:rsid w:val="0097603F"/>
    <w:rsid w:val="00976B67"/>
    <w:rsid w:val="00976C1D"/>
    <w:rsid w:val="00976E3F"/>
    <w:rsid w:val="009772FE"/>
    <w:rsid w:val="009776A0"/>
    <w:rsid w:val="00977A75"/>
    <w:rsid w:val="00977CD0"/>
    <w:rsid w:val="00977CF9"/>
    <w:rsid w:val="009803A9"/>
    <w:rsid w:val="009803CB"/>
    <w:rsid w:val="009803D4"/>
    <w:rsid w:val="009804DE"/>
    <w:rsid w:val="009807A2"/>
    <w:rsid w:val="009807C9"/>
    <w:rsid w:val="00980FF0"/>
    <w:rsid w:val="00981139"/>
    <w:rsid w:val="00981170"/>
    <w:rsid w:val="0098199C"/>
    <w:rsid w:val="00981BB9"/>
    <w:rsid w:val="00981D0B"/>
    <w:rsid w:val="00981D39"/>
    <w:rsid w:val="009820EC"/>
    <w:rsid w:val="009829CB"/>
    <w:rsid w:val="00982BB3"/>
    <w:rsid w:val="00982ED1"/>
    <w:rsid w:val="00982F11"/>
    <w:rsid w:val="0098323D"/>
    <w:rsid w:val="0098342F"/>
    <w:rsid w:val="0098379B"/>
    <w:rsid w:val="00984191"/>
    <w:rsid w:val="0098425C"/>
    <w:rsid w:val="009849B2"/>
    <w:rsid w:val="00984A89"/>
    <w:rsid w:val="00984B2D"/>
    <w:rsid w:val="009851D8"/>
    <w:rsid w:val="00985485"/>
    <w:rsid w:val="00985660"/>
    <w:rsid w:val="00985B5D"/>
    <w:rsid w:val="00985CD5"/>
    <w:rsid w:val="00985F14"/>
    <w:rsid w:val="009860AA"/>
    <w:rsid w:val="00986204"/>
    <w:rsid w:val="009864CE"/>
    <w:rsid w:val="009866C0"/>
    <w:rsid w:val="009866C7"/>
    <w:rsid w:val="00986A04"/>
    <w:rsid w:val="00986A33"/>
    <w:rsid w:val="00986F6F"/>
    <w:rsid w:val="00987092"/>
    <w:rsid w:val="0098727A"/>
    <w:rsid w:val="009873F3"/>
    <w:rsid w:val="0098771B"/>
    <w:rsid w:val="0098774A"/>
    <w:rsid w:val="00987A58"/>
    <w:rsid w:val="00987CFB"/>
    <w:rsid w:val="009901D8"/>
    <w:rsid w:val="00990A9F"/>
    <w:rsid w:val="009910B3"/>
    <w:rsid w:val="0099113C"/>
    <w:rsid w:val="009912EE"/>
    <w:rsid w:val="009913BE"/>
    <w:rsid w:val="009917AD"/>
    <w:rsid w:val="00991B95"/>
    <w:rsid w:val="00991F36"/>
    <w:rsid w:val="00992071"/>
    <w:rsid w:val="0099217C"/>
    <w:rsid w:val="00992464"/>
    <w:rsid w:val="009926C4"/>
    <w:rsid w:val="00992718"/>
    <w:rsid w:val="00992FC1"/>
    <w:rsid w:val="00993261"/>
    <w:rsid w:val="00993742"/>
    <w:rsid w:val="00993BD8"/>
    <w:rsid w:val="00994231"/>
    <w:rsid w:val="00994C22"/>
    <w:rsid w:val="00994C9A"/>
    <w:rsid w:val="00994DE2"/>
    <w:rsid w:val="00995812"/>
    <w:rsid w:val="00995AD8"/>
    <w:rsid w:val="00995D92"/>
    <w:rsid w:val="00995DD6"/>
    <w:rsid w:val="00995E78"/>
    <w:rsid w:val="00995E98"/>
    <w:rsid w:val="00995F50"/>
    <w:rsid w:val="00996032"/>
    <w:rsid w:val="00996272"/>
    <w:rsid w:val="00996302"/>
    <w:rsid w:val="0099668A"/>
    <w:rsid w:val="00996B0B"/>
    <w:rsid w:val="00996D88"/>
    <w:rsid w:val="00996F0E"/>
    <w:rsid w:val="00996F15"/>
    <w:rsid w:val="00997BA8"/>
    <w:rsid w:val="00997C76"/>
    <w:rsid w:val="00997D45"/>
    <w:rsid w:val="00997FB8"/>
    <w:rsid w:val="009A01E4"/>
    <w:rsid w:val="009A0282"/>
    <w:rsid w:val="009A0330"/>
    <w:rsid w:val="009A0656"/>
    <w:rsid w:val="009A06F4"/>
    <w:rsid w:val="009A0763"/>
    <w:rsid w:val="009A0C02"/>
    <w:rsid w:val="009A0DD4"/>
    <w:rsid w:val="009A1002"/>
    <w:rsid w:val="009A13A1"/>
    <w:rsid w:val="009A19FD"/>
    <w:rsid w:val="009A1AC9"/>
    <w:rsid w:val="009A1B7D"/>
    <w:rsid w:val="009A1D78"/>
    <w:rsid w:val="009A2A07"/>
    <w:rsid w:val="009A306D"/>
    <w:rsid w:val="009A32E1"/>
    <w:rsid w:val="009A3771"/>
    <w:rsid w:val="009A3778"/>
    <w:rsid w:val="009A37DE"/>
    <w:rsid w:val="009A38EB"/>
    <w:rsid w:val="009A3953"/>
    <w:rsid w:val="009A3DC2"/>
    <w:rsid w:val="009A3E05"/>
    <w:rsid w:val="009A3E2E"/>
    <w:rsid w:val="009A3E6E"/>
    <w:rsid w:val="009A4044"/>
    <w:rsid w:val="009A40E2"/>
    <w:rsid w:val="009A41A3"/>
    <w:rsid w:val="009A4A58"/>
    <w:rsid w:val="009A4CBB"/>
    <w:rsid w:val="009A4D0B"/>
    <w:rsid w:val="009A4E22"/>
    <w:rsid w:val="009A5039"/>
    <w:rsid w:val="009A51BC"/>
    <w:rsid w:val="009A57B8"/>
    <w:rsid w:val="009A591B"/>
    <w:rsid w:val="009A59CC"/>
    <w:rsid w:val="009A5B71"/>
    <w:rsid w:val="009A65EC"/>
    <w:rsid w:val="009A6A52"/>
    <w:rsid w:val="009A6CA1"/>
    <w:rsid w:val="009A6D72"/>
    <w:rsid w:val="009A6DF0"/>
    <w:rsid w:val="009A6FC5"/>
    <w:rsid w:val="009A74F0"/>
    <w:rsid w:val="009A77B8"/>
    <w:rsid w:val="009A786E"/>
    <w:rsid w:val="009A7B07"/>
    <w:rsid w:val="009A7F34"/>
    <w:rsid w:val="009B03E7"/>
    <w:rsid w:val="009B048E"/>
    <w:rsid w:val="009B0E0A"/>
    <w:rsid w:val="009B11DC"/>
    <w:rsid w:val="009B124A"/>
    <w:rsid w:val="009B136C"/>
    <w:rsid w:val="009B13C5"/>
    <w:rsid w:val="009B1644"/>
    <w:rsid w:val="009B1B43"/>
    <w:rsid w:val="009B1E95"/>
    <w:rsid w:val="009B1F5D"/>
    <w:rsid w:val="009B2245"/>
    <w:rsid w:val="009B258E"/>
    <w:rsid w:val="009B2C5B"/>
    <w:rsid w:val="009B2CBE"/>
    <w:rsid w:val="009B3324"/>
    <w:rsid w:val="009B35BC"/>
    <w:rsid w:val="009B3813"/>
    <w:rsid w:val="009B423E"/>
    <w:rsid w:val="009B47B2"/>
    <w:rsid w:val="009B4844"/>
    <w:rsid w:val="009B48BD"/>
    <w:rsid w:val="009B4A49"/>
    <w:rsid w:val="009B4CD1"/>
    <w:rsid w:val="009B53CF"/>
    <w:rsid w:val="009B5997"/>
    <w:rsid w:val="009B6474"/>
    <w:rsid w:val="009B671E"/>
    <w:rsid w:val="009B6B23"/>
    <w:rsid w:val="009B6D8D"/>
    <w:rsid w:val="009B6F3A"/>
    <w:rsid w:val="009B716A"/>
    <w:rsid w:val="009B717D"/>
    <w:rsid w:val="009B721D"/>
    <w:rsid w:val="009B72C3"/>
    <w:rsid w:val="009B73AC"/>
    <w:rsid w:val="009B7ABD"/>
    <w:rsid w:val="009B7B87"/>
    <w:rsid w:val="009B7C48"/>
    <w:rsid w:val="009B7EFD"/>
    <w:rsid w:val="009B7F37"/>
    <w:rsid w:val="009C03A7"/>
    <w:rsid w:val="009C057E"/>
    <w:rsid w:val="009C07E9"/>
    <w:rsid w:val="009C0A41"/>
    <w:rsid w:val="009C0BE2"/>
    <w:rsid w:val="009C0D57"/>
    <w:rsid w:val="009C1093"/>
    <w:rsid w:val="009C13E4"/>
    <w:rsid w:val="009C1402"/>
    <w:rsid w:val="009C171D"/>
    <w:rsid w:val="009C189C"/>
    <w:rsid w:val="009C1A05"/>
    <w:rsid w:val="009C1D27"/>
    <w:rsid w:val="009C20AD"/>
    <w:rsid w:val="009C2188"/>
    <w:rsid w:val="009C2210"/>
    <w:rsid w:val="009C334A"/>
    <w:rsid w:val="009C39AA"/>
    <w:rsid w:val="009C3A0F"/>
    <w:rsid w:val="009C3BD9"/>
    <w:rsid w:val="009C3C8C"/>
    <w:rsid w:val="009C3DFD"/>
    <w:rsid w:val="009C3F2E"/>
    <w:rsid w:val="009C4079"/>
    <w:rsid w:val="009C42A9"/>
    <w:rsid w:val="009C42D4"/>
    <w:rsid w:val="009C4419"/>
    <w:rsid w:val="009C4A5D"/>
    <w:rsid w:val="009C4D59"/>
    <w:rsid w:val="009C4F7C"/>
    <w:rsid w:val="009C5376"/>
    <w:rsid w:val="009C53BD"/>
    <w:rsid w:val="009C5688"/>
    <w:rsid w:val="009C5704"/>
    <w:rsid w:val="009C5790"/>
    <w:rsid w:val="009C5A10"/>
    <w:rsid w:val="009C5AD4"/>
    <w:rsid w:val="009C5B82"/>
    <w:rsid w:val="009C5EF2"/>
    <w:rsid w:val="009C5F27"/>
    <w:rsid w:val="009C5F5C"/>
    <w:rsid w:val="009C5FEE"/>
    <w:rsid w:val="009C65EC"/>
    <w:rsid w:val="009C688D"/>
    <w:rsid w:val="009C6957"/>
    <w:rsid w:val="009C6ECF"/>
    <w:rsid w:val="009C6FBE"/>
    <w:rsid w:val="009C717A"/>
    <w:rsid w:val="009C756E"/>
    <w:rsid w:val="009C7670"/>
    <w:rsid w:val="009C7D2E"/>
    <w:rsid w:val="009C7DC0"/>
    <w:rsid w:val="009C7F42"/>
    <w:rsid w:val="009D01C5"/>
    <w:rsid w:val="009D0381"/>
    <w:rsid w:val="009D0670"/>
    <w:rsid w:val="009D1036"/>
    <w:rsid w:val="009D145B"/>
    <w:rsid w:val="009D1485"/>
    <w:rsid w:val="009D14F1"/>
    <w:rsid w:val="009D1627"/>
    <w:rsid w:val="009D16B4"/>
    <w:rsid w:val="009D1A97"/>
    <w:rsid w:val="009D1B31"/>
    <w:rsid w:val="009D1D73"/>
    <w:rsid w:val="009D1E85"/>
    <w:rsid w:val="009D1E94"/>
    <w:rsid w:val="009D21BE"/>
    <w:rsid w:val="009D29C8"/>
    <w:rsid w:val="009D29D5"/>
    <w:rsid w:val="009D2DE2"/>
    <w:rsid w:val="009D2FAA"/>
    <w:rsid w:val="009D2FD9"/>
    <w:rsid w:val="009D3117"/>
    <w:rsid w:val="009D32F8"/>
    <w:rsid w:val="009D33F1"/>
    <w:rsid w:val="009D35B2"/>
    <w:rsid w:val="009D3603"/>
    <w:rsid w:val="009D3854"/>
    <w:rsid w:val="009D3C3D"/>
    <w:rsid w:val="009D3C8A"/>
    <w:rsid w:val="009D3D20"/>
    <w:rsid w:val="009D3F0B"/>
    <w:rsid w:val="009D4302"/>
    <w:rsid w:val="009D435A"/>
    <w:rsid w:val="009D49A3"/>
    <w:rsid w:val="009D5243"/>
    <w:rsid w:val="009D5288"/>
    <w:rsid w:val="009D58A0"/>
    <w:rsid w:val="009D59CD"/>
    <w:rsid w:val="009D6C22"/>
    <w:rsid w:val="009D7520"/>
    <w:rsid w:val="009D78EA"/>
    <w:rsid w:val="009D7ECE"/>
    <w:rsid w:val="009E002B"/>
    <w:rsid w:val="009E065D"/>
    <w:rsid w:val="009E083E"/>
    <w:rsid w:val="009E08C3"/>
    <w:rsid w:val="009E0EB1"/>
    <w:rsid w:val="009E0F45"/>
    <w:rsid w:val="009E0F9D"/>
    <w:rsid w:val="009E111D"/>
    <w:rsid w:val="009E12CC"/>
    <w:rsid w:val="009E1359"/>
    <w:rsid w:val="009E14DC"/>
    <w:rsid w:val="009E15C1"/>
    <w:rsid w:val="009E1754"/>
    <w:rsid w:val="009E1CE2"/>
    <w:rsid w:val="009E2003"/>
    <w:rsid w:val="009E223B"/>
    <w:rsid w:val="009E22A3"/>
    <w:rsid w:val="009E2489"/>
    <w:rsid w:val="009E2526"/>
    <w:rsid w:val="009E255D"/>
    <w:rsid w:val="009E2AD3"/>
    <w:rsid w:val="009E2DAE"/>
    <w:rsid w:val="009E2FEE"/>
    <w:rsid w:val="009E347C"/>
    <w:rsid w:val="009E36AE"/>
    <w:rsid w:val="009E3FFD"/>
    <w:rsid w:val="009E4113"/>
    <w:rsid w:val="009E439E"/>
    <w:rsid w:val="009E4625"/>
    <w:rsid w:val="009E465C"/>
    <w:rsid w:val="009E47E5"/>
    <w:rsid w:val="009E48E2"/>
    <w:rsid w:val="009E4F1D"/>
    <w:rsid w:val="009E51EA"/>
    <w:rsid w:val="009E52C7"/>
    <w:rsid w:val="009E53B0"/>
    <w:rsid w:val="009E557D"/>
    <w:rsid w:val="009E5A4E"/>
    <w:rsid w:val="009E5F4A"/>
    <w:rsid w:val="009E6091"/>
    <w:rsid w:val="009E66C2"/>
    <w:rsid w:val="009E6715"/>
    <w:rsid w:val="009E6BCA"/>
    <w:rsid w:val="009E6BD7"/>
    <w:rsid w:val="009E6CF8"/>
    <w:rsid w:val="009E6F90"/>
    <w:rsid w:val="009E70AB"/>
    <w:rsid w:val="009E7568"/>
    <w:rsid w:val="009E75A0"/>
    <w:rsid w:val="009E7707"/>
    <w:rsid w:val="009E79D8"/>
    <w:rsid w:val="009E7CC1"/>
    <w:rsid w:val="009F020B"/>
    <w:rsid w:val="009F057E"/>
    <w:rsid w:val="009F0842"/>
    <w:rsid w:val="009F0C3B"/>
    <w:rsid w:val="009F116B"/>
    <w:rsid w:val="009F146F"/>
    <w:rsid w:val="009F149B"/>
    <w:rsid w:val="009F175F"/>
    <w:rsid w:val="009F17C8"/>
    <w:rsid w:val="009F1802"/>
    <w:rsid w:val="009F2922"/>
    <w:rsid w:val="009F2D5A"/>
    <w:rsid w:val="009F318C"/>
    <w:rsid w:val="009F3277"/>
    <w:rsid w:val="009F32C2"/>
    <w:rsid w:val="009F3464"/>
    <w:rsid w:val="009F35AD"/>
    <w:rsid w:val="009F3686"/>
    <w:rsid w:val="009F3C75"/>
    <w:rsid w:val="009F4566"/>
    <w:rsid w:val="009F4650"/>
    <w:rsid w:val="009F4874"/>
    <w:rsid w:val="009F48A3"/>
    <w:rsid w:val="009F49A0"/>
    <w:rsid w:val="009F4F5B"/>
    <w:rsid w:val="009F50B2"/>
    <w:rsid w:val="009F5323"/>
    <w:rsid w:val="009F5841"/>
    <w:rsid w:val="009F5B4E"/>
    <w:rsid w:val="009F5F74"/>
    <w:rsid w:val="009F5FBA"/>
    <w:rsid w:val="009F60E8"/>
    <w:rsid w:val="009F625F"/>
    <w:rsid w:val="009F6378"/>
    <w:rsid w:val="009F66CE"/>
    <w:rsid w:val="009F6831"/>
    <w:rsid w:val="009F6916"/>
    <w:rsid w:val="009F692A"/>
    <w:rsid w:val="009F69FF"/>
    <w:rsid w:val="009F6B7D"/>
    <w:rsid w:val="009F6F04"/>
    <w:rsid w:val="009F724D"/>
    <w:rsid w:val="009F77AD"/>
    <w:rsid w:val="009F7C38"/>
    <w:rsid w:val="00A00146"/>
    <w:rsid w:val="00A001F3"/>
    <w:rsid w:val="00A0037E"/>
    <w:rsid w:val="00A0124D"/>
    <w:rsid w:val="00A01303"/>
    <w:rsid w:val="00A01467"/>
    <w:rsid w:val="00A01484"/>
    <w:rsid w:val="00A015F2"/>
    <w:rsid w:val="00A0177F"/>
    <w:rsid w:val="00A01F7C"/>
    <w:rsid w:val="00A020C6"/>
    <w:rsid w:val="00A024D2"/>
    <w:rsid w:val="00A02767"/>
    <w:rsid w:val="00A02916"/>
    <w:rsid w:val="00A029B7"/>
    <w:rsid w:val="00A02C4F"/>
    <w:rsid w:val="00A03126"/>
    <w:rsid w:val="00A0338C"/>
    <w:rsid w:val="00A033F9"/>
    <w:rsid w:val="00A0354B"/>
    <w:rsid w:val="00A037C3"/>
    <w:rsid w:val="00A041D7"/>
    <w:rsid w:val="00A042D2"/>
    <w:rsid w:val="00A04A09"/>
    <w:rsid w:val="00A051F6"/>
    <w:rsid w:val="00A053E3"/>
    <w:rsid w:val="00A05818"/>
    <w:rsid w:val="00A05821"/>
    <w:rsid w:val="00A05B31"/>
    <w:rsid w:val="00A05CE6"/>
    <w:rsid w:val="00A05D1D"/>
    <w:rsid w:val="00A05EA2"/>
    <w:rsid w:val="00A06166"/>
    <w:rsid w:val="00A06C5D"/>
    <w:rsid w:val="00A076CC"/>
    <w:rsid w:val="00A07752"/>
    <w:rsid w:val="00A07914"/>
    <w:rsid w:val="00A07933"/>
    <w:rsid w:val="00A079A0"/>
    <w:rsid w:val="00A07BCA"/>
    <w:rsid w:val="00A10149"/>
    <w:rsid w:val="00A104AE"/>
    <w:rsid w:val="00A109D1"/>
    <w:rsid w:val="00A1109B"/>
    <w:rsid w:val="00A1165C"/>
    <w:rsid w:val="00A1197D"/>
    <w:rsid w:val="00A11E47"/>
    <w:rsid w:val="00A125D6"/>
    <w:rsid w:val="00A1266B"/>
    <w:rsid w:val="00A1295F"/>
    <w:rsid w:val="00A129CB"/>
    <w:rsid w:val="00A12E20"/>
    <w:rsid w:val="00A12EBD"/>
    <w:rsid w:val="00A12ED2"/>
    <w:rsid w:val="00A133CC"/>
    <w:rsid w:val="00A13F83"/>
    <w:rsid w:val="00A1413A"/>
    <w:rsid w:val="00A1443B"/>
    <w:rsid w:val="00A14465"/>
    <w:rsid w:val="00A14802"/>
    <w:rsid w:val="00A14E53"/>
    <w:rsid w:val="00A15043"/>
    <w:rsid w:val="00A154C9"/>
    <w:rsid w:val="00A15580"/>
    <w:rsid w:val="00A1579B"/>
    <w:rsid w:val="00A1598C"/>
    <w:rsid w:val="00A15C0D"/>
    <w:rsid w:val="00A160CA"/>
    <w:rsid w:val="00A16114"/>
    <w:rsid w:val="00A16178"/>
    <w:rsid w:val="00A161DE"/>
    <w:rsid w:val="00A1620E"/>
    <w:rsid w:val="00A16449"/>
    <w:rsid w:val="00A16480"/>
    <w:rsid w:val="00A164E2"/>
    <w:rsid w:val="00A168D0"/>
    <w:rsid w:val="00A16FC0"/>
    <w:rsid w:val="00A172CD"/>
    <w:rsid w:val="00A1775F"/>
    <w:rsid w:val="00A17966"/>
    <w:rsid w:val="00A17B49"/>
    <w:rsid w:val="00A200AB"/>
    <w:rsid w:val="00A20138"/>
    <w:rsid w:val="00A2016D"/>
    <w:rsid w:val="00A2018B"/>
    <w:rsid w:val="00A204B3"/>
    <w:rsid w:val="00A204C2"/>
    <w:rsid w:val="00A20594"/>
    <w:rsid w:val="00A20675"/>
    <w:rsid w:val="00A20B17"/>
    <w:rsid w:val="00A20C09"/>
    <w:rsid w:val="00A20D53"/>
    <w:rsid w:val="00A213E2"/>
    <w:rsid w:val="00A21C10"/>
    <w:rsid w:val="00A21D31"/>
    <w:rsid w:val="00A2255F"/>
    <w:rsid w:val="00A229A0"/>
    <w:rsid w:val="00A22C77"/>
    <w:rsid w:val="00A22EFC"/>
    <w:rsid w:val="00A22F10"/>
    <w:rsid w:val="00A238F1"/>
    <w:rsid w:val="00A239E7"/>
    <w:rsid w:val="00A23FA6"/>
    <w:rsid w:val="00A24170"/>
    <w:rsid w:val="00A241B1"/>
    <w:rsid w:val="00A243A8"/>
    <w:rsid w:val="00A246F9"/>
    <w:rsid w:val="00A24751"/>
    <w:rsid w:val="00A2483E"/>
    <w:rsid w:val="00A24911"/>
    <w:rsid w:val="00A24C5B"/>
    <w:rsid w:val="00A24CB7"/>
    <w:rsid w:val="00A24D9E"/>
    <w:rsid w:val="00A24EE5"/>
    <w:rsid w:val="00A2508B"/>
    <w:rsid w:val="00A25426"/>
    <w:rsid w:val="00A260A3"/>
    <w:rsid w:val="00A260D7"/>
    <w:rsid w:val="00A261F3"/>
    <w:rsid w:val="00A26389"/>
    <w:rsid w:val="00A2649D"/>
    <w:rsid w:val="00A265F7"/>
    <w:rsid w:val="00A26628"/>
    <w:rsid w:val="00A26D52"/>
    <w:rsid w:val="00A26E75"/>
    <w:rsid w:val="00A2703A"/>
    <w:rsid w:val="00A271FA"/>
    <w:rsid w:val="00A2720B"/>
    <w:rsid w:val="00A2723A"/>
    <w:rsid w:val="00A27330"/>
    <w:rsid w:val="00A30394"/>
    <w:rsid w:val="00A303B8"/>
    <w:rsid w:val="00A303C7"/>
    <w:rsid w:val="00A30509"/>
    <w:rsid w:val="00A30518"/>
    <w:rsid w:val="00A30591"/>
    <w:rsid w:val="00A30EEF"/>
    <w:rsid w:val="00A314BF"/>
    <w:rsid w:val="00A31505"/>
    <w:rsid w:val="00A316AA"/>
    <w:rsid w:val="00A31BF3"/>
    <w:rsid w:val="00A32629"/>
    <w:rsid w:val="00A3299E"/>
    <w:rsid w:val="00A32B06"/>
    <w:rsid w:val="00A32B43"/>
    <w:rsid w:val="00A32BED"/>
    <w:rsid w:val="00A32EA4"/>
    <w:rsid w:val="00A330B0"/>
    <w:rsid w:val="00A330CF"/>
    <w:rsid w:val="00A3316F"/>
    <w:rsid w:val="00A3317B"/>
    <w:rsid w:val="00A3336B"/>
    <w:rsid w:val="00A339B0"/>
    <w:rsid w:val="00A33BDB"/>
    <w:rsid w:val="00A33EDE"/>
    <w:rsid w:val="00A33F27"/>
    <w:rsid w:val="00A33F76"/>
    <w:rsid w:val="00A34559"/>
    <w:rsid w:val="00A3458F"/>
    <w:rsid w:val="00A34682"/>
    <w:rsid w:val="00A34735"/>
    <w:rsid w:val="00A348F6"/>
    <w:rsid w:val="00A34AE8"/>
    <w:rsid w:val="00A3505F"/>
    <w:rsid w:val="00A35841"/>
    <w:rsid w:val="00A35DD3"/>
    <w:rsid w:val="00A35E67"/>
    <w:rsid w:val="00A3608B"/>
    <w:rsid w:val="00A361C3"/>
    <w:rsid w:val="00A36581"/>
    <w:rsid w:val="00A367B2"/>
    <w:rsid w:val="00A36C96"/>
    <w:rsid w:val="00A36EFB"/>
    <w:rsid w:val="00A36F0E"/>
    <w:rsid w:val="00A3722E"/>
    <w:rsid w:val="00A378A7"/>
    <w:rsid w:val="00A37A8E"/>
    <w:rsid w:val="00A40085"/>
    <w:rsid w:val="00A4012E"/>
    <w:rsid w:val="00A402DD"/>
    <w:rsid w:val="00A404C9"/>
    <w:rsid w:val="00A406E3"/>
    <w:rsid w:val="00A40721"/>
    <w:rsid w:val="00A40A16"/>
    <w:rsid w:val="00A411FA"/>
    <w:rsid w:val="00A412E0"/>
    <w:rsid w:val="00A415CC"/>
    <w:rsid w:val="00A41702"/>
    <w:rsid w:val="00A41AC1"/>
    <w:rsid w:val="00A41C51"/>
    <w:rsid w:val="00A41F10"/>
    <w:rsid w:val="00A42045"/>
    <w:rsid w:val="00A42256"/>
    <w:rsid w:val="00A42359"/>
    <w:rsid w:val="00A423A4"/>
    <w:rsid w:val="00A42606"/>
    <w:rsid w:val="00A427DF"/>
    <w:rsid w:val="00A42BEB"/>
    <w:rsid w:val="00A42E28"/>
    <w:rsid w:val="00A42F1D"/>
    <w:rsid w:val="00A43487"/>
    <w:rsid w:val="00A434D0"/>
    <w:rsid w:val="00A43FFC"/>
    <w:rsid w:val="00A44D0E"/>
    <w:rsid w:val="00A44E2F"/>
    <w:rsid w:val="00A44EC1"/>
    <w:rsid w:val="00A4510E"/>
    <w:rsid w:val="00A454B3"/>
    <w:rsid w:val="00A4566A"/>
    <w:rsid w:val="00A45B3F"/>
    <w:rsid w:val="00A45D00"/>
    <w:rsid w:val="00A45D39"/>
    <w:rsid w:val="00A45E52"/>
    <w:rsid w:val="00A46652"/>
    <w:rsid w:val="00A46D15"/>
    <w:rsid w:val="00A46DDB"/>
    <w:rsid w:val="00A46FDD"/>
    <w:rsid w:val="00A4713D"/>
    <w:rsid w:val="00A47368"/>
    <w:rsid w:val="00A505BE"/>
    <w:rsid w:val="00A506A0"/>
    <w:rsid w:val="00A50815"/>
    <w:rsid w:val="00A50A8A"/>
    <w:rsid w:val="00A50AD8"/>
    <w:rsid w:val="00A524B9"/>
    <w:rsid w:val="00A5257A"/>
    <w:rsid w:val="00A528CE"/>
    <w:rsid w:val="00A5295E"/>
    <w:rsid w:val="00A52CE8"/>
    <w:rsid w:val="00A52E57"/>
    <w:rsid w:val="00A52EC7"/>
    <w:rsid w:val="00A52F40"/>
    <w:rsid w:val="00A53090"/>
    <w:rsid w:val="00A5323B"/>
    <w:rsid w:val="00A53AC2"/>
    <w:rsid w:val="00A53CEB"/>
    <w:rsid w:val="00A54552"/>
    <w:rsid w:val="00A54DEC"/>
    <w:rsid w:val="00A54FB4"/>
    <w:rsid w:val="00A54FCE"/>
    <w:rsid w:val="00A5516A"/>
    <w:rsid w:val="00A552A4"/>
    <w:rsid w:val="00A55565"/>
    <w:rsid w:val="00A555C8"/>
    <w:rsid w:val="00A559D6"/>
    <w:rsid w:val="00A55A23"/>
    <w:rsid w:val="00A55A6B"/>
    <w:rsid w:val="00A55AF9"/>
    <w:rsid w:val="00A55C75"/>
    <w:rsid w:val="00A56475"/>
    <w:rsid w:val="00A56532"/>
    <w:rsid w:val="00A56580"/>
    <w:rsid w:val="00A56DE0"/>
    <w:rsid w:val="00A5705B"/>
    <w:rsid w:val="00A571B9"/>
    <w:rsid w:val="00A5725E"/>
    <w:rsid w:val="00A5740F"/>
    <w:rsid w:val="00A57431"/>
    <w:rsid w:val="00A57673"/>
    <w:rsid w:val="00A579BA"/>
    <w:rsid w:val="00A6018A"/>
    <w:rsid w:val="00A60272"/>
    <w:rsid w:val="00A60299"/>
    <w:rsid w:val="00A6035E"/>
    <w:rsid w:val="00A60AC1"/>
    <w:rsid w:val="00A60C1B"/>
    <w:rsid w:val="00A60CDB"/>
    <w:rsid w:val="00A60D62"/>
    <w:rsid w:val="00A60FAA"/>
    <w:rsid w:val="00A61363"/>
    <w:rsid w:val="00A61C29"/>
    <w:rsid w:val="00A620DB"/>
    <w:rsid w:val="00A622B3"/>
    <w:rsid w:val="00A62826"/>
    <w:rsid w:val="00A629A7"/>
    <w:rsid w:val="00A62A28"/>
    <w:rsid w:val="00A6304B"/>
    <w:rsid w:val="00A6387F"/>
    <w:rsid w:val="00A63AC0"/>
    <w:rsid w:val="00A63C07"/>
    <w:rsid w:val="00A63C18"/>
    <w:rsid w:val="00A63C3A"/>
    <w:rsid w:val="00A63EF7"/>
    <w:rsid w:val="00A644E2"/>
    <w:rsid w:val="00A6473C"/>
    <w:rsid w:val="00A64C0A"/>
    <w:rsid w:val="00A650D9"/>
    <w:rsid w:val="00A65C06"/>
    <w:rsid w:val="00A65D20"/>
    <w:rsid w:val="00A65DC7"/>
    <w:rsid w:val="00A662DC"/>
    <w:rsid w:val="00A664B8"/>
    <w:rsid w:val="00A665D0"/>
    <w:rsid w:val="00A66600"/>
    <w:rsid w:val="00A669F3"/>
    <w:rsid w:val="00A66CA4"/>
    <w:rsid w:val="00A6709F"/>
    <w:rsid w:val="00A67194"/>
    <w:rsid w:val="00A671FB"/>
    <w:rsid w:val="00A672E3"/>
    <w:rsid w:val="00A67321"/>
    <w:rsid w:val="00A6741B"/>
    <w:rsid w:val="00A67DAF"/>
    <w:rsid w:val="00A70398"/>
    <w:rsid w:val="00A706BD"/>
    <w:rsid w:val="00A70C38"/>
    <w:rsid w:val="00A70D16"/>
    <w:rsid w:val="00A7114B"/>
    <w:rsid w:val="00A711EB"/>
    <w:rsid w:val="00A712ED"/>
    <w:rsid w:val="00A71A83"/>
    <w:rsid w:val="00A71B3F"/>
    <w:rsid w:val="00A71D01"/>
    <w:rsid w:val="00A72119"/>
    <w:rsid w:val="00A72139"/>
    <w:rsid w:val="00A72437"/>
    <w:rsid w:val="00A72AC5"/>
    <w:rsid w:val="00A72CFC"/>
    <w:rsid w:val="00A72E4C"/>
    <w:rsid w:val="00A732FA"/>
    <w:rsid w:val="00A738DB"/>
    <w:rsid w:val="00A73937"/>
    <w:rsid w:val="00A73EFE"/>
    <w:rsid w:val="00A74003"/>
    <w:rsid w:val="00A74226"/>
    <w:rsid w:val="00A746CE"/>
    <w:rsid w:val="00A749EB"/>
    <w:rsid w:val="00A74C3E"/>
    <w:rsid w:val="00A757B0"/>
    <w:rsid w:val="00A75C8F"/>
    <w:rsid w:val="00A75C94"/>
    <w:rsid w:val="00A75CCD"/>
    <w:rsid w:val="00A76586"/>
    <w:rsid w:val="00A7661B"/>
    <w:rsid w:val="00A76671"/>
    <w:rsid w:val="00A76A10"/>
    <w:rsid w:val="00A76A84"/>
    <w:rsid w:val="00A76CD1"/>
    <w:rsid w:val="00A76D0E"/>
    <w:rsid w:val="00A77247"/>
    <w:rsid w:val="00A77679"/>
    <w:rsid w:val="00A776A4"/>
    <w:rsid w:val="00A77788"/>
    <w:rsid w:val="00A7790B"/>
    <w:rsid w:val="00A803BA"/>
    <w:rsid w:val="00A8049D"/>
    <w:rsid w:val="00A808DC"/>
    <w:rsid w:val="00A80C0F"/>
    <w:rsid w:val="00A80FF8"/>
    <w:rsid w:val="00A81003"/>
    <w:rsid w:val="00A814FC"/>
    <w:rsid w:val="00A81559"/>
    <w:rsid w:val="00A81AC7"/>
    <w:rsid w:val="00A81B40"/>
    <w:rsid w:val="00A822C2"/>
    <w:rsid w:val="00A8247E"/>
    <w:rsid w:val="00A824EA"/>
    <w:rsid w:val="00A8274D"/>
    <w:rsid w:val="00A8277F"/>
    <w:rsid w:val="00A82990"/>
    <w:rsid w:val="00A82A1C"/>
    <w:rsid w:val="00A82AC8"/>
    <w:rsid w:val="00A83529"/>
    <w:rsid w:val="00A83680"/>
    <w:rsid w:val="00A83B4F"/>
    <w:rsid w:val="00A844FB"/>
    <w:rsid w:val="00A845AB"/>
    <w:rsid w:val="00A84683"/>
    <w:rsid w:val="00A84958"/>
    <w:rsid w:val="00A85160"/>
    <w:rsid w:val="00A8528F"/>
    <w:rsid w:val="00A855BC"/>
    <w:rsid w:val="00A855E9"/>
    <w:rsid w:val="00A855F6"/>
    <w:rsid w:val="00A85775"/>
    <w:rsid w:val="00A859EA"/>
    <w:rsid w:val="00A85D98"/>
    <w:rsid w:val="00A85EF9"/>
    <w:rsid w:val="00A862C0"/>
    <w:rsid w:val="00A8658D"/>
    <w:rsid w:val="00A868CC"/>
    <w:rsid w:val="00A86974"/>
    <w:rsid w:val="00A86AF8"/>
    <w:rsid w:val="00A86CA9"/>
    <w:rsid w:val="00A86CF0"/>
    <w:rsid w:val="00A87213"/>
    <w:rsid w:val="00A878C4"/>
    <w:rsid w:val="00A87A4B"/>
    <w:rsid w:val="00A87F56"/>
    <w:rsid w:val="00A901B8"/>
    <w:rsid w:val="00A90401"/>
    <w:rsid w:val="00A90CDC"/>
    <w:rsid w:val="00A910CC"/>
    <w:rsid w:val="00A911CD"/>
    <w:rsid w:val="00A91A23"/>
    <w:rsid w:val="00A91A9C"/>
    <w:rsid w:val="00A91B39"/>
    <w:rsid w:val="00A91C58"/>
    <w:rsid w:val="00A92154"/>
    <w:rsid w:val="00A921E3"/>
    <w:rsid w:val="00A92D9E"/>
    <w:rsid w:val="00A9307A"/>
    <w:rsid w:val="00A93B98"/>
    <w:rsid w:val="00A93BD7"/>
    <w:rsid w:val="00A93F1A"/>
    <w:rsid w:val="00A941CD"/>
    <w:rsid w:val="00A949D2"/>
    <w:rsid w:val="00A94D20"/>
    <w:rsid w:val="00A94F17"/>
    <w:rsid w:val="00A950BA"/>
    <w:rsid w:val="00A951DB"/>
    <w:rsid w:val="00A954A0"/>
    <w:rsid w:val="00A956A2"/>
    <w:rsid w:val="00A95A57"/>
    <w:rsid w:val="00A95CBC"/>
    <w:rsid w:val="00A9667A"/>
    <w:rsid w:val="00A96729"/>
    <w:rsid w:val="00A974C9"/>
    <w:rsid w:val="00A974FC"/>
    <w:rsid w:val="00A9752B"/>
    <w:rsid w:val="00A97F08"/>
    <w:rsid w:val="00A97F36"/>
    <w:rsid w:val="00AA087D"/>
    <w:rsid w:val="00AA0B18"/>
    <w:rsid w:val="00AA0F31"/>
    <w:rsid w:val="00AA141F"/>
    <w:rsid w:val="00AA1432"/>
    <w:rsid w:val="00AA194C"/>
    <w:rsid w:val="00AA199A"/>
    <w:rsid w:val="00AA19BF"/>
    <w:rsid w:val="00AA1FF3"/>
    <w:rsid w:val="00AA222D"/>
    <w:rsid w:val="00AA2461"/>
    <w:rsid w:val="00AA2865"/>
    <w:rsid w:val="00AA2C03"/>
    <w:rsid w:val="00AA317E"/>
    <w:rsid w:val="00AA33D0"/>
    <w:rsid w:val="00AA3484"/>
    <w:rsid w:val="00AA34A0"/>
    <w:rsid w:val="00AA3A9B"/>
    <w:rsid w:val="00AA3AE4"/>
    <w:rsid w:val="00AA3B57"/>
    <w:rsid w:val="00AA3BF1"/>
    <w:rsid w:val="00AA3C48"/>
    <w:rsid w:val="00AA3C61"/>
    <w:rsid w:val="00AA420D"/>
    <w:rsid w:val="00AA4AA6"/>
    <w:rsid w:val="00AA5410"/>
    <w:rsid w:val="00AA56CF"/>
    <w:rsid w:val="00AA57A1"/>
    <w:rsid w:val="00AA586B"/>
    <w:rsid w:val="00AA5984"/>
    <w:rsid w:val="00AA5EF0"/>
    <w:rsid w:val="00AA6317"/>
    <w:rsid w:val="00AA69EC"/>
    <w:rsid w:val="00AA6A09"/>
    <w:rsid w:val="00AA73CA"/>
    <w:rsid w:val="00AA77A5"/>
    <w:rsid w:val="00AA77C7"/>
    <w:rsid w:val="00AA7D74"/>
    <w:rsid w:val="00AA7F19"/>
    <w:rsid w:val="00AB06F6"/>
    <w:rsid w:val="00AB0A0A"/>
    <w:rsid w:val="00AB0C35"/>
    <w:rsid w:val="00AB0DC3"/>
    <w:rsid w:val="00AB0F27"/>
    <w:rsid w:val="00AB140B"/>
    <w:rsid w:val="00AB18DC"/>
    <w:rsid w:val="00AB19E1"/>
    <w:rsid w:val="00AB1AE9"/>
    <w:rsid w:val="00AB1FA4"/>
    <w:rsid w:val="00AB21C6"/>
    <w:rsid w:val="00AB23F1"/>
    <w:rsid w:val="00AB2554"/>
    <w:rsid w:val="00AB2599"/>
    <w:rsid w:val="00AB2841"/>
    <w:rsid w:val="00AB2D61"/>
    <w:rsid w:val="00AB2D88"/>
    <w:rsid w:val="00AB2E3B"/>
    <w:rsid w:val="00AB2F14"/>
    <w:rsid w:val="00AB32EC"/>
    <w:rsid w:val="00AB38E4"/>
    <w:rsid w:val="00AB3DAA"/>
    <w:rsid w:val="00AB4047"/>
    <w:rsid w:val="00AB4066"/>
    <w:rsid w:val="00AB4238"/>
    <w:rsid w:val="00AB49C1"/>
    <w:rsid w:val="00AB4AC8"/>
    <w:rsid w:val="00AB4E9B"/>
    <w:rsid w:val="00AB4EE2"/>
    <w:rsid w:val="00AB4FB3"/>
    <w:rsid w:val="00AB5425"/>
    <w:rsid w:val="00AB5881"/>
    <w:rsid w:val="00AB5F3B"/>
    <w:rsid w:val="00AB61BA"/>
    <w:rsid w:val="00AB623F"/>
    <w:rsid w:val="00AB6404"/>
    <w:rsid w:val="00AB661F"/>
    <w:rsid w:val="00AB6892"/>
    <w:rsid w:val="00AB7A29"/>
    <w:rsid w:val="00AB7B78"/>
    <w:rsid w:val="00AC0158"/>
    <w:rsid w:val="00AC01B1"/>
    <w:rsid w:val="00AC0C19"/>
    <w:rsid w:val="00AC0CA8"/>
    <w:rsid w:val="00AC0E2D"/>
    <w:rsid w:val="00AC0EF6"/>
    <w:rsid w:val="00AC0FB3"/>
    <w:rsid w:val="00AC11AA"/>
    <w:rsid w:val="00AC1280"/>
    <w:rsid w:val="00AC1350"/>
    <w:rsid w:val="00AC1410"/>
    <w:rsid w:val="00AC1A15"/>
    <w:rsid w:val="00AC1E19"/>
    <w:rsid w:val="00AC2145"/>
    <w:rsid w:val="00AC2494"/>
    <w:rsid w:val="00AC2524"/>
    <w:rsid w:val="00AC2669"/>
    <w:rsid w:val="00AC2748"/>
    <w:rsid w:val="00AC2764"/>
    <w:rsid w:val="00AC27F5"/>
    <w:rsid w:val="00AC2B97"/>
    <w:rsid w:val="00AC2B9D"/>
    <w:rsid w:val="00AC2EBA"/>
    <w:rsid w:val="00AC3194"/>
    <w:rsid w:val="00AC319A"/>
    <w:rsid w:val="00AC3647"/>
    <w:rsid w:val="00AC3B97"/>
    <w:rsid w:val="00AC3BA1"/>
    <w:rsid w:val="00AC4343"/>
    <w:rsid w:val="00AC4613"/>
    <w:rsid w:val="00AC4DE7"/>
    <w:rsid w:val="00AC4F92"/>
    <w:rsid w:val="00AC503C"/>
    <w:rsid w:val="00AC5155"/>
    <w:rsid w:val="00AC518B"/>
    <w:rsid w:val="00AC54A7"/>
    <w:rsid w:val="00AC5674"/>
    <w:rsid w:val="00AC588C"/>
    <w:rsid w:val="00AC5D8C"/>
    <w:rsid w:val="00AC5DD6"/>
    <w:rsid w:val="00AC5EA7"/>
    <w:rsid w:val="00AC5F8F"/>
    <w:rsid w:val="00AC60E9"/>
    <w:rsid w:val="00AC64E8"/>
    <w:rsid w:val="00AC652D"/>
    <w:rsid w:val="00AC6754"/>
    <w:rsid w:val="00AC6AD7"/>
    <w:rsid w:val="00AC6BF4"/>
    <w:rsid w:val="00AC6BFC"/>
    <w:rsid w:val="00AC6D07"/>
    <w:rsid w:val="00AC6EFC"/>
    <w:rsid w:val="00AC6F08"/>
    <w:rsid w:val="00AC6F7D"/>
    <w:rsid w:val="00AC712C"/>
    <w:rsid w:val="00AC720A"/>
    <w:rsid w:val="00AC754B"/>
    <w:rsid w:val="00AC7768"/>
    <w:rsid w:val="00AC7799"/>
    <w:rsid w:val="00AC784F"/>
    <w:rsid w:val="00AC7945"/>
    <w:rsid w:val="00AC7A21"/>
    <w:rsid w:val="00AC7A79"/>
    <w:rsid w:val="00AC7B0A"/>
    <w:rsid w:val="00AC7F34"/>
    <w:rsid w:val="00AC7F9C"/>
    <w:rsid w:val="00AD0006"/>
    <w:rsid w:val="00AD09BB"/>
    <w:rsid w:val="00AD0B87"/>
    <w:rsid w:val="00AD0BA5"/>
    <w:rsid w:val="00AD10AD"/>
    <w:rsid w:val="00AD11B9"/>
    <w:rsid w:val="00AD146A"/>
    <w:rsid w:val="00AD1581"/>
    <w:rsid w:val="00AD19C4"/>
    <w:rsid w:val="00AD19E5"/>
    <w:rsid w:val="00AD1A2F"/>
    <w:rsid w:val="00AD1BB5"/>
    <w:rsid w:val="00AD2B97"/>
    <w:rsid w:val="00AD2CDE"/>
    <w:rsid w:val="00AD3483"/>
    <w:rsid w:val="00AD3CC3"/>
    <w:rsid w:val="00AD3FE4"/>
    <w:rsid w:val="00AD4105"/>
    <w:rsid w:val="00AD4174"/>
    <w:rsid w:val="00AD41C8"/>
    <w:rsid w:val="00AD45F4"/>
    <w:rsid w:val="00AD4647"/>
    <w:rsid w:val="00AD4700"/>
    <w:rsid w:val="00AD4A9E"/>
    <w:rsid w:val="00AD4C5D"/>
    <w:rsid w:val="00AD4C9F"/>
    <w:rsid w:val="00AD5028"/>
    <w:rsid w:val="00AD50A4"/>
    <w:rsid w:val="00AD56E2"/>
    <w:rsid w:val="00AD5ACA"/>
    <w:rsid w:val="00AD5C24"/>
    <w:rsid w:val="00AD5D62"/>
    <w:rsid w:val="00AD5F95"/>
    <w:rsid w:val="00AD60EA"/>
    <w:rsid w:val="00AD66C5"/>
    <w:rsid w:val="00AD67D4"/>
    <w:rsid w:val="00AD69CE"/>
    <w:rsid w:val="00AD70F9"/>
    <w:rsid w:val="00AD719F"/>
    <w:rsid w:val="00AD7433"/>
    <w:rsid w:val="00AD7964"/>
    <w:rsid w:val="00AD7D05"/>
    <w:rsid w:val="00AE0728"/>
    <w:rsid w:val="00AE07BC"/>
    <w:rsid w:val="00AE09CE"/>
    <w:rsid w:val="00AE115C"/>
    <w:rsid w:val="00AE14E0"/>
    <w:rsid w:val="00AE1510"/>
    <w:rsid w:val="00AE1734"/>
    <w:rsid w:val="00AE17F1"/>
    <w:rsid w:val="00AE1B40"/>
    <w:rsid w:val="00AE1CBF"/>
    <w:rsid w:val="00AE214A"/>
    <w:rsid w:val="00AE21CE"/>
    <w:rsid w:val="00AE239E"/>
    <w:rsid w:val="00AE2686"/>
    <w:rsid w:val="00AE2693"/>
    <w:rsid w:val="00AE279F"/>
    <w:rsid w:val="00AE28F2"/>
    <w:rsid w:val="00AE2C4C"/>
    <w:rsid w:val="00AE3289"/>
    <w:rsid w:val="00AE3937"/>
    <w:rsid w:val="00AE3A8C"/>
    <w:rsid w:val="00AE3F57"/>
    <w:rsid w:val="00AE4331"/>
    <w:rsid w:val="00AE4C48"/>
    <w:rsid w:val="00AE5004"/>
    <w:rsid w:val="00AE52FD"/>
    <w:rsid w:val="00AE5C38"/>
    <w:rsid w:val="00AE614D"/>
    <w:rsid w:val="00AE660E"/>
    <w:rsid w:val="00AE6680"/>
    <w:rsid w:val="00AE6768"/>
    <w:rsid w:val="00AE67F1"/>
    <w:rsid w:val="00AE70E0"/>
    <w:rsid w:val="00AE755D"/>
    <w:rsid w:val="00AE7849"/>
    <w:rsid w:val="00AE7977"/>
    <w:rsid w:val="00AE7CAF"/>
    <w:rsid w:val="00AF0097"/>
    <w:rsid w:val="00AF028E"/>
    <w:rsid w:val="00AF039E"/>
    <w:rsid w:val="00AF0649"/>
    <w:rsid w:val="00AF0A30"/>
    <w:rsid w:val="00AF0E0F"/>
    <w:rsid w:val="00AF13C2"/>
    <w:rsid w:val="00AF1610"/>
    <w:rsid w:val="00AF1F10"/>
    <w:rsid w:val="00AF2049"/>
    <w:rsid w:val="00AF205C"/>
    <w:rsid w:val="00AF21B2"/>
    <w:rsid w:val="00AF283B"/>
    <w:rsid w:val="00AF2B09"/>
    <w:rsid w:val="00AF2DDF"/>
    <w:rsid w:val="00AF2F5D"/>
    <w:rsid w:val="00AF37EF"/>
    <w:rsid w:val="00AF3D39"/>
    <w:rsid w:val="00AF3F9F"/>
    <w:rsid w:val="00AF41DB"/>
    <w:rsid w:val="00AF4314"/>
    <w:rsid w:val="00AF4734"/>
    <w:rsid w:val="00AF4843"/>
    <w:rsid w:val="00AF4892"/>
    <w:rsid w:val="00AF48B3"/>
    <w:rsid w:val="00AF48D3"/>
    <w:rsid w:val="00AF497B"/>
    <w:rsid w:val="00AF4998"/>
    <w:rsid w:val="00AF4E01"/>
    <w:rsid w:val="00AF4EB4"/>
    <w:rsid w:val="00AF5436"/>
    <w:rsid w:val="00AF5472"/>
    <w:rsid w:val="00AF56E6"/>
    <w:rsid w:val="00AF5711"/>
    <w:rsid w:val="00AF576A"/>
    <w:rsid w:val="00AF5AE5"/>
    <w:rsid w:val="00AF6122"/>
    <w:rsid w:val="00AF62D3"/>
    <w:rsid w:val="00AF69E1"/>
    <w:rsid w:val="00AF6A4C"/>
    <w:rsid w:val="00AF6E78"/>
    <w:rsid w:val="00AF7F2A"/>
    <w:rsid w:val="00B0034F"/>
    <w:rsid w:val="00B003DF"/>
    <w:rsid w:val="00B004A5"/>
    <w:rsid w:val="00B00589"/>
    <w:rsid w:val="00B0070F"/>
    <w:rsid w:val="00B00E00"/>
    <w:rsid w:val="00B00EEE"/>
    <w:rsid w:val="00B01197"/>
    <w:rsid w:val="00B0152F"/>
    <w:rsid w:val="00B0161C"/>
    <w:rsid w:val="00B01A73"/>
    <w:rsid w:val="00B01B81"/>
    <w:rsid w:val="00B01C6A"/>
    <w:rsid w:val="00B01CF4"/>
    <w:rsid w:val="00B01D50"/>
    <w:rsid w:val="00B02183"/>
    <w:rsid w:val="00B026DD"/>
    <w:rsid w:val="00B02769"/>
    <w:rsid w:val="00B0357F"/>
    <w:rsid w:val="00B0383E"/>
    <w:rsid w:val="00B038DD"/>
    <w:rsid w:val="00B03EEF"/>
    <w:rsid w:val="00B04161"/>
    <w:rsid w:val="00B045B6"/>
    <w:rsid w:val="00B0462E"/>
    <w:rsid w:val="00B047C2"/>
    <w:rsid w:val="00B04CB1"/>
    <w:rsid w:val="00B04F8F"/>
    <w:rsid w:val="00B05251"/>
    <w:rsid w:val="00B05486"/>
    <w:rsid w:val="00B05635"/>
    <w:rsid w:val="00B058EE"/>
    <w:rsid w:val="00B05A94"/>
    <w:rsid w:val="00B05D56"/>
    <w:rsid w:val="00B06B2E"/>
    <w:rsid w:val="00B06EB7"/>
    <w:rsid w:val="00B07149"/>
    <w:rsid w:val="00B07596"/>
    <w:rsid w:val="00B07620"/>
    <w:rsid w:val="00B07784"/>
    <w:rsid w:val="00B07BDE"/>
    <w:rsid w:val="00B105D4"/>
    <w:rsid w:val="00B108FA"/>
    <w:rsid w:val="00B1163E"/>
    <w:rsid w:val="00B11738"/>
    <w:rsid w:val="00B11D85"/>
    <w:rsid w:val="00B11ED0"/>
    <w:rsid w:val="00B12626"/>
    <w:rsid w:val="00B126C5"/>
    <w:rsid w:val="00B12743"/>
    <w:rsid w:val="00B12D80"/>
    <w:rsid w:val="00B13008"/>
    <w:rsid w:val="00B1314F"/>
    <w:rsid w:val="00B131FB"/>
    <w:rsid w:val="00B13359"/>
    <w:rsid w:val="00B1356D"/>
    <w:rsid w:val="00B135B9"/>
    <w:rsid w:val="00B1383C"/>
    <w:rsid w:val="00B13BD6"/>
    <w:rsid w:val="00B14453"/>
    <w:rsid w:val="00B14B2E"/>
    <w:rsid w:val="00B14D08"/>
    <w:rsid w:val="00B151CF"/>
    <w:rsid w:val="00B151DB"/>
    <w:rsid w:val="00B151DE"/>
    <w:rsid w:val="00B1538B"/>
    <w:rsid w:val="00B156B5"/>
    <w:rsid w:val="00B1580C"/>
    <w:rsid w:val="00B159EE"/>
    <w:rsid w:val="00B15AB6"/>
    <w:rsid w:val="00B15B95"/>
    <w:rsid w:val="00B15D72"/>
    <w:rsid w:val="00B16439"/>
    <w:rsid w:val="00B166BA"/>
    <w:rsid w:val="00B16733"/>
    <w:rsid w:val="00B16C46"/>
    <w:rsid w:val="00B170EC"/>
    <w:rsid w:val="00B175D3"/>
    <w:rsid w:val="00B175E7"/>
    <w:rsid w:val="00B1766E"/>
    <w:rsid w:val="00B17C36"/>
    <w:rsid w:val="00B17C80"/>
    <w:rsid w:val="00B20092"/>
    <w:rsid w:val="00B20189"/>
    <w:rsid w:val="00B20445"/>
    <w:rsid w:val="00B209C0"/>
    <w:rsid w:val="00B20AED"/>
    <w:rsid w:val="00B212AC"/>
    <w:rsid w:val="00B216DB"/>
    <w:rsid w:val="00B21731"/>
    <w:rsid w:val="00B21EA4"/>
    <w:rsid w:val="00B22041"/>
    <w:rsid w:val="00B22286"/>
    <w:rsid w:val="00B22613"/>
    <w:rsid w:val="00B22CDE"/>
    <w:rsid w:val="00B22EB8"/>
    <w:rsid w:val="00B2300D"/>
    <w:rsid w:val="00B233D8"/>
    <w:rsid w:val="00B23560"/>
    <w:rsid w:val="00B23C31"/>
    <w:rsid w:val="00B24025"/>
    <w:rsid w:val="00B246CD"/>
    <w:rsid w:val="00B247AD"/>
    <w:rsid w:val="00B24A2A"/>
    <w:rsid w:val="00B24F01"/>
    <w:rsid w:val="00B25649"/>
    <w:rsid w:val="00B2579D"/>
    <w:rsid w:val="00B257D7"/>
    <w:rsid w:val="00B25844"/>
    <w:rsid w:val="00B25858"/>
    <w:rsid w:val="00B25AE9"/>
    <w:rsid w:val="00B25BAE"/>
    <w:rsid w:val="00B25D05"/>
    <w:rsid w:val="00B261B9"/>
    <w:rsid w:val="00B26622"/>
    <w:rsid w:val="00B26669"/>
    <w:rsid w:val="00B26798"/>
    <w:rsid w:val="00B26BA1"/>
    <w:rsid w:val="00B276B4"/>
    <w:rsid w:val="00B30052"/>
    <w:rsid w:val="00B30328"/>
    <w:rsid w:val="00B303F6"/>
    <w:rsid w:val="00B307B7"/>
    <w:rsid w:val="00B30D5F"/>
    <w:rsid w:val="00B3115B"/>
    <w:rsid w:val="00B311AD"/>
    <w:rsid w:val="00B3121E"/>
    <w:rsid w:val="00B312C2"/>
    <w:rsid w:val="00B31636"/>
    <w:rsid w:val="00B31663"/>
    <w:rsid w:val="00B31889"/>
    <w:rsid w:val="00B322AB"/>
    <w:rsid w:val="00B3243F"/>
    <w:rsid w:val="00B3258D"/>
    <w:rsid w:val="00B329FB"/>
    <w:rsid w:val="00B32A6A"/>
    <w:rsid w:val="00B331D1"/>
    <w:rsid w:val="00B3328B"/>
    <w:rsid w:val="00B333B0"/>
    <w:rsid w:val="00B33D84"/>
    <w:rsid w:val="00B3442C"/>
    <w:rsid w:val="00B34967"/>
    <w:rsid w:val="00B34A6C"/>
    <w:rsid w:val="00B34A8C"/>
    <w:rsid w:val="00B352D8"/>
    <w:rsid w:val="00B35C20"/>
    <w:rsid w:val="00B35CA8"/>
    <w:rsid w:val="00B3600F"/>
    <w:rsid w:val="00B36028"/>
    <w:rsid w:val="00B36052"/>
    <w:rsid w:val="00B36437"/>
    <w:rsid w:val="00B36677"/>
    <w:rsid w:val="00B3667B"/>
    <w:rsid w:val="00B36F70"/>
    <w:rsid w:val="00B371E0"/>
    <w:rsid w:val="00B37228"/>
    <w:rsid w:val="00B37711"/>
    <w:rsid w:val="00B37BBD"/>
    <w:rsid w:val="00B40064"/>
    <w:rsid w:val="00B40174"/>
    <w:rsid w:val="00B4039B"/>
    <w:rsid w:val="00B40625"/>
    <w:rsid w:val="00B41135"/>
    <w:rsid w:val="00B411F4"/>
    <w:rsid w:val="00B41670"/>
    <w:rsid w:val="00B41764"/>
    <w:rsid w:val="00B41E73"/>
    <w:rsid w:val="00B41FE9"/>
    <w:rsid w:val="00B42607"/>
    <w:rsid w:val="00B426A4"/>
    <w:rsid w:val="00B42976"/>
    <w:rsid w:val="00B42B33"/>
    <w:rsid w:val="00B42F6B"/>
    <w:rsid w:val="00B42F6E"/>
    <w:rsid w:val="00B43442"/>
    <w:rsid w:val="00B43A4E"/>
    <w:rsid w:val="00B44349"/>
    <w:rsid w:val="00B448A4"/>
    <w:rsid w:val="00B44988"/>
    <w:rsid w:val="00B44BCC"/>
    <w:rsid w:val="00B45220"/>
    <w:rsid w:val="00B452F9"/>
    <w:rsid w:val="00B45833"/>
    <w:rsid w:val="00B4586F"/>
    <w:rsid w:val="00B45F64"/>
    <w:rsid w:val="00B46946"/>
    <w:rsid w:val="00B46D47"/>
    <w:rsid w:val="00B46E14"/>
    <w:rsid w:val="00B47112"/>
    <w:rsid w:val="00B47128"/>
    <w:rsid w:val="00B4714F"/>
    <w:rsid w:val="00B47234"/>
    <w:rsid w:val="00B50462"/>
    <w:rsid w:val="00B50783"/>
    <w:rsid w:val="00B5090C"/>
    <w:rsid w:val="00B50A44"/>
    <w:rsid w:val="00B50DF3"/>
    <w:rsid w:val="00B51449"/>
    <w:rsid w:val="00B5158C"/>
    <w:rsid w:val="00B527A8"/>
    <w:rsid w:val="00B52847"/>
    <w:rsid w:val="00B52C7B"/>
    <w:rsid w:val="00B52E8C"/>
    <w:rsid w:val="00B530BE"/>
    <w:rsid w:val="00B531D2"/>
    <w:rsid w:val="00B531F3"/>
    <w:rsid w:val="00B53588"/>
    <w:rsid w:val="00B53C0E"/>
    <w:rsid w:val="00B53FDC"/>
    <w:rsid w:val="00B54386"/>
    <w:rsid w:val="00B544CA"/>
    <w:rsid w:val="00B54ADB"/>
    <w:rsid w:val="00B54E74"/>
    <w:rsid w:val="00B550F4"/>
    <w:rsid w:val="00B55524"/>
    <w:rsid w:val="00B55CCD"/>
    <w:rsid w:val="00B55F95"/>
    <w:rsid w:val="00B56B6E"/>
    <w:rsid w:val="00B56C92"/>
    <w:rsid w:val="00B56D56"/>
    <w:rsid w:val="00B56E5A"/>
    <w:rsid w:val="00B574F4"/>
    <w:rsid w:val="00B575BF"/>
    <w:rsid w:val="00B576F1"/>
    <w:rsid w:val="00B579D5"/>
    <w:rsid w:val="00B57DD0"/>
    <w:rsid w:val="00B6030A"/>
    <w:rsid w:val="00B60B49"/>
    <w:rsid w:val="00B60D60"/>
    <w:rsid w:val="00B612EA"/>
    <w:rsid w:val="00B613DB"/>
    <w:rsid w:val="00B615B6"/>
    <w:rsid w:val="00B616FC"/>
    <w:rsid w:val="00B61924"/>
    <w:rsid w:val="00B619E9"/>
    <w:rsid w:val="00B61A13"/>
    <w:rsid w:val="00B61C66"/>
    <w:rsid w:val="00B61CA8"/>
    <w:rsid w:val="00B621FE"/>
    <w:rsid w:val="00B62379"/>
    <w:rsid w:val="00B6255B"/>
    <w:rsid w:val="00B62604"/>
    <w:rsid w:val="00B62DF2"/>
    <w:rsid w:val="00B63361"/>
    <w:rsid w:val="00B6370D"/>
    <w:rsid w:val="00B63933"/>
    <w:rsid w:val="00B63C98"/>
    <w:rsid w:val="00B63DB9"/>
    <w:rsid w:val="00B63EED"/>
    <w:rsid w:val="00B6406B"/>
    <w:rsid w:val="00B641C6"/>
    <w:rsid w:val="00B646C9"/>
    <w:rsid w:val="00B64A82"/>
    <w:rsid w:val="00B65155"/>
    <w:rsid w:val="00B65528"/>
    <w:rsid w:val="00B65D89"/>
    <w:rsid w:val="00B65E9C"/>
    <w:rsid w:val="00B6688B"/>
    <w:rsid w:val="00B66A87"/>
    <w:rsid w:val="00B66B27"/>
    <w:rsid w:val="00B67139"/>
    <w:rsid w:val="00B6723D"/>
    <w:rsid w:val="00B67551"/>
    <w:rsid w:val="00B679A4"/>
    <w:rsid w:val="00B67C20"/>
    <w:rsid w:val="00B67DB1"/>
    <w:rsid w:val="00B7019F"/>
    <w:rsid w:val="00B7077C"/>
    <w:rsid w:val="00B70881"/>
    <w:rsid w:val="00B71031"/>
    <w:rsid w:val="00B712D0"/>
    <w:rsid w:val="00B713F9"/>
    <w:rsid w:val="00B7161A"/>
    <w:rsid w:val="00B71670"/>
    <w:rsid w:val="00B71BA6"/>
    <w:rsid w:val="00B71C40"/>
    <w:rsid w:val="00B71E10"/>
    <w:rsid w:val="00B71F1A"/>
    <w:rsid w:val="00B72438"/>
    <w:rsid w:val="00B72624"/>
    <w:rsid w:val="00B728DD"/>
    <w:rsid w:val="00B72C75"/>
    <w:rsid w:val="00B72E3D"/>
    <w:rsid w:val="00B731F2"/>
    <w:rsid w:val="00B73429"/>
    <w:rsid w:val="00B7371D"/>
    <w:rsid w:val="00B73795"/>
    <w:rsid w:val="00B7388B"/>
    <w:rsid w:val="00B73AB9"/>
    <w:rsid w:val="00B73C56"/>
    <w:rsid w:val="00B73E3C"/>
    <w:rsid w:val="00B73F93"/>
    <w:rsid w:val="00B740CC"/>
    <w:rsid w:val="00B742EA"/>
    <w:rsid w:val="00B74751"/>
    <w:rsid w:val="00B74AD2"/>
    <w:rsid w:val="00B75179"/>
    <w:rsid w:val="00B7561A"/>
    <w:rsid w:val="00B757E5"/>
    <w:rsid w:val="00B75C5A"/>
    <w:rsid w:val="00B75F7A"/>
    <w:rsid w:val="00B76062"/>
    <w:rsid w:val="00B76094"/>
    <w:rsid w:val="00B76677"/>
    <w:rsid w:val="00B77D6B"/>
    <w:rsid w:val="00B80037"/>
    <w:rsid w:val="00B805E8"/>
    <w:rsid w:val="00B80C18"/>
    <w:rsid w:val="00B80F36"/>
    <w:rsid w:val="00B81478"/>
    <w:rsid w:val="00B81A16"/>
    <w:rsid w:val="00B81A23"/>
    <w:rsid w:val="00B81BCB"/>
    <w:rsid w:val="00B81F38"/>
    <w:rsid w:val="00B821BC"/>
    <w:rsid w:val="00B82358"/>
    <w:rsid w:val="00B825D4"/>
    <w:rsid w:val="00B8296B"/>
    <w:rsid w:val="00B8310D"/>
    <w:rsid w:val="00B83435"/>
    <w:rsid w:val="00B8356A"/>
    <w:rsid w:val="00B838EB"/>
    <w:rsid w:val="00B83B62"/>
    <w:rsid w:val="00B83C9C"/>
    <w:rsid w:val="00B83D35"/>
    <w:rsid w:val="00B847DC"/>
    <w:rsid w:val="00B84909"/>
    <w:rsid w:val="00B849A3"/>
    <w:rsid w:val="00B8519E"/>
    <w:rsid w:val="00B852AE"/>
    <w:rsid w:val="00B8535F"/>
    <w:rsid w:val="00B8559D"/>
    <w:rsid w:val="00B857C9"/>
    <w:rsid w:val="00B85903"/>
    <w:rsid w:val="00B85ABE"/>
    <w:rsid w:val="00B85C37"/>
    <w:rsid w:val="00B8621A"/>
    <w:rsid w:val="00B86513"/>
    <w:rsid w:val="00B868E5"/>
    <w:rsid w:val="00B87383"/>
    <w:rsid w:val="00B874EB"/>
    <w:rsid w:val="00B875F1"/>
    <w:rsid w:val="00B87729"/>
    <w:rsid w:val="00B877CC"/>
    <w:rsid w:val="00B878CD"/>
    <w:rsid w:val="00B901F0"/>
    <w:rsid w:val="00B90C09"/>
    <w:rsid w:val="00B90E53"/>
    <w:rsid w:val="00B911FB"/>
    <w:rsid w:val="00B912AF"/>
    <w:rsid w:val="00B917A9"/>
    <w:rsid w:val="00B91CB1"/>
    <w:rsid w:val="00B91EE8"/>
    <w:rsid w:val="00B9246B"/>
    <w:rsid w:val="00B9249B"/>
    <w:rsid w:val="00B924B0"/>
    <w:rsid w:val="00B92985"/>
    <w:rsid w:val="00B9319C"/>
    <w:rsid w:val="00B93C71"/>
    <w:rsid w:val="00B93DA8"/>
    <w:rsid w:val="00B941A3"/>
    <w:rsid w:val="00B94340"/>
    <w:rsid w:val="00B943E6"/>
    <w:rsid w:val="00B94423"/>
    <w:rsid w:val="00B94588"/>
    <w:rsid w:val="00B94B24"/>
    <w:rsid w:val="00B94BA8"/>
    <w:rsid w:val="00B9536C"/>
    <w:rsid w:val="00B954CC"/>
    <w:rsid w:val="00B954CD"/>
    <w:rsid w:val="00B95872"/>
    <w:rsid w:val="00B95B3B"/>
    <w:rsid w:val="00B95C74"/>
    <w:rsid w:val="00B96141"/>
    <w:rsid w:val="00B963B9"/>
    <w:rsid w:val="00B963FA"/>
    <w:rsid w:val="00B9640D"/>
    <w:rsid w:val="00B964C5"/>
    <w:rsid w:val="00B96843"/>
    <w:rsid w:val="00B96899"/>
    <w:rsid w:val="00B969B9"/>
    <w:rsid w:val="00B96C1D"/>
    <w:rsid w:val="00B96C8E"/>
    <w:rsid w:val="00B96D56"/>
    <w:rsid w:val="00B96EAF"/>
    <w:rsid w:val="00B9706F"/>
    <w:rsid w:val="00B9752C"/>
    <w:rsid w:val="00B975BC"/>
    <w:rsid w:val="00B97829"/>
    <w:rsid w:val="00B97C6B"/>
    <w:rsid w:val="00B97F1C"/>
    <w:rsid w:val="00BA0274"/>
    <w:rsid w:val="00BA0B52"/>
    <w:rsid w:val="00BA1BA9"/>
    <w:rsid w:val="00BA1F3E"/>
    <w:rsid w:val="00BA1FFB"/>
    <w:rsid w:val="00BA28BC"/>
    <w:rsid w:val="00BA28C5"/>
    <w:rsid w:val="00BA2B3F"/>
    <w:rsid w:val="00BA2B9E"/>
    <w:rsid w:val="00BA2E90"/>
    <w:rsid w:val="00BA34CA"/>
    <w:rsid w:val="00BA3833"/>
    <w:rsid w:val="00BA3EAE"/>
    <w:rsid w:val="00BA421C"/>
    <w:rsid w:val="00BA4E45"/>
    <w:rsid w:val="00BA4ECC"/>
    <w:rsid w:val="00BA4ED1"/>
    <w:rsid w:val="00BA4FB2"/>
    <w:rsid w:val="00BA52AA"/>
    <w:rsid w:val="00BA5488"/>
    <w:rsid w:val="00BA55C2"/>
    <w:rsid w:val="00BA59BD"/>
    <w:rsid w:val="00BA59FB"/>
    <w:rsid w:val="00BA5BC9"/>
    <w:rsid w:val="00BA5DC5"/>
    <w:rsid w:val="00BA6278"/>
    <w:rsid w:val="00BA690E"/>
    <w:rsid w:val="00BA6943"/>
    <w:rsid w:val="00BA7369"/>
    <w:rsid w:val="00BA7593"/>
    <w:rsid w:val="00BA7887"/>
    <w:rsid w:val="00BA7AFA"/>
    <w:rsid w:val="00BA7B5B"/>
    <w:rsid w:val="00BB0568"/>
    <w:rsid w:val="00BB0C55"/>
    <w:rsid w:val="00BB0D89"/>
    <w:rsid w:val="00BB127E"/>
    <w:rsid w:val="00BB145D"/>
    <w:rsid w:val="00BB14A3"/>
    <w:rsid w:val="00BB15B1"/>
    <w:rsid w:val="00BB164E"/>
    <w:rsid w:val="00BB2C25"/>
    <w:rsid w:val="00BB3166"/>
    <w:rsid w:val="00BB31F5"/>
    <w:rsid w:val="00BB3291"/>
    <w:rsid w:val="00BB3C84"/>
    <w:rsid w:val="00BB3E01"/>
    <w:rsid w:val="00BB430D"/>
    <w:rsid w:val="00BB43FC"/>
    <w:rsid w:val="00BB45D3"/>
    <w:rsid w:val="00BB4763"/>
    <w:rsid w:val="00BB4785"/>
    <w:rsid w:val="00BB4E3F"/>
    <w:rsid w:val="00BB4EED"/>
    <w:rsid w:val="00BB51EE"/>
    <w:rsid w:val="00BB5505"/>
    <w:rsid w:val="00BB5846"/>
    <w:rsid w:val="00BB5967"/>
    <w:rsid w:val="00BB66DD"/>
    <w:rsid w:val="00BB73D3"/>
    <w:rsid w:val="00BB74B5"/>
    <w:rsid w:val="00BB78DA"/>
    <w:rsid w:val="00BB78EC"/>
    <w:rsid w:val="00BB7B0C"/>
    <w:rsid w:val="00BB7EEB"/>
    <w:rsid w:val="00BB7FDE"/>
    <w:rsid w:val="00BC0661"/>
    <w:rsid w:val="00BC0E87"/>
    <w:rsid w:val="00BC0F33"/>
    <w:rsid w:val="00BC0F34"/>
    <w:rsid w:val="00BC0FA1"/>
    <w:rsid w:val="00BC15DE"/>
    <w:rsid w:val="00BC17C8"/>
    <w:rsid w:val="00BC1A4B"/>
    <w:rsid w:val="00BC1A98"/>
    <w:rsid w:val="00BC1D93"/>
    <w:rsid w:val="00BC1E52"/>
    <w:rsid w:val="00BC2241"/>
    <w:rsid w:val="00BC254B"/>
    <w:rsid w:val="00BC25D3"/>
    <w:rsid w:val="00BC26D1"/>
    <w:rsid w:val="00BC26F3"/>
    <w:rsid w:val="00BC2A23"/>
    <w:rsid w:val="00BC2A5C"/>
    <w:rsid w:val="00BC2C91"/>
    <w:rsid w:val="00BC3074"/>
    <w:rsid w:val="00BC308C"/>
    <w:rsid w:val="00BC369C"/>
    <w:rsid w:val="00BC3B31"/>
    <w:rsid w:val="00BC4007"/>
    <w:rsid w:val="00BC4378"/>
    <w:rsid w:val="00BC466D"/>
    <w:rsid w:val="00BC4864"/>
    <w:rsid w:val="00BC4972"/>
    <w:rsid w:val="00BC540A"/>
    <w:rsid w:val="00BC5D5E"/>
    <w:rsid w:val="00BC60FE"/>
    <w:rsid w:val="00BC613F"/>
    <w:rsid w:val="00BC651F"/>
    <w:rsid w:val="00BC65C8"/>
    <w:rsid w:val="00BC6897"/>
    <w:rsid w:val="00BC6A5D"/>
    <w:rsid w:val="00BC6AA5"/>
    <w:rsid w:val="00BC6D34"/>
    <w:rsid w:val="00BC6FB3"/>
    <w:rsid w:val="00BC7426"/>
    <w:rsid w:val="00BC7651"/>
    <w:rsid w:val="00BC7D7E"/>
    <w:rsid w:val="00BC7E6F"/>
    <w:rsid w:val="00BC7F6A"/>
    <w:rsid w:val="00BD0532"/>
    <w:rsid w:val="00BD0550"/>
    <w:rsid w:val="00BD0D4D"/>
    <w:rsid w:val="00BD0DC3"/>
    <w:rsid w:val="00BD0EC3"/>
    <w:rsid w:val="00BD0F30"/>
    <w:rsid w:val="00BD12DB"/>
    <w:rsid w:val="00BD15AD"/>
    <w:rsid w:val="00BD171B"/>
    <w:rsid w:val="00BD1758"/>
    <w:rsid w:val="00BD181B"/>
    <w:rsid w:val="00BD1A37"/>
    <w:rsid w:val="00BD1B8D"/>
    <w:rsid w:val="00BD1E5C"/>
    <w:rsid w:val="00BD1E9F"/>
    <w:rsid w:val="00BD207F"/>
    <w:rsid w:val="00BD216E"/>
    <w:rsid w:val="00BD2449"/>
    <w:rsid w:val="00BD2683"/>
    <w:rsid w:val="00BD2AFA"/>
    <w:rsid w:val="00BD2B43"/>
    <w:rsid w:val="00BD2F48"/>
    <w:rsid w:val="00BD33D4"/>
    <w:rsid w:val="00BD3ED4"/>
    <w:rsid w:val="00BD40B1"/>
    <w:rsid w:val="00BD4606"/>
    <w:rsid w:val="00BD49D1"/>
    <w:rsid w:val="00BD4C2D"/>
    <w:rsid w:val="00BD4DDE"/>
    <w:rsid w:val="00BD54A4"/>
    <w:rsid w:val="00BD587C"/>
    <w:rsid w:val="00BD5A5C"/>
    <w:rsid w:val="00BD5B27"/>
    <w:rsid w:val="00BD5B35"/>
    <w:rsid w:val="00BD5BF9"/>
    <w:rsid w:val="00BD6072"/>
    <w:rsid w:val="00BD63D6"/>
    <w:rsid w:val="00BD645C"/>
    <w:rsid w:val="00BD6542"/>
    <w:rsid w:val="00BD679B"/>
    <w:rsid w:val="00BD6814"/>
    <w:rsid w:val="00BD6B91"/>
    <w:rsid w:val="00BD7037"/>
    <w:rsid w:val="00BD7056"/>
    <w:rsid w:val="00BD7826"/>
    <w:rsid w:val="00BD7A53"/>
    <w:rsid w:val="00BD7DF0"/>
    <w:rsid w:val="00BE066C"/>
    <w:rsid w:val="00BE099D"/>
    <w:rsid w:val="00BE0A98"/>
    <w:rsid w:val="00BE16F4"/>
    <w:rsid w:val="00BE1C29"/>
    <w:rsid w:val="00BE1F44"/>
    <w:rsid w:val="00BE25AD"/>
    <w:rsid w:val="00BE27AA"/>
    <w:rsid w:val="00BE2ADC"/>
    <w:rsid w:val="00BE2B2F"/>
    <w:rsid w:val="00BE2D2B"/>
    <w:rsid w:val="00BE2ECC"/>
    <w:rsid w:val="00BE3223"/>
    <w:rsid w:val="00BE3586"/>
    <w:rsid w:val="00BE3795"/>
    <w:rsid w:val="00BE384A"/>
    <w:rsid w:val="00BE38F2"/>
    <w:rsid w:val="00BE3916"/>
    <w:rsid w:val="00BE39E8"/>
    <w:rsid w:val="00BE3CC7"/>
    <w:rsid w:val="00BE3F1A"/>
    <w:rsid w:val="00BE41D8"/>
    <w:rsid w:val="00BE4277"/>
    <w:rsid w:val="00BE4387"/>
    <w:rsid w:val="00BE46CA"/>
    <w:rsid w:val="00BE47BF"/>
    <w:rsid w:val="00BE48D4"/>
    <w:rsid w:val="00BE4C55"/>
    <w:rsid w:val="00BE5374"/>
    <w:rsid w:val="00BE55B0"/>
    <w:rsid w:val="00BE5659"/>
    <w:rsid w:val="00BE5692"/>
    <w:rsid w:val="00BE5ADD"/>
    <w:rsid w:val="00BE5B61"/>
    <w:rsid w:val="00BE5C7A"/>
    <w:rsid w:val="00BE5E25"/>
    <w:rsid w:val="00BE6052"/>
    <w:rsid w:val="00BE6152"/>
    <w:rsid w:val="00BE6254"/>
    <w:rsid w:val="00BE627A"/>
    <w:rsid w:val="00BE664E"/>
    <w:rsid w:val="00BE69C9"/>
    <w:rsid w:val="00BE6CE8"/>
    <w:rsid w:val="00BE704F"/>
    <w:rsid w:val="00BE74A3"/>
    <w:rsid w:val="00BE78C1"/>
    <w:rsid w:val="00BE78E1"/>
    <w:rsid w:val="00BE7DD9"/>
    <w:rsid w:val="00BF00FF"/>
    <w:rsid w:val="00BF01F8"/>
    <w:rsid w:val="00BF0987"/>
    <w:rsid w:val="00BF0A97"/>
    <w:rsid w:val="00BF0E69"/>
    <w:rsid w:val="00BF0E90"/>
    <w:rsid w:val="00BF1389"/>
    <w:rsid w:val="00BF13EB"/>
    <w:rsid w:val="00BF1894"/>
    <w:rsid w:val="00BF1A50"/>
    <w:rsid w:val="00BF1A7A"/>
    <w:rsid w:val="00BF20CF"/>
    <w:rsid w:val="00BF2271"/>
    <w:rsid w:val="00BF230D"/>
    <w:rsid w:val="00BF26C3"/>
    <w:rsid w:val="00BF2E96"/>
    <w:rsid w:val="00BF3177"/>
    <w:rsid w:val="00BF32BD"/>
    <w:rsid w:val="00BF3305"/>
    <w:rsid w:val="00BF35AB"/>
    <w:rsid w:val="00BF385C"/>
    <w:rsid w:val="00BF419F"/>
    <w:rsid w:val="00BF45DC"/>
    <w:rsid w:val="00BF4FAB"/>
    <w:rsid w:val="00BF4FAC"/>
    <w:rsid w:val="00BF513D"/>
    <w:rsid w:val="00BF5927"/>
    <w:rsid w:val="00BF5E24"/>
    <w:rsid w:val="00BF660E"/>
    <w:rsid w:val="00BF6906"/>
    <w:rsid w:val="00BF6A14"/>
    <w:rsid w:val="00BF6E89"/>
    <w:rsid w:val="00BF7001"/>
    <w:rsid w:val="00BF76CC"/>
    <w:rsid w:val="00BF7A39"/>
    <w:rsid w:val="00BF7C54"/>
    <w:rsid w:val="00C00083"/>
    <w:rsid w:val="00C003BD"/>
    <w:rsid w:val="00C004C9"/>
    <w:rsid w:val="00C0069A"/>
    <w:rsid w:val="00C007A6"/>
    <w:rsid w:val="00C009FC"/>
    <w:rsid w:val="00C00C8F"/>
    <w:rsid w:val="00C00FF9"/>
    <w:rsid w:val="00C0115C"/>
    <w:rsid w:val="00C011C4"/>
    <w:rsid w:val="00C013A1"/>
    <w:rsid w:val="00C013C7"/>
    <w:rsid w:val="00C0161A"/>
    <w:rsid w:val="00C0191E"/>
    <w:rsid w:val="00C01937"/>
    <w:rsid w:val="00C019BF"/>
    <w:rsid w:val="00C01D5F"/>
    <w:rsid w:val="00C021DA"/>
    <w:rsid w:val="00C02B58"/>
    <w:rsid w:val="00C02DFC"/>
    <w:rsid w:val="00C02EC3"/>
    <w:rsid w:val="00C03153"/>
    <w:rsid w:val="00C0331E"/>
    <w:rsid w:val="00C0345A"/>
    <w:rsid w:val="00C03511"/>
    <w:rsid w:val="00C035B3"/>
    <w:rsid w:val="00C03632"/>
    <w:rsid w:val="00C03768"/>
    <w:rsid w:val="00C03942"/>
    <w:rsid w:val="00C043FA"/>
    <w:rsid w:val="00C044C6"/>
    <w:rsid w:val="00C04779"/>
    <w:rsid w:val="00C047DA"/>
    <w:rsid w:val="00C04A12"/>
    <w:rsid w:val="00C04C3A"/>
    <w:rsid w:val="00C04D4F"/>
    <w:rsid w:val="00C05097"/>
    <w:rsid w:val="00C0544D"/>
    <w:rsid w:val="00C05583"/>
    <w:rsid w:val="00C05625"/>
    <w:rsid w:val="00C05700"/>
    <w:rsid w:val="00C0576C"/>
    <w:rsid w:val="00C05B1B"/>
    <w:rsid w:val="00C060AD"/>
    <w:rsid w:val="00C072E3"/>
    <w:rsid w:val="00C074CD"/>
    <w:rsid w:val="00C0795D"/>
    <w:rsid w:val="00C1012A"/>
    <w:rsid w:val="00C1015C"/>
    <w:rsid w:val="00C10290"/>
    <w:rsid w:val="00C10304"/>
    <w:rsid w:val="00C1050A"/>
    <w:rsid w:val="00C107C3"/>
    <w:rsid w:val="00C10A9F"/>
    <w:rsid w:val="00C10C52"/>
    <w:rsid w:val="00C10D60"/>
    <w:rsid w:val="00C10E88"/>
    <w:rsid w:val="00C10F17"/>
    <w:rsid w:val="00C11380"/>
    <w:rsid w:val="00C113E1"/>
    <w:rsid w:val="00C11484"/>
    <w:rsid w:val="00C11547"/>
    <w:rsid w:val="00C115E1"/>
    <w:rsid w:val="00C1167E"/>
    <w:rsid w:val="00C1178B"/>
    <w:rsid w:val="00C11A05"/>
    <w:rsid w:val="00C11F5B"/>
    <w:rsid w:val="00C127A0"/>
    <w:rsid w:val="00C1280E"/>
    <w:rsid w:val="00C128E2"/>
    <w:rsid w:val="00C12AC7"/>
    <w:rsid w:val="00C12F9F"/>
    <w:rsid w:val="00C13089"/>
    <w:rsid w:val="00C13520"/>
    <w:rsid w:val="00C13594"/>
    <w:rsid w:val="00C13695"/>
    <w:rsid w:val="00C13C22"/>
    <w:rsid w:val="00C1445B"/>
    <w:rsid w:val="00C14682"/>
    <w:rsid w:val="00C14F9B"/>
    <w:rsid w:val="00C14FAB"/>
    <w:rsid w:val="00C15282"/>
    <w:rsid w:val="00C15490"/>
    <w:rsid w:val="00C156AC"/>
    <w:rsid w:val="00C15BCF"/>
    <w:rsid w:val="00C15F42"/>
    <w:rsid w:val="00C1601A"/>
    <w:rsid w:val="00C1610B"/>
    <w:rsid w:val="00C1611D"/>
    <w:rsid w:val="00C16472"/>
    <w:rsid w:val="00C16484"/>
    <w:rsid w:val="00C16654"/>
    <w:rsid w:val="00C166C5"/>
    <w:rsid w:val="00C16B3F"/>
    <w:rsid w:val="00C16C9A"/>
    <w:rsid w:val="00C16F4B"/>
    <w:rsid w:val="00C16F92"/>
    <w:rsid w:val="00C170B1"/>
    <w:rsid w:val="00C17155"/>
    <w:rsid w:val="00C17253"/>
    <w:rsid w:val="00C175E4"/>
    <w:rsid w:val="00C1799B"/>
    <w:rsid w:val="00C17CFB"/>
    <w:rsid w:val="00C17D0E"/>
    <w:rsid w:val="00C17EB4"/>
    <w:rsid w:val="00C20B5B"/>
    <w:rsid w:val="00C20D93"/>
    <w:rsid w:val="00C20F06"/>
    <w:rsid w:val="00C21297"/>
    <w:rsid w:val="00C21A4E"/>
    <w:rsid w:val="00C21BE2"/>
    <w:rsid w:val="00C22157"/>
    <w:rsid w:val="00C22AC5"/>
    <w:rsid w:val="00C23239"/>
    <w:rsid w:val="00C232E0"/>
    <w:rsid w:val="00C2339A"/>
    <w:rsid w:val="00C23857"/>
    <w:rsid w:val="00C23B10"/>
    <w:rsid w:val="00C24058"/>
    <w:rsid w:val="00C2409E"/>
    <w:rsid w:val="00C2412C"/>
    <w:rsid w:val="00C2496D"/>
    <w:rsid w:val="00C24AB9"/>
    <w:rsid w:val="00C24B5E"/>
    <w:rsid w:val="00C24DFB"/>
    <w:rsid w:val="00C2515D"/>
    <w:rsid w:val="00C251AD"/>
    <w:rsid w:val="00C2534F"/>
    <w:rsid w:val="00C25428"/>
    <w:rsid w:val="00C25591"/>
    <w:rsid w:val="00C25ADE"/>
    <w:rsid w:val="00C25C9C"/>
    <w:rsid w:val="00C262DD"/>
    <w:rsid w:val="00C2693B"/>
    <w:rsid w:val="00C26985"/>
    <w:rsid w:val="00C26DC8"/>
    <w:rsid w:val="00C27460"/>
    <w:rsid w:val="00C27A0A"/>
    <w:rsid w:val="00C27FCF"/>
    <w:rsid w:val="00C30058"/>
    <w:rsid w:val="00C301F4"/>
    <w:rsid w:val="00C3098F"/>
    <w:rsid w:val="00C31005"/>
    <w:rsid w:val="00C310EE"/>
    <w:rsid w:val="00C31564"/>
    <w:rsid w:val="00C31571"/>
    <w:rsid w:val="00C317A2"/>
    <w:rsid w:val="00C3225B"/>
    <w:rsid w:val="00C325FA"/>
    <w:rsid w:val="00C325FB"/>
    <w:rsid w:val="00C33712"/>
    <w:rsid w:val="00C33C01"/>
    <w:rsid w:val="00C33FBC"/>
    <w:rsid w:val="00C343FC"/>
    <w:rsid w:val="00C3442F"/>
    <w:rsid w:val="00C345DC"/>
    <w:rsid w:val="00C34EB8"/>
    <w:rsid w:val="00C351D4"/>
    <w:rsid w:val="00C355CD"/>
    <w:rsid w:val="00C356E0"/>
    <w:rsid w:val="00C3574C"/>
    <w:rsid w:val="00C3598C"/>
    <w:rsid w:val="00C35A07"/>
    <w:rsid w:val="00C35C43"/>
    <w:rsid w:val="00C36159"/>
    <w:rsid w:val="00C3651F"/>
    <w:rsid w:val="00C36633"/>
    <w:rsid w:val="00C36869"/>
    <w:rsid w:val="00C368EC"/>
    <w:rsid w:val="00C36E9D"/>
    <w:rsid w:val="00C3735B"/>
    <w:rsid w:val="00C37368"/>
    <w:rsid w:val="00C373EF"/>
    <w:rsid w:val="00C3775D"/>
    <w:rsid w:val="00C377C0"/>
    <w:rsid w:val="00C37954"/>
    <w:rsid w:val="00C37A50"/>
    <w:rsid w:val="00C37C86"/>
    <w:rsid w:val="00C4013F"/>
    <w:rsid w:val="00C40174"/>
    <w:rsid w:val="00C4026A"/>
    <w:rsid w:val="00C40436"/>
    <w:rsid w:val="00C40637"/>
    <w:rsid w:val="00C407EA"/>
    <w:rsid w:val="00C40AF0"/>
    <w:rsid w:val="00C40B48"/>
    <w:rsid w:val="00C40ECC"/>
    <w:rsid w:val="00C4115F"/>
    <w:rsid w:val="00C412B1"/>
    <w:rsid w:val="00C4156B"/>
    <w:rsid w:val="00C415A1"/>
    <w:rsid w:val="00C41BFB"/>
    <w:rsid w:val="00C41C78"/>
    <w:rsid w:val="00C42029"/>
    <w:rsid w:val="00C42173"/>
    <w:rsid w:val="00C422B4"/>
    <w:rsid w:val="00C4324E"/>
    <w:rsid w:val="00C4332E"/>
    <w:rsid w:val="00C4377B"/>
    <w:rsid w:val="00C43934"/>
    <w:rsid w:val="00C43A48"/>
    <w:rsid w:val="00C43ACC"/>
    <w:rsid w:val="00C43F40"/>
    <w:rsid w:val="00C4436C"/>
    <w:rsid w:val="00C44978"/>
    <w:rsid w:val="00C44DFB"/>
    <w:rsid w:val="00C44F17"/>
    <w:rsid w:val="00C4561E"/>
    <w:rsid w:val="00C45638"/>
    <w:rsid w:val="00C457EA"/>
    <w:rsid w:val="00C45B03"/>
    <w:rsid w:val="00C45F04"/>
    <w:rsid w:val="00C461B2"/>
    <w:rsid w:val="00C466EC"/>
    <w:rsid w:val="00C46868"/>
    <w:rsid w:val="00C46A12"/>
    <w:rsid w:val="00C46FEF"/>
    <w:rsid w:val="00C47182"/>
    <w:rsid w:val="00C473B6"/>
    <w:rsid w:val="00C474CF"/>
    <w:rsid w:val="00C47C8E"/>
    <w:rsid w:val="00C5015F"/>
    <w:rsid w:val="00C502C6"/>
    <w:rsid w:val="00C50B20"/>
    <w:rsid w:val="00C50D82"/>
    <w:rsid w:val="00C5105F"/>
    <w:rsid w:val="00C5140E"/>
    <w:rsid w:val="00C51524"/>
    <w:rsid w:val="00C519BB"/>
    <w:rsid w:val="00C51BD5"/>
    <w:rsid w:val="00C51DFC"/>
    <w:rsid w:val="00C520AF"/>
    <w:rsid w:val="00C52914"/>
    <w:rsid w:val="00C52CF2"/>
    <w:rsid w:val="00C52FD1"/>
    <w:rsid w:val="00C5310D"/>
    <w:rsid w:val="00C531E3"/>
    <w:rsid w:val="00C5359B"/>
    <w:rsid w:val="00C535F4"/>
    <w:rsid w:val="00C5366B"/>
    <w:rsid w:val="00C53910"/>
    <w:rsid w:val="00C53967"/>
    <w:rsid w:val="00C53AF7"/>
    <w:rsid w:val="00C53BAF"/>
    <w:rsid w:val="00C53CE9"/>
    <w:rsid w:val="00C540D4"/>
    <w:rsid w:val="00C54793"/>
    <w:rsid w:val="00C548F0"/>
    <w:rsid w:val="00C54B97"/>
    <w:rsid w:val="00C554B5"/>
    <w:rsid w:val="00C554FA"/>
    <w:rsid w:val="00C55715"/>
    <w:rsid w:val="00C55BC4"/>
    <w:rsid w:val="00C55BF5"/>
    <w:rsid w:val="00C55CD2"/>
    <w:rsid w:val="00C560CE"/>
    <w:rsid w:val="00C5612B"/>
    <w:rsid w:val="00C56154"/>
    <w:rsid w:val="00C56D31"/>
    <w:rsid w:val="00C56E05"/>
    <w:rsid w:val="00C56E45"/>
    <w:rsid w:val="00C56EF2"/>
    <w:rsid w:val="00C570A6"/>
    <w:rsid w:val="00C57164"/>
    <w:rsid w:val="00C5737B"/>
    <w:rsid w:val="00C57844"/>
    <w:rsid w:val="00C579F3"/>
    <w:rsid w:val="00C57AE1"/>
    <w:rsid w:val="00C57BAA"/>
    <w:rsid w:val="00C57BFD"/>
    <w:rsid w:val="00C57CBE"/>
    <w:rsid w:val="00C57E44"/>
    <w:rsid w:val="00C57E84"/>
    <w:rsid w:val="00C57F11"/>
    <w:rsid w:val="00C60020"/>
    <w:rsid w:val="00C600B3"/>
    <w:rsid w:val="00C60157"/>
    <w:rsid w:val="00C60439"/>
    <w:rsid w:val="00C60DE1"/>
    <w:rsid w:val="00C60F30"/>
    <w:rsid w:val="00C6115A"/>
    <w:rsid w:val="00C6139D"/>
    <w:rsid w:val="00C61464"/>
    <w:rsid w:val="00C61A92"/>
    <w:rsid w:val="00C61D8D"/>
    <w:rsid w:val="00C61DB8"/>
    <w:rsid w:val="00C61FEF"/>
    <w:rsid w:val="00C62013"/>
    <w:rsid w:val="00C622B7"/>
    <w:rsid w:val="00C6282A"/>
    <w:rsid w:val="00C62A20"/>
    <w:rsid w:val="00C62CB8"/>
    <w:rsid w:val="00C62CD8"/>
    <w:rsid w:val="00C62DF0"/>
    <w:rsid w:val="00C62EBE"/>
    <w:rsid w:val="00C63189"/>
    <w:rsid w:val="00C635C5"/>
    <w:rsid w:val="00C638C7"/>
    <w:rsid w:val="00C63989"/>
    <w:rsid w:val="00C63AB1"/>
    <w:rsid w:val="00C63C52"/>
    <w:rsid w:val="00C63C5A"/>
    <w:rsid w:val="00C6463A"/>
    <w:rsid w:val="00C64670"/>
    <w:rsid w:val="00C646E7"/>
    <w:rsid w:val="00C6499C"/>
    <w:rsid w:val="00C64A72"/>
    <w:rsid w:val="00C64A82"/>
    <w:rsid w:val="00C64D1B"/>
    <w:rsid w:val="00C64DC9"/>
    <w:rsid w:val="00C6525F"/>
    <w:rsid w:val="00C654A5"/>
    <w:rsid w:val="00C65745"/>
    <w:rsid w:val="00C65A05"/>
    <w:rsid w:val="00C65DCD"/>
    <w:rsid w:val="00C66010"/>
    <w:rsid w:val="00C66382"/>
    <w:rsid w:val="00C66A08"/>
    <w:rsid w:val="00C66FE0"/>
    <w:rsid w:val="00C677BD"/>
    <w:rsid w:val="00C67BAB"/>
    <w:rsid w:val="00C67E8E"/>
    <w:rsid w:val="00C67F49"/>
    <w:rsid w:val="00C67F83"/>
    <w:rsid w:val="00C67FE7"/>
    <w:rsid w:val="00C7069B"/>
    <w:rsid w:val="00C70D4E"/>
    <w:rsid w:val="00C7143F"/>
    <w:rsid w:val="00C715C9"/>
    <w:rsid w:val="00C71910"/>
    <w:rsid w:val="00C71ADE"/>
    <w:rsid w:val="00C7201A"/>
    <w:rsid w:val="00C72054"/>
    <w:rsid w:val="00C7215C"/>
    <w:rsid w:val="00C72177"/>
    <w:rsid w:val="00C722A4"/>
    <w:rsid w:val="00C72401"/>
    <w:rsid w:val="00C7272E"/>
    <w:rsid w:val="00C72A1D"/>
    <w:rsid w:val="00C732CA"/>
    <w:rsid w:val="00C73852"/>
    <w:rsid w:val="00C73FC9"/>
    <w:rsid w:val="00C746C3"/>
    <w:rsid w:val="00C74867"/>
    <w:rsid w:val="00C74B0E"/>
    <w:rsid w:val="00C74B8C"/>
    <w:rsid w:val="00C74E3F"/>
    <w:rsid w:val="00C7545E"/>
    <w:rsid w:val="00C758D3"/>
    <w:rsid w:val="00C75A05"/>
    <w:rsid w:val="00C75C62"/>
    <w:rsid w:val="00C75E7E"/>
    <w:rsid w:val="00C7626F"/>
    <w:rsid w:val="00C7631D"/>
    <w:rsid w:val="00C7695E"/>
    <w:rsid w:val="00C76E87"/>
    <w:rsid w:val="00C776F5"/>
    <w:rsid w:val="00C77EFC"/>
    <w:rsid w:val="00C800E9"/>
    <w:rsid w:val="00C802A7"/>
    <w:rsid w:val="00C802F8"/>
    <w:rsid w:val="00C80637"/>
    <w:rsid w:val="00C808A8"/>
    <w:rsid w:val="00C81163"/>
    <w:rsid w:val="00C8142D"/>
    <w:rsid w:val="00C816D1"/>
    <w:rsid w:val="00C819B6"/>
    <w:rsid w:val="00C81A01"/>
    <w:rsid w:val="00C81A29"/>
    <w:rsid w:val="00C81C89"/>
    <w:rsid w:val="00C81C9E"/>
    <w:rsid w:val="00C823F3"/>
    <w:rsid w:val="00C82590"/>
    <w:rsid w:val="00C8268F"/>
    <w:rsid w:val="00C82A60"/>
    <w:rsid w:val="00C82EA3"/>
    <w:rsid w:val="00C8300E"/>
    <w:rsid w:val="00C83090"/>
    <w:rsid w:val="00C830CD"/>
    <w:rsid w:val="00C8332E"/>
    <w:rsid w:val="00C83535"/>
    <w:rsid w:val="00C83825"/>
    <w:rsid w:val="00C83852"/>
    <w:rsid w:val="00C83D00"/>
    <w:rsid w:val="00C83D5A"/>
    <w:rsid w:val="00C83D84"/>
    <w:rsid w:val="00C84C0F"/>
    <w:rsid w:val="00C84C5E"/>
    <w:rsid w:val="00C84E06"/>
    <w:rsid w:val="00C8508D"/>
    <w:rsid w:val="00C852CD"/>
    <w:rsid w:val="00C85492"/>
    <w:rsid w:val="00C85FF8"/>
    <w:rsid w:val="00C86AEF"/>
    <w:rsid w:val="00C86B88"/>
    <w:rsid w:val="00C86FF5"/>
    <w:rsid w:val="00C87436"/>
    <w:rsid w:val="00C879A1"/>
    <w:rsid w:val="00C87FFA"/>
    <w:rsid w:val="00C90912"/>
    <w:rsid w:val="00C90C73"/>
    <w:rsid w:val="00C90EEA"/>
    <w:rsid w:val="00C910C1"/>
    <w:rsid w:val="00C910E7"/>
    <w:rsid w:val="00C9119F"/>
    <w:rsid w:val="00C911AC"/>
    <w:rsid w:val="00C911C5"/>
    <w:rsid w:val="00C91651"/>
    <w:rsid w:val="00C917A4"/>
    <w:rsid w:val="00C922A2"/>
    <w:rsid w:val="00C9268C"/>
    <w:rsid w:val="00C92976"/>
    <w:rsid w:val="00C92B06"/>
    <w:rsid w:val="00C92C07"/>
    <w:rsid w:val="00C9387B"/>
    <w:rsid w:val="00C93EFD"/>
    <w:rsid w:val="00C94094"/>
    <w:rsid w:val="00C944D1"/>
    <w:rsid w:val="00C945DB"/>
    <w:rsid w:val="00C94AFA"/>
    <w:rsid w:val="00C94E1C"/>
    <w:rsid w:val="00C94F0A"/>
    <w:rsid w:val="00C957D3"/>
    <w:rsid w:val="00C9594F"/>
    <w:rsid w:val="00C9598F"/>
    <w:rsid w:val="00C95B7D"/>
    <w:rsid w:val="00C95B7F"/>
    <w:rsid w:val="00C95D93"/>
    <w:rsid w:val="00C96A9B"/>
    <w:rsid w:val="00C97042"/>
    <w:rsid w:val="00C97049"/>
    <w:rsid w:val="00C971C0"/>
    <w:rsid w:val="00C971F4"/>
    <w:rsid w:val="00C97262"/>
    <w:rsid w:val="00C97A89"/>
    <w:rsid w:val="00C97CAC"/>
    <w:rsid w:val="00C97CEE"/>
    <w:rsid w:val="00CA082B"/>
    <w:rsid w:val="00CA0858"/>
    <w:rsid w:val="00CA0F1F"/>
    <w:rsid w:val="00CA10BE"/>
    <w:rsid w:val="00CA10C6"/>
    <w:rsid w:val="00CA1150"/>
    <w:rsid w:val="00CA127C"/>
    <w:rsid w:val="00CA128D"/>
    <w:rsid w:val="00CA161B"/>
    <w:rsid w:val="00CA1C9B"/>
    <w:rsid w:val="00CA1F03"/>
    <w:rsid w:val="00CA26EA"/>
    <w:rsid w:val="00CA27CD"/>
    <w:rsid w:val="00CA2FB2"/>
    <w:rsid w:val="00CA3112"/>
    <w:rsid w:val="00CA3710"/>
    <w:rsid w:val="00CA3760"/>
    <w:rsid w:val="00CA3D3A"/>
    <w:rsid w:val="00CA3E3C"/>
    <w:rsid w:val="00CA42D6"/>
    <w:rsid w:val="00CA42DA"/>
    <w:rsid w:val="00CA4547"/>
    <w:rsid w:val="00CA499B"/>
    <w:rsid w:val="00CA4C32"/>
    <w:rsid w:val="00CA4DCC"/>
    <w:rsid w:val="00CA528A"/>
    <w:rsid w:val="00CA53CC"/>
    <w:rsid w:val="00CA57B8"/>
    <w:rsid w:val="00CA5B57"/>
    <w:rsid w:val="00CA63FB"/>
    <w:rsid w:val="00CA6521"/>
    <w:rsid w:val="00CA6599"/>
    <w:rsid w:val="00CA65AE"/>
    <w:rsid w:val="00CA65B7"/>
    <w:rsid w:val="00CA660A"/>
    <w:rsid w:val="00CA67F0"/>
    <w:rsid w:val="00CA6965"/>
    <w:rsid w:val="00CA6A4F"/>
    <w:rsid w:val="00CA771F"/>
    <w:rsid w:val="00CA7A66"/>
    <w:rsid w:val="00CA7B4F"/>
    <w:rsid w:val="00CA7F71"/>
    <w:rsid w:val="00CB0113"/>
    <w:rsid w:val="00CB06E0"/>
    <w:rsid w:val="00CB0AB4"/>
    <w:rsid w:val="00CB0F75"/>
    <w:rsid w:val="00CB12A3"/>
    <w:rsid w:val="00CB1421"/>
    <w:rsid w:val="00CB1429"/>
    <w:rsid w:val="00CB15E9"/>
    <w:rsid w:val="00CB1735"/>
    <w:rsid w:val="00CB189B"/>
    <w:rsid w:val="00CB1B8F"/>
    <w:rsid w:val="00CB1C35"/>
    <w:rsid w:val="00CB1F20"/>
    <w:rsid w:val="00CB24D7"/>
    <w:rsid w:val="00CB256E"/>
    <w:rsid w:val="00CB2877"/>
    <w:rsid w:val="00CB2A01"/>
    <w:rsid w:val="00CB2AB2"/>
    <w:rsid w:val="00CB2BD2"/>
    <w:rsid w:val="00CB2BD5"/>
    <w:rsid w:val="00CB318E"/>
    <w:rsid w:val="00CB362D"/>
    <w:rsid w:val="00CB472B"/>
    <w:rsid w:val="00CB49EE"/>
    <w:rsid w:val="00CB4C1A"/>
    <w:rsid w:val="00CB4D95"/>
    <w:rsid w:val="00CB5108"/>
    <w:rsid w:val="00CB580F"/>
    <w:rsid w:val="00CB5BD9"/>
    <w:rsid w:val="00CB5C0F"/>
    <w:rsid w:val="00CB5C55"/>
    <w:rsid w:val="00CB6078"/>
    <w:rsid w:val="00CB60C3"/>
    <w:rsid w:val="00CB62C0"/>
    <w:rsid w:val="00CB64DA"/>
    <w:rsid w:val="00CB6501"/>
    <w:rsid w:val="00CB6CEB"/>
    <w:rsid w:val="00CB7132"/>
    <w:rsid w:val="00CB714B"/>
    <w:rsid w:val="00CB72D0"/>
    <w:rsid w:val="00CB7602"/>
    <w:rsid w:val="00CB7801"/>
    <w:rsid w:val="00CB7A16"/>
    <w:rsid w:val="00CB7A5E"/>
    <w:rsid w:val="00CB7D8F"/>
    <w:rsid w:val="00CB7F63"/>
    <w:rsid w:val="00CC0515"/>
    <w:rsid w:val="00CC0686"/>
    <w:rsid w:val="00CC0729"/>
    <w:rsid w:val="00CC0916"/>
    <w:rsid w:val="00CC0BEA"/>
    <w:rsid w:val="00CC123E"/>
    <w:rsid w:val="00CC12D6"/>
    <w:rsid w:val="00CC1368"/>
    <w:rsid w:val="00CC177B"/>
    <w:rsid w:val="00CC1952"/>
    <w:rsid w:val="00CC1D1A"/>
    <w:rsid w:val="00CC1D83"/>
    <w:rsid w:val="00CC2D11"/>
    <w:rsid w:val="00CC3035"/>
    <w:rsid w:val="00CC35B6"/>
    <w:rsid w:val="00CC3C94"/>
    <w:rsid w:val="00CC3F51"/>
    <w:rsid w:val="00CC411D"/>
    <w:rsid w:val="00CC48F9"/>
    <w:rsid w:val="00CC4EAF"/>
    <w:rsid w:val="00CC4EC4"/>
    <w:rsid w:val="00CC50B0"/>
    <w:rsid w:val="00CC50FA"/>
    <w:rsid w:val="00CC511A"/>
    <w:rsid w:val="00CC548E"/>
    <w:rsid w:val="00CC54CB"/>
    <w:rsid w:val="00CC5682"/>
    <w:rsid w:val="00CC5956"/>
    <w:rsid w:val="00CC5C41"/>
    <w:rsid w:val="00CC5E3A"/>
    <w:rsid w:val="00CC5FB2"/>
    <w:rsid w:val="00CC6260"/>
    <w:rsid w:val="00CC631C"/>
    <w:rsid w:val="00CC6332"/>
    <w:rsid w:val="00CC66B0"/>
    <w:rsid w:val="00CC6E82"/>
    <w:rsid w:val="00CC7000"/>
    <w:rsid w:val="00CC7344"/>
    <w:rsid w:val="00CC77C2"/>
    <w:rsid w:val="00CC7D12"/>
    <w:rsid w:val="00CD007B"/>
    <w:rsid w:val="00CD06DD"/>
    <w:rsid w:val="00CD0AB5"/>
    <w:rsid w:val="00CD120E"/>
    <w:rsid w:val="00CD122D"/>
    <w:rsid w:val="00CD1404"/>
    <w:rsid w:val="00CD14F6"/>
    <w:rsid w:val="00CD236B"/>
    <w:rsid w:val="00CD2C12"/>
    <w:rsid w:val="00CD2FF6"/>
    <w:rsid w:val="00CD376A"/>
    <w:rsid w:val="00CD3A2B"/>
    <w:rsid w:val="00CD3FC6"/>
    <w:rsid w:val="00CD4190"/>
    <w:rsid w:val="00CD43FE"/>
    <w:rsid w:val="00CD4575"/>
    <w:rsid w:val="00CD47F1"/>
    <w:rsid w:val="00CD4C89"/>
    <w:rsid w:val="00CD58A2"/>
    <w:rsid w:val="00CD5B22"/>
    <w:rsid w:val="00CD5B3A"/>
    <w:rsid w:val="00CD5CED"/>
    <w:rsid w:val="00CD5DAB"/>
    <w:rsid w:val="00CD5DD6"/>
    <w:rsid w:val="00CD62B0"/>
    <w:rsid w:val="00CD6B05"/>
    <w:rsid w:val="00CD6E86"/>
    <w:rsid w:val="00CD6EC6"/>
    <w:rsid w:val="00CD6F1D"/>
    <w:rsid w:val="00CD7276"/>
    <w:rsid w:val="00CD73D0"/>
    <w:rsid w:val="00CD7502"/>
    <w:rsid w:val="00CD751F"/>
    <w:rsid w:val="00CD7AF7"/>
    <w:rsid w:val="00CD7E91"/>
    <w:rsid w:val="00CE01F1"/>
    <w:rsid w:val="00CE084B"/>
    <w:rsid w:val="00CE0B7C"/>
    <w:rsid w:val="00CE0C62"/>
    <w:rsid w:val="00CE0D90"/>
    <w:rsid w:val="00CE0EF8"/>
    <w:rsid w:val="00CE14EB"/>
    <w:rsid w:val="00CE1693"/>
    <w:rsid w:val="00CE1B99"/>
    <w:rsid w:val="00CE1F96"/>
    <w:rsid w:val="00CE2113"/>
    <w:rsid w:val="00CE2398"/>
    <w:rsid w:val="00CE28E3"/>
    <w:rsid w:val="00CE3274"/>
    <w:rsid w:val="00CE3445"/>
    <w:rsid w:val="00CE4005"/>
    <w:rsid w:val="00CE4041"/>
    <w:rsid w:val="00CE40BE"/>
    <w:rsid w:val="00CE4785"/>
    <w:rsid w:val="00CE48A6"/>
    <w:rsid w:val="00CE49A2"/>
    <w:rsid w:val="00CE4EA8"/>
    <w:rsid w:val="00CE4F26"/>
    <w:rsid w:val="00CE518C"/>
    <w:rsid w:val="00CE525B"/>
    <w:rsid w:val="00CE5590"/>
    <w:rsid w:val="00CE5817"/>
    <w:rsid w:val="00CE5A0B"/>
    <w:rsid w:val="00CE5BD7"/>
    <w:rsid w:val="00CE5C8A"/>
    <w:rsid w:val="00CE5EDE"/>
    <w:rsid w:val="00CE5FC9"/>
    <w:rsid w:val="00CE6156"/>
    <w:rsid w:val="00CE647B"/>
    <w:rsid w:val="00CE6831"/>
    <w:rsid w:val="00CE6B88"/>
    <w:rsid w:val="00CE6DA2"/>
    <w:rsid w:val="00CE75BB"/>
    <w:rsid w:val="00CE763C"/>
    <w:rsid w:val="00CE784A"/>
    <w:rsid w:val="00CE786D"/>
    <w:rsid w:val="00CE78C2"/>
    <w:rsid w:val="00CE79C2"/>
    <w:rsid w:val="00CF04D1"/>
    <w:rsid w:val="00CF0847"/>
    <w:rsid w:val="00CF087F"/>
    <w:rsid w:val="00CF0B36"/>
    <w:rsid w:val="00CF0D5A"/>
    <w:rsid w:val="00CF0FEB"/>
    <w:rsid w:val="00CF187D"/>
    <w:rsid w:val="00CF1A2D"/>
    <w:rsid w:val="00CF1B67"/>
    <w:rsid w:val="00CF1DDE"/>
    <w:rsid w:val="00CF22CD"/>
    <w:rsid w:val="00CF23F4"/>
    <w:rsid w:val="00CF2421"/>
    <w:rsid w:val="00CF2913"/>
    <w:rsid w:val="00CF328A"/>
    <w:rsid w:val="00CF3352"/>
    <w:rsid w:val="00CF36B6"/>
    <w:rsid w:val="00CF3AF4"/>
    <w:rsid w:val="00CF3BAA"/>
    <w:rsid w:val="00CF4166"/>
    <w:rsid w:val="00CF42E3"/>
    <w:rsid w:val="00CF439F"/>
    <w:rsid w:val="00CF4A2B"/>
    <w:rsid w:val="00CF4B97"/>
    <w:rsid w:val="00CF4CBB"/>
    <w:rsid w:val="00CF5064"/>
    <w:rsid w:val="00CF51ED"/>
    <w:rsid w:val="00CF543F"/>
    <w:rsid w:val="00CF554A"/>
    <w:rsid w:val="00CF560A"/>
    <w:rsid w:val="00CF57B4"/>
    <w:rsid w:val="00CF59FC"/>
    <w:rsid w:val="00CF5CE3"/>
    <w:rsid w:val="00CF5DA0"/>
    <w:rsid w:val="00CF5E5F"/>
    <w:rsid w:val="00CF5EA2"/>
    <w:rsid w:val="00CF6183"/>
    <w:rsid w:val="00CF64CF"/>
    <w:rsid w:val="00CF6C29"/>
    <w:rsid w:val="00CF6CB7"/>
    <w:rsid w:val="00CF7120"/>
    <w:rsid w:val="00CF7237"/>
    <w:rsid w:val="00CF724C"/>
    <w:rsid w:val="00CF7637"/>
    <w:rsid w:val="00CF788D"/>
    <w:rsid w:val="00CF792C"/>
    <w:rsid w:val="00CF79F1"/>
    <w:rsid w:val="00D000FE"/>
    <w:rsid w:val="00D001B4"/>
    <w:rsid w:val="00D003B7"/>
    <w:rsid w:val="00D00461"/>
    <w:rsid w:val="00D00A03"/>
    <w:rsid w:val="00D00DBB"/>
    <w:rsid w:val="00D00E36"/>
    <w:rsid w:val="00D017CD"/>
    <w:rsid w:val="00D01862"/>
    <w:rsid w:val="00D01AE3"/>
    <w:rsid w:val="00D01C55"/>
    <w:rsid w:val="00D01FFB"/>
    <w:rsid w:val="00D020B1"/>
    <w:rsid w:val="00D02143"/>
    <w:rsid w:val="00D02B9E"/>
    <w:rsid w:val="00D02E79"/>
    <w:rsid w:val="00D02F4F"/>
    <w:rsid w:val="00D033D5"/>
    <w:rsid w:val="00D03587"/>
    <w:rsid w:val="00D0409B"/>
    <w:rsid w:val="00D0426B"/>
    <w:rsid w:val="00D045AC"/>
    <w:rsid w:val="00D04C42"/>
    <w:rsid w:val="00D04CB3"/>
    <w:rsid w:val="00D05188"/>
    <w:rsid w:val="00D05460"/>
    <w:rsid w:val="00D055FD"/>
    <w:rsid w:val="00D056DD"/>
    <w:rsid w:val="00D05AB7"/>
    <w:rsid w:val="00D05CDF"/>
    <w:rsid w:val="00D06403"/>
    <w:rsid w:val="00D066A0"/>
    <w:rsid w:val="00D06781"/>
    <w:rsid w:val="00D068DD"/>
    <w:rsid w:val="00D0693A"/>
    <w:rsid w:val="00D06C25"/>
    <w:rsid w:val="00D06D16"/>
    <w:rsid w:val="00D07044"/>
    <w:rsid w:val="00D07344"/>
    <w:rsid w:val="00D0738D"/>
    <w:rsid w:val="00D079E5"/>
    <w:rsid w:val="00D104DE"/>
    <w:rsid w:val="00D10773"/>
    <w:rsid w:val="00D10FBC"/>
    <w:rsid w:val="00D114CF"/>
    <w:rsid w:val="00D11B7B"/>
    <w:rsid w:val="00D11D0C"/>
    <w:rsid w:val="00D12635"/>
    <w:rsid w:val="00D13074"/>
    <w:rsid w:val="00D13B0A"/>
    <w:rsid w:val="00D13E03"/>
    <w:rsid w:val="00D13EEB"/>
    <w:rsid w:val="00D13FD1"/>
    <w:rsid w:val="00D1462A"/>
    <w:rsid w:val="00D1464F"/>
    <w:rsid w:val="00D14744"/>
    <w:rsid w:val="00D14E59"/>
    <w:rsid w:val="00D158A8"/>
    <w:rsid w:val="00D15E04"/>
    <w:rsid w:val="00D15F05"/>
    <w:rsid w:val="00D1627A"/>
    <w:rsid w:val="00D16782"/>
    <w:rsid w:val="00D167AE"/>
    <w:rsid w:val="00D169E5"/>
    <w:rsid w:val="00D17A02"/>
    <w:rsid w:val="00D17BC0"/>
    <w:rsid w:val="00D17D64"/>
    <w:rsid w:val="00D17DA1"/>
    <w:rsid w:val="00D20031"/>
    <w:rsid w:val="00D20079"/>
    <w:rsid w:val="00D2061E"/>
    <w:rsid w:val="00D20A8F"/>
    <w:rsid w:val="00D20FCD"/>
    <w:rsid w:val="00D212A3"/>
    <w:rsid w:val="00D218EE"/>
    <w:rsid w:val="00D21A26"/>
    <w:rsid w:val="00D21A85"/>
    <w:rsid w:val="00D21AD5"/>
    <w:rsid w:val="00D21AE6"/>
    <w:rsid w:val="00D21B3A"/>
    <w:rsid w:val="00D21FD8"/>
    <w:rsid w:val="00D2239C"/>
    <w:rsid w:val="00D225CE"/>
    <w:rsid w:val="00D22671"/>
    <w:rsid w:val="00D234E9"/>
    <w:rsid w:val="00D235BD"/>
    <w:rsid w:val="00D23C8E"/>
    <w:rsid w:val="00D23F09"/>
    <w:rsid w:val="00D24110"/>
    <w:rsid w:val="00D24153"/>
    <w:rsid w:val="00D24390"/>
    <w:rsid w:val="00D24426"/>
    <w:rsid w:val="00D248DE"/>
    <w:rsid w:val="00D24B19"/>
    <w:rsid w:val="00D24B6C"/>
    <w:rsid w:val="00D25250"/>
    <w:rsid w:val="00D25799"/>
    <w:rsid w:val="00D25E61"/>
    <w:rsid w:val="00D25EF3"/>
    <w:rsid w:val="00D26011"/>
    <w:rsid w:val="00D26491"/>
    <w:rsid w:val="00D2687A"/>
    <w:rsid w:val="00D270A1"/>
    <w:rsid w:val="00D27184"/>
    <w:rsid w:val="00D271CA"/>
    <w:rsid w:val="00D27582"/>
    <w:rsid w:val="00D27D97"/>
    <w:rsid w:val="00D3001F"/>
    <w:rsid w:val="00D30035"/>
    <w:rsid w:val="00D306F6"/>
    <w:rsid w:val="00D312CB"/>
    <w:rsid w:val="00D313B3"/>
    <w:rsid w:val="00D31416"/>
    <w:rsid w:val="00D31458"/>
    <w:rsid w:val="00D3150B"/>
    <w:rsid w:val="00D31518"/>
    <w:rsid w:val="00D31628"/>
    <w:rsid w:val="00D319A7"/>
    <w:rsid w:val="00D31AD8"/>
    <w:rsid w:val="00D31DD2"/>
    <w:rsid w:val="00D31DDF"/>
    <w:rsid w:val="00D323D4"/>
    <w:rsid w:val="00D32495"/>
    <w:rsid w:val="00D3278C"/>
    <w:rsid w:val="00D32879"/>
    <w:rsid w:val="00D3292B"/>
    <w:rsid w:val="00D32AA3"/>
    <w:rsid w:val="00D334FE"/>
    <w:rsid w:val="00D33938"/>
    <w:rsid w:val="00D3398F"/>
    <w:rsid w:val="00D33BED"/>
    <w:rsid w:val="00D33C7D"/>
    <w:rsid w:val="00D33CF3"/>
    <w:rsid w:val="00D33DCB"/>
    <w:rsid w:val="00D33F02"/>
    <w:rsid w:val="00D341AF"/>
    <w:rsid w:val="00D3447B"/>
    <w:rsid w:val="00D344BE"/>
    <w:rsid w:val="00D34779"/>
    <w:rsid w:val="00D34D19"/>
    <w:rsid w:val="00D3581B"/>
    <w:rsid w:val="00D358F7"/>
    <w:rsid w:val="00D359D4"/>
    <w:rsid w:val="00D35EA2"/>
    <w:rsid w:val="00D35F57"/>
    <w:rsid w:val="00D36376"/>
    <w:rsid w:val="00D36B0C"/>
    <w:rsid w:val="00D36B97"/>
    <w:rsid w:val="00D36DBC"/>
    <w:rsid w:val="00D36E67"/>
    <w:rsid w:val="00D37062"/>
    <w:rsid w:val="00D37146"/>
    <w:rsid w:val="00D37397"/>
    <w:rsid w:val="00D37897"/>
    <w:rsid w:val="00D378D6"/>
    <w:rsid w:val="00D37A8D"/>
    <w:rsid w:val="00D37BAB"/>
    <w:rsid w:val="00D37D44"/>
    <w:rsid w:val="00D37EF3"/>
    <w:rsid w:val="00D37EF5"/>
    <w:rsid w:val="00D401AA"/>
    <w:rsid w:val="00D403F9"/>
    <w:rsid w:val="00D40499"/>
    <w:rsid w:val="00D405D8"/>
    <w:rsid w:val="00D40AA5"/>
    <w:rsid w:val="00D40AA8"/>
    <w:rsid w:val="00D40AE1"/>
    <w:rsid w:val="00D40D28"/>
    <w:rsid w:val="00D410E2"/>
    <w:rsid w:val="00D410FB"/>
    <w:rsid w:val="00D4141D"/>
    <w:rsid w:val="00D418D3"/>
    <w:rsid w:val="00D419C9"/>
    <w:rsid w:val="00D41A06"/>
    <w:rsid w:val="00D41A21"/>
    <w:rsid w:val="00D41B02"/>
    <w:rsid w:val="00D41E7B"/>
    <w:rsid w:val="00D4250C"/>
    <w:rsid w:val="00D428B9"/>
    <w:rsid w:val="00D43246"/>
    <w:rsid w:val="00D43891"/>
    <w:rsid w:val="00D43C03"/>
    <w:rsid w:val="00D43E2C"/>
    <w:rsid w:val="00D43F8F"/>
    <w:rsid w:val="00D43FEC"/>
    <w:rsid w:val="00D445C7"/>
    <w:rsid w:val="00D44D82"/>
    <w:rsid w:val="00D44FA4"/>
    <w:rsid w:val="00D45095"/>
    <w:rsid w:val="00D455E8"/>
    <w:rsid w:val="00D45750"/>
    <w:rsid w:val="00D457EA"/>
    <w:rsid w:val="00D4586E"/>
    <w:rsid w:val="00D45C42"/>
    <w:rsid w:val="00D45EEB"/>
    <w:rsid w:val="00D4708B"/>
    <w:rsid w:val="00D47B0D"/>
    <w:rsid w:val="00D47D16"/>
    <w:rsid w:val="00D47E2C"/>
    <w:rsid w:val="00D50024"/>
    <w:rsid w:val="00D508A7"/>
    <w:rsid w:val="00D509C2"/>
    <w:rsid w:val="00D509C8"/>
    <w:rsid w:val="00D50A8D"/>
    <w:rsid w:val="00D50B96"/>
    <w:rsid w:val="00D50CE1"/>
    <w:rsid w:val="00D50D7E"/>
    <w:rsid w:val="00D50EEA"/>
    <w:rsid w:val="00D528F4"/>
    <w:rsid w:val="00D52A9A"/>
    <w:rsid w:val="00D52E54"/>
    <w:rsid w:val="00D52FBC"/>
    <w:rsid w:val="00D52FF5"/>
    <w:rsid w:val="00D53D22"/>
    <w:rsid w:val="00D5431F"/>
    <w:rsid w:val="00D54992"/>
    <w:rsid w:val="00D54A1B"/>
    <w:rsid w:val="00D54CAF"/>
    <w:rsid w:val="00D54CC5"/>
    <w:rsid w:val="00D558B0"/>
    <w:rsid w:val="00D55AE1"/>
    <w:rsid w:val="00D56DF5"/>
    <w:rsid w:val="00D56DFA"/>
    <w:rsid w:val="00D572C3"/>
    <w:rsid w:val="00D5745C"/>
    <w:rsid w:val="00D60E22"/>
    <w:rsid w:val="00D60F41"/>
    <w:rsid w:val="00D61060"/>
    <w:rsid w:val="00D6112A"/>
    <w:rsid w:val="00D61302"/>
    <w:rsid w:val="00D613D5"/>
    <w:rsid w:val="00D625CE"/>
    <w:rsid w:val="00D62B11"/>
    <w:rsid w:val="00D62DAA"/>
    <w:rsid w:val="00D62F4D"/>
    <w:rsid w:val="00D6305E"/>
    <w:rsid w:val="00D633D9"/>
    <w:rsid w:val="00D636CB"/>
    <w:rsid w:val="00D63851"/>
    <w:rsid w:val="00D63BB6"/>
    <w:rsid w:val="00D63FEC"/>
    <w:rsid w:val="00D64906"/>
    <w:rsid w:val="00D64F46"/>
    <w:rsid w:val="00D652D9"/>
    <w:rsid w:val="00D65B32"/>
    <w:rsid w:val="00D65CCC"/>
    <w:rsid w:val="00D66097"/>
    <w:rsid w:val="00D667B6"/>
    <w:rsid w:val="00D667EF"/>
    <w:rsid w:val="00D673A3"/>
    <w:rsid w:val="00D6748D"/>
    <w:rsid w:val="00D67D38"/>
    <w:rsid w:val="00D67D45"/>
    <w:rsid w:val="00D706FA"/>
    <w:rsid w:val="00D708E9"/>
    <w:rsid w:val="00D70A1F"/>
    <w:rsid w:val="00D70DDA"/>
    <w:rsid w:val="00D710E3"/>
    <w:rsid w:val="00D71539"/>
    <w:rsid w:val="00D71761"/>
    <w:rsid w:val="00D71D6C"/>
    <w:rsid w:val="00D71EF8"/>
    <w:rsid w:val="00D72B28"/>
    <w:rsid w:val="00D72BD8"/>
    <w:rsid w:val="00D72C18"/>
    <w:rsid w:val="00D72E44"/>
    <w:rsid w:val="00D733DE"/>
    <w:rsid w:val="00D73847"/>
    <w:rsid w:val="00D739EC"/>
    <w:rsid w:val="00D73A0A"/>
    <w:rsid w:val="00D73A64"/>
    <w:rsid w:val="00D73AD9"/>
    <w:rsid w:val="00D73FE9"/>
    <w:rsid w:val="00D7409E"/>
    <w:rsid w:val="00D740A9"/>
    <w:rsid w:val="00D74588"/>
    <w:rsid w:val="00D74FF7"/>
    <w:rsid w:val="00D75356"/>
    <w:rsid w:val="00D75670"/>
    <w:rsid w:val="00D75ABC"/>
    <w:rsid w:val="00D76026"/>
    <w:rsid w:val="00D760A3"/>
    <w:rsid w:val="00D7640C"/>
    <w:rsid w:val="00D76AFE"/>
    <w:rsid w:val="00D77309"/>
    <w:rsid w:val="00D77814"/>
    <w:rsid w:val="00D7782E"/>
    <w:rsid w:val="00D77B4A"/>
    <w:rsid w:val="00D77D54"/>
    <w:rsid w:val="00D8083B"/>
    <w:rsid w:val="00D80C29"/>
    <w:rsid w:val="00D80D0B"/>
    <w:rsid w:val="00D81254"/>
    <w:rsid w:val="00D812F8"/>
    <w:rsid w:val="00D817C8"/>
    <w:rsid w:val="00D820FB"/>
    <w:rsid w:val="00D822AB"/>
    <w:rsid w:val="00D82AF4"/>
    <w:rsid w:val="00D82AF6"/>
    <w:rsid w:val="00D82B69"/>
    <w:rsid w:val="00D82B87"/>
    <w:rsid w:val="00D82C7A"/>
    <w:rsid w:val="00D83022"/>
    <w:rsid w:val="00D8316D"/>
    <w:rsid w:val="00D83B51"/>
    <w:rsid w:val="00D84054"/>
    <w:rsid w:val="00D8418D"/>
    <w:rsid w:val="00D84606"/>
    <w:rsid w:val="00D8475E"/>
    <w:rsid w:val="00D84876"/>
    <w:rsid w:val="00D84885"/>
    <w:rsid w:val="00D84ECA"/>
    <w:rsid w:val="00D8525E"/>
    <w:rsid w:val="00D8576D"/>
    <w:rsid w:val="00D85B9F"/>
    <w:rsid w:val="00D85C9A"/>
    <w:rsid w:val="00D8664B"/>
    <w:rsid w:val="00D868F8"/>
    <w:rsid w:val="00D86946"/>
    <w:rsid w:val="00D86A29"/>
    <w:rsid w:val="00D86B09"/>
    <w:rsid w:val="00D86CA7"/>
    <w:rsid w:val="00D86DAA"/>
    <w:rsid w:val="00D86E13"/>
    <w:rsid w:val="00D870C2"/>
    <w:rsid w:val="00D87511"/>
    <w:rsid w:val="00D876BB"/>
    <w:rsid w:val="00D9041B"/>
    <w:rsid w:val="00D90DBB"/>
    <w:rsid w:val="00D90DD9"/>
    <w:rsid w:val="00D90E2F"/>
    <w:rsid w:val="00D911ED"/>
    <w:rsid w:val="00D91304"/>
    <w:rsid w:val="00D9141D"/>
    <w:rsid w:val="00D915F2"/>
    <w:rsid w:val="00D91719"/>
    <w:rsid w:val="00D91747"/>
    <w:rsid w:val="00D917AE"/>
    <w:rsid w:val="00D92059"/>
    <w:rsid w:val="00D921E5"/>
    <w:rsid w:val="00D92213"/>
    <w:rsid w:val="00D92364"/>
    <w:rsid w:val="00D923B6"/>
    <w:rsid w:val="00D927C5"/>
    <w:rsid w:val="00D92DC3"/>
    <w:rsid w:val="00D93745"/>
    <w:rsid w:val="00D937CC"/>
    <w:rsid w:val="00D93A21"/>
    <w:rsid w:val="00D946C9"/>
    <w:rsid w:val="00D9474F"/>
    <w:rsid w:val="00D94834"/>
    <w:rsid w:val="00D94858"/>
    <w:rsid w:val="00D94CF3"/>
    <w:rsid w:val="00D94D23"/>
    <w:rsid w:val="00D94DD4"/>
    <w:rsid w:val="00D94F48"/>
    <w:rsid w:val="00D951FA"/>
    <w:rsid w:val="00D95700"/>
    <w:rsid w:val="00D95872"/>
    <w:rsid w:val="00D95A59"/>
    <w:rsid w:val="00D9650B"/>
    <w:rsid w:val="00D967A8"/>
    <w:rsid w:val="00D96C29"/>
    <w:rsid w:val="00D96DE4"/>
    <w:rsid w:val="00D97045"/>
    <w:rsid w:val="00D975D4"/>
    <w:rsid w:val="00D9779D"/>
    <w:rsid w:val="00D977A8"/>
    <w:rsid w:val="00D9795A"/>
    <w:rsid w:val="00D97B26"/>
    <w:rsid w:val="00D97C79"/>
    <w:rsid w:val="00D97F02"/>
    <w:rsid w:val="00DA03EE"/>
    <w:rsid w:val="00DA046C"/>
    <w:rsid w:val="00DA058E"/>
    <w:rsid w:val="00DA0686"/>
    <w:rsid w:val="00DA0EDB"/>
    <w:rsid w:val="00DA1161"/>
    <w:rsid w:val="00DA121B"/>
    <w:rsid w:val="00DA1303"/>
    <w:rsid w:val="00DA14C5"/>
    <w:rsid w:val="00DA190B"/>
    <w:rsid w:val="00DA1A27"/>
    <w:rsid w:val="00DA1E48"/>
    <w:rsid w:val="00DA2365"/>
    <w:rsid w:val="00DA2432"/>
    <w:rsid w:val="00DA2479"/>
    <w:rsid w:val="00DA2685"/>
    <w:rsid w:val="00DA26FB"/>
    <w:rsid w:val="00DA2D36"/>
    <w:rsid w:val="00DA2E03"/>
    <w:rsid w:val="00DA30EA"/>
    <w:rsid w:val="00DA347A"/>
    <w:rsid w:val="00DA39F9"/>
    <w:rsid w:val="00DA40FE"/>
    <w:rsid w:val="00DA42B2"/>
    <w:rsid w:val="00DA45DB"/>
    <w:rsid w:val="00DA4B60"/>
    <w:rsid w:val="00DA4D82"/>
    <w:rsid w:val="00DA512C"/>
    <w:rsid w:val="00DA53EC"/>
    <w:rsid w:val="00DA5413"/>
    <w:rsid w:val="00DA575A"/>
    <w:rsid w:val="00DA59A7"/>
    <w:rsid w:val="00DA5B66"/>
    <w:rsid w:val="00DA5CBF"/>
    <w:rsid w:val="00DA6524"/>
    <w:rsid w:val="00DA66E5"/>
    <w:rsid w:val="00DA6765"/>
    <w:rsid w:val="00DA6B82"/>
    <w:rsid w:val="00DA6C80"/>
    <w:rsid w:val="00DA6CAE"/>
    <w:rsid w:val="00DA6E57"/>
    <w:rsid w:val="00DA6EDC"/>
    <w:rsid w:val="00DA7202"/>
    <w:rsid w:val="00DA786F"/>
    <w:rsid w:val="00DA79F2"/>
    <w:rsid w:val="00DA7B8E"/>
    <w:rsid w:val="00DA7EF4"/>
    <w:rsid w:val="00DB003C"/>
    <w:rsid w:val="00DB0190"/>
    <w:rsid w:val="00DB0396"/>
    <w:rsid w:val="00DB03DF"/>
    <w:rsid w:val="00DB046B"/>
    <w:rsid w:val="00DB0AB5"/>
    <w:rsid w:val="00DB0D2F"/>
    <w:rsid w:val="00DB0FB1"/>
    <w:rsid w:val="00DB105D"/>
    <w:rsid w:val="00DB106F"/>
    <w:rsid w:val="00DB11BD"/>
    <w:rsid w:val="00DB1344"/>
    <w:rsid w:val="00DB1D9B"/>
    <w:rsid w:val="00DB1E91"/>
    <w:rsid w:val="00DB2309"/>
    <w:rsid w:val="00DB26B2"/>
    <w:rsid w:val="00DB303D"/>
    <w:rsid w:val="00DB30E3"/>
    <w:rsid w:val="00DB386F"/>
    <w:rsid w:val="00DB3971"/>
    <w:rsid w:val="00DB39CB"/>
    <w:rsid w:val="00DB3B14"/>
    <w:rsid w:val="00DB4410"/>
    <w:rsid w:val="00DB444F"/>
    <w:rsid w:val="00DB446C"/>
    <w:rsid w:val="00DB464A"/>
    <w:rsid w:val="00DB4691"/>
    <w:rsid w:val="00DB4724"/>
    <w:rsid w:val="00DB4770"/>
    <w:rsid w:val="00DB4EF2"/>
    <w:rsid w:val="00DB4FB0"/>
    <w:rsid w:val="00DB5117"/>
    <w:rsid w:val="00DB587A"/>
    <w:rsid w:val="00DB5AB3"/>
    <w:rsid w:val="00DB6031"/>
    <w:rsid w:val="00DB6479"/>
    <w:rsid w:val="00DB65D7"/>
    <w:rsid w:val="00DB664A"/>
    <w:rsid w:val="00DB6767"/>
    <w:rsid w:val="00DB6784"/>
    <w:rsid w:val="00DB67D1"/>
    <w:rsid w:val="00DB6864"/>
    <w:rsid w:val="00DB6D20"/>
    <w:rsid w:val="00DB6D6D"/>
    <w:rsid w:val="00DB6EEE"/>
    <w:rsid w:val="00DB727D"/>
    <w:rsid w:val="00DB7463"/>
    <w:rsid w:val="00DB77C7"/>
    <w:rsid w:val="00DB7A84"/>
    <w:rsid w:val="00DC0C35"/>
    <w:rsid w:val="00DC0CD8"/>
    <w:rsid w:val="00DC14AF"/>
    <w:rsid w:val="00DC1720"/>
    <w:rsid w:val="00DC17C0"/>
    <w:rsid w:val="00DC1A31"/>
    <w:rsid w:val="00DC1C53"/>
    <w:rsid w:val="00DC1DF9"/>
    <w:rsid w:val="00DC1E11"/>
    <w:rsid w:val="00DC27B6"/>
    <w:rsid w:val="00DC2F7F"/>
    <w:rsid w:val="00DC3633"/>
    <w:rsid w:val="00DC36DE"/>
    <w:rsid w:val="00DC39A1"/>
    <w:rsid w:val="00DC3A07"/>
    <w:rsid w:val="00DC3AEE"/>
    <w:rsid w:val="00DC3B7A"/>
    <w:rsid w:val="00DC3BF9"/>
    <w:rsid w:val="00DC40A9"/>
    <w:rsid w:val="00DC4108"/>
    <w:rsid w:val="00DC437E"/>
    <w:rsid w:val="00DC44EE"/>
    <w:rsid w:val="00DC4AF2"/>
    <w:rsid w:val="00DC4B78"/>
    <w:rsid w:val="00DC4D92"/>
    <w:rsid w:val="00DC4EC7"/>
    <w:rsid w:val="00DC4F1B"/>
    <w:rsid w:val="00DC4F64"/>
    <w:rsid w:val="00DC50C5"/>
    <w:rsid w:val="00DC5126"/>
    <w:rsid w:val="00DC526B"/>
    <w:rsid w:val="00DC5BFB"/>
    <w:rsid w:val="00DC5C14"/>
    <w:rsid w:val="00DC601F"/>
    <w:rsid w:val="00DC63A1"/>
    <w:rsid w:val="00DC64A7"/>
    <w:rsid w:val="00DC6903"/>
    <w:rsid w:val="00DC6B61"/>
    <w:rsid w:val="00DC7010"/>
    <w:rsid w:val="00DC7C1E"/>
    <w:rsid w:val="00DC7CD0"/>
    <w:rsid w:val="00DC7F09"/>
    <w:rsid w:val="00DC7F64"/>
    <w:rsid w:val="00DD0114"/>
    <w:rsid w:val="00DD0554"/>
    <w:rsid w:val="00DD0617"/>
    <w:rsid w:val="00DD0953"/>
    <w:rsid w:val="00DD09DE"/>
    <w:rsid w:val="00DD0AA1"/>
    <w:rsid w:val="00DD1A95"/>
    <w:rsid w:val="00DD1CBB"/>
    <w:rsid w:val="00DD1D66"/>
    <w:rsid w:val="00DD210B"/>
    <w:rsid w:val="00DD2390"/>
    <w:rsid w:val="00DD26DB"/>
    <w:rsid w:val="00DD2C81"/>
    <w:rsid w:val="00DD2D41"/>
    <w:rsid w:val="00DD3718"/>
    <w:rsid w:val="00DD3973"/>
    <w:rsid w:val="00DD39DB"/>
    <w:rsid w:val="00DD459C"/>
    <w:rsid w:val="00DD596E"/>
    <w:rsid w:val="00DD5A34"/>
    <w:rsid w:val="00DD5C81"/>
    <w:rsid w:val="00DD5EA4"/>
    <w:rsid w:val="00DD611D"/>
    <w:rsid w:val="00DD66D3"/>
    <w:rsid w:val="00DD66DF"/>
    <w:rsid w:val="00DD6713"/>
    <w:rsid w:val="00DD6F26"/>
    <w:rsid w:val="00DD77DB"/>
    <w:rsid w:val="00DD7C7A"/>
    <w:rsid w:val="00DE03F0"/>
    <w:rsid w:val="00DE0973"/>
    <w:rsid w:val="00DE0C37"/>
    <w:rsid w:val="00DE0E5A"/>
    <w:rsid w:val="00DE1420"/>
    <w:rsid w:val="00DE14FB"/>
    <w:rsid w:val="00DE1A6D"/>
    <w:rsid w:val="00DE2492"/>
    <w:rsid w:val="00DE2496"/>
    <w:rsid w:val="00DE2511"/>
    <w:rsid w:val="00DE323E"/>
    <w:rsid w:val="00DE337C"/>
    <w:rsid w:val="00DE34AF"/>
    <w:rsid w:val="00DE3D00"/>
    <w:rsid w:val="00DE3FCE"/>
    <w:rsid w:val="00DE44C0"/>
    <w:rsid w:val="00DE4560"/>
    <w:rsid w:val="00DE465A"/>
    <w:rsid w:val="00DE4865"/>
    <w:rsid w:val="00DE4A8B"/>
    <w:rsid w:val="00DE4B01"/>
    <w:rsid w:val="00DE50BA"/>
    <w:rsid w:val="00DE5150"/>
    <w:rsid w:val="00DE59F4"/>
    <w:rsid w:val="00DE5A5A"/>
    <w:rsid w:val="00DE5BEA"/>
    <w:rsid w:val="00DE5C75"/>
    <w:rsid w:val="00DE643E"/>
    <w:rsid w:val="00DE6DFA"/>
    <w:rsid w:val="00DE6E0D"/>
    <w:rsid w:val="00DE7099"/>
    <w:rsid w:val="00DE70E8"/>
    <w:rsid w:val="00DE7302"/>
    <w:rsid w:val="00DE7493"/>
    <w:rsid w:val="00DE75AB"/>
    <w:rsid w:val="00DF06EB"/>
    <w:rsid w:val="00DF075D"/>
    <w:rsid w:val="00DF08AD"/>
    <w:rsid w:val="00DF08FC"/>
    <w:rsid w:val="00DF0DC9"/>
    <w:rsid w:val="00DF0FAA"/>
    <w:rsid w:val="00DF1DEF"/>
    <w:rsid w:val="00DF20A4"/>
    <w:rsid w:val="00DF268E"/>
    <w:rsid w:val="00DF277E"/>
    <w:rsid w:val="00DF2DED"/>
    <w:rsid w:val="00DF2E73"/>
    <w:rsid w:val="00DF341B"/>
    <w:rsid w:val="00DF349F"/>
    <w:rsid w:val="00DF3584"/>
    <w:rsid w:val="00DF39BC"/>
    <w:rsid w:val="00DF39E9"/>
    <w:rsid w:val="00DF3BC6"/>
    <w:rsid w:val="00DF3FDC"/>
    <w:rsid w:val="00DF41AB"/>
    <w:rsid w:val="00DF41DE"/>
    <w:rsid w:val="00DF431B"/>
    <w:rsid w:val="00DF4376"/>
    <w:rsid w:val="00DF4733"/>
    <w:rsid w:val="00DF4D91"/>
    <w:rsid w:val="00DF52F4"/>
    <w:rsid w:val="00DF5821"/>
    <w:rsid w:val="00DF5CD7"/>
    <w:rsid w:val="00DF5E0B"/>
    <w:rsid w:val="00DF604C"/>
    <w:rsid w:val="00DF6580"/>
    <w:rsid w:val="00DF6972"/>
    <w:rsid w:val="00DF706A"/>
    <w:rsid w:val="00DF7454"/>
    <w:rsid w:val="00DF74D9"/>
    <w:rsid w:val="00DF7E8A"/>
    <w:rsid w:val="00E008E8"/>
    <w:rsid w:val="00E00B89"/>
    <w:rsid w:val="00E0115A"/>
    <w:rsid w:val="00E0116A"/>
    <w:rsid w:val="00E01C7A"/>
    <w:rsid w:val="00E021B1"/>
    <w:rsid w:val="00E0226C"/>
    <w:rsid w:val="00E022D0"/>
    <w:rsid w:val="00E026AA"/>
    <w:rsid w:val="00E02A3B"/>
    <w:rsid w:val="00E02C1E"/>
    <w:rsid w:val="00E0337E"/>
    <w:rsid w:val="00E0360B"/>
    <w:rsid w:val="00E037FE"/>
    <w:rsid w:val="00E03A96"/>
    <w:rsid w:val="00E03DAE"/>
    <w:rsid w:val="00E040B3"/>
    <w:rsid w:val="00E04783"/>
    <w:rsid w:val="00E056B9"/>
    <w:rsid w:val="00E056FB"/>
    <w:rsid w:val="00E059D1"/>
    <w:rsid w:val="00E05D56"/>
    <w:rsid w:val="00E063BB"/>
    <w:rsid w:val="00E06747"/>
    <w:rsid w:val="00E06A92"/>
    <w:rsid w:val="00E074BD"/>
    <w:rsid w:val="00E07537"/>
    <w:rsid w:val="00E077BF"/>
    <w:rsid w:val="00E077D4"/>
    <w:rsid w:val="00E079B8"/>
    <w:rsid w:val="00E07D09"/>
    <w:rsid w:val="00E07D55"/>
    <w:rsid w:val="00E07F78"/>
    <w:rsid w:val="00E101F6"/>
    <w:rsid w:val="00E104DB"/>
    <w:rsid w:val="00E105A9"/>
    <w:rsid w:val="00E107F5"/>
    <w:rsid w:val="00E10A5E"/>
    <w:rsid w:val="00E10DCC"/>
    <w:rsid w:val="00E10DE3"/>
    <w:rsid w:val="00E112B2"/>
    <w:rsid w:val="00E113F0"/>
    <w:rsid w:val="00E11482"/>
    <w:rsid w:val="00E11492"/>
    <w:rsid w:val="00E114E1"/>
    <w:rsid w:val="00E118AE"/>
    <w:rsid w:val="00E11B5E"/>
    <w:rsid w:val="00E12BBC"/>
    <w:rsid w:val="00E12D70"/>
    <w:rsid w:val="00E1396D"/>
    <w:rsid w:val="00E139A0"/>
    <w:rsid w:val="00E14194"/>
    <w:rsid w:val="00E1426A"/>
    <w:rsid w:val="00E143FF"/>
    <w:rsid w:val="00E14749"/>
    <w:rsid w:val="00E1487C"/>
    <w:rsid w:val="00E14A94"/>
    <w:rsid w:val="00E14F25"/>
    <w:rsid w:val="00E15056"/>
    <w:rsid w:val="00E153E9"/>
    <w:rsid w:val="00E15945"/>
    <w:rsid w:val="00E15CB2"/>
    <w:rsid w:val="00E15D47"/>
    <w:rsid w:val="00E15DB1"/>
    <w:rsid w:val="00E15E15"/>
    <w:rsid w:val="00E15EF0"/>
    <w:rsid w:val="00E160B2"/>
    <w:rsid w:val="00E160E6"/>
    <w:rsid w:val="00E16305"/>
    <w:rsid w:val="00E165C3"/>
    <w:rsid w:val="00E16674"/>
    <w:rsid w:val="00E166CE"/>
    <w:rsid w:val="00E16825"/>
    <w:rsid w:val="00E1706C"/>
    <w:rsid w:val="00E17234"/>
    <w:rsid w:val="00E17552"/>
    <w:rsid w:val="00E175A8"/>
    <w:rsid w:val="00E17687"/>
    <w:rsid w:val="00E17857"/>
    <w:rsid w:val="00E17BD1"/>
    <w:rsid w:val="00E17DD6"/>
    <w:rsid w:val="00E17DD9"/>
    <w:rsid w:val="00E17F27"/>
    <w:rsid w:val="00E209CB"/>
    <w:rsid w:val="00E209CD"/>
    <w:rsid w:val="00E20B12"/>
    <w:rsid w:val="00E20B98"/>
    <w:rsid w:val="00E21A70"/>
    <w:rsid w:val="00E21B03"/>
    <w:rsid w:val="00E21DAC"/>
    <w:rsid w:val="00E21F9C"/>
    <w:rsid w:val="00E220FD"/>
    <w:rsid w:val="00E22445"/>
    <w:rsid w:val="00E2247A"/>
    <w:rsid w:val="00E224C0"/>
    <w:rsid w:val="00E22CDA"/>
    <w:rsid w:val="00E22F4A"/>
    <w:rsid w:val="00E232CA"/>
    <w:rsid w:val="00E2331D"/>
    <w:rsid w:val="00E2362C"/>
    <w:rsid w:val="00E237F6"/>
    <w:rsid w:val="00E23BE7"/>
    <w:rsid w:val="00E23D4F"/>
    <w:rsid w:val="00E23E29"/>
    <w:rsid w:val="00E23FF5"/>
    <w:rsid w:val="00E241D7"/>
    <w:rsid w:val="00E245EE"/>
    <w:rsid w:val="00E24A5E"/>
    <w:rsid w:val="00E24BB6"/>
    <w:rsid w:val="00E24C5E"/>
    <w:rsid w:val="00E250F5"/>
    <w:rsid w:val="00E25583"/>
    <w:rsid w:val="00E25A66"/>
    <w:rsid w:val="00E25BCF"/>
    <w:rsid w:val="00E25F7C"/>
    <w:rsid w:val="00E260A3"/>
    <w:rsid w:val="00E2699D"/>
    <w:rsid w:val="00E269FF"/>
    <w:rsid w:val="00E26D15"/>
    <w:rsid w:val="00E2709F"/>
    <w:rsid w:val="00E27126"/>
    <w:rsid w:val="00E271F3"/>
    <w:rsid w:val="00E278A9"/>
    <w:rsid w:val="00E27904"/>
    <w:rsid w:val="00E27B3D"/>
    <w:rsid w:val="00E27C9A"/>
    <w:rsid w:val="00E27DDB"/>
    <w:rsid w:val="00E30317"/>
    <w:rsid w:val="00E30A0C"/>
    <w:rsid w:val="00E30BF1"/>
    <w:rsid w:val="00E30C51"/>
    <w:rsid w:val="00E31702"/>
    <w:rsid w:val="00E31910"/>
    <w:rsid w:val="00E31973"/>
    <w:rsid w:val="00E31B75"/>
    <w:rsid w:val="00E31BF3"/>
    <w:rsid w:val="00E3210B"/>
    <w:rsid w:val="00E321DE"/>
    <w:rsid w:val="00E3242E"/>
    <w:rsid w:val="00E326AA"/>
    <w:rsid w:val="00E326D0"/>
    <w:rsid w:val="00E330C9"/>
    <w:rsid w:val="00E332A9"/>
    <w:rsid w:val="00E3330E"/>
    <w:rsid w:val="00E3330F"/>
    <w:rsid w:val="00E333E6"/>
    <w:rsid w:val="00E3351F"/>
    <w:rsid w:val="00E337D4"/>
    <w:rsid w:val="00E33992"/>
    <w:rsid w:val="00E339FE"/>
    <w:rsid w:val="00E33B3C"/>
    <w:rsid w:val="00E33C95"/>
    <w:rsid w:val="00E33D07"/>
    <w:rsid w:val="00E33EAC"/>
    <w:rsid w:val="00E3441C"/>
    <w:rsid w:val="00E344E7"/>
    <w:rsid w:val="00E34937"/>
    <w:rsid w:val="00E34B02"/>
    <w:rsid w:val="00E34B41"/>
    <w:rsid w:val="00E34CF0"/>
    <w:rsid w:val="00E34D3B"/>
    <w:rsid w:val="00E34E2B"/>
    <w:rsid w:val="00E355DE"/>
    <w:rsid w:val="00E35D5C"/>
    <w:rsid w:val="00E35E0F"/>
    <w:rsid w:val="00E36EB9"/>
    <w:rsid w:val="00E36FB1"/>
    <w:rsid w:val="00E36FB8"/>
    <w:rsid w:val="00E373BF"/>
    <w:rsid w:val="00E374B8"/>
    <w:rsid w:val="00E37A3C"/>
    <w:rsid w:val="00E37DBE"/>
    <w:rsid w:val="00E40041"/>
    <w:rsid w:val="00E4062B"/>
    <w:rsid w:val="00E40DAE"/>
    <w:rsid w:val="00E40F62"/>
    <w:rsid w:val="00E413DC"/>
    <w:rsid w:val="00E41750"/>
    <w:rsid w:val="00E417B3"/>
    <w:rsid w:val="00E41826"/>
    <w:rsid w:val="00E4191E"/>
    <w:rsid w:val="00E42394"/>
    <w:rsid w:val="00E423B5"/>
    <w:rsid w:val="00E4248E"/>
    <w:rsid w:val="00E42808"/>
    <w:rsid w:val="00E42A59"/>
    <w:rsid w:val="00E42C65"/>
    <w:rsid w:val="00E4316C"/>
    <w:rsid w:val="00E43249"/>
    <w:rsid w:val="00E436A2"/>
    <w:rsid w:val="00E43715"/>
    <w:rsid w:val="00E43A9B"/>
    <w:rsid w:val="00E43DD3"/>
    <w:rsid w:val="00E4441D"/>
    <w:rsid w:val="00E44CA0"/>
    <w:rsid w:val="00E45138"/>
    <w:rsid w:val="00E4535C"/>
    <w:rsid w:val="00E45614"/>
    <w:rsid w:val="00E45775"/>
    <w:rsid w:val="00E458D6"/>
    <w:rsid w:val="00E458D8"/>
    <w:rsid w:val="00E45AF2"/>
    <w:rsid w:val="00E45DFD"/>
    <w:rsid w:val="00E45FA3"/>
    <w:rsid w:val="00E46315"/>
    <w:rsid w:val="00E46CDE"/>
    <w:rsid w:val="00E471F0"/>
    <w:rsid w:val="00E476BE"/>
    <w:rsid w:val="00E50320"/>
    <w:rsid w:val="00E507F8"/>
    <w:rsid w:val="00E50958"/>
    <w:rsid w:val="00E50CB4"/>
    <w:rsid w:val="00E50DD9"/>
    <w:rsid w:val="00E50EFA"/>
    <w:rsid w:val="00E51024"/>
    <w:rsid w:val="00E51512"/>
    <w:rsid w:val="00E5172D"/>
    <w:rsid w:val="00E518A7"/>
    <w:rsid w:val="00E52000"/>
    <w:rsid w:val="00E520E6"/>
    <w:rsid w:val="00E529F5"/>
    <w:rsid w:val="00E52A18"/>
    <w:rsid w:val="00E532DE"/>
    <w:rsid w:val="00E532F1"/>
    <w:rsid w:val="00E5356B"/>
    <w:rsid w:val="00E5381F"/>
    <w:rsid w:val="00E5383D"/>
    <w:rsid w:val="00E53B31"/>
    <w:rsid w:val="00E53D97"/>
    <w:rsid w:val="00E53E00"/>
    <w:rsid w:val="00E54221"/>
    <w:rsid w:val="00E54246"/>
    <w:rsid w:val="00E5434A"/>
    <w:rsid w:val="00E54801"/>
    <w:rsid w:val="00E551D5"/>
    <w:rsid w:val="00E5539F"/>
    <w:rsid w:val="00E55472"/>
    <w:rsid w:val="00E554B7"/>
    <w:rsid w:val="00E558EC"/>
    <w:rsid w:val="00E55C3B"/>
    <w:rsid w:val="00E55C6D"/>
    <w:rsid w:val="00E55EB8"/>
    <w:rsid w:val="00E560A9"/>
    <w:rsid w:val="00E56416"/>
    <w:rsid w:val="00E564B9"/>
    <w:rsid w:val="00E5650A"/>
    <w:rsid w:val="00E56B5B"/>
    <w:rsid w:val="00E56CDC"/>
    <w:rsid w:val="00E571C7"/>
    <w:rsid w:val="00E57339"/>
    <w:rsid w:val="00E573E8"/>
    <w:rsid w:val="00E574EC"/>
    <w:rsid w:val="00E576E6"/>
    <w:rsid w:val="00E57A7A"/>
    <w:rsid w:val="00E57F80"/>
    <w:rsid w:val="00E57F9C"/>
    <w:rsid w:val="00E6086B"/>
    <w:rsid w:val="00E6106A"/>
    <w:rsid w:val="00E61301"/>
    <w:rsid w:val="00E61515"/>
    <w:rsid w:val="00E615F9"/>
    <w:rsid w:val="00E6161D"/>
    <w:rsid w:val="00E61657"/>
    <w:rsid w:val="00E616BA"/>
    <w:rsid w:val="00E618F5"/>
    <w:rsid w:val="00E6193C"/>
    <w:rsid w:val="00E61AD7"/>
    <w:rsid w:val="00E61ADB"/>
    <w:rsid w:val="00E62BC2"/>
    <w:rsid w:val="00E62DBC"/>
    <w:rsid w:val="00E63B09"/>
    <w:rsid w:val="00E63DAA"/>
    <w:rsid w:val="00E642F2"/>
    <w:rsid w:val="00E6458E"/>
    <w:rsid w:val="00E64AA1"/>
    <w:rsid w:val="00E64AD1"/>
    <w:rsid w:val="00E6518A"/>
    <w:rsid w:val="00E655B3"/>
    <w:rsid w:val="00E65867"/>
    <w:rsid w:val="00E65A1F"/>
    <w:rsid w:val="00E65AAD"/>
    <w:rsid w:val="00E65B60"/>
    <w:rsid w:val="00E66B09"/>
    <w:rsid w:val="00E66EB0"/>
    <w:rsid w:val="00E67BF1"/>
    <w:rsid w:val="00E67C47"/>
    <w:rsid w:val="00E67DA9"/>
    <w:rsid w:val="00E67DBB"/>
    <w:rsid w:val="00E67FEF"/>
    <w:rsid w:val="00E70717"/>
    <w:rsid w:val="00E707BF"/>
    <w:rsid w:val="00E7099E"/>
    <w:rsid w:val="00E709A3"/>
    <w:rsid w:val="00E7155F"/>
    <w:rsid w:val="00E71B65"/>
    <w:rsid w:val="00E71F52"/>
    <w:rsid w:val="00E721E9"/>
    <w:rsid w:val="00E7221D"/>
    <w:rsid w:val="00E72CBC"/>
    <w:rsid w:val="00E730EB"/>
    <w:rsid w:val="00E7318A"/>
    <w:rsid w:val="00E731DC"/>
    <w:rsid w:val="00E7367B"/>
    <w:rsid w:val="00E7396C"/>
    <w:rsid w:val="00E73D8E"/>
    <w:rsid w:val="00E7416C"/>
    <w:rsid w:val="00E74286"/>
    <w:rsid w:val="00E7455C"/>
    <w:rsid w:val="00E74653"/>
    <w:rsid w:val="00E7539D"/>
    <w:rsid w:val="00E75433"/>
    <w:rsid w:val="00E75472"/>
    <w:rsid w:val="00E7588A"/>
    <w:rsid w:val="00E7590C"/>
    <w:rsid w:val="00E759C2"/>
    <w:rsid w:val="00E75D6D"/>
    <w:rsid w:val="00E75DF7"/>
    <w:rsid w:val="00E75F07"/>
    <w:rsid w:val="00E76072"/>
    <w:rsid w:val="00E7615F"/>
    <w:rsid w:val="00E763B2"/>
    <w:rsid w:val="00E768C4"/>
    <w:rsid w:val="00E76AE0"/>
    <w:rsid w:val="00E76AF8"/>
    <w:rsid w:val="00E76CE9"/>
    <w:rsid w:val="00E76EA7"/>
    <w:rsid w:val="00E76EFC"/>
    <w:rsid w:val="00E771AC"/>
    <w:rsid w:val="00E772EE"/>
    <w:rsid w:val="00E776E3"/>
    <w:rsid w:val="00E77C79"/>
    <w:rsid w:val="00E77C7D"/>
    <w:rsid w:val="00E77DFF"/>
    <w:rsid w:val="00E77E78"/>
    <w:rsid w:val="00E77F71"/>
    <w:rsid w:val="00E77F8E"/>
    <w:rsid w:val="00E80579"/>
    <w:rsid w:val="00E8081C"/>
    <w:rsid w:val="00E80D65"/>
    <w:rsid w:val="00E81A87"/>
    <w:rsid w:val="00E81BE5"/>
    <w:rsid w:val="00E821EF"/>
    <w:rsid w:val="00E82420"/>
    <w:rsid w:val="00E825DC"/>
    <w:rsid w:val="00E82CD7"/>
    <w:rsid w:val="00E831FA"/>
    <w:rsid w:val="00E83257"/>
    <w:rsid w:val="00E83349"/>
    <w:rsid w:val="00E834C2"/>
    <w:rsid w:val="00E836BF"/>
    <w:rsid w:val="00E83948"/>
    <w:rsid w:val="00E83A40"/>
    <w:rsid w:val="00E83BFB"/>
    <w:rsid w:val="00E83CF9"/>
    <w:rsid w:val="00E83D43"/>
    <w:rsid w:val="00E8407B"/>
    <w:rsid w:val="00E84515"/>
    <w:rsid w:val="00E8471E"/>
    <w:rsid w:val="00E849F1"/>
    <w:rsid w:val="00E84D76"/>
    <w:rsid w:val="00E84F12"/>
    <w:rsid w:val="00E854FE"/>
    <w:rsid w:val="00E857AD"/>
    <w:rsid w:val="00E858C1"/>
    <w:rsid w:val="00E85AB8"/>
    <w:rsid w:val="00E85C9E"/>
    <w:rsid w:val="00E8666D"/>
    <w:rsid w:val="00E86903"/>
    <w:rsid w:val="00E86976"/>
    <w:rsid w:val="00E86B38"/>
    <w:rsid w:val="00E86BEE"/>
    <w:rsid w:val="00E871FF"/>
    <w:rsid w:val="00E874ED"/>
    <w:rsid w:val="00E87873"/>
    <w:rsid w:val="00E87C48"/>
    <w:rsid w:val="00E90130"/>
    <w:rsid w:val="00E905D5"/>
    <w:rsid w:val="00E907FE"/>
    <w:rsid w:val="00E9085A"/>
    <w:rsid w:val="00E90892"/>
    <w:rsid w:val="00E90934"/>
    <w:rsid w:val="00E90AE9"/>
    <w:rsid w:val="00E91088"/>
    <w:rsid w:val="00E915A7"/>
    <w:rsid w:val="00E91FE4"/>
    <w:rsid w:val="00E92260"/>
    <w:rsid w:val="00E92704"/>
    <w:rsid w:val="00E927C6"/>
    <w:rsid w:val="00E92974"/>
    <w:rsid w:val="00E92CC3"/>
    <w:rsid w:val="00E92D42"/>
    <w:rsid w:val="00E92E6C"/>
    <w:rsid w:val="00E92F98"/>
    <w:rsid w:val="00E9331D"/>
    <w:rsid w:val="00E933A3"/>
    <w:rsid w:val="00E93776"/>
    <w:rsid w:val="00E938E4"/>
    <w:rsid w:val="00E93997"/>
    <w:rsid w:val="00E93B73"/>
    <w:rsid w:val="00E94049"/>
    <w:rsid w:val="00E9464E"/>
    <w:rsid w:val="00E946A8"/>
    <w:rsid w:val="00E948CB"/>
    <w:rsid w:val="00E94A01"/>
    <w:rsid w:val="00E94A85"/>
    <w:rsid w:val="00E94B11"/>
    <w:rsid w:val="00E95322"/>
    <w:rsid w:val="00E95490"/>
    <w:rsid w:val="00E958A5"/>
    <w:rsid w:val="00E9599B"/>
    <w:rsid w:val="00E95D33"/>
    <w:rsid w:val="00E9660B"/>
    <w:rsid w:val="00E968C1"/>
    <w:rsid w:val="00E96AA4"/>
    <w:rsid w:val="00E96B5C"/>
    <w:rsid w:val="00E96DF2"/>
    <w:rsid w:val="00E971CE"/>
    <w:rsid w:val="00E971F6"/>
    <w:rsid w:val="00E9760D"/>
    <w:rsid w:val="00E97710"/>
    <w:rsid w:val="00E977C9"/>
    <w:rsid w:val="00E978C7"/>
    <w:rsid w:val="00E97BAD"/>
    <w:rsid w:val="00E97DA9"/>
    <w:rsid w:val="00EA05AC"/>
    <w:rsid w:val="00EA0BD0"/>
    <w:rsid w:val="00EA0CBA"/>
    <w:rsid w:val="00EA0E54"/>
    <w:rsid w:val="00EA1769"/>
    <w:rsid w:val="00EA1CF0"/>
    <w:rsid w:val="00EA1FA8"/>
    <w:rsid w:val="00EA2138"/>
    <w:rsid w:val="00EA214A"/>
    <w:rsid w:val="00EA2302"/>
    <w:rsid w:val="00EA3488"/>
    <w:rsid w:val="00EA354A"/>
    <w:rsid w:val="00EA3671"/>
    <w:rsid w:val="00EA3B07"/>
    <w:rsid w:val="00EA4240"/>
    <w:rsid w:val="00EA4996"/>
    <w:rsid w:val="00EA4AF1"/>
    <w:rsid w:val="00EA4B36"/>
    <w:rsid w:val="00EA4BBB"/>
    <w:rsid w:val="00EA4E1E"/>
    <w:rsid w:val="00EA4F93"/>
    <w:rsid w:val="00EA5035"/>
    <w:rsid w:val="00EA518C"/>
    <w:rsid w:val="00EA530F"/>
    <w:rsid w:val="00EA56F3"/>
    <w:rsid w:val="00EA6166"/>
    <w:rsid w:val="00EA65C8"/>
    <w:rsid w:val="00EA67E9"/>
    <w:rsid w:val="00EA69EF"/>
    <w:rsid w:val="00EA7361"/>
    <w:rsid w:val="00EA77EC"/>
    <w:rsid w:val="00EA7BEC"/>
    <w:rsid w:val="00EA7C98"/>
    <w:rsid w:val="00EB070B"/>
    <w:rsid w:val="00EB07E3"/>
    <w:rsid w:val="00EB083B"/>
    <w:rsid w:val="00EB08E7"/>
    <w:rsid w:val="00EB09AA"/>
    <w:rsid w:val="00EB0DEA"/>
    <w:rsid w:val="00EB0E0C"/>
    <w:rsid w:val="00EB0ECA"/>
    <w:rsid w:val="00EB13F2"/>
    <w:rsid w:val="00EB16B7"/>
    <w:rsid w:val="00EB1891"/>
    <w:rsid w:val="00EB18B5"/>
    <w:rsid w:val="00EB18FD"/>
    <w:rsid w:val="00EB1A1A"/>
    <w:rsid w:val="00EB1CD9"/>
    <w:rsid w:val="00EB1D0C"/>
    <w:rsid w:val="00EB1F3D"/>
    <w:rsid w:val="00EB1F63"/>
    <w:rsid w:val="00EB2474"/>
    <w:rsid w:val="00EB27BC"/>
    <w:rsid w:val="00EB2DB8"/>
    <w:rsid w:val="00EB2FC1"/>
    <w:rsid w:val="00EB35F2"/>
    <w:rsid w:val="00EB3841"/>
    <w:rsid w:val="00EB3D70"/>
    <w:rsid w:val="00EB3F73"/>
    <w:rsid w:val="00EB3F8F"/>
    <w:rsid w:val="00EB45C3"/>
    <w:rsid w:val="00EB45DF"/>
    <w:rsid w:val="00EB4707"/>
    <w:rsid w:val="00EB49E6"/>
    <w:rsid w:val="00EB4A14"/>
    <w:rsid w:val="00EB4C60"/>
    <w:rsid w:val="00EB5045"/>
    <w:rsid w:val="00EB5226"/>
    <w:rsid w:val="00EB5554"/>
    <w:rsid w:val="00EB5A2D"/>
    <w:rsid w:val="00EB5A72"/>
    <w:rsid w:val="00EB5CFF"/>
    <w:rsid w:val="00EB5E3F"/>
    <w:rsid w:val="00EB5EA8"/>
    <w:rsid w:val="00EB5F40"/>
    <w:rsid w:val="00EB637B"/>
    <w:rsid w:val="00EB63FD"/>
    <w:rsid w:val="00EB6A32"/>
    <w:rsid w:val="00EB6D82"/>
    <w:rsid w:val="00EB6F12"/>
    <w:rsid w:val="00EB7459"/>
    <w:rsid w:val="00EB7CC9"/>
    <w:rsid w:val="00EB7E2F"/>
    <w:rsid w:val="00EB7E8D"/>
    <w:rsid w:val="00EC0010"/>
    <w:rsid w:val="00EC03C5"/>
    <w:rsid w:val="00EC0468"/>
    <w:rsid w:val="00EC0970"/>
    <w:rsid w:val="00EC0A20"/>
    <w:rsid w:val="00EC0B15"/>
    <w:rsid w:val="00EC116C"/>
    <w:rsid w:val="00EC11D6"/>
    <w:rsid w:val="00EC178F"/>
    <w:rsid w:val="00EC1C19"/>
    <w:rsid w:val="00EC1C8C"/>
    <w:rsid w:val="00EC1C92"/>
    <w:rsid w:val="00EC20A8"/>
    <w:rsid w:val="00EC293C"/>
    <w:rsid w:val="00EC2C34"/>
    <w:rsid w:val="00EC2E49"/>
    <w:rsid w:val="00EC33A0"/>
    <w:rsid w:val="00EC370B"/>
    <w:rsid w:val="00EC3BB0"/>
    <w:rsid w:val="00EC4177"/>
    <w:rsid w:val="00EC422D"/>
    <w:rsid w:val="00EC42AC"/>
    <w:rsid w:val="00EC4543"/>
    <w:rsid w:val="00EC4836"/>
    <w:rsid w:val="00EC4AC8"/>
    <w:rsid w:val="00EC4E79"/>
    <w:rsid w:val="00EC5088"/>
    <w:rsid w:val="00EC5477"/>
    <w:rsid w:val="00EC5CAD"/>
    <w:rsid w:val="00EC5CAF"/>
    <w:rsid w:val="00EC62F1"/>
    <w:rsid w:val="00EC638A"/>
    <w:rsid w:val="00EC6865"/>
    <w:rsid w:val="00EC69F1"/>
    <w:rsid w:val="00EC6CF8"/>
    <w:rsid w:val="00EC6E82"/>
    <w:rsid w:val="00EC6E83"/>
    <w:rsid w:val="00EC6FAE"/>
    <w:rsid w:val="00EC753F"/>
    <w:rsid w:val="00EC75A8"/>
    <w:rsid w:val="00EC76F1"/>
    <w:rsid w:val="00EC79EE"/>
    <w:rsid w:val="00EC7D26"/>
    <w:rsid w:val="00EC7D28"/>
    <w:rsid w:val="00EC7E41"/>
    <w:rsid w:val="00EC7FCE"/>
    <w:rsid w:val="00ED009A"/>
    <w:rsid w:val="00ED0B45"/>
    <w:rsid w:val="00ED0CB6"/>
    <w:rsid w:val="00ED11FA"/>
    <w:rsid w:val="00ED1EE8"/>
    <w:rsid w:val="00ED20E1"/>
    <w:rsid w:val="00ED2398"/>
    <w:rsid w:val="00ED2678"/>
    <w:rsid w:val="00ED303B"/>
    <w:rsid w:val="00ED3123"/>
    <w:rsid w:val="00ED36BB"/>
    <w:rsid w:val="00ED3730"/>
    <w:rsid w:val="00ED3779"/>
    <w:rsid w:val="00ED3FD2"/>
    <w:rsid w:val="00ED4217"/>
    <w:rsid w:val="00ED42EC"/>
    <w:rsid w:val="00ED4318"/>
    <w:rsid w:val="00ED47E4"/>
    <w:rsid w:val="00ED47EC"/>
    <w:rsid w:val="00ED4925"/>
    <w:rsid w:val="00ED4BD9"/>
    <w:rsid w:val="00ED4CF1"/>
    <w:rsid w:val="00ED4DC3"/>
    <w:rsid w:val="00ED4FC6"/>
    <w:rsid w:val="00ED53A4"/>
    <w:rsid w:val="00ED54B8"/>
    <w:rsid w:val="00ED5CC1"/>
    <w:rsid w:val="00ED5E38"/>
    <w:rsid w:val="00ED6558"/>
    <w:rsid w:val="00ED6894"/>
    <w:rsid w:val="00ED6BBA"/>
    <w:rsid w:val="00ED79BB"/>
    <w:rsid w:val="00ED7D52"/>
    <w:rsid w:val="00ED7D87"/>
    <w:rsid w:val="00ED7FE9"/>
    <w:rsid w:val="00EE0068"/>
    <w:rsid w:val="00EE031D"/>
    <w:rsid w:val="00EE05B3"/>
    <w:rsid w:val="00EE0947"/>
    <w:rsid w:val="00EE0960"/>
    <w:rsid w:val="00EE0A3F"/>
    <w:rsid w:val="00EE1567"/>
    <w:rsid w:val="00EE17CD"/>
    <w:rsid w:val="00EE1865"/>
    <w:rsid w:val="00EE1C03"/>
    <w:rsid w:val="00EE1E5D"/>
    <w:rsid w:val="00EE1FC2"/>
    <w:rsid w:val="00EE22AD"/>
    <w:rsid w:val="00EE2549"/>
    <w:rsid w:val="00EE2703"/>
    <w:rsid w:val="00EE29E5"/>
    <w:rsid w:val="00EE314F"/>
    <w:rsid w:val="00EE3291"/>
    <w:rsid w:val="00EE3493"/>
    <w:rsid w:val="00EE3699"/>
    <w:rsid w:val="00EE3B4C"/>
    <w:rsid w:val="00EE4137"/>
    <w:rsid w:val="00EE4490"/>
    <w:rsid w:val="00EE48A5"/>
    <w:rsid w:val="00EE4B9A"/>
    <w:rsid w:val="00EE4D90"/>
    <w:rsid w:val="00EE4EEF"/>
    <w:rsid w:val="00EE4FE6"/>
    <w:rsid w:val="00EE5379"/>
    <w:rsid w:val="00EE559A"/>
    <w:rsid w:val="00EE5683"/>
    <w:rsid w:val="00EE58C9"/>
    <w:rsid w:val="00EE5CA1"/>
    <w:rsid w:val="00EE5D91"/>
    <w:rsid w:val="00EE5F91"/>
    <w:rsid w:val="00EE643D"/>
    <w:rsid w:val="00EE67AA"/>
    <w:rsid w:val="00EE6832"/>
    <w:rsid w:val="00EE6837"/>
    <w:rsid w:val="00EE6A13"/>
    <w:rsid w:val="00EE6BBE"/>
    <w:rsid w:val="00EE6C01"/>
    <w:rsid w:val="00EE6DAD"/>
    <w:rsid w:val="00EE6DB8"/>
    <w:rsid w:val="00EE76E9"/>
    <w:rsid w:val="00EE7856"/>
    <w:rsid w:val="00EE7885"/>
    <w:rsid w:val="00EE7C93"/>
    <w:rsid w:val="00EF02C2"/>
    <w:rsid w:val="00EF034A"/>
    <w:rsid w:val="00EF0393"/>
    <w:rsid w:val="00EF03B8"/>
    <w:rsid w:val="00EF04C9"/>
    <w:rsid w:val="00EF1755"/>
    <w:rsid w:val="00EF176E"/>
    <w:rsid w:val="00EF1913"/>
    <w:rsid w:val="00EF1EA3"/>
    <w:rsid w:val="00EF20A4"/>
    <w:rsid w:val="00EF246A"/>
    <w:rsid w:val="00EF3053"/>
    <w:rsid w:val="00EF329C"/>
    <w:rsid w:val="00EF331F"/>
    <w:rsid w:val="00EF364D"/>
    <w:rsid w:val="00EF397F"/>
    <w:rsid w:val="00EF3AA6"/>
    <w:rsid w:val="00EF3D58"/>
    <w:rsid w:val="00EF3EFF"/>
    <w:rsid w:val="00EF44C3"/>
    <w:rsid w:val="00EF48A3"/>
    <w:rsid w:val="00EF53A4"/>
    <w:rsid w:val="00EF5D8F"/>
    <w:rsid w:val="00EF624B"/>
    <w:rsid w:val="00EF6251"/>
    <w:rsid w:val="00EF63C6"/>
    <w:rsid w:val="00EF657A"/>
    <w:rsid w:val="00EF6B67"/>
    <w:rsid w:val="00EF6B76"/>
    <w:rsid w:val="00EF6F52"/>
    <w:rsid w:val="00EF7063"/>
    <w:rsid w:val="00EF7084"/>
    <w:rsid w:val="00EF70F2"/>
    <w:rsid w:val="00EF7129"/>
    <w:rsid w:val="00EF71E4"/>
    <w:rsid w:val="00EF73D0"/>
    <w:rsid w:val="00EF74E4"/>
    <w:rsid w:val="00EF7AE9"/>
    <w:rsid w:val="00EF7CAC"/>
    <w:rsid w:val="00F00025"/>
    <w:rsid w:val="00F00314"/>
    <w:rsid w:val="00F00784"/>
    <w:rsid w:val="00F0085E"/>
    <w:rsid w:val="00F00BAE"/>
    <w:rsid w:val="00F00C1E"/>
    <w:rsid w:val="00F00F58"/>
    <w:rsid w:val="00F00FD5"/>
    <w:rsid w:val="00F01150"/>
    <w:rsid w:val="00F01172"/>
    <w:rsid w:val="00F012B6"/>
    <w:rsid w:val="00F013CC"/>
    <w:rsid w:val="00F0305E"/>
    <w:rsid w:val="00F0325A"/>
    <w:rsid w:val="00F034AE"/>
    <w:rsid w:val="00F0383A"/>
    <w:rsid w:val="00F03B39"/>
    <w:rsid w:val="00F03E92"/>
    <w:rsid w:val="00F04052"/>
    <w:rsid w:val="00F041DC"/>
    <w:rsid w:val="00F04963"/>
    <w:rsid w:val="00F04CD8"/>
    <w:rsid w:val="00F04FED"/>
    <w:rsid w:val="00F0515E"/>
    <w:rsid w:val="00F0527F"/>
    <w:rsid w:val="00F0570D"/>
    <w:rsid w:val="00F059F5"/>
    <w:rsid w:val="00F05B9E"/>
    <w:rsid w:val="00F05C5B"/>
    <w:rsid w:val="00F061C4"/>
    <w:rsid w:val="00F06673"/>
    <w:rsid w:val="00F06953"/>
    <w:rsid w:val="00F06961"/>
    <w:rsid w:val="00F07362"/>
    <w:rsid w:val="00F07508"/>
    <w:rsid w:val="00F07A10"/>
    <w:rsid w:val="00F07A1D"/>
    <w:rsid w:val="00F07DD6"/>
    <w:rsid w:val="00F07E33"/>
    <w:rsid w:val="00F07EF6"/>
    <w:rsid w:val="00F1014E"/>
    <w:rsid w:val="00F102BD"/>
    <w:rsid w:val="00F10409"/>
    <w:rsid w:val="00F1066F"/>
    <w:rsid w:val="00F10D1A"/>
    <w:rsid w:val="00F10D63"/>
    <w:rsid w:val="00F10D76"/>
    <w:rsid w:val="00F1149E"/>
    <w:rsid w:val="00F114C7"/>
    <w:rsid w:val="00F11651"/>
    <w:rsid w:val="00F11717"/>
    <w:rsid w:val="00F11783"/>
    <w:rsid w:val="00F11A72"/>
    <w:rsid w:val="00F11CA6"/>
    <w:rsid w:val="00F120A8"/>
    <w:rsid w:val="00F12423"/>
    <w:rsid w:val="00F12843"/>
    <w:rsid w:val="00F128AB"/>
    <w:rsid w:val="00F12A70"/>
    <w:rsid w:val="00F12B13"/>
    <w:rsid w:val="00F12DC7"/>
    <w:rsid w:val="00F13692"/>
    <w:rsid w:val="00F13ECC"/>
    <w:rsid w:val="00F1403B"/>
    <w:rsid w:val="00F1415F"/>
    <w:rsid w:val="00F14201"/>
    <w:rsid w:val="00F14A63"/>
    <w:rsid w:val="00F14CE3"/>
    <w:rsid w:val="00F14EB5"/>
    <w:rsid w:val="00F14F87"/>
    <w:rsid w:val="00F15010"/>
    <w:rsid w:val="00F1508C"/>
    <w:rsid w:val="00F153F3"/>
    <w:rsid w:val="00F15589"/>
    <w:rsid w:val="00F1578E"/>
    <w:rsid w:val="00F15CC4"/>
    <w:rsid w:val="00F15D50"/>
    <w:rsid w:val="00F15D88"/>
    <w:rsid w:val="00F15F08"/>
    <w:rsid w:val="00F16085"/>
    <w:rsid w:val="00F165EE"/>
    <w:rsid w:val="00F16623"/>
    <w:rsid w:val="00F16726"/>
    <w:rsid w:val="00F16BB0"/>
    <w:rsid w:val="00F16D67"/>
    <w:rsid w:val="00F17240"/>
    <w:rsid w:val="00F1725D"/>
    <w:rsid w:val="00F1749C"/>
    <w:rsid w:val="00F179FC"/>
    <w:rsid w:val="00F17A57"/>
    <w:rsid w:val="00F17A8A"/>
    <w:rsid w:val="00F17AC6"/>
    <w:rsid w:val="00F17BA0"/>
    <w:rsid w:val="00F17C67"/>
    <w:rsid w:val="00F20455"/>
    <w:rsid w:val="00F20763"/>
    <w:rsid w:val="00F21446"/>
    <w:rsid w:val="00F21DF1"/>
    <w:rsid w:val="00F22166"/>
    <w:rsid w:val="00F22343"/>
    <w:rsid w:val="00F2254B"/>
    <w:rsid w:val="00F227C8"/>
    <w:rsid w:val="00F22A4F"/>
    <w:rsid w:val="00F22D20"/>
    <w:rsid w:val="00F22EC3"/>
    <w:rsid w:val="00F22F99"/>
    <w:rsid w:val="00F2338B"/>
    <w:rsid w:val="00F233F6"/>
    <w:rsid w:val="00F23432"/>
    <w:rsid w:val="00F23CB7"/>
    <w:rsid w:val="00F23F4D"/>
    <w:rsid w:val="00F2413F"/>
    <w:rsid w:val="00F24182"/>
    <w:rsid w:val="00F2432B"/>
    <w:rsid w:val="00F244DB"/>
    <w:rsid w:val="00F249CC"/>
    <w:rsid w:val="00F24C22"/>
    <w:rsid w:val="00F250C6"/>
    <w:rsid w:val="00F250EC"/>
    <w:rsid w:val="00F25151"/>
    <w:rsid w:val="00F252BD"/>
    <w:rsid w:val="00F257B5"/>
    <w:rsid w:val="00F2594B"/>
    <w:rsid w:val="00F25ADA"/>
    <w:rsid w:val="00F25ECB"/>
    <w:rsid w:val="00F25FF9"/>
    <w:rsid w:val="00F260ED"/>
    <w:rsid w:val="00F2641B"/>
    <w:rsid w:val="00F269C5"/>
    <w:rsid w:val="00F2720E"/>
    <w:rsid w:val="00F27415"/>
    <w:rsid w:val="00F276A1"/>
    <w:rsid w:val="00F2776D"/>
    <w:rsid w:val="00F301FF"/>
    <w:rsid w:val="00F30C75"/>
    <w:rsid w:val="00F3109C"/>
    <w:rsid w:val="00F312F3"/>
    <w:rsid w:val="00F315B4"/>
    <w:rsid w:val="00F316E2"/>
    <w:rsid w:val="00F31F53"/>
    <w:rsid w:val="00F3247E"/>
    <w:rsid w:val="00F3278A"/>
    <w:rsid w:val="00F3291C"/>
    <w:rsid w:val="00F32925"/>
    <w:rsid w:val="00F32F9E"/>
    <w:rsid w:val="00F32FD4"/>
    <w:rsid w:val="00F33023"/>
    <w:rsid w:val="00F331DA"/>
    <w:rsid w:val="00F3356B"/>
    <w:rsid w:val="00F336CD"/>
    <w:rsid w:val="00F3371B"/>
    <w:rsid w:val="00F33A10"/>
    <w:rsid w:val="00F33A37"/>
    <w:rsid w:val="00F33AD1"/>
    <w:rsid w:val="00F33CC5"/>
    <w:rsid w:val="00F340D0"/>
    <w:rsid w:val="00F34287"/>
    <w:rsid w:val="00F3449B"/>
    <w:rsid w:val="00F346E6"/>
    <w:rsid w:val="00F34A42"/>
    <w:rsid w:val="00F34C3D"/>
    <w:rsid w:val="00F351A2"/>
    <w:rsid w:val="00F354D4"/>
    <w:rsid w:val="00F358EE"/>
    <w:rsid w:val="00F3594B"/>
    <w:rsid w:val="00F35EED"/>
    <w:rsid w:val="00F35F3C"/>
    <w:rsid w:val="00F36B02"/>
    <w:rsid w:val="00F36FC3"/>
    <w:rsid w:val="00F36FEA"/>
    <w:rsid w:val="00F37859"/>
    <w:rsid w:val="00F37E18"/>
    <w:rsid w:val="00F40085"/>
    <w:rsid w:val="00F401C0"/>
    <w:rsid w:val="00F401F3"/>
    <w:rsid w:val="00F40215"/>
    <w:rsid w:val="00F4066D"/>
    <w:rsid w:val="00F40864"/>
    <w:rsid w:val="00F40EBD"/>
    <w:rsid w:val="00F41051"/>
    <w:rsid w:val="00F4136B"/>
    <w:rsid w:val="00F413D8"/>
    <w:rsid w:val="00F42032"/>
    <w:rsid w:val="00F421DF"/>
    <w:rsid w:val="00F4286C"/>
    <w:rsid w:val="00F42A02"/>
    <w:rsid w:val="00F42C2D"/>
    <w:rsid w:val="00F42D4A"/>
    <w:rsid w:val="00F432FB"/>
    <w:rsid w:val="00F4336E"/>
    <w:rsid w:val="00F43552"/>
    <w:rsid w:val="00F43897"/>
    <w:rsid w:val="00F439D7"/>
    <w:rsid w:val="00F43C06"/>
    <w:rsid w:val="00F43DAC"/>
    <w:rsid w:val="00F44041"/>
    <w:rsid w:val="00F444BC"/>
    <w:rsid w:val="00F444C7"/>
    <w:rsid w:val="00F44895"/>
    <w:rsid w:val="00F45176"/>
    <w:rsid w:val="00F456E1"/>
    <w:rsid w:val="00F45DFD"/>
    <w:rsid w:val="00F4621A"/>
    <w:rsid w:val="00F46620"/>
    <w:rsid w:val="00F469A2"/>
    <w:rsid w:val="00F46B89"/>
    <w:rsid w:val="00F46E3E"/>
    <w:rsid w:val="00F46E7B"/>
    <w:rsid w:val="00F47694"/>
    <w:rsid w:val="00F47818"/>
    <w:rsid w:val="00F4796A"/>
    <w:rsid w:val="00F47FF1"/>
    <w:rsid w:val="00F504C0"/>
    <w:rsid w:val="00F50585"/>
    <w:rsid w:val="00F5068D"/>
    <w:rsid w:val="00F50BC0"/>
    <w:rsid w:val="00F51143"/>
    <w:rsid w:val="00F511A1"/>
    <w:rsid w:val="00F516E3"/>
    <w:rsid w:val="00F517C8"/>
    <w:rsid w:val="00F519C0"/>
    <w:rsid w:val="00F51B27"/>
    <w:rsid w:val="00F51BDD"/>
    <w:rsid w:val="00F51FEE"/>
    <w:rsid w:val="00F52794"/>
    <w:rsid w:val="00F52E67"/>
    <w:rsid w:val="00F53545"/>
    <w:rsid w:val="00F536BB"/>
    <w:rsid w:val="00F53C03"/>
    <w:rsid w:val="00F53D5A"/>
    <w:rsid w:val="00F53F3D"/>
    <w:rsid w:val="00F5413C"/>
    <w:rsid w:val="00F54256"/>
    <w:rsid w:val="00F544A4"/>
    <w:rsid w:val="00F54819"/>
    <w:rsid w:val="00F54832"/>
    <w:rsid w:val="00F54AEC"/>
    <w:rsid w:val="00F5528C"/>
    <w:rsid w:val="00F555FB"/>
    <w:rsid w:val="00F55813"/>
    <w:rsid w:val="00F55C2B"/>
    <w:rsid w:val="00F55CCD"/>
    <w:rsid w:val="00F55F08"/>
    <w:rsid w:val="00F55FE0"/>
    <w:rsid w:val="00F5608E"/>
    <w:rsid w:val="00F56093"/>
    <w:rsid w:val="00F562CB"/>
    <w:rsid w:val="00F56671"/>
    <w:rsid w:val="00F56E17"/>
    <w:rsid w:val="00F56FF0"/>
    <w:rsid w:val="00F570F5"/>
    <w:rsid w:val="00F5747B"/>
    <w:rsid w:val="00F57885"/>
    <w:rsid w:val="00F57899"/>
    <w:rsid w:val="00F578EE"/>
    <w:rsid w:val="00F5797F"/>
    <w:rsid w:val="00F57B50"/>
    <w:rsid w:val="00F6078E"/>
    <w:rsid w:val="00F612A4"/>
    <w:rsid w:val="00F61529"/>
    <w:rsid w:val="00F61560"/>
    <w:rsid w:val="00F61582"/>
    <w:rsid w:val="00F6172E"/>
    <w:rsid w:val="00F61928"/>
    <w:rsid w:val="00F61FA9"/>
    <w:rsid w:val="00F62D20"/>
    <w:rsid w:val="00F62E4E"/>
    <w:rsid w:val="00F63386"/>
    <w:rsid w:val="00F635FA"/>
    <w:rsid w:val="00F63B41"/>
    <w:rsid w:val="00F641C7"/>
    <w:rsid w:val="00F64683"/>
    <w:rsid w:val="00F64AA8"/>
    <w:rsid w:val="00F64B03"/>
    <w:rsid w:val="00F654E3"/>
    <w:rsid w:val="00F658B9"/>
    <w:rsid w:val="00F660BF"/>
    <w:rsid w:val="00F66144"/>
    <w:rsid w:val="00F66329"/>
    <w:rsid w:val="00F667B8"/>
    <w:rsid w:val="00F668E6"/>
    <w:rsid w:val="00F66BCF"/>
    <w:rsid w:val="00F66FD8"/>
    <w:rsid w:val="00F6713F"/>
    <w:rsid w:val="00F67185"/>
    <w:rsid w:val="00F678BF"/>
    <w:rsid w:val="00F67EF9"/>
    <w:rsid w:val="00F702D7"/>
    <w:rsid w:val="00F70436"/>
    <w:rsid w:val="00F7065C"/>
    <w:rsid w:val="00F70E3E"/>
    <w:rsid w:val="00F71553"/>
    <w:rsid w:val="00F71C2E"/>
    <w:rsid w:val="00F71CB6"/>
    <w:rsid w:val="00F71CFF"/>
    <w:rsid w:val="00F72831"/>
    <w:rsid w:val="00F728AD"/>
    <w:rsid w:val="00F72F2F"/>
    <w:rsid w:val="00F731BB"/>
    <w:rsid w:val="00F73745"/>
    <w:rsid w:val="00F73765"/>
    <w:rsid w:val="00F737E0"/>
    <w:rsid w:val="00F73A60"/>
    <w:rsid w:val="00F73D67"/>
    <w:rsid w:val="00F74021"/>
    <w:rsid w:val="00F74113"/>
    <w:rsid w:val="00F741F3"/>
    <w:rsid w:val="00F74607"/>
    <w:rsid w:val="00F7478D"/>
    <w:rsid w:val="00F749C1"/>
    <w:rsid w:val="00F749EF"/>
    <w:rsid w:val="00F74B51"/>
    <w:rsid w:val="00F74BE3"/>
    <w:rsid w:val="00F7515E"/>
    <w:rsid w:val="00F751FA"/>
    <w:rsid w:val="00F752FC"/>
    <w:rsid w:val="00F75423"/>
    <w:rsid w:val="00F7544A"/>
    <w:rsid w:val="00F758F8"/>
    <w:rsid w:val="00F75B66"/>
    <w:rsid w:val="00F75CEA"/>
    <w:rsid w:val="00F75E05"/>
    <w:rsid w:val="00F75E6B"/>
    <w:rsid w:val="00F76016"/>
    <w:rsid w:val="00F76087"/>
    <w:rsid w:val="00F761EC"/>
    <w:rsid w:val="00F76546"/>
    <w:rsid w:val="00F7686A"/>
    <w:rsid w:val="00F76DD9"/>
    <w:rsid w:val="00F77392"/>
    <w:rsid w:val="00F77560"/>
    <w:rsid w:val="00F77A1C"/>
    <w:rsid w:val="00F77BD7"/>
    <w:rsid w:val="00F77CA4"/>
    <w:rsid w:val="00F77E4A"/>
    <w:rsid w:val="00F804C7"/>
    <w:rsid w:val="00F805C8"/>
    <w:rsid w:val="00F80712"/>
    <w:rsid w:val="00F80D24"/>
    <w:rsid w:val="00F80DA9"/>
    <w:rsid w:val="00F80E09"/>
    <w:rsid w:val="00F81362"/>
    <w:rsid w:val="00F813B7"/>
    <w:rsid w:val="00F814C6"/>
    <w:rsid w:val="00F81547"/>
    <w:rsid w:val="00F8200F"/>
    <w:rsid w:val="00F825FF"/>
    <w:rsid w:val="00F8265B"/>
    <w:rsid w:val="00F8291E"/>
    <w:rsid w:val="00F82EF8"/>
    <w:rsid w:val="00F83827"/>
    <w:rsid w:val="00F838A5"/>
    <w:rsid w:val="00F83C3B"/>
    <w:rsid w:val="00F84299"/>
    <w:rsid w:val="00F843EB"/>
    <w:rsid w:val="00F84883"/>
    <w:rsid w:val="00F84A5B"/>
    <w:rsid w:val="00F84B93"/>
    <w:rsid w:val="00F84C70"/>
    <w:rsid w:val="00F84D6C"/>
    <w:rsid w:val="00F84D6F"/>
    <w:rsid w:val="00F85383"/>
    <w:rsid w:val="00F854EE"/>
    <w:rsid w:val="00F85F16"/>
    <w:rsid w:val="00F86CD6"/>
    <w:rsid w:val="00F86D0A"/>
    <w:rsid w:val="00F86EA0"/>
    <w:rsid w:val="00F87039"/>
    <w:rsid w:val="00F87098"/>
    <w:rsid w:val="00F8722B"/>
    <w:rsid w:val="00F875A2"/>
    <w:rsid w:val="00F8761B"/>
    <w:rsid w:val="00F87655"/>
    <w:rsid w:val="00F87FAA"/>
    <w:rsid w:val="00F90612"/>
    <w:rsid w:val="00F909A4"/>
    <w:rsid w:val="00F911A6"/>
    <w:rsid w:val="00F91217"/>
    <w:rsid w:val="00F91331"/>
    <w:rsid w:val="00F91353"/>
    <w:rsid w:val="00F91720"/>
    <w:rsid w:val="00F91A8E"/>
    <w:rsid w:val="00F92058"/>
    <w:rsid w:val="00F92E7B"/>
    <w:rsid w:val="00F933E5"/>
    <w:rsid w:val="00F936D7"/>
    <w:rsid w:val="00F93772"/>
    <w:rsid w:val="00F94188"/>
    <w:rsid w:val="00F94673"/>
    <w:rsid w:val="00F94A87"/>
    <w:rsid w:val="00F94E05"/>
    <w:rsid w:val="00F94EE1"/>
    <w:rsid w:val="00F94F0E"/>
    <w:rsid w:val="00F95290"/>
    <w:rsid w:val="00F9552F"/>
    <w:rsid w:val="00F95969"/>
    <w:rsid w:val="00F95998"/>
    <w:rsid w:val="00F95E33"/>
    <w:rsid w:val="00F964C6"/>
    <w:rsid w:val="00F9669F"/>
    <w:rsid w:val="00F967A9"/>
    <w:rsid w:val="00F9684A"/>
    <w:rsid w:val="00F96E8F"/>
    <w:rsid w:val="00F96F13"/>
    <w:rsid w:val="00F97B96"/>
    <w:rsid w:val="00FA00EA"/>
    <w:rsid w:val="00FA016C"/>
    <w:rsid w:val="00FA045F"/>
    <w:rsid w:val="00FA04E8"/>
    <w:rsid w:val="00FA0559"/>
    <w:rsid w:val="00FA05C8"/>
    <w:rsid w:val="00FA05E9"/>
    <w:rsid w:val="00FA0613"/>
    <w:rsid w:val="00FA07E3"/>
    <w:rsid w:val="00FA0825"/>
    <w:rsid w:val="00FA08AD"/>
    <w:rsid w:val="00FA0A33"/>
    <w:rsid w:val="00FA0A51"/>
    <w:rsid w:val="00FA0D2E"/>
    <w:rsid w:val="00FA0EB8"/>
    <w:rsid w:val="00FA0ED4"/>
    <w:rsid w:val="00FA150E"/>
    <w:rsid w:val="00FA15F5"/>
    <w:rsid w:val="00FA1A68"/>
    <w:rsid w:val="00FA1AD6"/>
    <w:rsid w:val="00FA1BB4"/>
    <w:rsid w:val="00FA1D20"/>
    <w:rsid w:val="00FA2CE5"/>
    <w:rsid w:val="00FA2E38"/>
    <w:rsid w:val="00FA2F27"/>
    <w:rsid w:val="00FA2F57"/>
    <w:rsid w:val="00FA391C"/>
    <w:rsid w:val="00FA3972"/>
    <w:rsid w:val="00FA3985"/>
    <w:rsid w:val="00FA3D48"/>
    <w:rsid w:val="00FA3F4D"/>
    <w:rsid w:val="00FA4134"/>
    <w:rsid w:val="00FA4150"/>
    <w:rsid w:val="00FA4E74"/>
    <w:rsid w:val="00FA53AD"/>
    <w:rsid w:val="00FA5766"/>
    <w:rsid w:val="00FA5C78"/>
    <w:rsid w:val="00FA649A"/>
    <w:rsid w:val="00FA6950"/>
    <w:rsid w:val="00FA6DDB"/>
    <w:rsid w:val="00FA700C"/>
    <w:rsid w:val="00FA71AD"/>
    <w:rsid w:val="00FA72CB"/>
    <w:rsid w:val="00FA7CFE"/>
    <w:rsid w:val="00FA7D7D"/>
    <w:rsid w:val="00FA7F2F"/>
    <w:rsid w:val="00FB0171"/>
    <w:rsid w:val="00FB042F"/>
    <w:rsid w:val="00FB0495"/>
    <w:rsid w:val="00FB0667"/>
    <w:rsid w:val="00FB07AF"/>
    <w:rsid w:val="00FB087C"/>
    <w:rsid w:val="00FB0DBF"/>
    <w:rsid w:val="00FB11DA"/>
    <w:rsid w:val="00FB143D"/>
    <w:rsid w:val="00FB1458"/>
    <w:rsid w:val="00FB1A70"/>
    <w:rsid w:val="00FB1AD7"/>
    <w:rsid w:val="00FB1D0A"/>
    <w:rsid w:val="00FB2023"/>
    <w:rsid w:val="00FB2586"/>
    <w:rsid w:val="00FB288C"/>
    <w:rsid w:val="00FB2A23"/>
    <w:rsid w:val="00FB2FD2"/>
    <w:rsid w:val="00FB3131"/>
    <w:rsid w:val="00FB33F1"/>
    <w:rsid w:val="00FB3DEC"/>
    <w:rsid w:val="00FB4196"/>
    <w:rsid w:val="00FB4280"/>
    <w:rsid w:val="00FB42E0"/>
    <w:rsid w:val="00FB457C"/>
    <w:rsid w:val="00FB46DD"/>
    <w:rsid w:val="00FB4718"/>
    <w:rsid w:val="00FB52E2"/>
    <w:rsid w:val="00FB5691"/>
    <w:rsid w:val="00FB5939"/>
    <w:rsid w:val="00FB5BB6"/>
    <w:rsid w:val="00FB5D87"/>
    <w:rsid w:val="00FB620D"/>
    <w:rsid w:val="00FB6C65"/>
    <w:rsid w:val="00FB6F4A"/>
    <w:rsid w:val="00FB6F67"/>
    <w:rsid w:val="00FB730C"/>
    <w:rsid w:val="00FB7710"/>
    <w:rsid w:val="00FB7810"/>
    <w:rsid w:val="00FC004F"/>
    <w:rsid w:val="00FC04F5"/>
    <w:rsid w:val="00FC0513"/>
    <w:rsid w:val="00FC0AB6"/>
    <w:rsid w:val="00FC0AD7"/>
    <w:rsid w:val="00FC10DE"/>
    <w:rsid w:val="00FC1255"/>
    <w:rsid w:val="00FC12EC"/>
    <w:rsid w:val="00FC135A"/>
    <w:rsid w:val="00FC1C34"/>
    <w:rsid w:val="00FC1FB6"/>
    <w:rsid w:val="00FC231C"/>
    <w:rsid w:val="00FC28B5"/>
    <w:rsid w:val="00FC29D2"/>
    <w:rsid w:val="00FC2D5F"/>
    <w:rsid w:val="00FC2DAB"/>
    <w:rsid w:val="00FC2E19"/>
    <w:rsid w:val="00FC3BE7"/>
    <w:rsid w:val="00FC3D51"/>
    <w:rsid w:val="00FC3DE1"/>
    <w:rsid w:val="00FC3E4B"/>
    <w:rsid w:val="00FC3F08"/>
    <w:rsid w:val="00FC4266"/>
    <w:rsid w:val="00FC4384"/>
    <w:rsid w:val="00FC448D"/>
    <w:rsid w:val="00FC49D4"/>
    <w:rsid w:val="00FC541E"/>
    <w:rsid w:val="00FC54BC"/>
    <w:rsid w:val="00FC5603"/>
    <w:rsid w:val="00FC568A"/>
    <w:rsid w:val="00FC5A29"/>
    <w:rsid w:val="00FC5B64"/>
    <w:rsid w:val="00FC6245"/>
    <w:rsid w:val="00FC6A71"/>
    <w:rsid w:val="00FC6EF1"/>
    <w:rsid w:val="00FC7058"/>
    <w:rsid w:val="00FC710B"/>
    <w:rsid w:val="00FC7449"/>
    <w:rsid w:val="00FC7747"/>
    <w:rsid w:val="00FC798C"/>
    <w:rsid w:val="00FC7DEF"/>
    <w:rsid w:val="00FD07FB"/>
    <w:rsid w:val="00FD0B28"/>
    <w:rsid w:val="00FD0BD7"/>
    <w:rsid w:val="00FD0D99"/>
    <w:rsid w:val="00FD1047"/>
    <w:rsid w:val="00FD1187"/>
    <w:rsid w:val="00FD17BA"/>
    <w:rsid w:val="00FD2972"/>
    <w:rsid w:val="00FD2A4F"/>
    <w:rsid w:val="00FD2C9D"/>
    <w:rsid w:val="00FD2F74"/>
    <w:rsid w:val="00FD30B4"/>
    <w:rsid w:val="00FD31C3"/>
    <w:rsid w:val="00FD358F"/>
    <w:rsid w:val="00FD3B94"/>
    <w:rsid w:val="00FD3E9A"/>
    <w:rsid w:val="00FD40DD"/>
    <w:rsid w:val="00FD40F3"/>
    <w:rsid w:val="00FD422A"/>
    <w:rsid w:val="00FD43B3"/>
    <w:rsid w:val="00FD4529"/>
    <w:rsid w:val="00FD4A95"/>
    <w:rsid w:val="00FD4AFA"/>
    <w:rsid w:val="00FD4D58"/>
    <w:rsid w:val="00FD510E"/>
    <w:rsid w:val="00FD58AA"/>
    <w:rsid w:val="00FD5990"/>
    <w:rsid w:val="00FD5FEE"/>
    <w:rsid w:val="00FD6295"/>
    <w:rsid w:val="00FD6435"/>
    <w:rsid w:val="00FD6C04"/>
    <w:rsid w:val="00FD6EE9"/>
    <w:rsid w:val="00FD733E"/>
    <w:rsid w:val="00FD7C87"/>
    <w:rsid w:val="00FD7ECC"/>
    <w:rsid w:val="00FD7EFA"/>
    <w:rsid w:val="00FD7F2E"/>
    <w:rsid w:val="00FE02C6"/>
    <w:rsid w:val="00FE0DE4"/>
    <w:rsid w:val="00FE0EC9"/>
    <w:rsid w:val="00FE1118"/>
    <w:rsid w:val="00FE1131"/>
    <w:rsid w:val="00FE1A50"/>
    <w:rsid w:val="00FE1AC8"/>
    <w:rsid w:val="00FE1C54"/>
    <w:rsid w:val="00FE22DC"/>
    <w:rsid w:val="00FE2344"/>
    <w:rsid w:val="00FE24DC"/>
    <w:rsid w:val="00FE26FA"/>
    <w:rsid w:val="00FE279F"/>
    <w:rsid w:val="00FE2B60"/>
    <w:rsid w:val="00FE2C66"/>
    <w:rsid w:val="00FE2FB9"/>
    <w:rsid w:val="00FE38AB"/>
    <w:rsid w:val="00FE39F4"/>
    <w:rsid w:val="00FE3E99"/>
    <w:rsid w:val="00FE3FDB"/>
    <w:rsid w:val="00FE40E5"/>
    <w:rsid w:val="00FE4739"/>
    <w:rsid w:val="00FE49B9"/>
    <w:rsid w:val="00FE4DB2"/>
    <w:rsid w:val="00FE4EF7"/>
    <w:rsid w:val="00FE5439"/>
    <w:rsid w:val="00FE5559"/>
    <w:rsid w:val="00FE57F8"/>
    <w:rsid w:val="00FE5A7B"/>
    <w:rsid w:val="00FE60D1"/>
    <w:rsid w:val="00FE67A2"/>
    <w:rsid w:val="00FE681D"/>
    <w:rsid w:val="00FE6A55"/>
    <w:rsid w:val="00FE6A93"/>
    <w:rsid w:val="00FE6E5B"/>
    <w:rsid w:val="00FE6E99"/>
    <w:rsid w:val="00FE7008"/>
    <w:rsid w:val="00FE74DF"/>
    <w:rsid w:val="00FE7635"/>
    <w:rsid w:val="00FE790F"/>
    <w:rsid w:val="00FE7E92"/>
    <w:rsid w:val="00FF0DBD"/>
    <w:rsid w:val="00FF0FD1"/>
    <w:rsid w:val="00FF17F9"/>
    <w:rsid w:val="00FF1C3D"/>
    <w:rsid w:val="00FF2059"/>
    <w:rsid w:val="00FF2100"/>
    <w:rsid w:val="00FF2637"/>
    <w:rsid w:val="00FF26EE"/>
    <w:rsid w:val="00FF2A23"/>
    <w:rsid w:val="00FF2F0A"/>
    <w:rsid w:val="00FF30E4"/>
    <w:rsid w:val="00FF3122"/>
    <w:rsid w:val="00FF340D"/>
    <w:rsid w:val="00FF370E"/>
    <w:rsid w:val="00FF39D9"/>
    <w:rsid w:val="00FF3A07"/>
    <w:rsid w:val="00FF3F16"/>
    <w:rsid w:val="00FF3FEA"/>
    <w:rsid w:val="00FF46EF"/>
    <w:rsid w:val="00FF4C68"/>
    <w:rsid w:val="00FF52C0"/>
    <w:rsid w:val="00FF5493"/>
    <w:rsid w:val="00FF55E4"/>
    <w:rsid w:val="00FF5660"/>
    <w:rsid w:val="00FF5A72"/>
    <w:rsid w:val="00FF5C56"/>
    <w:rsid w:val="00FF5D48"/>
    <w:rsid w:val="00FF5F91"/>
    <w:rsid w:val="00FF606D"/>
    <w:rsid w:val="00FF631E"/>
    <w:rsid w:val="00FF6AE2"/>
    <w:rsid w:val="00FF6C04"/>
    <w:rsid w:val="00FF6DEF"/>
    <w:rsid w:val="00FF717C"/>
    <w:rsid w:val="00FF72C3"/>
    <w:rsid w:val="00FF74F0"/>
    <w:rsid w:val="00FF7640"/>
    <w:rsid w:val="00FF790D"/>
    <w:rsid w:val="00FF7D4D"/>
    <w:rsid w:val="00FF7FD5"/>
    <w:rsid w:val="01AB97BB"/>
    <w:rsid w:val="025CC270"/>
    <w:rsid w:val="027C6484"/>
    <w:rsid w:val="028E181E"/>
    <w:rsid w:val="030C8F8A"/>
    <w:rsid w:val="03565222"/>
    <w:rsid w:val="03841C42"/>
    <w:rsid w:val="0420BD48"/>
    <w:rsid w:val="046063F6"/>
    <w:rsid w:val="054ED4CB"/>
    <w:rsid w:val="05D7078E"/>
    <w:rsid w:val="0670B222"/>
    <w:rsid w:val="06CB0944"/>
    <w:rsid w:val="0714B8A3"/>
    <w:rsid w:val="072D4988"/>
    <w:rsid w:val="0740CC5A"/>
    <w:rsid w:val="07B431C9"/>
    <w:rsid w:val="07B73766"/>
    <w:rsid w:val="083DC58E"/>
    <w:rsid w:val="099A720C"/>
    <w:rsid w:val="099B6E2B"/>
    <w:rsid w:val="0A406754"/>
    <w:rsid w:val="0A52598B"/>
    <w:rsid w:val="0A673CDD"/>
    <w:rsid w:val="0AA25CBB"/>
    <w:rsid w:val="0AEBBBD8"/>
    <w:rsid w:val="0AEFAF53"/>
    <w:rsid w:val="0B056EE2"/>
    <w:rsid w:val="0C4E845F"/>
    <w:rsid w:val="0C9001B7"/>
    <w:rsid w:val="0CED0437"/>
    <w:rsid w:val="0D076AC5"/>
    <w:rsid w:val="0D0F16A9"/>
    <w:rsid w:val="0D48480A"/>
    <w:rsid w:val="0E11170A"/>
    <w:rsid w:val="0E17DBE1"/>
    <w:rsid w:val="0E285B43"/>
    <w:rsid w:val="0EF48462"/>
    <w:rsid w:val="0F1D9DA6"/>
    <w:rsid w:val="0F37D333"/>
    <w:rsid w:val="10065C2F"/>
    <w:rsid w:val="1088F7DC"/>
    <w:rsid w:val="10A884C0"/>
    <w:rsid w:val="10C0E7D1"/>
    <w:rsid w:val="10F82520"/>
    <w:rsid w:val="11DF335B"/>
    <w:rsid w:val="12515C72"/>
    <w:rsid w:val="12C68AB8"/>
    <w:rsid w:val="12C876C6"/>
    <w:rsid w:val="133930ED"/>
    <w:rsid w:val="139A971B"/>
    <w:rsid w:val="140F46F8"/>
    <w:rsid w:val="142C0CDD"/>
    <w:rsid w:val="14A8D4DD"/>
    <w:rsid w:val="14BD7091"/>
    <w:rsid w:val="14C89535"/>
    <w:rsid w:val="15337D71"/>
    <w:rsid w:val="15444854"/>
    <w:rsid w:val="15A99687"/>
    <w:rsid w:val="15CC08DB"/>
    <w:rsid w:val="16848E24"/>
    <w:rsid w:val="16C65CD7"/>
    <w:rsid w:val="16E3C648"/>
    <w:rsid w:val="1709EB06"/>
    <w:rsid w:val="171548C1"/>
    <w:rsid w:val="1737263A"/>
    <w:rsid w:val="17BBCCAE"/>
    <w:rsid w:val="17FC01BF"/>
    <w:rsid w:val="1819B99A"/>
    <w:rsid w:val="18A5D9F5"/>
    <w:rsid w:val="18C7D071"/>
    <w:rsid w:val="1905C0C2"/>
    <w:rsid w:val="1949FA3B"/>
    <w:rsid w:val="194C1483"/>
    <w:rsid w:val="19D5D8A3"/>
    <w:rsid w:val="1A22BDF2"/>
    <w:rsid w:val="1AFEFE7C"/>
    <w:rsid w:val="1B49A7F6"/>
    <w:rsid w:val="1C1705F9"/>
    <w:rsid w:val="1C7304CE"/>
    <w:rsid w:val="1C7A700C"/>
    <w:rsid w:val="1C906511"/>
    <w:rsid w:val="1CABEAA4"/>
    <w:rsid w:val="1CB378E2"/>
    <w:rsid w:val="1CD5D9D8"/>
    <w:rsid w:val="1CF17011"/>
    <w:rsid w:val="1D2B7776"/>
    <w:rsid w:val="1D57DD1D"/>
    <w:rsid w:val="1E104C20"/>
    <w:rsid w:val="1E74C460"/>
    <w:rsid w:val="1EB27F62"/>
    <w:rsid w:val="1EC6E079"/>
    <w:rsid w:val="1F738E6C"/>
    <w:rsid w:val="1F7D86F0"/>
    <w:rsid w:val="1F8EF0A3"/>
    <w:rsid w:val="1FAC6065"/>
    <w:rsid w:val="1FB2AAE7"/>
    <w:rsid w:val="202BF1CA"/>
    <w:rsid w:val="20E2EF38"/>
    <w:rsid w:val="213C5E11"/>
    <w:rsid w:val="23B11779"/>
    <w:rsid w:val="24092D9F"/>
    <w:rsid w:val="247DC59D"/>
    <w:rsid w:val="25AED877"/>
    <w:rsid w:val="25FC3F42"/>
    <w:rsid w:val="26469EE1"/>
    <w:rsid w:val="26A92610"/>
    <w:rsid w:val="26B242AA"/>
    <w:rsid w:val="26DCA46F"/>
    <w:rsid w:val="26F0F204"/>
    <w:rsid w:val="26FCA454"/>
    <w:rsid w:val="27B50E9D"/>
    <w:rsid w:val="27D2DA25"/>
    <w:rsid w:val="28589B01"/>
    <w:rsid w:val="28CAFE49"/>
    <w:rsid w:val="29121982"/>
    <w:rsid w:val="295B036A"/>
    <w:rsid w:val="297DD13A"/>
    <w:rsid w:val="29CC2788"/>
    <w:rsid w:val="29DE9337"/>
    <w:rsid w:val="2A07BF18"/>
    <w:rsid w:val="2A39E54B"/>
    <w:rsid w:val="2A479D16"/>
    <w:rsid w:val="2A48D2BA"/>
    <w:rsid w:val="2A7718A0"/>
    <w:rsid w:val="2A8E0AB0"/>
    <w:rsid w:val="2B01876B"/>
    <w:rsid w:val="2B2D6171"/>
    <w:rsid w:val="2B3CE090"/>
    <w:rsid w:val="2C878BB2"/>
    <w:rsid w:val="2D605927"/>
    <w:rsid w:val="2DE5A865"/>
    <w:rsid w:val="2E0810A2"/>
    <w:rsid w:val="2E11B53B"/>
    <w:rsid w:val="2E37CC9E"/>
    <w:rsid w:val="2E4AE969"/>
    <w:rsid w:val="2F1A0532"/>
    <w:rsid w:val="2F9F97CC"/>
    <w:rsid w:val="2FA09A66"/>
    <w:rsid w:val="303A6259"/>
    <w:rsid w:val="310F5950"/>
    <w:rsid w:val="3180B069"/>
    <w:rsid w:val="32D7A3B0"/>
    <w:rsid w:val="33889448"/>
    <w:rsid w:val="33B04E50"/>
    <w:rsid w:val="33FA9AC7"/>
    <w:rsid w:val="340F6C0B"/>
    <w:rsid w:val="342821CB"/>
    <w:rsid w:val="34A7BD5A"/>
    <w:rsid w:val="34D66719"/>
    <w:rsid w:val="35590BF0"/>
    <w:rsid w:val="359CC41C"/>
    <w:rsid w:val="360327C9"/>
    <w:rsid w:val="3604D433"/>
    <w:rsid w:val="360E12E6"/>
    <w:rsid w:val="36C72576"/>
    <w:rsid w:val="36E9C317"/>
    <w:rsid w:val="36ECAD22"/>
    <w:rsid w:val="377E22E4"/>
    <w:rsid w:val="37E2BBE7"/>
    <w:rsid w:val="386339BB"/>
    <w:rsid w:val="3889CEF0"/>
    <w:rsid w:val="38965E5B"/>
    <w:rsid w:val="39207B99"/>
    <w:rsid w:val="39E735B7"/>
    <w:rsid w:val="39F1AE8A"/>
    <w:rsid w:val="3A35DC4F"/>
    <w:rsid w:val="3A70353F"/>
    <w:rsid w:val="3A80CE06"/>
    <w:rsid w:val="3ACC8E0A"/>
    <w:rsid w:val="3B4E17C6"/>
    <w:rsid w:val="3B502291"/>
    <w:rsid w:val="3BBD5F67"/>
    <w:rsid w:val="3C050326"/>
    <w:rsid w:val="3C051534"/>
    <w:rsid w:val="3C294477"/>
    <w:rsid w:val="3D49A777"/>
    <w:rsid w:val="3E704FCC"/>
    <w:rsid w:val="3F577AE6"/>
    <w:rsid w:val="3F691C00"/>
    <w:rsid w:val="3F6BD8ED"/>
    <w:rsid w:val="3F746DE0"/>
    <w:rsid w:val="4031ACA3"/>
    <w:rsid w:val="403F88B1"/>
    <w:rsid w:val="4053FA25"/>
    <w:rsid w:val="407EAC11"/>
    <w:rsid w:val="408D1EE5"/>
    <w:rsid w:val="409CA04B"/>
    <w:rsid w:val="41626227"/>
    <w:rsid w:val="4191D9B8"/>
    <w:rsid w:val="41C6DA67"/>
    <w:rsid w:val="421D8B32"/>
    <w:rsid w:val="425B2E5B"/>
    <w:rsid w:val="42639E8C"/>
    <w:rsid w:val="43764FEC"/>
    <w:rsid w:val="439AF96C"/>
    <w:rsid w:val="43C87C2C"/>
    <w:rsid w:val="43CA1B1C"/>
    <w:rsid w:val="4435053F"/>
    <w:rsid w:val="44C67B01"/>
    <w:rsid w:val="44F31E84"/>
    <w:rsid w:val="45552BF4"/>
    <w:rsid w:val="459CD5A4"/>
    <w:rsid w:val="45DBE79C"/>
    <w:rsid w:val="46240AC7"/>
    <w:rsid w:val="4727179A"/>
    <w:rsid w:val="47832C9A"/>
    <w:rsid w:val="47880E57"/>
    <w:rsid w:val="485E5315"/>
    <w:rsid w:val="494D5B43"/>
    <w:rsid w:val="4A2B7243"/>
    <w:rsid w:val="4A2C2B34"/>
    <w:rsid w:val="4A4407B5"/>
    <w:rsid w:val="4ABC34A0"/>
    <w:rsid w:val="4BB7ABCA"/>
    <w:rsid w:val="4C7E7407"/>
    <w:rsid w:val="4CD0E360"/>
    <w:rsid w:val="4D4DC372"/>
    <w:rsid w:val="4DA089B9"/>
    <w:rsid w:val="4DCCD7BD"/>
    <w:rsid w:val="4DD09464"/>
    <w:rsid w:val="4E2000C4"/>
    <w:rsid w:val="4EAAED15"/>
    <w:rsid w:val="4EADA3F0"/>
    <w:rsid w:val="4FC307C9"/>
    <w:rsid w:val="4FE1F32F"/>
    <w:rsid w:val="50455BB5"/>
    <w:rsid w:val="508650C3"/>
    <w:rsid w:val="50D9237E"/>
    <w:rsid w:val="510B68EB"/>
    <w:rsid w:val="51251604"/>
    <w:rsid w:val="514F24BC"/>
    <w:rsid w:val="5157D5B0"/>
    <w:rsid w:val="51744DAA"/>
    <w:rsid w:val="51EF463A"/>
    <w:rsid w:val="520ED31E"/>
    <w:rsid w:val="525059EC"/>
    <w:rsid w:val="529598D3"/>
    <w:rsid w:val="5295D781"/>
    <w:rsid w:val="52B99F9C"/>
    <w:rsid w:val="53193905"/>
    <w:rsid w:val="53270E95"/>
    <w:rsid w:val="532E9753"/>
    <w:rsid w:val="53B04C2D"/>
    <w:rsid w:val="53E897F4"/>
    <w:rsid w:val="554BFF22"/>
    <w:rsid w:val="56DAAA4F"/>
    <w:rsid w:val="5702600C"/>
    <w:rsid w:val="577E2706"/>
    <w:rsid w:val="57AE00E5"/>
    <w:rsid w:val="57DA94D2"/>
    <w:rsid w:val="5873A2B3"/>
    <w:rsid w:val="588B2EE5"/>
    <w:rsid w:val="58AEC31C"/>
    <w:rsid w:val="58E9816B"/>
    <w:rsid w:val="5933D112"/>
    <w:rsid w:val="596BE2CD"/>
    <w:rsid w:val="597D187E"/>
    <w:rsid w:val="59A3655B"/>
    <w:rsid w:val="59EFF1C3"/>
    <w:rsid w:val="5A193B7D"/>
    <w:rsid w:val="5A3EC329"/>
    <w:rsid w:val="5AD64FD0"/>
    <w:rsid w:val="5B318902"/>
    <w:rsid w:val="5B3F1080"/>
    <w:rsid w:val="5BE87462"/>
    <w:rsid w:val="5C884468"/>
    <w:rsid w:val="5D3B7383"/>
    <w:rsid w:val="5DA51D4A"/>
    <w:rsid w:val="5E3D0285"/>
    <w:rsid w:val="5F2A4E7C"/>
    <w:rsid w:val="5FFD9304"/>
    <w:rsid w:val="607DE36D"/>
    <w:rsid w:val="609E1770"/>
    <w:rsid w:val="60B45DA1"/>
    <w:rsid w:val="634C8B7C"/>
    <w:rsid w:val="637DABAC"/>
    <w:rsid w:val="63919EB8"/>
    <w:rsid w:val="6423147A"/>
    <w:rsid w:val="6439F45A"/>
    <w:rsid w:val="64490C91"/>
    <w:rsid w:val="64836E5F"/>
    <w:rsid w:val="6487B869"/>
    <w:rsid w:val="64A980D5"/>
    <w:rsid w:val="6518F06E"/>
    <w:rsid w:val="651D31AC"/>
    <w:rsid w:val="658973B5"/>
    <w:rsid w:val="65C8ACB8"/>
    <w:rsid w:val="65F69089"/>
    <w:rsid w:val="66312BE5"/>
    <w:rsid w:val="66AEA61E"/>
    <w:rsid w:val="66B6657D"/>
    <w:rsid w:val="6781A955"/>
    <w:rsid w:val="684A767F"/>
    <w:rsid w:val="688CC6AA"/>
    <w:rsid w:val="68FC6E57"/>
    <w:rsid w:val="69416546"/>
    <w:rsid w:val="69DAB6D3"/>
    <w:rsid w:val="6A02DA76"/>
    <w:rsid w:val="6A4557F4"/>
    <w:rsid w:val="6A669E10"/>
    <w:rsid w:val="6A98CFB5"/>
    <w:rsid w:val="6B016064"/>
    <w:rsid w:val="6B88B127"/>
    <w:rsid w:val="6BA83AD0"/>
    <w:rsid w:val="6CAB446E"/>
    <w:rsid w:val="6D2FEAED"/>
    <w:rsid w:val="6D3367F9"/>
    <w:rsid w:val="6D36E1D4"/>
    <w:rsid w:val="6D657EB9"/>
    <w:rsid w:val="6DC3382A"/>
    <w:rsid w:val="6E54B363"/>
    <w:rsid w:val="6E6EAA2F"/>
    <w:rsid w:val="6F451A47"/>
    <w:rsid w:val="6F5410E0"/>
    <w:rsid w:val="6F868C4C"/>
    <w:rsid w:val="716B5A89"/>
    <w:rsid w:val="72737111"/>
    <w:rsid w:val="7283A80E"/>
    <w:rsid w:val="72D41858"/>
    <w:rsid w:val="72D7E51F"/>
    <w:rsid w:val="730D3CBF"/>
    <w:rsid w:val="7334379C"/>
    <w:rsid w:val="7345316D"/>
    <w:rsid w:val="73DCA1F7"/>
    <w:rsid w:val="741875F5"/>
    <w:rsid w:val="75314D5A"/>
    <w:rsid w:val="75365E6D"/>
    <w:rsid w:val="7560E925"/>
    <w:rsid w:val="75E7AEDA"/>
    <w:rsid w:val="760750EE"/>
    <w:rsid w:val="7679249C"/>
    <w:rsid w:val="768F0615"/>
    <w:rsid w:val="76B20DF5"/>
    <w:rsid w:val="7786AC3F"/>
    <w:rsid w:val="77CB279E"/>
    <w:rsid w:val="7897E061"/>
    <w:rsid w:val="78D5D9C5"/>
    <w:rsid w:val="793A7E6F"/>
    <w:rsid w:val="79FBEB31"/>
    <w:rsid w:val="79FFD5CF"/>
    <w:rsid w:val="7A8F33CF"/>
    <w:rsid w:val="7ABD39F9"/>
    <w:rsid w:val="7AE28266"/>
    <w:rsid w:val="7B55A45C"/>
    <w:rsid w:val="7B72CCBA"/>
    <w:rsid w:val="7BC6C7B6"/>
    <w:rsid w:val="7CCEC8D7"/>
    <w:rsid w:val="7D505F48"/>
    <w:rsid w:val="7D90D930"/>
    <w:rsid w:val="7DAA7A33"/>
    <w:rsid w:val="7DADC4F7"/>
    <w:rsid w:val="7E1DB7C7"/>
    <w:rsid w:val="7E72388B"/>
    <w:rsid w:val="7E839F09"/>
    <w:rsid w:val="7ED7C953"/>
    <w:rsid w:val="7F8866C7"/>
    <w:rsid w:val="7F97A203"/>
    <w:rsid w:val="7F9F236C"/>
    <w:rsid w:val="7FB3AD64"/>
    <w:rsid w:val="7FE042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Comment Text Char Char,Comment Text Char Char Char Char,Comment Text Char Char1,Comment Text Char1 Char Char"/>
    <w:basedOn w:val="Normal"/>
    <w:link w:val="CommentTextChar"/>
    <w:uiPriority w:val="99"/>
    <w:unhideWhenUsed/>
    <w:qFormat/>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Comment Text Char Char Char,Comment Text Char Char Char Char Char,Comment Text Char Char1 Char,Comment Text Char1 Char Char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uiPriority w:val="59"/>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Dossier table,Section 3- footnotes,CMA Table Template,MSD Table Grid"/>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EC7D28"/>
    <w:pPr>
      <w:numPr>
        <w:numId w:val="10"/>
      </w:numPr>
      <w:spacing w:after="0" w:line="240" w:lineRule="auto"/>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EC7D28"/>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NZ"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503796"/>
    <w:rPr>
      <w:color w:val="605E5C"/>
      <w:shd w:val="clear" w:color="auto" w:fill="E1DFDD"/>
    </w:rPr>
  </w:style>
  <w:style w:type="character" w:styleId="Mention">
    <w:name w:val="Mention"/>
    <w:basedOn w:val="DefaultParagraphFont"/>
    <w:uiPriority w:val="99"/>
    <w:unhideWhenUsed/>
    <w:rsid w:val="00A83B4F"/>
    <w:rPr>
      <w:color w:val="2B579A"/>
      <w:shd w:val="clear" w:color="auto" w:fill="E1DFDD"/>
    </w:rPr>
  </w:style>
  <w:style w:type="paragraph" w:customStyle="1" w:styleId="Notes-TableFigure">
    <w:name w:val="Notes - Table/Figure"/>
    <w:basedOn w:val="Normal"/>
    <w:link w:val="Notes-TableFigureChar"/>
    <w:qFormat/>
    <w:rsid w:val="00AE279F"/>
    <w:pPr>
      <w:spacing w:after="360" w:line="240" w:lineRule="auto"/>
      <w:contextualSpacing/>
    </w:pPr>
    <w:rPr>
      <w:rFonts w:ascii="Arial Narrow" w:hAnsi="Arial Narrow"/>
      <w:sz w:val="18"/>
      <w:lang w:val="en-US"/>
    </w:rPr>
  </w:style>
  <w:style w:type="character" w:customStyle="1" w:styleId="Notes-TableFigureChar">
    <w:name w:val="Notes - Table/Figure Char"/>
    <w:basedOn w:val="DefaultParagraphFont"/>
    <w:link w:val="Notes-TableFigure"/>
    <w:rsid w:val="00AE279F"/>
    <w:rPr>
      <w:rFonts w:ascii="Arial Narrow" w:hAnsi="Arial Narrow"/>
      <w:sz w:val="18"/>
      <w:lang w:val="en-US"/>
    </w:rPr>
  </w:style>
  <w:style w:type="paragraph" w:customStyle="1" w:styleId="Heading2execsummary">
    <w:name w:val="Heading 2 exec summary"/>
    <w:basedOn w:val="Heading2"/>
    <w:next w:val="Normal"/>
    <w:link w:val="Heading2execsummaryChar"/>
    <w:qFormat/>
    <w:rsid w:val="00AE279F"/>
    <w:pPr>
      <w:numPr>
        <w:ilvl w:val="0"/>
        <w:numId w:val="11"/>
      </w:numPr>
      <w:spacing w:before="0"/>
    </w:pPr>
    <w:rPr>
      <w:lang w:val="en-US"/>
    </w:rPr>
  </w:style>
  <w:style w:type="character" w:customStyle="1" w:styleId="Heading2execsummaryChar">
    <w:name w:val="Heading 2 exec summary Char"/>
    <w:basedOn w:val="Heading2Char"/>
    <w:link w:val="Heading2execsummary"/>
    <w:rsid w:val="00AE279F"/>
    <w:rPr>
      <w:rFonts w:ascii="Franklin Gothic Medium" w:eastAsiaTheme="majorEastAsia" w:hAnsi="Franklin Gothic Medium" w:cstheme="majorBidi"/>
      <w:color w:val="000000" w:themeColor="text1"/>
      <w:sz w:val="32"/>
      <w:szCs w:val="26"/>
      <w:lang w:val="en-US"/>
    </w:rPr>
  </w:style>
  <w:style w:type="paragraph" w:customStyle="1" w:styleId="Heading3nonumbers">
    <w:name w:val="Heading 3 no numbers"/>
    <w:basedOn w:val="Heading3"/>
    <w:next w:val="Normal"/>
    <w:link w:val="Heading3nonumbersChar"/>
    <w:qFormat/>
    <w:rsid w:val="00AE279F"/>
    <w:pPr>
      <w:tabs>
        <w:tab w:val="clear" w:pos="851"/>
      </w:tabs>
    </w:pPr>
    <w:rPr>
      <w:color w:val="000000" w:themeColor="text1"/>
      <w:lang w:val="en-US"/>
    </w:rPr>
  </w:style>
  <w:style w:type="character" w:customStyle="1" w:styleId="Heading3nonumbersChar">
    <w:name w:val="Heading 3 no numbers Char"/>
    <w:basedOn w:val="Heading3Char"/>
    <w:link w:val="Heading3nonumbers"/>
    <w:rsid w:val="00AE279F"/>
    <w:rPr>
      <w:rFonts w:ascii="Franklin Gothic Medium" w:eastAsiaTheme="majorEastAsia" w:hAnsi="Franklin Gothic Medium" w:cstheme="majorBidi"/>
      <w:color w:val="000000" w:themeColor="text1"/>
      <w:sz w:val="24"/>
      <w:szCs w:val="24"/>
      <w:lang w:val="en-US"/>
    </w:rPr>
  </w:style>
  <w:style w:type="paragraph" w:customStyle="1" w:styleId="BodyTextSTD">
    <w:name w:val="Body Text STD"/>
    <w:basedOn w:val="Normal"/>
    <w:link w:val="BodyTextSTDChar"/>
    <w:rsid w:val="00AE279F"/>
    <w:pPr>
      <w:spacing w:before="0" w:after="240" w:line="312" w:lineRule="auto"/>
      <w:jc w:val="both"/>
    </w:pPr>
    <w:rPr>
      <w:rFonts w:ascii="Calibri" w:eastAsia="Times New Roman" w:hAnsi="Calibri" w:cs="Tahoma"/>
      <w:lang w:eastAsia="en-AU"/>
    </w:rPr>
  </w:style>
  <w:style w:type="character" w:customStyle="1" w:styleId="BodyTextSTDChar">
    <w:name w:val="Body Text STD Char"/>
    <w:basedOn w:val="DefaultParagraphFont"/>
    <w:link w:val="BodyTextSTD"/>
    <w:rsid w:val="00AE279F"/>
    <w:rPr>
      <w:rFonts w:ascii="Calibri" w:eastAsia="Times New Roman" w:hAnsi="Calibri" w:cs="Tahoma"/>
      <w:lang w:eastAsia="en-AU"/>
    </w:rPr>
  </w:style>
  <w:style w:type="paragraph" w:customStyle="1" w:styleId="Rosscomments">
    <w:name w:val="Ross comments"/>
    <w:basedOn w:val="Normal"/>
    <w:qFormat/>
    <w:rsid w:val="00AE279F"/>
    <w:rPr>
      <w:i/>
      <w:iCs/>
      <w:color w:val="FF0000"/>
    </w:rPr>
  </w:style>
  <w:style w:type="paragraph" w:customStyle="1" w:styleId="Style1">
    <w:name w:val="Style1"/>
    <w:basedOn w:val="Instructionaltext"/>
    <w:qFormat/>
    <w:rsid w:val="00AE279F"/>
    <w:pPr>
      <w:jc w:val="both"/>
    </w:pPr>
    <w:rPr>
      <w:color w:val="auto"/>
    </w:rPr>
  </w:style>
  <w:style w:type="character" w:customStyle="1" w:styleId="ilfuvd">
    <w:name w:val="ilfuvd"/>
    <w:basedOn w:val="DefaultParagraphFont"/>
    <w:rsid w:val="006A1CDE"/>
  </w:style>
  <w:style w:type="character" w:customStyle="1" w:styleId="TableHeadingChar0">
    <w:name w:val="Table Heading Char"/>
    <w:basedOn w:val="DefaultParagraphFont"/>
    <w:link w:val="TableHeading0"/>
    <w:rsid w:val="00E1396D"/>
    <w:rPr>
      <w:rFonts w:ascii="Arial Narrow" w:hAnsi="Arial Narrow"/>
      <w:b/>
      <w:sz w:val="20"/>
    </w:rPr>
  </w:style>
  <w:style w:type="table" w:styleId="TableGridLight">
    <w:name w:val="Grid Table Light"/>
    <w:basedOn w:val="TableNormal"/>
    <w:uiPriority w:val="40"/>
    <w:rsid w:val="00101F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B852AE"/>
    <w:pPr>
      <w:widowControl w:val="0"/>
      <w:autoSpaceDE w:val="0"/>
      <w:autoSpaceDN w:val="0"/>
      <w:spacing w:after="120" w:line="276" w:lineRule="auto"/>
    </w:pPr>
    <w:rPr>
      <w:lang w:val="en-US"/>
    </w:rPr>
  </w:style>
  <w:style w:type="character" w:customStyle="1" w:styleId="BodyTextChar">
    <w:name w:val="Body Text Char"/>
    <w:basedOn w:val="DefaultParagraphFont"/>
    <w:link w:val="BodyText"/>
    <w:uiPriority w:val="1"/>
    <w:rsid w:val="00B852AE"/>
    <w:rPr>
      <w:rFonts w:ascii="Franklin Gothic Book" w:hAnsi="Franklin Gothic Book"/>
      <w:lang w:val="en-US"/>
    </w:rPr>
  </w:style>
  <w:style w:type="character" w:customStyle="1" w:styleId="normaltextrun">
    <w:name w:val="normaltextrun"/>
    <w:basedOn w:val="DefaultParagraphFont"/>
    <w:rsid w:val="00B852AE"/>
  </w:style>
  <w:style w:type="paragraph" w:styleId="NormalWeb">
    <w:name w:val="Normal (Web)"/>
    <w:basedOn w:val="Normal"/>
    <w:uiPriority w:val="99"/>
    <w:semiHidden/>
    <w:unhideWhenUsed/>
    <w:rsid w:val="00B852AE"/>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29382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9382D"/>
    <w:rPr>
      <w:rFonts w:ascii="Franklin Gothic Book" w:hAnsi="Franklin Gothic Book"/>
      <w:noProof/>
      <w:lang w:val="en-US"/>
    </w:rPr>
  </w:style>
  <w:style w:type="paragraph" w:customStyle="1" w:styleId="EndNoteBibliography">
    <w:name w:val="EndNote Bibliography"/>
    <w:basedOn w:val="Normal"/>
    <w:link w:val="EndNoteBibliographyChar"/>
    <w:rsid w:val="0029382D"/>
    <w:pPr>
      <w:spacing w:line="240" w:lineRule="auto"/>
    </w:pPr>
    <w:rPr>
      <w:noProof/>
      <w:lang w:val="en-US"/>
    </w:rPr>
  </w:style>
  <w:style w:type="character" w:customStyle="1" w:styleId="EndNoteBibliographyChar">
    <w:name w:val="EndNote Bibliography Char"/>
    <w:basedOn w:val="DefaultParagraphFont"/>
    <w:link w:val="EndNoteBibliography"/>
    <w:rsid w:val="0029382D"/>
    <w:rPr>
      <w:rFonts w:ascii="Franklin Gothic Book" w:hAnsi="Franklin Gothic Book"/>
      <w:noProof/>
      <w:lang w:val="en-US"/>
    </w:rPr>
  </w:style>
  <w:style w:type="paragraph" w:customStyle="1" w:styleId="TableDash">
    <w:name w:val="TableDash"/>
    <w:basedOn w:val="TableText1"/>
    <w:rsid w:val="009E66C2"/>
    <w:pPr>
      <w:numPr>
        <w:numId w:val="30"/>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9E66C2"/>
    <w:pPr>
      <w:numPr>
        <w:numId w:val="31"/>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9E66C2"/>
    <w:pPr>
      <w:spacing w:before="0" w:after="24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9E66C2"/>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9E66C2"/>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9E66C2"/>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9E66C2"/>
    <w:pPr>
      <w:numPr>
        <w:numId w:val="32"/>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2236184">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85123022">
      <w:bodyDiv w:val="1"/>
      <w:marLeft w:val="0"/>
      <w:marRight w:val="0"/>
      <w:marTop w:val="0"/>
      <w:marBottom w:val="0"/>
      <w:divBdr>
        <w:top w:val="none" w:sz="0" w:space="0" w:color="auto"/>
        <w:left w:val="none" w:sz="0" w:space="0" w:color="auto"/>
        <w:bottom w:val="none" w:sz="0" w:space="0" w:color="auto"/>
        <w:right w:val="none" w:sz="0" w:space="0" w:color="auto"/>
      </w:divBdr>
    </w:div>
    <w:div w:id="489831973">
      <w:bodyDiv w:val="1"/>
      <w:marLeft w:val="0"/>
      <w:marRight w:val="0"/>
      <w:marTop w:val="0"/>
      <w:marBottom w:val="0"/>
      <w:divBdr>
        <w:top w:val="none" w:sz="0" w:space="0" w:color="auto"/>
        <w:left w:val="none" w:sz="0" w:space="0" w:color="auto"/>
        <w:bottom w:val="none" w:sz="0" w:space="0" w:color="auto"/>
        <w:right w:val="none" w:sz="0" w:space="0" w:color="auto"/>
      </w:divBdr>
    </w:div>
    <w:div w:id="49585039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5228979">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9833365">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4219182">
      <w:bodyDiv w:val="1"/>
      <w:marLeft w:val="0"/>
      <w:marRight w:val="0"/>
      <w:marTop w:val="0"/>
      <w:marBottom w:val="0"/>
      <w:divBdr>
        <w:top w:val="none" w:sz="0" w:space="0" w:color="auto"/>
        <w:left w:val="none" w:sz="0" w:space="0" w:color="auto"/>
        <w:bottom w:val="none" w:sz="0" w:space="0" w:color="auto"/>
        <w:right w:val="none" w:sz="0" w:space="0" w:color="auto"/>
      </w:divBdr>
      <w:divsChild>
        <w:div w:id="367880905">
          <w:marLeft w:val="0"/>
          <w:marRight w:val="0"/>
          <w:marTop w:val="0"/>
          <w:marBottom w:val="0"/>
          <w:divBdr>
            <w:top w:val="single" w:sz="2" w:space="0" w:color="auto"/>
            <w:left w:val="single" w:sz="2" w:space="0" w:color="auto"/>
            <w:bottom w:val="single" w:sz="6" w:space="0" w:color="auto"/>
            <w:right w:val="single" w:sz="2" w:space="0" w:color="auto"/>
          </w:divBdr>
          <w:divsChild>
            <w:div w:id="14563670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861206">
                  <w:marLeft w:val="0"/>
                  <w:marRight w:val="0"/>
                  <w:marTop w:val="0"/>
                  <w:marBottom w:val="0"/>
                  <w:divBdr>
                    <w:top w:val="single" w:sz="2" w:space="0" w:color="D9D9E3"/>
                    <w:left w:val="single" w:sz="2" w:space="0" w:color="D9D9E3"/>
                    <w:bottom w:val="single" w:sz="2" w:space="0" w:color="D9D9E3"/>
                    <w:right w:val="single" w:sz="2" w:space="0" w:color="D9D9E3"/>
                  </w:divBdr>
                  <w:divsChild>
                    <w:div w:id="1016078904">
                      <w:marLeft w:val="0"/>
                      <w:marRight w:val="0"/>
                      <w:marTop w:val="0"/>
                      <w:marBottom w:val="0"/>
                      <w:divBdr>
                        <w:top w:val="single" w:sz="2" w:space="0" w:color="D9D9E3"/>
                        <w:left w:val="single" w:sz="2" w:space="0" w:color="D9D9E3"/>
                        <w:bottom w:val="single" w:sz="2" w:space="0" w:color="D9D9E3"/>
                        <w:right w:val="single" w:sz="2" w:space="0" w:color="D9D9E3"/>
                      </w:divBdr>
                      <w:divsChild>
                        <w:div w:id="391468740">
                          <w:marLeft w:val="0"/>
                          <w:marRight w:val="0"/>
                          <w:marTop w:val="0"/>
                          <w:marBottom w:val="0"/>
                          <w:divBdr>
                            <w:top w:val="single" w:sz="2" w:space="0" w:color="D9D9E3"/>
                            <w:left w:val="single" w:sz="2" w:space="0" w:color="D9D9E3"/>
                            <w:bottom w:val="single" w:sz="2" w:space="0" w:color="D9D9E3"/>
                            <w:right w:val="single" w:sz="2" w:space="0" w:color="D9D9E3"/>
                          </w:divBdr>
                          <w:divsChild>
                            <w:div w:id="676273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48113803">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962834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25864776">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3.xml"/><Relationship Id="rId18" Type="http://schemas.openxmlformats.org/officeDocument/2006/relationships/hyperlink" Target="http://msac.gov.au/internet/msac/publishing.nsf/Content/Hom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ice.org.uk/guidance/ta809/chapter/1-Recommendation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D717-F201-48EC-A5F6-19D2D84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20791</Words>
  <Characters>118723</Characters>
  <Application>Microsoft Office Word</Application>
  <DocSecurity>0</DocSecurity>
  <Lines>2327</Lines>
  <Paragraphs>1056</Paragraphs>
  <ScaleCrop>false</ScaleCrop>
  <Manager/>
  <Company/>
  <LinksUpToDate>false</LinksUpToDate>
  <CharactersWithSpaces>138458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2023-10-11T23:06:00Z</dcterms:created>
  <dcterms:modified xsi:type="dcterms:W3CDTF">2023-10-12T00:30:00Z</dcterms:modified>
  <cp:category/>
</cp:coreProperties>
</file>