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98C90" w14:textId="77777777" w:rsidR="00E44B80" w:rsidRPr="00F637B3" w:rsidRDefault="00E44B80" w:rsidP="00E44B80">
      <w:pPr>
        <w:jc w:val="center"/>
        <w:rPr>
          <w:b/>
          <w:szCs w:val="20"/>
        </w:rPr>
      </w:pPr>
      <w:r w:rsidRPr="00F637B3">
        <w:rPr>
          <w:b/>
          <w:noProof/>
          <w:szCs w:val="20"/>
          <w:lang w:eastAsia="en-AU"/>
        </w:rPr>
        <w:drawing>
          <wp:inline distT="0" distB="0" distL="0" distR="0" wp14:anchorId="68663A6F" wp14:editId="34DC953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9B25312" w14:textId="77777777" w:rsidR="008B2610" w:rsidRPr="006F20CF" w:rsidRDefault="008B2610" w:rsidP="00F971CC">
      <w:pPr>
        <w:pStyle w:val="Title"/>
        <w:spacing w:before="2600"/>
      </w:pPr>
      <w:r w:rsidRPr="001906CD">
        <w:t>Application Form</w:t>
      </w:r>
    </w:p>
    <w:p w14:paraId="09299C74"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1C63C97D"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3B356E7E" w14:textId="77777777" w:rsidR="00EB0182" w:rsidRDefault="00781A95" w:rsidP="00781A95">
      <w:pPr>
        <w:jc w:val="center"/>
        <w:rPr>
          <w:rFonts w:ascii="Arial" w:hAnsi="Arial" w:cs="Arial"/>
          <w:b/>
          <w:sz w:val="52"/>
          <w:szCs w:val="52"/>
        </w:rPr>
      </w:pPr>
      <w:r w:rsidRPr="00781A95">
        <w:rPr>
          <w:rFonts w:ascii="Arial" w:hAnsi="Arial" w:cs="Arial"/>
          <w:b/>
          <w:sz w:val="32"/>
          <w:szCs w:val="32"/>
        </w:rPr>
        <w:t xml:space="preserve">PD-L1 (Programmed Death 1 Ligand) immunohistochemistry testing for access to pembrolizumab as first-line therapy for </w:t>
      </w:r>
      <w:proofErr w:type="gramStart"/>
      <w:r w:rsidRPr="00781A95">
        <w:rPr>
          <w:rFonts w:ascii="Arial" w:hAnsi="Arial" w:cs="Arial"/>
          <w:b/>
          <w:sz w:val="32"/>
          <w:szCs w:val="32"/>
        </w:rPr>
        <w:t>patients</w:t>
      </w:r>
      <w:proofErr w:type="gramEnd"/>
      <w:r w:rsidRPr="00781A95">
        <w:rPr>
          <w:rFonts w:ascii="Arial" w:hAnsi="Arial" w:cs="Arial"/>
          <w:b/>
          <w:sz w:val="32"/>
          <w:szCs w:val="32"/>
        </w:rPr>
        <w:t xml:space="preserve"> </w:t>
      </w:r>
      <w:r>
        <w:rPr>
          <w:rFonts w:ascii="Arial" w:hAnsi="Arial" w:cs="Arial"/>
          <w:b/>
          <w:sz w:val="32"/>
          <w:szCs w:val="32"/>
        </w:rPr>
        <w:t>recurrent or metastatic head and neck squamous cell carcinoma</w:t>
      </w:r>
      <w:r w:rsidR="00537B63">
        <w:rPr>
          <w:rFonts w:ascii="Arial" w:hAnsi="Arial" w:cs="Arial"/>
          <w:b/>
          <w:sz w:val="32"/>
          <w:szCs w:val="32"/>
        </w:rPr>
        <w:t xml:space="preserve"> (HNSCC)</w:t>
      </w:r>
    </w:p>
    <w:p w14:paraId="0BDCA674"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2AEA58FA"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B64486E"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513BAD74"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797A20F7" w14:textId="77777777" w:rsidR="008B2610" w:rsidRPr="00154B00" w:rsidRDefault="009F5758" w:rsidP="003F7CB9">
      <w:pPr>
        <w:spacing w:before="0" w:after="0"/>
      </w:pPr>
      <w:bookmarkStart w:id="0" w:name="_GoBack"/>
      <w:r w:rsidRPr="00154B00">
        <w:t>Phone:  +61 2 6289 7550</w:t>
      </w:r>
    </w:p>
    <w:p w14:paraId="5D4F9E29" w14:textId="77777777" w:rsidR="009F5758" w:rsidRPr="00154B00" w:rsidRDefault="009F5758" w:rsidP="003F7CB9">
      <w:pPr>
        <w:spacing w:before="0" w:after="0"/>
      </w:pPr>
      <w:r w:rsidRPr="00154B00">
        <w:t>Fax:  +61 2 6289 5540</w:t>
      </w:r>
    </w:p>
    <w:bookmarkEnd w:id="0"/>
    <w:p w14:paraId="52738374" w14:textId="77777777" w:rsidR="009F5758" w:rsidRPr="00154B00" w:rsidRDefault="009F5758" w:rsidP="003F7CB9">
      <w:pPr>
        <w:spacing w:before="0" w:after="0"/>
      </w:pPr>
      <w:r w:rsidRPr="00154B00">
        <w:t xml:space="preserve">Email:  </w:t>
      </w:r>
      <w:hyperlink r:id="rId14" w:tooltip="click here to email the Department of Health HTA Team" w:history="1">
        <w:r w:rsidRPr="00154B00">
          <w:rPr>
            <w:rStyle w:val="Hyperlink"/>
            <w:szCs w:val="20"/>
          </w:rPr>
          <w:t>hta@health.gov.au</w:t>
        </w:r>
      </w:hyperlink>
    </w:p>
    <w:p w14:paraId="3486DCF2" w14:textId="77777777" w:rsidR="009F5758" w:rsidRPr="00154B00" w:rsidRDefault="009F5758" w:rsidP="003F7CB9">
      <w:pPr>
        <w:spacing w:before="0" w:after="0"/>
      </w:pPr>
      <w:r w:rsidRPr="00154B00">
        <w:t xml:space="preserve">Website:  </w:t>
      </w:r>
      <w:hyperlink r:id="rId15"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4D707A8" w14:textId="77777777" w:rsidR="001D77ED" w:rsidRPr="003F7CB9" w:rsidRDefault="00D73646" w:rsidP="006751A9">
      <w:bookmarkStart w:id="1" w:name="_Toc443555803"/>
      <w:r>
        <w:rPr>
          <w:rStyle w:val="IntenseReference"/>
        </w:rPr>
        <w:br w:type="page"/>
      </w:r>
      <w:bookmarkEnd w:id="1"/>
    </w:p>
    <w:p w14:paraId="384D8668" w14:textId="77777777" w:rsidR="00E04FB3" w:rsidRPr="00C776B1" w:rsidRDefault="00494011" w:rsidP="00A8732C">
      <w:pPr>
        <w:pStyle w:val="Heading1"/>
      </w:pPr>
      <w:r>
        <w:lastRenderedPageBreak/>
        <w:t>PART 1</w:t>
      </w:r>
      <w:r w:rsidR="00F93784">
        <w:t xml:space="preserve"> – </w:t>
      </w:r>
      <w:r w:rsidR="00E04FB3" w:rsidRPr="00C776B1">
        <w:t>APPLICANT DETAILS</w:t>
      </w:r>
    </w:p>
    <w:p w14:paraId="112A1D79"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7B96EB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3FD85DE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EA7BB2">
        <w:t>Merck Sharp &amp; Dohme (Australia) Pty Limited</w:t>
      </w:r>
    </w:p>
    <w:p w14:paraId="6A98674C"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EA7BB2">
        <w:t>14 000 173 508</w:t>
      </w:r>
    </w:p>
    <w:p w14:paraId="73BFC7C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EA7BB2">
        <w:t>N/A</w:t>
      </w:r>
    </w:p>
    <w:p w14:paraId="1F5F9F65" w14:textId="77777777" w:rsidR="00C171FB" w:rsidRPr="00C171FB" w:rsidRDefault="00C171FB" w:rsidP="00C171FB"/>
    <w:p w14:paraId="32729C77" w14:textId="455AE36A" w:rsidR="00C171FB" w:rsidRPr="00C171FB" w:rsidRDefault="00C171FB" w:rsidP="00C171FB">
      <w:pPr>
        <w:rPr>
          <w:b/>
        </w:rPr>
      </w:pPr>
      <w:r>
        <w:rPr>
          <w:b/>
        </w:rPr>
        <w:t xml:space="preserve">Primary contact name: </w:t>
      </w:r>
      <w:r w:rsidR="00D110CC">
        <w:rPr>
          <w:b/>
        </w:rPr>
        <w:t xml:space="preserve"> </w:t>
      </w:r>
      <w:r w:rsidR="00D110CC" w:rsidRPr="00D110CC">
        <w:rPr>
          <w:b/>
        </w:rPr>
        <w:t>REDACTED</w:t>
      </w:r>
    </w:p>
    <w:p w14:paraId="71E9529A"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F12C1D4" w14:textId="5E96A62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D110CC" w:rsidRPr="00D110CC">
        <w:rPr>
          <w:b/>
        </w:rPr>
        <w:t>REDACTED</w:t>
      </w:r>
    </w:p>
    <w:p w14:paraId="66712C10" w14:textId="77777777" w:rsidR="00D110CC" w:rsidRDefault="00C171FB" w:rsidP="00C171FB">
      <w:pPr>
        <w:pBdr>
          <w:top w:val="single" w:sz="4" w:space="1" w:color="auto"/>
          <w:left w:val="single" w:sz="4" w:space="4" w:color="auto"/>
          <w:bottom w:val="single" w:sz="4" w:space="1" w:color="auto"/>
          <w:right w:val="single" w:sz="4" w:space="4" w:color="auto"/>
        </w:pBdr>
      </w:pPr>
      <w:r>
        <w:t>Mobile:</w:t>
      </w:r>
      <w:r>
        <w:tab/>
      </w:r>
      <w:r w:rsidR="00D110CC" w:rsidRPr="00D110CC">
        <w:rPr>
          <w:b/>
        </w:rPr>
        <w:t>REDACTED</w:t>
      </w:r>
      <w:r w:rsidR="00D110CC">
        <w:t xml:space="preserve"> </w:t>
      </w:r>
    </w:p>
    <w:p w14:paraId="520B8BE9" w14:textId="10325A2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D110CC" w:rsidRPr="00D110CC">
        <w:rPr>
          <w:b/>
        </w:rPr>
        <w:t>REDACTED</w:t>
      </w:r>
    </w:p>
    <w:p w14:paraId="20033F97" w14:textId="77777777" w:rsidR="00C171FB" w:rsidRDefault="00C171FB" w:rsidP="00C171FB">
      <w:pPr>
        <w:rPr>
          <w:b/>
        </w:rPr>
      </w:pPr>
    </w:p>
    <w:p w14:paraId="37AB4472" w14:textId="23ED2412" w:rsidR="00C171FB" w:rsidRPr="00C171FB" w:rsidRDefault="00C171FB" w:rsidP="00C171FB">
      <w:pPr>
        <w:rPr>
          <w:b/>
        </w:rPr>
      </w:pPr>
      <w:r>
        <w:rPr>
          <w:b/>
        </w:rPr>
        <w:t>Alternative contact name</w:t>
      </w:r>
      <w:r w:rsidRPr="00D110CC">
        <w:rPr>
          <w:b/>
        </w:rPr>
        <w:t xml:space="preserve">: </w:t>
      </w:r>
      <w:r w:rsidR="00D110CC" w:rsidRPr="00D110CC">
        <w:rPr>
          <w:b/>
        </w:rPr>
        <w:t>REDACTED</w:t>
      </w:r>
    </w:p>
    <w:p w14:paraId="406D92EB"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6AA227A" w14:textId="60409E16"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D110CC" w:rsidRPr="00D110CC">
        <w:rPr>
          <w:b/>
        </w:rPr>
        <w:t>REDACTED</w:t>
      </w:r>
    </w:p>
    <w:p w14:paraId="07F98BC0" w14:textId="001AEE59"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D110CC" w:rsidRPr="00D110CC">
        <w:rPr>
          <w:b/>
        </w:rPr>
        <w:t>REDACTED</w:t>
      </w:r>
    </w:p>
    <w:p w14:paraId="0B72E7AC" w14:textId="5787944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D110CC" w:rsidRPr="00D110CC">
        <w:rPr>
          <w:b/>
        </w:rPr>
        <w:t>REDACTED</w:t>
      </w:r>
    </w:p>
    <w:p w14:paraId="522E5753" w14:textId="77777777" w:rsidR="00C171FB" w:rsidRDefault="00C171FB" w:rsidP="00C171FB"/>
    <w:p w14:paraId="56D8DA93" w14:textId="77777777" w:rsidR="00F34AEC" w:rsidRPr="00154B00" w:rsidRDefault="00F34AEC" w:rsidP="00F34AEC">
      <w:pPr>
        <w:pStyle w:val="Heading2"/>
      </w:pPr>
      <w:r>
        <w:t>(a) Are you a consultant acting on behalf of an Applicant?</w:t>
      </w:r>
    </w:p>
    <w:p w14:paraId="584627EC"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Yes</w:t>
      </w:r>
    </w:p>
    <w:p w14:paraId="16765F81" w14:textId="77777777" w:rsidR="00F34AEC" w:rsidRPr="00753C44" w:rsidRDefault="00EE0BF5" w:rsidP="00F34AEC">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F34AEC">
        <w:rPr>
          <w:szCs w:val="20"/>
        </w:rPr>
        <w:t xml:space="preserve"> No</w:t>
      </w:r>
      <w:r w:rsidR="00352047">
        <w:rPr>
          <w:szCs w:val="20"/>
        </w:rPr>
        <w:t xml:space="preserve"> </w:t>
      </w:r>
    </w:p>
    <w:p w14:paraId="563A9860" w14:textId="77777777" w:rsidR="00F34AEC" w:rsidRDefault="00F34AEC" w:rsidP="00C171FB"/>
    <w:p w14:paraId="20F483C7" w14:textId="77777777" w:rsidR="00F34AEC" w:rsidRPr="002F55EF" w:rsidRDefault="00F34AEC" w:rsidP="002F55EF">
      <w:pPr>
        <w:ind w:firstLine="360"/>
        <w:rPr>
          <w:b/>
        </w:rPr>
      </w:pPr>
      <w:r w:rsidRPr="002F55EF">
        <w:rPr>
          <w:b/>
        </w:rPr>
        <w:t>(b) If yes, what is the Applicant(s) name that you are acting on behalf of?</w:t>
      </w:r>
    </w:p>
    <w:p w14:paraId="5F702828" w14:textId="77777777" w:rsidR="00F34AEC" w:rsidRPr="00CB12EC" w:rsidRDefault="00F34AEC" w:rsidP="00F34AEC">
      <w:pPr>
        <w:ind w:left="284"/>
        <w:rPr>
          <w:noProof/>
        </w:rPr>
      </w:pPr>
      <w:r>
        <w:rPr>
          <w:noProof/>
        </w:rPr>
        <w:t>Insert relevant Applicant(s) name here.</w:t>
      </w:r>
    </w:p>
    <w:p w14:paraId="6CC16F94" w14:textId="77777777" w:rsidR="00F34AEC" w:rsidRPr="00C171FB" w:rsidRDefault="00F34AEC" w:rsidP="00C171FB"/>
    <w:p w14:paraId="53E273EE" w14:textId="77777777" w:rsidR="00534C5F" w:rsidRPr="00154B00" w:rsidRDefault="00494011" w:rsidP="004A0BF4">
      <w:pPr>
        <w:pStyle w:val="Heading2"/>
      </w:pPr>
      <w:r>
        <w:t xml:space="preserve">(a) </w:t>
      </w:r>
      <w:r w:rsidR="00534C5F">
        <w:t>Are you a lobbyist acting on behalf of an Applicant?</w:t>
      </w:r>
    </w:p>
    <w:p w14:paraId="3186525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Yes</w:t>
      </w:r>
    </w:p>
    <w:p w14:paraId="0911CE7E" w14:textId="77777777" w:rsidR="00A6491A" w:rsidRPr="00753C44" w:rsidRDefault="00EE0BF5"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A6491A">
        <w:rPr>
          <w:szCs w:val="20"/>
        </w:rPr>
        <w:t xml:space="preserve"> No</w:t>
      </w:r>
      <w:r w:rsidR="00A6491A" w:rsidRPr="00753C44">
        <w:rPr>
          <w:szCs w:val="20"/>
        </w:rPr>
        <w:t xml:space="preserve">  </w:t>
      </w:r>
    </w:p>
    <w:p w14:paraId="0B2B670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B1D4F2B"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Yes</w:t>
      </w:r>
    </w:p>
    <w:p w14:paraId="4E72D83F"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No</w:t>
      </w:r>
      <w:r w:rsidRPr="00753C44">
        <w:rPr>
          <w:szCs w:val="20"/>
        </w:rPr>
        <w:t xml:space="preserve">  </w:t>
      </w:r>
    </w:p>
    <w:p w14:paraId="26DEC87F" w14:textId="77777777" w:rsidR="00E04FB3" w:rsidRDefault="00E04FB3" w:rsidP="005C333E">
      <w:pPr>
        <w:spacing w:before="0" w:after="0"/>
        <w:ind w:left="426"/>
        <w:rPr>
          <w:b/>
          <w:szCs w:val="20"/>
        </w:rPr>
      </w:pPr>
      <w:r w:rsidRPr="00154B00">
        <w:rPr>
          <w:b/>
          <w:szCs w:val="20"/>
        </w:rPr>
        <w:br w:type="page"/>
      </w:r>
    </w:p>
    <w:p w14:paraId="4BBE8149"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6729C7E" w14:textId="77777777" w:rsidR="000B3CD0" w:rsidRDefault="000B3CD0" w:rsidP="00730C04">
      <w:pPr>
        <w:pStyle w:val="Heading2"/>
      </w:pPr>
      <w:r w:rsidRPr="00154B00">
        <w:t>Application title</w:t>
      </w:r>
      <w:r w:rsidR="00A8732C">
        <w:t xml:space="preserve"> </w:t>
      </w:r>
    </w:p>
    <w:p w14:paraId="55EA78D8" w14:textId="77777777" w:rsidR="009056C5" w:rsidRPr="009056C5" w:rsidRDefault="00EA7BB2" w:rsidP="00A6491A">
      <w:pPr>
        <w:ind w:left="284"/>
      </w:pPr>
      <w:proofErr w:type="gramStart"/>
      <w:r>
        <w:t>P</w:t>
      </w:r>
      <w:r w:rsidR="008E14E8">
        <w:t>D-L1 (Programmed Death-</w:t>
      </w:r>
      <w:r>
        <w:t>Ligand</w:t>
      </w:r>
      <w:r w:rsidR="008E14E8">
        <w:t xml:space="preserve"> 1</w:t>
      </w:r>
      <w:r>
        <w:t>) immunohistochemistry testing for access to pembrolizumab as first-line therapy for patients with recurrent or metastatic head and neck squamous cell carcinoma.</w:t>
      </w:r>
      <w:proofErr w:type="gramEnd"/>
      <w:r>
        <w:t xml:space="preserve"> </w:t>
      </w:r>
    </w:p>
    <w:p w14:paraId="1F2AE5F7"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BC4F2FF" w14:textId="77777777" w:rsidR="002C3345" w:rsidRPr="009056C5" w:rsidRDefault="008E14E8" w:rsidP="00A6491A">
      <w:pPr>
        <w:ind w:left="284"/>
      </w:pPr>
      <w:proofErr w:type="gramStart"/>
      <w:r>
        <w:t xml:space="preserve">Recurrent or metastatic </w:t>
      </w:r>
      <w:r w:rsidR="00374AA7">
        <w:t xml:space="preserve">(R/M) </w:t>
      </w:r>
      <w:r>
        <w:t>head and neck squamous cell carcinoma</w:t>
      </w:r>
      <w:r w:rsidR="00374AA7">
        <w:t xml:space="preserve"> (HNSCC)</w:t>
      </w:r>
      <w:r>
        <w:t>.</w:t>
      </w:r>
      <w:proofErr w:type="gramEnd"/>
      <w:r>
        <w:t xml:space="preserve"> Head and neck cancer includes tumours arising from the oral cavity, pharynx, larynx, nasal cavity, paranasal sinuses, thyroid and salivary glands. Individuals who have progressed following initial definitive treatment have recurrent disease and require subsequent treatment. Patient who present with metastatic disease generally receive the same therapy as those with recurrent disease</w:t>
      </w:r>
      <w:r w:rsidR="00EA142E">
        <w:t xml:space="preserve"> </w:t>
      </w:r>
      <w:r>
        <w:t xml:space="preserve">following initial definitive treatment. </w:t>
      </w:r>
    </w:p>
    <w:p w14:paraId="5DAAF84D"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3048FBF" w14:textId="77777777" w:rsidR="00CB12EC" w:rsidRPr="00CB12EC" w:rsidRDefault="008E14E8" w:rsidP="00A6491A">
      <w:pPr>
        <w:ind w:left="284"/>
      </w:pPr>
      <w:r>
        <w:t>Immunohistochemistry (IHC) test for evaluation of Programmed Cell Death-Ligand 1 (PD-L1)</w:t>
      </w:r>
      <w:r w:rsidR="00374AA7">
        <w:t xml:space="preserve"> expression to determine eligibility for treatment with pembrolizumab in patients with R/M HNSCC. The biopsy sample taken as part of a standard diagnostic process will be used for immunohistochemical testing with PD-L1. The testing would be done by a pathologist alongside other immunohistochemical tests which</w:t>
      </w:r>
      <w:r w:rsidR="000F41D6">
        <w:t xml:space="preserve"> are done routinely.</w:t>
      </w:r>
    </w:p>
    <w:p w14:paraId="610B49D5"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91C5A1C" w14:textId="77777777" w:rsidR="00753C44" w:rsidRDefault="000F41D6"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20229E">
        <w:rPr>
          <w:szCs w:val="20"/>
        </w:rPr>
      </w:r>
      <w:r w:rsidR="0020229E">
        <w:rPr>
          <w:szCs w:val="20"/>
        </w:rPr>
        <w:fldChar w:fldCharType="separate"/>
      </w:r>
      <w:r>
        <w:rPr>
          <w:szCs w:val="20"/>
        </w:rPr>
        <w:fldChar w:fldCharType="end"/>
      </w:r>
      <w:bookmarkEnd w:id="2"/>
      <w:r w:rsidR="006B6390">
        <w:rPr>
          <w:szCs w:val="20"/>
        </w:rPr>
        <w:t xml:space="preserve"> Yes</w:t>
      </w:r>
    </w:p>
    <w:p w14:paraId="1FB9939B"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2D6053F6"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381D61D"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06FFF6E6" w14:textId="77777777" w:rsidR="00753C44" w:rsidRPr="00753C44" w:rsidRDefault="000F41D6" w:rsidP="00A6491A">
      <w:pPr>
        <w:spacing w:before="0" w:after="0"/>
        <w:ind w:left="284"/>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20229E">
        <w:rPr>
          <w:szCs w:val="20"/>
        </w:rPr>
      </w:r>
      <w:r w:rsidR="0020229E">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24AF794C"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ACD24BC" w14:textId="77777777" w:rsidR="003D795C" w:rsidRPr="00CB12EC" w:rsidRDefault="003D795C" w:rsidP="00A6491A">
      <w:pPr>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14:paraId="2B072F1E"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DA75E4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28D79A9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25338F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DBC99C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4764E09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40873E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352E1C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2DAC2AA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0ECBAE2"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0229E">
        <w:rPr>
          <w:b/>
          <w:szCs w:val="20"/>
        </w:rPr>
      </w:r>
      <w:r w:rsidR="0020229E">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4CA39C1"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6D16902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5A52FB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0229E">
        <w:rPr>
          <w:b/>
          <w:szCs w:val="20"/>
        </w:rPr>
      </w:r>
      <w:r w:rsidR="0020229E">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7D244995" w14:textId="77777777" w:rsidR="006B6390" w:rsidRPr="00AA2CFE" w:rsidRDefault="000F41D6"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20229E">
        <w:rPr>
          <w:b/>
          <w:szCs w:val="20"/>
        </w:rPr>
      </w:r>
      <w:r w:rsidR="0020229E">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427CB9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0229E">
        <w:rPr>
          <w:b/>
          <w:szCs w:val="20"/>
        </w:rPr>
      </w:r>
      <w:r w:rsidR="0020229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5BB5B3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20229E">
        <w:rPr>
          <w:b/>
          <w:szCs w:val="20"/>
        </w:rPr>
      </w:r>
      <w:r w:rsidR="0020229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6FA73FB1"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7E436D05"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Yes</w:t>
      </w:r>
    </w:p>
    <w:p w14:paraId="7BBA6574" w14:textId="77777777" w:rsidR="00626365" w:rsidRDefault="000F41D6"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0A5B32" w:rsidRPr="000A5B32">
        <w:rPr>
          <w:szCs w:val="20"/>
        </w:rPr>
        <w:t xml:space="preserve"> No</w:t>
      </w:r>
    </w:p>
    <w:p w14:paraId="38D31119" w14:textId="77777777" w:rsidR="00626365" w:rsidRDefault="00626365" w:rsidP="00626365">
      <w:pPr>
        <w:spacing w:before="0" w:after="0"/>
        <w:ind w:left="284"/>
        <w:rPr>
          <w:szCs w:val="20"/>
        </w:rPr>
      </w:pPr>
    </w:p>
    <w:p w14:paraId="1443AC99"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03412C1F"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76466020"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04E294AE" w14:textId="77777777" w:rsidR="000B3CD0" w:rsidRDefault="000B3CD0" w:rsidP="00730C04">
      <w:pPr>
        <w:pStyle w:val="Heading2"/>
      </w:pPr>
      <w:r w:rsidRPr="00154B00">
        <w:t xml:space="preserve">What is the type of </w:t>
      </w:r>
      <w:proofErr w:type="gramStart"/>
      <w:r w:rsidRPr="00154B00">
        <w:t>service:</w:t>
      </w:r>
      <w:proofErr w:type="gramEnd"/>
    </w:p>
    <w:p w14:paraId="036E949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Therapeutic medical service</w:t>
      </w:r>
    </w:p>
    <w:p w14:paraId="4446C28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Investigative medical service</w:t>
      </w:r>
    </w:p>
    <w:p w14:paraId="69A1FAA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Single consultation medical service</w:t>
      </w:r>
    </w:p>
    <w:p w14:paraId="0618CBC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Global consultation medical service</w:t>
      </w:r>
    </w:p>
    <w:p w14:paraId="004F651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Allied health service</w:t>
      </w:r>
    </w:p>
    <w:p w14:paraId="00E61999" w14:textId="77777777" w:rsidR="00A6594E" w:rsidRDefault="000F41D6"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0229E">
        <w:rPr>
          <w:b/>
          <w:szCs w:val="20"/>
        </w:rPr>
      </w:r>
      <w:r w:rsidR="0020229E">
        <w:rPr>
          <w:b/>
          <w:szCs w:val="20"/>
        </w:rPr>
        <w:fldChar w:fldCharType="separate"/>
      </w:r>
      <w:r>
        <w:rPr>
          <w:b/>
          <w:szCs w:val="20"/>
        </w:rPr>
        <w:fldChar w:fldCharType="end"/>
      </w:r>
      <w:r w:rsidR="00A6594E" w:rsidRPr="0027105F">
        <w:rPr>
          <w:b/>
          <w:szCs w:val="20"/>
        </w:rPr>
        <w:t xml:space="preserve"> </w:t>
      </w:r>
      <w:r w:rsidR="00A6594E">
        <w:t>Co-dependent technology</w:t>
      </w:r>
    </w:p>
    <w:p w14:paraId="1670A7D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Hybrid health technology</w:t>
      </w:r>
    </w:p>
    <w:p w14:paraId="7AE31610" w14:textId="77777777" w:rsidR="00124B00" w:rsidRPr="00A6594E" w:rsidRDefault="00124B00" w:rsidP="00A6491A">
      <w:pPr>
        <w:spacing w:before="0" w:after="0"/>
        <w:ind w:left="284"/>
      </w:pPr>
    </w:p>
    <w:p w14:paraId="74D2631D"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63140C0"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0229E">
        <w:rPr>
          <w:b/>
          <w:szCs w:val="20"/>
        </w:rPr>
      </w:r>
      <w:r w:rsidR="0020229E">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A8DF14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0229E">
        <w:rPr>
          <w:b/>
          <w:szCs w:val="20"/>
        </w:rPr>
      </w:r>
      <w:r w:rsidR="0020229E">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26DD70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0229E">
        <w:rPr>
          <w:b/>
          <w:szCs w:val="20"/>
        </w:rPr>
      </w:r>
      <w:r w:rsidR="0020229E">
        <w:rPr>
          <w:b/>
          <w:szCs w:val="20"/>
        </w:rPr>
        <w:fldChar w:fldCharType="separate"/>
      </w:r>
      <w:r w:rsidRPr="00AF4466">
        <w:rPr>
          <w:b/>
          <w:szCs w:val="20"/>
        </w:rPr>
        <w:fldChar w:fldCharType="end"/>
      </w:r>
      <w:r w:rsidRPr="00AF4466">
        <w:rPr>
          <w:b/>
          <w:szCs w:val="20"/>
        </w:rPr>
        <w:t xml:space="preserve"> </w:t>
      </w:r>
      <w:r>
        <w:t>Provides information about prognosis</w:t>
      </w:r>
    </w:p>
    <w:p w14:paraId="2ADE33A1" w14:textId="77777777" w:rsidR="00A6594E" w:rsidRDefault="000F41D6"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20229E">
        <w:rPr>
          <w:b/>
          <w:szCs w:val="20"/>
        </w:rPr>
      </w:r>
      <w:r w:rsidR="0020229E">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296F8167"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0229E">
        <w:rPr>
          <w:b/>
          <w:szCs w:val="20"/>
        </w:rPr>
      </w:r>
      <w:r w:rsidR="0020229E">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5C4250F"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0229E">
        <w:rPr>
          <w:b/>
          <w:szCs w:val="20"/>
        </w:rPr>
      </w:r>
      <w:r w:rsidR="0020229E">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14:paraId="40CE85B8" w14:textId="77777777" w:rsidR="002A40AE" w:rsidRDefault="002A40AE" w:rsidP="002F55EF">
      <w:pPr>
        <w:spacing w:before="0" w:after="0"/>
      </w:pPr>
    </w:p>
    <w:p w14:paraId="4DECB27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C8687A6" w14:textId="77777777" w:rsidR="00FE16C1" w:rsidRDefault="000F41D6"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0229E">
        <w:rPr>
          <w:b/>
          <w:szCs w:val="20"/>
        </w:rPr>
      </w:r>
      <w:r w:rsidR="0020229E">
        <w:rPr>
          <w:b/>
          <w:szCs w:val="20"/>
        </w:rPr>
        <w:fldChar w:fldCharType="separate"/>
      </w:r>
      <w:r>
        <w:rPr>
          <w:b/>
          <w:szCs w:val="20"/>
        </w:rPr>
        <w:fldChar w:fldCharType="end"/>
      </w:r>
      <w:r w:rsidR="00FE16C1" w:rsidRPr="0027105F">
        <w:rPr>
          <w:b/>
          <w:szCs w:val="20"/>
        </w:rPr>
        <w:t xml:space="preserve"> </w:t>
      </w:r>
      <w:r w:rsidR="00FE16C1">
        <w:t>Pharmaceutical / Biological</w:t>
      </w:r>
    </w:p>
    <w:p w14:paraId="200EA2AE"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Prosthesis or device</w:t>
      </w:r>
    </w:p>
    <w:p w14:paraId="6C83A99A"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0229E">
        <w:rPr>
          <w:b/>
          <w:szCs w:val="20"/>
        </w:rPr>
      </w:r>
      <w:r w:rsidR="0020229E">
        <w:rPr>
          <w:b/>
          <w:szCs w:val="20"/>
        </w:rPr>
        <w:fldChar w:fldCharType="separate"/>
      </w:r>
      <w:r w:rsidRPr="0027105F">
        <w:rPr>
          <w:b/>
          <w:szCs w:val="20"/>
        </w:rPr>
        <w:fldChar w:fldCharType="end"/>
      </w:r>
      <w:r w:rsidRPr="0027105F">
        <w:rPr>
          <w:b/>
          <w:szCs w:val="20"/>
        </w:rPr>
        <w:t xml:space="preserve"> </w:t>
      </w:r>
      <w:r>
        <w:t>No</w:t>
      </w:r>
    </w:p>
    <w:p w14:paraId="120E6239"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4CDAE02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Yes</w:t>
      </w:r>
    </w:p>
    <w:p w14:paraId="03D5070B" w14:textId="77777777" w:rsidR="00FE16C1" w:rsidRPr="00FE16C1" w:rsidRDefault="000F41D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FE16C1">
        <w:rPr>
          <w:szCs w:val="20"/>
        </w:rPr>
        <w:t xml:space="preserve"> No  </w:t>
      </w:r>
    </w:p>
    <w:p w14:paraId="1E7BD53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FAE6204"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2FF2E32F"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402509A"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7DAE535" w14:textId="77777777" w:rsidR="001E6919" w:rsidRDefault="00BE6765"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1E6919">
        <w:rPr>
          <w:szCs w:val="20"/>
        </w:rPr>
        <w:t xml:space="preserve"> No</w:t>
      </w:r>
    </w:p>
    <w:p w14:paraId="6398041C" w14:textId="77777777" w:rsidR="00BE6765" w:rsidRDefault="00BE6765" w:rsidP="00BE6765">
      <w:pPr>
        <w:ind w:left="284"/>
      </w:pPr>
      <w:r>
        <w:t xml:space="preserve">This application is being lodged to support a co-dependent technology submission for access to </w:t>
      </w:r>
      <w:r w:rsidR="00537B63">
        <w:t>pembrolizumab</w:t>
      </w:r>
      <w:r>
        <w:t xml:space="preserve"> in patients with R/M HNSCC who express PD-L1. </w:t>
      </w:r>
    </w:p>
    <w:p w14:paraId="59E2888D" w14:textId="77777777" w:rsidR="001E6919" w:rsidRPr="00BE6765" w:rsidRDefault="00BE6765" w:rsidP="00BE6765">
      <w:pPr>
        <w:ind w:left="284"/>
        <w:rPr>
          <w:b/>
          <w:szCs w:val="20"/>
        </w:rPr>
      </w:pPr>
      <w:r>
        <w:t xml:space="preserve">Pembrolizumab (Keytruda) is currently PBS listed for use in advanced malignant melanoma </w:t>
      </w:r>
      <w:r w:rsidRPr="00C3348A">
        <w:rPr>
          <w:szCs w:val="20"/>
        </w:rPr>
        <w:t>(10424P, 10436G, 10475H, 10493G)</w:t>
      </w:r>
      <w:r>
        <w:rPr>
          <w:szCs w:val="20"/>
        </w:rPr>
        <w:t xml:space="preserve">. </w:t>
      </w:r>
    </w:p>
    <w:p w14:paraId="629D7604" w14:textId="77777777"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14:paraId="4DC56DC4" w14:textId="77777777" w:rsidR="001E6958" w:rsidRDefault="001E6958" w:rsidP="00A6491A">
      <w:pPr>
        <w:spacing w:before="0" w:after="0"/>
        <w:ind w:left="284"/>
      </w:pPr>
      <w:r>
        <w:t xml:space="preserve">Trade name: </w:t>
      </w:r>
      <w:r w:rsidR="00BE6765">
        <w:t>Keytruda</w:t>
      </w:r>
    </w:p>
    <w:p w14:paraId="2A10CAC7" w14:textId="77777777" w:rsidR="001E6958" w:rsidRPr="001E6958" w:rsidRDefault="001E6958" w:rsidP="00A6491A">
      <w:pPr>
        <w:spacing w:before="0" w:after="0"/>
        <w:ind w:left="284"/>
      </w:pPr>
      <w:r>
        <w:t xml:space="preserve">Generic name: </w:t>
      </w:r>
      <w:r w:rsidR="00BE6765">
        <w:t>Pembrolizumab</w:t>
      </w:r>
    </w:p>
    <w:p w14:paraId="613FEE36"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6CA2771D"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Yes</w:t>
      </w:r>
    </w:p>
    <w:p w14:paraId="2FC08A26" w14:textId="77777777" w:rsidR="001E6919" w:rsidRDefault="001E6958" w:rsidP="00275D1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No  </w:t>
      </w:r>
      <w:r w:rsidR="001E6919">
        <w:rPr>
          <w:szCs w:val="20"/>
        </w:rPr>
        <w:br w:type="page"/>
      </w:r>
    </w:p>
    <w:p w14:paraId="08809BF7" w14:textId="77777777" w:rsidR="001E6919" w:rsidRPr="001E6958" w:rsidRDefault="001E6919" w:rsidP="00A6491A">
      <w:pPr>
        <w:spacing w:before="0" w:after="0"/>
        <w:ind w:left="284"/>
        <w:rPr>
          <w:szCs w:val="20"/>
        </w:rPr>
      </w:pPr>
    </w:p>
    <w:p w14:paraId="48EC0322"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2141163B"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58FE97F8"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3A18EA53"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68E234D6"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4911E8E8" w14:textId="77777777" w:rsidR="009939DC" w:rsidRDefault="009939DC" w:rsidP="009939DC"/>
    <w:p w14:paraId="4F20ED17"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D3458E8"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Yes</w:t>
      </w:r>
    </w:p>
    <w:p w14:paraId="1C43960C"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No  </w:t>
      </w:r>
    </w:p>
    <w:p w14:paraId="67E01510"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A94E45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Yes</w:t>
      </w:r>
    </w:p>
    <w:p w14:paraId="5D081200"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No  </w:t>
      </w:r>
    </w:p>
    <w:p w14:paraId="19A77FA4"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49D870CC"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0F6C211F"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23F6207" w14:textId="77777777" w:rsidR="003979E8" w:rsidRDefault="009939DC" w:rsidP="00A6491A">
      <w:pPr>
        <w:spacing w:before="0" w:after="0"/>
        <w:ind w:left="284"/>
      </w:pPr>
      <w:r>
        <w:t>Single use consumables:</w:t>
      </w:r>
      <w:r w:rsidR="00EB411B" w:rsidDel="00EB411B">
        <w:t xml:space="preserve"> </w:t>
      </w:r>
      <w:r w:rsidR="00EB411B" w:rsidRPr="00EB411B">
        <w:t xml:space="preserve"> </w:t>
      </w:r>
      <w:r w:rsidR="00EB411B">
        <w:t xml:space="preserve">PD-L1 is evaluated using the PD-L1 </w:t>
      </w:r>
      <w:proofErr w:type="spellStart"/>
      <w:proofErr w:type="gramStart"/>
      <w:r w:rsidR="00EB411B">
        <w:t>pharmDx</w:t>
      </w:r>
      <w:proofErr w:type="spellEnd"/>
      <w:r w:rsidR="00EB411B">
        <w:t xml:space="preserve">  kit</w:t>
      </w:r>
      <w:proofErr w:type="gramEnd"/>
      <w:r w:rsidR="00EB411B">
        <w:t>.</w:t>
      </w:r>
    </w:p>
    <w:p w14:paraId="14A07020" w14:textId="77777777" w:rsidR="00C91CDC" w:rsidRDefault="009939DC" w:rsidP="00A6491A">
      <w:pPr>
        <w:spacing w:before="0" w:after="0"/>
        <w:ind w:left="284"/>
      </w:pPr>
      <w:r>
        <w:t>Multi-use consumables:</w:t>
      </w:r>
      <w:r w:rsidRPr="009939DC">
        <w:t xml:space="preserve"> </w:t>
      </w:r>
    </w:p>
    <w:p w14:paraId="69FA3D56" w14:textId="77777777" w:rsidR="00F301F1" w:rsidRPr="00855944" w:rsidRDefault="00F301F1" w:rsidP="00A6491A">
      <w:pPr>
        <w:spacing w:before="0" w:after="0"/>
        <w:ind w:left="284"/>
      </w:pPr>
      <w:r w:rsidRPr="00855944">
        <w:br w:type="page"/>
      </w:r>
    </w:p>
    <w:p w14:paraId="400FF18C"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3EB25184"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59EDFDA2"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5855DF">
        <w:t>The PD-L1 test is an in vitro diagnostic test.</w:t>
      </w:r>
    </w:p>
    <w:p w14:paraId="1A281109"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6B3F1F">
        <w:t>Dako Pty Limited</w:t>
      </w:r>
      <w:r w:rsidR="001F7480">
        <w:t>/Agilent</w:t>
      </w:r>
    </w:p>
    <w:p w14:paraId="0E22504D"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5855DF">
        <w:t>Merck Sharp &amp; Dohme (Australia) Pty Limited</w:t>
      </w:r>
    </w:p>
    <w:p w14:paraId="556F5F21"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2CA167EE" w14:textId="77777777" w:rsidR="00615F42" w:rsidRPr="00615F42" w:rsidRDefault="001F748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71CE15D"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sidRPr="000A5B32">
        <w:rPr>
          <w:szCs w:val="20"/>
        </w:rPr>
        <w:t xml:space="preserve"> </w:t>
      </w:r>
      <w:r w:rsidRPr="00615F42">
        <w:rPr>
          <w:szCs w:val="20"/>
        </w:rPr>
        <w:t>AIMD</w:t>
      </w:r>
    </w:p>
    <w:p w14:paraId="39FE86B3" w14:textId="77777777" w:rsidR="003421AE" w:rsidRPr="00A6491A" w:rsidRDefault="001F7480" w:rsidP="00530204">
      <w:pPr>
        <w:pStyle w:val="Heading2"/>
      </w:pPr>
      <w:r w:rsidDel="001F7480">
        <w:t xml:space="preserve"> </w:t>
      </w:r>
      <w:r w:rsidR="0011369B">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48259AA"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7B6CA64" w14:textId="77777777" w:rsidR="003421AE" w:rsidRPr="00615F42" w:rsidRDefault="005855DF"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615F42">
        <w:rPr>
          <w:szCs w:val="20"/>
        </w:rPr>
        <w:t xml:space="preserve"> No</w:t>
      </w:r>
    </w:p>
    <w:p w14:paraId="4A7F2CED"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BEB6EB2" w14:textId="77777777" w:rsidR="0043654D" w:rsidRDefault="001F7480"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43654D">
        <w:rPr>
          <w:szCs w:val="20"/>
        </w:rPr>
        <w:t xml:space="preserve"> Yes (if yes, please provide details below)</w:t>
      </w:r>
    </w:p>
    <w:p w14:paraId="62025A09" w14:textId="77777777" w:rsidR="0043654D" w:rsidRPr="00615F42" w:rsidRDefault="0043654D" w:rsidP="0043654D">
      <w:pPr>
        <w:spacing w:before="0" w:after="0"/>
        <w:ind w:left="284"/>
        <w:rPr>
          <w:b/>
          <w:szCs w:val="20"/>
        </w:rPr>
      </w:pPr>
    </w:p>
    <w:p w14:paraId="0F44EE07"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1F7480" w:rsidRPr="00AA3D27">
        <w:rPr>
          <w:szCs w:val="20"/>
        </w:rPr>
        <w:t>282595</w:t>
      </w:r>
    </w:p>
    <w:p w14:paraId="626C4574"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BD0C13">
        <w:rPr>
          <w:szCs w:val="20"/>
        </w:rPr>
        <w:t>NA</w:t>
      </w:r>
      <w:r w:rsidR="00D65665" w:rsidDel="00D65665">
        <w:t xml:space="preserve"> </w:t>
      </w:r>
    </w:p>
    <w:p w14:paraId="6EB154D8" w14:textId="77777777" w:rsidR="003979E8" w:rsidRDefault="003979E8" w:rsidP="00D65665">
      <w:pPr>
        <w:spacing w:before="0" w:after="0"/>
        <w:ind w:left="284"/>
        <w:rPr>
          <w:szCs w:val="20"/>
        </w:rPr>
      </w:pPr>
    </w:p>
    <w:p w14:paraId="2410DD47" w14:textId="77777777" w:rsidR="00C72FFF" w:rsidRPr="00D65665" w:rsidRDefault="0043654D" w:rsidP="00C72FFF">
      <w:pPr>
        <w:pStyle w:val="Default"/>
        <w:rPr>
          <w:rFonts w:asciiTheme="minorHAnsi" w:hAnsiTheme="minorHAnsi"/>
          <w:sz w:val="20"/>
          <w:szCs w:val="20"/>
        </w:rPr>
      </w:pPr>
      <w:r w:rsidRPr="00D65665">
        <w:rPr>
          <w:rFonts w:asciiTheme="minorHAnsi" w:hAnsiTheme="minorHAnsi"/>
          <w:sz w:val="20"/>
          <w:szCs w:val="20"/>
        </w:rPr>
        <w:t xml:space="preserve">TGA approved purpose(s), if applicable:  </w:t>
      </w:r>
    </w:p>
    <w:p w14:paraId="3605BB8B" w14:textId="77777777" w:rsidR="00BD0C13" w:rsidRPr="00BD0C13" w:rsidRDefault="00BD0C13" w:rsidP="00BD0C13">
      <w:pPr>
        <w:pStyle w:val="Default"/>
        <w:rPr>
          <w:rFonts w:asciiTheme="minorHAnsi" w:hAnsiTheme="minorHAnsi" w:cstheme="minorBidi"/>
          <w:color w:val="auto"/>
          <w:sz w:val="20"/>
          <w:szCs w:val="20"/>
        </w:rPr>
      </w:pPr>
      <w:r w:rsidRPr="00BD0C13">
        <w:rPr>
          <w:rFonts w:asciiTheme="minorHAnsi" w:hAnsiTheme="minorHAnsi" w:cstheme="minorBidi"/>
          <w:color w:val="auto"/>
          <w:sz w:val="20"/>
          <w:szCs w:val="20"/>
        </w:rPr>
        <w:t>For In Vitro Diagnostic Use</w:t>
      </w:r>
    </w:p>
    <w:p w14:paraId="14F899AB" w14:textId="77777777" w:rsidR="00C72FFF" w:rsidRPr="00C72FFF" w:rsidRDefault="00BD0C13" w:rsidP="00D65665">
      <w:pPr>
        <w:pStyle w:val="Default"/>
        <w:rPr>
          <w:szCs w:val="20"/>
        </w:rPr>
      </w:pPr>
      <w:r w:rsidRPr="00BD0C13">
        <w:rPr>
          <w:rFonts w:asciiTheme="minorHAnsi" w:hAnsiTheme="minorHAnsi" w:cstheme="minorBidi"/>
          <w:color w:val="auto"/>
          <w:sz w:val="20"/>
          <w:szCs w:val="20"/>
        </w:rPr>
        <w:t>IVDs that are intended to be used in histology and cytology to provide information about the presence and</w:t>
      </w:r>
      <w:r>
        <w:rPr>
          <w:rFonts w:asciiTheme="minorHAnsi" w:hAnsiTheme="minorHAnsi" w:cstheme="minorBidi"/>
          <w:color w:val="auto"/>
          <w:sz w:val="20"/>
          <w:szCs w:val="20"/>
        </w:rPr>
        <w:t xml:space="preserve"> </w:t>
      </w:r>
      <w:r w:rsidRPr="00BD0C13">
        <w:rPr>
          <w:rFonts w:asciiTheme="minorHAnsi" w:hAnsiTheme="minorHAnsi" w:cstheme="minorBidi"/>
          <w:color w:val="auto"/>
          <w:sz w:val="20"/>
          <w:szCs w:val="20"/>
        </w:rPr>
        <w:t>localisation of specific proteins and antigens present in histological tissue sections, cytological smears and</w:t>
      </w:r>
      <w:r>
        <w:rPr>
          <w:rFonts w:asciiTheme="minorHAnsi" w:hAnsiTheme="minorHAnsi" w:cstheme="minorBidi"/>
          <w:color w:val="auto"/>
          <w:sz w:val="20"/>
          <w:szCs w:val="20"/>
        </w:rPr>
        <w:t xml:space="preserve"> </w:t>
      </w:r>
      <w:r w:rsidRPr="00BD0C13">
        <w:rPr>
          <w:rFonts w:asciiTheme="minorHAnsi" w:hAnsiTheme="minorHAnsi" w:cstheme="minorBidi"/>
          <w:color w:val="auto"/>
          <w:sz w:val="20"/>
          <w:szCs w:val="20"/>
        </w:rPr>
        <w:t>fluids</w:t>
      </w:r>
    </w:p>
    <w:p w14:paraId="202BE44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4EE04EC1"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Yes (please provide details below)</w:t>
      </w:r>
    </w:p>
    <w:p w14:paraId="0E3A2459" w14:textId="77777777" w:rsidR="0047581D" w:rsidRDefault="005855DF"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47581D">
        <w:rPr>
          <w:szCs w:val="20"/>
        </w:rPr>
        <w:t xml:space="preserve"> No</w:t>
      </w:r>
    </w:p>
    <w:p w14:paraId="679122D3" w14:textId="77777777" w:rsidR="0047581D" w:rsidRDefault="0047581D" w:rsidP="0047581D">
      <w:pPr>
        <w:spacing w:before="0" w:after="0"/>
        <w:rPr>
          <w:b/>
          <w:szCs w:val="20"/>
        </w:rPr>
      </w:pPr>
    </w:p>
    <w:p w14:paraId="45F1F735"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6EA57E13"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5DE2863A"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56444B7E"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1510F43F"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4676D5B3" w14:textId="77777777" w:rsidR="00C0796F" w:rsidRPr="001E4B8A" w:rsidRDefault="000A110D" w:rsidP="00530204">
      <w:pPr>
        <w:pStyle w:val="Heading2"/>
      </w:pPr>
      <w:r w:rsidRPr="001E4B8A">
        <w:t>I</w:t>
      </w:r>
      <w:r w:rsidR="00C0796F" w:rsidRPr="001E4B8A">
        <w:t xml:space="preserve">f the therapeutic good </w:t>
      </w:r>
      <w:r w:rsidR="00F83A9D" w:rsidRPr="001E4B8A">
        <w:t>is not in the process of being considered for listing</w:t>
      </w:r>
      <w:r w:rsidR="00C0796F" w:rsidRPr="001E4B8A">
        <w:t xml:space="preserve">, </w:t>
      </w:r>
      <w:r w:rsidR="00F83A9D" w:rsidRPr="001E4B8A">
        <w:t xml:space="preserve">registration </w:t>
      </w:r>
      <w:r w:rsidR="00C0796F" w:rsidRPr="001E4B8A">
        <w:t xml:space="preserve">or </w:t>
      </w:r>
      <w:r w:rsidR="00F83A9D" w:rsidRPr="001E4B8A">
        <w:t>inclusion by the TGA, is an application to the TGA being prepared?</w:t>
      </w:r>
    </w:p>
    <w:p w14:paraId="57F11270" w14:textId="77777777" w:rsidR="000A110D" w:rsidRDefault="000A110D" w:rsidP="000A110D">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Yes (please provide details below)</w:t>
      </w:r>
    </w:p>
    <w:p w14:paraId="565D276E" w14:textId="77777777" w:rsidR="000A110D" w:rsidRDefault="00C72FFF"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0A110D">
        <w:rPr>
          <w:szCs w:val="20"/>
        </w:rPr>
        <w:t xml:space="preserve"> No</w:t>
      </w:r>
    </w:p>
    <w:p w14:paraId="4EBE9182" w14:textId="77777777" w:rsidR="000A110D" w:rsidRDefault="000A110D" w:rsidP="00971EDB">
      <w:pPr>
        <w:spacing w:before="0" w:after="0"/>
        <w:rPr>
          <w:szCs w:val="20"/>
        </w:rPr>
      </w:pPr>
    </w:p>
    <w:p w14:paraId="7FE10D4D"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77C84472"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58F6C4D2"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0DE98C6D" w14:textId="77777777" w:rsidR="00F83A9D" w:rsidRPr="00154B00" w:rsidRDefault="00F83A9D" w:rsidP="00F83A9D">
      <w:pPr>
        <w:rPr>
          <w:szCs w:val="20"/>
        </w:rPr>
      </w:pPr>
    </w:p>
    <w:p w14:paraId="53BCE6CC" w14:textId="77777777" w:rsidR="00DD308E" w:rsidRDefault="00DD308E">
      <w:pPr>
        <w:rPr>
          <w:b/>
          <w:sz w:val="32"/>
          <w:szCs w:val="32"/>
        </w:rPr>
        <w:sectPr w:rsidR="00DD308E" w:rsidSect="00991EE4">
          <w:footerReference w:type="default" r:id="rId16"/>
          <w:pgSz w:w="11906" w:h="16838"/>
          <w:pgMar w:top="1440" w:right="1440" w:bottom="1440" w:left="1440" w:header="708" w:footer="708" w:gutter="0"/>
          <w:pgNumType w:start="0"/>
          <w:cols w:space="708"/>
          <w:titlePg/>
          <w:docGrid w:linePitch="360"/>
        </w:sectPr>
      </w:pPr>
    </w:p>
    <w:p w14:paraId="10EEF89A"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3AC3F347"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Caption w:val="Summary of Evidence - Published"/>
      </w:tblPr>
      <w:tblGrid>
        <w:gridCol w:w="377"/>
        <w:gridCol w:w="1896"/>
        <w:gridCol w:w="2512"/>
        <w:gridCol w:w="1868"/>
        <w:gridCol w:w="5792"/>
        <w:gridCol w:w="1729"/>
      </w:tblGrid>
      <w:tr w:rsidR="00DD308E" w14:paraId="532DD5E3" w14:textId="77777777" w:rsidTr="009C669A">
        <w:trPr>
          <w:cantSplit/>
          <w:tblHeader/>
        </w:trPr>
        <w:tc>
          <w:tcPr>
            <w:tcW w:w="133" w:type="pct"/>
          </w:tcPr>
          <w:p w14:paraId="0A58C1A3" w14:textId="77777777" w:rsidR="00DD308E" w:rsidRDefault="00DD308E" w:rsidP="00855944">
            <w:pPr>
              <w:pStyle w:val="TableHEADER"/>
            </w:pPr>
          </w:p>
        </w:tc>
        <w:tc>
          <w:tcPr>
            <w:tcW w:w="669" w:type="pct"/>
          </w:tcPr>
          <w:p w14:paraId="0A0951B3" w14:textId="77777777" w:rsidR="00DD308E" w:rsidRDefault="00DD308E" w:rsidP="00855944">
            <w:pPr>
              <w:pStyle w:val="TableHEADER"/>
            </w:pPr>
            <w:r>
              <w:t>Type of study design*</w:t>
            </w:r>
          </w:p>
        </w:tc>
        <w:tc>
          <w:tcPr>
            <w:tcW w:w="886" w:type="pct"/>
          </w:tcPr>
          <w:p w14:paraId="228FFE72" w14:textId="77777777" w:rsidR="00DD308E" w:rsidRDefault="00DD308E" w:rsidP="00855944">
            <w:pPr>
              <w:pStyle w:val="TableHEADER"/>
            </w:pPr>
            <w:r>
              <w:t>Title of journal article  or research project (including any trial identifier or study lead if relevant)</w:t>
            </w:r>
          </w:p>
        </w:tc>
        <w:tc>
          <w:tcPr>
            <w:tcW w:w="659" w:type="pct"/>
          </w:tcPr>
          <w:p w14:paraId="09211AA8" w14:textId="77777777" w:rsidR="00DD308E" w:rsidRDefault="00DD308E" w:rsidP="00855944">
            <w:pPr>
              <w:pStyle w:val="TableHEADER"/>
            </w:pPr>
            <w:r>
              <w:t>Short description of research  (max 50 words)**</w:t>
            </w:r>
          </w:p>
        </w:tc>
        <w:tc>
          <w:tcPr>
            <w:tcW w:w="2043" w:type="pct"/>
          </w:tcPr>
          <w:p w14:paraId="56085E32" w14:textId="77777777" w:rsidR="00DD308E" w:rsidRDefault="00DD308E" w:rsidP="00855944">
            <w:pPr>
              <w:pStyle w:val="TableHEADER"/>
            </w:pPr>
            <w:r w:rsidRPr="00E82F54">
              <w:t xml:space="preserve">Website link to </w:t>
            </w:r>
            <w:r>
              <w:t>journal article or research (if available)</w:t>
            </w:r>
          </w:p>
        </w:tc>
        <w:tc>
          <w:tcPr>
            <w:tcW w:w="610" w:type="pct"/>
          </w:tcPr>
          <w:p w14:paraId="1A1282BA" w14:textId="77777777" w:rsidR="00DD308E" w:rsidRDefault="00DD308E" w:rsidP="00855944">
            <w:pPr>
              <w:pStyle w:val="TableHEADER"/>
            </w:pPr>
            <w:r w:rsidRPr="00E82F54">
              <w:t>Date</w:t>
            </w:r>
            <w:r>
              <w:t xml:space="preserve"> of publication</w:t>
            </w:r>
            <w:r w:rsidRPr="00E82F54">
              <w:t>*</w:t>
            </w:r>
            <w:r>
              <w:t>**</w:t>
            </w:r>
          </w:p>
        </w:tc>
      </w:tr>
      <w:tr w:rsidR="00DD308E" w14:paraId="4247B197" w14:textId="77777777" w:rsidTr="009C669A">
        <w:trPr>
          <w:cantSplit/>
        </w:trPr>
        <w:tc>
          <w:tcPr>
            <w:tcW w:w="133" w:type="pct"/>
          </w:tcPr>
          <w:p w14:paraId="207347C6" w14:textId="77777777" w:rsidR="00DD308E" w:rsidRPr="00965B6B" w:rsidRDefault="009C669A" w:rsidP="00DD308E">
            <w:pPr>
              <w:rPr>
                <w:szCs w:val="20"/>
              </w:rPr>
            </w:pPr>
            <w:r>
              <w:rPr>
                <w:szCs w:val="20"/>
              </w:rPr>
              <w:t>1</w:t>
            </w:r>
            <w:r w:rsidR="00DD308E">
              <w:rPr>
                <w:szCs w:val="20"/>
              </w:rPr>
              <w:t>.</w:t>
            </w:r>
          </w:p>
        </w:tc>
        <w:tc>
          <w:tcPr>
            <w:tcW w:w="669" w:type="pct"/>
          </w:tcPr>
          <w:p w14:paraId="01953666" w14:textId="77777777" w:rsidR="00DD308E" w:rsidRDefault="00243422" w:rsidP="00DD308E">
            <w:pPr>
              <w:rPr>
                <w:b/>
                <w:szCs w:val="20"/>
              </w:rPr>
            </w:pPr>
            <w:r>
              <w:t>Non-randomised</w:t>
            </w:r>
          </w:p>
        </w:tc>
        <w:tc>
          <w:tcPr>
            <w:tcW w:w="886" w:type="pct"/>
          </w:tcPr>
          <w:p w14:paraId="545494C3" w14:textId="77777777" w:rsidR="00DD308E" w:rsidRDefault="00243422" w:rsidP="00DD308E">
            <w:pPr>
              <w:rPr>
                <w:b/>
                <w:szCs w:val="20"/>
              </w:rPr>
            </w:pPr>
            <w:r w:rsidRPr="00243422">
              <w:t>Pembrolizumab after progression on platinum and cetuximab in head and neck squamous cell carcinoma (HNSCC): results from KEYNOTE-055</w:t>
            </w:r>
            <w:r w:rsidR="005D30AF">
              <w:t>.</w:t>
            </w:r>
          </w:p>
        </w:tc>
        <w:tc>
          <w:tcPr>
            <w:tcW w:w="659" w:type="pct"/>
          </w:tcPr>
          <w:p w14:paraId="4BDBCF09" w14:textId="77777777" w:rsidR="00DD308E" w:rsidRDefault="00243422" w:rsidP="00DD308E">
            <w:pPr>
              <w:rPr>
                <w:b/>
                <w:szCs w:val="20"/>
              </w:rPr>
            </w:pPr>
            <w:r>
              <w:t xml:space="preserve">KEYNOTE-055 is an open-label </w:t>
            </w:r>
            <w:r w:rsidR="006A1855">
              <w:t>phase 2 non-randomised study of pembrolizumab in patients with R/M HNSCC resistant to platinum and cetuximab therapies. A total of 171 patients received ≥1 dose of pembrolizumab</w:t>
            </w:r>
            <w:r w:rsidR="005D30AF">
              <w:t xml:space="preserve">. At a median follow up of 4 months, the ORR was 15% with a median duration of response of 7 months. </w:t>
            </w:r>
          </w:p>
        </w:tc>
        <w:tc>
          <w:tcPr>
            <w:tcW w:w="2043" w:type="pct"/>
          </w:tcPr>
          <w:p w14:paraId="4AA27B8A" w14:textId="77777777" w:rsidR="00DD308E" w:rsidRPr="00E82F54" w:rsidRDefault="005D30AF" w:rsidP="00DD308E">
            <w:pPr>
              <w:rPr>
                <w:b/>
                <w:szCs w:val="20"/>
              </w:rPr>
            </w:pPr>
            <w:r w:rsidRPr="005D30AF">
              <w:t>https://academic.oup.com/annonc/article/2799694/Pembrolizumab</w:t>
            </w:r>
          </w:p>
        </w:tc>
        <w:tc>
          <w:tcPr>
            <w:tcW w:w="610" w:type="pct"/>
          </w:tcPr>
          <w:p w14:paraId="566A2CDB" w14:textId="77777777" w:rsidR="00DD308E" w:rsidRPr="00E82F54" w:rsidRDefault="005D30AF" w:rsidP="00DD308E">
            <w:pPr>
              <w:rPr>
                <w:b/>
                <w:szCs w:val="20"/>
              </w:rPr>
            </w:pPr>
            <w:r>
              <w:t>11 October 2016</w:t>
            </w:r>
          </w:p>
        </w:tc>
      </w:tr>
    </w:tbl>
    <w:p w14:paraId="5374B423"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F2F8B17"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1DF7CC2C"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46606D28" w14:textId="77777777" w:rsidR="00DD308E" w:rsidRPr="00EE74C1" w:rsidRDefault="00DD308E">
      <w:pPr>
        <w:rPr>
          <w:i/>
          <w:szCs w:val="20"/>
        </w:rPr>
        <w:sectPr w:rsidR="00DD308E" w:rsidRPr="00EE74C1" w:rsidSect="00DD308E">
          <w:pgSz w:w="16838" w:h="11906" w:orient="landscape"/>
          <w:pgMar w:top="1440" w:right="1440" w:bottom="1440" w:left="1440" w:header="708" w:footer="708" w:gutter="0"/>
          <w:cols w:space="708"/>
          <w:docGrid w:linePitch="360"/>
        </w:sectPr>
      </w:pPr>
    </w:p>
    <w:p w14:paraId="7C4861B5"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789"/>
        <w:gridCol w:w="2403"/>
        <w:gridCol w:w="3055"/>
        <w:gridCol w:w="2372"/>
        <w:gridCol w:w="4204"/>
        <w:gridCol w:w="1351"/>
      </w:tblGrid>
      <w:tr w:rsidR="004C49EF" w14:paraId="5498B88B" w14:textId="77777777" w:rsidTr="004C49EF">
        <w:trPr>
          <w:cantSplit/>
          <w:tblHeader/>
        </w:trPr>
        <w:tc>
          <w:tcPr>
            <w:tcW w:w="326" w:type="pct"/>
          </w:tcPr>
          <w:p w14:paraId="7FD95636" w14:textId="77777777" w:rsidR="004C49EF" w:rsidRDefault="004C49EF" w:rsidP="00855944">
            <w:pPr>
              <w:pStyle w:val="TableHEADER"/>
            </w:pPr>
          </w:p>
        </w:tc>
        <w:tc>
          <w:tcPr>
            <w:tcW w:w="895" w:type="pct"/>
          </w:tcPr>
          <w:p w14:paraId="4FCD4064" w14:textId="77777777" w:rsidR="004C49EF" w:rsidRDefault="004C49EF" w:rsidP="00855944">
            <w:pPr>
              <w:pStyle w:val="TableHEADER"/>
            </w:pPr>
            <w:r>
              <w:t>Type of study design*</w:t>
            </w:r>
          </w:p>
        </w:tc>
        <w:tc>
          <w:tcPr>
            <w:tcW w:w="1125" w:type="pct"/>
          </w:tcPr>
          <w:p w14:paraId="102C1007" w14:textId="77777777" w:rsidR="004C49EF" w:rsidRDefault="004C49EF" w:rsidP="00855944">
            <w:pPr>
              <w:pStyle w:val="TableHEADER"/>
            </w:pPr>
            <w:r>
              <w:t>Title of research (including any trial identifier if relevant)</w:t>
            </w:r>
          </w:p>
        </w:tc>
        <w:tc>
          <w:tcPr>
            <w:tcW w:w="884" w:type="pct"/>
          </w:tcPr>
          <w:p w14:paraId="056F8BE7" w14:textId="77777777" w:rsidR="004C49EF" w:rsidRDefault="00367C1B" w:rsidP="00855944">
            <w:pPr>
              <w:pStyle w:val="TableHEADER"/>
            </w:pPr>
            <w:r>
              <w:t xml:space="preserve">Short description of research </w:t>
            </w:r>
            <w:r w:rsidR="004C49EF">
              <w:t>(max 50 words)**</w:t>
            </w:r>
          </w:p>
        </w:tc>
        <w:tc>
          <w:tcPr>
            <w:tcW w:w="1246" w:type="pct"/>
          </w:tcPr>
          <w:p w14:paraId="2356C89A" w14:textId="77777777" w:rsidR="004C49EF" w:rsidRDefault="004C49EF" w:rsidP="00855944">
            <w:pPr>
              <w:pStyle w:val="TableHEADER"/>
            </w:pPr>
            <w:r w:rsidRPr="00E82F54">
              <w:t xml:space="preserve">Website link to </w:t>
            </w:r>
            <w:r>
              <w:t>research (if available)</w:t>
            </w:r>
          </w:p>
        </w:tc>
        <w:tc>
          <w:tcPr>
            <w:tcW w:w="524" w:type="pct"/>
          </w:tcPr>
          <w:p w14:paraId="535A91D0" w14:textId="77777777" w:rsidR="004C49EF" w:rsidRDefault="004C49EF" w:rsidP="00855944">
            <w:pPr>
              <w:pStyle w:val="TableHEADER"/>
            </w:pPr>
            <w:r w:rsidRPr="00E82F54">
              <w:t>Date*</w:t>
            </w:r>
            <w:r>
              <w:t>**</w:t>
            </w:r>
          </w:p>
        </w:tc>
      </w:tr>
      <w:tr w:rsidR="004C49EF" w14:paraId="02318910" w14:textId="77777777" w:rsidTr="004C49EF">
        <w:trPr>
          <w:cantSplit/>
        </w:trPr>
        <w:tc>
          <w:tcPr>
            <w:tcW w:w="326" w:type="pct"/>
          </w:tcPr>
          <w:p w14:paraId="01ECA07D" w14:textId="77777777" w:rsidR="004C49EF" w:rsidRPr="00965B6B" w:rsidRDefault="004C49EF" w:rsidP="00526478">
            <w:pPr>
              <w:rPr>
                <w:szCs w:val="20"/>
              </w:rPr>
            </w:pPr>
            <w:r w:rsidRPr="00965B6B">
              <w:rPr>
                <w:szCs w:val="20"/>
              </w:rPr>
              <w:t>1</w:t>
            </w:r>
            <w:r>
              <w:rPr>
                <w:szCs w:val="20"/>
              </w:rPr>
              <w:t>.</w:t>
            </w:r>
          </w:p>
        </w:tc>
        <w:tc>
          <w:tcPr>
            <w:tcW w:w="895" w:type="pct"/>
          </w:tcPr>
          <w:p w14:paraId="6DD595C7" w14:textId="77777777" w:rsidR="004C49EF" w:rsidRDefault="009C669A" w:rsidP="009C669A">
            <w:r>
              <w:t>R</w:t>
            </w:r>
            <w:r w:rsidRPr="009C669A">
              <w:t>andomized, active-controlled, multi-site, open-label</w:t>
            </w:r>
            <w:r>
              <w:t xml:space="preserve"> phase 3</w:t>
            </w:r>
            <w:r w:rsidRPr="009C669A">
              <w:t xml:space="preserve"> trial</w:t>
            </w:r>
          </w:p>
        </w:tc>
        <w:tc>
          <w:tcPr>
            <w:tcW w:w="1125" w:type="pct"/>
          </w:tcPr>
          <w:p w14:paraId="35DFE03E" w14:textId="77777777" w:rsidR="004C49EF" w:rsidRDefault="009C669A" w:rsidP="009C669A">
            <w:r w:rsidRPr="009C669A">
              <w:t>A Phase 3 Clinical Trial of Pembrolizumab (MK-3475) in First Line Treatment of</w:t>
            </w:r>
            <w:r>
              <w:t xml:space="preserve"> </w:t>
            </w:r>
            <w:r w:rsidRPr="009C669A">
              <w:t>Recurrent/Metastatic Head and Neck Squamous Cell Carcinoma</w:t>
            </w:r>
          </w:p>
          <w:p w14:paraId="68AA78F9" w14:textId="77777777" w:rsidR="009C669A" w:rsidRDefault="009C669A" w:rsidP="009C669A">
            <w:r>
              <w:t>KEYNOTE-048</w:t>
            </w:r>
          </w:p>
        </w:tc>
        <w:tc>
          <w:tcPr>
            <w:tcW w:w="884" w:type="pct"/>
          </w:tcPr>
          <w:p w14:paraId="6EEFC91D" w14:textId="77777777" w:rsidR="004C49EF" w:rsidRDefault="00EE74C1" w:rsidP="00EE74C1">
            <w:r>
              <w:t>KEYNOTE-048 is a phase 3 r</w:t>
            </w:r>
            <w:r w:rsidRPr="009C669A">
              <w:t>andomized, active-controlled, multi-site, open-label</w:t>
            </w:r>
            <w:r>
              <w:t xml:space="preserve"> three arm trial</w:t>
            </w:r>
            <w:r w:rsidR="00EB411B">
              <w:t xml:space="preserve"> in a 1:1:1 ratio,</w:t>
            </w:r>
            <w:r>
              <w:t xml:space="preserve"> comparing pembrolizumab alone to pembrolizumab in combination with a platinum-based drug </w:t>
            </w:r>
            <w:r w:rsidRPr="00EE74C1">
              <w:t>(cisplatin or carboplat</w:t>
            </w:r>
            <w:r>
              <w:t xml:space="preserve">in) + 5-Fluorouracil (5-FU),  and to </w:t>
            </w:r>
            <w:r w:rsidRPr="00EE74C1">
              <w:t>cetuximab + a platinum-based drug (cisplatin or carboplatin) + 5-FU</w:t>
            </w:r>
            <w:r>
              <w:t xml:space="preserve"> in patients with R/M HNSCC. </w:t>
            </w:r>
          </w:p>
          <w:p w14:paraId="00034384" w14:textId="77777777" w:rsidR="00EB411B" w:rsidRDefault="00EB411B" w:rsidP="00EE74C1">
            <w:r>
              <w:t>N = 825</w:t>
            </w:r>
          </w:p>
        </w:tc>
        <w:tc>
          <w:tcPr>
            <w:tcW w:w="1246" w:type="pct"/>
          </w:tcPr>
          <w:p w14:paraId="1841DAAC" w14:textId="77777777" w:rsidR="004C49EF" w:rsidRPr="00E82F54" w:rsidRDefault="009C669A" w:rsidP="009C669A">
            <w:r w:rsidRPr="009C669A">
              <w:t>https://clinicaltrials.gov/ct2/show/NCT02358031</w:t>
            </w:r>
          </w:p>
        </w:tc>
        <w:tc>
          <w:tcPr>
            <w:tcW w:w="524" w:type="pct"/>
          </w:tcPr>
          <w:p w14:paraId="316EC969" w14:textId="77777777" w:rsidR="004C49EF" w:rsidRPr="00E82F54" w:rsidRDefault="00F7012A" w:rsidP="00EB411B">
            <w:pPr>
              <w:rPr>
                <w:b/>
                <w:szCs w:val="20"/>
              </w:rPr>
            </w:pPr>
            <w:r>
              <w:rPr>
                <w:b/>
                <w:szCs w:val="20"/>
              </w:rPr>
              <w:t xml:space="preserve"> </w:t>
            </w:r>
            <w:r w:rsidR="00EB411B">
              <w:rPr>
                <w:b/>
                <w:szCs w:val="20"/>
              </w:rPr>
              <w:t>TBD</w:t>
            </w:r>
          </w:p>
        </w:tc>
      </w:tr>
    </w:tbl>
    <w:p w14:paraId="4163CE2E"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CE98A5D"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66DDF7D"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0237FC0"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CE8AB36"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44FD14E1"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3C16C28C" w14:textId="77777777" w:rsidR="00A727B6" w:rsidRDefault="006552CB" w:rsidP="00A727B6">
      <w:pPr>
        <w:ind w:left="426"/>
      </w:pPr>
      <w:r>
        <w:t>RCPA – Royal College of Pathologists of Australasia</w:t>
      </w:r>
    </w:p>
    <w:p w14:paraId="50324149" w14:textId="77777777" w:rsidR="006552CB" w:rsidRPr="00A727B6" w:rsidRDefault="006552CB" w:rsidP="00A727B6">
      <w:pPr>
        <w:ind w:left="426"/>
      </w:pPr>
      <w:r>
        <w:t>MOGA – Medical Oncology Group of Australia</w:t>
      </w:r>
    </w:p>
    <w:p w14:paraId="32FF71DA"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0CBF73FE" w14:textId="77777777" w:rsidR="00EA173C" w:rsidRDefault="00886F12" w:rsidP="00A727B6">
      <w:pPr>
        <w:ind w:left="426"/>
      </w:pPr>
      <w:r>
        <w:t>MOGA and RCPA</w:t>
      </w:r>
    </w:p>
    <w:p w14:paraId="27D188CE" w14:textId="77777777" w:rsidR="00E82F54"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C79FCC9" w14:textId="34935905" w:rsidR="00537B63" w:rsidRPr="00537B63" w:rsidRDefault="00DF152D" w:rsidP="00DF152D">
      <w:pPr>
        <w:ind w:left="360"/>
      </w:pPr>
      <w:r>
        <w:t>TBC</w:t>
      </w:r>
    </w:p>
    <w:p w14:paraId="5EE37C77"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82ACC14" w14:textId="77777777" w:rsidR="00EE6450" w:rsidRDefault="007B53F8" w:rsidP="00EE6450">
      <w:pPr>
        <w:ind w:left="426"/>
        <w:rPr>
          <w:szCs w:val="20"/>
        </w:rPr>
      </w:pPr>
      <w:r>
        <w:t>N/A in Australia</w:t>
      </w:r>
    </w:p>
    <w:p w14:paraId="7CE3F5DA" w14:textId="77777777" w:rsidR="00E82F54" w:rsidRDefault="00E82F54" w:rsidP="00530204">
      <w:pPr>
        <w:pStyle w:val="Heading2"/>
      </w:pPr>
      <w:r w:rsidRPr="00154B00">
        <w:t>Nominate two experts who could be approached about the proposed medical service and the current clinical management of the service(s):</w:t>
      </w:r>
    </w:p>
    <w:p w14:paraId="505B9D30" w14:textId="77777777" w:rsidR="00A96329" w:rsidRPr="00A96329" w:rsidRDefault="00A96329" w:rsidP="00A96329"/>
    <w:p w14:paraId="65AA10FA" w14:textId="1F1D21A9" w:rsidR="00987ABE" w:rsidRPr="00987ABE" w:rsidRDefault="00987ABE" w:rsidP="00987ABE">
      <w:pPr>
        <w:ind w:left="426"/>
        <w:rPr>
          <w:szCs w:val="20"/>
        </w:rPr>
      </w:pPr>
      <w:r>
        <w:rPr>
          <w:szCs w:val="20"/>
        </w:rPr>
        <w:t xml:space="preserve">Name of expert </w:t>
      </w:r>
      <w:r w:rsidRPr="002B5F20">
        <w:rPr>
          <w:szCs w:val="20"/>
        </w:rPr>
        <w:t xml:space="preserve">1: </w:t>
      </w:r>
      <w:r w:rsidR="00D110CC" w:rsidRPr="002B5F20">
        <w:rPr>
          <w:b/>
        </w:rPr>
        <w:t>REDACTED</w:t>
      </w:r>
    </w:p>
    <w:p w14:paraId="485A3F28" w14:textId="2E8DEC1C" w:rsidR="00987ABE" w:rsidRPr="00987ABE" w:rsidRDefault="00987ABE" w:rsidP="00987ABE">
      <w:pPr>
        <w:ind w:left="426"/>
        <w:rPr>
          <w:szCs w:val="20"/>
        </w:rPr>
      </w:pPr>
      <w:r>
        <w:rPr>
          <w:szCs w:val="20"/>
        </w:rPr>
        <w:t xml:space="preserve">Telephone number(s): </w:t>
      </w:r>
      <w:r w:rsidR="00D110CC" w:rsidRPr="00D110CC">
        <w:rPr>
          <w:b/>
        </w:rPr>
        <w:t>REDACTED</w:t>
      </w:r>
    </w:p>
    <w:p w14:paraId="4935B06E" w14:textId="615D6500" w:rsidR="00987ABE" w:rsidRPr="00987ABE" w:rsidRDefault="00987ABE" w:rsidP="00987ABE">
      <w:pPr>
        <w:ind w:left="426"/>
        <w:rPr>
          <w:szCs w:val="20"/>
        </w:rPr>
      </w:pPr>
      <w:r>
        <w:rPr>
          <w:szCs w:val="20"/>
        </w:rPr>
        <w:t>Email address:</w:t>
      </w:r>
      <w:r w:rsidR="007B53F8">
        <w:t xml:space="preserve"> </w:t>
      </w:r>
      <w:r w:rsidR="00D110CC" w:rsidRPr="00D110CC">
        <w:rPr>
          <w:b/>
        </w:rPr>
        <w:t>REDACTED</w:t>
      </w:r>
    </w:p>
    <w:p w14:paraId="2BBE5011" w14:textId="275A484A" w:rsidR="00987ABE" w:rsidRPr="00987ABE" w:rsidRDefault="00987ABE" w:rsidP="00987ABE">
      <w:pPr>
        <w:ind w:left="426"/>
        <w:rPr>
          <w:szCs w:val="20"/>
        </w:rPr>
      </w:pPr>
      <w:r>
        <w:rPr>
          <w:szCs w:val="20"/>
        </w:rPr>
        <w:t>Justification of expertise</w:t>
      </w:r>
      <w:r w:rsidR="00D110CC" w:rsidRPr="00D110CC">
        <w:rPr>
          <w:b/>
        </w:rPr>
        <w:t xml:space="preserve"> REDACTED</w:t>
      </w:r>
    </w:p>
    <w:p w14:paraId="3F12696D" w14:textId="77777777" w:rsidR="00987ABE" w:rsidRPr="00987ABE" w:rsidRDefault="00987ABE" w:rsidP="00987ABE">
      <w:pPr>
        <w:ind w:left="426"/>
        <w:rPr>
          <w:szCs w:val="20"/>
        </w:rPr>
      </w:pPr>
    </w:p>
    <w:p w14:paraId="40635EDA" w14:textId="422409CE" w:rsidR="00987ABE" w:rsidRPr="00987ABE" w:rsidRDefault="00987ABE" w:rsidP="00987ABE">
      <w:pPr>
        <w:ind w:left="426"/>
        <w:rPr>
          <w:szCs w:val="20"/>
        </w:rPr>
      </w:pPr>
      <w:r>
        <w:rPr>
          <w:szCs w:val="20"/>
        </w:rPr>
        <w:t xml:space="preserve">Name of expert 2: </w:t>
      </w:r>
      <w:r w:rsidR="00D110CC" w:rsidRPr="00D110CC">
        <w:rPr>
          <w:b/>
        </w:rPr>
        <w:t>REDACTED</w:t>
      </w:r>
    </w:p>
    <w:p w14:paraId="3F3AAC62" w14:textId="68C616D0" w:rsidR="00987ABE" w:rsidRPr="00987ABE" w:rsidRDefault="00987ABE" w:rsidP="00987ABE">
      <w:pPr>
        <w:ind w:left="426"/>
        <w:rPr>
          <w:szCs w:val="20"/>
        </w:rPr>
      </w:pPr>
      <w:r>
        <w:rPr>
          <w:szCs w:val="20"/>
        </w:rPr>
        <w:t xml:space="preserve">Telephone number(s): </w:t>
      </w:r>
      <w:r w:rsidR="00D110CC" w:rsidRPr="00D110CC">
        <w:rPr>
          <w:b/>
        </w:rPr>
        <w:t>REDACTED</w:t>
      </w:r>
    </w:p>
    <w:p w14:paraId="48F4079D" w14:textId="735A6183" w:rsidR="00987ABE" w:rsidRPr="00987ABE" w:rsidRDefault="00987ABE" w:rsidP="00987ABE">
      <w:pPr>
        <w:ind w:left="426"/>
        <w:rPr>
          <w:szCs w:val="20"/>
        </w:rPr>
      </w:pPr>
      <w:r>
        <w:rPr>
          <w:szCs w:val="20"/>
        </w:rPr>
        <w:t xml:space="preserve">Email address: </w:t>
      </w:r>
      <w:r w:rsidR="00D110CC" w:rsidRPr="00D110CC">
        <w:rPr>
          <w:b/>
        </w:rPr>
        <w:t>REDACTED</w:t>
      </w:r>
    </w:p>
    <w:p w14:paraId="54D4EDF9" w14:textId="7684FA40" w:rsidR="00E82F54" w:rsidRPr="00154B00" w:rsidRDefault="00987ABE" w:rsidP="00987ABE">
      <w:pPr>
        <w:ind w:left="426"/>
        <w:rPr>
          <w:szCs w:val="20"/>
        </w:rPr>
      </w:pPr>
      <w:r>
        <w:rPr>
          <w:szCs w:val="20"/>
        </w:rPr>
        <w:t xml:space="preserve">Justification of expertise: </w:t>
      </w:r>
      <w:r w:rsidR="00D110CC" w:rsidRPr="00D110CC">
        <w:rPr>
          <w:b/>
        </w:rPr>
        <w:t>REDACTED</w:t>
      </w:r>
    </w:p>
    <w:p w14:paraId="07BA3E6E" w14:textId="77777777" w:rsidR="00987ABE" w:rsidRDefault="00987ABE" w:rsidP="00E82F54">
      <w:pPr>
        <w:ind w:left="426"/>
        <w:rPr>
          <w:i/>
          <w:szCs w:val="20"/>
        </w:rPr>
      </w:pPr>
    </w:p>
    <w:p w14:paraId="0EF9B4B1"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1C959CA8" w14:textId="77777777" w:rsidR="003433D1" w:rsidRDefault="003433D1">
      <w:pPr>
        <w:rPr>
          <w:b/>
          <w:sz w:val="32"/>
          <w:szCs w:val="32"/>
        </w:rPr>
      </w:pPr>
      <w:r>
        <w:rPr>
          <w:b/>
          <w:sz w:val="32"/>
          <w:szCs w:val="32"/>
        </w:rPr>
        <w:br w:type="page"/>
      </w:r>
    </w:p>
    <w:p w14:paraId="32A78EE8"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612224C2" w14:textId="77777777" w:rsidR="0021185D" w:rsidRPr="005C3AE7" w:rsidRDefault="005C3AE7" w:rsidP="005C3AE7">
      <w:pPr>
        <w:pStyle w:val="Subtitle"/>
      </w:pPr>
      <w:r w:rsidRPr="005C3AE7">
        <w:t xml:space="preserve">PART 6a – </w:t>
      </w:r>
      <w:r w:rsidR="0021185D" w:rsidRPr="005C3AE7">
        <w:t>INFORMATION ABOUT THE PROPOSED POPULATION</w:t>
      </w:r>
    </w:p>
    <w:p w14:paraId="75E91571"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9E890A2" w14:textId="77777777" w:rsidR="003C4F47" w:rsidRDefault="003C4F47" w:rsidP="003C4F47">
      <w:pPr>
        <w:ind w:left="284"/>
      </w:pPr>
      <w:r>
        <w:t>Head and neck cancer includes cancers from 18 different sites including those that occur in the oral cavity, pharynx, larynx, nasal cavity, paranasal sinuses, thyroid and salivary glands. It is not uncommon for patients to have multiple cancers in different</w:t>
      </w:r>
      <w:r w:rsidR="00C75828">
        <w:t xml:space="preserve"> sites of the head and neck. The human papillomavirus (HPV) as well as Epstein-Barr virus and </w:t>
      </w:r>
      <w:r w:rsidR="00EE0BF5">
        <w:t>cytomegalovirus</w:t>
      </w:r>
      <w:r w:rsidR="00C75828">
        <w:t xml:space="preserve"> have been associated with the incidence of head and neck cancers. Head and neck cancer is the fifth most common cancer worldwide, and accounts for 5% of all malignancies. In Australia, head and neck cancer was the 7</w:t>
      </w:r>
      <w:r w:rsidR="00C75828" w:rsidRPr="00C75828">
        <w:rPr>
          <w:vertAlign w:val="superscript"/>
        </w:rPr>
        <w:t>th</w:t>
      </w:r>
      <w:r w:rsidR="00C75828">
        <w:t xml:space="preserve"> most commonly diagnosed cancer in Australia in 2013, with 4,409 new cases. </w:t>
      </w:r>
      <w:r w:rsidR="00F63777">
        <w:t>In 2014, head and neck cancer was the 15</w:t>
      </w:r>
      <w:r w:rsidR="00F63777" w:rsidRPr="00F63777">
        <w:rPr>
          <w:vertAlign w:val="superscript"/>
        </w:rPr>
        <w:t>th</w:t>
      </w:r>
      <w:r w:rsidR="00F63777">
        <w:t xml:space="preserve"> leading cause of cancer death in Australia. </w:t>
      </w:r>
      <w:proofErr w:type="gramStart"/>
      <w:r w:rsidR="00F63777">
        <w:t>Between 2009-2013,</w:t>
      </w:r>
      <w:proofErr w:type="gramEnd"/>
      <w:r w:rsidR="00F63777">
        <w:t xml:space="preserve"> individuals </w:t>
      </w:r>
      <w:r w:rsidR="00EE0BF5">
        <w:t>diagnosed</w:t>
      </w:r>
      <w:r w:rsidR="00F63777">
        <w:t xml:space="preserve"> with head and neck cancer had a 69% chance of surviving for 5 years as compared to the general Australian population. </w:t>
      </w:r>
    </w:p>
    <w:p w14:paraId="3A013EA4" w14:textId="77777777" w:rsidR="003C4F47" w:rsidRPr="009056C5" w:rsidRDefault="00C75828" w:rsidP="003C4F47">
      <w:pPr>
        <w:ind w:left="284"/>
      </w:pPr>
      <w:r>
        <w:t>A large number of patients with head and neck cancer initially present with locally advanced, Stage III/IV disease. Initial treatment involves combinations of chemotherapy/radiation and/or surgery, designated “definitive”</w:t>
      </w:r>
      <w:r w:rsidR="00F63777">
        <w:t xml:space="preserve"> therapy.</w:t>
      </w:r>
      <w:r w:rsidR="003C4F47">
        <w:t xml:space="preserve"> </w:t>
      </w:r>
      <w:r w:rsidR="00F63777">
        <w:t xml:space="preserve">This definitive treatment can result in disease control for between 33-86% of patients. </w:t>
      </w:r>
      <w:r w:rsidR="003C4F47">
        <w:t xml:space="preserve">Individuals who have progressed following initial definitive treatment have recurrent disease and require subsequent treatment. Patient who present with metastatic disease generally receive the same therapy as those with recurrent disease following initial definitive treatment. </w:t>
      </w:r>
    </w:p>
    <w:p w14:paraId="5CCCDE5C" w14:textId="77777777" w:rsidR="002A6753" w:rsidRPr="00154B00" w:rsidRDefault="002A6753" w:rsidP="00E357B9">
      <w:pPr>
        <w:ind w:left="426"/>
        <w:rPr>
          <w:szCs w:val="20"/>
        </w:rPr>
      </w:pPr>
    </w:p>
    <w:p w14:paraId="3A7B65E2"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B006F9C" w14:textId="77777777" w:rsidR="00AA5FDA" w:rsidRDefault="005F1D44" w:rsidP="00E357B9">
      <w:pPr>
        <w:ind w:left="426"/>
      </w:pPr>
      <w:r>
        <w:t>PD-L1 testing would be undertaken in patients diagnosed with R/M HNSCC</w:t>
      </w:r>
      <w:r w:rsidR="0005090A">
        <w:t>.  The anticipated indication will be for first line treatment in these patients.  This application requests consideration of PD-L1 testing in order to access pembrolizumab</w:t>
      </w:r>
      <w:r w:rsidR="00BD0C13" w:rsidRPr="00BD0C13">
        <w:t xml:space="preserve"> </w:t>
      </w:r>
      <w:r w:rsidR="00BD0C13">
        <w:t>monotherapy</w:t>
      </w:r>
      <w:r w:rsidR="0005090A">
        <w:t xml:space="preserve">.  However, KN048 also has a combination therapy arm containing pembrolizumab together with a platinum based drug and 5-FU.  Although the combination arm is expected to work in all patients, this application wishes to apply testing to these patients, in the event that the data supports testing.  </w:t>
      </w:r>
      <w:r w:rsidR="00EF3247">
        <w:t xml:space="preserve">Males account for a much higher proportion of head and neck cancers with the incidence in men being almost three times that of women. </w:t>
      </w:r>
    </w:p>
    <w:p w14:paraId="4AC68BB6" w14:textId="77777777" w:rsidR="00EF3247" w:rsidRDefault="00EF3247" w:rsidP="00E357B9">
      <w:pPr>
        <w:ind w:left="426"/>
      </w:pPr>
      <w:r>
        <w:t xml:space="preserve">The patient when diagnosed will usually undergo a biopsy of the tumour, unless it is to be surgically removed. This tissue sample taken would be used for immunohistochemical testing with PD-L1. The testing would be done by a pathologist alongside other immunohistochemical tests which are done routinely. </w:t>
      </w:r>
    </w:p>
    <w:p w14:paraId="3DEAAF5E" w14:textId="77777777" w:rsidR="00EF3247" w:rsidRPr="00154B00" w:rsidRDefault="00EF3247" w:rsidP="00E357B9">
      <w:pPr>
        <w:ind w:left="426"/>
        <w:rPr>
          <w:szCs w:val="20"/>
        </w:rPr>
      </w:pPr>
      <w:r>
        <w:t xml:space="preserve">The test would enable identification of those patients most likely to benefit from treatment with pembrolizumab. </w:t>
      </w:r>
    </w:p>
    <w:p w14:paraId="6F56725A"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626DD24A" w14:textId="77777777" w:rsidR="00476681" w:rsidRPr="00BC424B" w:rsidRDefault="00476681" w:rsidP="00D73646">
      <w:pPr>
        <w:ind w:left="426"/>
      </w:pPr>
      <w:r>
        <w:t>There are a number of chemotherapy regimens that are used for patients with R/M HNSCC. The National Comprehensive Cancer Network (NCCN) guidelines highlight the importance of individualised therapies based on patient characteristics, given that R/M first line patients have generally heterogeneous characteristics. The EXTREME regimen</w:t>
      </w:r>
      <w:r w:rsidR="001C497A">
        <w:t>, a combination of cetuximab with cisplatin and 5-FU,</w:t>
      </w:r>
      <w:r>
        <w:t xml:space="preserve"> is the only regimen given a Category 1 evidence-supported recommendation by NCCN. This regimen demonstrates better overall survival, objective response rate and profession free survival to other</w:t>
      </w:r>
      <w:r w:rsidR="00190E29">
        <w:t xml:space="preserve"> </w:t>
      </w:r>
      <w:r w:rsidR="00190E29" w:rsidRPr="00190E29">
        <w:rPr>
          <w:color w:val="FF0000"/>
        </w:rPr>
        <w:t>available</w:t>
      </w:r>
      <w:r w:rsidRPr="00190E29">
        <w:rPr>
          <w:color w:val="FF0000"/>
        </w:rPr>
        <w:t xml:space="preserve"> </w:t>
      </w:r>
      <w:r>
        <w:t xml:space="preserve">regimens, </w:t>
      </w:r>
      <w:r>
        <w:lastRenderedPageBreak/>
        <w:t xml:space="preserve">however is also associated with significantly greater frequency of grade 3/4 toxicities. Other recommendations by the NCCN guidelines include combination regimens of platinum plus </w:t>
      </w:r>
      <w:proofErr w:type="spellStart"/>
      <w:r>
        <w:t>taxane</w:t>
      </w:r>
      <w:proofErr w:type="spellEnd"/>
      <w:r>
        <w:t xml:space="preserve">, cisplatin plus </w:t>
      </w:r>
      <w:proofErr w:type="spellStart"/>
      <w:r>
        <w:t>cetuximab</w:t>
      </w:r>
      <w:proofErr w:type="spellEnd"/>
      <w:r>
        <w:t xml:space="preserve"> and cisplatin plus 5-fluorouracil, or these agents as monotherapies. </w:t>
      </w:r>
      <w:r w:rsidR="00190E29">
        <w:t xml:space="preserve"> These other regimens are as toxic and </w:t>
      </w:r>
      <w:r w:rsidR="00D332D9">
        <w:t>some are</w:t>
      </w:r>
      <w:r w:rsidR="00190E29">
        <w:t xml:space="preserve"> less efficacious than the combination of cetuximab with cisplatin and 5-FU</w:t>
      </w:r>
      <w:r w:rsidR="0005090A">
        <w:t>.  Cetuximab is not reimbursed for this indication and provides a very limited improvement in survival</w:t>
      </w:r>
      <w:r w:rsidR="00D332D9">
        <w:t xml:space="preserve"> </w:t>
      </w:r>
      <w:r w:rsidR="0005090A">
        <w:t xml:space="preserve">with a greater increase in adverse events.  </w:t>
      </w:r>
      <w:r w:rsidR="00D332D9">
        <w:t xml:space="preserve">Treatment decisions in advanced HNC </w:t>
      </w:r>
      <w:r w:rsidR="0005090A">
        <w:t xml:space="preserve">are </w:t>
      </w:r>
      <w:r w:rsidR="009E5289">
        <w:t>shaped by</w:t>
      </w:r>
      <w:r w:rsidR="00D332D9">
        <w:t xml:space="preserve"> patient characteristics</w:t>
      </w:r>
      <w:r w:rsidR="009E5289">
        <w:t>, which</w:t>
      </w:r>
      <w:r w:rsidR="00D332D9">
        <w:t xml:space="preserve"> include their performance status (ECOG) and the goals of therapy.</w:t>
      </w:r>
    </w:p>
    <w:p w14:paraId="2A295ACB" w14:textId="77777777" w:rsidR="002A50FD" w:rsidRPr="00881F93" w:rsidRDefault="005C3AE7" w:rsidP="005C3AE7">
      <w:pPr>
        <w:pStyle w:val="Subtitle"/>
      </w:pPr>
      <w:r>
        <w:t xml:space="preserve">PART 6b – </w:t>
      </w:r>
      <w:r w:rsidR="002A50FD" w:rsidRPr="00881F93">
        <w:t>INFORMATION ABOUT THE INTERVENTION</w:t>
      </w:r>
    </w:p>
    <w:p w14:paraId="0F8CE588"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B4E4655" w14:textId="77777777" w:rsidR="006B3F1F" w:rsidRDefault="006B3F1F" w:rsidP="00E357B9">
      <w:pPr>
        <w:ind w:left="426"/>
        <w:rPr>
          <w:szCs w:val="20"/>
        </w:rPr>
      </w:pPr>
      <w:r>
        <w:rPr>
          <w:szCs w:val="20"/>
        </w:rPr>
        <w:t xml:space="preserve">Pembrolizumab is a highly selective humanised monoclonal antibody that targets the PD-L1 receptor to potentiate an immune response. PD-L1 expression in HNSCC biopsies can be assessed using immunohistochemical testing with antibodies that bind specifically to the PD-L1 receptor protein. </w:t>
      </w:r>
    </w:p>
    <w:p w14:paraId="74ECFFFF" w14:textId="17C5245C" w:rsidR="006B3F1F" w:rsidRDefault="009E5289" w:rsidP="006B3F1F">
      <w:pPr>
        <w:ind w:left="426"/>
        <w:rPr>
          <w:szCs w:val="20"/>
        </w:rPr>
      </w:pPr>
      <w:r>
        <w:rPr>
          <w:szCs w:val="20"/>
        </w:rPr>
        <w:t>T</w:t>
      </w:r>
      <w:r w:rsidR="006B3F1F">
        <w:rPr>
          <w:szCs w:val="20"/>
        </w:rPr>
        <w:t xml:space="preserve">he PD-L1 IHC 22C3 </w:t>
      </w:r>
      <w:proofErr w:type="spellStart"/>
      <w:r w:rsidR="006B3F1F">
        <w:rPr>
          <w:szCs w:val="20"/>
        </w:rPr>
        <w:t>pharmDx</w:t>
      </w:r>
      <w:proofErr w:type="spellEnd"/>
      <w:r w:rsidR="006B3F1F">
        <w:rPr>
          <w:szCs w:val="20"/>
        </w:rPr>
        <w:t xml:space="preserve"> assay</w:t>
      </w:r>
      <w:r>
        <w:rPr>
          <w:szCs w:val="20"/>
        </w:rPr>
        <w:t xml:space="preserve"> </w:t>
      </w:r>
      <w:r w:rsidR="009E5A3A">
        <w:rPr>
          <w:szCs w:val="20"/>
        </w:rPr>
        <w:t>was</w:t>
      </w:r>
      <w:r w:rsidR="006B3F1F">
        <w:rPr>
          <w:szCs w:val="20"/>
        </w:rPr>
        <w:t xml:space="preserve"> used to assess PD-L1 expression in in the KEYNOTE-04</w:t>
      </w:r>
      <w:r w:rsidR="009C669A">
        <w:rPr>
          <w:szCs w:val="20"/>
        </w:rPr>
        <w:t>8</w:t>
      </w:r>
      <w:r w:rsidR="006B3F1F">
        <w:rPr>
          <w:szCs w:val="20"/>
        </w:rPr>
        <w:t xml:space="preserve"> clinical trial. </w:t>
      </w:r>
      <w:r w:rsidR="006B3F1F" w:rsidRPr="006B3F1F">
        <w:rPr>
          <w:szCs w:val="20"/>
        </w:rPr>
        <w:t xml:space="preserve">Patients </w:t>
      </w:r>
      <w:r w:rsidR="009E5A3A">
        <w:rPr>
          <w:szCs w:val="20"/>
        </w:rPr>
        <w:t xml:space="preserve">were </w:t>
      </w:r>
      <w:r w:rsidR="006B3F1F" w:rsidRPr="006B3F1F">
        <w:rPr>
          <w:szCs w:val="20"/>
        </w:rPr>
        <w:t>enrolled into the KN0</w:t>
      </w:r>
      <w:r w:rsidR="006B3F1F">
        <w:rPr>
          <w:szCs w:val="20"/>
        </w:rPr>
        <w:t>4</w:t>
      </w:r>
      <w:r w:rsidR="009C669A">
        <w:rPr>
          <w:szCs w:val="20"/>
        </w:rPr>
        <w:t>8</w:t>
      </w:r>
      <w:r w:rsidR="006B3F1F" w:rsidRPr="006B3F1F">
        <w:rPr>
          <w:szCs w:val="20"/>
        </w:rPr>
        <w:t xml:space="preserve"> study irrespective of PD-L1 tumour status, i.e. all comers. The PD-L1 IHC 22C3 </w:t>
      </w:r>
      <w:proofErr w:type="spellStart"/>
      <w:r w:rsidR="00DC0B77" w:rsidRPr="006B3F1F">
        <w:rPr>
          <w:szCs w:val="20"/>
        </w:rPr>
        <w:t>pharmDx</w:t>
      </w:r>
      <w:proofErr w:type="spellEnd"/>
      <w:r w:rsidR="00DC0B77" w:rsidRPr="006B3F1F">
        <w:rPr>
          <w:szCs w:val="20"/>
        </w:rPr>
        <w:t xml:space="preserve"> </w:t>
      </w:r>
      <w:r w:rsidR="00DC0B77">
        <w:rPr>
          <w:szCs w:val="20"/>
        </w:rPr>
        <w:t>kit</w:t>
      </w:r>
      <w:r w:rsidR="009E5A3A">
        <w:rPr>
          <w:szCs w:val="20"/>
        </w:rPr>
        <w:t xml:space="preserve"> </w:t>
      </w:r>
      <w:r w:rsidR="006B3F1F" w:rsidRPr="006B3F1F">
        <w:rPr>
          <w:szCs w:val="20"/>
        </w:rPr>
        <w:t>will be used to determine PD-L1 expression in order to explore the relationship between tumour PD-L1 expression and response to treatment with pembrolizumab.</w:t>
      </w:r>
    </w:p>
    <w:p w14:paraId="4325C0AA" w14:textId="77777777" w:rsidR="002A50FD" w:rsidRPr="00154B00" w:rsidRDefault="006B3F1F" w:rsidP="00E357B9">
      <w:pPr>
        <w:ind w:left="426"/>
        <w:rPr>
          <w:szCs w:val="20"/>
        </w:rPr>
      </w:pPr>
      <w:r w:rsidRPr="000F095C">
        <w:rPr>
          <w:szCs w:val="20"/>
        </w:rPr>
        <w:t xml:space="preserve">Detailed information of the PD-L1 22C3 </w:t>
      </w:r>
      <w:proofErr w:type="spellStart"/>
      <w:r w:rsidRPr="000F095C">
        <w:rPr>
          <w:szCs w:val="20"/>
        </w:rPr>
        <w:t>pharmDx</w:t>
      </w:r>
      <w:proofErr w:type="spellEnd"/>
      <w:r w:rsidRPr="000F095C">
        <w:rPr>
          <w:szCs w:val="20"/>
        </w:rPr>
        <w:t xml:space="preserve"> assay kit components as well as its performance studies will be presented for MSAC</w:t>
      </w:r>
      <w:r>
        <w:rPr>
          <w:szCs w:val="20"/>
        </w:rPr>
        <w:t xml:space="preserve"> </w:t>
      </w:r>
      <w:r w:rsidRPr="000F095C">
        <w:rPr>
          <w:szCs w:val="20"/>
        </w:rPr>
        <w:t>consideration in the co-dependent technology submission</w:t>
      </w:r>
      <w:r>
        <w:rPr>
          <w:szCs w:val="20"/>
        </w:rPr>
        <w:t>.</w:t>
      </w:r>
    </w:p>
    <w:p w14:paraId="1A5D0A4F"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E613649" w14:textId="77777777" w:rsidR="002A6753" w:rsidRPr="00154B00" w:rsidRDefault="006B3F1F" w:rsidP="00E357B9">
      <w:pPr>
        <w:ind w:left="426"/>
        <w:rPr>
          <w:szCs w:val="20"/>
        </w:rPr>
      </w:pPr>
      <w:r w:rsidRPr="006B3F1F">
        <w:t xml:space="preserve">There are currently no PD-L1 tests reimbursed by MSAC. The PD-L1 22C3 </w:t>
      </w:r>
      <w:proofErr w:type="spellStart"/>
      <w:r w:rsidRPr="006B3F1F">
        <w:t>pharmDx</w:t>
      </w:r>
      <w:proofErr w:type="spellEnd"/>
      <w:r w:rsidRPr="006B3F1F">
        <w:t xml:space="preserve"> </w:t>
      </w:r>
      <w:r w:rsidR="009E5A3A">
        <w:t xml:space="preserve">kit </w:t>
      </w:r>
      <w:r w:rsidR="003979E8">
        <w:t xml:space="preserve">is </w:t>
      </w:r>
      <w:r w:rsidRPr="006B3F1F">
        <w:t xml:space="preserve">commercially available in Australia. </w:t>
      </w:r>
    </w:p>
    <w:p w14:paraId="726C9A8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B724C85" w14:textId="77777777" w:rsidR="00DF0C51" w:rsidRDefault="00A63C22" w:rsidP="00E357B9">
      <w:pPr>
        <w:ind w:left="426"/>
        <w:rPr>
          <w:b/>
          <w:szCs w:val="20"/>
        </w:rPr>
      </w:pPr>
      <w:r>
        <w:t>N/A</w:t>
      </w:r>
    </w:p>
    <w:p w14:paraId="7AEE6BCB"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7AA5703" w14:textId="77777777" w:rsidR="00014360" w:rsidRDefault="00014360" w:rsidP="00E357B9">
      <w:pPr>
        <w:ind w:left="426"/>
      </w:pPr>
      <w:r>
        <w:t>Accessibility</w:t>
      </w:r>
    </w:p>
    <w:p w14:paraId="4CD8E921" w14:textId="77777777" w:rsidR="00CC09D7" w:rsidRDefault="00DB5290" w:rsidP="00E357B9">
      <w:pPr>
        <w:ind w:left="426"/>
      </w:pPr>
      <w:r>
        <w:t xml:space="preserve">All patients with R/M HNSCC will have a biopsy taken as part of standard practice. It is proposed that PD-L1 expression testing be carried out on the tissue sample when a patient is </w:t>
      </w:r>
      <w:r w:rsidR="00014360">
        <w:t>diagnosed with R/M HNSCC. In the KN04</w:t>
      </w:r>
      <w:r w:rsidR="009C669A">
        <w:t>8</w:t>
      </w:r>
      <w:r w:rsidR="00014360">
        <w:t xml:space="preserve"> study, a newly obtained biopsy is strongly preferred however an archival sample is acceptable, thus PD-L1 testing may be carried out on archival samples taken at the initial diagnosis of HNSCC. </w:t>
      </w:r>
    </w:p>
    <w:p w14:paraId="38746510" w14:textId="77777777" w:rsidR="00EE74C1" w:rsidRDefault="00EE74C1" w:rsidP="00E357B9">
      <w:pPr>
        <w:ind w:left="426"/>
        <w:rPr>
          <w:szCs w:val="20"/>
        </w:rPr>
      </w:pPr>
    </w:p>
    <w:p w14:paraId="6455FAFD" w14:textId="77777777" w:rsidR="00014360" w:rsidRDefault="00014360" w:rsidP="00E357B9">
      <w:pPr>
        <w:ind w:left="426"/>
        <w:rPr>
          <w:szCs w:val="20"/>
        </w:rPr>
      </w:pPr>
      <w:r>
        <w:rPr>
          <w:szCs w:val="20"/>
        </w:rPr>
        <w:t>Frequency</w:t>
      </w:r>
    </w:p>
    <w:p w14:paraId="518AB67E" w14:textId="77777777" w:rsidR="00014360" w:rsidRDefault="00014360" w:rsidP="00E357B9">
      <w:pPr>
        <w:ind w:left="426"/>
        <w:rPr>
          <w:szCs w:val="20"/>
        </w:rPr>
      </w:pPr>
      <w:r>
        <w:rPr>
          <w:szCs w:val="20"/>
        </w:rPr>
        <w:t xml:space="preserve">Only one PD-L1 test is required to identify patients who would benefit from treatment with pembrolizumab. There is no known role for PD-L1 testing in monitoring a patient’s response to pembrolizumab treatment. </w:t>
      </w:r>
    </w:p>
    <w:p w14:paraId="5187DFE8" w14:textId="77777777" w:rsidR="00EE74C1" w:rsidRDefault="00EE74C1" w:rsidP="00E357B9">
      <w:pPr>
        <w:ind w:left="426"/>
        <w:rPr>
          <w:szCs w:val="20"/>
        </w:rPr>
      </w:pPr>
    </w:p>
    <w:p w14:paraId="64A5A2D7" w14:textId="77777777" w:rsidR="00014360" w:rsidRDefault="00014360" w:rsidP="00E357B9">
      <w:pPr>
        <w:ind w:left="426"/>
        <w:rPr>
          <w:szCs w:val="20"/>
        </w:rPr>
      </w:pPr>
      <w:r>
        <w:rPr>
          <w:szCs w:val="20"/>
        </w:rPr>
        <w:t>Further information about sample consideration</w:t>
      </w:r>
    </w:p>
    <w:p w14:paraId="416510F6" w14:textId="77777777" w:rsidR="00014360" w:rsidRPr="00154B00" w:rsidRDefault="00014360" w:rsidP="00E357B9">
      <w:pPr>
        <w:ind w:left="426"/>
        <w:rPr>
          <w:szCs w:val="20"/>
        </w:rPr>
      </w:pPr>
      <w:r>
        <w:rPr>
          <w:szCs w:val="20"/>
        </w:rPr>
        <w:t>KN04</w:t>
      </w:r>
      <w:r w:rsidR="009C669A">
        <w:rPr>
          <w:szCs w:val="20"/>
        </w:rPr>
        <w:t>8</w:t>
      </w:r>
      <w:r>
        <w:rPr>
          <w:szCs w:val="20"/>
        </w:rPr>
        <w:t xml:space="preserve"> </w:t>
      </w:r>
      <w:r w:rsidR="00A41354">
        <w:rPr>
          <w:szCs w:val="20"/>
        </w:rPr>
        <w:t>utilized</w:t>
      </w:r>
      <w:r>
        <w:rPr>
          <w:szCs w:val="20"/>
        </w:rPr>
        <w:t xml:space="preserve"> PD-L1 testing on both archival and newly obtained biopsy samples. This information will be used to help inform the type of sample required for PD-L1 testing. MSD will present this information for MSAC’s consideration as part of a co-dependent technology submission. In addition, the application will seek to provide information on other relevant sample considerations as needed, such as biopsy location, type of tissue and the impact of prior exposure to treatment. </w:t>
      </w:r>
    </w:p>
    <w:p w14:paraId="5D4874B3"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FB1CDDF" w14:textId="77777777" w:rsidR="00791C8D" w:rsidRPr="00154B00" w:rsidRDefault="00014360" w:rsidP="00884E69">
      <w:pPr>
        <w:ind w:left="426"/>
        <w:rPr>
          <w:szCs w:val="20"/>
        </w:rPr>
      </w:pPr>
      <w:r w:rsidRPr="00014360">
        <w:lastRenderedPageBreak/>
        <w:t>IHC testing is a well-established technique in all major pathology labs. Laboratories already have the platform infrastructure and reagents to perform PD-L1 IHC testing.  The PD-L1 antibody is the only additional resource required.</w:t>
      </w:r>
    </w:p>
    <w:p w14:paraId="2333AB7F"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046E58E" w14:textId="77777777" w:rsidR="00857D9B" w:rsidRDefault="00857D9B" w:rsidP="00884E69">
      <w:pPr>
        <w:ind w:left="426"/>
      </w:pPr>
      <w:r>
        <w:t xml:space="preserve">A certified pathologist would be responsible for conducting the testing and reporting the results. </w:t>
      </w:r>
    </w:p>
    <w:p w14:paraId="0AE137D4" w14:textId="77777777" w:rsidR="00B17E26" w:rsidRPr="00154B00" w:rsidRDefault="00014360" w:rsidP="00884E69">
      <w:pPr>
        <w:ind w:left="426"/>
        <w:rPr>
          <w:szCs w:val="20"/>
        </w:rPr>
      </w:pPr>
      <w:r>
        <w:t xml:space="preserve">As mentioned, IHC is a well-established technique and a common procedure. It is proposed that PD-L1 testing be eligible to be carried out in any pathology laboratory holding the appropriate accreditation to claim pathology services through the MBS. </w:t>
      </w:r>
    </w:p>
    <w:p w14:paraId="7D277F2D"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6F46E645" w14:textId="77777777" w:rsidR="00B17E26" w:rsidRPr="00154B00" w:rsidRDefault="00857D9B" w:rsidP="00884E69">
      <w:pPr>
        <w:ind w:left="426"/>
        <w:rPr>
          <w:szCs w:val="20"/>
        </w:rPr>
      </w:pPr>
      <w:r>
        <w:t xml:space="preserve">It is not expected that other professionals other than certified pathologist would be able to conduct IHC testing for PD-L1 expression. </w:t>
      </w:r>
    </w:p>
    <w:p w14:paraId="0DFCC7C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587CCC5" w14:textId="77777777" w:rsidR="00EA0E25" w:rsidRPr="00154B00" w:rsidRDefault="00857D9B" w:rsidP="00BC424B">
      <w:pPr>
        <w:ind w:left="426"/>
        <w:rPr>
          <w:szCs w:val="20"/>
        </w:rPr>
      </w:pPr>
      <w:r>
        <w:t xml:space="preserve">A certified pathologist would be responsible for conducting the test and reporting the results. Specialists involved in the diagnosis and care of patients with HNSCC including oncologists may provide a referral for PD-L1 IHC testing. </w:t>
      </w:r>
    </w:p>
    <w:p w14:paraId="35C76800"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DED97F3" w14:textId="77777777" w:rsidR="00EA0E25" w:rsidRPr="00154B00" w:rsidRDefault="00857D9B" w:rsidP="0073597B">
      <w:pPr>
        <w:ind w:left="426"/>
        <w:rPr>
          <w:szCs w:val="20"/>
        </w:rPr>
      </w:pPr>
      <w:r>
        <w:t>It is expected that, consistent with the introduction of other IHC diagnostic tests for other targeted therapies, that pathologist training and quality assurance programs would be developed with respect to the delivery of diagnostic tests for PBS access to treatments targeting the PD-1 pathway</w:t>
      </w:r>
      <w:r w:rsidR="003979E8">
        <w:t xml:space="preserve"> in head and neck cancer</w:t>
      </w:r>
      <w:r>
        <w:t xml:space="preserve">. </w:t>
      </w:r>
      <w:r w:rsidR="0014178C">
        <w:t xml:space="preserve"> There is currently a pathologist training and quality assurance program underway for PD-L1 testing for NSCLC.</w:t>
      </w:r>
    </w:p>
    <w:p w14:paraId="5EEB17D9"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7BFEC01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Inpatient private hospital</w:t>
      </w:r>
    </w:p>
    <w:p w14:paraId="771D020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Inpatient public hospital</w:t>
      </w:r>
    </w:p>
    <w:p w14:paraId="2EE3E38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Outpatient clinic</w:t>
      </w:r>
    </w:p>
    <w:p w14:paraId="779C2D7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Emergency Department</w:t>
      </w:r>
    </w:p>
    <w:p w14:paraId="3D8951B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Consulting rooms</w:t>
      </w:r>
    </w:p>
    <w:p w14:paraId="58110D1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Day surgery centre</w:t>
      </w:r>
    </w:p>
    <w:p w14:paraId="212FC78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Residential aged care facility</w:t>
      </w:r>
    </w:p>
    <w:p w14:paraId="41066B4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Patient’s home</w:t>
      </w:r>
    </w:p>
    <w:p w14:paraId="2E4E1F1E" w14:textId="77777777" w:rsidR="000A478F" w:rsidRDefault="00857D9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0A478F">
        <w:rPr>
          <w:szCs w:val="20"/>
        </w:rPr>
        <w:t xml:space="preserve"> </w:t>
      </w:r>
      <w:r w:rsidR="000A478F">
        <w:t>Laboratory</w:t>
      </w:r>
    </w:p>
    <w:p w14:paraId="060C8EB4"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0229E">
        <w:rPr>
          <w:szCs w:val="20"/>
        </w:rPr>
      </w:r>
      <w:r w:rsidR="0020229E">
        <w:rPr>
          <w:szCs w:val="20"/>
        </w:rPr>
        <w:fldChar w:fldCharType="separate"/>
      </w:r>
      <w:r w:rsidRPr="000A5B32">
        <w:rPr>
          <w:szCs w:val="20"/>
        </w:rPr>
        <w:fldChar w:fldCharType="end"/>
      </w:r>
      <w:r>
        <w:rPr>
          <w:szCs w:val="20"/>
        </w:rPr>
        <w:t xml:space="preserve"> </w:t>
      </w:r>
      <w:r>
        <w:t>Other – please specify below</w:t>
      </w:r>
    </w:p>
    <w:p w14:paraId="2ACB49D6" w14:textId="77777777" w:rsidR="005F3F07" w:rsidRDefault="00857D9B" w:rsidP="0073597B">
      <w:pPr>
        <w:ind w:left="426"/>
        <w:rPr>
          <w:b/>
          <w:szCs w:val="20"/>
        </w:rPr>
      </w:pPr>
      <w:r w:rsidRPr="00857D9B">
        <w:t>It is expected that the majority of PD-L1 testing will be carried out in pathology laboratories associated with public hospitals.</w:t>
      </w:r>
    </w:p>
    <w:p w14:paraId="53DC644B"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9006B03" w14:textId="77777777" w:rsidR="0073597B" w:rsidRDefault="00857D9B" w:rsidP="0073597B">
      <w:pPr>
        <w:ind w:left="426"/>
        <w:rPr>
          <w:b/>
          <w:szCs w:val="20"/>
        </w:rPr>
      </w:pPr>
      <w:r>
        <w:t>N/A</w:t>
      </w:r>
    </w:p>
    <w:p w14:paraId="30161CCB" w14:textId="77777777" w:rsidR="003E30FB" w:rsidRDefault="003E30FB" w:rsidP="00530204">
      <w:pPr>
        <w:pStyle w:val="Heading2"/>
      </w:pPr>
      <w:r>
        <w:t xml:space="preserve">Is the </w:t>
      </w:r>
      <w:r w:rsidRPr="001B29A1">
        <w:t>proposed</w:t>
      </w:r>
      <w:r>
        <w:t xml:space="preserve"> medical service intended to be entirely rendered in Australia?</w:t>
      </w:r>
    </w:p>
    <w:p w14:paraId="5B5B7541" w14:textId="77777777" w:rsidR="000A478F" w:rsidRDefault="00857D9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0A478F">
        <w:rPr>
          <w:szCs w:val="20"/>
        </w:rPr>
        <w:t xml:space="preserve"> Yes</w:t>
      </w:r>
    </w:p>
    <w:p w14:paraId="5EAE32D3"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BE0BE4A"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57F0FD77" w14:textId="77777777" w:rsidR="000A478F" w:rsidRDefault="000A478F" w:rsidP="00881F93">
      <w:pPr>
        <w:rPr>
          <w:b/>
          <w:i/>
          <w:szCs w:val="20"/>
          <w:u w:val="single"/>
        </w:rPr>
      </w:pPr>
      <w:r>
        <w:rPr>
          <w:b/>
          <w:i/>
          <w:szCs w:val="20"/>
          <w:u w:val="single"/>
        </w:rPr>
        <w:br w:type="page"/>
      </w:r>
    </w:p>
    <w:p w14:paraId="53389D3D"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DF5134A"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DF1C775" w14:textId="77777777" w:rsidR="001C497A" w:rsidRPr="00154B00" w:rsidRDefault="001C497A" w:rsidP="00A63F28">
      <w:pPr>
        <w:ind w:left="426"/>
        <w:rPr>
          <w:szCs w:val="20"/>
        </w:rPr>
      </w:pPr>
      <w:r>
        <w:t>The comparator is no PD-L1 testing and current standard of care. As described previously</w:t>
      </w:r>
      <w:r w:rsidR="00A63F28">
        <w:t xml:space="preserve">, patients with R/M HNSCC receive one of many cytotoxic regimens. The choice of regimen depends on patient </w:t>
      </w:r>
      <w:r w:rsidR="00681DE7">
        <w:t>characteristics</w:t>
      </w:r>
      <w:r w:rsidR="00A63F28">
        <w:t xml:space="preserve"> and clinician’s choice. </w:t>
      </w:r>
    </w:p>
    <w:p w14:paraId="3F7DE1F1"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B51BFED"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Yes (please provide all relevant MBS item numbers below)</w:t>
      </w:r>
    </w:p>
    <w:p w14:paraId="6A3CDE15" w14:textId="77777777" w:rsidR="000159B9" w:rsidRDefault="00A63F28"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6A1038">
        <w:rPr>
          <w:szCs w:val="20"/>
        </w:rPr>
        <w:t xml:space="preserve"> No  </w:t>
      </w:r>
    </w:p>
    <w:p w14:paraId="3C20B68D" w14:textId="77777777" w:rsidR="000159B9" w:rsidRPr="00154B00" w:rsidRDefault="001B29A1" w:rsidP="001B29A1">
      <w:pPr>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14:paraId="4E0820C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28DE5F2A" w14:textId="77777777" w:rsidR="003433D1" w:rsidRDefault="00A63F28" w:rsidP="001B29A1">
      <w:pPr>
        <w:ind w:left="426"/>
        <w:rPr>
          <w:b/>
          <w:szCs w:val="20"/>
        </w:rPr>
      </w:pPr>
      <w:r>
        <w:t xml:space="preserve">Patients diagnosed with R/M HNSCC are treated </w:t>
      </w:r>
      <w:r w:rsidR="00EE0BF5">
        <w:t xml:space="preserve">with </w:t>
      </w:r>
      <w:r>
        <w:t xml:space="preserve">one of various cytotoxic regimens, </w:t>
      </w:r>
      <w:r w:rsidR="00681DE7">
        <w:t xml:space="preserve">including the EXTREME regimen (cisplatin plus cetuximab plus 5-FU) or combination regimens of platinum plus </w:t>
      </w:r>
      <w:proofErr w:type="spellStart"/>
      <w:r w:rsidR="00681DE7">
        <w:t>taxane</w:t>
      </w:r>
      <w:proofErr w:type="spellEnd"/>
      <w:r w:rsidR="00681DE7">
        <w:t xml:space="preserve">, cisplatin plus </w:t>
      </w:r>
      <w:proofErr w:type="spellStart"/>
      <w:r w:rsidR="00681DE7">
        <w:t>cetuximab</w:t>
      </w:r>
      <w:proofErr w:type="spellEnd"/>
      <w:r w:rsidR="00681DE7">
        <w:t xml:space="preserve"> and cisplatin plus 5-fluorouracil, or these agents as monotherapies. </w:t>
      </w:r>
      <w:r w:rsidR="009E5289">
        <w:t>Since cetuximab is not reimbursed for this indication/line of therapy in Australia, it is seldom used.  Patient factors such as age, tolerance of platinum based therapies and ECOG status play a role in determining the exact treatment provided.</w:t>
      </w:r>
    </w:p>
    <w:p w14:paraId="75F5A52C"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BCE7DCC" w14:textId="77777777" w:rsidR="001B29A1" w:rsidRDefault="009E528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1B29A1">
        <w:rPr>
          <w:szCs w:val="20"/>
        </w:rPr>
        <w:t xml:space="preserve"> Yes </w:t>
      </w:r>
    </w:p>
    <w:p w14:paraId="6BBCDBD7"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0229E">
        <w:rPr>
          <w:szCs w:val="20"/>
        </w:rPr>
      </w:r>
      <w:r w:rsidR="0020229E">
        <w:rPr>
          <w:szCs w:val="20"/>
        </w:rPr>
        <w:fldChar w:fldCharType="separate"/>
      </w:r>
      <w:r w:rsidRPr="00753C44">
        <w:rPr>
          <w:szCs w:val="20"/>
        </w:rPr>
        <w:fldChar w:fldCharType="end"/>
      </w:r>
      <w:r>
        <w:rPr>
          <w:szCs w:val="20"/>
        </w:rPr>
        <w:t xml:space="preserve"> No  </w:t>
      </w:r>
    </w:p>
    <w:p w14:paraId="474AB420"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17ED148E" w14:textId="77777777" w:rsidR="003433D1" w:rsidRPr="001B29A1" w:rsidRDefault="00681DE7" w:rsidP="001B29A1">
      <w:pPr>
        <w:ind w:left="426"/>
        <w:rPr>
          <w:szCs w:val="20"/>
        </w:rPr>
      </w:pPr>
      <w:r>
        <w:t>There are currently no PD-L1 tests available in Australia.</w:t>
      </w:r>
      <w:r w:rsidR="009E5289">
        <w:t xml:space="preserve">  Therefore all patients with R/M HNSCC would require the PD-L1 test to be performed prior to accessing pembrolizumab.</w:t>
      </w:r>
    </w:p>
    <w:p w14:paraId="7D3A58C2"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26C0E20" w14:textId="7C517456" w:rsidR="003D47AC" w:rsidRDefault="003D47AC" w:rsidP="00D10B47">
      <w:pPr>
        <w:pStyle w:val="ListParagraph"/>
        <w:ind w:left="360"/>
      </w:pPr>
      <w:r w:rsidRPr="003D47AC">
        <w:t>There is currently no PD-L1 testing done in order to determine PD-L1 status</w:t>
      </w:r>
      <w:r>
        <w:t xml:space="preserve">.  Patients with R/M HNSCC are </w:t>
      </w:r>
      <w:r w:rsidRPr="003D47AC">
        <w:t>currently</w:t>
      </w:r>
      <w:r>
        <w:t xml:space="preserve"> treated with cisplatin</w:t>
      </w:r>
      <w:r w:rsidR="009E5289">
        <w:t xml:space="preserve"> or carboplatin together with 5-FU or a </w:t>
      </w:r>
      <w:proofErr w:type="spellStart"/>
      <w:r w:rsidR="009E5289">
        <w:t>taxane</w:t>
      </w:r>
      <w:proofErr w:type="spellEnd"/>
      <w:r>
        <w:t>, depending on patient factors and clinician choice</w:t>
      </w:r>
      <w:r w:rsidR="009E5289">
        <w:t>.</w:t>
      </w:r>
      <w:r w:rsidR="00DC0B77">
        <w:t xml:space="preserve"> </w:t>
      </w:r>
    </w:p>
    <w:p w14:paraId="4666C102" w14:textId="77777777" w:rsidR="003D47AC" w:rsidRDefault="003D47AC" w:rsidP="00D10B47">
      <w:pPr>
        <w:pStyle w:val="ListParagraph"/>
        <w:ind w:left="360"/>
      </w:pPr>
    </w:p>
    <w:p w14:paraId="6F074C54" w14:textId="15BE32F1" w:rsidR="0054594B" w:rsidRPr="003D47AC" w:rsidRDefault="009E5289" w:rsidP="00D10B47">
      <w:pPr>
        <w:pStyle w:val="ListParagraph"/>
        <w:ind w:left="360"/>
        <w:rPr>
          <w:b/>
          <w:szCs w:val="20"/>
        </w:rPr>
      </w:pPr>
      <w:r>
        <w:t xml:space="preserve">Through the introduction of the proposed PD-L1 test, patients who are deemed to </w:t>
      </w:r>
      <w:r w:rsidR="0014178C">
        <w:t>be PD-L1 positive will</w:t>
      </w:r>
      <w:r w:rsidR="003D47AC">
        <w:t xml:space="preserve"> be able to access pembrolizumab monotherapy.</w:t>
      </w:r>
      <w:r w:rsidR="00DC0B77">
        <w:t xml:space="preserve">  </w:t>
      </w:r>
      <w:r w:rsidR="003D47AC">
        <w:t xml:space="preserve"> Also, dependant on the outcomes of the KN048 study, this may also need to be applied to the combination of pembrolizumab and cisplatin and 5-FU.</w:t>
      </w:r>
    </w:p>
    <w:p w14:paraId="06083438" w14:textId="77777777" w:rsidR="002053F2" w:rsidRPr="00154B00" w:rsidRDefault="002053F2" w:rsidP="00D10B47">
      <w:pPr>
        <w:pStyle w:val="ListParagraph"/>
        <w:ind w:left="360"/>
        <w:rPr>
          <w:b/>
          <w:szCs w:val="20"/>
        </w:rPr>
      </w:pPr>
    </w:p>
    <w:p w14:paraId="03C80C02" w14:textId="77777777" w:rsidR="001B29A1" w:rsidRDefault="001B29A1" w:rsidP="00881F93">
      <w:pPr>
        <w:rPr>
          <w:b/>
          <w:i/>
          <w:szCs w:val="20"/>
          <w:u w:val="single"/>
        </w:rPr>
      </w:pPr>
      <w:r>
        <w:rPr>
          <w:b/>
          <w:i/>
          <w:szCs w:val="20"/>
          <w:u w:val="single"/>
        </w:rPr>
        <w:br w:type="page"/>
      </w:r>
    </w:p>
    <w:p w14:paraId="2C815D07"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79DAA723"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44AE280" w14:textId="77777777" w:rsidR="004E3CC7" w:rsidRDefault="00681DE7" w:rsidP="001B29A1">
      <w:pPr>
        <w:ind w:left="426"/>
      </w:pPr>
      <w:r>
        <w:t>It is proposed that PD-L1 testing followed by treatment with pembrolizumab is superior to no testing and current standard of care for patients with R/M HNSCC who are PD-L1 positive. The clinical claim is justified by:</w:t>
      </w:r>
    </w:p>
    <w:p w14:paraId="57E01AD8" w14:textId="77777777" w:rsidR="00681DE7" w:rsidRDefault="00681DE7" w:rsidP="00681DE7">
      <w:pPr>
        <w:pStyle w:val="ListParagraph"/>
        <w:numPr>
          <w:ilvl w:val="0"/>
          <w:numId w:val="37"/>
        </w:numPr>
        <w:rPr>
          <w:szCs w:val="20"/>
        </w:rPr>
      </w:pPr>
      <w:r>
        <w:rPr>
          <w:szCs w:val="20"/>
        </w:rPr>
        <w:t>Acceptable safety and analytical performance of PD-L1 test (as assessed by MSAC);</w:t>
      </w:r>
    </w:p>
    <w:p w14:paraId="4B72C236" w14:textId="77777777" w:rsidR="00681DE7" w:rsidRDefault="00814EEA" w:rsidP="00681DE7">
      <w:pPr>
        <w:pStyle w:val="ListParagraph"/>
        <w:numPr>
          <w:ilvl w:val="0"/>
          <w:numId w:val="37"/>
        </w:numPr>
        <w:rPr>
          <w:szCs w:val="20"/>
        </w:rPr>
      </w:pPr>
      <w:r>
        <w:rPr>
          <w:szCs w:val="20"/>
        </w:rPr>
        <w:t>S</w:t>
      </w:r>
      <w:r w:rsidR="00681DE7">
        <w:rPr>
          <w:szCs w:val="20"/>
        </w:rPr>
        <w:t xml:space="preserve">uperior efficacy with acceptable safety of pembrolizumab in PD-L1 positive patients relative to standard of care (without IHC testing) (as assessed by PBAC). </w:t>
      </w:r>
    </w:p>
    <w:p w14:paraId="0C91611F" w14:textId="77777777" w:rsidR="00814EEA" w:rsidRPr="00681DE7" w:rsidRDefault="00814EEA" w:rsidP="00681DE7">
      <w:pPr>
        <w:pStyle w:val="ListParagraph"/>
        <w:numPr>
          <w:ilvl w:val="0"/>
          <w:numId w:val="37"/>
        </w:numPr>
        <w:rPr>
          <w:szCs w:val="20"/>
        </w:rPr>
      </w:pPr>
      <w:r>
        <w:t>Clinical utility of the test + drug combination (To be assessed by MSAC/PBAC).</w:t>
      </w:r>
    </w:p>
    <w:p w14:paraId="40478B06"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3AD37D4" w14:textId="77777777" w:rsidR="001B29A1" w:rsidRPr="001B29A1" w:rsidRDefault="00681DE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74380E7"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0229E">
        <w:rPr>
          <w:szCs w:val="20"/>
        </w:rPr>
      </w:r>
      <w:r w:rsidR="0020229E">
        <w:rPr>
          <w:szCs w:val="20"/>
        </w:rPr>
        <w:fldChar w:fldCharType="separate"/>
      </w:r>
      <w:r w:rsidRPr="001B29A1">
        <w:rPr>
          <w:szCs w:val="20"/>
        </w:rPr>
        <w:fldChar w:fldCharType="end"/>
      </w:r>
      <w:r w:rsidRPr="001B29A1">
        <w:rPr>
          <w:szCs w:val="20"/>
        </w:rPr>
        <w:t xml:space="preserve"> Non-inferiority</w:t>
      </w:r>
      <w:r w:rsidRPr="001B29A1">
        <w:rPr>
          <w:szCs w:val="20"/>
        </w:rPr>
        <w:tab/>
      </w:r>
    </w:p>
    <w:p w14:paraId="73B5034B"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024C4B50" w14:textId="77777777" w:rsidR="00AC0C5A" w:rsidRPr="00AC0C5A"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r w:rsidR="00AC0C5A">
        <w:t>The key safety outcomes include: psychological and physical harms from testing; any adverse events related to a change in treatment including tolerability or toxicity (particularly immune related adverse events).</w:t>
      </w:r>
    </w:p>
    <w:p w14:paraId="43F1E14D"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315D2B61" w14:textId="7777777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AC0C5A">
        <w:t xml:space="preserve">The key efficacy outcomes include: overall survival; progression free survival; quality of life; response rate (according to RECIST and immune-related RECIST criteria); duration of response. </w:t>
      </w:r>
    </w:p>
    <w:p w14:paraId="5E560200"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2497AB1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98A88AF"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02AA95CB" w14:textId="77777777" w:rsidR="00630B80" w:rsidRPr="00154B00" w:rsidRDefault="004B7A95" w:rsidP="00AE1188">
      <w:pPr>
        <w:ind w:left="426"/>
        <w:rPr>
          <w:szCs w:val="20"/>
        </w:rPr>
      </w:pPr>
      <w:r>
        <w:t>It is estimated that there will be 4,95</w:t>
      </w:r>
      <w:r w:rsidR="00630B80">
        <w:t xml:space="preserve">5 (3,625 male) </w:t>
      </w:r>
      <w:r>
        <w:t>new cases of head and neck cancer in 2017</w:t>
      </w:r>
      <w:r w:rsidR="00630B80">
        <w:t xml:space="preserve"> (AIHW Cancer in Australia Report, 2017)</w:t>
      </w:r>
      <w:r>
        <w:t xml:space="preserve">. </w:t>
      </w:r>
      <w:r w:rsidR="00630B80">
        <w:t xml:space="preserve">  The </w:t>
      </w:r>
      <w:r w:rsidR="00B73BF9">
        <w:t xml:space="preserve">one year survival rate for laryngeal cancer is about 85%, and </w:t>
      </w:r>
      <w:r w:rsidR="003C6864">
        <w:t xml:space="preserve">for </w:t>
      </w:r>
      <w:r w:rsidR="00B73BF9">
        <w:t xml:space="preserve">mouth cancer </w:t>
      </w:r>
      <w:r w:rsidR="003C6864">
        <w:t xml:space="preserve">it is about 83%. </w:t>
      </w:r>
      <w:r w:rsidR="00B73BF9">
        <w:t xml:space="preserve">  </w:t>
      </w:r>
      <w:r w:rsidR="003C6864">
        <w:t>Using these survival rates as a proxy for all R/M HNSCC, approximately</w:t>
      </w:r>
      <w:r w:rsidR="00B73BF9">
        <w:t xml:space="preserve"> 600 patients per year would be diag</w:t>
      </w:r>
      <w:r w:rsidR="003C6864">
        <w:t>nosed.  A more accurate estimate will be provided in the co-dependent submission.</w:t>
      </w:r>
    </w:p>
    <w:p w14:paraId="654135A8"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11B44E9F" w14:textId="77777777" w:rsidR="00382407" w:rsidRPr="00154B00" w:rsidRDefault="004B7A95" w:rsidP="00AE1188">
      <w:pPr>
        <w:ind w:left="426"/>
        <w:rPr>
          <w:szCs w:val="20"/>
        </w:rPr>
      </w:pPr>
      <w:r>
        <w:t xml:space="preserve">As discussed previously, there is no known role for testing PD-L1 expression to monitor response to pembrolizumab treatment. As such, PD-L1 testing will be performed once only to determine patient eligibility to receive treatment with pembrolizumab. </w:t>
      </w:r>
    </w:p>
    <w:p w14:paraId="4D38D30C"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805506C" w14:textId="77777777" w:rsidR="00382407" w:rsidRPr="00154B00" w:rsidRDefault="004B7A95" w:rsidP="00AE1188">
      <w:pPr>
        <w:ind w:left="426"/>
        <w:rPr>
          <w:b/>
          <w:szCs w:val="20"/>
        </w:rPr>
      </w:pPr>
      <w:r>
        <w:t xml:space="preserve">It is proposed that the PD-L1 test will be required once only per patient. </w:t>
      </w:r>
    </w:p>
    <w:p w14:paraId="1EEB09A4"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9DD9A37" w14:textId="77777777" w:rsidR="00AE1188" w:rsidRPr="00154B00" w:rsidRDefault="003C6864" w:rsidP="00AE1188">
      <w:pPr>
        <w:ind w:left="426"/>
        <w:rPr>
          <w:szCs w:val="20"/>
        </w:rPr>
      </w:pPr>
      <w:r>
        <w:t>As per Q 47 above, approximately 600 patients would utilise the PD-L1 test in the first year.</w:t>
      </w:r>
    </w:p>
    <w:p w14:paraId="05720E52"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39C0735" w14:textId="77777777" w:rsidR="001B171D" w:rsidRPr="00154B00" w:rsidRDefault="004B7A95" w:rsidP="00AE1188">
      <w:pPr>
        <w:ind w:left="426"/>
        <w:rPr>
          <w:szCs w:val="20"/>
        </w:rPr>
      </w:pPr>
      <w:r>
        <w:t xml:space="preserve">The clinical claim is that PD-L1 testing and treatment with </w:t>
      </w:r>
      <w:r w:rsidR="003D47AC">
        <w:t>pembrolizumab is</w:t>
      </w:r>
      <w:r>
        <w:t xml:space="preserve"> superior to current standard of care. Thus, pembrolizumab could replace current standard of care in PD-L1 positive R/M HNSCC patients. It is estimated that the uptake of PD-L1 testing would be 100% for all patients diagnosed with R/M HNSCC.</w:t>
      </w:r>
      <w:r w:rsidR="0040193E">
        <w:t xml:space="preserve"> The risk of leakage for PD-L1 testing is negligible as testing would be restricted to those patients who are potentially eligible for pembrolizumab as requested. </w:t>
      </w:r>
    </w:p>
    <w:p w14:paraId="13CD1E33" w14:textId="77777777" w:rsidR="003433D1" w:rsidRDefault="003433D1">
      <w:pPr>
        <w:rPr>
          <w:b/>
          <w:sz w:val="32"/>
          <w:szCs w:val="32"/>
        </w:rPr>
      </w:pPr>
      <w:r>
        <w:rPr>
          <w:b/>
          <w:sz w:val="32"/>
          <w:szCs w:val="32"/>
        </w:rPr>
        <w:br w:type="page"/>
      </w:r>
    </w:p>
    <w:p w14:paraId="3F0C48DE"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55544B48"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DD8F2CF" w14:textId="04FDF981" w:rsidR="00951933" w:rsidRPr="00154B00" w:rsidRDefault="0039122C" w:rsidP="00AE1188">
      <w:pPr>
        <w:ind w:left="426"/>
        <w:rPr>
          <w:szCs w:val="20"/>
        </w:rPr>
      </w:pPr>
      <w:r w:rsidRPr="00A9154F">
        <w:rPr>
          <w:szCs w:val="20"/>
        </w:rPr>
        <w:t>The expected fee for the proposed service is consistent with other immunohistochemical tests</w:t>
      </w:r>
      <w:r w:rsidR="00814EEA">
        <w:rPr>
          <w:szCs w:val="20"/>
        </w:rPr>
        <w:t xml:space="preserve"> reimbursed by the MBS</w:t>
      </w:r>
      <w:r w:rsidRPr="00A9154F">
        <w:rPr>
          <w:szCs w:val="20"/>
        </w:rPr>
        <w:t>.</w:t>
      </w:r>
      <w:r w:rsidR="00DC0B77">
        <w:rPr>
          <w:szCs w:val="20"/>
        </w:rPr>
        <w:t xml:space="preserve">  </w:t>
      </w:r>
    </w:p>
    <w:p w14:paraId="26E7A70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FFF5105" w14:textId="77777777" w:rsidR="00951933" w:rsidRDefault="0040193E" w:rsidP="00AE1188">
      <w:pPr>
        <w:ind w:left="426"/>
        <w:rPr>
          <w:b/>
          <w:szCs w:val="20"/>
        </w:rPr>
      </w:pPr>
      <w:r>
        <w:t xml:space="preserve">The IHC test for PD-L1 expression can take between 2.5-4 hours depending on instrumentation and protocol used. </w:t>
      </w:r>
    </w:p>
    <w:p w14:paraId="20D3FD5E"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FABBCBC"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40193E">
        <w:t>6</w:t>
      </w:r>
      <w:r w:rsidRPr="00AE1188">
        <w:rPr>
          <w:szCs w:val="20"/>
        </w:rPr>
        <w:t xml:space="preserve"> – </w:t>
      </w:r>
      <w:r w:rsidR="0040193E">
        <w:t>Pathology Services</w:t>
      </w:r>
      <w:r w:rsidRPr="00AE1188">
        <w:rPr>
          <w:szCs w:val="20"/>
        </w:rPr>
        <w:t xml:space="preserve"> </w:t>
      </w:r>
    </w:p>
    <w:p w14:paraId="7A748456"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6305C3D0" w14:textId="77777777" w:rsidR="00AE1188" w:rsidRPr="00AE1188" w:rsidRDefault="00AE1188" w:rsidP="0040193E">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rsidR="0040193E">
        <w:t xml:space="preserve">Immunohistochemical examination of biopsy material by immunoperoxidase or other labelled antibody techniques using the PD-L1 antibody to determine if the requirements relating to programmed cell death ligand 1 (PD-L1) status for access pembrolizumab under the Pharmaceutical Benefits Scheme (PBS) are fulfilled. </w:t>
      </w:r>
    </w:p>
    <w:p w14:paraId="6F35E40B"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39122C">
        <w:rPr>
          <w:szCs w:val="20"/>
        </w:rPr>
        <w:t xml:space="preserve"> (</w:t>
      </w:r>
      <w:r w:rsidR="0039122C">
        <w:t>to be determined)</w:t>
      </w:r>
    </w:p>
    <w:p w14:paraId="017A5FE7" w14:textId="77777777" w:rsidR="00AE1188" w:rsidRDefault="00AE1188" w:rsidP="004A0BF4">
      <w:pPr>
        <w:pStyle w:val="Heading2"/>
        <w:numPr>
          <w:ilvl w:val="0"/>
          <w:numId w:val="0"/>
        </w:numPr>
        <w:ind w:left="360"/>
      </w:pPr>
      <w:r>
        <w:br w:type="page"/>
      </w:r>
    </w:p>
    <w:p w14:paraId="4EBDD598" w14:textId="77777777" w:rsidR="00E058F2" w:rsidRPr="00C776B1" w:rsidRDefault="001B5169" w:rsidP="00AE1188">
      <w:pPr>
        <w:pStyle w:val="Heading1"/>
      </w:pPr>
      <w:r>
        <w:lastRenderedPageBreak/>
        <w:t>PART 9</w:t>
      </w:r>
      <w:r w:rsidR="00F93784">
        <w:t xml:space="preserve"> – </w:t>
      </w:r>
      <w:r w:rsidR="00E058F2" w:rsidRPr="00C776B1">
        <w:t>FEEDBACK</w:t>
      </w:r>
    </w:p>
    <w:p w14:paraId="63B7F64B"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23708AE4" w14:textId="77777777" w:rsidR="00E058F2" w:rsidRPr="00AE1188" w:rsidRDefault="00E058F2" w:rsidP="001B5169">
      <w:pPr>
        <w:pStyle w:val="Heading2"/>
      </w:pPr>
      <w:r w:rsidRPr="00AE1188">
        <w:t>How long did it take to complete the Application Form?</w:t>
      </w:r>
    </w:p>
    <w:p w14:paraId="2F8D1908" w14:textId="77777777" w:rsidR="00E058F2" w:rsidRPr="00154B00" w:rsidRDefault="003D47AC" w:rsidP="00603D04">
      <w:pPr>
        <w:ind w:left="426"/>
        <w:rPr>
          <w:szCs w:val="20"/>
        </w:rPr>
      </w:pPr>
      <w:r>
        <w:t xml:space="preserve">Approximately 2 weeks to obtain the necessary </w:t>
      </w:r>
      <w:r w:rsidR="00D54979">
        <w:t>information</w:t>
      </w:r>
      <w:r w:rsidR="009716E6">
        <w:t xml:space="preserve"> and </w:t>
      </w:r>
      <w:r>
        <w:t xml:space="preserve">to write up.  </w:t>
      </w:r>
    </w:p>
    <w:p w14:paraId="53061754"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2BB9E009" w14:textId="77777777" w:rsidR="00603D04" w:rsidRPr="001B29A1" w:rsidRDefault="003D47AC"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14D4900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0229E">
        <w:rPr>
          <w:szCs w:val="20"/>
        </w:rPr>
      </w:r>
      <w:r w:rsidR="0020229E">
        <w:rPr>
          <w:szCs w:val="20"/>
        </w:rPr>
        <w:fldChar w:fldCharType="separate"/>
      </w:r>
      <w:r w:rsidRPr="001B29A1">
        <w:rPr>
          <w:szCs w:val="20"/>
        </w:rPr>
        <w:fldChar w:fldCharType="end"/>
      </w:r>
      <w:r w:rsidRPr="001B29A1">
        <w:rPr>
          <w:szCs w:val="20"/>
        </w:rPr>
        <w:t xml:space="preserve"> </w:t>
      </w:r>
      <w:r>
        <w:rPr>
          <w:szCs w:val="20"/>
        </w:rPr>
        <w:t>No</w:t>
      </w:r>
    </w:p>
    <w:p w14:paraId="39A69026" w14:textId="77777777" w:rsidR="003D6DE1" w:rsidRPr="00154B00" w:rsidRDefault="00603D04" w:rsidP="001B5169">
      <w:pPr>
        <w:pStyle w:val="Heading2"/>
        <w:numPr>
          <w:ilvl w:val="0"/>
          <w:numId w:val="31"/>
        </w:numPr>
      </w:pPr>
      <w:r>
        <w:t>If no, provide areas of concern:</w:t>
      </w:r>
    </w:p>
    <w:p w14:paraId="45F4C457"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5A1D22D5"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2ACE2E6E" w14:textId="77777777" w:rsidR="00603D04" w:rsidRPr="001B29A1" w:rsidRDefault="003D47AC"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42D7FEC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0229E">
        <w:rPr>
          <w:szCs w:val="20"/>
        </w:rPr>
      </w:r>
      <w:r w:rsidR="0020229E">
        <w:rPr>
          <w:szCs w:val="20"/>
        </w:rPr>
        <w:fldChar w:fldCharType="separate"/>
      </w:r>
      <w:r w:rsidRPr="001B29A1">
        <w:rPr>
          <w:szCs w:val="20"/>
        </w:rPr>
        <w:fldChar w:fldCharType="end"/>
      </w:r>
      <w:r w:rsidRPr="001B29A1">
        <w:rPr>
          <w:szCs w:val="20"/>
        </w:rPr>
        <w:t xml:space="preserve"> </w:t>
      </w:r>
      <w:r>
        <w:rPr>
          <w:szCs w:val="20"/>
        </w:rPr>
        <w:t>No</w:t>
      </w:r>
    </w:p>
    <w:p w14:paraId="73555FA5" w14:textId="77777777" w:rsidR="003D6DE1" w:rsidRPr="00154B00" w:rsidRDefault="003D6DE1" w:rsidP="001B5169">
      <w:pPr>
        <w:pStyle w:val="Heading2"/>
        <w:numPr>
          <w:ilvl w:val="0"/>
          <w:numId w:val="32"/>
        </w:numPr>
      </w:pPr>
      <w:r>
        <w:t>If no, what areas did you find not to be useful?</w:t>
      </w:r>
    </w:p>
    <w:p w14:paraId="2D4330DB"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5B61B67"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645E9B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0229E">
        <w:rPr>
          <w:szCs w:val="20"/>
        </w:rPr>
      </w:r>
      <w:r w:rsidR="0020229E">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33245DF6" w14:textId="77777777" w:rsidR="00603D04" w:rsidRPr="001B29A1" w:rsidRDefault="003D47AC"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229E">
        <w:rPr>
          <w:szCs w:val="20"/>
        </w:rPr>
      </w:r>
      <w:r w:rsidR="0020229E">
        <w:rPr>
          <w:szCs w:val="20"/>
        </w:rPr>
        <w:fldChar w:fldCharType="separate"/>
      </w:r>
      <w:r>
        <w:rPr>
          <w:szCs w:val="20"/>
        </w:rPr>
        <w:fldChar w:fldCharType="end"/>
      </w:r>
      <w:r w:rsidR="00603D04" w:rsidRPr="001B29A1">
        <w:rPr>
          <w:szCs w:val="20"/>
        </w:rPr>
        <w:t xml:space="preserve"> </w:t>
      </w:r>
      <w:r w:rsidR="00603D04">
        <w:rPr>
          <w:szCs w:val="20"/>
        </w:rPr>
        <w:t>No</w:t>
      </w:r>
    </w:p>
    <w:p w14:paraId="15357498"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3EC6B6F9"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951AE" w14:textId="77777777" w:rsidR="009A5368" w:rsidRDefault="009A5368" w:rsidP="00CF2DFA">
      <w:pPr>
        <w:spacing w:after="0"/>
      </w:pPr>
      <w:r>
        <w:separator/>
      </w:r>
    </w:p>
  </w:endnote>
  <w:endnote w:type="continuationSeparator" w:id="0">
    <w:p w14:paraId="50419A90" w14:textId="77777777" w:rsidR="009A5368" w:rsidRDefault="009A536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23BC3E0" w14:textId="77777777" w:rsidR="00C01C07" w:rsidRDefault="00C01C0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0229E" w:rsidRPr="0020229E">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9D626A4" w14:textId="77777777" w:rsidR="00C01C07" w:rsidRPr="003F7CB9" w:rsidRDefault="00C01C0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3C1F8" w14:textId="77777777" w:rsidR="009A5368" w:rsidRDefault="009A5368" w:rsidP="00CF2DFA">
      <w:pPr>
        <w:spacing w:after="0"/>
      </w:pPr>
      <w:r>
        <w:separator/>
      </w:r>
    </w:p>
  </w:footnote>
  <w:footnote w:type="continuationSeparator" w:id="0">
    <w:p w14:paraId="452A3B71" w14:textId="77777777" w:rsidR="009A5368" w:rsidRDefault="009A5368"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9DE2090"/>
    <w:multiLevelType w:val="hybridMultilevel"/>
    <w:tmpl w:val="EB8C1118"/>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7"/>
  </w:num>
  <w:num w:numId="33">
    <w:abstractNumId w:val="15"/>
  </w:num>
  <w:num w:numId="34">
    <w:abstractNumId w:val="5"/>
  </w:num>
  <w:num w:numId="35">
    <w:abstractNumId w:val="11"/>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5D1B"/>
    <w:rsid w:val="000110DC"/>
    <w:rsid w:val="00014360"/>
    <w:rsid w:val="000158AA"/>
    <w:rsid w:val="000159B9"/>
    <w:rsid w:val="00016B6E"/>
    <w:rsid w:val="00023E21"/>
    <w:rsid w:val="00025ABC"/>
    <w:rsid w:val="00026412"/>
    <w:rsid w:val="00031F6F"/>
    <w:rsid w:val="00034D6E"/>
    <w:rsid w:val="0005089D"/>
    <w:rsid w:val="0005090A"/>
    <w:rsid w:val="000525BC"/>
    <w:rsid w:val="00073222"/>
    <w:rsid w:val="000770BA"/>
    <w:rsid w:val="00092580"/>
    <w:rsid w:val="000955E7"/>
    <w:rsid w:val="000A110D"/>
    <w:rsid w:val="000A478F"/>
    <w:rsid w:val="000A5B32"/>
    <w:rsid w:val="000B3CD0"/>
    <w:rsid w:val="000C1FC4"/>
    <w:rsid w:val="000D066E"/>
    <w:rsid w:val="000D0831"/>
    <w:rsid w:val="000E47E7"/>
    <w:rsid w:val="000E5439"/>
    <w:rsid w:val="000F41D6"/>
    <w:rsid w:val="000F4604"/>
    <w:rsid w:val="00102686"/>
    <w:rsid w:val="0011036E"/>
    <w:rsid w:val="00112641"/>
    <w:rsid w:val="001130B0"/>
    <w:rsid w:val="0011369B"/>
    <w:rsid w:val="0011742E"/>
    <w:rsid w:val="00123D10"/>
    <w:rsid w:val="00124B00"/>
    <w:rsid w:val="00126B33"/>
    <w:rsid w:val="0014178C"/>
    <w:rsid w:val="001507D0"/>
    <w:rsid w:val="00154B00"/>
    <w:rsid w:val="001644E9"/>
    <w:rsid w:val="00170B61"/>
    <w:rsid w:val="00175E41"/>
    <w:rsid w:val="001845D9"/>
    <w:rsid w:val="0018630F"/>
    <w:rsid w:val="001906CD"/>
    <w:rsid w:val="00190E29"/>
    <w:rsid w:val="00191B99"/>
    <w:rsid w:val="00197D29"/>
    <w:rsid w:val="001A02E3"/>
    <w:rsid w:val="001A1ADF"/>
    <w:rsid w:val="001A365C"/>
    <w:rsid w:val="001B171D"/>
    <w:rsid w:val="001B29A1"/>
    <w:rsid w:val="001B5169"/>
    <w:rsid w:val="001B6164"/>
    <w:rsid w:val="001C497A"/>
    <w:rsid w:val="001D77ED"/>
    <w:rsid w:val="001E1180"/>
    <w:rsid w:val="001E23EA"/>
    <w:rsid w:val="001E4B8A"/>
    <w:rsid w:val="001E6919"/>
    <w:rsid w:val="001E6958"/>
    <w:rsid w:val="001F7480"/>
    <w:rsid w:val="00201924"/>
    <w:rsid w:val="0020229E"/>
    <w:rsid w:val="00202473"/>
    <w:rsid w:val="002053F2"/>
    <w:rsid w:val="00206D63"/>
    <w:rsid w:val="0021185D"/>
    <w:rsid w:val="00226777"/>
    <w:rsid w:val="00235BD1"/>
    <w:rsid w:val="00242B0E"/>
    <w:rsid w:val="00243422"/>
    <w:rsid w:val="0024787A"/>
    <w:rsid w:val="00247DF0"/>
    <w:rsid w:val="00254813"/>
    <w:rsid w:val="00257FF2"/>
    <w:rsid w:val="00265822"/>
    <w:rsid w:val="0027105F"/>
    <w:rsid w:val="002711FB"/>
    <w:rsid w:val="00275D11"/>
    <w:rsid w:val="00283318"/>
    <w:rsid w:val="00285525"/>
    <w:rsid w:val="00294CD8"/>
    <w:rsid w:val="002A270B"/>
    <w:rsid w:val="002A40AE"/>
    <w:rsid w:val="002A50FD"/>
    <w:rsid w:val="002A6753"/>
    <w:rsid w:val="002B28D7"/>
    <w:rsid w:val="002B5F20"/>
    <w:rsid w:val="002B7EB6"/>
    <w:rsid w:val="002C0B61"/>
    <w:rsid w:val="002C15E6"/>
    <w:rsid w:val="002C247D"/>
    <w:rsid w:val="002C3345"/>
    <w:rsid w:val="002D409A"/>
    <w:rsid w:val="002F30E7"/>
    <w:rsid w:val="002F55EF"/>
    <w:rsid w:val="00300EEB"/>
    <w:rsid w:val="003013A9"/>
    <w:rsid w:val="003020B5"/>
    <w:rsid w:val="003027BB"/>
    <w:rsid w:val="00310A10"/>
    <w:rsid w:val="00327D25"/>
    <w:rsid w:val="003319A7"/>
    <w:rsid w:val="00334FE3"/>
    <w:rsid w:val="003421AE"/>
    <w:rsid w:val="003433D1"/>
    <w:rsid w:val="00344B24"/>
    <w:rsid w:val="003456B9"/>
    <w:rsid w:val="0035067D"/>
    <w:rsid w:val="00352047"/>
    <w:rsid w:val="00353A16"/>
    <w:rsid w:val="0035776D"/>
    <w:rsid w:val="00364FD9"/>
    <w:rsid w:val="00367C1B"/>
    <w:rsid w:val="00374AA7"/>
    <w:rsid w:val="00376B61"/>
    <w:rsid w:val="00382407"/>
    <w:rsid w:val="00386A64"/>
    <w:rsid w:val="00386FA1"/>
    <w:rsid w:val="00390142"/>
    <w:rsid w:val="0039122C"/>
    <w:rsid w:val="00392F00"/>
    <w:rsid w:val="00397377"/>
    <w:rsid w:val="003979E8"/>
    <w:rsid w:val="003A22DE"/>
    <w:rsid w:val="003A2860"/>
    <w:rsid w:val="003A3C35"/>
    <w:rsid w:val="003A7D30"/>
    <w:rsid w:val="003B3C5C"/>
    <w:rsid w:val="003C47CA"/>
    <w:rsid w:val="003C4F47"/>
    <w:rsid w:val="003C6864"/>
    <w:rsid w:val="003C7657"/>
    <w:rsid w:val="003D47AC"/>
    <w:rsid w:val="003D6DE1"/>
    <w:rsid w:val="003D795C"/>
    <w:rsid w:val="003E30FB"/>
    <w:rsid w:val="003F2711"/>
    <w:rsid w:val="003F6C70"/>
    <w:rsid w:val="003F7CB9"/>
    <w:rsid w:val="0040193E"/>
    <w:rsid w:val="00403333"/>
    <w:rsid w:val="00411735"/>
    <w:rsid w:val="0043654D"/>
    <w:rsid w:val="00451840"/>
    <w:rsid w:val="00456B17"/>
    <w:rsid w:val="00457DE6"/>
    <w:rsid w:val="00460C9A"/>
    <w:rsid w:val="00464924"/>
    <w:rsid w:val="0047581D"/>
    <w:rsid w:val="00476681"/>
    <w:rsid w:val="00480289"/>
    <w:rsid w:val="00481279"/>
    <w:rsid w:val="00483368"/>
    <w:rsid w:val="00494011"/>
    <w:rsid w:val="004A0BF4"/>
    <w:rsid w:val="004A263B"/>
    <w:rsid w:val="004A68EF"/>
    <w:rsid w:val="004B68AE"/>
    <w:rsid w:val="004B7A95"/>
    <w:rsid w:val="004C35B0"/>
    <w:rsid w:val="004C49EF"/>
    <w:rsid w:val="004C4A19"/>
    <w:rsid w:val="004C5570"/>
    <w:rsid w:val="004D00C9"/>
    <w:rsid w:val="004E16F5"/>
    <w:rsid w:val="004E3CC7"/>
    <w:rsid w:val="004E5B69"/>
    <w:rsid w:val="004F2A87"/>
    <w:rsid w:val="004F4510"/>
    <w:rsid w:val="0050517E"/>
    <w:rsid w:val="00507C56"/>
    <w:rsid w:val="0052344E"/>
    <w:rsid w:val="00526478"/>
    <w:rsid w:val="00530204"/>
    <w:rsid w:val="00534C5F"/>
    <w:rsid w:val="00537B63"/>
    <w:rsid w:val="00540257"/>
    <w:rsid w:val="0054192F"/>
    <w:rsid w:val="00544EB3"/>
    <w:rsid w:val="0054594B"/>
    <w:rsid w:val="0054749B"/>
    <w:rsid w:val="00551CC6"/>
    <w:rsid w:val="00560541"/>
    <w:rsid w:val="005672D0"/>
    <w:rsid w:val="00572CEB"/>
    <w:rsid w:val="005834C9"/>
    <w:rsid w:val="005855DF"/>
    <w:rsid w:val="005A1500"/>
    <w:rsid w:val="005A58BA"/>
    <w:rsid w:val="005A5D30"/>
    <w:rsid w:val="005A6AB9"/>
    <w:rsid w:val="005C333E"/>
    <w:rsid w:val="005C3AE7"/>
    <w:rsid w:val="005D0677"/>
    <w:rsid w:val="005D30AF"/>
    <w:rsid w:val="005E294C"/>
    <w:rsid w:val="005E2CE3"/>
    <w:rsid w:val="005F1D44"/>
    <w:rsid w:val="005F3F07"/>
    <w:rsid w:val="00601060"/>
    <w:rsid w:val="00603D04"/>
    <w:rsid w:val="00606857"/>
    <w:rsid w:val="00615F42"/>
    <w:rsid w:val="006258C2"/>
    <w:rsid w:val="00626365"/>
    <w:rsid w:val="00630B80"/>
    <w:rsid w:val="00630E22"/>
    <w:rsid w:val="0064168C"/>
    <w:rsid w:val="006552CB"/>
    <w:rsid w:val="00657B46"/>
    <w:rsid w:val="006751A9"/>
    <w:rsid w:val="006764EC"/>
    <w:rsid w:val="00681DE7"/>
    <w:rsid w:val="006835FE"/>
    <w:rsid w:val="00693BFD"/>
    <w:rsid w:val="00695065"/>
    <w:rsid w:val="006A1038"/>
    <w:rsid w:val="006A1855"/>
    <w:rsid w:val="006A649A"/>
    <w:rsid w:val="006B1B49"/>
    <w:rsid w:val="006B3F1F"/>
    <w:rsid w:val="006B6390"/>
    <w:rsid w:val="006C0356"/>
    <w:rsid w:val="006C0843"/>
    <w:rsid w:val="006C74B1"/>
    <w:rsid w:val="006E3610"/>
    <w:rsid w:val="006E57AA"/>
    <w:rsid w:val="006F101C"/>
    <w:rsid w:val="006F1216"/>
    <w:rsid w:val="006F20CF"/>
    <w:rsid w:val="006F38ED"/>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81A95"/>
    <w:rsid w:val="00791C8D"/>
    <w:rsid w:val="00794181"/>
    <w:rsid w:val="007A1FCB"/>
    <w:rsid w:val="007A7F6F"/>
    <w:rsid w:val="007B4C76"/>
    <w:rsid w:val="007B53F8"/>
    <w:rsid w:val="007C2260"/>
    <w:rsid w:val="007D1E52"/>
    <w:rsid w:val="007D2358"/>
    <w:rsid w:val="007E39E4"/>
    <w:rsid w:val="007E6FB3"/>
    <w:rsid w:val="007F21B4"/>
    <w:rsid w:val="00802553"/>
    <w:rsid w:val="00803EAB"/>
    <w:rsid w:val="00804098"/>
    <w:rsid w:val="008046B5"/>
    <w:rsid w:val="008127C0"/>
    <w:rsid w:val="00812EDD"/>
    <w:rsid w:val="008139C5"/>
    <w:rsid w:val="00814EEA"/>
    <w:rsid w:val="0081650F"/>
    <w:rsid w:val="00832B31"/>
    <w:rsid w:val="008403E0"/>
    <w:rsid w:val="0084657B"/>
    <w:rsid w:val="008472A8"/>
    <w:rsid w:val="00855944"/>
    <w:rsid w:val="00857D9B"/>
    <w:rsid w:val="00864A18"/>
    <w:rsid w:val="00870833"/>
    <w:rsid w:val="00874571"/>
    <w:rsid w:val="00881F93"/>
    <w:rsid w:val="00882CB5"/>
    <w:rsid w:val="00883641"/>
    <w:rsid w:val="00884E69"/>
    <w:rsid w:val="00886F12"/>
    <w:rsid w:val="00890082"/>
    <w:rsid w:val="008A18B6"/>
    <w:rsid w:val="008A48D2"/>
    <w:rsid w:val="008B2610"/>
    <w:rsid w:val="008B471D"/>
    <w:rsid w:val="008B49E4"/>
    <w:rsid w:val="008B729C"/>
    <w:rsid w:val="008C3265"/>
    <w:rsid w:val="008C4A93"/>
    <w:rsid w:val="008E0E49"/>
    <w:rsid w:val="008E14E8"/>
    <w:rsid w:val="008E35FD"/>
    <w:rsid w:val="008E6227"/>
    <w:rsid w:val="0090543D"/>
    <w:rsid w:val="009056C5"/>
    <w:rsid w:val="009262F2"/>
    <w:rsid w:val="00937791"/>
    <w:rsid w:val="00951933"/>
    <w:rsid w:val="00954343"/>
    <w:rsid w:val="00955271"/>
    <w:rsid w:val="00963C9C"/>
    <w:rsid w:val="009647FC"/>
    <w:rsid w:val="00965B6B"/>
    <w:rsid w:val="009716E6"/>
    <w:rsid w:val="00971EDB"/>
    <w:rsid w:val="00974D50"/>
    <w:rsid w:val="00977552"/>
    <w:rsid w:val="00987ABE"/>
    <w:rsid w:val="00991EE4"/>
    <w:rsid w:val="009939DC"/>
    <w:rsid w:val="00993B9C"/>
    <w:rsid w:val="00997526"/>
    <w:rsid w:val="009A5368"/>
    <w:rsid w:val="009B4E1E"/>
    <w:rsid w:val="009C03FB"/>
    <w:rsid w:val="009C4B4F"/>
    <w:rsid w:val="009C669A"/>
    <w:rsid w:val="009E5289"/>
    <w:rsid w:val="009E5A3A"/>
    <w:rsid w:val="009F0C02"/>
    <w:rsid w:val="009F5758"/>
    <w:rsid w:val="00A0283F"/>
    <w:rsid w:val="00A04F4A"/>
    <w:rsid w:val="00A26343"/>
    <w:rsid w:val="00A408B5"/>
    <w:rsid w:val="00A41354"/>
    <w:rsid w:val="00A529E2"/>
    <w:rsid w:val="00A539F8"/>
    <w:rsid w:val="00A63C22"/>
    <w:rsid w:val="00A63F28"/>
    <w:rsid w:val="00A6491A"/>
    <w:rsid w:val="00A6594E"/>
    <w:rsid w:val="00A727B6"/>
    <w:rsid w:val="00A81CC6"/>
    <w:rsid w:val="00A83EC6"/>
    <w:rsid w:val="00A8732C"/>
    <w:rsid w:val="00A9062D"/>
    <w:rsid w:val="00A93F58"/>
    <w:rsid w:val="00A96329"/>
    <w:rsid w:val="00AA134B"/>
    <w:rsid w:val="00AA2CFE"/>
    <w:rsid w:val="00AA5FDA"/>
    <w:rsid w:val="00AA6291"/>
    <w:rsid w:val="00AC0C5A"/>
    <w:rsid w:val="00AC0C91"/>
    <w:rsid w:val="00AC5BAB"/>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344EF"/>
    <w:rsid w:val="00B354DF"/>
    <w:rsid w:val="00B53BA6"/>
    <w:rsid w:val="00B5731D"/>
    <w:rsid w:val="00B6378B"/>
    <w:rsid w:val="00B63E3A"/>
    <w:rsid w:val="00B71C91"/>
    <w:rsid w:val="00B73BF9"/>
    <w:rsid w:val="00B75965"/>
    <w:rsid w:val="00B771AD"/>
    <w:rsid w:val="00B814CB"/>
    <w:rsid w:val="00BA0CF8"/>
    <w:rsid w:val="00BA1ADF"/>
    <w:rsid w:val="00BA51FC"/>
    <w:rsid w:val="00BB003A"/>
    <w:rsid w:val="00BB3358"/>
    <w:rsid w:val="00BB3382"/>
    <w:rsid w:val="00BB3643"/>
    <w:rsid w:val="00BC2566"/>
    <w:rsid w:val="00BC3DA0"/>
    <w:rsid w:val="00BC424B"/>
    <w:rsid w:val="00BD0C13"/>
    <w:rsid w:val="00BE0FDE"/>
    <w:rsid w:val="00BE6765"/>
    <w:rsid w:val="00BF6AC5"/>
    <w:rsid w:val="00C01121"/>
    <w:rsid w:val="00C01C07"/>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2FFF"/>
    <w:rsid w:val="00C73B62"/>
    <w:rsid w:val="00C75828"/>
    <w:rsid w:val="00C776B1"/>
    <w:rsid w:val="00C815FE"/>
    <w:rsid w:val="00C847AE"/>
    <w:rsid w:val="00C91CDC"/>
    <w:rsid w:val="00CA04C6"/>
    <w:rsid w:val="00CA26DD"/>
    <w:rsid w:val="00CB12EC"/>
    <w:rsid w:val="00CC09D7"/>
    <w:rsid w:val="00CC12B8"/>
    <w:rsid w:val="00CD22E3"/>
    <w:rsid w:val="00CD4E44"/>
    <w:rsid w:val="00CD5AE4"/>
    <w:rsid w:val="00CD7A7D"/>
    <w:rsid w:val="00CF2D8E"/>
    <w:rsid w:val="00CF2DFA"/>
    <w:rsid w:val="00CF5AD8"/>
    <w:rsid w:val="00D00122"/>
    <w:rsid w:val="00D01D2A"/>
    <w:rsid w:val="00D10B47"/>
    <w:rsid w:val="00D110CC"/>
    <w:rsid w:val="00D11EB1"/>
    <w:rsid w:val="00D17F17"/>
    <w:rsid w:val="00D23597"/>
    <w:rsid w:val="00D30BDC"/>
    <w:rsid w:val="00D332D9"/>
    <w:rsid w:val="00D54979"/>
    <w:rsid w:val="00D57F88"/>
    <w:rsid w:val="00D65665"/>
    <w:rsid w:val="00D7105C"/>
    <w:rsid w:val="00D73646"/>
    <w:rsid w:val="00D777B4"/>
    <w:rsid w:val="00D77A90"/>
    <w:rsid w:val="00D8360B"/>
    <w:rsid w:val="00D83A16"/>
    <w:rsid w:val="00D85676"/>
    <w:rsid w:val="00D96ADA"/>
    <w:rsid w:val="00DA2886"/>
    <w:rsid w:val="00DA5E50"/>
    <w:rsid w:val="00DA7D0C"/>
    <w:rsid w:val="00DB311C"/>
    <w:rsid w:val="00DB432D"/>
    <w:rsid w:val="00DB519B"/>
    <w:rsid w:val="00DB5290"/>
    <w:rsid w:val="00DC0B77"/>
    <w:rsid w:val="00DC7694"/>
    <w:rsid w:val="00DC7FBE"/>
    <w:rsid w:val="00DD130E"/>
    <w:rsid w:val="00DD308E"/>
    <w:rsid w:val="00DF0C51"/>
    <w:rsid w:val="00DF0D47"/>
    <w:rsid w:val="00DF152D"/>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60C9C"/>
    <w:rsid w:val="00E70D86"/>
    <w:rsid w:val="00E7628E"/>
    <w:rsid w:val="00E82F54"/>
    <w:rsid w:val="00E8649B"/>
    <w:rsid w:val="00E871CD"/>
    <w:rsid w:val="00E90990"/>
    <w:rsid w:val="00E95D3D"/>
    <w:rsid w:val="00EA0E25"/>
    <w:rsid w:val="00EA142E"/>
    <w:rsid w:val="00EA173C"/>
    <w:rsid w:val="00EA7BB2"/>
    <w:rsid w:val="00EB0182"/>
    <w:rsid w:val="00EB411B"/>
    <w:rsid w:val="00EC127A"/>
    <w:rsid w:val="00EC1FF9"/>
    <w:rsid w:val="00EC2737"/>
    <w:rsid w:val="00ED6340"/>
    <w:rsid w:val="00EE0BF5"/>
    <w:rsid w:val="00EE2716"/>
    <w:rsid w:val="00EE6450"/>
    <w:rsid w:val="00EE74C1"/>
    <w:rsid w:val="00EF1B9C"/>
    <w:rsid w:val="00EF3247"/>
    <w:rsid w:val="00F01C2C"/>
    <w:rsid w:val="00F10ED8"/>
    <w:rsid w:val="00F222BE"/>
    <w:rsid w:val="00F24179"/>
    <w:rsid w:val="00F301F1"/>
    <w:rsid w:val="00F30C22"/>
    <w:rsid w:val="00F33F1A"/>
    <w:rsid w:val="00F34AEC"/>
    <w:rsid w:val="00F547F7"/>
    <w:rsid w:val="00F54CCF"/>
    <w:rsid w:val="00F61D7A"/>
    <w:rsid w:val="00F63777"/>
    <w:rsid w:val="00F637B3"/>
    <w:rsid w:val="00F63A62"/>
    <w:rsid w:val="00F66CF7"/>
    <w:rsid w:val="00F67BCB"/>
    <w:rsid w:val="00F7012A"/>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E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Default">
    <w:name w:val="Default"/>
    <w:rsid w:val="00C72FF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Default">
    <w:name w:val="Default"/>
    <w:rsid w:val="00C72F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01156791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sac.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E56189426A27DE44B535D9C9389F005F" ma:contentTypeVersion="5" ma:contentTypeDescription="Create a new document." ma:contentTypeScope="" ma:versionID="f3bc1a3adbe9cd7da70de2ce31ce95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27A6-3D68-4988-84BF-8D0FB7DB4C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221A71F-62C3-422E-9ED4-441FEDA8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4F8B1-F4AD-4D92-84A2-68416FBD484E}">
  <ds:schemaRefs>
    <ds:schemaRef ds:uri="http://schemas.microsoft.com/sharepoint/v3/contenttype/forms"/>
  </ds:schemaRefs>
</ds:datastoreItem>
</file>

<file path=customXml/itemProps4.xml><?xml version="1.0" encoding="utf-8"?>
<ds:datastoreItem xmlns:ds="http://schemas.openxmlformats.org/officeDocument/2006/customXml" ds:itemID="{F3D2AD80-82B4-4538-AE8B-DC2D658D16CE}">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1E5E465E-D57B-4172-A9D4-2D6FCCCD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5470</Words>
  <Characters>31185</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36582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2018-03-28T03:37:00Z</dcterms:created>
  <dcterms:modified xsi:type="dcterms:W3CDTF">2018-03-28T03:37:00Z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92b11dd4-9131-4f97-8fb9-68057dee556d</vt:lpwstr>
  </property>
  <property fmtid="{D5CDD505-2E9C-101B-9397-08002B2CF9AE}" pid="4" name="bjSaver">
    <vt:lpwstr>gGnJqXipX1fB8AmJS61eWWq9EUmCc880</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uid="9920fcc9-9f43-4d43-9e3e-b98a219cfd55" value="" /&gt;&lt;/sisl&gt;</vt:lpwstr>
  </property>
  <property fmtid="{D5CDD505-2E9C-101B-9397-08002B2CF9AE}" pid="7" name="bjDocumentSecurityLabel">
    <vt:lpwstr>Not Classified</vt:lpwstr>
  </property>
  <property fmtid="{D5CDD505-2E9C-101B-9397-08002B2CF9AE}" pid="8" name="ContentTypeId">
    <vt:lpwstr>0x010100E56189426A27DE44B535D9C9389F005F</vt:lpwstr>
  </property>
</Properties>
</file>