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8F2" w:rsidRPr="00707064" w:rsidRDefault="00CD7D09" w:rsidP="00065623">
      <w:pPr>
        <w:jc w:val="center"/>
        <w:rPr>
          <w:b/>
          <w:i/>
          <w:szCs w:val="24"/>
          <w:highlight w:val="yellow"/>
        </w:rPr>
      </w:pPr>
      <w:r>
        <w:rPr>
          <w:rFonts w:ascii="Arial" w:hAnsi="Arial" w:cs="Arial"/>
          <w:b/>
          <w:noProof/>
          <w:color w:val="000080"/>
          <w:sz w:val="28"/>
          <w:szCs w:val="28"/>
        </w:rPr>
        <w:drawing>
          <wp:inline distT="0" distB="0" distL="0" distR="0">
            <wp:extent cx="2628900" cy="1076325"/>
            <wp:effectExtent l="0" t="0" r="0" b="9525"/>
            <wp:docPr id="1"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076325"/>
                    </a:xfrm>
                    <a:prstGeom prst="rect">
                      <a:avLst/>
                    </a:prstGeom>
                    <a:noFill/>
                    <a:ln>
                      <a:noFill/>
                    </a:ln>
                  </pic:spPr>
                </pic:pic>
              </a:graphicData>
            </a:graphic>
          </wp:inline>
        </w:drawing>
      </w:r>
    </w:p>
    <w:p w:rsidR="00C628F2" w:rsidRPr="008D5885" w:rsidRDefault="00C628F2" w:rsidP="008D5885"/>
    <w:p w:rsidR="00C628F2" w:rsidRPr="008D5885" w:rsidRDefault="00C628F2" w:rsidP="008D5885"/>
    <w:p w:rsidR="00C628F2" w:rsidRPr="007B32D1" w:rsidRDefault="00C628F2"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C628F2" w:rsidRPr="007B32D1" w:rsidRDefault="00C628F2" w:rsidP="007B32D1"/>
    <w:p w:rsidR="00C628F2" w:rsidRPr="007B32D1" w:rsidRDefault="00C628F2" w:rsidP="007B32D1">
      <w:pPr>
        <w:jc w:val="center"/>
        <w:rPr>
          <w:rFonts w:ascii="Arial" w:hAnsi="Arial" w:cs="Arial"/>
          <w:b/>
          <w:bCs/>
          <w:i/>
          <w:color w:val="000080"/>
          <w:sz w:val="28"/>
          <w:szCs w:val="28"/>
        </w:rPr>
      </w:pPr>
      <w:r w:rsidRPr="007B32D1">
        <w:rPr>
          <w:rFonts w:ascii="Arial" w:hAnsi="Arial" w:cs="Arial"/>
          <w:b/>
          <w:bCs/>
          <w:i/>
          <w:color w:val="000080"/>
          <w:sz w:val="28"/>
          <w:szCs w:val="28"/>
        </w:rPr>
        <w:t xml:space="preserve">Application </w:t>
      </w:r>
      <w:r>
        <w:rPr>
          <w:rFonts w:ascii="Arial" w:hAnsi="Arial" w:cs="Arial"/>
          <w:b/>
          <w:bCs/>
          <w:i/>
          <w:color w:val="000080"/>
          <w:sz w:val="28"/>
          <w:szCs w:val="28"/>
        </w:rPr>
        <w:t>1374</w:t>
      </w:r>
      <w:r w:rsidRPr="007B32D1">
        <w:rPr>
          <w:rFonts w:ascii="Arial" w:hAnsi="Arial" w:cs="Arial"/>
          <w:b/>
          <w:bCs/>
          <w:i/>
          <w:color w:val="000080"/>
          <w:sz w:val="28"/>
          <w:szCs w:val="28"/>
        </w:rPr>
        <w:t xml:space="preserve"> – </w:t>
      </w:r>
      <w:r>
        <w:rPr>
          <w:rFonts w:ascii="Arial" w:hAnsi="Arial" w:cs="Arial"/>
          <w:b/>
          <w:bCs/>
          <w:i/>
          <w:color w:val="000080"/>
          <w:sz w:val="28"/>
          <w:szCs w:val="28"/>
        </w:rPr>
        <w:t>Insertion of subcutaneous electrode for the purpose of use with an implantable cardioverter defibrillator (ICD)</w:t>
      </w:r>
    </w:p>
    <w:p w:rsidR="00C628F2" w:rsidRDefault="00C628F2" w:rsidP="00065623">
      <w:pPr>
        <w:tabs>
          <w:tab w:val="left" w:pos="3600"/>
        </w:tabs>
        <w:ind w:left="3600" w:hanging="3600"/>
        <w:rPr>
          <w:szCs w:val="24"/>
        </w:rPr>
      </w:pPr>
    </w:p>
    <w:p w:rsidR="00C628F2" w:rsidRPr="00707064" w:rsidRDefault="00C628F2" w:rsidP="00065623">
      <w:pPr>
        <w:tabs>
          <w:tab w:val="left" w:pos="3600"/>
        </w:tabs>
        <w:ind w:left="3600" w:hanging="3600"/>
        <w:rPr>
          <w:szCs w:val="24"/>
        </w:rPr>
      </w:pPr>
    </w:p>
    <w:p w:rsidR="00C628F2" w:rsidRPr="00D90A38" w:rsidRDefault="00C628F2" w:rsidP="0030094F">
      <w:pPr>
        <w:tabs>
          <w:tab w:val="left" w:pos="3544"/>
        </w:tabs>
        <w:rPr>
          <w:rFonts w:ascii="Arial" w:hAnsi="Arial" w:cs="Arial"/>
          <w:b/>
          <w:szCs w:val="24"/>
        </w:rPr>
      </w:pPr>
      <w:r>
        <w:rPr>
          <w:rFonts w:ascii="Arial" w:hAnsi="Arial" w:cs="Arial"/>
          <w:b/>
          <w:szCs w:val="24"/>
        </w:rPr>
        <w:t>Applicant</w:t>
      </w:r>
      <w:r w:rsidRPr="00D90A38">
        <w:rPr>
          <w:rFonts w:ascii="Arial" w:hAnsi="Arial" w:cs="Arial"/>
          <w:b/>
          <w:szCs w:val="24"/>
        </w:rPr>
        <w:t>:</w:t>
      </w:r>
      <w:r w:rsidRPr="00D90A38">
        <w:rPr>
          <w:rFonts w:ascii="Arial" w:hAnsi="Arial" w:cs="Arial"/>
          <w:b/>
          <w:szCs w:val="24"/>
        </w:rPr>
        <w:tab/>
      </w:r>
      <w:r w:rsidRPr="00D90A38">
        <w:rPr>
          <w:rFonts w:ascii="Arial" w:hAnsi="Arial" w:cs="Arial"/>
          <w:b/>
          <w:szCs w:val="24"/>
        </w:rPr>
        <w:tab/>
      </w:r>
      <w:r>
        <w:rPr>
          <w:rFonts w:ascii="Arial" w:hAnsi="Arial" w:cs="Arial"/>
          <w:b/>
          <w:szCs w:val="24"/>
        </w:rPr>
        <w:t>Boston Scientific</w:t>
      </w:r>
    </w:p>
    <w:p w:rsidR="00C628F2" w:rsidRPr="00D90A38" w:rsidRDefault="00C628F2" w:rsidP="00065623">
      <w:pPr>
        <w:tabs>
          <w:tab w:val="left" w:pos="2265"/>
          <w:tab w:val="left" w:pos="3420"/>
          <w:tab w:val="left" w:pos="4320"/>
        </w:tabs>
        <w:rPr>
          <w:rFonts w:ascii="Arial" w:hAnsi="Arial" w:cs="Arial"/>
          <w:b/>
        </w:rPr>
      </w:pPr>
    </w:p>
    <w:p w:rsidR="00C628F2" w:rsidRPr="00D90A38" w:rsidRDefault="00C628F2"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Pr>
          <w:rFonts w:ascii="Arial" w:hAnsi="Arial" w:cs="Arial"/>
          <w:b/>
          <w:szCs w:val="24"/>
        </w:rPr>
        <w:t>MSAC 62nd</w:t>
      </w:r>
      <w:r w:rsidRPr="00D90A38">
        <w:rPr>
          <w:rFonts w:ascii="Arial" w:hAnsi="Arial" w:cs="Arial"/>
          <w:b/>
          <w:szCs w:val="24"/>
        </w:rPr>
        <w:t xml:space="preserve"> Meeting, </w:t>
      </w:r>
      <w:r>
        <w:rPr>
          <w:rFonts w:ascii="Arial" w:hAnsi="Arial" w:cs="Arial"/>
          <w:b/>
          <w:szCs w:val="24"/>
        </w:rPr>
        <w:t>26 – 28 November 2014</w:t>
      </w:r>
    </w:p>
    <w:p w:rsidR="00C628F2" w:rsidRDefault="00C628F2" w:rsidP="00065623">
      <w:pPr>
        <w:rPr>
          <w:szCs w:val="24"/>
        </w:rPr>
      </w:pPr>
    </w:p>
    <w:p w:rsidR="00C628F2" w:rsidRDefault="00C628F2"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rsidR="00C628F2" w:rsidRDefault="00C628F2" w:rsidP="00065623">
      <w:pPr>
        <w:rPr>
          <w:szCs w:val="24"/>
        </w:rPr>
      </w:pPr>
    </w:p>
    <w:p w:rsidR="00C628F2" w:rsidRDefault="00C628F2" w:rsidP="00065623">
      <w:pPr>
        <w:rPr>
          <w:szCs w:val="24"/>
        </w:rPr>
      </w:pPr>
    </w:p>
    <w:p w:rsidR="00C628F2" w:rsidRPr="00D90A38" w:rsidRDefault="00C628F2" w:rsidP="003D7F29">
      <w:pPr>
        <w:pStyle w:val="Heading1"/>
        <w:numPr>
          <w:ilvl w:val="0"/>
          <w:numId w:val="23"/>
        </w:numPr>
        <w:ind w:hanging="720"/>
      </w:pPr>
      <w:r w:rsidRPr="00D90A38">
        <w:t>Purpose of application</w:t>
      </w:r>
      <w:r>
        <w:t xml:space="preserve"> and links to other applications</w:t>
      </w:r>
    </w:p>
    <w:p w:rsidR="00C628F2" w:rsidRPr="00F35134" w:rsidRDefault="00C628F2" w:rsidP="003D7F29">
      <w:pPr>
        <w:tabs>
          <w:tab w:val="left" w:pos="720"/>
          <w:tab w:val="left" w:pos="1140"/>
        </w:tabs>
        <w:ind w:left="720"/>
        <w:rPr>
          <w:b/>
          <w:bCs/>
          <w:szCs w:val="24"/>
        </w:rPr>
      </w:pPr>
    </w:p>
    <w:p w:rsidR="00C628F2" w:rsidRPr="00A234E6" w:rsidRDefault="00C628F2" w:rsidP="00721806">
      <w:r>
        <w:t>A</w:t>
      </w:r>
      <w:r w:rsidRPr="00A234E6">
        <w:t xml:space="preserve">n application requesting Medicare Benefits Schedule (MBS) listing for the insertion of a subcutaneous implantable cardioverter defibrillator (ICD) electrode was received from Boston Scientific by the Department of Health in September 2013. </w:t>
      </w:r>
    </w:p>
    <w:p w:rsidR="00C628F2" w:rsidRPr="00D90A38" w:rsidRDefault="00C628F2" w:rsidP="003D7F29">
      <w:pPr>
        <w:rPr>
          <w:color w:val="FF0000"/>
          <w:szCs w:val="24"/>
        </w:rPr>
      </w:pPr>
    </w:p>
    <w:p w:rsidR="00C628F2" w:rsidRDefault="00C628F2" w:rsidP="00E977EE">
      <w:pPr>
        <w:pStyle w:val="Heading1"/>
        <w:numPr>
          <w:ilvl w:val="0"/>
          <w:numId w:val="23"/>
        </w:numPr>
        <w:ind w:hanging="720"/>
      </w:pPr>
      <w:r w:rsidRPr="008D5885">
        <w:t>MSAC’s advice to the Minister</w:t>
      </w:r>
    </w:p>
    <w:p w:rsidR="00C628F2" w:rsidRDefault="00C628F2" w:rsidP="00E977EE">
      <w:pPr>
        <w:tabs>
          <w:tab w:val="left" w:pos="720"/>
        </w:tabs>
        <w:ind w:left="709" w:hanging="709"/>
        <w:rPr>
          <w:b/>
          <w:szCs w:val="24"/>
        </w:rPr>
      </w:pPr>
    </w:p>
    <w:p w:rsidR="00C628F2" w:rsidRDefault="00C628F2" w:rsidP="00225AD0">
      <w:r>
        <w:t xml:space="preserve">After considering the strength of the available evidence in relation to safety, clinical effectiveness and cost-effectiveness, MSAC did not support public funding for </w:t>
      </w:r>
      <w:r w:rsidRPr="00734702">
        <w:rPr>
          <w:lang w:val="en-US"/>
        </w:rPr>
        <w:t>the insertion of a subcutaneous implantable cardioverter defibrillator (</w:t>
      </w:r>
      <w:r>
        <w:rPr>
          <w:lang w:val="en-US"/>
        </w:rPr>
        <w:t>S-</w:t>
      </w:r>
      <w:r w:rsidRPr="00734702">
        <w:rPr>
          <w:lang w:val="en-US"/>
        </w:rPr>
        <w:t>ICD) electrode</w:t>
      </w:r>
      <w:r w:rsidRPr="006E369E">
        <w:t xml:space="preserve"> because of uncertain comparative long-term safety and </w:t>
      </w:r>
      <w:r>
        <w:t xml:space="preserve">clinical </w:t>
      </w:r>
      <w:r w:rsidRPr="006E369E">
        <w:t>effectiveness which translated into uncertain cost-effectiveness.</w:t>
      </w:r>
      <w:r>
        <w:t xml:space="preserve"> </w:t>
      </w:r>
    </w:p>
    <w:p w:rsidR="00C628F2" w:rsidRDefault="00C628F2" w:rsidP="00225AD0"/>
    <w:p w:rsidR="00C628F2" w:rsidRDefault="00C628F2" w:rsidP="00225AD0">
      <w:pPr>
        <w:spacing w:after="120"/>
        <w:ind w:left="59"/>
      </w:pPr>
      <w:r w:rsidRPr="006E369E">
        <w:t xml:space="preserve">MSAC </w:t>
      </w:r>
      <w:r>
        <w:t>considered</w:t>
      </w:r>
      <w:r w:rsidRPr="006E369E">
        <w:t xml:space="preserve"> that a prospective, multi-centre, randomised controlled trial (PRAETORIAN) comparing </w:t>
      </w:r>
      <w:r>
        <w:t>an S-</w:t>
      </w:r>
      <w:r w:rsidRPr="006E369E">
        <w:t xml:space="preserve">ICD with </w:t>
      </w:r>
      <w:r>
        <w:t>a transvenous ICD (T-</w:t>
      </w:r>
      <w:r w:rsidRPr="006E369E">
        <w:t>ICD</w:t>
      </w:r>
      <w:r>
        <w:t>)</w:t>
      </w:r>
      <w:r w:rsidRPr="006E369E">
        <w:t xml:space="preserve"> scheduled for completion in June </w:t>
      </w:r>
      <w:proofErr w:type="gramStart"/>
      <w:r w:rsidRPr="006E369E">
        <w:t>2018,</w:t>
      </w:r>
      <w:proofErr w:type="gramEnd"/>
      <w:r w:rsidRPr="006E369E">
        <w:t xml:space="preserve"> m</w:t>
      </w:r>
      <w:r>
        <w:t>ay assist to address these uncertainties.</w:t>
      </w:r>
    </w:p>
    <w:p w:rsidR="00C628F2" w:rsidRDefault="00C628F2" w:rsidP="00225AD0">
      <w:pPr>
        <w:ind w:left="59"/>
      </w:pPr>
      <w:r w:rsidRPr="006E369E">
        <w:t>MSAC considered that any reapplication should be made via ESC and would require external evaluation.</w:t>
      </w:r>
    </w:p>
    <w:p w:rsidR="00C628F2" w:rsidRPr="006E369E" w:rsidRDefault="00C628F2" w:rsidP="00225AD0">
      <w:pPr>
        <w:ind w:left="59"/>
      </w:pPr>
    </w:p>
    <w:p w:rsidR="00C628F2" w:rsidRDefault="00C628F2" w:rsidP="00225AD0">
      <w:pPr>
        <w:pStyle w:val="Heading1"/>
        <w:numPr>
          <w:ilvl w:val="0"/>
          <w:numId w:val="23"/>
        </w:numPr>
        <w:ind w:hanging="720"/>
      </w:pPr>
      <w:r w:rsidRPr="008D5885">
        <w:t>Summary of consideration and rationale for MSAC’s advice</w:t>
      </w:r>
      <w:r w:rsidRPr="00707064">
        <w:t xml:space="preserve"> </w:t>
      </w:r>
    </w:p>
    <w:p w:rsidR="00C628F2" w:rsidRDefault="00C628F2" w:rsidP="00225AD0">
      <w:pPr>
        <w:rPr>
          <w:szCs w:val="24"/>
        </w:rPr>
      </w:pPr>
    </w:p>
    <w:p w:rsidR="00C628F2" w:rsidRDefault="00C628F2" w:rsidP="00225AD0">
      <w:pPr>
        <w:rPr>
          <w:szCs w:val="24"/>
          <w:lang w:eastAsia="en-US"/>
        </w:rPr>
      </w:pPr>
      <w:r>
        <w:t>MSAC noted that</w:t>
      </w:r>
      <w:r w:rsidRPr="00A92533">
        <w:t xml:space="preserve"> </w:t>
      </w:r>
      <w:r>
        <w:t>S-</w:t>
      </w:r>
      <w:r w:rsidRPr="0097218C">
        <w:t>ICD therapy</w:t>
      </w:r>
      <w:r>
        <w:t xml:space="preserve"> is an alternative option to T-ICD for </w:t>
      </w:r>
      <w:r w:rsidRPr="0097218C">
        <w:t>patients that do not require pacing therapy</w:t>
      </w:r>
      <w:r w:rsidRPr="00A92533">
        <w:rPr>
          <w:szCs w:val="24"/>
          <w:lang w:eastAsia="en-US"/>
        </w:rPr>
        <w:t xml:space="preserve"> </w:t>
      </w:r>
      <w:r>
        <w:rPr>
          <w:szCs w:val="24"/>
          <w:lang w:eastAsia="en-US"/>
        </w:rPr>
        <w:t xml:space="preserve">and in whom insertion of a T-ICD is not ideal or feasible. Australian expert opinion estimates that 75-80% of current T-ICD patients could potentially receive S-ICD. </w:t>
      </w:r>
    </w:p>
    <w:p w:rsidR="00C628F2" w:rsidRDefault="00C628F2" w:rsidP="00225AD0">
      <w:pPr>
        <w:rPr>
          <w:szCs w:val="24"/>
          <w:lang w:eastAsia="en-US"/>
        </w:rPr>
      </w:pPr>
    </w:p>
    <w:p w:rsidR="00C628F2" w:rsidRDefault="00C628F2" w:rsidP="00225AD0">
      <w:pPr>
        <w:rPr>
          <w:szCs w:val="24"/>
          <w:lang w:eastAsia="en-US"/>
        </w:rPr>
      </w:pPr>
      <w:r>
        <w:rPr>
          <w:szCs w:val="24"/>
          <w:lang w:eastAsia="en-US"/>
        </w:rPr>
        <w:lastRenderedPageBreak/>
        <w:t xml:space="preserve">MSAC noted that the evidence base for evaluation of the comparative safety and effectiveness for S-ICD was limited and based on small, non-randomised, </w:t>
      </w:r>
      <w:proofErr w:type="spellStart"/>
      <w:r>
        <w:rPr>
          <w:szCs w:val="24"/>
          <w:lang w:eastAsia="en-US"/>
        </w:rPr>
        <w:t>unblinded</w:t>
      </w:r>
      <w:proofErr w:type="spellEnd"/>
      <w:r>
        <w:rPr>
          <w:szCs w:val="24"/>
          <w:lang w:eastAsia="en-US"/>
        </w:rPr>
        <w:t xml:space="preserve"> studies with short term follow-up and surrogate (largely technical) endpoints. MSAC noted that this limited evidence raised a number of uncertainties such as:</w:t>
      </w:r>
    </w:p>
    <w:p w:rsidR="00C628F2" w:rsidRPr="003F7A36" w:rsidRDefault="00C628F2" w:rsidP="00225AD0">
      <w:pPr>
        <w:pStyle w:val="ListParagraph"/>
        <w:numPr>
          <w:ilvl w:val="0"/>
          <w:numId w:val="40"/>
        </w:numPr>
        <w:rPr>
          <w:szCs w:val="24"/>
          <w:lang w:eastAsia="en-US"/>
        </w:rPr>
      </w:pPr>
      <w:r w:rsidRPr="003F7A36">
        <w:rPr>
          <w:szCs w:val="24"/>
          <w:lang w:eastAsia="en-US"/>
        </w:rPr>
        <w:t xml:space="preserve">levels </w:t>
      </w:r>
      <w:r>
        <w:rPr>
          <w:szCs w:val="24"/>
          <w:lang w:eastAsia="en-US"/>
        </w:rPr>
        <w:t>of i</w:t>
      </w:r>
      <w:r w:rsidRPr="003F7A36">
        <w:rPr>
          <w:szCs w:val="24"/>
          <w:lang w:eastAsia="en-US"/>
        </w:rPr>
        <w:t xml:space="preserve">nappropriate shock </w:t>
      </w:r>
      <w:r>
        <w:rPr>
          <w:szCs w:val="24"/>
          <w:lang w:eastAsia="en-US"/>
        </w:rPr>
        <w:t>(</w:t>
      </w:r>
      <w:r w:rsidRPr="003F7A36">
        <w:rPr>
          <w:szCs w:val="24"/>
          <w:lang w:eastAsia="en-US"/>
        </w:rPr>
        <w:t>for short-term studies</w:t>
      </w:r>
      <w:r>
        <w:rPr>
          <w:szCs w:val="24"/>
          <w:lang w:eastAsia="en-US"/>
        </w:rPr>
        <w:t>);</w:t>
      </w:r>
    </w:p>
    <w:p w:rsidR="00C628F2" w:rsidRPr="003F7A36" w:rsidRDefault="00C628F2" w:rsidP="00225AD0">
      <w:pPr>
        <w:pStyle w:val="ListParagraph"/>
        <w:numPr>
          <w:ilvl w:val="0"/>
          <w:numId w:val="40"/>
        </w:numPr>
        <w:rPr>
          <w:szCs w:val="24"/>
          <w:lang w:eastAsia="en-US"/>
        </w:rPr>
      </w:pPr>
      <w:r>
        <w:rPr>
          <w:szCs w:val="24"/>
          <w:lang w:eastAsia="en-US"/>
        </w:rPr>
        <w:t>e</w:t>
      </w:r>
      <w:r w:rsidRPr="003F7A36">
        <w:rPr>
          <w:szCs w:val="24"/>
          <w:lang w:eastAsia="en-US"/>
        </w:rPr>
        <w:t>ffect of physical activity (esp</w:t>
      </w:r>
      <w:r w:rsidR="00D605A9">
        <w:rPr>
          <w:szCs w:val="24"/>
          <w:lang w:eastAsia="en-US"/>
        </w:rPr>
        <w:t>ecially</w:t>
      </w:r>
      <w:r w:rsidRPr="003F7A36">
        <w:rPr>
          <w:szCs w:val="24"/>
          <w:lang w:eastAsia="en-US"/>
        </w:rPr>
        <w:t xml:space="preserve"> contact sport)</w:t>
      </w:r>
      <w:r>
        <w:rPr>
          <w:szCs w:val="24"/>
          <w:lang w:eastAsia="en-US"/>
        </w:rPr>
        <w:t>;</w:t>
      </w:r>
    </w:p>
    <w:p w:rsidR="00C628F2" w:rsidRDefault="00C628F2" w:rsidP="00225AD0">
      <w:pPr>
        <w:pStyle w:val="ListParagraph"/>
        <w:numPr>
          <w:ilvl w:val="0"/>
          <w:numId w:val="39"/>
        </w:numPr>
        <w:rPr>
          <w:szCs w:val="24"/>
          <w:lang w:eastAsia="en-US"/>
        </w:rPr>
      </w:pPr>
      <w:r>
        <w:rPr>
          <w:szCs w:val="24"/>
          <w:lang w:eastAsia="en-US"/>
        </w:rPr>
        <w:t>potential for increased complications with S-ICDs vs T-ICDs;</w:t>
      </w:r>
    </w:p>
    <w:p w:rsidR="00C628F2" w:rsidRDefault="00C628F2" w:rsidP="00225AD0">
      <w:pPr>
        <w:pStyle w:val="ListParagraph"/>
        <w:numPr>
          <w:ilvl w:val="0"/>
          <w:numId w:val="39"/>
        </w:numPr>
        <w:rPr>
          <w:szCs w:val="24"/>
          <w:lang w:eastAsia="en-US"/>
        </w:rPr>
      </w:pPr>
      <w:r>
        <w:rPr>
          <w:szCs w:val="24"/>
          <w:lang w:eastAsia="en-US"/>
        </w:rPr>
        <w:t>effect of larger sized generator and position of subcutaneous electrode on p</w:t>
      </w:r>
      <w:r w:rsidRPr="00A219EC">
        <w:rPr>
          <w:szCs w:val="24"/>
          <w:lang w:eastAsia="en-US"/>
        </w:rPr>
        <w:t>atient discomfort</w:t>
      </w:r>
      <w:r>
        <w:rPr>
          <w:szCs w:val="24"/>
          <w:lang w:eastAsia="en-US"/>
        </w:rPr>
        <w:t xml:space="preserve"> levels;</w:t>
      </w:r>
    </w:p>
    <w:p w:rsidR="00C628F2" w:rsidRPr="00A219EC" w:rsidRDefault="00C628F2" w:rsidP="00225AD0">
      <w:pPr>
        <w:pStyle w:val="ListParagraph"/>
        <w:numPr>
          <w:ilvl w:val="0"/>
          <w:numId w:val="39"/>
        </w:numPr>
        <w:rPr>
          <w:szCs w:val="24"/>
          <w:lang w:eastAsia="en-US"/>
        </w:rPr>
      </w:pPr>
      <w:r>
        <w:rPr>
          <w:szCs w:val="24"/>
          <w:lang w:eastAsia="en-US"/>
        </w:rPr>
        <w:t>p</w:t>
      </w:r>
      <w:r w:rsidRPr="00A219EC">
        <w:rPr>
          <w:szCs w:val="24"/>
          <w:lang w:eastAsia="en-US"/>
        </w:rPr>
        <w:t>otential for</w:t>
      </w:r>
      <w:r>
        <w:rPr>
          <w:szCs w:val="24"/>
          <w:lang w:eastAsia="en-US"/>
        </w:rPr>
        <w:t xml:space="preserve"> T-wave </w:t>
      </w:r>
      <w:r w:rsidRPr="00A219EC">
        <w:rPr>
          <w:szCs w:val="24"/>
          <w:lang w:eastAsia="en-US"/>
        </w:rPr>
        <w:t xml:space="preserve">over-sensing </w:t>
      </w:r>
      <w:r>
        <w:rPr>
          <w:szCs w:val="24"/>
          <w:lang w:eastAsia="en-US"/>
        </w:rPr>
        <w:t xml:space="preserve"> with S-ICDs;</w:t>
      </w:r>
    </w:p>
    <w:p w:rsidR="00C628F2" w:rsidRDefault="00C628F2" w:rsidP="00225AD0">
      <w:pPr>
        <w:pStyle w:val="ListParagraph"/>
        <w:numPr>
          <w:ilvl w:val="0"/>
          <w:numId w:val="39"/>
        </w:numPr>
        <w:rPr>
          <w:szCs w:val="24"/>
          <w:lang w:eastAsia="en-US"/>
        </w:rPr>
      </w:pPr>
      <w:r>
        <w:rPr>
          <w:szCs w:val="24"/>
          <w:lang w:eastAsia="en-US"/>
        </w:rPr>
        <w:t>rates of lead migration/dislodgement;</w:t>
      </w:r>
    </w:p>
    <w:p w:rsidR="00C628F2" w:rsidRDefault="00C628F2" w:rsidP="00225AD0">
      <w:pPr>
        <w:pStyle w:val="ListParagraph"/>
        <w:numPr>
          <w:ilvl w:val="0"/>
          <w:numId w:val="39"/>
        </w:numPr>
        <w:rPr>
          <w:szCs w:val="24"/>
          <w:lang w:eastAsia="en-US"/>
        </w:rPr>
      </w:pPr>
      <w:r>
        <w:rPr>
          <w:szCs w:val="24"/>
          <w:lang w:eastAsia="en-US"/>
        </w:rPr>
        <w:t>use of surrogate efficacy endpoints (technical performance and safety of ICD) in the absence of patient-relevant outcomes such as sudden cardiac death and overall death; and</w:t>
      </w:r>
    </w:p>
    <w:p w:rsidR="00C628F2" w:rsidRPr="00A219EC" w:rsidRDefault="00C628F2" w:rsidP="00225AD0">
      <w:pPr>
        <w:pStyle w:val="ListParagraph"/>
        <w:numPr>
          <w:ilvl w:val="0"/>
          <w:numId w:val="39"/>
        </w:numPr>
        <w:rPr>
          <w:szCs w:val="24"/>
          <w:lang w:eastAsia="en-US"/>
        </w:rPr>
      </w:pPr>
      <w:proofErr w:type="gramStart"/>
      <w:r>
        <w:rPr>
          <w:szCs w:val="24"/>
          <w:lang w:eastAsia="en-US"/>
        </w:rPr>
        <w:t>no</w:t>
      </w:r>
      <w:proofErr w:type="gramEnd"/>
      <w:r>
        <w:rPr>
          <w:szCs w:val="24"/>
          <w:lang w:eastAsia="en-US"/>
        </w:rPr>
        <w:t xml:space="preserve"> health-related quality of life outcomes were provided.</w:t>
      </w:r>
    </w:p>
    <w:p w:rsidR="00C628F2" w:rsidRDefault="00C628F2" w:rsidP="00225AD0">
      <w:pPr>
        <w:rPr>
          <w:szCs w:val="24"/>
          <w:lang w:eastAsia="en-US"/>
        </w:rPr>
      </w:pPr>
    </w:p>
    <w:p w:rsidR="00C628F2" w:rsidRDefault="00C628F2" w:rsidP="00225AD0">
      <w:r>
        <w:rPr>
          <w:szCs w:val="24"/>
          <w:lang w:eastAsia="en-US"/>
        </w:rPr>
        <w:t xml:space="preserve">Based on the evidence presented and the uncertainties listed above, MSAC was not convinced that the claim of S-ICD non-inferiority had been proven in terms of comparative safety and effectiveness. MSAC considered that the long-term safety of S-ICD was particularly uncertain due to the limited follow-up in the studies presented. MSAC suggested the results from a large </w:t>
      </w:r>
      <w:r w:rsidRPr="004D52E0">
        <w:rPr>
          <w:szCs w:val="24"/>
          <w:lang w:eastAsia="en-US"/>
        </w:rPr>
        <w:t xml:space="preserve">prospective, multi-centre, randomised controlled trial </w:t>
      </w:r>
      <w:r>
        <w:rPr>
          <w:szCs w:val="24"/>
          <w:lang w:eastAsia="en-US"/>
        </w:rPr>
        <w:t>(</w:t>
      </w:r>
      <w:r w:rsidRPr="004D52E0">
        <w:rPr>
          <w:szCs w:val="24"/>
          <w:lang w:eastAsia="en-US"/>
        </w:rPr>
        <w:t>PRAETORIAN</w:t>
      </w:r>
      <w:r>
        <w:rPr>
          <w:szCs w:val="24"/>
          <w:lang w:eastAsia="en-US"/>
        </w:rPr>
        <w:t>) due for completion in June 2018 may help to address the uncertainties.</w:t>
      </w:r>
    </w:p>
    <w:p w:rsidR="00C628F2" w:rsidRDefault="00C628F2" w:rsidP="00225AD0">
      <w:pPr>
        <w:rPr>
          <w:szCs w:val="24"/>
          <w:lang w:eastAsia="en-US"/>
        </w:rPr>
      </w:pPr>
    </w:p>
    <w:p w:rsidR="00C628F2" w:rsidRDefault="00C628F2" w:rsidP="00225AD0">
      <w:pPr>
        <w:rPr>
          <w:szCs w:val="24"/>
          <w:lang w:eastAsia="en-US"/>
        </w:rPr>
      </w:pPr>
      <w:r>
        <w:rPr>
          <w:szCs w:val="24"/>
          <w:lang w:eastAsia="en-US"/>
        </w:rPr>
        <w:t>MSAC questioned the ability of the current data set to address the assumption of non-inferior</w:t>
      </w:r>
      <w:r w:rsidRPr="006E0B77">
        <w:rPr>
          <w:szCs w:val="24"/>
          <w:lang w:eastAsia="en-US"/>
        </w:rPr>
        <w:t xml:space="preserve"> </w:t>
      </w:r>
      <w:r>
        <w:rPr>
          <w:szCs w:val="24"/>
          <w:lang w:eastAsia="en-US"/>
        </w:rPr>
        <w:t>safety and clinical effectiveness and therefore considered that this uncertainty flowed on to the economic evaluation as the cost-minimisation analysis was presented based on an assumption of non-inferiority between the two ICD devices. Total health care costs were calculated at $64,620 per S-ICD procedure and $69,296 per T-ICD procedure, resulting in a cost saving of</w:t>
      </w:r>
      <w:r w:rsidRPr="00BF4EBA">
        <w:rPr>
          <w:szCs w:val="24"/>
          <w:lang w:eastAsia="en-US"/>
        </w:rPr>
        <w:t xml:space="preserve"> $4,677</w:t>
      </w:r>
      <w:r>
        <w:rPr>
          <w:szCs w:val="24"/>
          <w:lang w:eastAsia="en-US"/>
        </w:rPr>
        <w:t xml:space="preserve"> per procedure</w:t>
      </w:r>
      <w:r w:rsidRPr="00BF4EBA">
        <w:rPr>
          <w:szCs w:val="24"/>
          <w:lang w:eastAsia="en-US"/>
        </w:rPr>
        <w:t xml:space="preserve"> (</w:t>
      </w:r>
      <w:r>
        <w:rPr>
          <w:szCs w:val="24"/>
          <w:lang w:eastAsia="en-US"/>
        </w:rPr>
        <w:t xml:space="preserve">decreasing to </w:t>
      </w:r>
      <w:r w:rsidRPr="00BF4EBA">
        <w:rPr>
          <w:szCs w:val="24"/>
          <w:lang w:eastAsia="en-US"/>
        </w:rPr>
        <w:t xml:space="preserve">$3,072 </w:t>
      </w:r>
      <w:r>
        <w:rPr>
          <w:szCs w:val="24"/>
          <w:lang w:eastAsia="en-US"/>
        </w:rPr>
        <w:t>if a</w:t>
      </w:r>
      <w:r w:rsidRPr="00BF4EBA">
        <w:rPr>
          <w:szCs w:val="24"/>
          <w:lang w:eastAsia="en-US"/>
        </w:rPr>
        <w:t xml:space="preserve"> 1% pa conversion</w:t>
      </w:r>
      <w:r>
        <w:rPr>
          <w:szCs w:val="24"/>
          <w:lang w:eastAsia="en-US"/>
        </w:rPr>
        <w:t xml:space="preserve"> from S-ICD to T-ICD is assumed</w:t>
      </w:r>
      <w:r w:rsidRPr="00BF4EBA">
        <w:rPr>
          <w:szCs w:val="24"/>
          <w:lang w:eastAsia="en-US"/>
        </w:rPr>
        <w:t>)</w:t>
      </w:r>
      <w:r>
        <w:rPr>
          <w:szCs w:val="24"/>
          <w:lang w:eastAsia="en-US"/>
        </w:rPr>
        <w:t>.</w:t>
      </w:r>
      <w:r w:rsidRPr="006E0B77">
        <w:rPr>
          <w:szCs w:val="24"/>
          <w:lang w:eastAsia="en-US"/>
        </w:rPr>
        <w:t xml:space="preserve"> </w:t>
      </w:r>
      <w:r>
        <w:rPr>
          <w:szCs w:val="24"/>
          <w:lang w:eastAsia="en-US"/>
        </w:rPr>
        <w:t xml:space="preserve">It was noted that this estimation was reliant on the accuracy of the number of eligible patients and uptake of S-ICD in </w:t>
      </w:r>
      <w:smartTag w:uri="urn:schemas-microsoft-com:office:smarttags" w:element="place">
        <w:smartTag w:uri="urn:schemas-microsoft-com:office:smarttags" w:element="country-region">
          <w:r>
            <w:rPr>
              <w:szCs w:val="24"/>
              <w:lang w:eastAsia="en-US"/>
            </w:rPr>
            <w:t>Australia</w:t>
          </w:r>
        </w:smartTag>
      </w:smartTag>
      <w:r>
        <w:rPr>
          <w:szCs w:val="24"/>
          <w:lang w:eastAsia="en-US"/>
        </w:rPr>
        <w:t xml:space="preserve">. </w:t>
      </w:r>
    </w:p>
    <w:p w:rsidR="00C628F2" w:rsidRDefault="00C628F2" w:rsidP="00225AD0">
      <w:pPr>
        <w:rPr>
          <w:szCs w:val="24"/>
          <w:lang w:eastAsia="en-US"/>
        </w:rPr>
      </w:pPr>
    </w:p>
    <w:p w:rsidR="00C628F2" w:rsidRDefault="00C628F2" w:rsidP="00225AD0">
      <w:pPr>
        <w:rPr>
          <w:szCs w:val="24"/>
          <w:lang w:eastAsia="en-US"/>
        </w:rPr>
      </w:pPr>
      <w:r>
        <w:rPr>
          <w:szCs w:val="24"/>
          <w:lang w:eastAsia="en-US"/>
        </w:rPr>
        <w:t xml:space="preserve">MSAC was concerned that the assumptions for similar resource use for S-ICD compared to T-ICD may not be reasonable as S-ICD lead insertion is relatively straightforward and would take half the time of T-ICD. Therefore, the fee reduction may be too small in recognition of the simpler and shorter procedure time of S-ICD relative to T-ICD procedures. MSAC considered </w:t>
      </w:r>
      <w:r>
        <w:t>that, overall</w:t>
      </w:r>
      <w:r w:rsidR="00D605A9">
        <w:t>,</w:t>
      </w:r>
      <w:r>
        <w:t xml:space="preserve"> the r</w:t>
      </w:r>
      <w:r w:rsidRPr="00A92533">
        <w:t xml:space="preserve">esources required for the implantation of </w:t>
      </w:r>
      <w:r>
        <w:t>S-</w:t>
      </w:r>
      <w:r w:rsidRPr="00A92533">
        <w:t xml:space="preserve">ICD are similar to </w:t>
      </w:r>
      <w:r>
        <w:t>T-</w:t>
      </w:r>
      <w:r w:rsidRPr="00A92533">
        <w:t xml:space="preserve">ICD in terms of </w:t>
      </w:r>
      <w:r w:rsidRPr="00A92533">
        <w:rPr>
          <w:szCs w:val="24"/>
          <w:lang w:eastAsia="en-US"/>
        </w:rPr>
        <w:t>staffi</w:t>
      </w:r>
      <w:r>
        <w:rPr>
          <w:szCs w:val="24"/>
          <w:lang w:eastAsia="en-US"/>
        </w:rPr>
        <w:t xml:space="preserve">ng and </w:t>
      </w:r>
      <w:r w:rsidRPr="00A92533">
        <w:rPr>
          <w:szCs w:val="24"/>
          <w:lang w:eastAsia="en-US"/>
        </w:rPr>
        <w:t>infrastructure</w:t>
      </w:r>
      <w:r>
        <w:rPr>
          <w:szCs w:val="24"/>
          <w:lang w:eastAsia="en-US"/>
        </w:rPr>
        <w:t>, although fluoroscopy is not required</w:t>
      </w:r>
      <w:r w:rsidRPr="00A92533">
        <w:rPr>
          <w:szCs w:val="24"/>
          <w:lang w:eastAsia="en-US"/>
        </w:rPr>
        <w:t>.</w:t>
      </w:r>
    </w:p>
    <w:p w:rsidR="00C628F2" w:rsidRDefault="00C628F2" w:rsidP="00225AD0">
      <w:pPr>
        <w:rPr>
          <w:szCs w:val="24"/>
          <w:lang w:eastAsia="en-US"/>
        </w:rPr>
      </w:pPr>
    </w:p>
    <w:p w:rsidR="00C628F2" w:rsidRDefault="00C628F2" w:rsidP="00225AD0">
      <w:pPr>
        <w:rPr>
          <w:szCs w:val="24"/>
          <w:lang w:eastAsia="en-US"/>
        </w:rPr>
      </w:pPr>
      <w:r>
        <w:rPr>
          <w:szCs w:val="24"/>
          <w:lang w:eastAsia="en-US"/>
        </w:rPr>
        <w:t>Sensitivity analyses on the uncertainties identified indicated that fewer cost savings for MBS would occur for listing S-ICD therapy if there was increased market growth, greater switching from S-ICD to T-ICD and X-ray costs were included.</w:t>
      </w:r>
    </w:p>
    <w:p w:rsidR="00C628F2" w:rsidRDefault="00C628F2" w:rsidP="00225AD0">
      <w:pPr>
        <w:rPr>
          <w:szCs w:val="24"/>
          <w:lang w:eastAsia="en-US"/>
        </w:rPr>
      </w:pPr>
    </w:p>
    <w:p w:rsidR="00C628F2" w:rsidRDefault="00C628F2" w:rsidP="00225AD0">
      <w:pPr>
        <w:rPr>
          <w:szCs w:val="24"/>
          <w:lang w:eastAsia="en-US"/>
        </w:rPr>
      </w:pPr>
      <w:r>
        <w:rPr>
          <w:szCs w:val="24"/>
          <w:lang w:eastAsia="en-US"/>
        </w:rPr>
        <w:t>MSAC identified other factors that also had the potential to impact on the economic modelling and increase financial uncertainty around this intervention such as:</w:t>
      </w:r>
    </w:p>
    <w:p w:rsidR="00C628F2" w:rsidRPr="003F53C9" w:rsidRDefault="00C628F2" w:rsidP="00225AD0">
      <w:pPr>
        <w:pStyle w:val="ListParagraph"/>
        <w:numPr>
          <w:ilvl w:val="0"/>
          <w:numId w:val="41"/>
        </w:numPr>
        <w:rPr>
          <w:szCs w:val="24"/>
          <w:lang w:eastAsia="en-US"/>
        </w:rPr>
      </w:pPr>
      <w:r w:rsidRPr="003F53C9">
        <w:rPr>
          <w:szCs w:val="24"/>
          <w:lang w:eastAsia="en-US"/>
        </w:rPr>
        <w:t>outcome data limited to under five years;</w:t>
      </w:r>
    </w:p>
    <w:p w:rsidR="00C628F2" w:rsidRPr="003F53C9" w:rsidRDefault="00C628F2" w:rsidP="00225AD0">
      <w:pPr>
        <w:pStyle w:val="ListParagraph"/>
        <w:numPr>
          <w:ilvl w:val="0"/>
          <w:numId w:val="41"/>
        </w:numPr>
        <w:rPr>
          <w:szCs w:val="24"/>
          <w:lang w:eastAsia="en-US"/>
        </w:rPr>
      </w:pPr>
      <w:r w:rsidRPr="003F53C9">
        <w:rPr>
          <w:szCs w:val="24"/>
          <w:lang w:eastAsia="en-US"/>
        </w:rPr>
        <w:t xml:space="preserve">overestimated proposed fee for </w:t>
      </w:r>
      <w:r>
        <w:rPr>
          <w:szCs w:val="24"/>
          <w:lang w:eastAsia="en-US"/>
        </w:rPr>
        <w:t>S-</w:t>
      </w:r>
      <w:r w:rsidRPr="003F53C9">
        <w:rPr>
          <w:szCs w:val="24"/>
          <w:lang w:eastAsia="en-US"/>
        </w:rPr>
        <w:t>ICD lead placement;</w:t>
      </w:r>
    </w:p>
    <w:p w:rsidR="00C628F2" w:rsidRPr="003F53C9" w:rsidRDefault="00C628F2" w:rsidP="00225AD0">
      <w:pPr>
        <w:pStyle w:val="ListParagraph"/>
        <w:numPr>
          <w:ilvl w:val="0"/>
          <w:numId w:val="41"/>
        </w:numPr>
        <w:rPr>
          <w:szCs w:val="24"/>
          <w:lang w:eastAsia="en-US"/>
        </w:rPr>
      </w:pPr>
      <w:r w:rsidRPr="003F53C9">
        <w:rPr>
          <w:szCs w:val="24"/>
          <w:lang w:eastAsia="en-US"/>
        </w:rPr>
        <w:t>underestimation of patients that will develop pacing requirements after S-ICD insertion;</w:t>
      </w:r>
      <w:r>
        <w:rPr>
          <w:szCs w:val="24"/>
          <w:lang w:eastAsia="en-US"/>
        </w:rPr>
        <w:t xml:space="preserve"> and</w:t>
      </w:r>
    </w:p>
    <w:p w:rsidR="00C628F2" w:rsidRPr="003F53C9" w:rsidRDefault="00C628F2" w:rsidP="00225AD0">
      <w:pPr>
        <w:pStyle w:val="ListParagraph"/>
        <w:numPr>
          <w:ilvl w:val="0"/>
          <w:numId w:val="41"/>
        </w:numPr>
        <w:rPr>
          <w:szCs w:val="24"/>
          <w:lang w:eastAsia="en-US"/>
        </w:rPr>
      </w:pPr>
      <w:r>
        <w:rPr>
          <w:szCs w:val="24"/>
          <w:lang w:eastAsia="en-US"/>
        </w:rPr>
        <w:t>r</w:t>
      </w:r>
      <w:r w:rsidRPr="003F53C9">
        <w:rPr>
          <w:szCs w:val="24"/>
          <w:lang w:eastAsia="en-US"/>
        </w:rPr>
        <w:t>educed battery life due to higher defibrillation threshold</w:t>
      </w:r>
      <w:r>
        <w:rPr>
          <w:szCs w:val="24"/>
          <w:lang w:eastAsia="en-US"/>
        </w:rPr>
        <w:t>.</w:t>
      </w:r>
    </w:p>
    <w:p w:rsidR="00C628F2" w:rsidRPr="00707064" w:rsidRDefault="00C628F2" w:rsidP="00550354">
      <w:pPr>
        <w:rPr>
          <w:szCs w:val="24"/>
        </w:rPr>
      </w:pPr>
    </w:p>
    <w:p w:rsidR="00C628F2" w:rsidRPr="00D90A38" w:rsidRDefault="00C628F2" w:rsidP="007B32D1">
      <w:pPr>
        <w:pStyle w:val="Heading1"/>
        <w:numPr>
          <w:ilvl w:val="0"/>
          <w:numId w:val="23"/>
        </w:numPr>
        <w:ind w:hanging="720"/>
      </w:pPr>
      <w:r w:rsidRPr="00D90A38">
        <w:lastRenderedPageBreak/>
        <w:t>Background</w:t>
      </w:r>
    </w:p>
    <w:p w:rsidR="00C628F2" w:rsidRDefault="00C628F2" w:rsidP="00DD2858">
      <w:pPr>
        <w:rPr>
          <w:b/>
          <w:szCs w:val="24"/>
        </w:rPr>
      </w:pPr>
    </w:p>
    <w:p w:rsidR="00C628F2" w:rsidRDefault="00C628F2" w:rsidP="00721806">
      <w:r w:rsidRPr="003F2843">
        <w:t xml:space="preserve">MSAC has not previously considered this application. </w:t>
      </w:r>
    </w:p>
    <w:p w:rsidR="00C628F2" w:rsidRPr="007B32D1" w:rsidRDefault="00C628F2" w:rsidP="007B32D1"/>
    <w:p w:rsidR="00C628F2" w:rsidRPr="00D90A38" w:rsidRDefault="00C628F2" w:rsidP="007B32D1">
      <w:pPr>
        <w:pStyle w:val="Heading1"/>
        <w:numPr>
          <w:ilvl w:val="0"/>
          <w:numId w:val="23"/>
        </w:numPr>
        <w:ind w:hanging="720"/>
      </w:pPr>
      <w:r w:rsidRPr="00D90A38">
        <w:t>Prerequisites to implementation of any funding advice</w:t>
      </w:r>
    </w:p>
    <w:p w:rsidR="00C628F2" w:rsidRPr="00707064" w:rsidRDefault="00C628F2" w:rsidP="00DD2858">
      <w:pPr>
        <w:tabs>
          <w:tab w:val="left" w:pos="720"/>
          <w:tab w:val="left" w:pos="1140"/>
        </w:tabs>
        <w:ind w:left="706"/>
        <w:rPr>
          <w:b/>
          <w:szCs w:val="24"/>
        </w:rPr>
      </w:pPr>
    </w:p>
    <w:p w:rsidR="00C628F2" w:rsidRDefault="00C628F2" w:rsidP="00721806">
      <w:r>
        <w:t xml:space="preserve">There are </w:t>
      </w:r>
      <w:r w:rsidRPr="00456D20">
        <w:t>S-ICD lead</w:t>
      </w:r>
      <w:r>
        <w:t>s</w:t>
      </w:r>
      <w:r w:rsidRPr="00456D20">
        <w:t xml:space="preserve"> and </w:t>
      </w:r>
      <w:r>
        <w:t>g</w:t>
      </w:r>
      <w:r w:rsidRPr="00456D20">
        <w:t>enerator</w:t>
      </w:r>
      <w:r>
        <w:t>s</w:t>
      </w:r>
      <w:r w:rsidRPr="00456D20">
        <w:t xml:space="preserve"> currently listed in the Australian Regis</w:t>
      </w:r>
      <w:r>
        <w:t>ter of Therapeutic Goods (ARTG).</w:t>
      </w:r>
    </w:p>
    <w:p w:rsidR="00C628F2" w:rsidRDefault="00C628F2" w:rsidP="00721806">
      <w:pPr>
        <w:rPr>
          <w:rFonts w:cs="Arial"/>
          <w:lang w:val="en-GB"/>
        </w:rPr>
      </w:pPr>
    </w:p>
    <w:p w:rsidR="00C628F2" w:rsidRDefault="00C628F2" w:rsidP="00721806">
      <w:r w:rsidRPr="00F20A5F">
        <w:rPr>
          <w:rFonts w:cs="Arial"/>
          <w:lang w:val="en-GB"/>
        </w:rPr>
        <w:t xml:space="preserve">The cost of the generator associated with </w:t>
      </w:r>
      <w:r>
        <w:rPr>
          <w:rFonts w:cs="Arial"/>
          <w:lang w:val="en-GB"/>
        </w:rPr>
        <w:t>S-</w:t>
      </w:r>
      <w:r w:rsidRPr="00F20A5F">
        <w:rPr>
          <w:rFonts w:cs="Arial"/>
          <w:lang w:val="en-GB"/>
        </w:rPr>
        <w:t xml:space="preserve">ICD leads will separately require consideration for reimbursement through the Prostheses List. </w:t>
      </w:r>
    </w:p>
    <w:p w:rsidR="00C628F2" w:rsidRDefault="00C628F2" w:rsidP="00721806"/>
    <w:p w:rsidR="00C628F2" w:rsidRDefault="00C628F2" w:rsidP="00721806">
      <w:pPr>
        <w:rPr>
          <w:lang w:val="en-GB" w:eastAsia="ja-JP"/>
        </w:rPr>
      </w:pPr>
      <w:r w:rsidRPr="00A234E6">
        <w:rPr>
          <w:lang w:val="en-GB" w:eastAsia="ja-JP"/>
        </w:rPr>
        <w:t xml:space="preserve">Implantation of </w:t>
      </w:r>
      <w:r>
        <w:rPr>
          <w:lang w:val="en-GB" w:eastAsia="ja-JP"/>
        </w:rPr>
        <w:t>an S-</w:t>
      </w:r>
      <w:r w:rsidRPr="00A234E6">
        <w:rPr>
          <w:lang w:val="en-GB" w:eastAsia="ja-JP"/>
        </w:rPr>
        <w:t xml:space="preserve">ICD device is clinically similar to the insertion of a </w:t>
      </w:r>
      <w:r>
        <w:rPr>
          <w:lang w:val="en-GB" w:eastAsia="ja-JP"/>
        </w:rPr>
        <w:t>T-</w:t>
      </w:r>
      <w:r w:rsidRPr="00A234E6">
        <w:rPr>
          <w:lang w:val="en-GB" w:eastAsia="ja-JP"/>
        </w:rPr>
        <w:t>ICD in terms of staffing, and required infrastructure. As such, the necessary capabilities to perform</w:t>
      </w:r>
      <w:r>
        <w:rPr>
          <w:lang w:val="en-GB" w:eastAsia="ja-JP"/>
        </w:rPr>
        <w:t xml:space="preserve"> S-</w:t>
      </w:r>
      <w:r w:rsidRPr="00A234E6">
        <w:rPr>
          <w:lang w:val="en-GB" w:eastAsia="ja-JP"/>
        </w:rPr>
        <w:t>ICD implantation are already established at the relevant clinics and institutions.</w:t>
      </w:r>
    </w:p>
    <w:p w:rsidR="00C628F2" w:rsidRPr="00707064" w:rsidRDefault="00C628F2" w:rsidP="009E0D98">
      <w:pPr>
        <w:tabs>
          <w:tab w:val="left" w:pos="720"/>
          <w:tab w:val="left" w:pos="1140"/>
        </w:tabs>
        <w:rPr>
          <w:color w:val="0070C0"/>
          <w:szCs w:val="24"/>
        </w:rPr>
      </w:pPr>
    </w:p>
    <w:p w:rsidR="00C628F2" w:rsidRPr="007B32D1" w:rsidRDefault="00C628F2" w:rsidP="007B32D1">
      <w:pPr>
        <w:pStyle w:val="Heading1"/>
        <w:numPr>
          <w:ilvl w:val="0"/>
          <w:numId w:val="23"/>
        </w:numPr>
        <w:ind w:hanging="720"/>
      </w:pPr>
      <w:r w:rsidRPr="007B32D1">
        <w:t>Proposal for public funding</w:t>
      </w:r>
    </w:p>
    <w:p w:rsidR="00C628F2" w:rsidRDefault="00C628F2" w:rsidP="00AB3BFC">
      <w:pPr>
        <w:tabs>
          <w:tab w:val="left" w:pos="720"/>
          <w:tab w:val="left" w:pos="1140"/>
        </w:tabs>
        <w:rPr>
          <w:sz w:val="23"/>
          <w:szCs w:val="23"/>
        </w:rPr>
      </w:pPr>
    </w:p>
    <w:p w:rsidR="00C628F2" w:rsidRDefault="00C628F2" w:rsidP="00721806">
      <w:r w:rsidRPr="00F20A5F">
        <w:rPr>
          <w:rFonts w:cs="Arial"/>
          <w:lang w:val="en-GB"/>
        </w:rPr>
        <w:t xml:space="preserve">There are </w:t>
      </w:r>
      <w:r w:rsidRPr="00A234E6">
        <w:t xml:space="preserve">existing MBS </w:t>
      </w:r>
      <w:r>
        <w:t>items</w:t>
      </w:r>
      <w:r w:rsidRPr="00A234E6">
        <w:t xml:space="preserve"> for insertion of </w:t>
      </w:r>
      <w:r>
        <w:t>T-</w:t>
      </w:r>
      <w:r w:rsidRPr="00A234E6">
        <w:t>ICD leads in primary prevention (item 38384; Table 1) and secondary prevention (item 38390; Table 2)</w:t>
      </w:r>
      <w:r>
        <w:t>.</w:t>
      </w:r>
      <w:r w:rsidRPr="00A234E6">
        <w:t xml:space="preserve"> </w:t>
      </w:r>
      <w:r>
        <w:t xml:space="preserve">The associated </w:t>
      </w:r>
      <w:r w:rsidRPr="00A17174">
        <w:t>MBS</w:t>
      </w:r>
      <w:r>
        <w:t xml:space="preserve"> </w:t>
      </w:r>
      <w:r w:rsidRPr="00A17174">
        <w:t>items for the insertion or replacement of an aut</w:t>
      </w:r>
      <w:r>
        <w:t>omatic defibrillator generator are items 38387 and 38393.</w:t>
      </w:r>
    </w:p>
    <w:p w:rsidR="00C628F2" w:rsidRDefault="00C628F2" w:rsidP="00721806"/>
    <w:p w:rsidR="00C628F2" w:rsidRDefault="00C628F2" w:rsidP="00721806">
      <w:r>
        <w:t>The proposed listing for the S-ICD lead is below.</w:t>
      </w:r>
    </w:p>
    <w:p w:rsidR="00C628F2" w:rsidRPr="00F9680B" w:rsidRDefault="00C628F2" w:rsidP="00721806">
      <w:pPr>
        <w:rPr>
          <w:lang w:val="en-GB" w:eastAsia="ja-JP"/>
        </w:rPr>
      </w:pPr>
    </w:p>
    <w:p w:rsidR="00C628F2" w:rsidRPr="00A34E9C" w:rsidRDefault="00C628F2" w:rsidP="00721806">
      <w:pPr>
        <w:pStyle w:val="Caption"/>
      </w:pPr>
      <w:r>
        <w:t>Proposed</w:t>
      </w:r>
      <w:r w:rsidRPr="00A34E9C">
        <w:t xml:space="preserve"> MBS item descriptor for </w:t>
      </w:r>
      <w:r w:rsidRPr="006C0034">
        <w:t>insertion</w:t>
      </w:r>
      <w:r>
        <w:t>, removal or replacement</w:t>
      </w:r>
      <w:r w:rsidRPr="006C0034">
        <w:t xml:space="preserve"> of </w:t>
      </w:r>
      <w:r>
        <w:t>subcutaneou</w:t>
      </w:r>
      <w:r w:rsidRPr="006C0034">
        <w:t xml:space="preserve">s ICD lead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C628F2" w:rsidRPr="00A34E9C" w:rsidTr="00721806">
        <w:tc>
          <w:tcPr>
            <w:tcW w:w="9134" w:type="dxa"/>
          </w:tcPr>
          <w:p w:rsidR="00C628F2" w:rsidRPr="009B071C" w:rsidRDefault="00C628F2" w:rsidP="00721806">
            <w:pPr>
              <w:keepNext/>
              <w:spacing w:after="120"/>
              <w:jc w:val="right"/>
              <w:rPr>
                <w:rFonts w:ascii="Arial Narrow" w:hAnsi="Arial Narrow"/>
                <w:lang w:eastAsia="ja-JP"/>
              </w:rPr>
            </w:pPr>
            <w:r w:rsidRPr="009B071C">
              <w:rPr>
                <w:rFonts w:ascii="Arial Narrow" w:hAnsi="Arial Narrow"/>
                <w:lang w:eastAsia="ja-JP"/>
              </w:rPr>
              <w:t>Category 3 – Therapeutic Procedures</w:t>
            </w:r>
          </w:p>
        </w:tc>
      </w:tr>
      <w:tr w:rsidR="00C628F2" w:rsidRPr="00A34E9C" w:rsidTr="00721806">
        <w:tc>
          <w:tcPr>
            <w:tcW w:w="9134" w:type="dxa"/>
          </w:tcPr>
          <w:p w:rsidR="00C628F2" w:rsidRPr="007A2214" w:rsidRDefault="00C628F2" w:rsidP="00721806">
            <w:pPr>
              <w:pStyle w:val="Default"/>
              <w:jc w:val="both"/>
              <w:rPr>
                <w:rFonts w:ascii="Arial Narrow" w:eastAsia="SimSun" w:hAnsi="Arial Narrow" w:cs="Tahoma"/>
                <w:color w:val="auto"/>
                <w:sz w:val="20"/>
                <w:szCs w:val="20"/>
                <w:lang w:val="en-US" w:eastAsia="ja-JP"/>
              </w:rPr>
            </w:pPr>
            <w:r w:rsidRPr="007A2214">
              <w:rPr>
                <w:rFonts w:ascii="Arial Narrow" w:hAnsi="Arial Narrow" w:cs="Tahoma"/>
                <w:sz w:val="20"/>
                <w:szCs w:val="20"/>
                <w:lang w:val="en-US" w:eastAsia="ja-JP"/>
              </w:rPr>
              <w:t>SUBCUTANEOUS DEFIBRILLATOR LEAD, insertion, removal or replacement of, for prevention of sudden cardiac death in patients who do not have symptomatic bradycardia, incessant ventricular tachycardia, or spontaneous, frequently occurring ventricular tachycardia that is reliably terminated with anti-tachycardia pacing.</w:t>
            </w:r>
          </w:p>
          <w:p w:rsidR="00C628F2" w:rsidRPr="007A2214" w:rsidRDefault="00C628F2" w:rsidP="00721806">
            <w:pPr>
              <w:keepNext/>
              <w:spacing w:after="120"/>
              <w:rPr>
                <w:rFonts w:ascii="Arial Narrow" w:hAnsi="Arial Narrow"/>
                <w:sz w:val="20"/>
                <w:lang w:val="en-US" w:eastAsia="ja-JP"/>
              </w:rPr>
            </w:pPr>
            <w:r w:rsidRPr="007A2214">
              <w:rPr>
                <w:rFonts w:ascii="Arial Narrow" w:hAnsi="Arial Narrow"/>
                <w:sz w:val="20"/>
                <w:lang w:val="en-US" w:eastAsia="ja-JP"/>
              </w:rPr>
              <w:t>Multiple Services Rule (</w:t>
            </w:r>
            <w:proofErr w:type="spellStart"/>
            <w:r w:rsidRPr="007A2214">
              <w:rPr>
                <w:rFonts w:ascii="Arial Narrow" w:hAnsi="Arial Narrow"/>
                <w:sz w:val="20"/>
                <w:lang w:val="en-US" w:eastAsia="ja-JP"/>
              </w:rPr>
              <w:t>Anaes</w:t>
            </w:r>
            <w:proofErr w:type="spellEnd"/>
            <w:r w:rsidRPr="007A2214">
              <w:rPr>
                <w:rFonts w:ascii="Arial Narrow" w:hAnsi="Arial Narrow"/>
                <w:sz w:val="20"/>
                <w:lang w:val="en-US" w:eastAsia="ja-JP"/>
              </w:rPr>
              <w:t xml:space="preserve">.) (Assist.) </w:t>
            </w:r>
          </w:p>
          <w:p w:rsidR="00C628F2" w:rsidRPr="009B071C" w:rsidRDefault="00C628F2" w:rsidP="00721806">
            <w:pPr>
              <w:keepNext/>
              <w:spacing w:after="120"/>
              <w:rPr>
                <w:rFonts w:ascii="Arial Narrow" w:hAnsi="Arial Narrow"/>
                <w:lang w:val="en-US" w:eastAsia="ja-JP"/>
              </w:rPr>
            </w:pPr>
            <w:r w:rsidRPr="007A2214">
              <w:rPr>
                <w:rFonts w:ascii="Arial Narrow" w:hAnsi="Arial Narrow"/>
                <w:sz w:val="20"/>
                <w:lang w:val="en-US" w:eastAsia="ja-JP"/>
              </w:rPr>
              <w:t>Fee: $TBD</w:t>
            </w:r>
          </w:p>
        </w:tc>
      </w:tr>
    </w:tbl>
    <w:p w:rsidR="00C628F2" w:rsidRDefault="00C628F2" w:rsidP="00721806"/>
    <w:p w:rsidR="00C628F2" w:rsidRDefault="00C628F2" w:rsidP="00721806">
      <w:r w:rsidRPr="00A234E6">
        <w:t>Specifically,</w:t>
      </w:r>
      <w:r>
        <w:t xml:space="preserve"> S-</w:t>
      </w:r>
      <w:r w:rsidRPr="00A234E6">
        <w:t xml:space="preserve">ICD is only indicated for the treatment of life-threatening </w:t>
      </w:r>
      <w:r>
        <w:t>ventricular arrhythmias</w:t>
      </w:r>
      <w:r w:rsidRPr="00A234E6">
        <w:t xml:space="preserve"> in patients who do not have symptomatic bradycardia, incessant </w:t>
      </w:r>
      <w:r w:rsidRPr="00BC0B9A">
        <w:t>VT</w:t>
      </w:r>
      <w:r w:rsidRPr="00A234E6">
        <w:t>, or spontaneous, frequently recurring VT that is reliably terminated with anti-tachycardia pacing.</w:t>
      </w:r>
    </w:p>
    <w:p w:rsidR="00C628F2" w:rsidRDefault="00C628F2" w:rsidP="00721806"/>
    <w:p w:rsidR="00C628F2" w:rsidRPr="00D76132" w:rsidRDefault="00C628F2" w:rsidP="00721806">
      <w:r w:rsidRPr="00D76132">
        <w:t xml:space="preserve">Specialists involved in the insertion of a </w:t>
      </w:r>
      <w:r>
        <w:t>S-</w:t>
      </w:r>
      <w:r w:rsidRPr="00D76132">
        <w:t xml:space="preserve">ICD lead would be the same with the </w:t>
      </w:r>
      <w:r>
        <w:t>proposed</w:t>
      </w:r>
      <w:r w:rsidRPr="00D76132">
        <w:t xml:space="preserve"> listing. As is the case for </w:t>
      </w:r>
      <w:r>
        <w:t>T-</w:t>
      </w:r>
      <w:r w:rsidRPr="00D76132">
        <w:t xml:space="preserve">ICD lead insertion, all </w:t>
      </w:r>
      <w:r>
        <w:t>S-</w:t>
      </w:r>
      <w:r w:rsidRPr="00D76132">
        <w:t>ICD lead insertions will take place in a hospital setting.</w:t>
      </w:r>
    </w:p>
    <w:p w:rsidR="00C628F2" w:rsidRPr="00707064" w:rsidRDefault="00C628F2" w:rsidP="00AB3BFC">
      <w:pPr>
        <w:tabs>
          <w:tab w:val="left" w:pos="720"/>
          <w:tab w:val="left" w:pos="1140"/>
        </w:tabs>
        <w:rPr>
          <w:color w:val="0070C0"/>
          <w:szCs w:val="24"/>
        </w:rPr>
      </w:pPr>
    </w:p>
    <w:p w:rsidR="00C628F2" w:rsidRPr="007B32D1" w:rsidRDefault="00C628F2" w:rsidP="007B32D1">
      <w:pPr>
        <w:pStyle w:val="Heading1"/>
        <w:numPr>
          <w:ilvl w:val="0"/>
          <w:numId w:val="23"/>
        </w:numPr>
        <w:ind w:hanging="720"/>
      </w:pPr>
      <w:r w:rsidRPr="007B32D1">
        <w:t xml:space="preserve">Summary of </w:t>
      </w:r>
      <w:r>
        <w:t>Public Consultation</w:t>
      </w:r>
      <w:r w:rsidRPr="007B32D1">
        <w:t xml:space="preserve"> Feedback</w:t>
      </w:r>
      <w:r>
        <w:t>/Consumer Issues</w:t>
      </w:r>
    </w:p>
    <w:p w:rsidR="00C628F2" w:rsidRDefault="00C628F2" w:rsidP="00DD2858">
      <w:pPr>
        <w:rPr>
          <w:b/>
          <w:szCs w:val="24"/>
        </w:rPr>
      </w:pPr>
    </w:p>
    <w:p w:rsidR="00C628F2" w:rsidRPr="00CE4156" w:rsidRDefault="00C628F2" w:rsidP="00DD2858">
      <w:r w:rsidRPr="004F1164">
        <w:rPr>
          <w:bCs/>
        </w:rPr>
        <w:t>Consumers noted that the item appears</w:t>
      </w:r>
      <w:r w:rsidRPr="004F1164">
        <w:t xml:space="preserve"> to offer a yet-to-be-proven default option for a small number of patients and that there is inadequate evidence, pending the 2018 study report. As a result, there is inadequate modelling based on inadequate evidence.</w:t>
      </w:r>
    </w:p>
    <w:p w:rsidR="008038DA" w:rsidRPr="00707064" w:rsidRDefault="008038DA" w:rsidP="00DD2858">
      <w:pPr>
        <w:rPr>
          <w:b/>
          <w:szCs w:val="24"/>
        </w:rPr>
      </w:pPr>
    </w:p>
    <w:p w:rsidR="00C628F2" w:rsidRDefault="00C628F2" w:rsidP="007B32D1">
      <w:pPr>
        <w:pStyle w:val="Heading1"/>
        <w:numPr>
          <w:ilvl w:val="0"/>
          <w:numId w:val="23"/>
        </w:numPr>
        <w:ind w:hanging="720"/>
      </w:pPr>
      <w:r w:rsidRPr="00D90A38">
        <w:t>Proposed intervention’s place in clinical management</w:t>
      </w:r>
    </w:p>
    <w:p w:rsidR="00C628F2" w:rsidRDefault="00C628F2" w:rsidP="00DD2858">
      <w:pPr>
        <w:rPr>
          <w:color w:val="3366FF"/>
          <w:szCs w:val="24"/>
        </w:rPr>
      </w:pPr>
    </w:p>
    <w:p w:rsidR="00C628F2" w:rsidRDefault="00C628F2" w:rsidP="006D0B0D">
      <w:r>
        <w:t xml:space="preserve">The S-ICD comprises of an electrode and pulse generator. In contrast to traditional ICDs, this ICD is entirely subcutaneous. Accordingly, the system does not require an electrode to be </w:t>
      </w:r>
      <w:r>
        <w:lastRenderedPageBreak/>
        <w:t>placed either on (</w:t>
      </w:r>
      <w:proofErr w:type="spellStart"/>
      <w:r>
        <w:t>epicardially</w:t>
      </w:r>
      <w:proofErr w:type="spellEnd"/>
      <w:r>
        <w:t>) or in (</w:t>
      </w:r>
      <w:proofErr w:type="spellStart"/>
      <w:r>
        <w:t>endocardially</w:t>
      </w:r>
      <w:proofErr w:type="spellEnd"/>
      <w:r>
        <w:t>) the heart and no leads are passed through the venous system. The implant procedure for the S-ICD involves making a pocket for the pulse generator in the lateral thoracic region. Using a tunnelling tool, the electrode is then placed in a subcutaneous sinus along the sternum. Using anatomical landmarks only, there is no need for fluoroscopy or other medical imaging during the surgical implant procedure. The electrode is connected to the pulse generator and the system then monitors cardiac rhythms, delivers defibrillation and/or post-shock bradycardia pacing therapies as required, and records ventricular tachyarrhythmia events for subsequent clinician review. A pre-procedure chest X-ray is usually performed and a post- procedure chest X-ray is used to check the position of the generator.</w:t>
      </w:r>
    </w:p>
    <w:p w:rsidR="00C628F2" w:rsidRDefault="00C628F2" w:rsidP="006D0B0D"/>
    <w:p w:rsidR="00C628F2" w:rsidRDefault="00C628F2" w:rsidP="006D0B0D">
      <w:pPr>
        <w:rPr>
          <w:rFonts w:cs="Arial"/>
          <w:lang w:val="en-GB"/>
        </w:rPr>
      </w:pPr>
      <w:r w:rsidRPr="00A234E6">
        <w:t>Currently,</w:t>
      </w:r>
      <w:r>
        <w:t xml:space="preserve"> T-</w:t>
      </w:r>
      <w:r w:rsidRPr="00A234E6">
        <w:t>ICD devices are able to provide cardiac pacing to treat dangerously low heart rates (bradycardia), if present</w:t>
      </w:r>
      <w:r>
        <w:t xml:space="preserve"> (</w:t>
      </w:r>
      <w:proofErr w:type="spellStart"/>
      <w:r>
        <w:t>eg</w:t>
      </w:r>
      <w:proofErr w:type="spellEnd"/>
      <w:r>
        <w:t>. following appropriate shock)</w:t>
      </w:r>
      <w:r w:rsidRPr="00A234E6">
        <w:t xml:space="preserve">. However, the majority of patients implanted with an ICD do not have a bradycardia pacing indication. </w:t>
      </w:r>
      <w:r w:rsidRPr="00FB6D16">
        <w:rPr>
          <w:lang w:val="en-GB"/>
        </w:rPr>
        <w:t xml:space="preserve">Insertion </w:t>
      </w:r>
      <w:r w:rsidRPr="00FB6D16">
        <w:rPr>
          <w:rFonts w:cs="Arial"/>
          <w:lang w:val="en-GB"/>
        </w:rPr>
        <w:t xml:space="preserve">of the </w:t>
      </w:r>
      <w:r>
        <w:rPr>
          <w:rFonts w:cs="Arial"/>
          <w:lang w:val="en-GB"/>
        </w:rPr>
        <w:t>S-</w:t>
      </w:r>
      <w:r w:rsidRPr="00FB6D16">
        <w:rPr>
          <w:rFonts w:cs="Arial"/>
          <w:lang w:val="en-GB"/>
        </w:rPr>
        <w:t xml:space="preserve">ICD is clinically similar to the insertion of a </w:t>
      </w:r>
      <w:r>
        <w:rPr>
          <w:rFonts w:cs="Arial"/>
          <w:lang w:val="en-GB"/>
        </w:rPr>
        <w:t>T-</w:t>
      </w:r>
      <w:r w:rsidRPr="00FB6D16">
        <w:rPr>
          <w:rFonts w:cs="Arial"/>
          <w:lang w:val="en-GB"/>
        </w:rPr>
        <w:t xml:space="preserve">ICD, yet the </w:t>
      </w:r>
      <w:r>
        <w:rPr>
          <w:rFonts w:cs="Arial"/>
          <w:lang w:val="en-GB"/>
        </w:rPr>
        <w:t>S-</w:t>
      </w:r>
      <w:r w:rsidRPr="00FB6D16">
        <w:rPr>
          <w:rFonts w:cs="Arial"/>
          <w:lang w:val="en-GB"/>
        </w:rPr>
        <w:t>ICD leads do not need to be inserted into the vasculature of the heart. Rather, they are placed under the skin of the patients’ chest.</w:t>
      </w:r>
    </w:p>
    <w:p w:rsidR="00C628F2" w:rsidRDefault="00C628F2" w:rsidP="00721806">
      <w:pPr>
        <w:tabs>
          <w:tab w:val="left" w:pos="720"/>
          <w:tab w:val="left" w:pos="1140"/>
        </w:tabs>
        <w:rPr>
          <w:rFonts w:cs="Arial"/>
          <w:lang w:val="en-GB"/>
        </w:rPr>
      </w:pPr>
    </w:p>
    <w:p w:rsidR="00C628F2" w:rsidRDefault="00C628F2" w:rsidP="00721806">
      <w:r>
        <w:t xml:space="preserve">The S-ICD is intended to provide defibrillation therapy for the treatment of life threatening ventricular </w:t>
      </w:r>
      <w:proofErr w:type="spellStart"/>
      <w:r>
        <w:t>tachyarrhythmias</w:t>
      </w:r>
      <w:proofErr w:type="spellEnd"/>
      <w:r>
        <w:t xml:space="preserve"> in patients who do not have symptomatic bradycardia, incessant ventricular tachycardia, or spontaneous, frequently recurring ventricular tachycardia that is reliably terminated with anti-tachycardia pacing.</w:t>
      </w:r>
    </w:p>
    <w:p w:rsidR="00C628F2" w:rsidRDefault="00C628F2" w:rsidP="00721806"/>
    <w:p w:rsidR="00C628F2" w:rsidRDefault="00C628F2" w:rsidP="00721806">
      <w:r>
        <w:t>It was claimed that t</w:t>
      </w:r>
      <w:r w:rsidRPr="00A234E6">
        <w:t>he</w:t>
      </w:r>
      <w:r>
        <w:t xml:space="preserve"> S-</w:t>
      </w:r>
      <w:r w:rsidRPr="00A234E6">
        <w:t xml:space="preserve">ICD system provides </w:t>
      </w:r>
      <w:r>
        <w:t>similar</w:t>
      </w:r>
      <w:r w:rsidRPr="00A234E6">
        <w:t xml:space="preserve"> clinical benefits as</w:t>
      </w:r>
      <w:r>
        <w:t xml:space="preserve"> T-</w:t>
      </w:r>
      <w:r w:rsidRPr="00A234E6">
        <w:t>ICDs while minimising the risk of some long-term complications associated with</w:t>
      </w:r>
      <w:r>
        <w:t xml:space="preserve"> T-</w:t>
      </w:r>
      <w:r w:rsidRPr="00A234E6">
        <w:t>ICD lead failure.</w:t>
      </w:r>
      <w:r>
        <w:t xml:space="preserve"> MSAC noted that the S-ICD system provides </w:t>
      </w:r>
      <w:r w:rsidRPr="00080A8A">
        <w:rPr>
          <w:u w:val="single"/>
        </w:rPr>
        <w:t>some</w:t>
      </w:r>
      <w:r>
        <w:t xml:space="preserve"> of the clinical benefits of T-ICD i.e. it does not have the capacity to provide pacing.</w:t>
      </w:r>
    </w:p>
    <w:p w:rsidR="00C628F2" w:rsidRDefault="00C628F2" w:rsidP="00721806"/>
    <w:p w:rsidR="00C628F2" w:rsidRDefault="00C628F2" w:rsidP="00721806">
      <w:r>
        <w:t>Below is the p</w:t>
      </w:r>
      <w:r w:rsidRPr="00A234E6">
        <w:t>roposed clinical management pathway for patients with ventricul</w:t>
      </w:r>
      <w:r>
        <w:t xml:space="preserve">ar arrhythmia at risk of sudden </w:t>
      </w:r>
      <w:r w:rsidRPr="00A234E6">
        <w:t>cardiac death</w:t>
      </w:r>
      <w:r>
        <w:t>.</w:t>
      </w:r>
    </w:p>
    <w:p w:rsidR="00C628F2" w:rsidRPr="00A7696D" w:rsidRDefault="00C628F2" w:rsidP="00721806">
      <w:pPr>
        <w:rPr>
          <w:lang w:val="en-GB" w:eastAsia="ja-JP"/>
        </w:rPr>
      </w:pPr>
    </w:p>
    <w:p w:rsidR="00C628F2" w:rsidRDefault="00CD7D09" w:rsidP="00721806">
      <w:pPr>
        <w:jc w:val="center"/>
      </w:pPr>
      <w:r>
        <w:rPr>
          <w:noProof/>
        </w:rPr>
        <w:drawing>
          <wp:inline distT="0" distB="0" distL="0" distR="0">
            <wp:extent cx="4391025" cy="2962275"/>
            <wp:effectExtent l="0" t="0" r="9525" b="9525"/>
            <wp:docPr id="2" name="Picture 1" descr="proposed clinical management pathway for patients with ventricular arrhythmia at risk of sudden cardiac death including the proposed place of S-ICD" title="proposed clinical management pathway for patients with ventricular arrhythmia at risk of sudden cardiac d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025" cy="2962275"/>
                    </a:xfrm>
                    <a:prstGeom prst="rect">
                      <a:avLst/>
                    </a:prstGeom>
                    <a:noFill/>
                    <a:ln>
                      <a:noFill/>
                    </a:ln>
                  </pic:spPr>
                </pic:pic>
              </a:graphicData>
            </a:graphic>
          </wp:inline>
        </w:drawing>
      </w:r>
    </w:p>
    <w:p w:rsidR="00C628F2" w:rsidRPr="00707064" w:rsidRDefault="00C628F2" w:rsidP="00DD2858">
      <w:pPr>
        <w:rPr>
          <w:color w:val="3366FF"/>
          <w:szCs w:val="24"/>
        </w:rPr>
      </w:pPr>
    </w:p>
    <w:p w:rsidR="00C628F2" w:rsidRPr="008D5885" w:rsidRDefault="00C628F2" w:rsidP="007B32D1">
      <w:pPr>
        <w:pStyle w:val="Heading1"/>
        <w:numPr>
          <w:ilvl w:val="0"/>
          <w:numId w:val="23"/>
        </w:numPr>
        <w:ind w:hanging="720"/>
      </w:pPr>
      <w:r w:rsidRPr="008D5885">
        <w:t xml:space="preserve">Comparator </w:t>
      </w:r>
    </w:p>
    <w:p w:rsidR="00C628F2" w:rsidRDefault="00C628F2" w:rsidP="00DD2858">
      <w:pPr>
        <w:rPr>
          <w:b/>
          <w:szCs w:val="24"/>
        </w:rPr>
      </w:pPr>
    </w:p>
    <w:p w:rsidR="00C628F2" w:rsidRDefault="00C628F2" w:rsidP="00721806">
      <w:r>
        <w:t xml:space="preserve">The application nominated single and dual-chamber T-ICD therapy as the comparator. </w:t>
      </w:r>
    </w:p>
    <w:p w:rsidR="00C628F2" w:rsidRDefault="00C628F2" w:rsidP="00721806"/>
    <w:p w:rsidR="00C628F2" w:rsidRDefault="00C628F2" w:rsidP="00721806">
      <w:r>
        <w:t xml:space="preserve">There are existing MBS listed items for T-ICD therapy. The comparator also provides anti-tachycardia pacing and bradycardia pacing support. The number of patients suitable for T-ICD therapy is greater than S-ICD therapy however, it is estimated that 75-80% of T-ICD patients would be suitable for S-ICD therapy. The insertion of the transvenous lead into the heart vasculature for treatment is more complicated than inserting a subcutaneous lead. It requires correct positioning, with higher procedural risk and greater demand on medical imaging. </w:t>
      </w:r>
      <w:r w:rsidRPr="007B6308">
        <w:t xml:space="preserve">Another disadvantage of transvenous lead placement is the increased physical stress exhibited on the leads as a result of cardiac motion, and thus increased risk for lead fracture. </w:t>
      </w:r>
    </w:p>
    <w:p w:rsidR="00C628F2" w:rsidRDefault="00C628F2" w:rsidP="00721806"/>
    <w:p w:rsidR="00C628F2" w:rsidRPr="00080A8A" w:rsidRDefault="00C628F2" w:rsidP="00721806">
      <w:r>
        <w:t>S-</w:t>
      </w:r>
      <w:r w:rsidRPr="00080A8A">
        <w:t xml:space="preserve">ICD has significant functional limitations as it cannot provide long-term bradycardia pacing or anti-tachycardia pacing.  Nor does </w:t>
      </w:r>
      <w:r>
        <w:t>S-</w:t>
      </w:r>
      <w:r w:rsidRPr="00080A8A">
        <w:t xml:space="preserve">ICD have remote monitoring capability – a feature that </w:t>
      </w:r>
      <w:r>
        <w:t xml:space="preserve">decreases the number of scheduled clinic-based device checks and may </w:t>
      </w:r>
      <w:r w:rsidRPr="00080A8A">
        <w:t>improve patient outcomes and simplifies follow-up (Aziz et al 2014).</w:t>
      </w:r>
    </w:p>
    <w:p w:rsidR="00C628F2" w:rsidRDefault="00C628F2" w:rsidP="00721806"/>
    <w:p w:rsidR="00C628F2" w:rsidRDefault="00C628F2" w:rsidP="00721806">
      <w:r>
        <w:t>The physical size of the S-ICD generator is 30 percent larger than the T-ICD generator. Expert opinion</w:t>
      </w:r>
      <w:r w:rsidRPr="009B071C">
        <w:t xml:space="preserve"> advise</w:t>
      </w:r>
      <w:r>
        <w:t>d</w:t>
      </w:r>
      <w:r w:rsidRPr="009B071C">
        <w:t xml:space="preserve"> that, once “well healed in”, this should not result in significant discomfort and no worse than for </w:t>
      </w:r>
      <w:r>
        <w:t>T-</w:t>
      </w:r>
      <w:r w:rsidRPr="009B071C">
        <w:t>ICD.</w:t>
      </w:r>
      <w:r w:rsidRPr="002728AF">
        <w:t xml:space="preserve"> </w:t>
      </w:r>
      <w:r w:rsidRPr="00B262AD">
        <w:t xml:space="preserve">The </w:t>
      </w:r>
      <w:r>
        <w:t>S-</w:t>
      </w:r>
      <w:r w:rsidRPr="00B262AD">
        <w:t xml:space="preserve">ICD system energy </w:t>
      </w:r>
      <w:r>
        <w:t>requirements are</w:t>
      </w:r>
      <w:r w:rsidRPr="00B262AD">
        <w:t xml:space="preserve"> greater than </w:t>
      </w:r>
      <w:r>
        <w:t>T-ICD</w:t>
      </w:r>
      <w:r w:rsidRPr="00B262AD">
        <w:t xml:space="preserve"> </w:t>
      </w:r>
      <w:r>
        <w:t>therapy</w:t>
      </w:r>
      <w:r w:rsidRPr="00B262AD">
        <w:t xml:space="preserve">, due to the reduced proximity of </w:t>
      </w:r>
      <w:r>
        <w:t>S-</w:t>
      </w:r>
      <w:r w:rsidRPr="00B262AD">
        <w:t>ICD lead to the heart.</w:t>
      </w:r>
      <w:r>
        <w:t xml:space="preserve"> Due to the higher energy demand, the battery life of the S-ICD generator is shorter (~5 years) than the T-ICD generator (~10 years).</w:t>
      </w:r>
    </w:p>
    <w:p w:rsidR="00C628F2" w:rsidRDefault="00C628F2" w:rsidP="00721806"/>
    <w:p w:rsidR="00C628F2" w:rsidRPr="008D5885" w:rsidRDefault="00C628F2" w:rsidP="007B32D1">
      <w:pPr>
        <w:pStyle w:val="Heading1"/>
        <w:numPr>
          <w:ilvl w:val="0"/>
          <w:numId w:val="23"/>
        </w:numPr>
        <w:ind w:hanging="720"/>
      </w:pPr>
      <w:r w:rsidRPr="008D5885">
        <w:t>Comparative safety</w:t>
      </w:r>
    </w:p>
    <w:p w:rsidR="00C628F2" w:rsidRDefault="00C628F2" w:rsidP="00DD2858">
      <w:pPr>
        <w:pStyle w:val="ListParagraph"/>
        <w:ind w:left="0"/>
        <w:rPr>
          <w:b/>
          <w:szCs w:val="24"/>
        </w:rPr>
      </w:pPr>
    </w:p>
    <w:p w:rsidR="00C628F2" w:rsidRDefault="00C628F2" w:rsidP="00721806">
      <w:r w:rsidRPr="001702B1">
        <w:t xml:space="preserve">The evidence presented in </w:t>
      </w:r>
      <w:r>
        <w:t>the SBA included</w:t>
      </w:r>
      <w:r w:rsidRPr="001702B1">
        <w:t xml:space="preserve"> three comparative studies (</w:t>
      </w:r>
      <w:proofErr w:type="spellStart"/>
      <w:r w:rsidRPr="001702B1">
        <w:t>Köbe</w:t>
      </w:r>
      <w:proofErr w:type="spellEnd"/>
      <w:r w:rsidRPr="001702B1">
        <w:t xml:space="preserve">, 2013, </w:t>
      </w:r>
      <w:proofErr w:type="spellStart"/>
      <w:r w:rsidRPr="001702B1">
        <w:t>Jarman</w:t>
      </w:r>
      <w:proofErr w:type="spellEnd"/>
      <w:r w:rsidRPr="001702B1">
        <w:t xml:space="preserve"> 2012, Pettit 2013), five non-comparative studies (</w:t>
      </w:r>
      <w:proofErr w:type="spellStart"/>
      <w:r w:rsidRPr="001702B1">
        <w:t>Dabiri</w:t>
      </w:r>
      <w:proofErr w:type="spellEnd"/>
      <w:r w:rsidRPr="001702B1">
        <w:t xml:space="preserve"> </w:t>
      </w:r>
      <w:proofErr w:type="spellStart"/>
      <w:r w:rsidRPr="001702B1">
        <w:t>Abkenari</w:t>
      </w:r>
      <w:proofErr w:type="spellEnd"/>
      <w:r w:rsidRPr="001702B1">
        <w:t xml:space="preserve">, 2011, Aydin, 2012, IDE Study, </w:t>
      </w:r>
      <w:proofErr w:type="spellStart"/>
      <w:r w:rsidRPr="001702B1">
        <w:t>Olde</w:t>
      </w:r>
      <w:proofErr w:type="spellEnd"/>
      <w:r w:rsidRPr="001702B1">
        <w:t xml:space="preserve"> </w:t>
      </w:r>
      <w:proofErr w:type="spellStart"/>
      <w:r w:rsidRPr="001702B1">
        <w:t>Nordkamp</w:t>
      </w:r>
      <w:proofErr w:type="spellEnd"/>
      <w:r w:rsidRPr="001702B1">
        <w:t xml:space="preserve">, 2012, </w:t>
      </w:r>
      <w:proofErr w:type="spellStart"/>
      <w:r w:rsidRPr="001702B1">
        <w:t>Kooiman</w:t>
      </w:r>
      <w:proofErr w:type="spellEnd"/>
      <w:r w:rsidRPr="001702B1">
        <w:t>, 2013</w:t>
      </w:r>
      <w:r>
        <w:t>)</w:t>
      </w:r>
      <w:r w:rsidRPr="001702B1">
        <w:t xml:space="preserve">, one study consisting of comparative and non-comparative sub-studies (Bardy, 2010) and one registry trial (EFFORTLESS; </w:t>
      </w:r>
      <w:proofErr w:type="spellStart"/>
      <w:r w:rsidRPr="001702B1">
        <w:t>Lambiase</w:t>
      </w:r>
      <w:proofErr w:type="spellEnd"/>
      <w:r w:rsidRPr="001702B1">
        <w:t xml:space="preserve">, 2014). </w:t>
      </w:r>
    </w:p>
    <w:p w:rsidR="00C628F2" w:rsidRDefault="00C628F2" w:rsidP="00721806"/>
    <w:p w:rsidR="00C628F2" w:rsidRDefault="00C628F2" w:rsidP="00721806">
      <w:r>
        <w:t>T</w:t>
      </w:r>
      <w:r w:rsidRPr="001702B1">
        <w:t xml:space="preserve">he </w:t>
      </w:r>
      <w:r>
        <w:t>SBA</w:t>
      </w:r>
      <w:r w:rsidRPr="001702B1">
        <w:t xml:space="preserve"> present</w:t>
      </w:r>
      <w:r>
        <w:t>ed</w:t>
      </w:r>
      <w:r w:rsidRPr="001702B1">
        <w:t xml:space="preserve"> data on a range of safety outcomes including device-related complications and adverse events (including infection). </w:t>
      </w:r>
    </w:p>
    <w:p w:rsidR="00C628F2" w:rsidRDefault="00C628F2" w:rsidP="00721806"/>
    <w:p w:rsidR="00C628F2" w:rsidRPr="00080A8A" w:rsidRDefault="00C628F2" w:rsidP="00721806">
      <w:r>
        <w:t>The evaluation considered that o</w:t>
      </w:r>
      <w:r w:rsidRPr="00F9680B">
        <w:t>v</w:t>
      </w:r>
      <w:r w:rsidRPr="00080A8A">
        <w:t xml:space="preserve">erall, the </w:t>
      </w:r>
      <w:r>
        <w:t>clinical evidence was</w:t>
      </w:r>
      <w:r w:rsidRPr="00080A8A">
        <w:t xml:space="preserve"> insufficient to assess</w:t>
      </w:r>
      <w:r>
        <w:t xml:space="preserve"> the</w:t>
      </w:r>
      <w:r w:rsidRPr="00080A8A">
        <w:t xml:space="preserve"> long-term safety of </w:t>
      </w:r>
      <w:r>
        <w:t>subcutaneous ICD therapy. This wa</w:t>
      </w:r>
      <w:r w:rsidRPr="00080A8A">
        <w:t xml:space="preserve">s largely due to absence of a randomised controlled trial and small sample sizes with </w:t>
      </w:r>
      <w:r>
        <w:t>short follow-up</w:t>
      </w:r>
      <w:r w:rsidRPr="00080A8A">
        <w:t xml:space="preserve"> durations to observe lifelong treatment anticipated with these p</w:t>
      </w:r>
      <w:r>
        <w:t>atients. Of particular concern wa</w:t>
      </w:r>
      <w:r w:rsidRPr="00080A8A">
        <w:t>s the lack of sub-group analysis of younger patients who represent an additional population if MBS listed.</w:t>
      </w:r>
    </w:p>
    <w:p w:rsidR="00C628F2" w:rsidRPr="00707064" w:rsidRDefault="00C628F2" w:rsidP="00DD2858">
      <w:pPr>
        <w:pStyle w:val="ListParagraph"/>
        <w:ind w:left="0"/>
        <w:rPr>
          <w:b/>
          <w:szCs w:val="24"/>
        </w:rPr>
      </w:pPr>
    </w:p>
    <w:p w:rsidR="00C628F2" w:rsidRPr="008D5885" w:rsidRDefault="00C628F2" w:rsidP="007B32D1">
      <w:pPr>
        <w:pStyle w:val="Heading1"/>
        <w:numPr>
          <w:ilvl w:val="0"/>
          <w:numId w:val="23"/>
        </w:numPr>
        <w:ind w:hanging="720"/>
      </w:pPr>
      <w:r w:rsidRPr="008D5885">
        <w:t>Comparative effectiveness</w:t>
      </w:r>
    </w:p>
    <w:p w:rsidR="00C628F2" w:rsidRDefault="00C628F2" w:rsidP="00DD2858">
      <w:pPr>
        <w:rPr>
          <w:b/>
        </w:rPr>
      </w:pPr>
    </w:p>
    <w:p w:rsidR="00C628F2" w:rsidRDefault="00C628F2" w:rsidP="00721806">
      <w:r>
        <w:t>The SBA presented surrogate efficacy endpoints for the technical performance and safety of the ICDs in the absence of patient-relevant outcomes such as sudden cardiac death and overall death. The four main efficacy (device-related) outcomes were ‘successful conversion tests’, ventricular fibrillation or tachycardia appropriately detected and successfully treated, and ‘patients with inappropriate shocks’. The primary analysis of non-inferiority was based on observational case control and cohort studies, single arm studies and registry results.</w:t>
      </w:r>
    </w:p>
    <w:p w:rsidR="00C628F2" w:rsidRDefault="00C628F2" w:rsidP="00721806"/>
    <w:p w:rsidR="00C628F2" w:rsidRDefault="00C628F2" w:rsidP="00890AA5">
      <w:r w:rsidRPr="00EC5127">
        <w:t>No health-related quality of life outcomes were provided</w:t>
      </w:r>
      <w:r>
        <w:t>; the evaluation noted that</w:t>
      </w:r>
      <w:r w:rsidRPr="00EC5127">
        <w:t xml:space="preserve"> these </w:t>
      </w:r>
      <w:r>
        <w:t>should</w:t>
      </w:r>
      <w:r w:rsidRPr="00EC5127">
        <w:t xml:space="preserve"> be available with completion of a large blinded randomised controlled trial in 2018.</w:t>
      </w:r>
      <w:r>
        <w:t xml:space="preserve"> </w:t>
      </w:r>
    </w:p>
    <w:p w:rsidR="00C628F2" w:rsidRDefault="00C628F2" w:rsidP="00721806"/>
    <w:p w:rsidR="00C628F2" w:rsidRDefault="00C628F2" w:rsidP="00721806">
      <w:r>
        <w:lastRenderedPageBreak/>
        <w:t>The table below summarises the key study results; meta-analysis was performed by the applicant when possible.</w:t>
      </w:r>
    </w:p>
    <w:p w:rsidR="00C628F2" w:rsidRDefault="00C628F2" w:rsidP="00721806"/>
    <w:p w:rsidR="00C628F2" w:rsidRPr="000142B2" w:rsidRDefault="00C628F2" w:rsidP="00721806">
      <w:pPr>
        <w:rPr>
          <w:rFonts w:ascii="Arial Narrow" w:hAnsi="Arial Narrow"/>
          <w:b/>
          <w:sz w:val="20"/>
        </w:rPr>
      </w:pPr>
      <w:r>
        <w:rPr>
          <w:rFonts w:ascii="Arial Narrow" w:hAnsi="Arial Narrow"/>
          <w:b/>
          <w:sz w:val="20"/>
        </w:rPr>
        <w:t>Summary of the key evidence -comparative studies for primary analysis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2149"/>
        <w:gridCol w:w="884"/>
        <w:gridCol w:w="37"/>
        <w:gridCol w:w="890"/>
        <w:gridCol w:w="733"/>
        <w:gridCol w:w="24"/>
        <w:gridCol w:w="927"/>
        <w:gridCol w:w="726"/>
        <w:gridCol w:w="31"/>
        <w:gridCol w:w="916"/>
        <w:gridCol w:w="883"/>
        <w:gridCol w:w="26"/>
        <w:gridCol w:w="914"/>
      </w:tblGrid>
      <w:tr w:rsidR="00C628F2" w:rsidRPr="00677EB9" w:rsidTr="00721806">
        <w:trPr>
          <w:trHeight w:val="230"/>
          <w:tblHeader/>
        </w:trPr>
        <w:tc>
          <w:tcPr>
            <w:tcW w:w="1176" w:type="pct"/>
            <w:tcBorders>
              <w:top w:val="single" w:sz="4" w:space="0" w:color="auto"/>
              <w:bottom w:val="nil"/>
            </w:tcBorders>
          </w:tcPr>
          <w:p w:rsidR="00C628F2" w:rsidRPr="00A8591D" w:rsidRDefault="00C628F2" w:rsidP="00721806">
            <w:pPr>
              <w:pStyle w:val="Tabletext"/>
              <w:rPr>
                <w:b/>
                <w:u w:val="single"/>
              </w:rPr>
            </w:pPr>
            <w:r w:rsidRPr="00677EB9">
              <w:rPr>
                <w:b/>
              </w:rPr>
              <w:t>Outcome</w:t>
            </w:r>
          </w:p>
        </w:tc>
        <w:tc>
          <w:tcPr>
            <w:tcW w:w="991" w:type="pct"/>
            <w:gridSpan w:val="3"/>
            <w:tcBorders>
              <w:top w:val="single" w:sz="4" w:space="0" w:color="auto"/>
              <w:bottom w:val="single" w:sz="4" w:space="0" w:color="auto"/>
            </w:tcBorders>
            <w:vAlign w:val="center"/>
          </w:tcPr>
          <w:p w:rsidR="00C628F2" w:rsidRPr="00677EB9" w:rsidRDefault="00C628F2" w:rsidP="00721806">
            <w:pPr>
              <w:pStyle w:val="Tabletext"/>
              <w:jc w:val="center"/>
              <w:rPr>
                <w:b/>
              </w:rPr>
            </w:pPr>
            <w:proofErr w:type="spellStart"/>
            <w:r w:rsidRPr="00677EB9">
              <w:rPr>
                <w:b/>
              </w:rPr>
              <w:t>Köbe</w:t>
            </w:r>
            <w:proofErr w:type="spellEnd"/>
            <w:r w:rsidRPr="00677EB9">
              <w:rPr>
                <w:b/>
              </w:rPr>
              <w:t xml:space="preserve"> 2013</w:t>
            </w:r>
          </w:p>
        </w:tc>
        <w:tc>
          <w:tcPr>
            <w:tcW w:w="921" w:type="pct"/>
            <w:gridSpan w:val="3"/>
            <w:tcBorders>
              <w:top w:val="single" w:sz="4" w:space="0" w:color="auto"/>
              <w:bottom w:val="single" w:sz="4" w:space="0" w:color="auto"/>
            </w:tcBorders>
            <w:vAlign w:val="center"/>
          </w:tcPr>
          <w:p w:rsidR="00C628F2" w:rsidRPr="00677EB9" w:rsidRDefault="00C628F2" w:rsidP="00721806">
            <w:pPr>
              <w:pStyle w:val="Tabletext"/>
              <w:jc w:val="center"/>
              <w:rPr>
                <w:b/>
              </w:rPr>
            </w:pPr>
            <w:proofErr w:type="spellStart"/>
            <w:r w:rsidRPr="00677EB9">
              <w:rPr>
                <w:b/>
              </w:rPr>
              <w:t>Jarman</w:t>
            </w:r>
            <w:proofErr w:type="spellEnd"/>
            <w:r w:rsidRPr="00677EB9">
              <w:rPr>
                <w:b/>
              </w:rPr>
              <w:t xml:space="preserve"> 2012</w:t>
            </w:r>
          </w:p>
        </w:tc>
        <w:tc>
          <w:tcPr>
            <w:tcW w:w="915" w:type="pct"/>
            <w:gridSpan w:val="3"/>
            <w:tcBorders>
              <w:top w:val="single" w:sz="4" w:space="0" w:color="auto"/>
              <w:bottom w:val="single" w:sz="4" w:space="0" w:color="auto"/>
            </w:tcBorders>
            <w:vAlign w:val="center"/>
          </w:tcPr>
          <w:p w:rsidR="00C628F2" w:rsidRPr="00677EB9" w:rsidRDefault="00C628F2" w:rsidP="00721806">
            <w:pPr>
              <w:pStyle w:val="Tabletext"/>
              <w:jc w:val="center"/>
              <w:rPr>
                <w:b/>
              </w:rPr>
            </w:pPr>
            <w:r w:rsidRPr="00677EB9">
              <w:rPr>
                <w:b/>
              </w:rPr>
              <w:t>Pettit 2013</w:t>
            </w:r>
          </w:p>
        </w:tc>
        <w:tc>
          <w:tcPr>
            <w:tcW w:w="997" w:type="pct"/>
            <w:gridSpan w:val="3"/>
            <w:tcBorders>
              <w:top w:val="single" w:sz="4" w:space="0" w:color="auto"/>
              <w:bottom w:val="single" w:sz="4" w:space="0" w:color="auto"/>
            </w:tcBorders>
          </w:tcPr>
          <w:p w:rsidR="00C628F2" w:rsidRPr="00677EB9" w:rsidRDefault="00C628F2" w:rsidP="00721806">
            <w:pPr>
              <w:pStyle w:val="Tabletext"/>
              <w:jc w:val="center"/>
              <w:rPr>
                <w:b/>
              </w:rPr>
            </w:pPr>
            <w:r w:rsidRPr="00677EB9">
              <w:rPr>
                <w:b/>
              </w:rPr>
              <w:t>Meta-analysis</w:t>
            </w:r>
          </w:p>
        </w:tc>
      </w:tr>
      <w:tr w:rsidR="00C628F2" w:rsidRPr="00677EB9" w:rsidTr="00721806">
        <w:trPr>
          <w:trHeight w:val="219"/>
          <w:tblHeader/>
        </w:trPr>
        <w:tc>
          <w:tcPr>
            <w:tcW w:w="1176" w:type="pct"/>
            <w:tcBorders>
              <w:top w:val="nil"/>
              <w:right w:val="single" w:sz="4" w:space="0" w:color="auto"/>
            </w:tcBorders>
          </w:tcPr>
          <w:p w:rsidR="00C628F2" w:rsidRPr="00677EB9" w:rsidRDefault="00C628F2" w:rsidP="00721806">
            <w:pPr>
              <w:pStyle w:val="Tabletext"/>
              <w:rPr>
                <w:b/>
              </w:rPr>
            </w:pPr>
          </w:p>
        </w:tc>
        <w:tc>
          <w:tcPr>
            <w:tcW w:w="504" w:type="pct"/>
            <w:gridSpan w:val="2"/>
            <w:tcBorders>
              <w:top w:val="single" w:sz="4" w:space="0" w:color="auto"/>
              <w:left w:val="single" w:sz="4" w:space="0" w:color="auto"/>
              <w:bottom w:val="single" w:sz="4" w:space="0" w:color="auto"/>
              <w:right w:val="single" w:sz="4" w:space="0" w:color="auto"/>
            </w:tcBorders>
            <w:vAlign w:val="center"/>
          </w:tcPr>
          <w:p w:rsidR="00C628F2" w:rsidRPr="00677EB9" w:rsidRDefault="00C628F2" w:rsidP="00721806">
            <w:pPr>
              <w:pStyle w:val="Tabletext"/>
              <w:jc w:val="center"/>
              <w:rPr>
                <w:b/>
              </w:rPr>
            </w:pPr>
            <w:r w:rsidRPr="00677EB9">
              <w:rPr>
                <w:b/>
              </w:rPr>
              <w:t>S-ICD</w:t>
            </w:r>
          </w:p>
        </w:tc>
        <w:tc>
          <w:tcPr>
            <w:tcW w:w="487" w:type="pct"/>
            <w:tcBorders>
              <w:top w:val="single" w:sz="4" w:space="0" w:color="auto"/>
              <w:left w:val="single" w:sz="4" w:space="0" w:color="auto"/>
              <w:bottom w:val="single" w:sz="4" w:space="0" w:color="auto"/>
              <w:right w:val="single" w:sz="4" w:space="0" w:color="auto"/>
            </w:tcBorders>
            <w:vAlign w:val="center"/>
          </w:tcPr>
          <w:p w:rsidR="00C628F2" w:rsidRPr="00677EB9" w:rsidRDefault="00C628F2" w:rsidP="00721806">
            <w:pPr>
              <w:pStyle w:val="Tabletext"/>
              <w:jc w:val="center"/>
              <w:rPr>
                <w:b/>
              </w:rPr>
            </w:pPr>
            <w:r w:rsidRPr="00677EB9">
              <w:rPr>
                <w:b/>
              </w:rPr>
              <w:t>TV-ICD</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Pr="00677EB9" w:rsidRDefault="00C628F2" w:rsidP="00721806">
            <w:pPr>
              <w:pStyle w:val="Tabletext"/>
              <w:jc w:val="center"/>
              <w:rPr>
                <w:b/>
              </w:rPr>
            </w:pPr>
            <w:r w:rsidRPr="00677EB9">
              <w:rPr>
                <w:b/>
              </w:rPr>
              <w:t>S-ICD</w:t>
            </w:r>
          </w:p>
        </w:tc>
        <w:tc>
          <w:tcPr>
            <w:tcW w:w="507" w:type="pct"/>
            <w:tcBorders>
              <w:top w:val="single" w:sz="4" w:space="0" w:color="auto"/>
              <w:left w:val="single" w:sz="4" w:space="0" w:color="auto"/>
              <w:bottom w:val="single" w:sz="4" w:space="0" w:color="auto"/>
              <w:right w:val="single" w:sz="4" w:space="0" w:color="auto"/>
            </w:tcBorders>
            <w:vAlign w:val="center"/>
          </w:tcPr>
          <w:p w:rsidR="00C628F2" w:rsidRPr="00677EB9" w:rsidRDefault="00C628F2" w:rsidP="00721806">
            <w:pPr>
              <w:pStyle w:val="Tabletext"/>
              <w:jc w:val="center"/>
              <w:rPr>
                <w:b/>
              </w:rPr>
            </w:pPr>
            <w:r w:rsidRPr="00677EB9">
              <w:rPr>
                <w:b/>
              </w:rPr>
              <w:t>TV-ICD</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Pr="00677EB9" w:rsidRDefault="00C628F2" w:rsidP="00721806">
            <w:pPr>
              <w:pStyle w:val="Tabletext"/>
              <w:jc w:val="center"/>
              <w:rPr>
                <w:b/>
              </w:rPr>
            </w:pPr>
            <w:r w:rsidRPr="00677EB9">
              <w:rPr>
                <w:b/>
              </w:rPr>
              <w:t>S-ICD</w:t>
            </w:r>
          </w:p>
        </w:tc>
        <w:tc>
          <w:tcPr>
            <w:tcW w:w="501" w:type="pct"/>
            <w:tcBorders>
              <w:top w:val="single" w:sz="4" w:space="0" w:color="auto"/>
              <w:left w:val="single" w:sz="4" w:space="0" w:color="auto"/>
              <w:bottom w:val="single" w:sz="4" w:space="0" w:color="auto"/>
              <w:right w:val="single" w:sz="4" w:space="0" w:color="auto"/>
            </w:tcBorders>
            <w:vAlign w:val="center"/>
          </w:tcPr>
          <w:p w:rsidR="00C628F2" w:rsidRPr="00677EB9" w:rsidRDefault="00C628F2" w:rsidP="00721806">
            <w:pPr>
              <w:pStyle w:val="Tabletext"/>
              <w:jc w:val="center"/>
              <w:rPr>
                <w:b/>
              </w:rPr>
            </w:pPr>
            <w:r w:rsidRPr="00677EB9">
              <w:rPr>
                <w:b/>
              </w:rPr>
              <w:t>TV-ICD</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628F2" w:rsidRPr="00677EB9" w:rsidRDefault="00C628F2" w:rsidP="00721806">
            <w:pPr>
              <w:pStyle w:val="Tabletext"/>
              <w:jc w:val="center"/>
              <w:rPr>
                <w:b/>
              </w:rPr>
            </w:pPr>
            <w:r w:rsidRPr="00677EB9">
              <w:rPr>
                <w:b/>
              </w:rPr>
              <w:t>S-ICD</w:t>
            </w:r>
          </w:p>
        </w:tc>
        <w:tc>
          <w:tcPr>
            <w:tcW w:w="500" w:type="pct"/>
            <w:tcBorders>
              <w:top w:val="single" w:sz="4" w:space="0" w:color="auto"/>
              <w:left w:val="single" w:sz="4" w:space="0" w:color="auto"/>
              <w:bottom w:val="single" w:sz="4" w:space="0" w:color="auto"/>
            </w:tcBorders>
            <w:vAlign w:val="center"/>
          </w:tcPr>
          <w:p w:rsidR="00C628F2" w:rsidRPr="00677EB9" w:rsidRDefault="00C628F2" w:rsidP="00721806">
            <w:pPr>
              <w:pStyle w:val="Tabletext"/>
              <w:jc w:val="center"/>
              <w:rPr>
                <w:b/>
              </w:rPr>
            </w:pPr>
            <w:r w:rsidRPr="00677EB9">
              <w:rPr>
                <w:b/>
              </w:rPr>
              <w:t>TV-ICD</w:t>
            </w:r>
          </w:p>
        </w:tc>
      </w:tr>
      <w:tr w:rsidR="00C628F2" w:rsidRPr="00F0363D" w:rsidTr="00721806">
        <w:trPr>
          <w:trHeight w:val="462"/>
        </w:trPr>
        <w:tc>
          <w:tcPr>
            <w:tcW w:w="1176" w:type="pct"/>
            <w:vMerge w:val="restart"/>
          </w:tcPr>
          <w:p w:rsidR="00C628F2" w:rsidRPr="00F0363D" w:rsidRDefault="00C628F2" w:rsidP="00721806">
            <w:pPr>
              <w:pStyle w:val="Tabletext"/>
            </w:pPr>
            <w:r w:rsidRPr="00F0363D">
              <w:t xml:space="preserve">Successful conversion </w:t>
            </w:r>
            <w:proofErr w:type="spellStart"/>
            <w:r w:rsidRPr="00F0363D">
              <w:t>tests</w:t>
            </w:r>
            <w:r>
              <w:rPr>
                <w:vertAlign w:val="superscript"/>
              </w:rPr>
              <w:t>a</w:t>
            </w:r>
            <w:proofErr w:type="spellEnd"/>
            <w:r w:rsidRPr="00F0363D">
              <w:t xml:space="preserve"> (%)</w:t>
            </w:r>
          </w:p>
        </w:tc>
        <w:tc>
          <w:tcPr>
            <w:tcW w:w="504" w:type="pct"/>
            <w:gridSpan w:val="2"/>
            <w:tcBorders>
              <w:top w:val="single" w:sz="4" w:space="0" w:color="auto"/>
            </w:tcBorders>
            <w:vAlign w:val="center"/>
          </w:tcPr>
          <w:p w:rsidR="00C628F2" w:rsidRPr="00F0363D" w:rsidRDefault="00C628F2" w:rsidP="00721806">
            <w:pPr>
              <w:pStyle w:val="Tabletext"/>
              <w:jc w:val="center"/>
            </w:pPr>
            <w:r w:rsidRPr="00F0363D">
              <w:t>60/67 (89.5)</w:t>
            </w:r>
          </w:p>
        </w:tc>
        <w:tc>
          <w:tcPr>
            <w:tcW w:w="487" w:type="pct"/>
            <w:tcBorders>
              <w:top w:val="single" w:sz="4" w:space="0" w:color="auto"/>
            </w:tcBorders>
            <w:vAlign w:val="center"/>
          </w:tcPr>
          <w:p w:rsidR="00C628F2" w:rsidRPr="00F0363D" w:rsidRDefault="00C628F2" w:rsidP="00721806">
            <w:pPr>
              <w:pStyle w:val="Tabletext"/>
              <w:jc w:val="center"/>
            </w:pPr>
            <w:r w:rsidRPr="00F0363D">
              <w:t>59/65 (90.8)</w:t>
            </w:r>
          </w:p>
        </w:tc>
        <w:tc>
          <w:tcPr>
            <w:tcW w:w="414" w:type="pct"/>
            <w:gridSpan w:val="2"/>
            <w:tcBorders>
              <w:top w:val="single" w:sz="4" w:space="0" w:color="auto"/>
            </w:tcBorders>
            <w:vAlign w:val="center"/>
          </w:tcPr>
          <w:p w:rsidR="00C628F2" w:rsidRDefault="00C628F2" w:rsidP="00721806">
            <w:pPr>
              <w:pStyle w:val="Tabletext"/>
              <w:jc w:val="center"/>
            </w:pPr>
            <w:r w:rsidRPr="00F0363D">
              <w:t xml:space="preserve">16/16 </w:t>
            </w:r>
          </w:p>
          <w:p w:rsidR="00C628F2" w:rsidRPr="00F0363D" w:rsidRDefault="00C628F2" w:rsidP="00721806">
            <w:pPr>
              <w:pStyle w:val="Tabletext"/>
              <w:jc w:val="center"/>
            </w:pPr>
            <w:r w:rsidRPr="00F0363D">
              <w:t>(100)</w:t>
            </w:r>
          </w:p>
        </w:tc>
        <w:tc>
          <w:tcPr>
            <w:tcW w:w="507" w:type="pct"/>
            <w:tcBorders>
              <w:top w:val="single" w:sz="4" w:space="0" w:color="auto"/>
            </w:tcBorders>
            <w:vAlign w:val="center"/>
          </w:tcPr>
          <w:p w:rsidR="00C628F2" w:rsidRPr="00F0363D" w:rsidRDefault="00C628F2" w:rsidP="00721806">
            <w:pPr>
              <w:pStyle w:val="Tabletext"/>
              <w:jc w:val="center"/>
            </w:pPr>
            <w:r w:rsidRPr="00F0363D">
              <w:t>NR</w:t>
            </w:r>
          </w:p>
        </w:tc>
        <w:tc>
          <w:tcPr>
            <w:tcW w:w="414" w:type="pct"/>
            <w:gridSpan w:val="2"/>
            <w:tcBorders>
              <w:top w:val="single" w:sz="4" w:space="0" w:color="auto"/>
            </w:tcBorders>
            <w:vAlign w:val="center"/>
          </w:tcPr>
          <w:p w:rsidR="00C628F2" w:rsidRPr="00F0363D" w:rsidRDefault="00C628F2" w:rsidP="00721806">
            <w:pPr>
              <w:pStyle w:val="Tabletext"/>
              <w:jc w:val="center"/>
            </w:pPr>
            <w:r w:rsidRPr="00F0363D">
              <w:t>NR</w:t>
            </w:r>
          </w:p>
        </w:tc>
        <w:tc>
          <w:tcPr>
            <w:tcW w:w="501" w:type="pct"/>
            <w:tcBorders>
              <w:top w:val="single" w:sz="4" w:space="0" w:color="auto"/>
            </w:tcBorders>
            <w:vAlign w:val="center"/>
          </w:tcPr>
          <w:p w:rsidR="00C628F2" w:rsidRPr="00F0363D" w:rsidRDefault="00C628F2" w:rsidP="00721806">
            <w:pPr>
              <w:pStyle w:val="Tabletext"/>
              <w:jc w:val="center"/>
            </w:pPr>
            <w:r w:rsidRPr="00F0363D">
              <w:t>NR</w:t>
            </w:r>
          </w:p>
        </w:tc>
        <w:tc>
          <w:tcPr>
            <w:tcW w:w="997" w:type="pct"/>
            <w:gridSpan w:val="3"/>
            <w:vMerge w:val="restart"/>
            <w:tcBorders>
              <w:top w:val="single" w:sz="4" w:space="0" w:color="auto"/>
            </w:tcBorders>
            <w:vAlign w:val="center"/>
          </w:tcPr>
          <w:p w:rsidR="00C628F2" w:rsidRPr="00F0363D" w:rsidRDefault="00C628F2" w:rsidP="00721806">
            <w:pPr>
              <w:pStyle w:val="Tabletext"/>
              <w:jc w:val="center"/>
            </w:pPr>
            <w:r w:rsidRPr="00F0363D">
              <w:rPr>
                <w:i/>
              </w:rPr>
              <w:t>Not calcula</w:t>
            </w:r>
            <w:r>
              <w:rPr>
                <w:i/>
              </w:rPr>
              <w:t>ble</w:t>
            </w:r>
          </w:p>
        </w:tc>
      </w:tr>
      <w:tr w:rsidR="00C628F2" w:rsidRPr="00F0363D" w:rsidTr="00721806">
        <w:trPr>
          <w:trHeight w:val="144"/>
        </w:trPr>
        <w:tc>
          <w:tcPr>
            <w:tcW w:w="1176" w:type="pct"/>
            <w:vMerge/>
            <w:tcBorders>
              <w:bottom w:val="single" w:sz="4" w:space="0" w:color="auto"/>
            </w:tcBorders>
          </w:tcPr>
          <w:p w:rsidR="00C628F2" w:rsidRPr="00F0363D" w:rsidRDefault="00C628F2" w:rsidP="00721806">
            <w:pPr>
              <w:pStyle w:val="Tabletext"/>
            </w:pPr>
          </w:p>
        </w:tc>
        <w:tc>
          <w:tcPr>
            <w:tcW w:w="991" w:type="pct"/>
            <w:gridSpan w:val="3"/>
            <w:tcBorders>
              <w:bottom w:val="single" w:sz="4" w:space="0" w:color="auto"/>
            </w:tcBorders>
            <w:vAlign w:val="center"/>
          </w:tcPr>
          <w:p w:rsidR="00C628F2" w:rsidRDefault="00C628F2" w:rsidP="00721806">
            <w:pPr>
              <w:pStyle w:val="Tabletext"/>
              <w:jc w:val="center"/>
              <w:rPr>
                <w:lang w:eastAsia="en-AU"/>
              </w:rPr>
            </w:pPr>
            <w:r w:rsidRPr="00F0363D">
              <w:rPr>
                <w:lang w:eastAsia="en-AU"/>
              </w:rPr>
              <w:t xml:space="preserve">RR=0.99 </w:t>
            </w:r>
          </w:p>
          <w:p w:rsidR="00C628F2" w:rsidRPr="00F0363D" w:rsidRDefault="00C628F2" w:rsidP="00721806">
            <w:pPr>
              <w:pStyle w:val="Tabletext"/>
              <w:jc w:val="center"/>
            </w:pPr>
            <w:r w:rsidRPr="00F0363D">
              <w:rPr>
                <w:lang w:eastAsia="en-AU"/>
              </w:rPr>
              <w:t>(0.88, 1.10)</w:t>
            </w:r>
            <w:r>
              <w:rPr>
                <w:lang w:eastAsia="en-AU"/>
              </w:rPr>
              <w:t xml:space="preserve"> </w:t>
            </w:r>
            <w:r w:rsidRPr="00F0363D">
              <w:rPr>
                <w:lang w:eastAsia="en-AU"/>
              </w:rPr>
              <w:t>P=0.81</w:t>
            </w:r>
          </w:p>
        </w:tc>
        <w:tc>
          <w:tcPr>
            <w:tcW w:w="921" w:type="pct"/>
            <w:gridSpan w:val="3"/>
            <w:tcBorders>
              <w:bottom w:val="single" w:sz="4" w:space="0" w:color="auto"/>
            </w:tcBorders>
            <w:vAlign w:val="center"/>
          </w:tcPr>
          <w:p w:rsidR="00C628F2" w:rsidRPr="00F0363D" w:rsidRDefault="00C628F2" w:rsidP="00721806">
            <w:pPr>
              <w:pStyle w:val="Tabletext"/>
              <w:jc w:val="center"/>
            </w:pPr>
            <w:r w:rsidRPr="00F0363D">
              <w:t>N/A</w:t>
            </w:r>
          </w:p>
        </w:tc>
        <w:tc>
          <w:tcPr>
            <w:tcW w:w="915" w:type="pct"/>
            <w:gridSpan w:val="3"/>
            <w:tcBorders>
              <w:bottom w:val="single" w:sz="4" w:space="0" w:color="auto"/>
            </w:tcBorders>
            <w:vAlign w:val="center"/>
          </w:tcPr>
          <w:p w:rsidR="00C628F2" w:rsidRPr="00F0363D" w:rsidRDefault="00C628F2" w:rsidP="00721806">
            <w:pPr>
              <w:pStyle w:val="Tabletext"/>
              <w:jc w:val="center"/>
            </w:pPr>
            <w:r w:rsidRPr="00F0363D">
              <w:t>N/A</w:t>
            </w:r>
          </w:p>
        </w:tc>
        <w:tc>
          <w:tcPr>
            <w:tcW w:w="997" w:type="pct"/>
            <w:gridSpan w:val="3"/>
            <w:vMerge/>
            <w:tcBorders>
              <w:bottom w:val="single" w:sz="4" w:space="0" w:color="auto"/>
            </w:tcBorders>
          </w:tcPr>
          <w:p w:rsidR="00C628F2" w:rsidRPr="00F0363D" w:rsidRDefault="00C628F2" w:rsidP="00721806">
            <w:pPr>
              <w:pStyle w:val="Tabletext"/>
              <w:jc w:val="center"/>
            </w:pPr>
          </w:p>
        </w:tc>
      </w:tr>
      <w:tr w:rsidR="00C628F2" w:rsidRPr="00F0363D" w:rsidTr="00721806">
        <w:trPr>
          <w:trHeight w:val="462"/>
        </w:trPr>
        <w:tc>
          <w:tcPr>
            <w:tcW w:w="1176" w:type="pct"/>
            <w:vMerge w:val="restart"/>
            <w:tcBorders>
              <w:top w:val="single" w:sz="4" w:space="0" w:color="auto"/>
              <w:left w:val="single" w:sz="4" w:space="0" w:color="auto"/>
              <w:right w:val="single" w:sz="4" w:space="0" w:color="auto"/>
            </w:tcBorders>
          </w:tcPr>
          <w:p w:rsidR="00C628F2" w:rsidRPr="00F0363D" w:rsidRDefault="00C628F2" w:rsidP="00721806">
            <w:pPr>
              <w:pStyle w:val="Tabletext"/>
              <w:rPr>
                <w:lang w:eastAsia="en-AU"/>
              </w:rPr>
            </w:pPr>
            <w:r>
              <w:rPr>
                <w:lang w:eastAsia="en-AU"/>
              </w:rPr>
              <w:t xml:space="preserve">VT or </w:t>
            </w:r>
            <w:r w:rsidRPr="00F0363D">
              <w:rPr>
                <w:lang w:eastAsia="en-AU"/>
              </w:rPr>
              <w:t>VF episodes appropriately detected (%)</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3/3 </w:t>
            </w:r>
          </w:p>
          <w:p w:rsidR="00C628F2" w:rsidRPr="00F0363D" w:rsidRDefault="00C628F2" w:rsidP="00721806">
            <w:pPr>
              <w:pStyle w:val="Tabletext"/>
              <w:jc w:val="center"/>
            </w:pPr>
            <w:r w:rsidRPr="00F0363D">
              <w:t>(100)</w:t>
            </w:r>
          </w:p>
        </w:tc>
        <w:tc>
          <w:tcPr>
            <w:tcW w:w="487"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9/9 </w:t>
            </w:r>
          </w:p>
          <w:p w:rsidR="00C628F2" w:rsidRPr="00F0363D" w:rsidRDefault="00C628F2" w:rsidP="00721806">
            <w:pPr>
              <w:pStyle w:val="Tabletext"/>
              <w:jc w:val="center"/>
            </w:pPr>
            <w:r w:rsidRPr="00F0363D">
              <w:t>(100)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8/8 </w:t>
            </w:r>
          </w:p>
          <w:p w:rsidR="00C628F2" w:rsidRPr="00F0363D" w:rsidRDefault="00C628F2" w:rsidP="00721806">
            <w:pPr>
              <w:pStyle w:val="Tabletext"/>
              <w:jc w:val="center"/>
            </w:pPr>
            <w:r w:rsidRPr="00F0363D">
              <w:t>(100)</w:t>
            </w:r>
          </w:p>
        </w:tc>
        <w:tc>
          <w:tcPr>
            <w:tcW w:w="507"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3/3 </w:t>
            </w:r>
          </w:p>
          <w:p w:rsidR="00C628F2" w:rsidRPr="00F0363D" w:rsidRDefault="00C628F2" w:rsidP="00721806">
            <w:pPr>
              <w:pStyle w:val="Tabletext"/>
              <w:jc w:val="center"/>
            </w:pPr>
            <w:r w:rsidRPr="00F0363D">
              <w:t>(100)</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3/3 </w:t>
            </w:r>
          </w:p>
          <w:p w:rsidR="00C628F2" w:rsidRPr="00F0363D" w:rsidRDefault="00C628F2" w:rsidP="00721806">
            <w:pPr>
              <w:pStyle w:val="Tabletext"/>
              <w:jc w:val="center"/>
            </w:pPr>
            <w:r w:rsidRPr="00F0363D">
              <w:t>(100)</w:t>
            </w:r>
          </w:p>
        </w:tc>
        <w:tc>
          <w:tcPr>
            <w:tcW w:w="501"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1/1 </w:t>
            </w:r>
          </w:p>
          <w:p w:rsidR="00C628F2" w:rsidRPr="00F0363D" w:rsidRDefault="00C628F2" w:rsidP="00721806">
            <w:pPr>
              <w:pStyle w:val="Tabletext"/>
              <w:jc w:val="center"/>
            </w:pPr>
            <w:r w:rsidRPr="00F0363D">
              <w:t>(100)</w:t>
            </w:r>
          </w:p>
        </w:tc>
        <w:tc>
          <w:tcPr>
            <w:tcW w:w="497" w:type="pct"/>
            <w:gridSpan w:val="2"/>
            <w:tcBorders>
              <w:top w:val="single" w:sz="4" w:space="0" w:color="auto"/>
              <w:left w:val="single" w:sz="4" w:space="0" w:color="auto"/>
              <w:bottom w:val="single" w:sz="4" w:space="0" w:color="auto"/>
              <w:right w:val="single" w:sz="4" w:space="0" w:color="auto"/>
            </w:tcBorders>
          </w:tcPr>
          <w:p w:rsidR="00C628F2" w:rsidRDefault="00C628F2" w:rsidP="00721806">
            <w:pPr>
              <w:pStyle w:val="Tabletext"/>
              <w:jc w:val="center"/>
            </w:pPr>
            <w:r w:rsidRPr="00F0363D">
              <w:t xml:space="preserve">14/14 </w:t>
            </w:r>
          </w:p>
          <w:p w:rsidR="00C628F2" w:rsidRPr="00F0363D" w:rsidRDefault="00C628F2" w:rsidP="00721806">
            <w:pPr>
              <w:pStyle w:val="Tabletext"/>
              <w:jc w:val="center"/>
            </w:pPr>
            <w:r w:rsidRPr="00F0363D">
              <w:t>(100)</w:t>
            </w:r>
          </w:p>
        </w:tc>
        <w:tc>
          <w:tcPr>
            <w:tcW w:w="500" w:type="pct"/>
            <w:tcBorders>
              <w:top w:val="single" w:sz="4" w:space="0" w:color="auto"/>
              <w:left w:val="single" w:sz="4" w:space="0" w:color="auto"/>
              <w:bottom w:val="single" w:sz="4" w:space="0" w:color="auto"/>
              <w:right w:val="single" w:sz="4" w:space="0" w:color="auto"/>
            </w:tcBorders>
          </w:tcPr>
          <w:p w:rsidR="00C628F2" w:rsidRDefault="00C628F2" w:rsidP="00721806">
            <w:pPr>
              <w:pStyle w:val="Tabletext"/>
              <w:jc w:val="center"/>
            </w:pPr>
            <w:r w:rsidRPr="00F0363D">
              <w:t xml:space="preserve">13/13 </w:t>
            </w:r>
          </w:p>
          <w:p w:rsidR="00C628F2" w:rsidRPr="00F0363D" w:rsidRDefault="00C628F2" w:rsidP="00721806">
            <w:pPr>
              <w:pStyle w:val="Tabletext"/>
              <w:jc w:val="center"/>
            </w:pPr>
            <w:r w:rsidRPr="00F0363D">
              <w:t>(100)</w:t>
            </w:r>
          </w:p>
        </w:tc>
      </w:tr>
      <w:tr w:rsidR="00C628F2" w:rsidRPr="00F0363D" w:rsidTr="00721806">
        <w:trPr>
          <w:trHeight w:val="144"/>
        </w:trPr>
        <w:tc>
          <w:tcPr>
            <w:tcW w:w="1176" w:type="pct"/>
            <w:vMerge/>
            <w:tcBorders>
              <w:left w:val="single" w:sz="4" w:space="0" w:color="auto"/>
              <w:bottom w:val="single" w:sz="4" w:space="0" w:color="auto"/>
              <w:right w:val="single" w:sz="4" w:space="0" w:color="auto"/>
            </w:tcBorders>
          </w:tcPr>
          <w:p w:rsidR="00C628F2" w:rsidRPr="00F0363D" w:rsidRDefault="00C628F2" w:rsidP="00721806">
            <w:pPr>
              <w:pStyle w:val="Tabletext"/>
              <w:rPr>
                <w:lang w:eastAsia="en-AU"/>
              </w:rPr>
            </w:pPr>
          </w:p>
        </w:tc>
        <w:tc>
          <w:tcPr>
            <w:tcW w:w="991"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P=1.00</w:t>
            </w:r>
          </w:p>
        </w:tc>
        <w:tc>
          <w:tcPr>
            <w:tcW w:w="921"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P=1.00</w:t>
            </w:r>
          </w:p>
        </w:tc>
        <w:tc>
          <w:tcPr>
            <w:tcW w:w="915"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P=1.00</w:t>
            </w:r>
          </w:p>
        </w:tc>
        <w:tc>
          <w:tcPr>
            <w:tcW w:w="997" w:type="pct"/>
            <w:gridSpan w:val="3"/>
            <w:tcBorders>
              <w:top w:val="single" w:sz="4" w:space="0" w:color="auto"/>
              <w:left w:val="single" w:sz="4" w:space="0" w:color="auto"/>
              <w:bottom w:val="single" w:sz="4" w:space="0" w:color="auto"/>
              <w:right w:val="single" w:sz="4" w:space="0" w:color="auto"/>
            </w:tcBorders>
          </w:tcPr>
          <w:p w:rsidR="00C628F2" w:rsidRPr="00F0363D" w:rsidRDefault="00C628F2" w:rsidP="00721806">
            <w:pPr>
              <w:pStyle w:val="Tabletext"/>
              <w:jc w:val="center"/>
            </w:pPr>
            <w:r w:rsidRPr="00F0363D">
              <w:t>RR=1.00 (0.76, 1.31) P=1.00</w:t>
            </w:r>
          </w:p>
        </w:tc>
      </w:tr>
      <w:tr w:rsidR="00C628F2" w:rsidRPr="00F0363D" w:rsidTr="00721806">
        <w:trPr>
          <w:trHeight w:val="462"/>
        </w:trPr>
        <w:tc>
          <w:tcPr>
            <w:tcW w:w="1176" w:type="pct"/>
            <w:vMerge w:val="restart"/>
            <w:tcBorders>
              <w:top w:val="single" w:sz="4" w:space="0" w:color="auto"/>
              <w:left w:val="single" w:sz="4" w:space="0" w:color="auto"/>
              <w:right w:val="single" w:sz="4" w:space="0" w:color="auto"/>
            </w:tcBorders>
          </w:tcPr>
          <w:p w:rsidR="00C628F2" w:rsidRPr="00F0363D" w:rsidRDefault="00C628F2" w:rsidP="00721806">
            <w:pPr>
              <w:pStyle w:val="Tabletext"/>
            </w:pPr>
            <w:r>
              <w:rPr>
                <w:lang w:eastAsia="en-AU"/>
              </w:rPr>
              <w:t xml:space="preserve">VT or </w:t>
            </w:r>
            <w:r w:rsidRPr="00F0363D">
              <w:rPr>
                <w:lang w:eastAsia="en-AU"/>
              </w:rPr>
              <w:t>VF episodes successfully treated (%)</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3/3 </w:t>
            </w:r>
          </w:p>
          <w:p w:rsidR="00C628F2" w:rsidRPr="00F0363D" w:rsidRDefault="00C628F2" w:rsidP="00721806">
            <w:pPr>
              <w:pStyle w:val="Tabletext"/>
              <w:jc w:val="center"/>
            </w:pPr>
            <w:r w:rsidRPr="00F0363D">
              <w:t>(100)</w:t>
            </w:r>
          </w:p>
        </w:tc>
        <w:tc>
          <w:tcPr>
            <w:tcW w:w="487" w:type="pct"/>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NR</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8/8 (100)</w:t>
            </w:r>
          </w:p>
        </w:tc>
        <w:tc>
          <w:tcPr>
            <w:tcW w:w="507" w:type="pct"/>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NR</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3/3 (100)</w:t>
            </w:r>
          </w:p>
        </w:tc>
        <w:tc>
          <w:tcPr>
            <w:tcW w:w="501"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1/1 </w:t>
            </w:r>
          </w:p>
          <w:p w:rsidR="00C628F2" w:rsidRPr="00F0363D" w:rsidRDefault="00C628F2" w:rsidP="00721806">
            <w:pPr>
              <w:pStyle w:val="Tabletext"/>
              <w:jc w:val="center"/>
            </w:pPr>
            <w:r w:rsidRPr="00F0363D">
              <w:t>(100)</w:t>
            </w:r>
          </w:p>
        </w:tc>
        <w:tc>
          <w:tcPr>
            <w:tcW w:w="997" w:type="pct"/>
            <w:gridSpan w:val="3"/>
            <w:vMerge w:val="restart"/>
            <w:tcBorders>
              <w:top w:val="single" w:sz="4" w:space="0" w:color="auto"/>
              <w:left w:val="single" w:sz="4" w:space="0" w:color="auto"/>
              <w:right w:val="single" w:sz="4" w:space="0" w:color="auto"/>
            </w:tcBorders>
            <w:vAlign w:val="center"/>
          </w:tcPr>
          <w:p w:rsidR="00C628F2" w:rsidRPr="00F0363D" w:rsidRDefault="00C628F2" w:rsidP="00721806">
            <w:pPr>
              <w:pStyle w:val="Tabletext"/>
              <w:jc w:val="center"/>
            </w:pPr>
            <w:r>
              <w:rPr>
                <w:i/>
              </w:rPr>
              <w:t>Not calculable</w:t>
            </w:r>
          </w:p>
        </w:tc>
      </w:tr>
      <w:tr w:rsidR="00C628F2" w:rsidRPr="00F0363D" w:rsidTr="00721806">
        <w:trPr>
          <w:trHeight w:val="144"/>
        </w:trPr>
        <w:tc>
          <w:tcPr>
            <w:tcW w:w="1176" w:type="pct"/>
            <w:vMerge/>
            <w:tcBorders>
              <w:left w:val="single" w:sz="4" w:space="0" w:color="auto"/>
              <w:bottom w:val="single" w:sz="4" w:space="0" w:color="auto"/>
              <w:right w:val="single" w:sz="4" w:space="0" w:color="auto"/>
            </w:tcBorders>
          </w:tcPr>
          <w:p w:rsidR="00C628F2" w:rsidRPr="00F0363D" w:rsidRDefault="00C628F2" w:rsidP="00721806">
            <w:pPr>
              <w:pStyle w:val="Tabletext"/>
              <w:rPr>
                <w:lang w:eastAsia="en-AU"/>
              </w:rPr>
            </w:pPr>
          </w:p>
        </w:tc>
        <w:tc>
          <w:tcPr>
            <w:tcW w:w="991"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N/A</w:t>
            </w:r>
          </w:p>
        </w:tc>
        <w:tc>
          <w:tcPr>
            <w:tcW w:w="921"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N/A</w:t>
            </w:r>
          </w:p>
        </w:tc>
        <w:tc>
          <w:tcPr>
            <w:tcW w:w="915"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P=1.00</w:t>
            </w:r>
          </w:p>
        </w:tc>
        <w:tc>
          <w:tcPr>
            <w:tcW w:w="997" w:type="pct"/>
            <w:gridSpan w:val="3"/>
            <w:vMerge/>
            <w:tcBorders>
              <w:left w:val="single" w:sz="4" w:space="0" w:color="auto"/>
              <w:bottom w:val="single" w:sz="4" w:space="0" w:color="auto"/>
              <w:right w:val="single" w:sz="4" w:space="0" w:color="auto"/>
            </w:tcBorders>
          </w:tcPr>
          <w:p w:rsidR="00C628F2" w:rsidRPr="00F0363D" w:rsidRDefault="00C628F2" w:rsidP="00721806">
            <w:pPr>
              <w:pStyle w:val="Tabletext"/>
              <w:jc w:val="center"/>
              <w:rPr>
                <w:i/>
              </w:rPr>
            </w:pPr>
          </w:p>
        </w:tc>
      </w:tr>
      <w:tr w:rsidR="00C628F2" w:rsidRPr="00F0363D" w:rsidTr="00721806">
        <w:trPr>
          <w:trHeight w:val="450"/>
        </w:trPr>
        <w:tc>
          <w:tcPr>
            <w:tcW w:w="1176" w:type="pct"/>
            <w:vMerge w:val="restart"/>
            <w:tcBorders>
              <w:top w:val="single" w:sz="4" w:space="0" w:color="auto"/>
            </w:tcBorders>
          </w:tcPr>
          <w:p w:rsidR="00C628F2" w:rsidRPr="00F0363D" w:rsidRDefault="00C628F2" w:rsidP="00721806">
            <w:pPr>
              <w:pStyle w:val="Tabletext"/>
            </w:pPr>
            <w:r w:rsidRPr="00F0363D">
              <w:rPr>
                <w:lang w:eastAsia="en-AU"/>
              </w:rPr>
              <w:t>Patients experiencing inappropriate shocks (%)</w:t>
            </w:r>
          </w:p>
        </w:tc>
        <w:tc>
          <w:tcPr>
            <w:tcW w:w="504" w:type="pct"/>
            <w:gridSpan w:val="2"/>
            <w:tcBorders>
              <w:top w:val="single" w:sz="4" w:space="0" w:color="auto"/>
            </w:tcBorders>
            <w:vAlign w:val="center"/>
          </w:tcPr>
          <w:p w:rsidR="00C628F2" w:rsidRDefault="00C628F2" w:rsidP="00721806">
            <w:pPr>
              <w:pStyle w:val="Tabletext"/>
              <w:jc w:val="center"/>
            </w:pPr>
            <w:r w:rsidRPr="00F0363D">
              <w:t>3/69</w:t>
            </w:r>
          </w:p>
          <w:p w:rsidR="00C628F2" w:rsidRPr="00F0363D" w:rsidRDefault="00C628F2" w:rsidP="00721806">
            <w:pPr>
              <w:pStyle w:val="Tabletext"/>
              <w:jc w:val="center"/>
            </w:pPr>
            <w:r w:rsidRPr="00F0363D">
              <w:t>(4.3)</w:t>
            </w:r>
          </w:p>
        </w:tc>
        <w:tc>
          <w:tcPr>
            <w:tcW w:w="487" w:type="pct"/>
            <w:tcBorders>
              <w:top w:val="single" w:sz="4" w:space="0" w:color="auto"/>
            </w:tcBorders>
            <w:vAlign w:val="center"/>
          </w:tcPr>
          <w:p w:rsidR="00C628F2" w:rsidRDefault="00C628F2" w:rsidP="00721806">
            <w:pPr>
              <w:pStyle w:val="Tabletext"/>
              <w:jc w:val="center"/>
            </w:pPr>
            <w:r w:rsidRPr="00F0363D">
              <w:t xml:space="preserve">3/69 </w:t>
            </w:r>
          </w:p>
          <w:p w:rsidR="00C628F2" w:rsidRPr="00F0363D" w:rsidRDefault="00C628F2" w:rsidP="00721806">
            <w:pPr>
              <w:pStyle w:val="Tabletext"/>
              <w:jc w:val="center"/>
            </w:pPr>
            <w:r w:rsidRPr="00F0363D">
              <w:t>(4.3)</w:t>
            </w:r>
          </w:p>
        </w:tc>
        <w:tc>
          <w:tcPr>
            <w:tcW w:w="414" w:type="pct"/>
            <w:gridSpan w:val="2"/>
            <w:tcBorders>
              <w:top w:val="single" w:sz="4" w:space="0" w:color="auto"/>
            </w:tcBorders>
            <w:vAlign w:val="center"/>
          </w:tcPr>
          <w:p w:rsidR="00C628F2" w:rsidRDefault="00C628F2" w:rsidP="00721806">
            <w:pPr>
              <w:pStyle w:val="Tabletext"/>
              <w:jc w:val="center"/>
            </w:pPr>
            <w:r w:rsidRPr="00F0363D">
              <w:t xml:space="preserve">4/16 </w:t>
            </w:r>
          </w:p>
          <w:p w:rsidR="00C628F2" w:rsidRPr="00F0363D" w:rsidRDefault="00C628F2" w:rsidP="00721806">
            <w:pPr>
              <w:pStyle w:val="Tabletext"/>
              <w:jc w:val="center"/>
            </w:pPr>
            <w:r w:rsidRPr="00F0363D">
              <w:t>(25)</w:t>
            </w:r>
          </w:p>
        </w:tc>
        <w:tc>
          <w:tcPr>
            <w:tcW w:w="507" w:type="pct"/>
            <w:tcBorders>
              <w:top w:val="single" w:sz="4" w:space="0" w:color="auto"/>
            </w:tcBorders>
            <w:vAlign w:val="center"/>
          </w:tcPr>
          <w:p w:rsidR="00C628F2" w:rsidRDefault="00C628F2" w:rsidP="00721806">
            <w:pPr>
              <w:pStyle w:val="Tabletext"/>
              <w:jc w:val="center"/>
            </w:pPr>
            <w:r w:rsidRPr="00F0363D">
              <w:t xml:space="preserve">1/16 </w:t>
            </w:r>
          </w:p>
          <w:p w:rsidR="00C628F2" w:rsidRPr="00F0363D" w:rsidRDefault="00C628F2" w:rsidP="00721806">
            <w:pPr>
              <w:pStyle w:val="Tabletext"/>
              <w:jc w:val="center"/>
            </w:pPr>
            <w:r w:rsidRPr="00F0363D">
              <w:t>(6.3)</w:t>
            </w:r>
          </w:p>
        </w:tc>
        <w:tc>
          <w:tcPr>
            <w:tcW w:w="414" w:type="pct"/>
            <w:gridSpan w:val="2"/>
            <w:tcBorders>
              <w:top w:val="single" w:sz="4" w:space="0" w:color="auto"/>
            </w:tcBorders>
            <w:vAlign w:val="center"/>
          </w:tcPr>
          <w:p w:rsidR="00C628F2" w:rsidRDefault="00C628F2" w:rsidP="00721806">
            <w:pPr>
              <w:pStyle w:val="Tabletext"/>
              <w:jc w:val="center"/>
            </w:pPr>
            <w:r w:rsidRPr="00F0363D">
              <w:t xml:space="preserve">1/9 </w:t>
            </w:r>
          </w:p>
          <w:p w:rsidR="00C628F2" w:rsidRPr="00F0363D" w:rsidRDefault="00C628F2" w:rsidP="00721806">
            <w:pPr>
              <w:pStyle w:val="Tabletext"/>
              <w:jc w:val="center"/>
            </w:pPr>
            <w:r w:rsidRPr="00F0363D">
              <w:t>(11.1)</w:t>
            </w:r>
          </w:p>
        </w:tc>
        <w:tc>
          <w:tcPr>
            <w:tcW w:w="501" w:type="pct"/>
            <w:tcBorders>
              <w:top w:val="single" w:sz="4" w:space="0" w:color="auto"/>
            </w:tcBorders>
            <w:vAlign w:val="center"/>
          </w:tcPr>
          <w:p w:rsidR="00C628F2" w:rsidRDefault="00C628F2" w:rsidP="00721806">
            <w:pPr>
              <w:pStyle w:val="Tabletext"/>
              <w:jc w:val="center"/>
            </w:pPr>
            <w:r w:rsidRPr="00F0363D">
              <w:t xml:space="preserve">3/6 </w:t>
            </w:r>
          </w:p>
          <w:p w:rsidR="00C628F2" w:rsidRPr="00F0363D" w:rsidRDefault="00C628F2" w:rsidP="00721806">
            <w:pPr>
              <w:pStyle w:val="Tabletext"/>
              <w:jc w:val="center"/>
            </w:pPr>
            <w:r w:rsidRPr="00F0363D">
              <w:t>(50)</w:t>
            </w:r>
          </w:p>
        </w:tc>
        <w:tc>
          <w:tcPr>
            <w:tcW w:w="497" w:type="pct"/>
            <w:gridSpan w:val="2"/>
            <w:tcBorders>
              <w:top w:val="single" w:sz="4" w:space="0" w:color="auto"/>
            </w:tcBorders>
          </w:tcPr>
          <w:p w:rsidR="00C628F2" w:rsidRDefault="00C628F2" w:rsidP="00721806">
            <w:pPr>
              <w:pStyle w:val="Tabletext"/>
              <w:jc w:val="center"/>
            </w:pPr>
            <w:r w:rsidRPr="00F0363D">
              <w:t xml:space="preserve">8/94 </w:t>
            </w:r>
          </w:p>
          <w:p w:rsidR="00C628F2" w:rsidRPr="00F0363D" w:rsidRDefault="00C628F2" w:rsidP="00721806">
            <w:pPr>
              <w:pStyle w:val="Tabletext"/>
              <w:jc w:val="center"/>
            </w:pPr>
            <w:r w:rsidRPr="00F0363D">
              <w:t>(8.5)</w:t>
            </w:r>
          </w:p>
        </w:tc>
        <w:tc>
          <w:tcPr>
            <w:tcW w:w="500" w:type="pct"/>
            <w:tcBorders>
              <w:top w:val="single" w:sz="4" w:space="0" w:color="auto"/>
            </w:tcBorders>
          </w:tcPr>
          <w:p w:rsidR="00C628F2" w:rsidRDefault="00C628F2" w:rsidP="00721806">
            <w:pPr>
              <w:pStyle w:val="Tabletext"/>
              <w:jc w:val="center"/>
            </w:pPr>
            <w:r w:rsidRPr="00F0363D">
              <w:t xml:space="preserve">7/91 </w:t>
            </w:r>
          </w:p>
          <w:p w:rsidR="00C628F2" w:rsidRPr="00F0363D" w:rsidRDefault="00C628F2" w:rsidP="00721806">
            <w:pPr>
              <w:pStyle w:val="Tabletext"/>
              <w:jc w:val="center"/>
            </w:pPr>
            <w:r w:rsidRPr="00F0363D">
              <w:t>(7.7)</w:t>
            </w:r>
          </w:p>
        </w:tc>
      </w:tr>
      <w:tr w:rsidR="00C628F2" w:rsidRPr="00F0363D" w:rsidTr="00721806">
        <w:trPr>
          <w:trHeight w:val="144"/>
        </w:trPr>
        <w:tc>
          <w:tcPr>
            <w:tcW w:w="1176" w:type="pct"/>
            <w:vMerge/>
            <w:tcBorders>
              <w:bottom w:val="single" w:sz="4" w:space="0" w:color="auto"/>
            </w:tcBorders>
          </w:tcPr>
          <w:p w:rsidR="00C628F2" w:rsidRPr="00F0363D" w:rsidRDefault="00C628F2" w:rsidP="00721806">
            <w:pPr>
              <w:pStyle w:val="Tabletext"/>
              <w:rPr>
                <w:lang w:eastAsia="en-AU"/>
              </w:rPr>
            </w:pPr>
          </w:p>
        </w:tc>
        <w:tc>
          <w:tcPr>
            <w:tcW w:w="991" w:type="pct"/>
            <w:gridSpan w:val="3"/>
            <w:tcBorders>
              <w:top w:val="nil"/>
              <w:bottom w:val="single" w:sz="4" w:space="0" w:color="auto"/>
            </w:tcBorders>
            <w:vAlign w:val="center"/>
          </w:tcPr>
          <w:p w:rsidR="00C628F2" w:rsidRPr="00F0363D" w:rsidRDefault="00C628F2" w:rsidP="00721806">
            <w:pPr>
              <w:pStyle w:val="Tabletext"/>
              <w:jc w:val="center"/>
            </w:pPr>
            <w:r w:rsidRPr="00F0363D">
              <w:t>P=1.00</w:t>
            </w:r>
          </w:p>
        </w:tc>
        <w:tc>
          <w:tcPr>
            <w:tcW w:w="921" w:type="pct"/>
            <w:gridSpan w:val="3"/>
            <w:tcBorders>
              <w:top w:val="nil"/>
              <w:bottom w:val="single" w:sz="4" w:space="0" w:color="auto"/>
            </w:tcBorders>
            <w:vAlign w:val="center"/>
          </w:tcPr>
          <w:p w:rsidR="00C628F2" w:rsidRPr="00F0363D" w:rsidRDefault="00C628F2" w:rsidP="00721806">
            <w:pPr>
              <w:pStyle w:val="Tabletext"/>
              <w:jc w:val="center"/>
            </w:pPr>
            <w:r w:rsidRPr="00F0363D">
              <w:t>P=0.19</w:t>
            </w:r>
          </w:p>
        </w:tc>
        <w:tc>
          <w:tcPr>
            <w:tcW w:w="915" w:type="pct"/>
            <w:gridSpan w:val="3"/>
            <w:tcBorders>
              <w:top w:val="nil"/>
              <w:bottom w:val="single" w:sz="4" w:space="0" w:color="auto"/>
            </w:tcBorders>
            <w:vAlign w:val="center"/>
          </w:tcPr>
          <w:p w:rsidR="00C628F2" w:rsidRPr="00F0363D" w:rsidRDefault="00C628F2" w:rsidP="00721806">
            <w:pPr>
              <w:pStyle w:val="Tabletext"/>
              <w:jc w:val="center"/>
            </w:pPr>
            <w:r w:rsidRPr="00F0363D">
              <w:t>P=0.14</w:t>
            </w:r>
          </w:p>
        </w:tc>
        <w:tc>
          <w:tcPr>
            <w:tcW w:w="997" w:type="pct"/>
            <w:gridSpan w:val="3"/>
            <w:tcBorders>
              <w:top w:val="nil"/>
              <w:bottom w:val="single" w:sz="4" w:space="0" w:color="auto"/>
            </w:tcBorders>
          </w:tcPr>
          <w:p w:rsidR="00C628F2" w:rsidRPr="00F0363D" w:rsidRDefault="00C628F2" w:rsidP="00721806">
            <w:pPr>
              <w:pStyle w:val="Tabletext"/>
              <w:jc w:val="center"/>
            </w:pPr>
            <w:r w:rsidRPr="00F0363D">
              <w:t>RR=0.95 (0.21, 4.27) P=0.95</w:t>
            </w:r>
          </w:p>
        </w:tc>
      </w:tr>
      <w:tr w:rsidR="00C628F2" w:rsidRPr="00F0363D" w:rsidTr="00721806">
        <w:trPr>
          <w:trHeight w:val="473"/>
        </w:trPr>
        <w:tc>
          <w:tcPr>
            <w:tcW w:w="1176" w:type="pct"/>
            <w:vMerge w:val="restart"/>
            <w:tcBorders>
              <w:top w:val="single" w:sz="4" w:space="0" w:color="auto"/>
              <w:left w:val="single" w:sz="4" w:space="0" w:color="auto"/>
              <w:right w:val="single" w:sz="4" w:space="0" w:color="auto"/>
            </w:tcBorders>
          </w:tcPr>
          <w:p w:rsidR="00C628F2" w:rsidRPr="00F0363D" w:rsidRDefault="00C628F2" w:rsidP="00721806">
            <w:pPr>
              <w:pStyle w:val="Tabletext"/>
            </w:pPr>
            <w:r w:rsidRPr="00F0363D">
              <w:rPr>
                <w:lang w:eastAsia="en-AU"/>
              </w:rPr>
              <w:t>Complications requiring surgical correction/</w:t>
            </w:r>
            <w:r>
              <w:rPr>
                <w:lang w:eastAsia="en-AU"/>
              </w:rPr>
              <w:t xml:space="preserve"> </w:t>
            </w:r>
            <w:proofErr w:type="spellStart"/>
            <w:r w:rsidRPr="00F0363D">
              <w:rPr>
                <w:lang w:eastAsia="en-AU"/>
              </w:rPr>
              <w:t>hospitalisation</w:t>
            </w:r>
            <w:r>
              <w:rPr>
                <w:vertAlign w:val="superscript"/>
                <w:lang w:eastAsia="en-AU"/>
              </w:rPr>
              <w:t>b</w:t>
            </w:r>
            <w:proofErr w:type="spellEnd"/>
            <w:r w:rsidRPr="00F0363D">
              <w:rPr>
                <w:lang w:eastAsia="en-AU"/>
              </w:rPr>
              <w:t xml:space="preserve"> (%)</w:t>
            </w:r>
          </w:p>
        </w:tc>
        <w:tc>
          <w:tcPr>
            <w:tcW w:w="504"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3/69 </w:t>
            </w:r>
          </w:p>
          <w:p w:rsidR="00C628F2" w:rsidRPr="00F0363D" w:rsidRDefault="00C628F2" w:rsidP="00721806">
            <w:pPr>
              <w:pStyle w:val="Tabletext"/>
              <w:jc w:val="center"/>
            </w:pPr>
            <w:r w:rsidRPr="00F0363D">
              <w:t>(4.3)</w:t>
            </w:r>
          </w:p>
        </w:tc>
        <w:tc>
          <w:tcPr>
            <w:tcW w:w="487"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4/69 </w:t>
            </w:r>
          </w:p>
          <w:p w:rsidR="00C628F2" w:rsidRPr="00F0363D" w:rsidRDefault="00C628F2" w:rsidP="00721806">
            <w:pPr>
              <w:pStyle w:val="Tabletext"/>
              <w:jc w:val="center"/>
            </w:pPr>
            <w:r w:rsidRPr="00F0363D">
              <w:t>(5.8)</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3/16 </w:t>
            </w:r>
          </w:p>
          <w:p w:rsidR="00C628F2" w:rsidRPr="00F0363D" w:rsidRDefault="00C628F2" w:rsidP="00721806">
            <w:pPr>
              <w:pStyle w:val="Tabletext"/>
              <w:jc w:val="center"/>
            </w:pPr>
            <w:r w:rsidRPr="00F0363D">
              <w:t>(18.8)</w:t>
            </w:r>
          </w:p>
        </w:tc>
        <w:tc>
          <w:tcPr>
            <w:tcW w:w="507"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1/16 </w:t>
            </w:r>
          </w:p>
          <w:p w:rsidR="00C628F2" w:rsidRPr="00F0363D" w:rsidRDefault="00C628F2" w:rsidP="00721806">
            <w:pPr>
              <w:pStyle w:val="Tabletext"/>
              <w:jc w:val="center"/>
            </w:pPr>
            <w:r w:rsidRPr="00F0363D">
              <w:t>(6.3)</w:t>
            </w:r>
          </w:p>
        </w:tc>
        <w:tc>
          <w:tcPr>
            <w:tcW w:w="414"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0/9 </w:t>
            </w:r>
          </w:p>
          <w:p w:rsidR="00C628F2" w:rsidRPr="00F0363D" w:rsidRDefault="00C628F2" w:rsidP="00721806">
            <w:pPr>
              <w:pStyle w:val="Tabletext"/>
              <w:jc w:val="center"/>
            </w:pPr>
            <w:r w:rsidRPr="00F0363D">
              <w:t>(0)</w:t>
            </w:r>
          </w:p>
        </w:tc>
        <w:tc>
          <w:tcPr>
            <w:tcW w:w="501"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t>4/6</w:t>
            </w:r>
          </w:p>
          <w:p w:rsidR="00C628F2" w:rsidRPr="00F0363D" w:rsidRDefault="00C628F2" w:rsidP="00721806">
            <w:pPr>
              <w:pStyle w:val="Tabletext"/>
              <w:jc w:val="center"/>
            </w:pPr>
            <w:r w:rsidRPr="00F0363D">
              <w:t>(66.7)</w:t>
            </w:r>
          </w:p>
        </w:tc>
        <w:tc>
          <w:tcPr>
            <w:tcW w:w="497" w:type="pct"/>
            <w:gridSpan w:val="2"/>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6/94 </w:t>
            </w:r>
          </w:p>
          <w:p w:rsidR="00C628F2" w:rsidRPr="00F0363D" w:rsidRDefault="00C628F2" w:rsidP="00721806">
            <w:pPr>
              <w:pStyle w:val="Tabletext"/>
              <w:jc w:val="center"/>
            </w:pPr>
            <w:r w:rsidRPr="00F0363D">
              <w:t>(6.4)</w:t>
            </w:r>
          </w:p>
        </w:tc>
        <w:tc>
          <w:tcPr>
            <w:tcW w:w="500" w:type="pct"/>
            <w:tcBorders>
              <w:top w:val="single" w:sz="4" w:space="0" w:color="auto"/>
              <w:left w:val="single" w:sz="4" w:space="0" w:color="auto"/>
              <w:bottom w:val="single" w:sz="4" w:space="0" w:color="auto"/>
              <w:right w:val="single" w:sz="4" w:space="0" w:color="auto"/>
            </w:tcBorders>
            <w:vAlign w:val="center"/>
          </w:tcPr>
          <w:p w:rsidR="00C628F2" w:rsidRDefault="00C628F2" w:rsidP="00721806">
            <w:pPr>
              <w:pStyle w:val="Tabletext"/>
              <w:jc w:val="center"/>
            </w:pPr>
            <w:r w:rsidRPr="00F0363D">
              <w:t xml:space="preserve">9/91 </w:t>
            </w:r>
          </w:p>
          <w:p w:rsidR="00C628F2" w:rsidRPr="00F0363D" w:rsidRDefault="00C628F2" w:rsidP="00721806">
            <w:pPr>
              <w:pStyle w:val="Tabletext"/>
              <w:jc w:val="center"/>
            </w:pPr>
            <w:r w:rsidRPr="00F0363D">
              <w:t>(9.9)</w:t>
            </w:r>
          </w:p>
        </w:tc>
      </w:tr>
      <w:tr w:rsidR="00C628F2" w:rsidRPr="00F0363D" w:rsidTr="00721806">
        <w:trPr>
          <w:trHeight w:val="144"/>
        </w:trPr>
        <w:tc>
          <w:tcPr>
            <w:tcW w:w="1176" w:type="pct"/>
            <w:vMerge/>
            <w:tcBorders>
              <w:left w:val="single" w:sz="4" w:space="0" w:color="auto"/>
              <w:bottom w:val="single" w:sz="4" w:space="0" w:color="auto"/>
              <w:right w:val="single" w:sz="4" w:space="0" w:color="auto"/>
            </w:tcBorders>
          </w:tcPr>
          <w:p w:rsidR="00C628F2" w:rsidRPr="00F0363D" w:rsidRDefault="00C628F2" w:rsidP="00721806">
            <w:pPr>
              <w:pStyle w:val="Tabletext"/>
              <w:rPr>
                <w:lang w:eastAsia="en-AU"/>
              </w:rPr>
            </w:pPr>
          </w:p>
        </w:tc>
        <w:tc>
          <w:tcPr>
            <w:tcW w:w="991"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P=0.70</w:t>
            </w:r>
          </w:p>
        </w:tc>
        <w:tc>
          <w:tcPr>
            <w:tcW w:w="921"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P=0.32</w:t>
            </w:r>
          </w:p>
        </w:tc>
        <w:tc>
          <w:tcPr>
            <w:tcW w:w="915" w:type="pct"/>
            <w:gridSpan w:val="3"/>
            <w:tcBorders>
              <w:top w:val="single" w:sz="4" w:space="0" w:color="auto"/>
              <w:left w:val="single" w:sz="4" w:space="0" w:color="auto"/>
              <w:bottom w:val="single" w:sz="4" w:space="0" w:color="auto"/>
              <w:right w:val="single" w:sz="4" w:space="0" w:color="auto"/>
            </w:tcBorders>
            <w:vAlign w:val="center"/>
          </w:tcPr>
          <w:p w:rsidR="00C628F2" w:rsidRPr="00F0363D" w:rsidRDefault="00C628F2" w:rsidP="00721806">
            <w:pPr>
              <w:pStyle w:val="Tabletext"/>
              <w:jc w:val="center"/>
            </w:pPr>
            <w:r w:rsidRPr="00F0363D">
              <w:t>P=0.07</w:t>
            </w:r>
          </w:p>
        </w:tc>
        <w:tc>
          <w:tcPr>
            <w:tcW w:w="997" w:type="pct"/>
            <w:gridSpan w:val="3"/>
            <w:tcBorders>
              <w:top w:val="single" w:sz="4" w:space="0" w:color="auto"/>
              <w:left w:val="single" w:sz="4" w:space="0" w:color="auto"/>
              <w:bottom w:val="single" w:sz="4" w:space="0" w:color="auto"/>
              <w:right w:val="single" w:sz="4" w:space="0" w:color="auto"/>
            </w:tcBorders>
          </w:tcPr>
          <w:p w:rsidR="00C628F2" w:rsidRDefault="00C628F2" w:rsidP="00721806">
            <w:pPr>
              <w:pStyle w:val="Tabletext"/>
              <w:jc w:val="center"/>
            </w:pPr>
            <w:r w:rsidRPr="00F0363D">
              <w:t xml:space="preserve">RR=0.67 </w:t>
            </w:r>
          </w:p>
          <w:p w:rsidR="00C628F2" w:rsidRPr="00F0363D" w:rsidRDefault="00C628F2" w:rsidP="00721806">
            <w:pPr>
              <w:pStyle w:val="Tabletext"/>
              <w:jc w:val="center"/>
            </w:pPr>
            <w:r w:rsidRPr="00F0363D">
              <w:t>(0.12, 3.86) P=0.66</w:t>
            </w:r>
          </w:p>
        </w:tc>
      </w:tr>
      <w:tr w:rsidR="00C628F2" w:rsidRPr="00F0363D" w:rsidTr="00721806">
        <w:trPr>
          <w:trHeight w:val="144"/>
        </w:trPr>
        <w:tc>
          <w:tcPr>
            <w:tcW w:w="1176" w:type="pct"/>
            <w:vMerge w:val="restart"/>
            <w:tcBorders>
              <w:top w:val="single" w:sz="4" w:space="0" w:color="auto"/>
            </w:tcBorders>
          </w:tcPr>
          <w:p w:rsidR="00C628F2" w:rsidRPr="00F0363D" w:rsidRDefault="00C628F2" w:rsidP="00721806">
            <w:pPr>
              <w:pStyle w:val="Tabletext"/>
            </w:pPr>
            <w:r>
              <w:t xml:space="preserve">Local or systematic </w:t>
            </w:r>
            <w:r w:rsidRPr="00F0363D">
              <w:t>Infection (%)</w:t>
            </w:r>
          </w:p>
        </w:tc>
        <w:tc>
          <w:tcPr>
            <w:tcW w:w="484" w:type="pct"/>
            <w:tcBorders>
              <w:top w:val="single" w:sz="4" w:space="0" w:color="auto"/>
              <w:bottom w:val="single" w:sz="4" w:space="0" w:color="auto"/>
            </w:tcBorders>
            <w:vAlign w:val="center"/>
          </w:tcPr>
          <w:p w:rsidR="00C628F2" w:rsidRDefault="00C628F2" w:rsidP="00721806">
            <w:pPr>
              <w:pStyle w:val="Tabletext"/>
              <w:jc w:val="center"/>
            </w:pPr>
            <w:r w:rsidRPr="00F0363D">
              <w:t xml:space="preserve">1/69 </w:t>
            </w:r>
          </w:p>
          <w:p w:rsidR="00C628F2" w:rsidRPr="00F0363D" w:rsidRDefault="00C628F2" w:rsidP="00721806">
            <w:pPr>
              <w:pStyle w:val="Tabletext"/>
              <w:jc w:val="center"/>
            </w:pPr>
            <w:r w:rsidRPr="00F0363D">
              <w:t>(1.4)</w:t>
            </w:r>
          </w:p>
        </w:tc>
        <w:tc>
          <w:tcPr>
            <w:tcW w:w="507" w:type="pct"/>
            <w:gridSpan w:val="2"/>
            <w:tcBorders>
              <w:top w:val="single" w:sz="4" w:space="0" w:color="auto"/>
              <w:bottom w:val="single" w:sz="4" w:space="0" w:color="auto"/>
            </w:tcBorders>
            <w:vAlign w:val="center"/>
          </w:tcPr>
          <w:p w:rsidR="00C628F2" w:rsidRDefault="00C628F2" w:rsidP="00721806">
            <w:pPr>
              <w:pStyle w:val="Tabletext"/>
              <w:jc w:val="center"/>
            </w:pPr>
            <w:r w:rsidRPr="00F0363D">
              <w:t xml:space="preserve">1/69 </w:t>
            </w:r>
          </w:p>
          <w:p w:rsidR="00C628F2" w:rsidRPr="00F0363D" w:rsidRDefault="00C628F2" w:rsidP="00721806">
            <w:pPr>
              <w:pStyle w:val="Tabletext"/>
              <w:jc w:val="center"/>
            </w:pPr>
            <w:r w:rsidRPr="00F0363D">
              <w:t>(1.4)</w:t>
            </w:r>
          </w:p>
        </w:tc>
        <w:tc>
          <w:tcPr>
            <w:tcW w:w="401" w:type="pct"/>
            <w:tcBorders>
              <w:top w:val="single" w:sz="4" w:space="0" w:color="auto"/>
              <w:bottom w:val="single" w:sz="4" w:space="0" w:color="auto"/>
            </w:tcBorders>
            <w:vAlign w:val="center"/>
          </w:tcPr>
          <w:p w:rsidR="00C628F2" w:rsidRPr="00F0363D" w:rsidRDefault="00C628F2" w:rsidP="00721806">
            <w:pPr>
              <w:pStyle w:val="Tabletext"/>
              <w:jc w:val="center"/>
            </w:pPr>
            <w:r w:rsidRPr="00F0363D">
              <w:t>NR</w:t>
            </w:r>
          </w:p>
        </w:tc>
        <w:tc>
          <w:tcPr>
            <w:tcW w:w="520" w:type="pct"/>
            <w:gridSpan w:val="2"/>
            <w:tcBorders>
              <w:top w:val="single" w:sz="4" w:space="0" w:color="auto"/>
              <w:bottom w:val="single" w:sz="4" w:space="0" w:color="auto"/>
            </w:tcBorders>
            <w:vAlign w:val="center"/>
          </w:tcPr>
          <w:p w:rsidR="00C628F2" w:rsidRPr="00F0363D" w:rsidRDefault="00C628F2" w:rsidP="00721806">
            <w:pPr>
              <w:pStyle w:val="Tabletext"/>
              <w:jc w:val="center"/>
            </w:pPr>
            <w:r w:rsidRPr="00F0363D">
              <w:t>NR</w:t>
            </w:r>
          </w:p>
        </w:tc>
        <w:tc>
          <w:tcPr>
            <w:tcW w:w="397" w:type="pct"/>
            <w:tcBorders>
              <w:top w:val="single" w:sz="4" w:space="0" w:color="auto"/>
              <w:bottom w:val="single" w:sz="4" w:space="0" w:color="auto"/>
            </w:tcBorders>
            <w:vAlign w:val="center"/>
          </w:tcPr>
          <w:p w:rsidR="00C628F2" w:rsidRDefault="00C628F2" w:rsidP="00721806">
            <w:pPr>
              <w:pStyle w:val="Tabletext"/>
              <w:jc w:val="center"/>
            </w:pPr>
            <w:r w:rsidRPr="00F0363D">
              <w:t xml:space="preserve">0/9 </w:t>
            </w:r>
          </w:p>
          <w:p w:rsidR="00C628F2" w:rsidRPr="00F0363D" w:rsidRDefault="00C628F2" w:rsidP="00721806">
            <w:pPr>
              <w:pStyle w:val="Tabletext"/>
              <w:jc w:val="center"/>
            </w:pPr>
            <w:r w:rsidRPr="00F0363D">
              <w:t>(0)</w:t>
            </w:r>
          </w:p>
        </w:tc>
        <w:tc>
          <w:tcPr>
            <w:tcW w:w="518" w:type="pct"/>
            <w:gridSpan w:val="2"/>
            <w:tcBorders>
              <w:top w:val="single" w:sz="4" w:space="0" w:color="auto"/>
              <w:bottom w:val="single" w:sz="4" w:space="0" w:color="auto"/>
            </w:tcBorders>
            <w:vAlign w:val="center"/>
          </w:tcPr>
          <w:p w:rsidR="00C628F2" w:rsidRDefault="00C628F2" w:rsidP="00721806">
            <w:pPr>
              <w:pStyle w:val="Tabletext"/>
              <w:jc w:val="center"/>
            </w:pPr>
            <w:r w:rsidRPr="00F0363D">
              <w:t xml:space="preserve">1/6 </w:t>
            </w:r>
          </w:p>
          <w:p w:rsidR="00C628F2" w:rsidRPr="00F0363D" w:rsidRDefault="00C628F2" w:rsidP="00721806">
            <w:pPr>
              <w:pStyle w:val="Tabletext"/>
              <w:jc w:val="center"/>
            </w:pPr>
            <w:r w:rsidRPr="00F0363D">
              <w:t>(16.7)</w:t>
            </w:r>
          </w:p>
        </w:tc>
        <w:tc>
          <w:tcPr>
            <w:tcW w:w="483" w:type="pct"/>
            <w:tcBorders>
              <w:top w:val="single" w:sz="4" w:space="0" w:color="auto"/>
              <w:bottom w:val="single" w:sz="4" w:space="0" w:color="auto"/>
            </w:tcBorders>
          </w:tcPr>
          <w:p w:rsidR="00C628F2" w:rsidRDefault="00C628F2" w:rsidP="00721806">
            <w:pPr>
              <w:pStyle w:val="Tabletext"/>
              <w:jc w:val="center"/>
            </w:pPr>
            <w:r w:rsidRPr="00F0363D">
              <w:t xml:space="preserve">1/78 </w:t>
            </w:r>
          </w:p>
          <w:p w:rsidR="00C628F2" w:rsidRPr="00F0363D" w:rsidRDefault="00C628F2" w:rsidP="00721806">
            <w:pPr>
              <w:pStyle w:val="Tabletext"/>
              <w:jc w:val="center"/>
            </w:pPr>
            <w:r w:rsidRPr="00F0363D">
              <w:t>(1.3)</w:t>
            </w:r>
          </w:p>
        </w:tc>
        <w:tc>
          <w:tcPr>
            <w:tcW w:w="514" w:type="pct"/>
            <w:gridSpan w:val="2"/>
            <w:tcBorders>
              <w:top w:val="single" w:sz="4" w:space="0" w:color="auto"/>
              <w:bottom w:val="single" w:sz="4" w:space="0" w:color="auto"/>
            </w:tcBorders>
          </w:tcPr>
          <w:p w:rsidR="00C628F2" w:rsidRDefault="00C628F2" w:rsidP="00721806">
            <w:pPr>
              <w:pStyle w:val="Tabletext"/>
              <w:jc w:val="center"/>
            </w:pPr>
            <w:r w:rsidRPr="00F0363D">
              <w:t xml:space="preserve">2/75 </w:t>
            </w:r>
          </w:p>
          <w:p w:rsidR="00C628F2" w:rsidRPr="00F0363D" w:rsidRDefault="00C628F2" w:rsidP="00721806">
            <w:pPr>
              <w:pStyle w:val="Tabletext"/>
              <w:jc w:val="center"/>
            </w:pPr>
            <w:r w:rsidRPr="00F0363D">
              <w:t>(2.7)</w:t>
            </w:r>
          </w:p>
        </w:tc>
      </w:tr>
      <w:tr w:rsidR="00C628F2" w:rsidRPr="00F0363D" w:rsidTr="00721806">
        <w:trPr>
          <w:trHeight w:val="144"/>
        </w:trPr>
        <w:tc>
          <w:tcPr>
            <w:tcW w:w="1176" w:type="pct"/>
            <w:vMerge/>
            <w:tcBorders>
              <w:bottom w:val="single" w:sz="4" w:space="0" w:color="auto"/>
            </w:tcBorders>
          </w:tcPr>
          <w:p w:rsidR="00C628F2" w:rsidRPr="00F0363D" w:rsidRDefault="00C628F2" w:rsidP="00721806">
            <w:pPr>
              <w:pStyle w:val="Tabletext"/>
            </w:pPr>
          </w:p>
        </w:tc>
        <w:tc>
          <w:tcPr>
            <w:tcW w:w="991" w:type="pct"/>
            <w:gridSpan w:val="3"/>
            <w:tcBorders>
              <w:top w:val="single" w:sz="4" w:space="0" w:color="auto"/>
              <w:bottom w:val="single" w:sz="4" w:space="0" w:color="auto"/>
            </w:tcBorders>
            <w:vAlign w:val="center"/>
          </w:tcPr>
          <w:p w:rsidR="00C628F2" w:rsidRPr="00F0363D" w:rsidRDefault="00C628F2" w:rsidP="00721806">
            <w:pPr>
              <w:pStyle w:val="Tabletext"/>
              <w:jc w:val="center"/>
            </w:pPr>
            <w:r w:rsidRPr="00F0363D">
              <w:t>P=1.00</w:t>
            </w:r>
          </w:p>
        </w:tc>
        <w:tc>
          <w:tcPr>
            <w:tcW w:w="921" w:type="pct"/>
            <w:gridSpan w:val="3"/>
            <w:tcBorders>
              <w:top w:val="single" w:sz="4" w:space="0" w:color="auto"/>
              <w:bottom w:val="single" w:sz="4" w:space="0" w:color="auto"/>
            </w:tcBorders>
            <w:vAlign w:val="center"/>
          </w:tcPr>
          <w:p w:rsidR="00C628F2" w:rsidRPr="00F0363D" w:rsidRDefault="00C628F2" w:rsidP="00721806">
            <w:pPr>
              <w:pStyle w:val="Tabletext"/>
              <w:jc w:val="center"/>
            </w:pPr>
            <w:r w:rsidRPr="00F0363D">
              <w:t>N/A</w:t>
            </w:r>
          </w:p>
        </w:tc>
        <w:tc>
          <w:tcPr>
            <w:tcW w:w="915" w:type="pct"/>
            <w:gridSpan w:val="3"/>
            <w:tcBorders>
              <w:top w:val="single" w:sz="4" w:space="0" w:color="auto"/>
              <w:bottom w:val="single" w:sz="4" w:space="0" w:color="auto"/>
            </w:tcBorders>
            <w:vAlign w:val="center"/>
          </w:tcPr>
          <w:p w:rsidR="00C628F2" w:rsidRPr="00F0363D" w:rsidRDefault="00C628F2" w:rsidP="00721806">
            <w:pPr>
              <w:pStyle w:val="Tabletext"/>
              <w:jc w:val="center"/>
            </w:pPr>
            <w:r w:rsidRPr="00F0363D">
              <w:t>P=0.35</w:t>
            </w:r>
          </w:p>
        </w:tc>
        <w:tc>
          <w:tcPr>
            <w:tcW w:w="997" w:type="pct"/>
            <w:gridSpan w:val="3"/>
            <w:tcBorders>
              <w:top w:val="single" w:sz="4" w:space="0" w:color="auto"/>
              <w:bottom w:val="single" w:sz="4" w:space="0" w:color="auto"/>
            </w:tcBorders>
          </w:tcPr>
          <w:p w:rsidR="00C628F2" w:rsidRDefault="00C628F2" w:rsidP="00721806">
            <w:pPr>
              <w:pStyle w:val="Tabletext"/>
              <w:jc w:val="center"/>
            </w:pPr>
            <w:r w:rsidRPr="00F0363D">
              <w:t>RR=0.52</w:t>
            </w:r>
          </w:p>
          <w:p w:rsidR="00C628F2" w:rsidRPr="00F0363D" w:rsidRDefault="00C628F2" w:rsidP="00721806">
            <w:pPr>
              <w:pStyle w:val="Tabletext"/>
              <w:jc w:val="center"/>
            </w:pPr>
            <w:r w:rsidRPr="00F0363D">
              <w:t>(0.07, 4.02) P=0.53</w:t>
            </w:r>
          </w:p>
        </w:tc>
      </w:tr>
    </w:tbl>
    <w:p w:rsidR="00C628F2" w:rsidRPr="00E75F1F" w:rsidRDefault="00C628F2" w:rsidP="00721806">
      <w:pPr>
        <w:rPr>
          <w:rFonts w:ascii="Arial Narrow" w:hAnsi="Arial Narrow"/>
          <w:sz w:val="20"/>
        </w:rPr>
      </w:pPr>
      <w:r w:rsidRPr="00E75F1F">
        <w:rPr>
          <w:rFonts w:ascii="Arial Narrow" w:hAnsi="Arial Narrow"/>
          <w:sz w:val="20"/>
        </w:rPr>
        <w:t>Source: Table 38, p73 of the application</w:t>
      </w:r>
    </w:p>
    <w:p w:rsidR="00C628F2" w:rsidRDefault="00C628F2" w:rsidP="00721806">
      <w:pPr>
        <w:rPr>
          <w:rFonts w:ascii="Arial Narrow" w:hAnsi="Arial Narrow"/>
          <w:sz w:val="20"/>
        </w:rPr>
      </w:pPr>
      <w:r w:rsidRPr="00E75F1F">
        <w:rPr>
          <w:rFonts w:ascii="Arial Narrow" w:hAnsi="Arial Narrow"/>
          <w:sz w:val="20"/>
        </w:rPr>
        <w:t>ICD = implantable cardioverter</w:t>
      </w:r>
      <w:r>
        <w:rPr>
          <w:rFonts w:ascii="Arial Narrow" w:hAnsi="Arial Narrow"/>
          <w:sz w:val="20"/>
        </w:rPr>
        <w:t>-</w:t>
      </w:r>
      <w:r w:rsidRPr="00E75F1F">
        <w:rPr>
          <w:rFonts w:ascii="Arial Narrow" w:hAnsi="Arial Narrow"/>
          <w:sz w:val="20"/>
        </w:rPr>
        <w:t>defibrillator; NA = not applicable; NR = not reported; RR = relative risk; S = subcutaneous; TV = transvenous; VF = ventricular fibrillation; VT = ventricular tachycardia</w:t>
      </w:r>
    </w:p>
    <w:p w:rsidR="00C628F2" w:rsidRPr="00C963C1" w:rsidRDefault="00C628F2" w:rsidP="00721806">
      <w:pPr>
        <w:rPr>
          <w:rFonts w:ascii="Arial Narrow" w:hAnsi="Arial Narrow"/>
          <w:sz w:val="20"/>
        </w:rPr>
      </w:pPr>
      <w:r w:rsidRPr="00E73A6D">
        <w:rPr>
          <w:rFonts w:ascii="Arial Narrow" w:hAnsi="Arial Narrow"/>
          <w:sz w:val="20"/>
        </w:rPr>
        <w:t>a</w:t>
      </w:r>
      <w:r>
        <w:rPr>
          <w:rFonts w:ascii="Arial Narrow" w:hAnsi="Arial Narrow"/>
          <w:b/>
          <w:sz w:val="20"/>
        </w:rPr>
        <w:t xml:space="preserve"> </w:t>
      </w:r>
      <w:r w:rsidRPr="00C963C1">
        <w:rPr>
          <w:rFonts w:ascii="Arial Narrow" w:hAnsi="Arial Narrow"/>
          <w:sz w:val="20"/>
        </w:rPr>
        <w:t>Successful conversion tests:  An immediate intraoperative outcome to determine defibrillation ability of subcutaneous ICD device by terminating patient-induced ventricular fibrillation (sensitivity);</w:t>
      </w:r>
    </w:p>
    <w:p w:rsidR="00C628F2" w:rsidRPr="00C963C1" w:rsidRDefault="00C628F2" w:rsidP="00721806">
      <w:pPr>
        <w:rPr>
          <w:rFonts w:ascii="Arial Narrow" w:hAnsi="Arial Narrow"/>
          <w:b/>
          <w:sz w:val="20"/>
        </w:rPr>
      </w:pPr>
      <w:r w:rsidRPr="00E73A6D">
        <w:rPr>
          <w:rFonts w:ascii="Arial Narrow" w:hAnsi="Arial Narrow"/>
          <w:sz w:val="20"/>
        </w:rPr>
        <w:t>b</w:t>
      </w:r>
      <w:r>
        <w:rPr>
          <w:rFonts w:ascii="Arial Narrow" w:hAnsi="Arial Narrow"/>
          <w:b/>
          <w:sz w:val="20"/>
        </w:rPr>
        <w:t xml:space="preserve"> </w:t>
      </w:r>
      <w:r w:rsidRPr="00C963C1">
        <w:rPr>
          <w:rFonts w:ascii="Arial Narrow" w:hAnsi="Arial Narrow"/>
          <w:sz w:val="20"/>
        </w:rPr>
        <w:t>Device-related complications:</w:t>
      </w:r>
      <w:r w:rsidRPr="00C963C1">
        <w:rPr>
          <w:rFonts w:ascii="Arial Narrow" w:hAnsi="Arial Narrow"/>
          <w:b/>
          <w:sz w:val="20"/>
        </w:rPr>
        <w:t xml:space="preserve"> </w:t>
      </w:r>
      <w:r w:rsidRPr="00C963C1">
        <w:rPr>
          <w:rFonts w:ascii="Arial Narrow" w:hAnsi="Arial Narrow"/>
          <w:sz w:val="20"/>
        </w:rPr>
        <w:t>any adverse event related to specific ICD (</w:t>
      </w:r>
      <w:proofErr w:type="spellStart"/>
      <w:r w:rsidRPr="00C963C1">
        <w:rPr>
          <w:rFonts w:ascii="Arial Narrow" w:hAnsi="Arial Narrow"/>
          <w:sz w:val="20"/>
        </w:rPr>
        <w:t>ie</w:t>
      </w:r>
      <w:proofErr w:type="spellEnd"/>
      <w:r w:rsidRPr="00C963C1">
        <w:rPr>
          <w:rFonts w:ascii="Arial Narrow" w:hAnsi="Arial Narrow"/>
          <w:sz w:val="20"/>
        </w:rPr>
        <w:t xml:space="preserve">. Hospitalisation events, </w:t>
      </w:r>
      <w:r w:rsidR="00CE4156" w:rsidRPr="00C963C1">
        <w:rPr>
          <w:rFonts w:ascii="Arial Narrow" w:hAnsi="Arial Narrow"/>
          <w:sz w:val="20"/>
        </w:rPr>
        <w:t>explanation</w:t>
      </w:r>
      <w:r w:rsidRPr="00C963C1">
        <w:rPr>
          <w:rFonts w:ascii="Arial Narrow" w:hAnsi="Arial Narrow"/>
          <w:sz w:val="20"/>
        </w:rPr>
        <w:t xml:space="preserve"> because of developed pacing needs or lea</w:t>
      </w:r>
      <w:r>
        <w:rPr>
          <w:rFonts w:ascii="Arial Narrow" w:hAnsi="Arial Narrow"/>
          <w:sz w:val="20"/>
        </w:rPr>
        <w:t>d fracture, migration etc.)</w:t>
      </w:r>
    </w:p>
    <w:p w:rsidR="00C628F2" w:rsidRDefault="00C628F2" w:rsidP="00721806"/>
    <w:p w:rsidR="00C628F2" w:rsidRDefault="00C628F2" w:rsidP="00721806">
      <w:r>
        <w:t xml:space="preserve">The results reveal small and non-significant differences between the study arms for nearly all outcomes (especially in the largest comparative study by </w:t>
      </w:r>
      <w:proofErr w:type="spellStart"/>
      <w:r>
        <w:t>Köbe</w:t>
      </w:r>
      <w:proofErr w:type="spellEnd"/>
      <w:r>
        <w:t xml:space="preserve"> 2013). All relative risks were close to or less than 1.0 and in favour of subcutaneous ICD and none were statistically significant. Minimally important differences for these outcomes were not considered. </w:t>
      </w:r>
    </w:p>
    <w:p w:rsidR="00C628F2" w:rsidRDefault="00C628F2" w:rsidP="00721806"/>
    <w:p w:rsidR="00C628F2" w:rsidRPr="004F1164" w:rsidRDefault="00C628F2" w:rsidP="00721806">
      <w:r>
        <w:t>A supplementary analysis of single-arm studies is provided in the table below. As these studies were typically longer in duration, survival of patients with subcutaneous ICD could be observed; including ‘deaths over a 12 month period’.</w:t>
      </w:r>
    </w:p>
    <w:p w:rsidR="00C628F2" w:rsidRDefault="00C628F2" w:rsidP="00721806">
      <w:pPr>
        <w:rPr>
          <w:rFonts w:ascii="Arial Narrow" w:hAnsi="Arial Narrow"/>
          <w:b/>
          <w:sz w:val="20"/>
        </w:rPr>
      </w:pPr>
    </w:p>
    <w:p w:rsidR="00C628F2" w:rsidRDefault="00C628F2" w:rsidP="00721806">
      <w:pPr>
        <w:rPr>
          <w:rFonts w:ascii="Arial Narrow" w:hAnsi="Arial Narrow"/>
          <w:b/>
          <w:sz w:val="20"/>
        </w:rPr>
      </w:pPr>
      <w:r>
        <w:rPr>
          <w:rFonts w:ascii="Arial Narrow" w:hAnsi="Arial Narrow"/>
          <w:b/>
          <w:sz w:val="20"/>
        </w:rPr>
        <w:br w:type="page"/>
      </w:r>
    </w:p>
    <w:p w:rsidR="00C628F2" w:rsidRPr="00CD3030" w:rsidRDefault="00C628F2" w:rsidP="00721806">
      <w:pPr>
        <w:rPr>
          <w:rFonts w:ascii="Arial Narrow" w:hAnsi="Arial Narrow"/>
          <w:b/>
          <w:sz w:val="20"/>
        </w:rPr>
      </w:pPr>
      <w:r>
        <w:rPr>
          <w:rFonts w:ascii="Arial Narrow" w:hAnsi="Arial Narrow"/>
          <w:b/>
          <w:sz w:val="20"/>
        </w:rPr>
        <w:lastRenderedPageBreak/>
        <w:t>Summary of the main outcomes- single-arm subcutaneous ICD studies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1834"/>
        <w:gridCol w:w="814"/>
        <w:gridCol w:w="978"/>
        <w:gridCol w:w="654"/>
        <w:gridCol w:w="996"/>
        <w:gridCol w:w="792"/>
        <w:gridCol w:w="1086"/>
        <w:gridCol w:w="896"/>
        <w:gridCol w:w="1090"/>
      </w:tblGrid>
      <w:tr w:rsidR="00C628F2" w:rsidRPr="00BF60E9" w:rsidTr="00721806">
        <w:trPr>
          <w:trHeight w:val="229"/>
          <w:tblHeader/>
        </w:trPr>
        <w:tc>
          <w:tcPr>
            <w:tcW w:w="1003" w:type="pct"/>
            <w:vMerge w:val="restart"/>
            <w:tcBorders>
              <w:top w:val="single" w:sz="4" w:space="0" w:color="auto"/>
              <w:left w:val="single" w:sz="4" w:space="0" w:color="auto"/>
              <w:bottom w:val="single" w:sz="4" w:space="0" w:color="auto"/>
              <w:right w:val="single" w:sz="4" w:space="0" w:color="auto"/>
            </w:tcBorders>
          </w:tcPr>
          <w:p w:rsidR="00C628F2" w:rsidRPr="00BF60E9" w:rsidRDefault="00C628F2" w:rsidP="00721806">
            <w:pPr>
              <w:pStyle w:val="Tabletextcentred"/>
              <w:jc w:val="left"/>
              <w:rPr>
                <w:b/>
              </w:rPr>
            </w:pPr>
            <w:r w:rsidRPr="00BF60E9">
              <w:rPr>
                <w:b/>
              </w:rPr>
              <w:t>Outcome</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rsidR="00C628F2" w:rsidRPr="00BF60E9" w:rsidRDefault="00C628F2" w:rsidP="00721806">
            <w:pPr>
              <w:pStyle w:val="Tabletextcentred"/>
              <w:rPr>
                <w:b/>
              </w:rPr>
            </w:pPr>
            <w:r w:rsidRPr="00BF60E9">
              <w:rPr>
                <w:b/>
              </w:rPr>
              <w:t>Bardy, 2010</w:t>
            </w:r>
          </w:p>
          <w:p w:rsidR="00C628F2" w:rsidRPr="00BF60E9" w:rsidRDefault="00C628F2" w:rsidP="00721806">
            <w:pPr>
              <w:pStyle w:val="Tabletextcentred"/>
              <w:rPr>
                <w:b/>
              </w:rPr>
            </w:pPr>
            <w:r w:rsidRPr="00BF60E9">
              <w:rPr>
                <w:b/>
              </w:rPr>
              <w:t>c) L</w:t>
            </w:r>
            <w:r>
              <w:rPr>
                <w:b/>
              </w:rPr>
              <w:t>T</w:t>
            </w:r>
            <w:r w:rsidRPr="00BF60E9">
              <w:rPr>
                <w:b/>
              </w:rPr>
              <w:t xml:space="preserve"> study</w:t>
            </w:r>
          </w:p>
        </w:tc>
        <w:tc>
          <w:tcPr>
            <w:tcW w:w="535" w:type="pct"/>
            <w:vMerge w:val="restart"/>
            <w:tcBorders>
              <w:top w:val="single" w:sz="4" w:space="0" w:color="auto"/>
              <w:left w:val="single" w:sz="4" w:space="0" w:color="auto"/>
              <w:bottom w:val="single" w:sz="4" w:space="0" w:color="auto"/>
              <w:right w:val="single" w:sz="4" w:space="0" w:color="auto"/>
            </w:tcBorders>
            <w:vAlign w:val="center"/>
          </w:tcPr>
          <w:p w:rsidR="00C628F2" w:rsidRPr="00BF60E9" w:rsidRDefault="00C628F2" w:rsidP="00721806">
            <w:pPr>
              <w:pStyle w:val="Tabletextcentred"/>
              <w:rPr>
                <w:b/>
              </w:rPr>
            </w:pPr>
            <w:r w:rsidRPr="00BF60E9">
              <w:rPr>
                <w:b/>
              </w:rPr>
              <w:t>Bardy, 2010</w:t>
            </w:r>
            <w:r>
              <w:rPr>
                <w:b/>
              </w:rPr>
              <w:t xml:space="preserve"> </w:t>
            </w:r>
            <w:r w:rsidRPr="00BF60E9">
              <w:rPr>
                <w:b/>
              </w:rPr>
              <w:t>d) European trial</w:t>
            </w:r>
          </w:p>
        </w:tc>
        <w:tc>
          <w:tcPr>
            <w:tcW w:w="358" w:type="pct"/>
            <w:vMerge w:val="restart"/>
            <w:tcBorders>
              <w:top w:val="single" w:sz="4" w:space="0" w:color="auto"/>
              <w:left w:val="single" w:sz="4" w:space="0" w:color="auto"/>
              <w:bottom w:val="single" w:sz="4" w:space="0" w:color="auto"/>
              <w:right w:val="single" w:sz="4" w:space="0" w:color="auto"/>
            </w:tcBorders>
            <w:vAlign w:val="center"/>
          </w:tcPr>
          <w:p w:rsidR="00C628F2" w:rsidRPr="00BF60E9" w:rsidRDefault="00C628F2" w:rsidP="00721806">
            <w:pPr>
              <w:pStyle w:val="Tabletextcentred"/>
              <w:rPr>
                <w:b/>
              </w:rPr>
            </w:pPr>
            <w:r w:rsidRPr="00BF60E9">
              <w:rPr>
                <w:b/>
              </w:rPr>
              <w:t>Aydin 2012</w:t>
            </w:r>
          </w:p>
          <w:p w:rsidR="00C628F2" w:rsidRPr="00BF60E9" w:rsidRDefault="00C628F2" w:rsidP="00721806">
            <w:pPr>
              <w:pStyle w:val="Tabletextcentred"/>
              <w:rPr>
                <w:b/>
              </w:rPr>
            </w:pPr>
          </w:p>
        </w:tc>
        <w:tc>
          <w:tcPr>
            <w:tcW w:w="545" w:type="pct"/>
            <w:vMerge w:val="restart"/>
            <w:tcBorders>
              <w:top w:val="single" w:sz="4" w:space="0" w:color="auto"/>
              <w:left w:val="single" w:sz="4" w:space="0" w:color="auto"/>
              <w:bottom w:val="single" w:sz="4" w:space="0" w:color="auto"/>
              <w:right w:val="single" w:sz="4" w:space="0" w:color="auto"/>
            </w:tcBorders>
            <w:vAlign w:val="center"/>
          </w:tcPr>
          <w:p w:rsidR="00C628F2" w:rsidRPr="00BF60E9" w:rsidRDefault="00C628F2" w:rsidP="00721806">
            <w:pPr>
              <w:pStyle w:val="Tabletextcentred"/>
              <w:rPr>
                <w:b/>
              </w:rPr>
            </w:pPr>
            <w:proofErr w:type="spellStart"/>
            <w:r w:rsidRPr="00BF60E9">
              <w:rPr>
                <w:b/>
              </w:rPr>
              <w:t>Dabiri</w:t>
            </w:r>
            <w:proofErr w:type="spellEnd"/>
            <w:r w:rsidRPr="00BF60E9">
              <w:rPr>
                <w:b/>
              </w:rPr>
              <w:t xml:space="preserve"> </w:t>
            </w:r>
            <w:proofErr w:type="spellStart"/>
            <w:r w:rsidRPr="00BF60E9">
              <w:rPr>
                <w:b/>
              </w:rPr>
              <w:t>Abkenari</w:t>
            </w:r>
            <w:proofErr w:type="spellEnd"/>
            <w:r w:rsidRPr="00BF60E9">
              <w:rPr>
                <w:b/>
              </w:rPr>
              <w:t xml:space="preserve"> 2011</w:t>
            </w:r>
          </w:p>
        </w:tc>
        <w:tc>
          <w:tcPr>
            <w:tcW w:w="433" w:type="pct"/>
            <w:vMerge w:val="restart"/>
            <w:tcBorders>
              <w:top w:val="single" w:sz="4" w:space="0" w:color="auto"/>
              <w:left w:val="single" w:sz="4" w:space="0" w:color="auto"/>
              <w:bottom w:val="single" w:sz="4" w:space="0" w:color="auto"/>
              <w:right w:val="single" w:sz="4" w:space="0" w:color="auto"/>
            </w:tcBorders>
            <w:vAlign w:val="center"/>
          </w:tcPr>
          <w:p w:rsidR="00C628F2" w:rsidRPr="00BF60E9" w:rsidRDefault="00C628F2" w:rsidP="00721806">
            <w:pPr>
              <w:pStyle w:val="Tabletextcentred"/>
              <w:rPr>
                <w:b/>
              </w:rPr>
            </w:pPr>
            <w:r w:rsidRPr="00BF60E9">
              <w:rPr>
                <w:b/>
              </w:rPr>
              <w:t>IDE trial</w:t>
            </w:r>
          </w:p>
        </w:tc>
        <w:tc>
          <w:tcPr>
            <w:tcW w:w="594" w:type="pct"/>
            <w:vMerge w:val="restart"/>
            <w:tcBorders>
              <w:top w:val="single" w:sz="4" w:space="0" w:color="auto"/>
              <w:left w:val="single" w:sz="4" w:space="0" w:color="auto"/>
              <w:bottom w:val="single" w:sz="4" w:space="0" w:color="auto"/>
              <w:right w:val="single" w:sz="4" w:space="0" w:color="auto"/>
            </w:tcBorders>
            <w:vAlign w:val="center"/>
          </w:tcPr>
          <w:p w:rsidR="00C628F2" w:rsidRPr="00BF60E9" w:rsidRDefault="00C628F2" w:rsidP="00721806">
            <w:pPr>
              <w:pStyle w:val="Tabletextcentred"/>
              <w:rPr>
                <w:b/>
              </w:rPr>
            </w:pPr>
            <w:proofErr w:type="spellStart"/>
            <w:r w:rsidRPr="00BF60E9">
              <w:rPr>
                <w:b/>
              </w:rPr>
              <w:t>Olde</w:t>
            </w:r>
            <w:proofErr w:type="spellEnd"/>
            <w:r w:rsidRPr="00BF60E9">
              <w:rPr>
                <w:b/>
              </w:rPr>
              <w:t xml:space="preserve"> </w:t>
            </w:r>
            <w:proofErr w:type="spellStart"/>
            <w:r w:rsidRPr="00BF60E9">
              <w:rPr>
                <w:b/>
              </w:rPr>
              <w:t>Nordkamp</w:t>
            </w:r>
            <w:proofErr w:type="spellEnd"/>
            <w:r w:rsidRPr="00BF60E9">
              <w:rPr>
                <w:b/>
              </w:rPr>
              <w:t xml:space="preserve"> 2012</w:t>
            </w:r>
          </w:p>
        </w:tc>
        <w:tc>
          <w:tcPr>
            <w:tcW w:w="490" w:type="pct"/>
            <w:vMerge w:val="restart"/>
            <w:tcBorders>
              <w:top w:val="single" w:sz="4" w:space="0" w:color="auto"/>
              <w:left w:val="single" w:sz="4" w:space="0" w:color="auto"/>
              <w:bottom w:val="single" w:sz="4" w:space="0" w:color="auto"/>
              <w:right w:val="single" w:sz="4" w:space="0" w:color="auto"/>
            </w:tcBorders>
            <w:vAlign w:val="center"/>
          </w:tcPr>
          <w:p w:rsidR="00C628F2" w:rsidRPr="00BF60E9" w:rsidRDefault="00C628F2" w:rsidP="00721806">
            <w:pPr>
              <w:pStyle w:val="Tabletextcentred"/>
              <w:rPr>
                <w:b/>
              </w:rPr>
            </w:pPr>
            <w:proofErr w:type="spellStart"/>
            <w:r w:rsidRPr="00BF60E9">
              <w:rPr>
                <w:b/>
              </w:rPr>
              <w:t>Kooiman</w:t>
            </w:r>
            <w:proofErr w:type="spellEnd"/>
            <w:r w:rsidRPr="00BF60E9">
              <w:rPr>
                <w:b/>
              </w:rPr>
              <w:t xml:space="preserve"> 2013</w:t>
            </w:r>
          </w:p>
        </w:tc>
        <w:tc>
          <w:tcPr>
            <w:tcW w:w="596" w:type="pct"/>
            <w:tcBorders>
              <w:top w:val="single" w:sz="4" w:space="0" w:color="auto"/>
              <w:left w:val="single" w:sz="4" w:space="0" w:color="auto"/>
              <w:bottom w:val="nil"/>
              <w:right w:val="single" w:sz="4" w:space="0" w:color="auto"/>
            </w:tcBorders>
          </w:tcPr>
          <w:p w:rsidR="00C628F2" w:rsidRPr="00BF60E9" w:rsidRDefault="00C628F2" w:rsidP="00721806">
            <w:pPr>
              <w:pStyle w:val="Tabletextcentred"/>
              <w:rPr>
                <w:b/>
              </w:rPr>
            </w:pPr>
          </w:p>
        </w:tc>
      </w:tr>
      <w:tr w:rsidR="00C628F2" w:rsidRPr="0026118C" w:rsidTr="00721806">
        <w:trPr>
          <w:trHeight w:val="229"/>
          <w:tblHeader/>
        </w:trPr>
        <w:tc>
          <w:tcPr>
            <w:tcW w:w="1003" w:type="pct"/>
            <w:vMerge/>
            <w:tcBorders>
              <w:top w:val="single" w:sz="4" w:space="0" w:color="auto"/>
            </w:tcBorders>
          </w:tcPr>
          <w:p w:rsidR="00C628F2" w:rsidRPr="00CD3030" w:rsidRDefault="00C628F2" w:rsidP="00721806">
            <w:pPr>
              <w:pStyle w:val="Tabletextcentred"/>
              <w:jc w:val="left"/>
            </w:pPr>
          </w:p>
        </w:tc>
        <w:tc>
          <w:tcPr>
            <w:tcW w:w="445" w:type="pct"/>
            <w:vMerge/>
            <w:tcBorders>
              <w:top w:val="single" w:sz="4" w:space="0" w:color="auto"/>
            </w:tcBorders>
            <w:vAlign w:val="center"/>
          </w:tcPr>
          <w:p w:rsidR="00C628F2" w:rsidRPr="00145CEF" w:rsidRDefault="00C628F2" w:rsidP="00721806">
            <w:pPr>
              <w:pStyle w:val="Tabletextcentred"/>
            </w:pPr>
          </w:p>
        </w:tc>
        <w:tc>
          <w:tcPr>
            <w:tcW w:w="535" w:type="pct"/>
            <w:vMerge/>
            <w:tcBorders>
              <w:top w:val="single" w:sz="4" w:space="0" w:color="auto"/>
            </w:tcBorders>
            <w:vAlign w:val="center"/>
          </w:tcPr>
          <w:p w:rsidR="00C628F2" w:rsidRPr="00145CEF" w:rsidRDefault="00C628F2" w:rsidP="00721806">
            <w:pPr>
              <w:pStyle w:val="Tabletextcentred"/>
            </w:pPr>
          </w:p>
        </w:tc>
        <w:tc>
          <w:tcPr>
            <w:tcW w:w="358" w:type="pct"/>
            <w:vMerge/>
            <w:tcBorders>
              <w:top w:val="single" w:sz="4" w:space="0" w:color="auto"/>
            </w:tcBorders>
            <w:vAlign w:val="center"/>
          </w:tcPr>
          <w:p w:rsidR="00C628F2" w:rsidRPr="00145CEF" w:rsidRDefault="00C628F2" w:rsidP="00721806">
            <w:pPr>
              <w:pStyle w:val="Tabletextcentred"/>
            </w:pPr>
          </w:p>
        </w:tc>
        <w:tc>
          <w:tcPr>
            <w:tcW w:w="545" w:type="pct"/>
            <w:vMerge/>
            <w:tcBorders>
              <w:top w:val="single" w:sz="4" w:space="0" w:color="auto"/>
            </w:tcBorders>
            <w:vAlign w:val="center"/>
          </w:tcPr>
          <w:p w:rsidR="00C628F2" w:rsidRPr="00145CEF" w:rsidRDefault="00C628F2" w:rsidP="00721806">
            <w:pPr>
              <w:pStyle w:val="Tabletextcentred"/>
            </w:pPr>
          </w:p>
        </w:tc>
        <w:tc>
          <w:tcPr>
            <w:tcW w:w="433" w:type="pct"/>
            <w:vMerge/>
            <w:tcBorders>
              <w:top w:val="single" w:sz="4" w:space="0" w:color="auto"/>
            </w:tcBorders>
            <w:vAlign w:val="center"/>
          </w:tcPr>
          <w:p w:rsidR="00C628F2" w:rsidRPr="00145CEF" w:rsidRDefault="00C628F2" w:rsidP="00721806">
            <w:pPr>
              <w:pStyle w:val="Tabletextcentred"/>
            </w:pPr>
          </w:p>
        </w:tc>
        <w:tc>
          <w:tcPr>
            <w:tcW w:w="594" w:type="pct"/>
            <w:vMerge/>
            <w:tcBorders>
              <w:top w:val="single" w:sz="4" w:space="0" w:color="auto"/>
            </w:tcBorders>
            <w:vAlign w:val="center"/>
          </w:tcPr>
          <w:p w:rsidR="00C628F2" w:rsidRDefault="00C628F2" w:rsidP="00721806">
            <w:pPr>
              <w:pStyle w:val="Tabletextcentred"/>
            </w:pPr>
          </w:p>
        </w:tc>
        <w:tc>
          <w:tcPr>
            <w:tcW w:w="490" w:type="pct"/>
            <w:vMerge/>
            <w:tcBorders>
              <w:top w:val="single" w:sz="4" w:space="0" w:color="auto"/>
            </w:tcBorders>
            <w:vAlign w:val="center"/>
          </w:tcPr>
          <w:p w:rsidR="00C628F2" w:rsidRDefault="00C628F2" w:rsidP="00721806">
            <w:pPr>
              <w:pStyle w:val="Tabletextcentred"/>
            </w:pPr>
          </w:p>
        </w:tc>
        <w:tc>
          <w:tcPr>
            <w:tcW w:w="596" w:type="pct"/>
            <w:tcBorders>
              <w:top w:val="nil"/>
            </w:tcBorders>
          </w:tcPr>
          <w:p w:rsidR="00C628F2" w:rsidRDefault="00C628F2" w:rsidP="00721806">
            <w:pPr>
              <w:pStyle w:val="Tabletext"/>
              <w:jc w:val="center"/>
              <w:rPr>
                <w:b/>
                <w:sz w:val="18"/>
                <w:szCs w:val="18"/>
              </w:rPr>
            </w:pPr>
            <w:r w:rsidRPr="00677EB9">
              <w:rPr>
                <w:b/>
                <w:sz w:val="18"/>
                <w:szCs w:val="18"/>
              </w:rPr>
              <w:t>EFFORTLESS</w:t>
            </w:r>
          </w:p>
          <w:p w:rsidR="00C628F2" w:rsidRDefault="00C628F2" w:rsidP="00721806">
            <w:pPr>
              <w:pStyle w:val="Tabletextcentred"/>
            </w:pPr>
            <w:r w:rsidRPr="00677EB9">
              <w:rPr>
                <w:b/>
                <w:sz w:val="18"/>
                <w:szCs w:val="18"/>
              </w:rPr>
              <w:t>registry</w:t>
            </w:r>
          </w:p>
        </w:tc>
      </w:tr>
      <w:tr w:rsidR="00C628F2" w:rsidRPr="0026118C" w:rsidTr="00721806">
        <w:trPr>
          <w:tblHeader/>
        </w:trPr>
        <w:tc>
          <w:tcPr>
            <w:tcW w:w="1003" w:type="pct"/>
          </w:tcPr>
          <w:p w:rsidR="00C628F2" w:rsidRPr="00CD3030" w:rsidRDefault="00C628F2" w:rsidP="00721806">
            <w:pPr>
              <w:pStyle w:val="Tabletextcentred"/>
              <w:jc w:val="left"/>
            </w:pPr>
            <w:r w:rsidRPr="00CD3030">
              <w:t>Successful conversion tests (%)</w:t>
            </w:r>
          </w:p>
        </w:tc>
        <w:tc>
          <w:tcPr>
            <w:tcW w:w="445" w:type="pct"/>
          </w:tcPr>
          <w:p w:rsidR="00C628F2" w:rsidRDefault="00C628F2" w:rsidP="00721806">
            <w:pPr>
              <w:pStyle w:val="Tabletextcentred"/>
              <w:rPr>
                <w:lang w:eastAsia="en-AU"/>
              </w:rPr>
            </w:pPr>
            <w:r>
              <w:rPr>
                <w:lang w:eastAsia="en-AU"/>
              </w:rPr>
              <w:t xml:space="preserve">6/6 </w:t>
            </w:r>
          </w:p>
          <w:p w:rsidR="00C628F2" w:rsidRPr="00DA23BD" w:rsidRDefault="00C628F2" w:rsidP="00721806">
            <w:pPr>
              <w:pStyle w:val="Tabletextcentred"/>
              <w:rPr>
                <w:lang w:eastAsia="en-AU"/>
              </w:rPr>
            </w:pPr>
            <w:r>
              <w:rPr>
                <w:lang w:eastAsia="en-AU"/>
              </w:rPr>
              <w:t>(100)</w:t>
            </w:r>
          </w:p>
        </w:tc>
        <w:tc>
          <w:tcPr>
            <w:tcW w:w="535" w:type="pct"/>
          </w:tcPr>
          <w:p w:rsidR="00C628F2" w:rsidRDefault="00C628F2" w:rsidP="00721806">
            <w:pPr>
              <w:pStyle w:val="Tabletextcentred"/>
              <w:rPr>
                <w:lang w:eastAsia="en-AU"/>
              </w:rPr>
            </w:pPr>
            <w:r>
              <w:rPr>
                <w:lang w:eastAsia="en-AU"/>
              </w:rPr>
              <w:t xml:space="preserve">52/53 </w:t>
            </w:r>
          </w:p>
          <w:p w:rsidR="00C628F2" w:rsidRDefault="00C628F2" w:rsidP="00721806">
            <w:pPr>
              <w:pStyle w:val="Tabletextcentred"/>
              <w:rPr>
                <w:lang w:eastAsia="en-AU"/>
              </w:rPr>
            </w:pPr>
            <w:r>
              <w:rPr>
                <w:lang w:eastAsia="en-AU"/>
              </w:rPr>
              <w:t>(98)</w:t>
            </w:r>
          </w:p>
        </w:tc>
        <w:tc>
          <w:tcPr>
            <w:tcW w:w="358" w:type="pct"/>
          </w:tcPr>
          <w:p w:rsidR="00C628F2" w:rsidRPr="00DA23BD" w:rsidRDefault="00C628F2" w:rsidP="00721806">
            <w:pPr>
              <w:pStyle w:val="Tabletextcentred"/>
              <w:rPr>
                <w:lang w:eastAsia="en-AU"/>
              </w:rPr>
            </w:pPr>
            <w:r>
              <w:rPr>
                <w:lang w:eastAsia="en-AU"/>
              </w:rPr>
              <w:t>39/40 (97.5)</w:t>
            </w:r>
          </w:p>
        </w:tc>
        <w:tc>
          <w:tcPr>
            <w:tcW w:w="545" w:type="pct"/>
          </w:tcPr>
          <w:p w:rsidR="00C628F2" w:rsidRDefault="00C628F2" w:rsidP="00721806">
            <w:pPr>
              <w:pStyle w:val="Tabletextcentred"/>
              <w:rPr>
                <w:lang w:eastAsia="en-AU"/>
              </w:rPr>
            </w:pPr>
            <w:r>
              <w:rPr>
                <w:lang w:eastAsia="en-AU"/>
              </w:rPr>
              <w:t xml:space="preserve">31/31 </w:t>
            </w:r>
          </w:p>
          <w:p w:rsidR="00C628F2" w:rsidRPr="00DA23BD" w:rsidRDefault="00C628F2" w:rsidP="00721806">
            <w:pPr>
              <w:pStyle w:val="Tabletextcentred"/>
              <w:rPr>
                <w:lang w:eastAsia="en-AU"/>
              </w:rPr>
            </w:pPr>
            <w:r>
              <w:rPr>
                <w:lang w:eastAsia="en-AU"/>
              </w:rPr>
              <w:t>(100)</w:t>
            </w:r>
          </w:p>
        </w:tc>
        <w:tc>
          <w:tcPr>
            <w:tcW w:w="433" w:type="pct"/>
          </w:tcPr>
          <w:p w:rsidR="00C628F2" w:rsidRPr="00DA23BD" w:rsidRDefault="00C628F2" w:rsidP="00721806">
            <w:pPr>
              <w:pStyle w:val="Tabletextcentred"/>
              <w:rPr>
                <w:lang w:eastAsia="en-AU"/>
              </w:rPr>
            </w:pPr>
            <w:r>
              <w:rPr>
                <w:lang w:eastAsia="en-AU"/>
              </w:rPr>
              <w:t>304/304 (100)</w:t>
            </w:r>
          </w:p>
        </w:tc>
        <w:tc>
          <w:tcPr>
            <w:tcW w:w="594" w:type="pct"/>
          </w:tcPr>
          <w:p w:rsidR="00C628F2" w:rsidRDefault="00C628F2" w:rsidP="00721806">
            <w:pPr>
              <w:pStyle w:val="Tabletextcentred"/>
              <w:rPr>
                <w:lang w:eastAsia="en-AU"/>
              </w:rPr>
            </w:pPr>
            <w:r>
              <w:rPr>
                <w:lang w:eastAsia="en-AU"/>
              </w:rPr>
              <w:t>118/118 (100)</w:t>
            </w:r>
          </w:p>
        </w:tc>
        <w:tc>
          <w:tcPr>
            <w:tcW w:w="490" w:type="pct"/>
            <w:vAlign w:val="center"/>
          </w:tcPr>
          <w:p w:rsidR="00C628F2" w:rsidRPr="00264CDF" w:rsidRDefault="00C628F2" w:rsidP="00721806">
            <w:pPr>
              <w:pStyle w:val="Tabletextcentred"/>
            </w:pPr>
            <w:r>
              <w:t>NR</w:t>
            </w:r>
          </w:p>
        </w:tc>
        <w:tc>
          <w:tcPr>
            <w:tcW w:w="596" w:type="pct"/>
            <w:vAlign w:val="center"/>
          </w:tcPr>
          <w:p w:rsidR="00C628F2" w:rsidRPr="00527DD5" w:rsidRDefault="00C628F2" w:rsidP="00721806">
            <w:pPr>
              <w:pStyle w:val="Tabletext"/>
              <w:jc w:val="center"/>
            </w:pPr>
            <w:r w:rsidRPr="00527DD5">
              <w:t>NR</w:t>
            </w:r>
          </w:p>
        </w:tc>
      </w:tr>
      <w:tr w:rsidR="00C628F2" w:rsidRPr="0026118C" w:rsidTr="00721806">
        <w:trPr>
          <w:tblHeader/>
        </w:trPr>
        <w:tc>
          <w:tcPr>
            <w:tcW w:w="1003" w:type="pct"/>
            <w:tcBorders>
              <w:bottom w:val="single" w:sz="4" w:space="0" w:color="auto"/>
            </w:tcBorders>
          </w:tcPr>
          <w:p w:rsidR="00C628F2" w:rsidRPr="00CD3030" w:rsidRDefault="00C628F2" w:rsidP="00721806">
            <w:pPr>
              <w:pStyle w:val="Tabletextcentred"/>
              <w:jc w:val="left"/>
              <w:rPr>
                <w:lang w:eastAsia="en-AU"/>
              </w:rPr>
            </w:pPr>
            <w:r>
              <w:rPr>
                <w:lang w:eastAsia="en-AU"/>
              </w:rPr>
              <w:t xml:space="preserve">VT or </w:t>
            </w:r>
            <w:r w:rsidRPr="00CD3030">
              <w:rPr>
                <w:lang w:eastAsia="en-AU"/>
              </w:rPr>
              <w:t>VF episodes appropriately detected</w:t>
            </w:r>
            <w:r>
              <w:rPr>
                <w:lang w:eastAsia="en-AU"/>
              </w:rPr>
              <w:t xml:space="preserve"> </w:t>
            </w:r>
            <w:r w:rsidRPr="00CD3030">
              <w:rPr>
                <w:lang w:eastAsia="en-AU"/>
              </w:rPr>
              <w:t>(%)</w:t>
            </w:r>
          </w:p>
        </w:tc>
        <w:tc>
          <w:tcPr>
            <w:tcW w:w="445" w:type="pct"/>
            <w:tcBorders>
              <w:bottom w:val="single" w:sz="4" w:space="0" w:color="auto"/>
            </w:tcBorders>
            <w:vAlign w:val="center"/>
          </w:tcPr>
          <w:p w:rsidR="00C628F2" w:rsidRPr="00264CDF" w:rsidRDefault="00C628F2" w:rsidP="00721806">
            <w:pPr>
              <w:pStyle w:val="Tabletextcentred"/>
            </w:pPr>
            <w:r>
              <w:t>NR</w:t>
            </w:r>
          </w:p>
        </w:tc>
        <w:tc>
          <w:tcPr>
            <w:tcW w:w="535" w:type="pct"/>
            <w:tcBorders>
              <w:bottom w:val="single" w:sz="4" w:space="0" w:color="auto"/>
            </w:tcBorders>
            <w:vAlign w:val="center"/>
          </w:tcPr>
          <w:p w:rsidR="00C628F2" w:rsidRDefault="00C628F2" w:rsidP="00721806">
            <w:pPr>
              <w:pStyle w:val="Tabletextcentred"/>
              <w:rPr>
                <w:lang w:eastAsia="en-AU"/>
              </w:rPr>
            </w:pPr>
            <w:r>
              <w:rPr>
                <w:lang w:eastAsia="en-AU"/>
              </w:rPr>
              <w:t xml:space="preserve">12/12 </w:t>
            </w:r>
          </w:p>
          <w:p w:rsidR="00C628F2" w:rsidRDefault="00C628F2" w:rsidP="00721806">
            <w:pPr>
              <w:pStyle w:val="Tabletextcentred"/>
              <w:rPr>
                <w:lang w:eastAsia="en-AU"/>
              </w:rPr>
            </w:pPr>
            <w:r>
              <w:rPr>
                <w:lang w:eastAsia="en-AU"/>
              </w:rPr>
              <w:t>(100)</w:t>
            </w:r>
          </w:p>
        </w:tc>
        <w:tc>
          <w:tcPr>
            <w:tcW w:w="358" w:type="pct"/>
            <w:tcBorders>
              <w:bottom w:val="single" w:sz="4" w:space="0" w:color="auto"/>
            </w:tcBorders>
            <w:vAlign w:val="center"/>
          </w:tcPr>
          <w:p w:rsidR="00C628F2" w:rsidRPr="00327AF8" w:rsidRDefault="00C628F2" w:rsidP="00721806">
            <w:pPr>
              <w:pStyle w:val="Tabletextcentred"/>
              <w:rPr>
                <w:lang w:eastAsia="en-AU"/>
              </w:rPr>
            </w:pPr>
            <w:r>
              <w:rPr>
                <w:lang w:eastAsia="en-AU"/>
              </w:rPr>
              <w:t>21/21 (100)</w:t>
            </w:r>
          </w:p>
        </w:tc>
        <w:tc>
          <w:tcPr>
            <w:tcW w:w="545" w:type="pct"/>
            <w:tcBorders>
              <w:bottom w:val="single" w:sz="4" w:space="0" w:color="auto"/>
            </w:tcBorders>
            <w:vAlign w:val="center"/>
          </w:tcPr>
          <w:p w:rsidR="00C628F2" w:rsidRDefault="00C628F2" w:rsidP="00721806">
            <w:pPr>
              <w:pStyle w:val="Tabletextcentred"/>
              <w:rPr>
                <w:lang w:eastAsia="en-AU"/>
              </w:rPr>
            </w:pPr>
            <w:r>
              <w:rPr>
                <w:lang w:eastAsia="en-AU"/>
              </w:rPr>
              <w:t xml:space="preserve">13/13 </w:t>
            </w:r>
          </w:p>
          <w:p w:rsidR="00C628F2" w:rsidRPr="00327AF8" w:rsidRDefault="00C628F2" w:rsidP="00721806">
            <w:pPr>
              <w:pStyle w:val="Tabletextcentred"/>
              <w:rPr>
                <w:lang w:eastAsia="en-AU"/>
              </w:rPr>
            </w:pPr>
            <w:r>
              <w:rPr>
                <w:lang w:eastAsia="en-AU"/>
              </w:rPr>
              <w:t>(100)</w:t>
            </w:r>
          </w:p>
        </w:tc>
        <w:tc>
          <w:tcPr>
            <w:tcW w:w="433" w:type="pct"/>
            <w:tcBorders>
              <w:bottom w:val="single" w:sz="4" w:space="0" w:color="auto"/>
            </w:tcBorders>
            <w:vAlign w:val="center"/>
          </w:tcPr>
          <w:p w:rsidR="00C628F2" w:rsidRPr="00327AF8" w:rsidRDefault="00C628F2" w:rsidP="00721806">
            <w:pPr>
              <w:pStyle w:val="Tabletextcentred"/>
              <w:rPr>
                <w:lang w:eastAsia="en-AU"/>
              </w:rPr>
            </w:pPr>
            <w:r>
              <w:rPr>
                <w:lang w:eastAsia="en-AU"/>
              </w:rPr>
              <w:t>38/38 (100)</w:t>
            </w:r>
          </w:p>
        </w:tc>
        <w:tc>
          <w:tcPr>
            <w:tcW w:w="594" w:type="pct"/>
            <w:tcBorders>
              <w:bottom w:val="single" w:sz="4" w:space="0" w:color="auto"/>
            </w:tcBorders>
            <w:vAlign w:val="center"/>
          </w:tcPr>
          <w:p w:rsidR="00C628F2" w:rsidRDefault="00C628F2" w:rsidP="00721806">
            <w:pPr>
              <w:pStyle w:val="Tabletextcentred"/>
              <w:rPr>
                <w:lang w:eastAsia="en-AU"/>
              </w:rPr>
            </w:pPr>
            <w:r>
              <w:rPr>
                <w:lang w:eastAsia="en-AU"/>
              </w:rPr>
              <w:t xml:space="preserve">45/45 </w:t>
            </w:r>
          </w:p>
          <w:p w:rsidR="00C628F2" w:rsidRPr="00327AF8" w:rsidRDefault="00C628F2" w:rsidP="00721806">
            <w:pPr>
              <w:pStyle w:val="Tabletextcentred"/>
              <w:rPr>
                <w:lang w:eastAsia="en-AU"/>
              </w:rPr>
            </w:pPr>
            <w:r>
              <w:rPr>
                <w:lang w:eastAsia="en-AU"/>
              </w:rPr>
              <w:t>(100)</w:t>
            </w:r>
          </w:p>
        </w:tc>
        <w:tc>
          <w:tcPr>
            <w:tcW w:w="490" w:type="pct"/>
            <w:tcBorders>
              <w:bottom w:val="single" w:sz="4" w:space="0" w:color="auto"/>
            </w:tcBorders>
            <w:vAlign w:val="center"/>
          </w:tcPr>
          <w:p w:rsidR="00C628F2" w:rsidRPr="00264CDF" w:rsidRDefault="00C628F2" w:rsidP="00721806">
            <w:pPr>
              <w:pStyle w:val="Tabletextcentred"/>
            </w:pPr>
            <w:r>
              <w:t>NR</w:t>
            </w:r>
          </w:p>
        </w:tc>
        <w:tc>
          <w:tcPr>
            <w:tcW w:w="596" w:type="pct"/>
            <w:tcBorders>
              <w:bottom w:val="single" w:sz="4" w:space="0" w:color="auto"/>
            </w:tcBorders>
            <w:vAlign w:val="center"/>
          </w:tcPr>
          <w:p w:rsidR="00C628F2" w:rsidRPr="00527DD5" w:rsidRDefault="00C628F2" w:rsidP="00721806">
            <w:pPr>
              <w:pStyle w:val="Tabletext"/>
              <w:autoSpaceDE w:val="0"/>
              <w:autoSpaceDN w:val="0"/>
              <w:adjustRightInd w:val="0"/>
              <w:jc w:val="center"/>
            </w:pPr>
            <w:r w:rsidRPr="00527DD5">
              <w:t>NR</w:t>
            </w:r>
          </w:p>
        </w:tc>
      </w:tr>
      <w:tr w:rsidR="00C628F2" w:rsidRPr="0026118C" w:rsidTr="00721806">
        <w:trPr>
          <w:tblHeader/>
        </w:trPr>
        <w:tc>
          <w:tcPr>
            <w:tcW w:w="1003" w:type="pct"/>
            <w:tcBorders>
              <w:top w:val="single" w:sz="4" w:space="0" w:color="auto"/>
            </w:tcBorders>
          </w:tcPr>
          <w:p w:rsidR="00C628F2" w:rsidRPr="00CD3030" w:rsidRDefault="00C628F2" w:rsidP="00721806">
            <w:pPr>
              <w:pStyle w:val="Tabletextcentred"/>
              <w:jc w:val="left"/>
            </w:pPr>
            <w:r>
              <w:rPr>
                <w:lang w:eastAsia="en-AU"/>
              </w:rPr>
              <w:t xml:space="preserve">VT or </w:t>
            </w:r>
            <w:r w:rsidRPr="00CD3030">
              <w:rPr>
                <w:lang w:eastAsia="en-AU"/>
              </w:rPr>
              <w:t xml:space="preserve">VF episodes successfully treated (%) </w:t>
            </w:r>
          </w:p>
        </w:tc>
        <w:tc>
          <w:tcPr>
            <w:tcW w:w="445" w:type="pct"/>
            <w:tcBorders>
              <w:top w:val="single" w:sz="4" w:space="0" w:color="auto"/>
            </w:tcBorders>
            <w:vAlign w:val="center"/>
          </w:tcPr>
          <w:p w:rsidR="00C628F2" w:rsidRPr="00264CDF" w:rsidRDefault="00C628F2" w:rsidP="00721806">
            <w:pPr>
              <w:pStyle w:val="Tabletextcentred"/>
            </w:pPr>
            <w:r>
              <w:t>NR</w:t>
            </w:r>
          </w:p>
        </w:tc>
        <w:tc>
          <w:tcPr>
            <w:tcW w:w="535" w:type="pct"/>
            <w:tcBorders>
              <w:top w:val="single" w:sz="4" w:space="0" w:color="auto"/>
            </w:tcBorders>
            <w:vAlign w:val="center"/>
          </w:tcPr>
          <w:p w:rsidR="00C628F2" w:rsidRDefault="00C628F2" w:rsidP="00721806">
            <w:pPr>
              <w:pStyle w:val="Tabletextcentred"/>
              <w:rPr>
                <w:lang w:eastAsia="en-AU"/>
              </w:rPr>
            </w:pPr>
            <w:r>
              <w:rPr>
                <w:lang w:eastAsia="en-AU"/>
              </w:rPr>
              <w:t>100</w:t>
            </w:r>
          </w:p>
        </w:tc>
        <w:tc>
          <w:tcPr>
            <w:tcW w:w="358" w:type="pct"/>
            <w:tcBorders>
              <w:top w:val="single" w:sz="4" w:space="0" w:color="auto"/>
            </w:tcBorders>
            <w:vAlign w:val="center"/>
          </w:tcPr>
          <w:p w:rsidR="00C628F2" w:rsidRPr="00327AF8" w:rsidRDefault="00C628F2" w:rsidP="00721806">
            <w:pPr>
              <w:pStyle w:val="Tabletextcentred"/>
              <w:rPr>
                <w:lang w:eastAsia="en-AU"/>
              </w:rPr>
            </w:pPr>
            <w:r>
              <w:rPr>
                <w:lang w:eastAsia="en-AU"/>
              </w:rPr>
              <w:t>96.4</w:t>
            </w:r>
          </w:p>
        </w:tc>
        <w:tc>
          <w:tcPr>
            <w:tcW w:w="545" w:type="pct"/>
            <w:tcBorders>
              <w:top w:val="single" w:sz="4" w:space="0" w:color="auto"/>
            </w:tcBorders>
            <w:vAlign w:val="center"/>
          </w:tcPr>
          <w:p w:rsidR="00C628F2" w:rsidRPr="00327AF8" w:rsidRDefault="00C628F2" w:rsidP="00721806">
            <w:pPr>
              <w:pStyle w:val="Tabletextcentred"/>
              <w:rPr>
                <w:lang w:eastAsia="en-AU"/>
              </w:rPr>
            </w:pPr>
            <w:r>
              <w:rPr>
                <w:lang w:eastAsia="en-AU"/>
              </w:rPr>
              <w:t>100</w:t>
            </w:r>
          </w:p>
        </w:tc>
        <w:tc>
          <w:tcPr>
            <w:tcW w:w="433" w:type="pct"/>
            <w:tcBorders>
              <w:top w:val="single" w:sz="4" w:space="0" w:color="auto"/>
            </w:tcBorders>
            <w:vAlign w:val="center"/>
          </w:tcPr>
          <w:p w:rsidR="00C628F2" w:rsidRPr="00327AF8" w:rsidRDefault="00C628F2" w:rsidP="00721806">
            <w:pPr>
              <w:pStyle w:val="Tabletextcentred"/>
              <w:rPr>
                <w:lang w:eastAsia="en-AU"/>
              </w:rPr>
            </w:pPr>
            <w:r>
              <w:rPr>
                <w:lang w:eastAsia="en-AU"/>
              </w:rPr>
              <w:t>100</w:t>
            </w:r>
          </w:p>
        </w:tc>
        <w:tc>
          <w:tcPr>
            <w:tcW w:w="594" w:type="pct"/>
            <w:tcBorders>
              <w:top w:val="single" w:sz="4" w:space="0" w:color="auto"/>
            </w:tcBorders>
            <w:vAlign w:val="center"/>
          </w:tcPr>
          <w:p w:rsidR="00C628F2" w:rsidRPr="00327AF8" w:rsidRDefault="00C628F2" w:rsidP="00721806">
            <w:pPr>
              <w:pStyle w:val="Tabletextcentred"/>
              <w:rPr>
                <w:lang w:eastAsia="en-AU"/>
              </w:rPr>
            </w:pPr>
            <w:r>
              <w:rPr>
                <w:lang w:eastAsia="en-AU"/>
              </w:rPr>
              <w:t>100</w:t>
            </w:r>
          </w:p>
        </w:tc>
        <w:tc>
          <w:tcPr>
            <w:tcW w:w="490" w:type="pct"/>
            <w:tcBorders>
              <w:top w:val="single" w:sz="4" w:space="0" w:color="auto"/>
            </w:tcBorders>
            <w:vAlign w:val="center"/>
          </w:tcPr>
          <w:p w:rsidR="00C628F2" w:rsidRPr="0026118C" w:rsidRDefault="00C628F2" w:rsidP="00721806">
            <w:pPr>
              <w:pStyle w:val="Tabletextcentred"/>
            </w:pPr>
            <w:r>
              <w:t>NR</w:t>
            </w:r>
          </w:p>
        </w:tc>
        <w:tc>
          <w:tcPr>
            <w:tcW w:w="596" w:type="pct"/>
            <w:tcBorders>
              <w:top w:val="single" w:sz="4" w:space="0" w:color="auto"/>
            </w:tcBorders>
            <w:vAlign w:val="center"/>
          </w:tcPr>
          <w:p w:rsidR="00C628F2" w:rsidRDefault="00C628F2" w:rsidP="00721806">
            <w:pPr>
              <w:pStyle w:val="Tabletext"/>
              <w:jc w:val="center"/>
            </w:pPr>
            <w:r w:rsidRPr="00527DD5">
              <w:t xml:space="preserve">93/93 </w:t>
            </w:r>
          </w:p>
          <w:p w:rsidR="00C628F2" w:rsidRPr="00527DD5" w:rsidRDefault="00C628F2" w:rsidP="00721806">
            <w:pPr>
              <w:pStyle w:val="Tabletext"/>
              <w:jc w:val="center"/>
            </w:pPr>
            <w:r w:rsidRPr="00527DD5">
              <w:t>(100)</w:t>
            </w:r>
          </w:p>
        </w:tc>
      </w:tr>
      <w:tr w:rsidR="00C628F2" w:rsidRPr="0026118C" w:rsidTr="00721806">
        <w:trPr>
          <w:tblHeader/>
        </w:trPr>
        <w:tc>
          <w:tcPr>
            <w:tcW w:w="1003" w:type="pct"/>
            <w:tcBorders>
              <w:top w:val="single" w:sz="4" w:space="0" w:color="auto"/>
            </w:tcBorders>
          </w:tcPr>
          <w:p w:rsidR="00C628F2" w:rsidRPr="00D86D94" w:rsidRDefault="00C628F2" w:rsidP="00721806">
            <w:pPr>
              <w:pStyle w:val="Tabletextcentred"/>
              <w:jc w:val="left"/>
              <w:rPr>
                <w:szCs w:val="20"/>
              </w:rPr>
            </w:pPr>
            <w:r>
              <w:rPr>
                <w:szCs w:val="20"/>
              </w:rPr>
              <w:t>D</w:t>
            </w:r>
            <w:r w:rsidRPr="00D86D94">
              <w:rPr>
                <w:szCs w:val="20"/>
              </w:rPr>
              <w:t>eaths per 12 months follow up</w:t>
            </w:r>
            <w:r>
              <w:rPr>
                <w:szCs w:val="20"/>
              </w:rPr>
              <w:t xml:space="preserve"> (%)</w:t>
            </w:r>
          </w:p>
        </w:tc>
        <w:tc>
          <w:tcPr>
            <w:tcW w:w="445" w:type="pct"/>
            <w:tcBorders>
              <w:top w:val="single" w:sz="4" w:space="0" w:color="auto"/>
            </w:tcBorders>
            <w:vAlign w:val="center"/>
          </w:tcPr>
          <w:p w:rsidR="00C628F2" w:rsidRPr="00D86D94" w:rsidRDefault="00C628F2" w:rsidP="00721806">
            <w:pPr>
              <w:pStyle w:val="Tabletextcentred"/>
              <w:rPr>
                <w:szCs w:val="20"/>
              </w:rPr>
            </w:pPr>
            <w:r w:rsidRPr="00D86D94">
              <w:rPr>
                <w:szCs w:val="20"/>
              </w:rPr>
              <w:t>NR</w:t>
            </w:r>
          </w:p>
        </w:tc>
        <w:tc>
          <w:tcPr>
            <w:tcW w:w="535" w:type="pct"/>
            <w:tcBorders>
              <w:top w:val="single" w:sz="4" w:space="0" w:color="auto"/>
            </w:tcBorders>
            <w:vAlign w:val="center"/>
          </w:tcPr>
          <w:p w:rsidR="00C628F2" w:rsidRPr="00D86D94" w:rsidRDefault="00C628F2" w:rsidP="00721806">
            <w:pPr>
              <w:pStyle w:val="Tabletextcentred"/>
              <w:rPr>
                <w:szCs w:val="20"/>
                <w:lang w:val="de-DE" w:eastAsia="de-DE"/>
              </w:rPr>
            </w:pPr>
            <w:r w:rsidRPr="00D86D94">
              <w:rPr>
                <w:szCs w:val="20"/>
                <w:lang w:val="de-DE" w:eastAsia="de-DE"/>
              </w:rPr>
              <w:t>7.3</w:t>
            </w:r>
          </w:p>
        </w:tc>
        <w:tc>
          <w:tcPr>
            <w:tcW w:w="358" w:type="pct"/>
            <w:tcBorders>
              <w:top w:val="single" w:sz="4" w:space="0" w:color="auto"/>
            </w:tcBorders>
            <w:vAlign w:val="center"/>
          </w:tcPr>
          <w:p w:rsidR="00C628F2" w:rsidRPr="00D86D94" w:rsidRDefault="00C628F2" w:rsidP="00721806">
            <w:pPr>
              <w:pStyle w:val="Tabletextcentred"/>
              <w:rPr>
                <w:szCs w:val="20"/>
              </w:rPr>
            </w:pPr>
            <w:r w:rsidRPr="00D86D94">
              <w:rPr>
                <w:szCs w:val="20"/>
              </w:rPr>
              <w:t>0</w:t>
            </w:r>
          </w:p>
        </w:tc>
        <w:tc>
          <w:tcPr>
            <w:tcW w:w="545" w:type="pct"/>
            <w:tcBorders>
              <w:top w:val="single" w:sz="4" w:space="0" w:color="auto"/>
            </w:tcBorders>
            <w:vAlign w:val="center"/>
          </w:tcPr>
          <w:p w:rsidR="00C628F2" w:rsidRPr="00D86D94" w:rsidRDefault="00C628F2" w:rsidP="00721806">
            <w:pPr>
              <w:pStyle w:val="Tabletextcentred"/>
              <w:rPr>
                <w:szCs w:val="20"/>
                <w:lang w:eastAsia="en-AU"/>
              </w:rPr>
            </w:pPr>
            <w:r w:rsidRPr="00D86D94">
              <w:rPr>
                <w:szCs w:val="20"/>
                <w:lang w:eastAsia="en-AU"/>
              </w:rPr>
              <w:t>3.9</w:t>
            </w:r>
          </w:p>
        </w:tc>
        <w:tc>
          <w:tcPr>
            <w:tcW w:w="433" w:type="pct"/>
            <w:tcBorders>
              <w:top w:val="single" w:sz="4" w:space="0" w:color="auto"/>
            </w:tcBorders>
            <w:vAlign w:val="center"/>
          </w:tcPr>
          <w:p w:rsidR="00C628F2" w:rsidRPr="00D86D94" w:rsidRDefault="00C628F2" w:rsidP="00721806">
            <w:pPr>
              <w:pStyle w:val="Tabletextcentred"/>
              <w:rPr>
                <w:szCs w:val="20"/>
              </w:rPr>
            </w:pPr>
            <w:r w:rsidRPr="00D86D94">
              <w:rPr>
                <w:szCs w:val="20"/>
              </w:rPr>
              <w:t>2.9</w:t>
            </w:r>
          </w:p>
        </w:tc>
        <w:tc>
          <w:tcPr>
            <w:tcW w:w="594" w:type="pct"/>
            <w:tcBorders>
              <w:top w:val="single" w:sz="4" w:space="0" w:color="auto"/>
            </w:tcBorders>
            <w:vAlign w:val="center"/>
          </w:tcPr>
          <w:p w:rsidR="00C628F2" w:rsidRPr="00D86D94" w:rsidRDefault="00C628F2" w:rsidP="00721806">
            <w:pPr>
              <w:pStyle w:val="Tabletextcentred"/>
              <w:rPr>
                <w:szCs w:val="20"/>
              </w:rPr>
            </w:pPr>
            <w:r w:rsidRPr="00D86D94">
              <w:rPr>
                <w:szCs w:val="20"/>
              </w:rPr>
              <w:t>0</w:t>
            </w:r>
          </w:p>
        </w:tc>
        <w:tc>
          <w:tcPr>
            <w:tcW w:w="490" w:type="pct"/>
            <w:tcBorders>
              <w:top w:val="single" w:sz="4" w:space="0" w:color="auto"/>
            </w:tcBorders>
            <w:vAlign w:val="center"/>
          </w:tcPr>
          <w:p w:rsidR="00C628F2" w:rsidRPr="00D86D94" w:rsidRDefault="00C628F2" w:rsidP="00721806">
            <w:pPr>
              <w:pStyle w:val="Tabletextcentred"/>
              <w:rPr>
                <w:szCs w:val="20"/>
              </w:rPr>
            </w:pPr>
            <w:r w:rsidRPr="00D86D94">
              <w:rPr>
                <w:szCs w:val="20"/>
              </w:rPr>
              <w:t>NR</w:t>
            </w:r>
          </w:p>
        </w:tc>
        <w:tc>
          <w:tcPr>
            <w:tcW w:w="596" w:type="pct"/>
            <w:tcBorders>
              <w:top w:val="single" w:sz="4" w:space="0" w:color="auto"/>
            </w:tcBorders>
            <w:vAlign w:val="center"/>
          </w:tcPr>
          <w:p w:rsidR="00C628F2" w:rsidRPr="00527DD5" w:rsidRDefault="00C628F2" w:rsidP="00721806">
            <w:pPr>
              <w:pStyle w:val="Tabletext"/>
              <w:jc w:val="center"/>
              <w:rPr>
                <w:lang w:eastAsia="en-AU"/>
              </w:rPr>
            </w:pPr>
            <w:r w:rsidRPr="00527DD5">
              <w:t>4.6</w:t>
            </w:r>
            <w:r>
              <w:rPr>
                <w:vertAlign w:val="superscript"/>
              </w:rPr>
              <w:t>a</w:t>
            </w:r>
          </w:p>
        </w:tc>
      </w:tr>
      <w:tr w:rsidR="00C628F2" w:rsidRPr="0026118C" w:rsidTr="00721806">
        <w:trPr>
          <w:tblHeader/>
        </w:trPr>
        <w:tc>
          <w:tcPr>
            <w:tcW w:w="1003" w:type="pct"/>
            <w:tcBorders>
              <w:top w:val="nil"/>
            </w:tcBorders>
          </w:tcPr>
          <w:p w:rsidR="00C628F2" w:rsidRPr="00CD3030" w:rsidRDefault="00C628F2" w:rsidP="00721806">
            <w:pPr>
              <w:pStyle w:val="Tabletextcentred"/>
              <w:jc w:val="left"/>
            </w:pPr>
            <w:r w:rsidRPr="00CD3030">
              <w:rPr>
                <w:lang w:eastAsia="en-AU"/>
              </w:rPr>
              <w:t>Patients experiencing inappropriate shocks (%)</w:t>
            </w:r>
          </w:p>
        </w:tc>
        <w:tc>
          <w:tcPr>
            <w:tcW w:w="445" w:type="pct"/>
            <w:tcBorders>
              <w:top w:val="nil"/>
            </w:tcBorders>
            <w:vAlign w:val="center"/>
          </w:tcPr>
          <w:p w:rsidR="00C628F2" w:rsidRPr="00264CDF" w:rsidRDefault="00C628F2" w:rsidP="00721806">
            <w:pPr>
              <w:pStyle w:val="Tabletextcentred"/>
            </w:pPr>
            <w:r>
              <w:t>NR</w:t>
            </w:r>
          </w:p>
        </w:tc>
        <w:tc>
          <w:tcPr>
            <w:tcW w:w="535" w:type="pct"/>
            <w:tcBorders>
              <w:top w:val="nil"/>
            </w:tcBorders>
            <w:vAlign w:val="center"/>
          </w:tcPr>
          <w:p w:rsidR="00C628F2" w:rsidRPr="005646E6" w:rsidRDefault="00C628F2" w:rsidP="00721806">
            <w:pPr>
              <w:pStyle w:val="Tabletextcentred"/>
              <w:rPr>
                <w:lang w:eastAsia="en-AU"/>
              </w:rPr>
            </w:pPr>
            <w:r>
              <w:rPr>
                <w:lang w:eastAsia="en-AU"/>
              </w:rPr>
              <w:t>0</w:t>
            </w:r>
          </w:p>
        </w:tc>
        <w:tc>
          <w:tcPr>
            <w:tcW w:w="358" w:type="pct"/>
            <w:tcBorders>
              <w:top w:val="nil"/>
            </w:tcBorders>
            <w:vAlign w:val="center"/>
          </w:tcPr>
          <w:p w:rsidR="00C628F2" w:rsidRPr="005646E6" w:rsidRDefault="00C628F2" w:rsidP="00721806">
            <w:pPr>
              <w:pStyle w:val="Tabletextcentred"/>
              <w:rPr>
                <w:lang w:eastAsia="en-AU"/>
              </w:rPr>
            </w:pPr>
            <w:r>
              <w:rPr>
                <w:lang w:eastAsia="en-AU"/>
              </w:rPr>
              <w:t>7.50</w:t>
            </w:r>
          </w:p>
        </w:tc>
        <w:tc>
          <w:tcPr>
            <w:tcW w:w="545" w:type="pct"/>
            <w:tcBorders>
              <w:top w:val="nil"/>
            </w:tcBorders>
            <w:vAlign w:val="center"/>
          </w:tcPr>
          <w:p w:rsidR="00C628F2" w:rsidRPr="00ED6815" w:rsidRDefault="00C628F2" w:rsidP="00721806">
            <w:pPr>
              <w:pStyle w:val="Tabletextcentred"/>
              <w:rPr>
                <w:lang w:eastAsia="en-AU"/>
              </w:rPr>
            </w:pPr>
            <w:r w:rsidRPr="00ED6815">
              <w:rPr>
                <w:lang w:eastAsia="en-AU"/>
              </w:rPr>
              <w:t>10.3</w:t>
            </w:r>
          </w:p>
        </w:tc>
        <w:tc>
          <w:tcPr>
            <w:tcW w:w="433" w:type="pct"/>
            <w:tcBorders>
              <w:top w:val="nil"/>
            </w:tcBorders>
            <w:vAlign w:val="center"/>
          </w:tcPr>
          <w:p w:rsidR="00C628F2" w:rsidRPr="00ED6815" w:rsidRDefault="00C628F2" w:rsidP="00721806">
            <w:pPr>
              <w:pStyle w:val="Tabletextcentred"/>
              <w:rPr>
                <w:lang w:eastAsia="en-AU"/>
              </w:rPr>
            </w:pPr>
            <w:r w:rsidRPr="00ED6815">
              <w:rPr>
                <w:lang w:eastAsia="en-AU"/>
              </w:rPr>
              <w:t>8.5</w:t>
            </w:r>
          </w:p>
        </w:tc>
        <w:tc>
          <w:tcPr>
            <w:tcW w:w="594" w:type="pct"/>
            <w:tcBorders>
              <w:top w:val="nil"/>
            </w:tcBorders>
            <w:vAlign w:val="center"/>
          </w:tcPr>
          <w:p w:rsidR="00C628F2" w:rsidRPr="005646E6" w:rsidRDefault="00C628F2" w:rsidP="00721806">
            <w:pPr>
              <w:pStyle w:val="Tabletextcentred"/>
              <w:rPr>
                <w:lang w:eastAsia="en-AU"/>
              </w:rPr>
            </w:pPr>
            <w:r>
              <w:rPr>
                <w:lang w:eastAsia="en-AU"/>
              </w:rPr>
              <w:t>8.5</w:t>
            </w:r>
          </w:p>
        </w:tc>
        <w:tc>
          <w:tcPr>
            <w:tcW w:w="490" w:type="pct"/>
            <w:tcBorders>
              <w:top w:val="nil"/>
            </w:tcBorders>
            <w:vAlign w:val="center"/>
          </w:tcPr>
          <w:p w:rsidR="00C628F2" w:rsidRPr="005646E6" w:rsidRDefault="00C628F2" w:rsidP="00721806">
            <w:pPr>
              <w:pStyle w:val="Tabletextcentred"/>
              <w:rPr>
                <w:lang w:eastAsia="en-AU"/>
              </w:rPr>
            </w:pPr>
            <w:r>
              <w:rPr>
                <w:lang w:eastAsia="en-AU"/>
              </w:rPr>
              <w:t>9.1</w:t>
            </w:r>
          </w:p>
        </w:tc>
        <w:tc>
          <w:tcPr>
            <w:tcW w:w="596" w:type="pct"/>
            <w:tcBorders>
              <w:top w:val="nil"/>
            </w:tcBorders>
            <w:vAlign w:val="center"/>
          </w:tcPr>
          <w:p w:rsidR="00C628F2" w:rsidRPr="00527DD5" w:rsidRDefault="00C628F2" w:rsidP="00721806">
            <w:pPr>
              <w:pStyle w:val="Tabletext"/>
              <w:autoSpaceDE w:val="0"/>
              <w:autoSpaceDN w:val="0"/>
              <w:adjustRightInd w:val="0"/>
              <w:jc w:val="center"/>
            </w:pPr>
            <w:r>
              <w:t>1.3</w:t>
            </w:r>
          </w:p>
        </w:tc>
      </w:tr>
      <w:tr w:rsidR="00C628F2" w:rsidRPr="00814467" w:rsidTr="00721806">
        <w:trPr>
          <w:tblHeader/>
        </w:trPr>
        <w:tc>
          <w:tcPr>
            <w:tcW w:w="1003" w:type="pct"/>
            <w:tcBorders>
              <w:bottom w:val="single" w:sz="4" w:space="0" w:color="auto"/>
            </w:tcBorders>
          </w:tcPr>
          <w:p w:rsidR="00C628F2" w:rsidRPr="00CD3030" w:rsidRDefault="00C628F2" w:rsidP="00721806">
            <w:pPr>
              <w:pStyle w:val="Tabletextcentred"/>
              <w:jc w:val="left"/>
            </w:pPr>
            <w:r w:rsidRPr="00CD3030">
              <w:t>Complications requiring surgical correction/</w:t>
            </w:r>
            <w:r>
              <w:t xml:space="preserve"> </w:t>
            </w:r>
            <w:r w:rsidRPr="00CD3030">
              <w:t>hospitalisation (%)</w:t>
            </w:r>
          </w:p>
        </w:tc>
        <w:tc>
          <w:tcPr>
            <w:tcW w:w="445" w:type="pct"/>
            <w:tcBorders>
              <w:bottom w:val="single" w:sz="4" w:space="0" w:color="auto"/>
            </w:tcBorders>
            <w:vAlign w:val="center"/>
          </w:tcPr>
          <w:p w:rsidR="00C628F2" w:rsidRPr="00264CDF" w:rsidRDefault="00C628F2" w:rsidP="00721806">
            <w:pPr>
              <w:pStyle w:val="Tabletextcentred"/>
            </w:pPr>
            <w:r>
              <w:t>NR</w:t>
            </w:r>
          </w:p>
        </w:tc>
        <w:tc>
          <w:tcPr>
            <w:tcW w:w="535" w:type="pct"/>
            <w:tcBorders>
              <w:bottom w:val="single" w:sz="4" w:space="0" w:color="auto"/>
            </w:tcBorders>
            <w:vAlign w:val="center"/>
          </w:tcPr>
          <w:p w:rsidR="00C628F2" w:rsidRDefault="00C628F2" w:rsidP="00721806">
            <w:pPr>
              <w:pStyle w:val="Tabletextcentred"/>
              <w:rPr>
                <w:lang w:eastAsia="en-AU"/>
              </w:rPr>
            </w:pPr>
            <w:r>
              <w:rPr>
                <w:lang w:eastAsia="en-AU"/>
              </w:rPr>
              <w:t xml:space="preserve">4/53 </w:t>
            </w:r>
          </w:p>
          <w:p w:rsidR="00C628F2" w:rsidRDefault="00C628F2" w:rsidP="00721806">
            <w:pPr>
              <w:pStyle w:val="Tabletextcentred"/>
              <w:rPr>
                <w:lang w:eastAsia="en-AU"/>
              </w:rPr>
            </w:pPr>
            <w:r>
              <w:rPr>
                <w:lang w:eastAsia="en-AU"/>
              </w:rPr>
              <w:t>(7.3)</w:t>
            </w:r>
          </w:p>
        </w:tc>
        <w:tc>
          <w:tcPr>
            <w:tcW w:w="358" w:type="pct"/>
            <w:tcBorders>
              <w:bottom w:val="single" w:sz="4" w:space="0" w:color="auto"/>
            </w:tcBorders>
            <w:vAlign w:val="center"/>
          </w:tcPr>
          <w:p w:rsidR="00C628F2" w:rsidRPr="00327AF8" w:rsidRDefault="00C628F2" w:rsidP="00721806">
            <w:pPr>
              <w:pStyle w:val="Tabletextcentred"/>
              <w:rPr>
                <w:lang w:eastAsia="en-AU"/>
              </w:rPr>
            </w:pPr>
            <w:r>
              <w:rPr>
                <w:lang w:eastAsia="en-AU"/>
              </w:rPr>
              <w:t>5/40 (12.5)</w:t>
            </w:r>
          </w:p>
        </w:tc>
        <w:tc>
          <w:tcPr>
            <w:tcW w:w="545" w:type="pct"/>
            <w:tcBorders>
              <w:bottom w:val="single" w:sz="4" w:space="0" w:color="auto"/>
            </w:tcBorders>
            <w:vAlign w:val="center"/>
          </w:tcPr>
          <w:p w:rsidR="00C628F2" w:rsidRDefault="00C628F2" w:rsidP="00721806">
            <w:pPr>
              <w:pStyle w:val="Tabletextcentred"/>
              <w:rPr>
                <w:lang w:eastAsia="en-AU"/>
              </w:rPr>
            </w:pPr>
            <w:r>
              <w:rPr>
                <w:lang w:eastAsia="en-AU"/>
              </w:rPr>
              <w:t xml:space="preserve">3/31 </w:t>
            </w:r>
          </w:p>
          <w:p w:rsidR="00C628F2" w:rsidRPr="00327AF8" w:rsidRDefault="00C628F2" w:rsidP="00721806">
            <w:pPr>
              <w:pStyle w:val="Tabletextcentred"/>
              <w:rPr>
                <w:lang w:eastAsia="en-AU"/>
              </w:rPr>
            </w:pPr>
            <w:r>
              <w:rPr>
                <w:lang w:eastAsia="en-AU"/>
              </w:rPr>
              <w:t>(9.7)</w:t>
            </w:r>
          </w:p>
        </w:tc>
        <w:tc>
          <w:tcPr>
            <w:tcW w:w="433" w:type="pct"/>
            <w:tcBorders>
              <w:bottom w:val="single" w:sz="4" w:space="0" w:color="auto"/>
            </w:tcBorders>
            <w:vAlign w:val="center"/>
          </w:tcPr>
          <w:p w:rsidR="00C628F2" w:rsidRPr="00327AF8" w:rsidRDefault="00C628F2" w:rsidP="00721806">
            <w:pPr>
              <w:pStyle w:val="Tabletextcentred"/>
              <w:rPr>
                <w:lang w:eastAsia="en-AU"/>
              </w:rPr>
            </w:pPr>
            <w:r>
              <w:rPr>
                <w:lang w:eastAsia="en-AU"/>
              </w:rPr>
              <w:t>4/304 (1.2)</w:t>
            </w:r>
          </w:p>
        </w:tc>
        <w:tc>
          <w:tcPr>
            <w:tcW w:w="594" w:type="pct"/>
            <w:tcBorders>
              <w:bottom w:val="single" w:sz="4" w:space="0" w:color="auto"/>
            </w:tcBorders>
            <w:vAlign w:val="center"/>
          </w:tcPr>
          <w:p w:rsidR="00C628F2" w:rsidRDefault="00C628F2" w:rsidP="00721806">
            <w:pPr>
              <w:pStyle w:val="Tabletextcentred"/>
              <w:rPr>
                <w:lang w:eastAsia="en-AU"/>
              </w:rPr>
            </w:pPr>
            <w:r>
              <w:rPr>
                <w:lang w:eastAsia="en-AU"/>
              </w:rPr>
              <w:t xml:space="preserve">16/118 </w:t>
            </w:r>
          </w:p>
          <w:p w:rsidR="00C628F2" w:rsidRPr="00327AF8" w:rsidRDefault="00C628F2" w:rsidP="00721806">
            <w:pPr>
              <w:pStyle w:val="Tabletextcentred"/>
              <w:rPr>
                <w:lang w:eastAsia="en-AU"/>
              </w:rPr>
            </w:pPr>
            <w:r>
              <w:rPr>
                <w:lang w:eastAsia="en-AU"/>
              </w:rPr>
              <w:t>(14)</w:t>
            </w:r>
          </w:p>
        </w:tc>
        <w:tc>
          <w:tcPr>
            <w:tcW w:w="490" w:type="pct"/>
            <w:tcBorders>
              <w:bottom w:val="single" w:sz="4" w:space="0" w:color="auto"/>
            </w:tcBorders>
            <w:vAlign w:val="center"/>
          </w:tcPr>
          <w:p w:rsidR="00C628F2" w:rsidRDefault="00C628F2" w:rsidP="00721806">
            <w:pPr>
              <w:pStyle w:val="Tabletextcentred"/>
              <w:rPr>
                <w:lang w:eastAsia="en-AU"/>
              </w:rPr>
            </w:pPr>
            <w:r>
              <w:rPr>
                <w:lang w:eastAsia="en-AU"/>
              </w:rPr>
              <w:t xml:space="preserve">3/69 </w:t>
            </w:r>
          </w:p>
          <w:p w:rsidR="00C628F2" w:rsidRPr="00327AF8" w:rsidRDefault="00C628F2" w:rsidP="00721806">
            <w:pPr>
              <w:pStyle w:val="Tabletextcentred"/>
              <w:rPr>
                <w:lang w:eastAsia="en-AU"/>
              </w:rPr>
            </w:pPr>
            <w:r>
              <w:rPr>
                <w:lang w:eastAsia="en-AU"/>
              </w:rPr>
              <w:t>(4.3)</w:t>
            </w:r>
          </w:p>
        </w:tc>
        <w:tc>
          <w:tcPr>
            <w:tcW w:w="596" w:type="pct"/>
            <w:tcBorders>
              <w:bottom w:val="single" w:sz="4" w:space="0" w:color="auto"/>
            </w:tcBorders>
            <w:vAlign w:val="center"/>
          </w:tcPr>
          <w:p w:rsidR="00C628F2" w:rsidRDefault="00C628F2" w:rsidP="00721806">
            <w:pPr>
              <w:pStyle w:val="Tabletext"/>
              <w:jc w:val="center"/>
            </w:pPr>
            <w:r w:rsidRPr="00527DD5">
              <w:t xml:space="preserve">29/456 </w:t>
            </w:r>
          </w:p>
          <w:p w:rsidR="00C628F2" w:rsidRPr="00527DD5" w:rsidRDefault="00C628F2" w:rsidP="00721806">
            <w:pPr>
              <w:pStyle w:val="Tabletext"/>
              <w:jc w:val="center"/>
              <w:rPr>
                <w:lang w:eastAsia="en-AU"/>
              </w:rPr>
            </w:pPr>
            <w:r w:rsidRPr="00527DD5">
              <w:t>(6.4)</w:t>
            </w:r>
          </w:p>
        </w:tc>
      </w:tr>
      <w:tr w:rsidR="00C628F2" w:rsidRPr="0026118C" w:rsidTr="00721806">
        <w:trPr>
          <w:tblHeader/>
        </w:trPr>
        <w:tc>
          <w:tcPr>
            <w:tcW w:w="1003" w:type="pct"/>
            <w:tcBorders>
              <w:top w:val="single" w:sz="4" w:space="0" w:color="auto"/>
            </w:tcBorders>
          </w:tcPr>
          <w:p w:rsidR="00C628F2" w:rsidRPr="00CD3030" w:rsidRDefault="00C628F2" w:rsidP="00721806">
            <w:pPr>
              <w:pStyle w:val="Tabletextcentred"/>
              <w:jc w:val="left"/>
            </w:pPr>
            <w:r w:rsidRPr="00CD3030">
              <w:t>Infection (%)</w:t>
            </w:r>
          </w:p>
        </w:tc>
        <w:tc>
          <w:tcPr>
            <w:tcW w:w="445" w:type="pct"/>
            <w:tcBorders>
              <w:top w:val="single" w:sz="4" w:space="0" w:color="auto"/>
            </w:tcBorders>
            <w:vAlign w:val="center"/>
          </w:tcPr>
          <w:p w:rsidR="00C628F2" w:rsidRPr="00264CDF" w:rsidRDefault="00C628F2" w:rsidP="00721806">
            <w:pPr>
              <w:pStyle w:val="Tabletextcentred"/>
            </w:pPr>
            <w:r>
              <w:t>NR</w:t>
            </w:r>
          </w:p>
        </w:tc>
        <w:tc>
          <w:tcPr>
            <w:tcW w:w="535" w:type="pct"/>
            <w:tcBorders>
              <w:top w:val="single" w:sz="4" w:space="0" w:color="auto"/>
            </w:tcBorders>
            <w:vAlign w:val="center"/>
          </w:tcPr>
          <w:p w:rsidR="00C628F2" w:rsidRDefault="00C628F2" w:rsidP="00721806">
            <w:pPr>
              <w:pStyle w:val="Tabletextcentred"/>
              <w:rPr>
                <w:lang w:eastAsia="en-AU"/>
              </w:rPr>
            </w:pPr>
            <w:r>
              <w:rPr>
                <w:lang w:eastAsia="en-AU"/>
              </w:rPr>
              <w:t xml:space="preserve">2/53 </w:t>
            </w:r>
          </w:p>
          <w:p w:rsidR="00C628F2" w:rsidRPr="00327AF8" w:rsidRDefault="00C628F2" w:rsidP="00721806">
            <w:pPr>
              <w:pStyle w:val="Tabletextcentred"/>
              <w:rPr>
                <w:lang w:eastAsia="en-AU"/>
              </w:rPr>
            </w:pPr>
            <w:r>
              <w:rPr>
                <w:lang w:eastAsia="en-AU"/>
              </w:rPr>
              <w:t>(3.6)</w:t>
            </w:r>
          </w:p>
        </w:tc>
        <w:tc>
          <w:tcPr>
            <w:tcW w:w="358" w:type="pct"/>
            <w:tcBorders>
              <w:top w:val="single" w:sz="4" w:space="0" w:color="auto"/>
            </w:tcBorders>
            <w:vAlign w:val="center"/>
          </w:tcPr>
          <w:p w:rsidR="00C628F2" w:rsidRPr="00327AF8" w:rsidRDefault="00C628F2" w:rsidP="00721806">
            <w:pPr>
              <w:pStyle w:val="Tabletextcentred"/>
              <w:rPr>
                <w:lang w:eastAsia="en-AU"/>
              </w:rPr>
            </w:pPr>
            <w:r>
              <w:rPr>
                <w:lang w:eastAsia="en-AU"/>
              </w:rPr>
              <w:t>0</w:t>
            </w:r>
          </w:p>
        </w:tc>
        <w:tc>
          <w:tcPr>
            <w:tcW w:w="545" w:type="pct"/>
            <w:tcBorders>
              <w:top w:val="single" w:sz="4" w:space="0" w:color="auto"/>
            </w:tcBorders>
            <w:vAlign w:val="center"/>
          </w:tcPr>
          <w:p w:rsidR="00C628F2" w:rsidRDefault="00C628F2" w:rsidP="00721806">
            <w:pPr>
              <w:pStyle w:val="Tabletextcentred"/>
              <w:rPr>
                <w:lang w:eastAsia="en-AU"/>
              </w:rPr>
            </w:pPr>
            <w:r>
              <w:rPr>
                <w:lang w:eastAsia="en-AU"/>
              </w:rPr>
              <w:t xml:space="preserve">1/31 </w:t>
            </w:r>
          </w:p>
          <w:p w:rsidR="00C628F2" w:rsidRPr="00327AF8" w:rsidRDefault="00C628F2" w:rsidP="00721806">
            <w:pPr>
              <w:pStyle w:val="Tabletextcentred"/>
              <w:rPr>
                <w:lang w:eastAsia="en-AU"/>
              </w:rPr>
            </w:pPr>
            <w:r>
              <w:rPr>
                <w:lang w:eastAsia="en-AU"/>
              </w:rPr>
              <w:t>(3.2)</w:t>
            </w:r>
          </w:p>
        </w:tc>
        <w:tc>
          <w:tcPr>
            <w:tcW w:w="433" w:type="pct"/>
            <w:tcBorders>
              <w:top w:val="single" w:sz="4" w:space="0" w:color="auto"/>
            </w:tcBorders>
            <w:vAlign w:val="center"/>
          </w:tcPr>
          <w:p w:rsidR="00C628F2" w:rsidRPr="00327AF8" w:rsidRDefault="00C628F2" w:rsidP="00721806">
            <w:pPr>
              <w:pStyle w:val="Tabletextcentred"/>
              <w:rPr>
                <w:lang w:eastAsia="en-AU"/>
              </w:rPr>
            </w:pPr>
            <w:r>
              <w:rPr>
                <w:lang w:eastAsia="en-AU"/>
              </w:rPr>
              <w:t>18/304 (5.6)</w:t>
            </w:r>
          </w:p>
        </w:tc>
        <w:tc>
          <w:tcPr>
            <w:tcW w:w="594" w:type="pct"/>
            <w:tcBorders>
              <w:top w:val="single" w:sz="4" w:space="0" w:color="auto"/>
            </w:tcBorders>
            <w:vAlign w:val="center"/>
          </w:tcPr>
          <w:p w:rsidR="00C628F2" w:rsidRDefault="00C628F2" w:rsidP="00721806">
            <w:pPr>
              <w:pStyle w:val="Tabletextcentred"/>
              <w:rPr>
                <w:lang w:eastAsia="en-AU"/>
              </w:rPr>
            </w:pPr>
            <w:r>
              <w:rPr>
                <w:lang w:eastAsia="en-AU"/>
              </w:rPr>
              <w:t xml:space="preserve">7/118 </w:t>
            </w:r>
          </w:p>
          <w:p w:rsidR="00C628F2" w:rsidRPr="00327AF8" w:rsidRDefault="00C628F2" w:rsidP="00721806">
            <w:pPr>
              <w:pStyle w:val="Tabletextcentred"/>
              <w:rPr>
                <w:lang w:eastAsia="en-AU"/>
              </w:rPr>
            </w:pPr>
            <w:r>
              <w:rPr>
                <w:lang w:eastAsia="en-AU"/>
              </w:rPr>
              <w:t>(5.9)</w:t>
            </w:r>
            <w:r w:rsidRPr="00CE26F1">
              <w:rPr>
                <w:vertAlign w:val="superscript"/>
                <w:lang w:eastAsia="en-AU"/>
              </w:rPr>
              <w:t>b</w:t>
            </w:r>
          </w:p>
        </w:tc>
        <w:tc>
          <w:tcPr>
            <w:tcW w:w="490" w:type="pct"/>
            <w:tcBorders>
              <w:top w:val="single" w:sz="4" w:space="0" w:color="auto"/>
            </w:tcBorders>
            <w:vAlign w:val="center"/>
          </w:tcPr>
          <w:p w:rsidR="00C628F2" w:rsidRPr="0026118C" w:rsidRDefault="00C628F2" w:rsidP="00721806">
            <w:pPr>
              <w:pStyle w:val="Tabletextcentred"/>
            </w:pPr>
            <w:r>
              <w:t>NR</w:t>
            </w:r>
          </w:p>
        </w:tc>
        <w:tc>
          <w:tcPr>
            <w:tcW w:w="596" w:type="pct"/>
            <w:tcBorders>
              <w:top w:val="single" w:sz="4" w:space="0" w:color="auto"/>
            </w:tcBorders>
            <w:vAlign w:val="center"/>
          </w:tcPr>
          <w:p w:rsidR="00C628F2" w:rsidRDefault="00C628F2" w:rsidP="00721806">
            <w:pPr>
              <w:pStyle w:val="Tabletext"/>
              <w:jc w:val="center"/>
            </w:pPr>
            <w:r w:rsidRPr="00527DD5">
              <w:t xml:space="preserve">18/456 </w:t>
            </w:r>
          </w:p>
          <w:p w:rsidR="00C628F2" w:rsidRPr="00527DD5" w:rsidRDefault="00C628F2" w:rsidP="00721806">
            <w:pPr>
              <w:pStyle w:val="Tabletext"/>
              <w:jc w:val="center"/>
            </w:pPr>
            <w:r w:rsidRPr="00527DD5">
              <w:t>(3.9)</w:t>
            </w:r>
          </w:p>
        </w:tc>
      </w:tr>
    </w:tbl>
    <w:p w:rsidR="00C628F2" w:rsidRPr="00E75F1F" w:rsidRDefault="00C628F2" w:rsidP="00721806">
      <w:pPr>
        <w:rPr>
          <w:rFonts w:ascii="Arial Narrow" w:hAnsi="Arial Narrow"/>
          <w:sz w:val="20"/>
        </w:rPr>
      </w:pPr>
      <w:r w:rsidRPr="00E75F1F">
        <w:rPr>
          <w:rFonts w:ascii="Arial Narrow" w:hAnsi="Arial Narrow"/>
          <w:sz w:val="20"/>
        </w:rPr>
        <w:t>Source: Table 18, Appendix A of the application</w:t>
      </w:r>
    </w:p>
    <w:p w:rsidR="00C628F2" w:rsidRPr="00E75F1F" w:rsidRDefault="00C628F2" w:rsidP="00721806">
      <w:pPr>
        <w:rPr>
          <w:rFonts w:ascii="Arial Narrow" w:hAnsi="Arial Narrow"/>
          <w:sz w:val="20"/>
        </w:rPr>
      </w:pPr>
      <w:r>
        <w:rPr>
          <w:rFonts w:ascii="Arial Narrow" w:hAnsi="Arial Narrow"/>
          <w:sz w:val="20"/>
        </w:rPr>
        <w:t xml:space="preserve">LT = long term; </w:t>
      </w:r>
      <w:r w:rsidRPr="00E75F1F">
        <w:rPr>
          <w:rFonts w:ascii="Arial Narrow" w:hAnsi="Arial Narrow"/>
          <w:sz w:val="20"/>
        </w:rPr>
        <w:t>NR = not reported</w:t>
      </w:r>
      <w:r>
        <w:rPr>
          <w:rFonts w:ascii="Arial Narrow" w:hAnsi="Arial Narrow"/>
          <w:sz w:val="20"/>
        </w:rPr>
        <w:t>;</w:t>
      </w:r>
      <w:r w:rsidRPr="00EE4997">
        <w:rPr>
          <w:rFonts w:ascii="Arial Narrow" w:hAnsi="Arial Narrow"/>
          <w:sz w:val="20"/>
        </w:rPr>
        <w:t xml:space="preserve"> </w:t>
      </w:r>
      <w:r w:rsidRPr="00E75F1F">
        <w:rPr>
          <w:rFonts w:ascii="Arial Narrow" w:hAnsi="Arial Narrow"/>
          <w:sz w:val="20"/>
        </w:rPr>
        <w:t>VF = ventricular fibrillation; VT = ventricular tachycardia</w:t>
      </w:r>
    </w:p>
    <w:p w:rsidR="00C628F2" w:rsidRDefault="00C628F2" w:rsidP="00721806">
      <w:pPr>
        <w:rPr>
          <w:rFonts w:ascii="Arial Narrow" w:hAnsi="Arial Narrow"/>
          <w:sz w:val="20"/>
        </w:rPr>
      </w:pPr>
      <w:proofErr w:type="spellStart"/>
      <w:r>
        <w:rPr>
          <w:rFonts w:ascii="Arial Narrow" w:hAnsi="Arial Narrow"/>
          <w:sz w:val="20"/>
        </w:rPr>
        <w:t>a</w:t>
      </w:r>
      <w:proofErr w:type="spellEnd"/>
      <w:r w:rsidRPr="00E75F1F">
        <w:rPr>
          <w:rFonts w:ascii="Arial Narrow" w:hAnsi="Arial Narrow"/>
          <w:sz w:val="20"/>
        </w:rPr>
        <w:t xml:space="preserve"> Annual rate calculated based on mean follow-up of 558 days i.e. (32 ÷ 558/365)/456</w:t>
      </w:r>
    </w:p>
    <w:p w:rsidR="00C628F2" w:rsidRDefault="00C628F2" w:rsidP="00721806">
      <w:pPr>
        <w:rPr>
          <w:rFonts w:ascii="Arial Narrow" w:hAnsi="Arial Narrow"/>
          <w:sz w:val="20"/>
        </w:rPr>
      </w:pPr>
      <w:r w:rsidRPr="00E75F1F">
        <w:rPr>
          <w:rFonts w:ascii="Arial Narrow" w:hAnsi="Arial Narrow"/>
          <w:sz w:val="20"/>
        </w:rPr>
        <w:t>b Type of lead complication not clear – only reported that revi</w:t>
      </w:r>
      <w:r>
        <w:rPr>
          <w:rFonts w:ascii="Arial Narrow" w:hAnsi="Arial Narrow"/>
          <w:sz w:val="20"/>
        </w:rPr>
        <w:t>sion was required in 2 patients</w:t>
      </w:r>
    </w:p>
    <w:p w:rsidR="00C628F2" w:rsidRPr="00DA66E8" w:rsidRDefault="00C628F2" w:rsidP="00721806">
      <w:r w:rsidRPr="00D344C8">
        <w:br/>
      </w:r>
      <w:r>
        <w:t>The SBA claimed the following therapeutic conclusions for S-ICD versus T-ICD treatments</w:t>
      </w:r>
      <w:r w:rsidRPr="00DA66E8">
        <w:t>:</w:t>
      </w:r>
    </w:p>
    <w:p w:rsidR="00C628F2" w:rsidRDefault="00C628F2" w:rsidP="00721806">
      <w:pPr>
        <w:pStyle w:val="ListParagraph"/>
        <w:numPr>
          <w:ilvl w:val="0"/>
          <w:numId w:val="26"/>
        </w:numPr>
      </w:pPr>
      <w:r>
        <w:t>S-</w:t>
      </w:r>
      <w:r w:rsidRPr="00DA66E8">
        <w:t>ICD</w:t>
      </w:r>
      <w:r>
        <w:t xml:space="preserve"> is n</w:t>
      </w:r>
      <w:r w:rsidRPr="00DA66E8">
        <w:t xml:space="preserve">on-inferior to </w:t>
      </w:r>
      <w:r>
        <w:t>T-</w:t>
      </w:r>
      <w:r w:rsidRPr="00DA66E8">
        <w:t>ICD in terms of cli</w:t>
      </w:r>
      <w:r>
        <w:t>nical efficacy; and</w:t>
      </w:r>
    </w:p>
    <w:p w:rsidR="00C628F2" w:rsidRDefault="00C628F2" w:rsidP="00721806">
      <w:pPr>
        <w:pStyle w:val="ListParagraph"/>
        <w:numPr>
          <w:ilvl w:val="0"/>
          <w:numId w:val="26"/>
        </w:numPr>
      </w:pPr>
      <w:r>
        <w:t>S-</w:t>
      </w:r>
      <w:r w:rsidRPr="00DA66E8">
        <w:t>ICD</w:t>
      </w:r>
      <w:r>
        <w:t xml:space="preserve"> is non-inferior to T-ICD in terms of safety. </w:t>
      </w:r>
    </w:p>
    <w:p w:rsidR="00C628F2" w:rsidRDefault="00C628F2" w:rsidP="00721806">
      <w:pPr>
        <w:pStyle w:val="Tablenotes"/>
        <w:spacing w:after="0"/>
        <w:rPr>
          <w:rFonts w:ascii="Garamond" w:hAnsi="Garamond"/>
          <w:i/>
          <w:sz w:val="24"/>
          <w:szCs w:val="24"/>
          <w:lang w:eastAsia="en-US"/>
        </w:rPr>
      </w:pPr>
    </w:p>
    <w:p w:rsidR="00C628F2" w:rsidRPr="007B6308" w:rsidRDefault="00C628F2" w:rsidP="009415E8">
      <w:pPr>
        <w:pStyle w:val="Tablenotes"/>
        <w:spacing w:before="0" w:after="0"/>
        <w:rPr>
          <w:rFonts w:ascii="Times New Roman" w:hAnsi="Times New Roman"/>
          <w:sz w:val="24"/>
          <w:szCs w:val="24"/>
        </w:rPr>
      </w:pPr>
      <w:r w:rsidRPr="007B6308">
        <w:rPr>
          <w:rFonts w:ascii="Times New Roman" w:hAnsi="Times New Roman"/>
          <w:sz w:val="24"/>
          <w:szCs w:val="24"/>
        </w:rPr>
        <w:t xml:space="preserve">The </w:t>
      </w:r>
      <w:r>
        <w:rPr>
          <w:rFonts w:ascii="Times New Roman" w:hAnsi="Times New Roman"/>
          <w:sz w:val="24"/>
          <w:szCs w:val="24"/>
        </w:rPr>
        <w:t xml:space="preserve">evaluation considered the </w:t>
      </w:r>
      <w:r w:rsidRPr="007B6308">
        <w:rPr>
          <w:rFonts w:ascii="Times New Roman" w:hAnsi="Times New Roman"/>
          <w:sz w:val="24"/>
          <w:szCs w:val="24"/>
        </w:rPr>
        <w:t>claims of ‘non-inferiority’ in regards to clinical efficacy and safety have several weaknesses including:</w:t>
      </w:r>
    </w:p>
    <w:p w:rsidR="00C628F2" w:rsidRPr="007B6308" w:rsidRDefault="00C628F2" w:rsidP="009415E8">
      <w:pPr>
        <w:pStyle w:val="Tablenotes"/>
        <w:numPr>
          <w:ilvl w:val="0"/>
          <w:numId w:val="28"/>
        </w:numPr>
        <w:spacing w:before="0" w:after="0"/>
        <w:rPr>
          <w:rFonts w:ascii="Times New Roman" w:hAnsi="Times New Roman"/>
          <w:sz w:val="24"/>
          <w:szCs w:val="24"/>
        </w:rPr>
      </w:pPr>
      <w:r w:rsidRPr="007B6308">
        <w:rPr>
          <w:rFonts w:ascii="Times New Roman" w:hAnsi="Times New Roman"/>
          <w:sz w:val="24"/>
          <w:szCs w:val="24"/>
        </w:rPr>
        <w:t>Tec</w:t>
      </w:r>
      <w:r>
        <w:rPr>
          <w:rFonts w:ascii="Times New Roman" w:hAnsi="Times New Roman"/>
          <w:sz w:val="24"/>
          <w:szCs w:val="24"/>
        </w:rPr>
        <w:t>hnical device-related outcomes we</w:t>
      </w:r>
      <w:r w:rsidRPr="007B6308">
        <w:rPr>
          <w:rFonts w:ascii="Times New Roman" w:hAnsi="Times New Roman"/>
          <w:sz w:val="24"/>
          <w:szCs w:val="24"/>
        </w:rPr>
        <w:t>re used as a ‘proxy’ to patien</w:t>
      </w:r>
      <w:r>
        <w:rPr>
          <w:rFonts w:ascii="Times New Roman" w:hAnsi="Times New Roman"/>
          <w:sz w:val="24"/>
          <w:szCs w:val="24"/>
        </w:rPr>
        <w:t>t relevant outcomes. No attempt wa</w:t>
      </w:r>
      <w:r w:rsidRPr="007B6308">
        <w:rPr>
          <w:rFonts w:ascii="Times New Roman" w:hAnsi="Times New Roman"/>
          <w:sz w:val="24"/>
          <w:szCs w:val="24"/>
        </w:rPr>
        <w:t>s made to correlate the surrogate outcomes with clinically relevant outcomes such as sudden cardiac death, all-cause death, health-related quality of life;</w:t>
      </w:r>
    </w:p>
    <w:p w:rsidR="00C628F2" w:rsidRPr="007B6308" w:rsidRDefault="00C628F2" w:rsidP="009415E8">
      <w:pPr>
        <w:pStyle w:val="Tablenotes"/>
        <w:numPr>
          <w:ilvl w:val="0"/>
          <w:numId w:val="27"/>
        </w:numPr>
        <w:spacing w:before="0" w:after="0"/>
        <w:rPr>
          <w:rFonts w:ascii="Times New Roman" w:hAnsi="Times New Roman"/>
          <w:sz w:val="24"/>
          <w:szCs w:val="24"/>
        </w:rPr>
      </w:pPr>
      <w:r w:rsidRPr="007B6308">
        <w:rPr>
          <w:rFonts w:ascii="Times New Roman" w:hAnsi="Times New Roman"/>
          <w:sz w:val="24"/>
          <w:szCs w:val="24"/>
        </w:rPr>
        <w:t xml:space="preserve">As acknowledged by the applicant, all studies presented have a high risk of bias as they involved: non-randomised populations; high potential for selection bias, small sample sizes; insufficient study durations; insufficient numbers of clinical events for comparison of primary outcomes, descriptive statistical analyses only and heterogeneity between the samples; </w:t>
      </w:r>
    </w:p>
    <w:p w:rsidR="00C628F2" w:rsidRPr="007B6308" w:rsidRDefault="00C628F2" w:rsidP="009415E8">
      <w:pPr>
        <w:pStyle w:val="Tablenotes"/>
        <w:numPr>
          <w:ilvl w:val="0"/>
          <w:numId w:val="27"/>
        </w:numPr>
        <w:spacing w:before="0" w:after="0"/>
        <w:rPr>
          <w:rFonts w:ascii="Times New Roman" w:hAnsi="Times New Roman"/>
          <w:sz w:val="24"/>
          <w:szCs w:val="24"/>
        </w:rPr>
      </w:pPr>
      <w:r w:rsidRPr="007B6308">
        <w:rPr>
          <w:rFonts w:ascii="Times New Roman" w:hAnsi="Times New Roman"/>
          <w:sz w:val="24"/>
          <w:szCs w:val="24"/>
        </w:rPr>
        <w:t>There are well-known safety risks associated with subcutaneous ICD therapy with patients receiving inappropriate shocks, infections and complications requiring re-surgery; and</w:t>
      </w:r>
    </w:p>
    <w:p w:rsidR="00C628F2" w:rsidRPr="007B6308" w:rsidRDefault="00C628F2" w:rsidP="009415E8">
      <w:pPr>
        <w:pStyle w:val="Tablenotes"/>
        <w:numPr>
          <w:ilvl w:val="0"/>
          <w:numId w:val="27"/>
        </w:numPr>
        <w:spacing w:before="0" w:after="0"/>
        <w:rPr>
          <w:rFonts w:ascii="Times New Roman" w:hAnsi="Times New Roman"/>
          <w:sz w:val="24"/>
          <w:szCs w:val="24"/>
        </w:rPr>
      </w:pPr>
      <w:r w:rsidRPr="007B6308">
        <w:rPr>
          <w:rFonts w:ascii="Times New Roman" w:hAnsi="Times New Roman"/>
          <w:sz w:val="24"/>
          <w:szCs w:val="24"/>
        </w:rPr>
        <w:t>Outcomes are unclear in the sub-group of patients expected to benefit most from subcutaneous ICD, preferential ‘younger’ patients.</w:t>
      </w:r>
    </w:p>
    <w:p w:rsidR="00C628F2" w:rsidRPr="007B6308" w:rsidRDefault="00C628F2" w:rsidP="00721806"/>
    <w:p w:rsidR="0030094F" w:rsidRDefault="00C628F2" w:rsidP="00721806">
      <w:r w:rsidRPr="007B6308">
        <w:t xml:space="preserve">A large, prospective, multi-centre, randomised controlled trial (PRAETORIAN, target n=850) comparing </w:t>
      </w:r>
      <w:r>
        <w:t>S-</w:t>
      </w:r>
      <w:r w:rsidRPr="007B6308">
        <w:t xml:space="preserve">ICD with </w:t>
      </w:r>
      <w:r>
        <w:t>T-</w:t>
      </w:r>
      <w:r w:rsidRPr="007B6308">
        <w:t>ICD will be completed in June 2018</w:t>
      </w:r>
      <w:r>
        <w:t>; it may</w:t>
      </w:r>
      <w:r w:rsidRPr="007B6308">
        <w:t xml:space="preserve"> offer outcomes on sudden cardiac death, all cause deaths, health related quality-of-life over 30</w:t>
      </w:r>
      <w:r>
        <w:t> </w:t>
      </w:r>
      <w:r w:rsidRPr="007B6308">
        <w:t>months in addi</w:t>
      </w:r>
      <w:r>
        <w:t>tion to device-related outcomes.</w:t>
      </w:r>
      <w:bookmarkStart w:id="0" w:name="_Toc395175734"/>
      <w:bookmarkStart w:id="1" w:name="_Toc315099766"/>
    </w:p>
    <w:p w:rsidR="0030094F" w:rsidRDefault="0030094F" w:rsidP="00721806"/>
    <w:p w:rsidR="0030094F" w:rsidRDefault="0030094F">
      <w:r>
        <w:br w:type="page"/>
      </w:r>
    </w:p>
    <w:p w:rsidR="00C628F2" w:rsidRPr="00656783" w:rsidRDefault="00C628F2" w:rsidP="00721806">
      <w:pPr>
        <w:rPr>
          <w:b/>
        </w:rPr>
      </w:pPr>
      <w:r w:rsidRPr="00656783">
        <w:rPr>
          <w:b/>
        </w:rPr>
        <w:lastRenderedPageBreak/>
        <w:t>Pre-modelling studies:</w:t>
      </w:r>
      <w:bookmarkEnd w:id="0"/>
      <w:r w:rsidRPr="00656783">
        <w:rPr>
          <w:b/>
        </w:rPr>
        <w:t xml:space="preserve"> </w:t>
      </w:r>
      <w:bookmarkEnd w:id="1"/>
    </w:p>
    <w:p w:rsidR="00C628F2" w:rsidRPr="006E0071" w:rsidRDefault="00C628F2" w:rsidP="00721806"/>
    <w:p w:rsidR="00C628F2" w:rsidRDefault="00C628F2" w:rsidP="00721806">
      <w:r>
        <w:t>The application provided</w:t>
      </w:r>
      <w:r w:rsidRPr="00EC5127">
        <w:t xml:space="preserve"> n</w:t>
      </w:r>
      <w:r>
        <w:t>o pre-modelling studies for the</w:t>
      </w:r>
      <w:r w:rsidRPr="00EC5127">
        <w:t xml:space="preserve"> cost-minimisation analysis. The applicability of the included studies to the Australian population may be a concern, due to the lack of Australian study data. </w:t>
      </w:r>
    </w:p>
    <w:p w:rsidR="00C628F2" w:rsidRDefault="00C628F2" w:rsidP="00856A33">
      <w:pPr>
        <w:pStyle w:val="ListParagraph"/>
        <w:ind w:left="0"/>
        <w:rPr>
          <w:color w:val="FF0000"/>
          <w:szCs w:val="24"/>
        </w:rPr>
      </w:pPr>
    </w:p>
    <w:p w:rsidR="00C628F2" w:rsidRDefault="00C628F2" w:rsidP="007B32D1">
      <w:pPr>
        <w:pStyle w:val="Heading1"/>
        <w:numPr>
          <w:ilvl w:val="0"/>
          <w:numId w:val="23"/>
        </w:numPr>
        <w:ind w:hanging="720"/>
      </w:pPr>
      <w:r w:rsidRPr="008D5885">
        <w:t>Economic evaluation</w:t>
      </w:r>
    </w:p>
    <w:p w:rsidR="00C628F2" w:rsidRDefault="00C628F2" w:rsidP="00DD2858">
      <w:pPr>
        <w:rPr>
          <w:b/>
          <w:szCs w:val="24"/>
        </w:rPr>
      </w:pPr>
    </w:p>
    <w:p w:rsidR="00C628F2" w:rsidRDefault="00C628F2" w:rsidP="00721806">
      <w:r w:rsidRPr="006E0071">
        <w:t xml:space="preserve">The </w:t>
      </w:r>
      <w:r>
        <w:t xml:space="preserve">SBA presented a </w:t>
      </w:r>
      <w:r w:rsidRPr="006E0071">
        <w:t>cost-minimisation</w:t>
      </w:r>
      <w:r>
        <w:t xml:space="preserve"> </w:t>
      </w:r>
      <w:r w:rsidRPr="006E0071">
        <w:t>analysis.</w:t>
      </w:r>
      <w:r>
        <w:t xml:space="preserve"> The SBA stated that subcutaneous and transvenous ICD are identical in terms of hospital setting, procedural time (one hour total), clinical expertise (no additional training), existing infrastructure and patient before and after care. </w:t>
      </w:r>
    </w:p>
    <w:p w:rsidR="00C628F2" w:rsidRDefault="00C628F2" w:rsidP="00721806"/>
    <w:p w:rsidR="00C628F2" w:rsidRPr="00CD6FCB" w:rsidRDefault="00C628F2" w:rsidP="00721806">
      <w:pPr>
        <w:rPr>
          <w:i/>
        </w:rPr>
      </w:pPr>
      <w:r w:rsidRPr="007B6308">
        <w:t xml:space="preserve">The </w:t>
      </w:r>
      <w:r>
        <w:t xml:space="preserve">evaluation considered that the </w:t>
      </w:r>
      <w:r w:rsidRPr="007B6308">
        <w:t xml:space="preserve">assumptions for similar resource use may not be reasonable because the </w:t>
      </w:r>
      <w:r>
        <w:t>S-</w:t>
      </w:r>
      <w:r w:rsidRPr="007B6308">
        <w:t xml:space="preserve">ICD lead insertion is relatively straightforward; estimated 5-10 minutes after prepping and draping the site, the electrode is tunnelled subcutaneously (access to a vein is not required), there is no need for fluoroscopy and no time needed to locate the best position in the atrium or ventricle. The implantation of the actual device would be similar to implanting a permanent cardiac pacemaker or </w:t>
      </w:r>
      <w:r>
        <w:t>T-</w:t>
      </w:r>
      <w:r w:rsidRPr="007B6308">
        <w:t xml:space="preserve">ICD generator. </w:t>
      </w:r>
      <w:r>
        <w:t>Based on expert advice</w:t>
      </w:r>
      <w:r w:rsidRPr="007B6308">
        <w:t xml:space="preserve">, the </w:t>
      </w:r>
      <w:r>
        <w:t>S-</w:t>
      </w:r>
      <w:r w:rsidRPr="007B6308">
        <w:t xml:space="preserve">ICD procedure would take </w:t>
      </w:r>
      <w:r>
        <w:t>less than 30 minutes (</w:t>
      </w:r>
      <w:r w:rsidRPr="007B6308">
        <w:t xml:space="preserve">half the time of </w:t>
      </w:r>
      <w:r>
        <w:t>T-</w:t>
      </w:r>
      <w:r w:rsidRPr="007B6308">
        <w:t>ICD</w:t>
      </w:r>
      <w:r>
        <w:t>)</w:t>
      </w:r>
      <w:r w:rsidRPr="007B6308">
        <w:t>.</w:t>
      </w:r>
      <w:r>
        <w:rPr>
          <w:i/>
        </w:rPr>
        <w:t xml:space="preserve"> </w:t>
      </w:r>
    </w:p>
    <w:p w:rsidR="00C628F2" w:rsidRDefault="00C628F2" w:rsidP="00721806"/>
    <w:p w:rsidR="00C628F2" w:rsidRDefault="00C628F2" w:rsidP="00721806">
      <w:r>
        <w:t xml:space="preserve">The table below </w:t>
      </w:r>
      <w:r w:rsidRPr="006E0071">
        <w:t>summarises the results of the economic evaluation of the proposed intervention.</w:t>
      </w:r>
      <w:r>
        <w:t xml:space="preserve"> </w:t>
      </w:r>
    </w:p>
    <w:p w:rsidR="00C628F2" w:rsidRDefault="00C628F2" w:rsidP="00721806">
      <w:pPr>
        <w:pStyle w:val="Caption"/>
      </w:pPr>
    </w:p>
    <w:p w:rsidR="00C628F2" w:rsidRDefault="00C628F2" w:rsidP="00721806">
      <w:pPr>
        <w:pStyle w:val="Caption"/>
      </w:pPr>
      <w:r>
        <w:t>Total healthcare costs associated with S-ICD and TV-ICD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6"/>
        <w:gridCol w:w="1879"/>
        <w:gridCol w:w="1645"/>
        <w:gridCol w:w="1100"/>
      </w:tblGrid>
      <w:tr w:rsidR="00C628F2" w:rsidRPr="006B7EC7" w:rsidTr="00721806">
        <w:trPr>
          <w:cantSplit/>
          <w:tblHeader/>
        </w:trPr>
        <w:tc>
          <w:tcPr>
            <w:tcW w:w="2470" w:type="pct"/>
            <w:tcMar>
              <w:left w:w="57" w:type="dxa"/>
              <w:right w:w="57" w:type="dxa"/>
            </w:tcMar>
            <w:vAlign w:val="bottom"/>
          </w:tcPr>
          <w:p w:rsidR="00C628F2" w:rsidRPr="001B2F67" w:rsidRDefault="00C628F2" w:rsidP="00721806">
            <w:pPr>
              <w:pStyle w:val="Tabletext"/>
              <w:rPr>
                <w:b/>
                <w:sz w:val="24"/>
                <w:vertAlign w:val="superscript"/>
              </w:rPr>
            </w:pPr>
            <w:r w:rsidRPr="006B7EC7">
              <w:rPr>
                <w:b/>
              </w:rPr>
              <w:t xml:space="preserve">Resource </w:t>
            </w:r>
            <w:proofErr w:type="spellStart"/>
            <w:r w:rsidRPr="006B7EC7">
              <w:rPr>
                <w:b/>
              </w:rPr>
              <w:t>Item</w:t>
            </w:r>
            <w:r>
              <w:rPr>
                <w:b/>
                <w:vertAlign w:val="superscript"/>
              </w:rPr>
              <w:t>a</w:t>
            </w:r>
            <w:proofErr w:type="spellEnd"/>
          </w:p>
        </w:tc>
        <w:tc>
          <w:tcPr>
            <w:tcW w:w="1028" w:type="pct"/>
          </w:tcPr>
          <w:p w:rsidR="00C628F2" w:rsidRPr="006B7EC7" w:rsidRDefault="00C628F2" w:rsidP="00721806">
            <w:pPr>
              <w:pStyle w:val="Tabletext"/>
              <w:jc w:val="center"/>
              <w:rPr>
                <w:b/>
              </w:rPr>
            </w:pPr>
            <w:r w:rsidRPr="006B7EC7">
              <w:rPr>
                <w:b/>
              </w:rPr>
              <w:t>Subcutaneous ICD</w:t>
            </w:r>
          </w:p>
        </w:tc>
        <w:tc>
          <w:tcPr>
            <w:tcW w:w="900" w:type="pct"/>
            <w:tcMar>
              <w:left w:w="57" w:type="dxa"/>
              <w:right w:w="57" w:type="dxa"/>
            </w:tcMar>
            <w:vAlign w:val="bottom"/>
          </w:tcPr>
          <w:p w:rsidR="00C628F2" w:rsidRPr="006B7EC7" w:rsidRDefault="00C628F2" w:rsidP="00721806">
            <w:pPr>
              <w:pStyle w:val="Tabletext"/>
              <w:jc w:val="center"/>
              <w:rPr>
                <w:b/>
                <w:sz w:val="24"/>
              </w:rPr>
            </w:pPr>
            <w:r w:rsidRPr="006B7EC7">
              <w:rPr>
                <w:b/>
              </w:rPr>
              <w:t>Transvenous ICD</w:t>
            </w:r>
          </w:p>
        </w:tc>
        <w:tc>
          <w:tcPr>
            <w:tcW w:w="602" w:type="pct"/>
            <w:tcMar>
              <w:left w:w="57" w:type="dxa"/>
              <w:right w:w="57" w:type="dxa"/>
            </w:tcMar>
            <w:vAlign w:val="bottom"/>
          </w:tcPr>
          <w:p w:rsidR="00C628F2" w:rsidRPr="006B7EC7" w:rsidRDefault="00C628F2" w:rsidP="00721806">
            <w:pPr>
              <w:pStyle w:val="Tabletext"/>
              <w:jc w:val="center"/>
              <w:rPr>
                <w:b/>
                <w:sz w:val="24"/>
              </w:rPr>
            </w:pPr>
            <w:r w:rsidRPr="006B7EC7">
              <w:rPr>
                <w:b/>
              </w:rPr>
              <w:t>Difference</w:t>
            </w:r>
          </w:p>
        </w:tc>
      </w:tr>
      <w:tr w:rsidR="00C628F2" w:rsidRPr="00B36D4B" w:rsidTr="00721806">
        <w:trPr>
          <w:cantSplit/>
        </w:trPr>
        <w:tc>
          <w:tcPr>
            <w:tcW w:w="2470" w:type="pct"/>
            <w:tcMar>
              <w:left w:w="57" w:type="dxa"/>
              <w:right w:w="57" w:type="dxa"/>
            </w:tcMar>
            <w:vAlign w:val="bottom"/>
          </w:tcPr>
          <w:p w:rsidR="00C628F2" w:rsidRPr="00B36D4B" w:rsidRDefault="00C628F2" w:rsidP="00721806">
            <w:pPr>
              <w:pStyle w:val="Tabletext"/>
              <w:rPr>
                <w:b/>
                <w:i/>
              </w:rPr>
            </w:pPr>
            <w:r w:rsidRPr="00B36D4B">
              <w:rPr>
                <w:b/>
                <w:i/>
              </w:rPr>
              <w:t>MBS-related costs</w:t>
            </w:r>
          </w:p>
        </w:tc>
        <w:tc>
          <w:tcPr>
            <w:tcW w:w="1028" w:type="pct"/>
            <w:vAlign w:val="center"/>
          </w:tcPr>
          <w:p w:rsidR="00C628F2" w:rsidRPr="00837100" w:rsidRDefault="00C628F2" w:rsidP="00721806">
            <w:pPr>
              <w:pStyle w:val="Tabletext"/>
              <w:jc w:val="center"/>
              <w:rPr>
                <w:i/>
              </w:rPr>
            </w:pPr>
            <w:r w:rsidRPr="00837100">
              <w:rPr>
                <w:i/>
              </w:rPr>
              <w:t>-</w:t>
            </w:r>
          </w:p>
        </w:tc>
        <w:tc>
          <w:tcPr>
            <w:tcW w:w="900" w:type="pct"/>
            <w:vAlign w:val="center"/>
          </w:tcPr>
          <w:p w:rsidR="00C628F2" w:rsidRPr="00837100" w:rsidRDefault="00C628F2" w:rsidP="00721806">
            <w:pPr>
              <w:pStyle w:val="Tabletext"/>
              <w:jc w:val="center"/>
              <w:rPr>
                <w:i/>
              </w:rPr>
            </w:pPr>
            <w:r w:rsidRPr="00837100">
              <w:rPr>
                <w:i/>
              </w:rPr>
              <w:t>-</w:t>
            </w:r>
          </w:p>
        </w:tc>
        <w:tc>
          <w:tcPr>
            <w:tcW w:w="602" w:type="pct"/>
            <w:vAlign w:val="center"/>
          </w:tcPr>
          <w:p w:rsidR="00C628F2" w:rsidRPr="00837100" w:rsidRDefault="00C628F2" w:rsidP="00721806">
            <w:pPr>
              <w:pStyle w:val="Tabletext"/>
              <w:jc w:val="center"/>
              <w:rPr>
                <w:i/>
              </w:rPr>
            </w:pPr>
            <w:r w:rsidRPr="00837100">
              <w:rPr>
                <w:i/>
              </w:rPr>
              <w:t>-</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pPr>
            <w:r w:rsidRPr="00DA2B6E">
              <w:t>MBS fee for ICD lead placement</w:t>
            </w:r>
            <w:r>
              <w:t xml:space="preserve"> (For TV-ICD MBS #38384 or 38390 &amp; 10% less for S-ICD)</w:t>
            </w:r>
          </w:p>
        </w:tc>
        <w:tc>
          <w:tcPr>
            <w:tcW w:w="1028" w:type="pct"/>
            <w:vAlign w:val="center"/>
          </w:tcPr>
          <w:p w:rsidR="00C628F2" w:rsidRPr="00DA2B6E" w:rsidRDefault="00C628F2" w:rsidP="00721806">
            <w:pPr>
              <w:pStyle w:val="Tabletext"/>
              <w:jc w:val="center"/>
            </w:pPr>
            <w:r w:rsidRPr="00DA2B6E">
              <w:t>$947.39</w:t>
            </w:r>
          </w:p>
        </w:tc>
        <w:tc>
          <w:tcPr>
            <w:tcW w:w="900" w:type="pct"/>
            <w:tcMar>
              <w:left w:w="57" w:type="dxa"/>
              <w:right w:w="57" w:type="dxa"/>
            </w:tcMar>
            <w:vAlign w:val="center"/>
          </w:tcPr>
          <w:p w:rsidR="00C628F2" w:rsidRPr="00A71689" w:rsidRDefault="00C628F2" w:rsidP="00721806">
            <w:pPr>
              <w:pStyle w:val="Tabletext"/>
              <w:jc w:val="center"/>
            </w:pPr>
            <w:r w:rsidRPr="00DA2B6E">
              <w:t>$1,052.65</w:t>
            </w:r>
          </w:p>
        </w:tc>
        <w:tc>
          <w:tcPr>
            <w:tcW w:w="602" w:type="pct"/>
            <w:tcMar>
              <w:left w:w="57" w:type="dxa"/>
              <w:right w:w="57" w:type="dxa"/>
            </w:tcMar>
            <w:vAlign w:val="center"/>
          </w:tcPr>
          <w:p w:rsidR="00C628F2" w:rsidRPr="00DA2B6E" w:rsidRDefault="00C628F2" w:rsidP="00721806">
            <w:pPr>
              <w:pStyle w:val="Tabletext"/>
              <w:jc w:val="center"/>
            </w:pPr>
            <w:r w:rsidRPr="00DA2B6E">
              <w:t>-$105.26</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pPr>
            <w:r w:rsidRPr="00DA2B6E">
              <w:t>MBS fee for ICD generator insertion</w:t>
            </w:r>
            <w:r>
              <w:t xml:space="preserve"> MBS # 38387 or #38393 </w:t>
            </w:r>
            <w:r w:rsidRPr="00DA2B6E">
              <w:t>(</w:t>
            </w:r>
            <w:r>
              <w:t xml:space="preserve">$287.85 * 25% </w:t>
            </w:r>
            <w:r w:rsidRPr="00DA2B6E">
              <w:t>MSR)</w:t>
            </w:r>
          </w:p>
        </w:tc>
        <w:tc>
          <w:tcPr>
            <w:tcW w:w="1028" w:type="pct"/>
            <w:vAlign w:val="center"/>
          </w:tcPr>
          <w:p w:rsidR="00C628F2" w:rsidRPr="00DA2B6E" w:rsidRDefault="00C628F2" w:rsidP="00721806">
            <w:pPr>
              <w:pStyle w:val="Tabletext"/>
              <w:jc w:val="center"/>
            </w:pPr>
            <w:r w:rsidRPr="00DA2B6E">
              <w:t>$</w:t>
            </w:r>
            <w:r>
              <w:t>71.96</w:t>
            </w:r>
          </w:p>
        </w:tc>
        <w:tc>
          <w:tcPr>
            <w:tcW w:w="900" w:type="pct"/>
            <w:tcMar>
              <w:left w:w="57" w:type="dxa"/>
              <w:right w:w="57" w:type="dxa"/>
            </w:tcMar>
            <w:vAlign w:val="center"/>
          </w:tcPr>
          <w:p w:rsidR="00C628F2" w:rsidRPr="00DA2B6E" w:rsidRDefault="00C628F2" w:rsidP="00721806">
            <w:pPr>
              <w:pStyle w:val="Tabletext"/>
              <w:jc w:val="center"/>
            </w:pPr>
            <w:r w:rsidRPr="00DA2B6E">
              <w:t>$</w:t>
            </w:r>
            <w:r>
              <w:t>71.96</w:t>
            </w:r>
          </w:p>
        </w:tc>
        <w:tc>
          <w:tcPr>
            <w:tcW w:w="602" w:type="pct"/>
            <w:tcMar>
              <w:left w:w="57" w:type="dxa"/>
              <w:right w:w="57" w:type="dxa"/>
            </w:tcMar>
            <w:vAlign w:val="center"/>
          </w:tcPr>
          <w:p w:rsidR="00C628F2" w:rsidRPr="00DA2B6E" w:rsidRDefault="00C628F2" w:rsidP="00721806">
            <w:pPr>
              <w:pStyle w:val="Tabletext"/>
              <w:jc w:val="center"/>
            </w:pPr>
            <w:r w:rsidRPr="00DA2B6E">
              <w:t>$0.00</w:t>
            </w:r>
          </w:p>
        </w:tc>
      </w:tr>
      <w:tr w:rsidR="00C628F2" w:rsidRPr="005914ED" w:rsidTr="00721806">
        <w:trPr>
          <w:cantSplit/>
        </w:trPr>
        <w:tc>
          <w:tcPr>
            <w:tcW w:w="2470" w:type="pct"/>
            <w:tcMar>
              <w:left w:w="57" w:type="dxa"/>
              <w:right w:w="57" w:type="dxa"/>
            </w:tcMar>
          </w:tcPr>
          <w:p w:rsidR="00C628F2" w:rsidRPr="005914ED" w:rsidRDefault="00C628F2" w:rsidP="00721806">
            <w:pPr>
              <w:pStyle w:val="Tabletext"/>
              <w:rPr>
                <w:i/>
              </w:rPr>
            </w:pPr>
            <w:r w:rsidRPr="005914ED">
              <w:rPr>
                <w:i/>
              </w:rPr>
              <w:t>Plain film imaging X-ray MBS # 58503</w:t>
            </w:r>
            <w:r w:rsidRPr="005914ED">
              <w:rPr>
                <w:i/>
                <w:vertAlign w:val="superscript"/>
              </w:rPr>
              <w:t>b</w:t>
            </w:r>
          </w:p>
        </w:tc>
        <w:tc>
          <w:tcPr>
            <w:tcW w:w="1028" w:type="pct"/>
            <w:vAlign w:val="center"/>
          </w:tcPr>
          <w:p w:rsidR="00C628F2" w:rsidRPr="005914ED" w:rsidRDefault="00C628F2" w:rsidP="00721806">
            <w:pPr>
              <w:pStyle w:val="Tabletext"/>
              <w:jc w:val="center"/>
              <w:rPr>
                <w:i/>
                <w:vertAlign w:val="superscript"/>
              </w:rPr>
            </w:pPr>
            <w:r w:rsidRPr="005914ED">
              <w:rPr>
                <w:i/>
              </w:rPr>
              <w:t>$47.17</w:t>
            </w:r>
            <w:r w:rsidRPr="005914ED">
              <w:rPr>
                <w:i/>
                <w:vertAlign w:val="superscript"/>
              </w:rPr>
              <w:t>c</w:t>
            </w:r>
          </w:p>
        </w:tc>
        <w:tc>
          <w:tcPr>
            <w:tcW w:w="900" w:type="pct"/>
            <w:tcMar>
              <w:left w:w="57" w:type="dxa"/>
              <w:right w:w="57" w:type="dxa"/>
            </w:tcMar>
            <w:vAlign w:val="center"/>
          </w:tcPr>
          <w:p w:rsidR="00C628F2" w:rsidRPr="005914ED" w:rsidRDefault="00C628F2" w:rsidP="00721806">
            <w:pPr>
              <w:pStyle w:val="Tabletext"/>
              <w:jc w:val="center"/>
              <w:rPr>
                <w:i/>
              </w:rPr>
            </w:pPr>
            <w:r w:rsidRPr="005914ED">
              <w:rPr>
                <w:i/>
              </w:rPr>
              <w:t>-</w:t>
            </w:r>
          </w:p>
        </w:tc>
        <w:tc>
          <w:tcPr>
            <w:tcW w:w="602" w:type="pct"/>
            <w:tcMar>
              <w:left w:w="57" w:type="dxa"/>
              <w:right w:w="57" w:type="dxa"/>
            </w:tcMar>
            <w:vAlign w:val="center"/>
          </w:tcPr>
          <w:p w:rsidR="00C628F2" w:rsidRPr="005914ED" w:rsidRDefault="00C628F2" w:rsidP="00721806">
            <w:pPr>
              <w:pStyle w:val="Tabletext"/>
              <w:jc w:val="center"/>
              <w:rPr>
                <w:i/>
              </w:rPr>
            </w:pPr>
            <w:r w:rsidRPr="005914ED">
              <w:rPr>
                <w:i/>
              </w:rPr>
              <w:t>$47.17</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pPr>
            <w:r w:rsidRPr="00DA2B6E">
              <w:t>Anaesthetist service</w:t>
            </w:r>
            <w:r>
              <w:t xml:space="preserve"> </w:t>
            </w:r>
            <w:r w:rsidRPr="00DA2B6E">
              <w:t xml:space="preserve">MBS </w:t>
            </w:r>
            <w:r>
              <w:t>#</w:t>
            </w:r>
            <w:r w:rsidRPr="00DA2B6E">
              <w:t xml:space="preserve"> 21941</w:t>
            </w:r>
          </w:p>
        </w:tc>
        <w:tc>
          <w:tcPr>
            <w:tcW w:w="1028" w:type="pct"/>
            <w:vAlign w:val="center"/>
          </w:tcPr>
          <w:p w:rsidR="00C628F2" w:rsidRPr="00DA2B6E" w:rsidRDefault="00C628F2" w:rsidP="00721806">
            <w:pPr>
              <w:pStyle w:val="Tabletext"/>
              <w:jc w:val="center"/>
            </w:pPr>
            <w:r w:rsidRPr="00DA2B6E">
              <w:t>$138.60</w:t>
            </w:r>
          </w:p>
        </w:tc>
        <w:tc>
          <w:tcPr>
            <w:tcW w:w="900" w:type="pct"/>
            <w:tcMar>
              <w:left w:w="57" w:type="dxa"/>
              <w:right w:w="57" w:type="dxa"/>
            </w:tcMar>
            <w:vAlign w:val="center"/>
          </w:tcPr>
          <w:p w:rsidR="00C628F2" w:rsidRPr="00DA2B6E" w:rsidRDefault="00C628F2" w:rsidP="00721806">
            <w:pPr>
              <w:pStyle w:val="Tabletext"/>
              <w:jc w:val="center"/>
            </w:pPr>
            <w:r w:rsidRPr="00DA2B6E">
              <w:t>$138.60</w:t>
            </w:r>
          </w:p>
        </w:tc>
        <w:tc>
          <w:tcPr>
            <w:tcW w:w="602" w:type="pct"/>
            <w:tcMar>
              <w:left w:w="57" w:type="dxa"/>
              <w:right w:w="57" w:type="dxa"/>
            </w:tcMar>
            <w:vAlign w:val="center"/>
          </w:tcPr>
          <w:p w:rsidR="00C628F2" w:rsidRPr="00DA2B6E" w:rsidRDefault="00C628F2" w:rsidP="00721806">
            <w:pPr>
              <w:pStyle w:val="Tabletext"/>
              <w:jc w:val="center"/>
            </w:pPr>
            <w:r w:rsidRPr="00DA2B6E">
              <w:t>$0.00</w:t>
            </w:r>
          </w:p>
        </w:tc>
      </w:tr>
      <w:tr w:rsidR="00C628F2" w:rsidRPr="005914ED" w:rsidTr="00721806">
        <w:trPr>
          <w:cantSplit/>
        </w:trPr>
        <w:tc>
          <w:tcPr>
            <w:tcW w:w="2470" w:type="pct"/>
            <w:tcMar>
              <w:left w:w="57" w:type="dxa"/>
              <w:right w:w="57" w:type="dxa"/>
            </w:tcMar>
          </w:tcPr>
          <w:p w:rsidR="00C628F2" w:rsidRPr="005914ED" w:rsidRDefault="00C628F2" w:rsidP="00721806">
            <w:pPr>
              <w:pStyle w:val="Tabletext"/>
              <w:rPr>
                <w:i/>
              </w:rPr>
            </w:pPr>
            <w:r w:rsidRPr="005914ED">
              <w:rPr>
                <w:i/>
              </w:rPr>
              <w:t>Anaesthetist service time units</w:t>
            </w:r>
          </w:p>
        </w:tc>
        <w:tc>
          <w:tcPr>
            <w:tcW w:w="1028" w:type="pct"/>
            <w:vAlign w:val="center"/>
          </w:tcPr>
          <w:p w:rsidR="00C628F2" w:rsidRPr="005914ED" w:rsidRDefault="00C628F2" w:rsidP="00721806">
            <w:pPr>
              <w:pStyle w:val="Tabletext"/>
              <w:jc w:val="center"/>
              <w:rPr>
                <w:i/>
              </w:rPr>
            </w:pPr>
            <w:r w:rsidRPr="005914ED">
              <w:rPr>
                <w:i/>
              </w:rPr>
              <w:t>$39.60 (1/2 hour)</w:t>
            </w:r>
          </w:p>
          <w:p w:rsidR="00C628F2" w:rsidRPr="005914ED" w:rsidRDefault="00C628F2" w:rsidP="00721806">
            <w:pPr>
              <w:pStyle w:val="Tabletext"/>
              <w:jc w:val="center"/>
              <w:rPr>
                <w:i/>
              </w:rPr>
            </w:pPr>
            <w:r w:rsidRPr="005914ED">
              <w:rPr>
                <w:i/>
              </w:rPr>
              <w:t>(MBS # 23022,23031)</w:t>
            </w:r>
          </w:p>
        </w:tc>
        <w:tc>
          <w:tcPr>
            <w:tcW w:w="900" w:type="pct"/>
            <w:tcMar>
              <w:left w:w="57" w:type="dxa"/>
              <w:right w:w="57" w:type="dxa"/>
            </w:tcMar>
            <w:vAlign w:val="center"/>
          </w:tcPr>
          <w:p w:rsidR="00C628F2" w:rsidRPr="005914ED" w:rsidRDefault="00C628F2" w:rsidP="00721806">
            <w:pPr>
              <w:pStyle w:val="Tabletext"/>
              <w:jc w:val="center"/>
              <w:rPr>
                <w:i/>
              </w:rPr>
            </w:pPr>
            <w:r w:rsidRPr="005914ED">
              <w:rPr>
                <w:i/>
              </w:rPr>
              <w:t>$79.20 (1 hour)</w:t>
            </w:r>
          </w:p>
          <w:p w:rsidR="00C628F2" w:rsidRPr="005914ED" w:rsidRDefault="00C628F2" w:rsidP="00721806">
            <w:pPr>
              <w:pStyle w:val="Tabletext"/>
              <w:jc w:val="center"/>
              <w:rPr>
                <w:i/>
              </w:rPr>
            </w:pPr>
            <w:r w:rsidRPr="005914ED">
              <w:rPr>
                <w:i/>
              </w:rPr>
              <w:t>(MBS # 23043)</w:t>
            </w:r>
          </w:p>
        </w:tc>
        <w:tc>
          <w:tcPr>
            <w:tcW w:w="602" w:type="pct"/>
            <w:tcMar>
              <w:left w:w="57" w:type="dxa"/>
              <w:right w:w="57" w:type="dxa"/>
            </w:tcMar>
            <w:vAlign w:val="center"/>
          </w:tcPr>
          <w:p w:rsidR="00C628F2" w:rsidRPr="005914ED" w:rsidRDefault="00C628F2" w:rsidP="00721806">
            <w:pPr>
              <w:pStyle w:val="Tabletext"/>
              <w:jc w:val="center"/>
              <w:rPr>
                <w:i/>
              </w:rPr>
            </w:pPr>
            <w:r w:rsidRPr="005914ED">
              <w:rPr>
                <w:i/>
              </w:rPr>
              <w:t>-$39.60</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pPr>
            <w:r w:rsidRPr="00DA2B6E">
              <w:t xml:space="preserve">Follow-up testing MBS </w:t>
            </w:r>
            <w:r>
              <w:t>#</w:t>
            </w:r>
            <w:r w:rsidRPr="00DA2B6E">
              <w:t xml:space="preserve"> 38213(</w:t>
            </w:r>
            <w:r>
              <w:t>$408.70 * 50% MSR</w:t>
            </w:r>
            <w:r w:rsidRPr="00DA2B6E">
              <w:t>)</w:t>
            </w:r>
          </w:p>
        </w:tc>
        <w:tc>
          <w:tcPr>
            <w:tcW w:w="1028" w:type="pct"/>
            <w:vAlign w:val="center"/>
          </w:tcPr>
          <w:p w:rsidR="00C628F2" w:rsidRPr="00DA2B6E" w:rsidRDefault="00C628F2" w:rsidP="00721806">
            <w:pPr>
              <w:pStyle w:val="Tabletext"/>
              <w:jc w:val="center"/>
            </w:pPr>
            <w:r w:rsidRPr="00DA2B6E">
              <w:t>$</w:t>
            </w:r>
            <w:r>
              <w:t>20</w:t>
            </w:r>
            <w:r w:rsidRPr="00DA2B6E">
              <w:t>4.</w:t>
            </w:r>
            <w:r>
              <w:t>35</w:t>
            </w:r>
          </w:p>
        </w:tc>
        <w:tc>
          <w:tcPr>
            <w:tcW w:w="900" w:type="pct"/>
            <w:tcMar>
              <w:left w:w="57" w:type="dxa"/>
              <w:right w:w="57" w:type="dxa"/>
            </w:tcMar>
            <w:vAlign w:val="center"/>
          </w:tcPr>
          <w:p w:rsidR="00C628F2" w:rsidRPr="00DA2B6E" w:rsidRDefault="00C628F2" w:rsidP="00721806">
            <w:pPr>
              <w:pStyle w:val="Tabletext"/>
              <w:jc w:val="center"/>
            </w:pPr>
            <w:r w:rsidRPr="00DA2B6E">
              <w:t>$</w:t>
            </w:r>
            <w:r>
              <w:t>20</w:t>
            </w:r>
            <w:r w:rsidRPr="00DA2B6E">
              <w:t>4.</w:t>
            </w:r>
            <w:r>
              <w:t>35</w:t>
            </w:r>
          </w:p>
        </w:tc>
        <w:tc>
          <w:tcPr>
            <w:tcW w:w="602" w:type="pct"/>
            <w:tcMar>
              <w:left w:w="57" w:type="dxa"/>
              <w:right w:w="57" w:type="dxa"/>
            </w:tcMar>
            <w:vAlign w:val="center"/>
          </w:tcPr>
          <w:p w:rsidR="00C628F2" w:rsidRPr="00DA2B6E" w:rsidRDefault="00C628F2" w:rsidP="00721806">
            <w:pPr>
              <w:pStyle w:val="Tabletext"/>
              <w:jc w:val="center"/>
            </w:pPr>
            <w:r w:rsidRPr="00DA2B6E">
              <w:t>$0.00</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pPr>
            <w:r w:rsidRPr="00DA2B6E">
              <w:t xml:space="preserve">Fluoroscopy MBS </w:t>
            </w:r>
            <w:r>
              <w:t>#</w:t>
            </w:r>
            <w:r w:rsidRPr="00DA2B6E">
              <w:t xml:space="preserve"> 61109</w:t>
            </w:r>
          </w:p>
        </w:tc>
        <w:tc>
          <w:tcPr>
            <w:tcW w:w="1028" w:type="pct"/>
            <w:vAlign w:val="center"/>
          </w:tcPr>
          <w:p w:rsidR="00C628F2" w:rsidRPr="00DA2B6E" w:rsidRDefault="00C628F2" w:rsidP="00721806">
            <w:pPr>
              <w:pStyle w:val="Tabletext"/>
              <w:jc w:val="center"/>
            </w:pPr>
            <w:r w:rsidRPr="00DA2B6E">
              <w:t>-</w:t>
            </w:r>
          </w:p>
        </w:tc>
        <w:tc>
          <w:tcPr>
            <w:tcW w:w="900" w:type="pct"/>
            <w:tcMar>
              <w:left w:w="57" w:type="dxa"/>
              <w:right w:w="57" w:type="dxa"/>
            </w:tcMar>
            <w:vAlign w:val="center"/>
          </w:tcPr>
          <w:p w:rsidR="00C628F2" w:rsidRPr="006D3470" w:rsidRDefault="00C628F2" w:rsidP="00721806">
            <w:pPr>
              <w:pStyle w:val="Tabletext"/>
              <w:jc w:val="center"/>
              <w:rPr>
                <w:vertAlign w:val="superscript"/>
              </w:rPr>
            </w:pPr>
            <w:r w:rsidRPr="00DA2B6E">
              <w:t>$258.90</w:t>
            </w:r>
            <w:r>
              <w:rPr>
                <w:vertAlign w:val="superscript"/>
              </w:rPr>
              <w:t>c</w:t>
            </w:r>
          </w:p>
        </w:tc>
        <w:tc>
          <w:tcPr>
            <w:tcW w:w="602" w:type="pct"/>
            <w:tcMar>
              <w:left w:w="57" w:type="dxa"/>
              <w:right w:w="57" w:type="dxa"/>
            </w:tcMar>
            <w:vAlign w:val="center"/>
          </w:tcPr>
          <w:p w:rsidR="00C628F2" w:rsidRPr="00DA2B6E" w:rsidRDefault="00C628F2" w:rsidP="00721806">
            <w:pPr>
              <w:pStyle w:val="Tabletext"/>
              <w:jc w:val="center"/>
            </w:pPr>
            <w:r w:rsidRPr="00DA2B6E">
              <w:t>-$258.90</w:t>
            </w:r>
          </w:p>
        </w:tc>
      </w:tr>
      <w:tr w:rsidR="00C628F2" w:rsidRPr="00B36D4B" w:rsidTr="00721806">
        <w:trPr>
          <w:cantSplit/>
        </w:trPr>
        <w:tc>
          <w:tcPr>
            <w:tcW w:w="2470" w:type="pct"/>
            <w:tcMar>
              <w:left w:w="57" w:type="dxa"/>
              <w:right w:w="57" w:type="dxa"/>
            </w:tcMar>
            <w:vAlign w:val="bottom"/>
          </w:tcPr>
          <w:p w:rsidR="00C628F2" w:rsidRPr="00B36D4B" w:rsidRDefault="00C628F2" w:rsidP="00721806">
            <w:pPr>
              <w:pStyle w:val="Tabletext"/>
              <w:rPr>
                <w:b/>
                <w:i/>
              </w:rPr>
            </w:pPr>
            <w:r>
              <w:rPr>
                <w:b/>
                <w:i/>
              </w:rPr>
              <w:t>Non-</w:t>
            </w:r>
            <w:r w:rsidRPr="00B36D4B">
              <w:rPr>
                <w:b/>
                <w:i/>
              </w:rPr>
              <w:t>MBS-related costs</w:t>
            </w:r>
          </w:p>
        </w:tc>
        <w:tc>
          <w:tcPr>
            <w:tcW w:w="1028" w:type="pct"/>
            <w:vAlign w:val="center"/>
          </w:tcPr>
          <w:p w:rsidR="00C628F2" w:rsidRPr="00837100" w:rsidRDefault="00C628F2" w:rsidP="00721806">
            <w:pPr>
              <w:pStyle w:val="Tabletext"/>
              <w:jc w:val="center"/>
            </w:pPr>
            <w:r>
              <w:t>-</w:t>
            </w:r>
          </w:p>
        </w:tc>
        <w:tc>
          <w:tcPr>
            <w:tcW w:w="900" w:type="pct"/>
            <w:vAlign w:val="center"/>
          </w:tcPr>
          <w:p w:rsidR="00C628F2" w:rsidRPr="00837100" w:rsidRDefault="00C628F2" w:rsidP="00721806">
            <w:pPr>
              <w:pStyle w:val="Tabletext"/>
              <w:jc w:val="center"/>
            </w:pPr>
            <w:r w:rsidRPr="00837100">
              <w:t>-</w:t>
            </w:r>
          </w:p>
        </w:tc>
        <w:tc>
          <w:tcPr>
            <w:tcW w:w="602" w:type="pct"/>
            <w:vAlign w:val="center"/>
          </w:tcPr>
          <w:p w:rsidR="00C628F2" w:rsidRPr="00837100" w:rsidRDefault="00C628F2" w:rsidP="00721806">
            <w:pPr>
              <w:pStyle w:val="Tabletext"/>
              <w:jc w:val="center"/>
            </w:pPr>
            <w:r w:rsidRPr="00837100">
              <w:t>-</w:t>
            </w:r>
          </w:p>
        </w:tc>
      </w:tr>
      <w:tr w:rsidR="00C628F2" w:rsidRPr="00DA2B6E" w:rsidTr="00721806">
        <w:trPr>
          <w:cantSplit/>
        </w:trPr>
        <w:tc>
          <w:tcPr>
            <w:tcW w:w="2470" w:type="pct"/>
            <w:tcMar>
              <w:left w:w="57" w:type="dxa"/>
              <w:right w:w="57" w:type="dxa"/>
            </w:tcMar>
          </w:tcPr>
          <w:p w:rsidR="00C628F2" w:rsidRPr="00D93103" w:rsidRDefault="00C628F2" w:rsidP="00721806">
            <w:pPr>
              <w:pStyle w:val="Tabletext"/>
              <w:rPr>
                <w:vertAlign w:val="superscript"/>
              </w:rPr>
            </w:pPr>
            <w:r w:rsidRPr="00DA2B6E">
              <w:t xml:space="preserve">Prostheses list fee for ICD </w:t>
            </w:r>
            <w:proofErr w:type="spellStart"/>
            <w:r w:rsidRPr="00DA2B6E">
              <w:t>leads</w:t>
            </w:r>
            <w:r>
              <w:rPr>
                <w:vertAlign w:val="superscript"/>
              </w:rPr>
              <w:t>d</w:t>
            </w:r>
            <w:proofErr w:type="spellEnd"/>
          </w:p>
        </w:tc>
        <w:tc>
          <w:tcPr>
            <w:tcW w:w="1028" w:type="pct"/>
            <w:vAlign w:val="center"/>
          </w:tcPr>
          <w:p w:rsidR="00C628F2" w:rsidRPr="00DA2B6E" w:rsidRDefault="00C628F2" w:rsidP="00721806">
            <w:pPr>
              <w:pStyle w:val="Tabletext"/>
              <w:jc w:val="center"/>
            </w:pPr>
            <w:r w:rsidRPr="00DA2B6E">
              <w:t>$4,680.00</w:t>
            </w:r>
          </w:p>
        </w:tc>
        <w:tc>
          <w:tcPr>
            <w:tcW w:w="900" w:type="pct"/>
            <w:tcMar>
              <w:left w:w="57" w:type="dxa"/>
              <w:right w:w="57" w:type="dxa"/>
            </w:tcMar>
            <w:vAlign w:val="center"/>
          </w:tcPr>
          <w:p w:rsidR="00C628F2" w:rsidRPr="001B2F67" w:rsidRDefault="00C628F2" w:rsidP="00721806">
            <w:pPr>
              <w:pStyle w:val="Tabletext"/>
              <w:jc w:val="center"/>
              <w:rPr>
                <w:vertAlign w:val="superscript"/>
              </w:rPr>
            </w:pPr>
            <w:r w:rsidRPr="00DA2B6E">
              <w:t>$9,000.00</w:t>
            </w:r>
            <w:r>
              <w:rPr>
                <w:vertAlign w:val="superscript"/>
              </w:rPr>
              <w:t>e</w:t>
            </w:r>
          </w:p>
        </w:tc>
        <w:tc>
          <w:tcPr>
            <w:tcW w:w="602" w:type="pct"/>
            <w:tcMar>
              <w:left w:w="57" w:type="dxa"/>
              <w:right w:w="57" w:type="dxa"/>
            </w:tcMar>
            <w:vAlign w:val="center"/>
          </w:tcPr>
          <w:p w:rsidR="00C628F2" w:rsidRPr="00DA2B6E" w:rsidRDefault="00C628F2" w:rsidP="00721806">
            <w:pPr>
              <w:pStyle w:val="Tabletext"/>
              <w:jc w:val="center"/>
            </w:pPr>
            <w:r w:rsidRPr="00DA2B6E">
              <w:t>-$4,</w:t>
            </w:r>
            <w:r>
              <w:t>32</w:t>
            </w:r>
            <w:r w:rsidRPr="00DA2B6E">
              <w:t>0.00</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pPr>
            <w:r w:rsidRPr="00DA2B6E">
              <w:t xml:space="preserve">Prostheses list fee for ICD </w:t>
            </w:r>
            <w:proofErr w:type="spellStart"/>
            <w:r w:rsidRPr="00DA2B6E">
              <w:t>generator</w:t>
            </w:r>
            <w:r w:rsidRPr="00674493">
              <w:rPr>
                <w:vertAlign w:val="superscript"/>
              </w:rPr>
              <w:t>d</w:t>
            </w:r>
            <w:proofErr w:type="spellEnd"/>
          </w:p>
        </w:tc>
        <w:tc>
          <w:tcPr>
            <w:tcW w:w="1028" w:type="pct"/>
            <w:vAlign w:val="center"/>
          </w:tcPr>
          <w:p w:rsidR="00C628F2" w:rsidRPr="00DA2B6E" w:rsidRDefault="00C628F2" w:rsidP="00721806">
            <w:pPr>
              <w:pStyle w:val="Tabletext"/>
              <w:jc w:val="center"/>
            </w:pPr>
            <w:r w:rsidRPr="00DA2B6E">
              <w:t>$42,640.00</w:t>
            </w:r>
          </w:p>
        </w:tc>
        <w:tc>
          <w:tcPr>
            <w:tcW w:w="900" w:type="pct"/>
            <w:tcMar>
              <w:left w:w="57" w:type="dxa"/>
              <w:right w:w="57" w:type="dxa"/>
            </w:tcMar>
            <w:vAlign w:val="center"/>
          </w:tcPr>
          <w:p w:rsidR="00C628F2" w:rsidRPr="00DA2B6E" w:rsidRDefault="00C628F2" w:rsidP="00721806">
            <w:pPr>
              <w:pStyle w:val="Tabletext"/>
              <w:jc w:val="center"/>
            </w:pPr>
            <w:r w:rsidRPr="00DA2B6E">
              <w:t>$42,640.00</w:t>
            </w:r>
          </w:p>
        </w:tc>
        <w:tc>
          <w:tcPr>
            <w:tcW w:w="602" w:type="pct"/>
            <w:tcMar>
              <w:left w:w="57" w:type="dxa"/>
              <w:right w:w="57" w:type="dxa"/>
            </w:tcMar>
            <w:vAlign w:val="center"/>
          </w:tcPr>
          <w:p w:rsidR="00C628F2" w:rsidRPr="00DA2B6E" w:rsidRDefault="00C628F2" w:rsidP="00721806">
            <w:pPr>
              <w:pStyle w:val="Tabletext"/>
              <w:jc w:val="center"/>
            </w:pPr>
            <w:r w:rsidRPr="00DA2B6E">
              <w:t>$0.00</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rPr>
                <w:vertAlign w:val="superscript"/>
              </w:rPr>
            </w:pPr>
            <w:r>
              <w:t xml:space="preserve">Hospitalisation </w:t>
            </w:r>
            <w:proofErr w:type="spellStart"/>
            <w:r>
              <w:t>costs</w:t>
            </w:r>
            <w:r>
              <w:rPr>
                <w:vertAlign w:val="superscript"/>
              </w:rPr>
              <w:t>f</w:t>
            </w:r>
            <w:proofErr w:type="spellEnd"/>
          </w:p>
        </w:tc>
        <w:tc>
          <w:tcPr>
            <w:tcW w:w="1028" w:type="pct"/>
            <w:vAlign w:val="center"/>
          </w:tcPr>
          <w:p w:rsidR="00C628F2" w:rsidRPr="00DA2B6E" w:rsidRDefault="00C628F2" w:rsidP="00721806">
            <w:pPr>
              <w:pStyle w:val="Tabletext"/>
              <w:jc w:val="center"/>
            </w:pPr>
            <w:r w:rsidRPr="00DA2B6E">
              <w:t>$15,850.66</w:t>
            </w:r>
          </w:p>
        </w:tc>
        <w:tc>
          <w:tcPr>
            <w:tcW w:w="900" w:type="pct"/>
            <w:tcMar>
              <w:left w:w="57" w:type="dxa"/>
              <w:right w:w="57" w:type="dxa"/>
            </w:tcMar>
            <w:vAlign w:val="center"/>
          </w:tcPr>
          <w:p w:rsidR="00C628F2" w:rsidRPr="00DA2B6E" w:rsidRDefault="00C628F2" w:rsidP="00721806">
            <w:pPr>
              <w:pStyle w:val="Tabletext"/>
              <w:jc w:val="center"/>
            </w:pPr>
            <w:r w:rsidRPr="00DA2B6E">
              <w:t>$15,850.66</w:t>
            </w:r>
          </w:p>
        </w:tc>
        <w:tc>
          <w:tcPr>
            <w:tcW w:w="602" w:type="pct"/>
            <w:tcMar>
              <w:left w:w="57" w:type="dxa"/>
              <w:right w:w="57" w:type="dxa"/>
            </w:tcMar>
            <w:vAlign w:val="center"/>
          </w:tcPr>
          <w:p w:rsidR="00C628F2" w:rsidRPr="00DA2B6E" w:rsidRDefault="00C628F2" w:rsidP="00721806">
            <w:pPr>
              <w:pStyle w:val="Tabletext"/>
              <w:jc w:val="center"/>
            </w:pPr>
            <w:r w:rsidRPr="00DA2B6E">
              <w:t>$0.00</w:t>
            </w:r>
          </w:p>
        </w:tc>
      </w:tr>
      <w:tr w:rsidR="00C628F2" w:rsidRPr="006B7EC7" w:rsidTr="00721806">
        <w:trPr>
          <w:cantSplit/>
        </w:trPr>
        <w:tc>
          <w:tcPr>
            <w:tcW w:w="2470" w:type="pct"/>
            <w:tcMar>
              <w:left w:w="57" w:type="dxa"/>
              <w:right w:w="57" w:type="dxa"/>
            </w:tcMar>
          </w:tcPr>
          <w:p w:rsidR="00C628F2" w:rsidRPr="006B7EC7" w:rsidRDefault="00C628F2" w:rsidP="00721806">
            <w:pPr>
              <w:pStyle w:val="Tabletext"/>
              <w:rPr>
                <w:b/>
              </w:rPr>
            </w:pPr>
            <w:r w:rsidRPr="006B7EC7">
              <w:rPr>
                <w:b/>
              </w:rPr>
              <w:t>Total health care costs per procedure</w:t>
            </w:r>
          </w:p>
        </w:tc>
        <w:tc>
          <w:tcPr>
            <w:tcW w:w="1028" w:type="pct"/>
            <w:vAlign w:val="center"/>
          </w:tcPr>
          <w:p w:rsidR="00C628F2" w:rsidRPr="006B7EC7" w:rsidRDefault="00C628F2" w:rsidP="00721806">
            <w:pPr>
              <w:pStyle w:val="Tabletext"/>
              <w:jc w:val="center"/>
              <w:rPr>
                <w:b/>
              </w:rPr>
            </w:pPr>
            <w:r w:rsidRPr="006B7EC7">
              <w:rPr>
                <w:b/>
              </w:rPr>
              <w:t>$64,</w:t>
            </w:r>
            <w:r>
              <w:rPr>
                <w:b/>
              </w:rPr>
              <w:t>619.73</w:t>
            </w:r>
          </w:p>
        </w:tc>
        <w:tc>
          <w:tcPr>
            <w:tcW w:w="900" w:type="pct"/>
            <w:tcMar>
              <w:left w:w="57" w:type="dxa"/>
              <w:right w:w="57" w:type="dxa"/>
            </w:tcMar>
            <w:vAlign w:val="center"/>
          </w:tcPr>
          <w:p w:rsidR="00C628F2" w:rsidRPr="006B7EC7" w:rsidRDefault="00C628F2" w:rsidP="00721806">
            <w:pPr>
              <w:pStyle w:val="Tabletext"/>
              <w:jc w:val="center"/>
              <w:rPr>
                <w:b/>
              </w:rPr>
            </w:pPr>
            <w:r w:rsidRPr="006B7EC7">
              <w:rPr>
                <w:b/>
              </w:rPr>
              <w:t>$69,</w:t>
            </w:r>
            <w:r>
              <w:rPr>
                <w:b/>
              </w:rPr>
              <w:t>296.32</w:t>
            </w:r>
          </w:p>
        </w:tc>
        <w:tc>
          <w:tcPr>
            <w:tcW w:w="602" w:type="pct"/>
            <w:tcMar>
              <w:left w:w="57" w:type="dxa"/>
              <w:right w:w="57" w:type="dxa"/>
            </w:tcMar>
            <w:vAlign w:val="center"/>
          </w:tcPr>
          <w:p w:rsidR="00C628F2" w:rsidRPr="005B20BE" w:rsidRDefault="00C628F2" w:rsidP="00721806">
            <w:pPr>
              <w:pStyle w:val="Tabletext"/>
              <w:jc w:val="center"/>
              <w:rPr>
                <w:b/>
                <w:vertAlign w:val="superscript"/>
              </w:rPr>
            </w:pPr>
            <w:r>
              <w:rPr>
                <w:b/>
              </w:rPr>
              <w:t>-$4,676.59</w:t>
            </w:r>
          </w:p>
        </w:tc>
      </w:tr>
      <w:tr w:rsidR="00C628F2" w:rsidRPr="00DA2B6E" w:rsidTr="00721806">
        <w:trPr>
          <w:cantSplit/>
        </w:trPr>
        <w:tc>
          <w:tcPr>
            <w:tcW w:w="2470" w:type="pct"/>
            <w:tcMar>
              <w:left w:w="57" w:type="dxa"/>
              <w:right w:w="57" w:type="dxa"/>
            </w:tcMar>
          </w:tcPr>
          <w:p w:rsidR="00C628F2" w:rsidRPr="00DA2B6E" w:rsidRDefault="00C628F2" w:rsidP="00721806">
            <w:pPr>
              <w:pStyle w:val="Tabletext"/>
            </w:pPr>
            <w:r>
              <w:t>Total additional cost of switching from S-ICD to a TV-ICD if pacing required</w:t>
            </w:r>
          </w:p>
        </w:tc>
        <w:tc>
          <w:tcPr>
            <w:tcW w:w="1028" w:type="pct"/>
            <w:vAlign w:val="center"/>
          </w:tcPr>
          <w:p w:rsidR="00C628F2" w:rsidRPr="00DA2B6E" w:rsidRDefault="00C628F2" w:rsidP="00721806">
            <w:pPr>
              <w:pStyle w:val="Tabletext"/>
              <w:jc w:val="center"/>
            </w:pPr>
            <w:r>
              <w:t>-</w:t>
            </w:r>
          </w:p>
        </w:tc>
        <w:tc>
          <w:tcPr>
            <w:tcW w:w="900" w:type="pct"/>
            <w:tcMar>
              <w:left w:w="57" w:type="dxa"/>
              <w:right w:w="57" w:type="dxa"/>
            </w:tcMar>
            <w:vAlign w:val="center"/>
          </w:tcPr>
          <w:p w:rsidR="00C628F2" w:rsidRPr="00425B0B" w:rsidRDefault="00C628F2" w:rsidP="00721806">
            <w:pPr>
              <w:pStyle w:val="Tabletext"/>
              <w:jc w:val="center"/>
            </w:pPr>
            <w:r>
              <w:t>-</w:t>
            </w:r>
          </w:p>
        </w:tc>
        <w:tc>
          <w:tcPr>
            <w:tcW w:w="602" w:type="pct"/>
            <w:tcMar>
              <w:left w:w="57" w:type="dxa"/>
              <w:right w:w="57" w:type="dxa"/>
            </w:tcMar>
            <w:vAlign w:val="center"/>
          </w:tcPr>
          <w:p w:rsidR="00C628F2" w:rsidRPr="00B23A81" w:rsidRDefault="00C628F2" w:rsidP="00721806">
            <w:pPr>
              <w:pStyle w:val="Tabletext"/>
              <w:jc w:val="center"/>
              <w:rPr>
                <w:vertAlign w:val="superscript"/>
              </w:rPr>
            </w:pPr>
            <w:r>
              <w:t>$1,604.81</w:t>
            </w:r>
            <w:r>
              <w:rPr>
                <w:vertAlign w:val="superscript"/>
              </w:rPr>
              <w:t>g</w:t>
            </w:r>
          </w:p>
        </w:tc>
      </w:tr>
      <w:tr w:rsidR="00C628F2" w:rsidRPr="0062172C" w:rsidTr="00721806">
        <w:trPr>
          <w:cantSplit/>
        </w:trPr>
        <w:tc>
          <w:tcPr>
            <w:tcW w:w="2470" w:type="pct"/>
            <w:tcMar>
              <w:left w:w="57" w:type="dxa"/>
              <w:right w:w="57" w:type="dxa"/>
            </w:tcMar>
          </w:tcPr>
          <w:p w:rsidR="00C628F2" w:rsidRPr="001E214E" w:rsidRDefault="00C628F2" w:rsidP="00721806">
            <w:pPr>
              <w:pStyle w:val="Tabletext"/>
              <w:rPr>
                <w:b/>
              </w:rPr>
            </w:pPr>
            <w:r w:rsidRPr="001E214E">
              <w:rPr>
                <w:b/>
              </w:rPr>
              <w:t>Net cost with pacing requirements</w:t>
            </w:r>
          </w:p>
        </w:tc>
        <w:tc>
          <w:tcPr>
            <w:tcW w:w="1028" w:type="pct"/>
            <w:vAlign w:val="center"/>
          </w:tcPr>
          <w:p w:rsidR="00C628F2" w:rsidRPr="001E214E" w:rsidRDefault="00C628F2" w:rsidP="00721806">
            <w:pPr>
              <w:pStyle w:val="Tabletext"/>
              <w:jc w:val="center"/>
              <w:rPr>
                <w:b/>
              </w:rPr>
            </w:pPr>
            <w:r w:rsidRPr="001E214E">
              <w:rPr>
                <w:b/>
              </w:rPr>
              <w:t>-</w:t>
            </w:r>
          </w:p>
        </w:tc>
        <w:tc>
          <w:tcPr>
            <w:tcW w:w="900" w:type="pct"/>
            <w:tcMar>
              <w:left w:w="57" w:type="dxa"/>
              <w:right w:w="57" w:type="dxa"/>
            </w:tcMar>
            <w:vAlign w:val="center"/>
          </w:tcPr>
          <w:p w:rsidR="00C628F2" w:rsidRPr="001E214E" w:rsidRDefault="00C628F2" w:rsidP="00721806">
            <w:pPr>
              <w:pStyle w:val="Tabletext"/>
              <w:jc w:val="center"/>
              <w:rPr>
                <w:b/>
              </w:rPr>
            </w:pPr>
            <w:r w:rsidRPr="001E214E">
              <w:rPr>
                <w:b/>
              </w:rPr>
              <w:t>-</w:t>
            </w:r>
          </w:p>
        </w:tc>
        <w:tc>
          <w:tcPr>
            <w:tcW w:w="602" w:type="pct"/>
            <w:tcMar>
              <w:left w:w="57" w:type="dxa"/>
              <w:right w:w="57" w:type="dxa"/>
            </w:tcMar>
            <w:vAlign w:val="center"/>
          </w:tcPr>
          <w:p w:rsidR="00C628F2" w:rsidRPr="001E214E" w:rsidRDefault="00C628F2" w:rsidP="00721806">
            <w:pPr>
              <w:pStyle w:val="Tabletext"/>
              <w:jc w:val="center"/>
              <w:rPr>
                <w:b/>
                <w:vertAlign w:val="superscript"/>
              </w:rPr>
            </w:pPr>
            <w:r>
              <w:rPr>
                <w:b/>
              </w:rPr>
              <w:t>-$3071.78</w:t>
            </w:r>
            <w:r>
              <w:rPr>
                <w:b/>
                <w:vertAlign w:val="superscript"/>
              </w:rPr>
              <w:t>h</w:t>
            </w:r>
          </w:p>
        </w:tc>
      </w:tr>
    </w:tbl>
    <w:p w:rsidR="00C628F2" w:rsidRPr="00E75F1F" w:rsidRDefault="00C628F2" w:rsidP="00721806">
      <w:pPr>
        <w:rPr>
          <w:rFonts w:ascii="Arial Narrow" w:hAnsi="Arial Narrow"/>
          <w:sz w:val="20"/>
        </w:rPr>
      </w:pPr>
      <w:r w:rsidRPr="00E75F1F">
        <w:rPr>
          <w:rFonts w:ascii="Arial Narrow" w:hAnsi="Arial Narrow"/>
          <w:sz w:val="20"/>
        </w:rPr>
        <w:t xml:space="preserve">Source: Table </w:t>
      </w:r>
      <w:r>
        <w:rPr>
          <w:rFonts w:ascii="Arial Narrow" w:hAnsi="Arial Narrow"/>
          <w:sz w:val="20"/>
        </w:rPr>
        <w:t xml:space="preserve">42, p79 of the application. </w:t>
      </w:r>
      <w:r w:rsidRPr="00431773">
        <w:rPr>
          <w:rFonts w:ascii="Arial Narrow" w:hAnsi="Arial Narrow"/>
          <w:i/>
          <w:sz w:val="20"/>
        </w:rPr>
        <w:t>Corrections/additions made during evaluation.</w:t>
      </w:r>
    </w:p>
    <w:p w:rsidR="00C628F2" w:rsidRPr="000A28E1" w:rsidRDefault="00C628F2" w:rsidP="00721806">
      <w:pPr>
        <w:rPr>
          <w:rFonts w:ascii="Arial Narrow" w:hAnsi="Arial Narrow"/>
          <w:sz w:val="20"/>
        </w:rPr>
      </w:pPr>
      <w:r>
        <w:rPr>
          <w:rFonts w:ascii="Arial Narrow" w:hAnsi="Arial Narrow"/>
          <w:sz w:val="20"/>
          <w:lang w:val="en-GB"/>
        </w:rPr>
        <w:t xml:space="preserve">ICD = </w:t>
      </w:r>
      <w:r w:rsidRPr="00E75F1F">
        <w:rPr>
          <w:rFonts w:ascii="Arial Narrow" w:hAnsi="Arial Narrow"/>
          <w:sz w:val="20"/>
          <w:lang w:val="en-GB"/>
        </w:rPr>
        <w:t>implantable c</w:t>
      </w:r>
      <w:r>
        <w:rPr>
          <w:rFonts w:ascii="Arial Narrow" w:hAnsi="Arial Narrow"/>
          <w:sz w:val="20"/>
          <w:lang w:val="en-GB"/>
        </w:rPr>
        <w:t>ardioverter-defibrillator</w:t>
      </w:r>
      <w:r w:rsidRPr="00E75F1F">
        <w:rPr>
          <w:rFonts w:ascii="Arial Narrow" w:hAnsi="Arial Narrow"/>
          <w:sz w:val="20"/>
          <w:lang w:val="en-GB"/>
        </w:rPr>
        <w:t>; MBS = Medicare Benefits Schedule; MSR = multiple services rule; S =</w:t>
      </w:r>
      <w:r>
        <w:rPr>
          <w:rFonts w:ascii="Arial Narrow" w:hAnsi="Arial Narrow"/>
          <w:sz w:val="20"/>
          <w:lang w:val="en-GB"/>
        </w:rPr>
        <w:t xml:space="preserve"> subcutaneous; </w:t>
      </w:r>
      <w:r w:rsidRPr="00D86E0C">
        <w:rPr>
          <w:rFonts w:ascii="Arial Narrow" w:hAnsi="Arial Narrow"/>
          <w:sz w:val="20"/>
          <w:lang w:val="en-GB"/>
        </w:rPr>
        <w:t>TV</w:t>
      </w:r>
      <w:r>
        <w:rPr>
          <w:rFonts w:ascii="Arial Narrow" w:hAnsi="Arial Narrow"/>
          <w:sz w:val="20"/>
          <w:lang w:val="en-GB"/>
        </w:rPr>
        <w:t xml:space="preserve"> </w:t>
      </w:r>
      <w:r w:rsidRPr="00D86E0C">
        <w:rPr>
          <w:rFonts w:ascii="Arial Narrow" w:hAnsi="Arial Narrow"/>
          <w:sz w:val="20"/>
          <w:lang w:val="en-GB"/>
        </w:rPr>
        <w:t>=</w:t>
      </w:r>
      <w:r>
        <w:rPr>
          <w:rFonts w:ascii="Arial Narrow" w:hAnsi="Arial Narrow"/>
          <w:sz w:val="20"/>
          <w:lang w:val="en-GB"/>
        </w:rPr>
        <w:t xml:space="preserve"> </w:t>
      </w:r>
      <w:r w:rsidRPr="00D86E0C">
        <w:rPr>
          <w:rFonts w:ascii="Arial Narrow" w:hAnsi="Arial Narrow"/>
          <w:sz w:val="20"/>
          <w:lang w:val="en-GB"/>
        </w:rPr>
        <w:t>transvenous</w:t>
      </w:r>
      <w:r w:rsidRPr="000A28E1">
        <w:rPr>
          <w:rFonts w:ascii="Arial Narrow" w:hAnsi="Arial Narrow"/>
          <w:sz w:val="20"/>
          <w:lang w:val="en-GB"/>
        </w:rPr>
        <w:t xml:space="preserve"> </w:t>
      </w:r>
    </w:p>
    <w:p w:rsidR="00C628F2" w:rsidRPr="009B071C" w:rsidRDefault="00C628F2" w:rsidP="00721806">
      <w:pPr>
        <w:pStyle w:val="Guidelines"/>
        <w:numPr>
          <w:ilvl w:val="0"/>
          <w:numId w:val="0"/>
        </w:numPr>
        <w:rPr>
          <w:rFonts w:ascii="Arial Narrow" w:hAnsi="Arial Narrow"/>
          <w:color w:val="auto"/>
          <w:sz w:val="20"/>
          <w:szCs w:val="20"/>
        </w:rPr>
      </w:pPr>
      <w:r w:rsidRPr="009B071C">
        <w:rPr>
          <w:rFonts w:ascii="Arial Narrow" w:hAnsi="Arial Narrow"/>
          <w:color w:val="auto"/>
          <w:sz w:val="20"/>
          <w:szCs w:val="20"/>
        </w:rPr>
        <w:t>a Fees are provided at 100% schedule fee, no weighted average necessary for economic model</w:t>
      </w:r>
    </w:p>
    <w:p w:rsidR="00C628F2" w:rsidRPr="009B071C" w:rsidRDefault="00C628F2" w:rsidP="00721806">
      <w:pPr>
        <w:pStyle w:val="Guidelines"/>
        <w:numPr>
          <w:ilvl w:val="0"/>
          <w:numId w:val="0"/>
        </w:numPr>
        <w:rPr>
          <w:rFonts w:ascii="Arial Narrow" w:hAnsi="Arial Narrow"/>
          <w:color w:val="auto"/>
          <w:sz w:val="20"/>
          <w:szCs w:val="20"/>
        </w:rPr>
      </w:pPr>
      <w:r w:rsidRPr="009B071C">
        <w:rPr>
          <w:rFonts w:ascii="Arial Narrow" w:hAnsi="Arial Narrow"/>
          <w:color w:val="auto"/>
          <w:sz w:val="20"/>
          <w:szCs w:val="20"/>
          <w:lang w:val="en-GB"/>
        </w:rPr>
        <w:t>b MBS 58500 may also be used for chest X-ray</w:t>
      </w:r>
    </w:p>
    <w:p w:rsidR="00C628F2" w:rsidRPr="009B071C" w:rsidRDefault="00C628F2" w:rsidP="00721806">
      <w:pPr>
        <w:pStyle w:val="Guidelines"/>
        <w:numPr>
          <w:ilvl w:val="0"/>
          <w:numId w:val="0"/>
        </w:numPr>
        <w:rPr>
          <w:rFonts w:ascii="Arial Narrow" w:hAnsi="Arial Narrow"/>
          <w:color w:val="auto"/>
          <w:sz w:val="20"/>
          <w:szCs w:val="20"/>
          <w:lang w:val="en-GB"/>
        </w:rPr>
      </w:pPr>
      <w:r w:rsidRPr="009B071C">
        <w:rPr>
          <w:rFonts w:ascii="Arial Narrow" w:hAnsi="Arial Narrow"/>
          <w:color w:val="auto"/>
          <w:sz w:val="20"/>
          <w:szCs w:val="20"/>
          <w:lang w:val="en-GB"/>
        </w:rPr>
        <w:t>c Bulk Billing incentive applies for out of hospital services (schedule fee reduced by 5% and rebates paid at 100%)</w:t>
      </w:r>
    </w:p>
    <w:p w:rsidR="00C628F2" w:rsidRPr="009B071C" w:rsidRDefault="00C628F2" w:rsidP="00721806">
      <w:pPr>
        <w:pStyle w:val="Guidelines"/>
        <w:numPr>
          <w:ilvl w:val="0"/>
          <w:numId w:val="0"/>
        </w:numPr>
        <w:rPr>
          <w:rFonts w:ascii="Arial Narrow" w:hAnsi="Arial Narrow"/>
          <w:color w:val="auto"/>
          <w:sz w:val="20"/>
          <w:szCs w:val="20"/>
        </w:rPr>
      </w:pPr>
      <w:r w:rsidRPr="009B071C">
        <w:rPr>
          <w:rFonts w:ascii="Arial Narrow" w:hAnsi="Arial Narrow"/>
          <w:color w:val="auto"/>
          <w:sz w:val="20"/>
          <w:szCs w:val="20"/>
        </w:rPr>
        <w:t>d ARTG item 132315,128625 for S-ICD leads, item 142175 or 43 others for TV-ICD leads, item #219499 for S-ICD generator, item #154057 for single chamber TV-ICD generators (119 others at various prices)</w:t>
      </w:r>
    </w:p>
    <w:p w:rsidR="00C628F2" w:rsidRPr="009B071C" w:rsidRDefault="00C628F2" w:rsidP="00721806">
      <w:pPr>
        <w:pStyle w:val="Guidelines"/>
        <w:numPr>
          <w:ilvl w:val="0"/>
          <w:numId w:val="0"/>
        </w:numPr>
        <w:rPr>
          <w:rFonts w:ascii="Arial Narrow" w:hAnsi="Arial Narrow"/>
          <w:color w:val="auto"/>
          <w:sz w:val="20"/>
          <w:szCs w:val="20"/>
        </w:rPr>
      </w:pPr>
      <w:r w:rsidRPr="009B071C">
        <w:rPr>
          <w:rFonts w:ascii="Arial Narrow" w:hAnsi="Arial Narrow"/>
          <w:color w:val="auto"/>
          <w:sz w:val="20"/>
          <w:szCs w:val="20"/>
        </w:rPr>
        <w:t>e Total costs is for 1 unit device irrespective of single or dual chamber/leads</w:t>
      </w:r>
    </w:p>
    <w:p w:rsidR="00C628F2" w:rsidRPr="009B071C" w:rsidRDefault="00C628F2" w:rsidP="00721806">
      <w:pPr>
        <w:pStyle w:val="Tablecaption"/>
        <w:jc w:val="left"/>
        <w:rPr>
          <w:lang w:val="en-GB"/>
        </w:rPr>
      </w:pPr>
      <w:r w:rsidRPr="009B071C">
        <w:rPr>
          <w:lang w:val="en-GB"/>
        </w:rPr>
        <w:lastRenderedPageBreak/>
        <w:t>f Total hospitalisation cost calculated as the National Weighted Average Unit for implantation or replacement of an automatic ICD (3.1657), multiplied by the National Efficient Price for 2014-2015 ($5,007)</w:t>
      </w:r>
    </w:p>
    <w:p w:rsidR="00C628F2" w:rsidRPr="009B071C" w:rsidRDefault="00C628F2" w:rsidP="00721806">
      <w:pPr>
        <w:pStyle w:val="Tablecaption"/>
        <w:jc w:val="left"/>
        <w:rPr>
          <w:lang w:val="en-GB"/>
        </w:rPr>
      </w:pPr>
      <w:proofErr w:type="spellStart"/>
      <w:r w:rsidRPr="009B071C">
        <w:rPr>
          <w:lang w:val="en-GB"/>
        </w:rPr>
        <w:t>gThe</w:t>
      </w:r>
      <w:proofErr w:type="spellEnd"/>
      <w:r w:rsidRPr="009B071C">
        <w:rPr>
          <w:lang w:val="en-GB"/>
        </w:rPr>
        <w:t xml:space="preserve"> explanation for this calculation is in Table D(</w:t>
      </w:r>
      <w:proofErr w:type="spellStart"/>
      <w:r w:rsidRPr="009B071C">
        <w:rPr>
          <w:lang w:val="en-GB"/>
        </w:rPr>
        <w:t>i</w:t>
      </w:r>
      <w:proofErr w:type="spellEnd"/>
      <w:r w:rsidRPr="009B071C">
        <w:rPr>
          <w:lang w:val="en-GB"/>
        </w:rPr>
        <w:t>).2.2</w:t>
      </w:r>
    </w:p>
    <w:p w:rsidR="00C628F2" w:rsidRDefault="00C628F2" w:rsidP="00721806">
      <w:pPr>
        <w:pStyle w:val="Guidelines"/>
        <w:numPr>
          <w:ilvl w:val="0"/>
          <w:numId w:val="0"/>
        </w:numPr>
        <w:rPr>
          <w:rFonts w:ascii="Arial Narrow" w:hAnsi="Arial Narrow"/>
          <w:color w:val="auto"/>
          <w:sz w:val="20"/>
          <w:szCs w:val="20"/>
          <w:lang w:val="en-GB"/>
        </w:rPr>
      </w:pPr>
      <w:r w:rsidRPr="009B071C">
        <w:rPr>
          <w:rFonts w:ascii="Arial Narrow" w:hAnsi="Arial Narrow"/>
          <w:color w:val="auto"/>
          <w:sz w:val="20"/>
          <w:szCs w:val="20"/>
          <w:lang w:val="en-GB"/>
        </w:rPr>
        <w:t>h Total</w:t>
      </w:r>
      <w:r w:rsidRPr="008169E0">
        <w:rPr>
          <w:rFonts w:ascii="Arial Narrow" w:hAnsi="Arial Narrow"/>
          <w:color w:val="auto"/>
          <w:sz w:val="20"/>
          <w:szCs w:val="20"/>
          <w:lang w:val="en-GB"/>
        </w:rPr>
        <w:t xml:space="preserve"> cost difference between subcutaneous ICD and transvenous ICD allowing for 1% switching</w:t>
      </w:r>
    </w:p>
    <w:p w:rsidR="00C628F2" w:rsidRPr="001B2F67" w:rsidRDefault="00C628F2" w:rsidP="00721806">
      <w:pPr>
        <w:pStyle w:val="Guidelines"/>
        <w:numPr>
          <w:ilvl w:val="0"/>
          <w:numId w:val="0"/>
        </w:numPr>
        <w:rPr>
          <w:rFonts w:ascii="Arial Narrow" w:hAnsi="Arial Narrow"/>
          <w:color w:val="auto"/>
          <w:sz w:val="20"/>
          <w:szCs w:val="20"/>
        </w:rPr>
      </w:pPr>
    </w:p>
    <w:p w:rsidR="00C628F2" w:rsidRPr="00EF13A3" w:rsidRDefault="00C628F2" w:rsidP="00721806">
      <w:pPr>
        <w:pStyle w:val="Guidelines"/>
        <w:numPr>
          <w:ilvl w:val="0"/>
          <w:numId w:val="0"/>
        </w:numPr>
        <w:jc w:val="left"/>
        <w:rPr>
          <w:rFonts w:ascii="Times New Roman" w:hAnsi="Times New Roman"/>
          <w:color w:val="auto"/>
        </w:rPr>
      </w:pPr>
      <w:r w:rsidRPr="00EF13A3">
        <w:rPr>
          <w:rFonts w:ascii="Times New Roman" w:hAnsi="Times New Roman"/>
          <w:color w:val="auto"/>
        </w:rPr>
        <w:t>The economic evaluation exclude</w:t>
      </w:r>
      <w:r>
        <w:rPr>
          <w:rFonts w:ascii="Times New Roman" w:hAnsi="Times New Roman"/>
          <w:color w:val="auto"/>
        </w:rPr>
        <w:t>d</w:t>
      </w:r>
      <w:r w:rsidRPr="00EF13A3">
        <w:rPr>
          <w:rFonts w:ascii="Times New Roman" w:hAnsi="Times New Roman"/>
          <w:color w:val="auto"/>
        </w:rPr>
        <w:t xml:space="preserve"> anaesthetist time units for both groups and chest X-ray potentially given to patients during subcutaneous ICD implantation pre- or post-procedurally (MBS item #58503). The proposed cost-savings changed slightly. Implantation of the </w:t>
      </w:r>
      <w:r>
        <w:rPr>
          <w:rFonts w:ascii="Times New Roman" w:hAnsi="Times New Roman"/>
          <w:color w:val="auto"/>
        </w:rPr>
        <w:t>S-ICD system wa</w:t>
      </w:r>
      <w:r w:rsidRPr="00EF13A3">
        <w:rPr>
          <w:rFonts w:ascii="Times New Roman" w:hAnsi="Times New Roman"/>
          <w:color w:val="auto"/>
        </w:rPr>
        <w:t xml:space="preserve">s estimated to be cost saving by an estimated $4,677 per procedure. The cost-savings to the MBS </w:t>
      </w:r>
      <w:r>
        <w:rPr>
          <w:rFonts w:ascii="Times New Roman" w:hAnsi="Times New Roman"/>
          <w:color w:val="auto"/>
        </w:rPr>
        <w:t>are</w:t>
      </w:r>
      <w:r w:rsidRPr="00EF13A3">
        <w:rPr>
          <w:rFonts w:ascii="Times New Roman" w:hAnsi="Times New Roman"/>
          <w:color w:val="auto"/>
        </w:rPr>
        <w:t xml:space="preserve"> driven by the proposed 10% reduced lead insertion fee and the removal of medical imaging requirements (fluoroscopy). This fee reduction may be too small in recognition of the simpler and shorter procedure time of </w:t>
      </w:r>
      <w:r>
        <w:rPr>
          <w:rFonts w:ascii="Times New Roman" w:hAnsi="Times New Roman"/>
          <w:color w:val="auto"/>
        </w:rPr>
        <w:t>S-</w:t>
      </w:r>
      <w:r w:rsidRPr="00EF13A3">
        <w:rPr>
          <w:rFonts w:ascii="Times New Roman" w:hAnsi="Times New Roman"/>
          <w:color w:val="auto"/>
        </w:rPr>
        <w:t xml:space="preserve">ICD relative to </w:t>
      </w:r>
      <w:r>
        <w:rPr>
          <w:rFonts w:ascii="Times New Roman" w:hAnsi="Times New Roman"/>
          <w:color w:val="auto"/>
        </w:rPr>
        <w:t>T-</w:t>
      </w:r>
      <w:r w:rsidRPr="00EF13A3">
        <w:rPr>
          <w:rFonts w:ascii="Times New Roman" w:hAnsi="Times New Roman"/>
          <w:color w:val="auto"/>
        </w:rPr>
        <w:t>ICD procedures.</w:t>
      </w:r>
    </w:p>
    <w:p w:rsidR="00C628F2" w:rsidRDefault="00C628F2" w:rsidP="00721806">
      <w:pPr>
        <w:rPr>
          <w:rFonts w:ascii="Arial Narrow" w:hAnsi="Arial Narrow"/>
          <w:i/>
          <w:sz w:val="20"/>
        </w:rPr>
      </w:pPr>
    </w:p>
    <w:p w:rsidR="00C628F2" w:rsidRDefault="00C628F2" w:rsidP="007B32D1">
      <w:pPr>
        <w:pStyle w:val="Heading1"/>
        <w:numPr>
          <w:ilvl w:val="0"/>
          <w:numId w:val="23"/>
        </w:numPr>
        <w:ind w:hanging="720"/>
      </w:pPr>
      <w:r w:rsidRPr="008D5885">
        <w:t>Financial/budgetary impacts</w:t>
      </w:r>
    </w:p>
    <w:p w:rsidR="00C628F2" w:rsidRDefault="00C628F2" w:rsidP="00D340DE">
      <w:pPr>
        <w:pStyle w:val="Default"/>
      </w:pPr>
    </w:p>
    <w:p w:rsidR="00C628F2" w:rsidRDefault="00C628F2" w:rsidP="00721806">
      <w:r>
        <w:t xml:space="preserve">The financial impact of the MBS listing to the Government estimates cost-savings to the MBS of $25,232 in 2015, increasing to $63,259 over five years (see table below). The estimates are driven by the cost offsets to the MBS from fewer fluoroscopies required for subcutaneous ICD lead insertion. </w:t>
      </w:r>
    </w:p>
    <w:p w:rsidR="00C628F2" w:rsidRPr="00954ACF" w:rsidRDefault="00C628F2" w:rsidP="00721806"/>
    <w:p w:rsidR="00C628F2" w:rsidRPr="00E16397" w:rsidRDefault="00C628F2" w:rsidP="00721806">
      <w:pPr>
        <w:pStyle w:val="Caption"/>
        <w:rPr>
          <w:lang w:val="en-US"/>
        </w:rPr>
      </w:pPr>
      <w:r w:rsidRPr="00F0363D">
        <w:t>Net financial implications for the MBS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37"/>
        <w:gridCol w:w="901"/>
        <w:gridCol w:w="901"/>
        <w:gridCol w:w="901"/>
        <w:gridCol w:w="901"/>
        <w:gridCol w:w="901"/>
      </w:tblGrid>
      <w:tr w:rsidR="00C628F2" w:rsidRPr="0097310E" w:rsidTr="005C2D8B">
        <w:tc>
          <w:tcPr>
            <w:tcW w:w="2563" w:type="pct"/>
            <w:shd w:val="clear" w:color="auto" w:fill="FFFFFF"/>
          </w:tcPr>
          <w:p w:rsidR="00C628F2" w:rsidRPr="005C2D8B" w:rsidRDefault="00C628F2" w:rsidP="00721806">
            <w:pPr>
              <w:pStyle w:val="Tabletext"/>
              <w:rPr>
                <w:b/>
              </w:rPr>
            </w:pPr>
            <w:r w:rsidRPr="005C2D8B">
              <w:rPr>
                <w:b/>
              </w:rPr>
              <w:t xml:space="preserve">Variable </w:t>
            </w:r>
          </w:p>
        </w:tc>
        <w:tc>
          <w:tcPr>
            <w:tcW w:w="487" w:type="pct"/>
            <w:shd w:val="clear" w:color="auto" w:fill="FFFFFF"/>
            <w:vAlign w:val="center"/>
          </w:tcPr>
          <w:p w:rsidR="00C628F2" w:rsidRPr="005C2D8B" w:rsidRDefault="00C628F2" w:rsidP="005C2D8B">
            <w:pPr>
              <w:pStyle w:val="Tabletext"/>
              <w:jc w:val="center"/>
              <w:rPr>
                <w:b/>
              </w:rPr>
            </w:pPr>
            <w:r w:rsidRPr="005C2D8B">
              <w:rPr>
                <w:b/>
              </w:rPr>
              <w:t>2015</w:t>
            </w:r>
          </w:p>
        </w:tc>
        <w:tc>
          <w:tcPr>
            <w:tcW w:w="487" w:type="pct"/>
            <w:shd w:val="clear" w:color="auto" w:fill="FFFFFF"/>
            <w:vAlign w:val="center"/>
          </w:tcPr>
          <w:p w:rsidR="00C628F2" w:rsidRPr="005C2D8B" w:rsidRDefault="00C628F2" w:rsidP="005C2D8B">
            <w:pPr>
              <w:pStyle w:val="Tabletext"/>
              <w:jc w:val="center"/>
              <w:rPr>
                <w:b/>
              </w:rPr>
            </w:pPr>
            <w:r w:rsidRPr="005C2D8B">
              <w:rPr>
                <w:b/>
              </w:rPr>
              <w:t>2016</w:t>
            </w:r>
          </w:p>
        </w:tc>
        <w:tc>
          <w:tcPr>
            <w:tcW w:w="487" w:type="pct"/>
            <w:shd w:val="clear" w:color="auto" w:fill="FFFFFF"/>
            <w:vAlign w:val="center"/>
          </w:tcPr>
          <w:p w:rsidR="00C628F2" w:rsidRPr="005C2D8B" w:rsidRDefault="00C628F2" w:rsidP="005C2D8B">
            <w:pPr>
              <w:pStyle w:val="Tabletext"/>
              <w:jc w:val="center"/>
              <w:rPr>
                <w:b/>
              </w:rPr>
            </w:pPr>
            <w:r w:rsidRPr="005C2D8B">
              <w:rPr>
                <w:b/>
              </w:rPr>
              <w:t>2017</w:t>
            </w:r>
          </w:p>
        </w:tc>
        <w:tc>
          <w:tcPr>
            <w:tcW w:w="487" w:type="pct"/>
            <w:shd w:val="clear" w:color="auto" w:fill="FFFFFF"/>
            <w:vAlign w:val="center"/>
          </w:tcPr>
          <w:p w:rsidR="00C628F2" w:rsidRPr="005C2D8B" w:rsidRDefault="00C628F2" w:rsidP="005C2D8B">
            <w:pPr>
              <w:pStyle w:val="Tabletext"/>
              <w:jc w:val="center"/>
              <w:rPr>
                <w:b/>
              </w:rPr>
            </w:pPr>
            <w:r w:rsidRPr="005C2D8B">
              <w:rPr>
                <w:b/>
              </w:rPr>
              <w:t>2018</w:t>
            </w:r>
          </w:p>
        </w:tc>
        <w:tc>
          <w:tcPr>
            <w:tcW w:w="487" w:type="pct"/>
            <w:shd w:val="clear" w:color="auto" w:fill="FFFFFF"/>
            <w:vAlign w:val="center"/>
          </w:tcPr>
          <w:p w:rsidR="00C628F2" w:rsidRPr="005C2D8B" w:rsidRDefault="00C628F2" w:rsidP="005C2D8B">
            <w:pPr>
              <w:pStyle w:val="Tabletext"/>
              <w:jc w:val="center"/>
              <w:rPr>
                <w:b/>
              </w:rPr>
            </w:pPr>
            <w:r w:rsidRPr="005C2D8B">
              <w:rPr>
                <w:b/>
              </w:rPr>
              <w:t>2019</w:t>
            </w:r>
          </w:p>
        </w:tc>
      </w:tr>
      <w:tr w:rsidR="00C628F2" w:rsidRPr="0097310E" w:rsidTr="005C2D8B">
        <w:tc>
          <w:tcPr>
            <w:tcW w:w="2563" w:type="pct"/>
            <w:tcBorders>
              <w:bottom w:val="single" w:sz="4" w:space="0" w:color="000000"/>
            </w:tcBorders>
            <w:shd w:val="clear" w:color="auto" w:fill="FFFFFF"/>
            <w:vAlign w:val="center"/>
          </w:tcPr>
          <w:p w:rsidR="00C628F2" w:rsidRPr="005C2D8B" w:rsidRDefault="00C628F2" w:rsidP="00721806">
            <w:pPr>
              <w:pStyle w:val="Tabletext"/>
            </w:pPr>
            <w:r w:rsidRPr="005C2D8B">
              <w:t>Substitution of TV-ICD lead procedures by S-ICD (number)</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121</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162</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206</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253</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303</w:t>
            </w:r>
          </w:p>
        </w:tc>
      </w:tr>
      <w:tr w:rsidR="00C628F2" w:rsidRPr="0097310E" w:rsidTr="005C2D8B">
        <w:tc>
          <w:tcPr>
            <w:tcW w:w="2563" w:type="pct"/>
            <w:tcBorders>
              <w:bottom w:val="single" w:sz="4" w:space="0" w:color="000000"/>
            </w:tcBorders>
            <w:shd w:val="clear" w:color="auto" w:fill="FFFFFF"/>
            <w:vAlign w:val="center"/>
          </w:tcPr>
          <w:p w:rsidR="00C628F2" w:rsidRPr="005C2D8B" w:rsidRDefault="00C628F2" w:rsidP="00721806">
            <w:pPr>
              <w:pStyle w:val="Tabletext"/>
            </w:pPr>
            <w:r w:rsidRPr="005C2D8B">
              <w:t>Additional S-ICD use in patients unsuitable for TV-ICD</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6</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8</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10</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13</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16</w:t>
            </w:r>
          </w:p>
        </w:tc>
      </w:tr>
      <w:tr w:rsidR="00C628F2" w:rsidRPr="0097310E" w:rsidTr="005C2D8B">
        <w:tc>
          <w:tcPr>
            <w:tcW w:w="2563" w:type="pct"/>
            <w:tcBorders>
              <w:bottom w:val="single" w:sz="4" w:space="0" w:color="000000"/>
            </w:tcBorders>
            <w:shd w:val="clear" w:color="auto" w:fill="FFFFFF"/>
            <w:vAlign w:val="center"/>
          </w:tcPr>
          <w:p w:rsidR="00C628F2" w:rsidRPr="005C2D8B" w:rsidRDefault="00C628F2" w:rsidP="00721806">
            <w:pPr>
              <w:pStyle w:val="Tabletext"/>
            </w:pPr>
            <w:r w:rsidRPr="005C2D8B">
              <w:t>Total S-ICD procedures</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127</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170</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216</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266</w:t>
            </w:r>
          </w:p>
        </w:tc>
        <w:tc>
          <w:tcPr>
            <w:tcW w:w="487" w:type="pct"/>
            <w:tcBorders>
              <w:bottom w:val="single" w:sz="4" w:space="0" w:color="000000"/>
            </w:tcBorders>
            <w:shd w:val="clear" w:color="auto" w:fill="FFFFFF"/>
            <w:vAlign w:val="center"/>
          </w:tcPr>
          <w:p w:rsidR="00C628F2" w:rsidRPr="005C2D8B" w:rsidRDefault="00C628F2" w:rsidP="005C2D8B">
            <w:pPr>
              <w:pStyle w:val="Tabletext"/>
              <w:jc w:val="center"/>
            </w:pPr>
            <w:r w:rsidRPr="005C2D8B">
              <w:t>319</w:t>
            </w:r>
          </w:p>
        </w:tc>
      </w:tr>
      <w:tr w:rsidR="00C628F2" w:rsidRPr="0097310E" w:rsidTr="005C2D8B">
        <w:tc>
          <w:tcPr>
            <w:tcW w:w="2563" w:type="pct"/>
            <w:shd w:val="clear" w:color="auto" w:fill="FFFFFF"/>
            <w:vAlign w:val="center"/>
          </w:tcPr>
          <w:p w:rsidR="00C628F2" w:rsidRPr="005C2D8B" w:rsidRDefault="00C628F2" w:rsidP="00721806">
            <w:pPr>
              <w:pStyle w:val="Tabletext"/>
            </w:pPr>
            <w:r w:rsidRPr="005C2D8B">
              <w:t>Cost of S-ICD lead placement</w:t>
            </w:r>
          </w:p>
        </w:tc>
        <w:tc>
          <w:tcPr>
            <w:tcW w:w="487" w:type="pct"/>
            <w:shd w:val="clear" w:color="auto" w:fill="FFFFFF"/>
            <w:vAlign w:val="center"/>
          </w:tcPr>
          <w:p w:rsidR="00C628F2" w:rsidRPr="005C2D8B" w:rsidRDefault="00C628F2" w:rsidP="005C2D8B">
            <w:pPr>
              <w:pStyle w:val="Tabletext"/>
              <w:jc w:val="center"/>
            </w:pPr>
            <w:r w:rsidRPr="005C2D8B">
              <w:t>$122,996</w:t>
            </w:r>
          </w:p>
        </w:tc>
        <w:tc>
          <w:tcPr>
            <w:tcW w:w="487" w:type="pct"/>
            <w:shd w:val="clear" w:color="auto" w:fill="FFFFFF"/>
            <w:vAlign w:val="center"/>
          </w:tcPr>
          <w:p w:rsidR="00C628F2" w:rsidRPr="005C2D8B" w:rsidRDefault="00C628F2" w:rsidP="005C2D8B">
            <w:pPr>
              <w:pStyle w:val="Tabletext"/>
              <w:jc w:val="center"/>
            </w:pPr>
            <w:r w:rsidRPr="005C2D8B">
              <w:t>$164,515</w:t>
            </w:r>
          </w:p>
        </w:tc>
        <w:tc>
          <w:tcPr>
            <w:tcW w:w="487" w:type="pct"/>
            <w:shd w:val="clear" w:color="auto" w:fill="FFFFFF"/>
            <w:vAlign w:val="center"/>
          </w:tcPr>
          <w:p w:rsidR="00C628F2" w:rsidRPr="005C2D8B" w:rsidRDefault="00C628F2" w:rsidP="005C2D8B">
            <w:pPr>
              <w:pStyle w:val="Tabletext"/>
              <w:jc w:val="center"/>
            </w:pPr>
            <w:r w:rsidRPr="005C2D8B">
              <w:t>$209,249</w:t>
            </w:r>
          </w:p>
        </w:tc>
        <w:tc>
          <w:tcPr>
            <w:tcW w:w="487" w:type="pct"/>
            <w:shd w:val="clear" w:color="auto" w:fill="FFFFFF"/>
            <w:vAlign w:val="center"/>
          </w:tcPr>
          <w:p w:rsidR="00C628F2" w:rsidRPr="005C2D8B" w:rsidRDefault="00C628F2" w:rsidP="005C2D8B">
            <w:pPr>
              <w:pStyle w:val="Tabletext"/>
              <w:jc w:val="center"/>
            </w:pPr>
            <w:r w:rsidRPr="005C2D8B">
              <w:t>$257,197</w:t>
            </w:r>
          </w:p>
        </w:tc>
        <w:tc>
          <w:tcPr>
            <w:tcW w:w="487" w:type="pct"/>
            <w:shd w:val="clear" w:color="auto" w:fill="FFFFFF"/>
            <w:vAlign w:val="center"/>
          </w:tcPr>
          <w:p w:rsidR="00C628F2" w:rsidRPr="005C2D8B" w:rsidRDefault="00C628F2" w:rsidP="005C2D8B">
            <w:pPr>
              <w:pStyle w:val="Tabletext"/>
              <w:jc w:val="center"/>
            </w:pPr>
            <w:r w:rsidRPr="005C2D8B">
              <w:t>$308,359</w:t>
            </w:r>
          </w:p>
        </w:tc>
      </w:tr>
      <w:tr w:rsidR="00C628F2" w:rsidRPr="0097310E" w:rsidTr="005C2D8B">
        <w:tc>
          <w:tcPr>
            <w:tcW w:w="2563" w:type="pct"/>
            <w:shd w:val="clear" w:color="auto" w:fill="FFFFFF"/>
            <w:vAlign w:val="center"/>
          </w:tcPr>
          <w:p w:rsidR="00C628F2" w:rsidRPr="005C2D8B" w:rsidRDefault="00C628F2" w:rsidP="00721806">
            <w:pPr>
              <w:pStyle w:val="Tabletext"/>
            </w:pPr>
            <w:r w:rsidRPr="005C2D8B">
              <w:t xml:space="preserve">Cost of patients switching to TV-ICD </w:t>
            </w:r>
          </w:p>
        </w:tc>
        <w:tc>
          <w:tcPr>
            <w:tcW w:w="487" w:type="pct"/>
            <w:shd w:val="clear" w:color="auto" w:fill="FFFFFF"/>
            <w:vAlign w:val="center"/>
          </w:tcPr>
          <w:p w:rsidR="00C628F2" w:rsidRPr="005C2D8B" w:rsidRDefault="00C628F2" w:rsidP="005C2D8B">
            <w:pPr>
              <w:pStyle w:val="Tabletext"/>
              <w:jc w:val="center"/>
            </w:pPr>
            <w:r w:rsidRPr="005C2D8B">
              <w:t>$1,970</w:t>
            </w:r>
          </w:p>
        </w:tc>
        <w:tc>
          <w:tcPr>
            <w:tcW w:w="487" w:type="pct"/>
            <w:shd w:val="clear" w:color="auto" w:fill="FFFFFF"/>
            <w:vAlign w:val="center"/>
          </w:tcPr>
          <w:p w:rsidR="00C628F2" w:rsidRPr="005C2D8B" w:rsidRDefault="00C628F2" w:rsidP="005C2D8B">
            <w:pPr>
              <w:pStyle w:val="Tabletext"/>
              <w:jc w:val="center"/>
            </w:pPr>
            <w:r w:rsidRPr="005C2D8B">
              <w:t>$2,635</w:t>
            </w:r>
          </w:p>
        </w:tc>
        <w:tc>
          <w:tcPr>
            <w:tcW w:w="487" w:type="pct"/>
            <w:shd w:val="clear" w:color="auto" w:fill="FFFFFF"/>
            <w:vAlign w:val="center"/>
          </w:tcPr>
          <w:p w:rsidR="00C628F2" w:rsidRPr="005C2D8B" w:rsidRDefault="00C628F2" w:rsidP="005C2D8B">
            <w:pPr>
              <w:pStyle w:val="Tabletext"/>
              <w:jc w:val="center"/>
            </w:pPr>
            <w:r w:rsidRPr="005C2D8B">
              <w:t>$3,351</w:t>
            </w:r>
          </w:p>
        </w:tc>
        <w:tc>
          <w:tcPr>
            <w:tcW w:w="487" w:type="pct"/>
            <w:shd w:val="clear" w:color="auto" w:fill="FFFFFF"/>
            <w:vAlign w:val="center"/>
          </w:tcPr>
          <w:p w:rsidR="00C628F2" w:rsidRPr="005C2D8B" w:rsidRDefault="00C628F2" w:rsidP="005C2D8B">
            <w:pPr>
              <w:pStyle w:val="Tabletext"/>
              <w:jc w:val="center"/>
            </w:pPr>
            <w:r w:rsidRPr="005C2D8B">
              <w:t>$4,119</w:t>
            </w:r>
          </w:p>
        </w:tc>
        <w:tc>
          <w:tcPr>
            <w:tcW w:w="487" w:type="pct"/>
            <w:shd w:val="clear" w:color="auto" w:fill="FFFFFF"/>
            <w:vAlign w:val="center"/>
          </w:tcPr>
          <w:p w:rsidR="00C628F2" w:rsidRPr="005C2D8B" w:rsidRDefault="00C628F2" w:rsidP="005C2D8B">
            <w:pPr>
              <w:pStyle w:val="Tabletext"/>
              <w:jc w:val="center"/>
            </w:pPr>
            <w:r w:rsidRPr="005C2D8B">
              <w:t>$4,939</w:t>
            </w:r>
          </w:p>
        </w:tc>
      </w:tr>
      <w:tr w:rsidR="00C628F2" w:rsidRPr="0097310E" w:rsidTr="005C2D8B">
        <w:tc>
          <w:tcPr>
            <w:tcW w:w="2563" w:type="pct"/>
            <w:shd w:val="clear" w:color="auto" w:fill="FFFFFF"/>
            <w:vAlign w:val="center"/>
          </w:tcPr>
          <w:p w:rsidR="00C628F2" w:rsidRPr="005C2D8B" w:rsidRDefault="00C628F2" w:rsidP="00721806">
            <w:pPr>
              <w:pStyle w:val="Tabletext"/>
            </w:pPr>
            <w:r w:rsidRPr="005C2D8B">
              <w:t xml:space="preserve">Total cost of S-ICD </w:t>
            </w:r>
          </w:p>
        </w:tc>
        <w:tc>
          <w:tcPr>
            <w:tcW w:w="487" w:type="pct"/>
            <w:shd w:val="clear" w:color="auto" w:fill="FFFFFF"/>
            <w:vAlign w:val="center"/>
          </w:tcPr>
          <w:p w:rsidR="00C628F2" w:rsidRPr="005C2D8B" w:rsidRDefault="00C628F2" w:rsidP="005C2D8B">
            <w:pPr>
              <w:pStyle w:val="Tabletext"/>
              <w:jc w:val="center"/>
            </w:pPr>
            <w:r w:rsidRPr="005C2D8B">
              <w:t>$124,966</w:t>
            </w:r>
          </w:p>
        </w:tc>
        <w:tc>
          <w:tcPr>
            <w:tcW w:w="487" w:type="pct"/>
            <w:shd w:val="clear" w:color="auto" w:fill="FFFFFF"/>
            <w:vAlign w:val="center"/>
          </w:tcPr>
          <w:p w:rsidR="00C628F2" w:rsidRPr="005C2D8B" w:rsidRDefault="00C628F2" w:rsidP="005C2D8B">
            <w:pPr>
              <w:pStyle w:val="Tabletext"/>
              <w:jc w:val="center"/>
            </w:pPr>
            <w:r w:rsidRPr="005C2D8B">
              <w:t>$167,150</w:t>
            </w:r>
          </w:p>
        </w:tc>
        <w:tc>
          <w:tcPr>
            <w:tcW w:w="487" w:type="pct"/>
            <w:shd w:val="clear" w:color="auto" w:fill="FFFFFF"/>
            <w:vAlign w:val="center"/>
          </w:tcPr>
          <w:p w:rsidR="00C628F2" w:rsidRPr="005C2D8B" w:rsidRDefault="00C628F2" w:rsidP="005C2D8B">
            <w:pPr>
              <w:pStyle w:val="Tabletext"/>
              <w:jc w:val="center"/>
            </w:pPr>
            <w:r w:rsidRPr="005C2D8B">
              <w:t>$212,600</w:t>
            </w:r>
          </w:p>
        </w:tc>
        <w:tc>
          <w:tcPr>
            <w:tcW w:w="487" w:type="pct"/>
            <w:shd w:val="clear" w:color="auto" w:fill="FFFFFF"/>
            <w:vAlign w:val="center"/>
          </w:tcPr>
          <w:p w:rsidR="00C628F2" w:rsidRPr="005C2D8B" w:rsidRDefault="00C628F2" w:rsidP="005C2D8B">
            <w:pPr>
              <w:pStyle w:val="Tabletext"/>
              <w:jc w:val="center"/>
            </w:pPr>
            <w:r w:rsidRPr="005C2D8B">
              <w:t>$261,316</w:t>
            </w:r>
          </w:p>
        </w:tc>
        <w:tc>
          <w:tcPr>
            <w:tcW w:w="487" w:type="pct"/>
            <w:shd w:val="clear" w:color="auto" w:fill="FFFFFF"/>
            <w:vAlign w:val="center"/>
          </w:tcPr>
          <w:p w:rsidR="00C628F2" w:rsidRPr="005C2D8B" w:rsidRDefault="00C628F2" w:rsidP="005C2D8B">
            <w:pPr>
              <w:pStyle w:val="Tabletext"/>
              <w:jc w:val="center"/>
            </w:pPr>
            <w:r w:rsidRPr="005C2D8B">
              <w:t>$313,298</w:t>
            </w:r>
          </w:p>
        </w:tc>
      </w:tr>
      <w:tr w:rsidR="00C628F2" w:rsidRPr="0097310E" w:rsidTr="005C2D8B">
        <w:tc>
          <w:tcPr>
            <w:tcW w:w="2563" w:type="pct"/>
            <w:shd w:val="clear" w:color="auto" w:fill="FFFFFF"/>
            <w:vAlign w:val="center"/>
          </w:tcPr>
          <w:p w:rsidR="00C628F2" w:rsidRPr="005C2D8B" w:rsidRDefault="00C628F2" w:rsidP="00721806">
            <w:pPr>
              <w:pStyle w:val="Tabletext"/>
            </w:pPr>
            <w:r w:rsidRPr="005C2D8B">
              <w:t>Total estimated cost offsets from substitution of TV-ICD</w:t>
            </w:r>
          </w:p>
        </w:tc>
        <w:tc>
          <w:tcPr>
            <w:tcW w:w="487" w:type="pct"/>
            <w:shd w:val="clear" w:color="auto" w:fill="FFFFFF"/>
            <w:vAlign w:val="center"/>
          </w:tcPr>
          <w:p w:rsidR="00C628F2" w:rsidRPr="005C2D8B" w:rsidRDefault="00C628F2" w:rsidP="005C2D8B">
            <w:pPr>
              <w:pStyle w:val="Tabletext"/>
              <w:jc w:val="center"/>
            </w:pPr>
            <w:r w:rsidRPr="005C2D8B">
              <w:t>$150,199</w:t>
            </w:r>
          </w:p>
        </w:tc>
        <w:tc>
          <w:tcPr>
            <w:tcW w:w="487" w:type="pct"/>
            <w:shd w:val="clear" w:color="auto" w:fill="FFFFFF"/>
            <w:vAlign w:val="center"/>
          </w:tcPr>
          <w:p w:rsidR="00C628F2" w:rsidRPr="005C2D8B" w:rsidRDefault="00C628F2" w:rsidP="005C2D8B">
            <w:pPr>
              <w:pStyle w:val="Tabletext"/>
              <w:jc w:val="center"/>
            </w:pPr>
            <w:r w:rsidRPr="005C2D8B">
              <w:t>$200,900</w:t>
            </w:r>
          </w:p>
        </w:tc>
        <w:tc>
          <w:tcPr>
            <w:tcW w:w="487" w:type="pct"/>
            <w:shd w:val="clear" w:color="auto" w:fill="FFFFFF"/>
            <w:vAlign w:val="center"/>
          </w:tcPr>
          <w:p w:rsidR="00C628F2" w:rsidRPr="005C2D8B" w:rsidRDefault="00C628F2" w:rsidP="005C2D8B">
            <w:pPr>
              <w:pStyle w:val="Tabletext"/>
              <w:jc w:val="center"/>
            </w:pPr>
            <w:r w:rsidRPr="005C2D8B">
              <w:t>$255,527</w:t>
            </w:r>
          </w:p>
        </w:tc>
        <w:tc>
          <w:tcPr>
            <w:tcW w:w="487" w:type="pct"/>
            <w:shd w:val="clear" w:color="auto" w:fill="FFFFFF"/>
            <w:vAlign w:val="center"/>
          </w:tcPr>
          <w:p w:rsidR="00C628F2" w:rsidRPr="005C2D8B" w:rsidRDefault="00C628F2" w:rsidP="005C2D8B">
            <w:pPr>
              <w:pStyle w:val="Tabletext"/>
              <w:jc w:val="center"/>
            </w:pPr>
            <w:r w:rsidRPr="005C2D8B">
              <w:t>$314,079</w:t>
            </w:r>
          </w:p>
        </w:tc>
        <w:tc>
          <w:tcPr>
            <w:tcW w:w="487" w:type="pct"/>
            <w:shd w:val="clear" w:color="auto" w:fill="FFFFFF"/>
            <w:vAlign w:val="center"/>
          </w:tcPr>
          <w:p w:rsidR="00C628F2" w:rsidRPr="005C2D8B" w:rsidRDefault="00C628F2" w:rsidP="005C2D8B">
            <w:pPr>
              <w:pStyle w:val="Tabletext"/>
              <w:jc w:val="center"/>
            </w:pPr>
            <w:r w:rsidRPr="005C2D8B">
              <w:t>$376,557</w:t>
            </w:r>
          </w:p>
        </w:tc>
      </w:tr>
      <w:tr w:rsidR="00C628F2" w:rsidRPr="006B0CD2" w:rsidTr="005C2D8B">
        <w:tc>
          <w:tcPr>
            <w:tcW w:w="2563" w:type="pct"/>
            <w:shd w:val="clear" w:color="auto" w:fill="FFFFFF"/>
            <w:vAlign w:val="center"/>
          </w:tcPr>
          <w:p w:rsidR="00C628F2" w:rsidRPr="005C2D8B" w:rsidRDefault="00C628F2" w:rsidP="00721806">
            <w:pPr>
              <w:pStyle w:val="Tabletext"/>
              <w:rPr>
                <w:b/>
              </w:rPr>
            </w:pPr>
            <w:r w:rsidRPr="005C2D8B">
              <w:rPr>
                <w:b/>
              </w:rPr>
              <w:t>Total cost of S-ICD lead insertion to the MBS (savings)</w:t>
            </w:r>
          </w:p>
        </w:tc>
        <w:tc>
          <w:tcPr>
            <w:tcW w:w="487" w:type="pct"/>
            <w:shd w:val="clear" w:color="auto" w:fill="FFFFFF"/>
            <w:vAlign w:val="center"/>
          </w:tcPr>
          <w:p w:rsidR="00C628F2" w:rsidRPr="005C2D8B" w:rsidRDefault="00C628F2" w:rsidP="005C2D8B">
            <w:pPr>
              <w:pStyle w:val="Tabletext"/>
              <w:jc w:val="center"/>
              <w:rPr>
                <w:b/>
              </w:rPr>
            </w:pPr>
            <w:r w:rsidRPr="005C2D8B">
              <w:rPr>
                <w:b/>
              </w:rPr>
              <w:t>-$25,232</w:t>
            </w:r>
          </w:p>
        </w:tc>
        <w:tc>
          <w:tcPr>
            <w:tcW w:w="487" w:type="pct"/>
            <w:shd w:val="clear" w:color="auto" w:fill="FFFFFF"/>
            <w:vAlign w:val="center"/>
          </w:tcPr>
          <w:p w:rsidR="00C628F2" w:rsidRPr="005C2D8B" w:rsidRDefault="00C628F2" w:rsidP="005C2D8B">
            <w:pPr>
              <w:pStyle w:val="Tabletext"/>
              <w:jc w:val="center"/>
              <w:rPr>
                <w:b/>
              </w:rPr>
            </w:pPr>
            <w:r w:rsidRPr="005C2D8B">
              <w:rPr>
                <w:b/>
              </w:rPr>
              <w:t>-$33,750</w:t>
            </w:r>
          </w:p>
        </w:tc>
        <w:tc>
          <w:tcPr>
            <w:tcW w:w="487" w:type="pct"/>
            <w:shd w:val="clear" w:color="auto" w:fill="FFFFFF"/>
            <w:vAlign w:val="center"/>
          </w:tcPr>
          <w:p w:rsidR="00C628F2" w:rsidRPr="005C2D8B" w:rsidRDefault="00C628F2" w:rsidP="005C2D8B">
            <w:pPr>
              <w:pStyle w:val="Tabletext"/>
              <w:jc w:val="center"/>
              <w:rPr>
                <w:b/>
              </w:rPr>
            </w:pPr>
            <w:r w:rsidRPr="005C2D8B">
              <w:rPr>
                <w:b/>
              </w:rPr>
              <w:t>-$42,927</w:t>
            </w:r>
          </w:p>
        </w:tc>
        <w:tc>
          <w:tcPr>
            <w:tcW w:w="487" w:type="pct"/>
            <w:shd w:val="clear" w:color="auto" w:fill="FFFFFF"/>
            <w:vAlign w:val="center"/>
          </w:tcPr>
          <w:p w:rsidR="00C628F2" w:rsidRPr="005C2D8B" w:rsidRDefault="00C628F2" w:rsidP="005C2D8B">
            <w:pPr>
              <w:pStyle w:val="Tabletext"/>
              <w:jc w:val="center"/>
              <w:rPr>
                <w:b/>
              </w:rPr>
            </w:pPr>
            <w:r w:rsidRPr="005C2D8B">
              <w:rPr>
                <w:b/>
              </w:rPr>
              <w:t>-$52,763</w:t>
            </w:r>
          </w:p>
        </w:tc>
        <w:tc>
          <w:tcPr>
            <w:tcW w:w="487" w:type="pct"/>
            <w:shd w:val="clear" w:color="auto" w:fill="FFFFFF"/>
            <w:vAlign w:val="center"/>
          </w:tcPr>
          <w:p w:rsidR="00C628F2" w:rsidRPr="005C2D8B" w:rsidRDefault="00C628F2" w:rsidP="005C2D8B">
            <w:pPr>
              <w:pStyle w:val="Tabletext"/>
              <w:jc w:val="center"/>
              <w:rPr>
                <w:b/>
              </w:rPr>
            </w:pPr>
            <w:r w:rsidRPr="005C2D8B">
              <w:rPr>
                <w:b/>
              </w:rPr>
              <w:t>-$63,259</w:t>
            </w:r>
          </w:p>
        </w:tc>
      </w:tr>
    </w:tbl>
    <w:p w:rsidR="00C628F2" w:rsidRPr="000A28E1" w:rsidRDefault="00C628F2" w:rsidP="00721806">
      <w:pPr>
        <w:pStyle w:val="Tablenotes"/>
        <w:rPr>
          <w:sz w:val="20"/>
          <w:szCs w:val="20"/>
        </w:rPr>
      </w:pPr>
      <w:r w:rsidRPr="000A28E1">
        <w:rPr>
          <w:sz w:val="20"/>
          <w:szCs w:val="20"/>
        </w:rPr>
        <w:t xml:space="preserve">Source: </w:t>
      </w:r>
      <w:r>
        <w:rPr>
          <w:sz w:val="20"/>
          <w:szCs w:val="20"/>
        </w:rPr>
        <w:t>Table 63, p109 of the application</w:t>
      </w:r>
      <w:r w:rsidRPr="000A28E1">
        <w:rPr>
          <w:sz w:val="20"/>
          <w:szCs w:val="20"/>
        </w:rPr>
        <w:br/>
      </w:r>
      <w:r>
        <w:rPr>
          <w:sz w:val="20"/>
          <w:szCs w:val="20"/>
        </w:rPr>
        <w:t xml:space="preserve">ICD = </w:t>
      </w:r>
      <w:r w:rsidRPr="000A28E1">
        <w:rPr>
          <w:sz w:val="20"/>
          <w:szCs w:val="20"/>
        </w:rPr>
        <w:t>implantab</w:t>
      </w:r>
      <w:r>
        <w:rPr>
          <w:sz w:val="20"/>
          <w:szCs w:val="20"/>
        </w:rPr>
        <w:t>le cardioverter-defibrillator; MBS = Medicare Benefits Schedule; S = subcutaneous; TV =</w:t>
      </w:r>
      <w:r w:rsidRPr="000A28E1">
        <w:rPr>
          <w:sz w:val="20"/>
          <w:szCs w:val="20"/>
        </w:rPr>
        <w:t xml:space="preserve"> transvenous</w:t>
      </w:r>
    </w:p>
    <w:p w:rsidR="00C628F2" w:rsidRPr="003563F4" w:rsidRDefault="00C628F2" w:rsidP="00721806">
      <w:pPr>
        <w:rPr>
          <w:i/>
        </w:rPr>
      </w:pPr>
      <w:r w:rsidRPr="001F3246">
        <w:t>The</w:t>
      </w:r>
      <w:r>
        <w:t xml:space="preserve"> evaluation considered the</w:t>
      </w:r>
      <w:r w:rsidRPr="001F3246">
        <w:t xml:space="preserve"> estimation is uncertain and relies on the accuracy of the number of eligible patients and uptake of </w:t>
      </w:r>
      <w:r>
        <w:t>S-</w:t>
      </w:r>
      <w:r w:rsidRPr="001F3246">
        <w:t xml:space="preserve">ICD in Australia. Patients who currently have a contraindication to </w:t>
      </w:r>
      <w:r>
        <w:t>T-</w:t>
      </w:r>
      <w:r w:rsidRPr="001F3246">
        <w:t xml:space="preserve">ICD may be eligible for </w:t>
      </w:r>
      <w:r>
        <w:t>S-</w:t>
      </w:r>
      <w:r w:rsidRPr="001F3246">
        <w:t xml:space="preserve">ICD. </w:t>
      </w:r>
    </w:p>
    <w:p w:rsidR="00C628F2" w:rsidRPr="00F3048D" w:rsidRDefault="00C628F2" w:rsidP="00F3048D"/>
    <w:p w:rsidR="00C628F2" w:rsidRPr="00EF13A3" w:rsidRDefault="00C628F2" w:rsidP="00721806">
      <w:pPr>
        <w:pStyle w:val="Guidelines"/>
        <w:numPr>
          <w:ilvl w:val="0"/>
          <w:numId w:val="0"/>
        </w:numPr>
        <w:jc w:val="left"/>
        <w:rPr>
          <w:rFonts w:ascii="Times New Roman" w:hAnsi="Times New Roman"/>
          <w:color w:val="auto"/>
        </w:rPr>
      </w:pPr>
      <w:r w:rsidRPr="00EF13A3">
        <w:rPr>
          <w:rFonts w:ascii="Times New Roman" w:hAnsi="Times New Roman"/>
          <w:color w:val="auto"/>
        </w:rPr>
        <w:t>Sensitivity analyses were not provided in the application. A number of uncertainties were identified during evaluation and sensitivity analyses were undertaken</w:t>
      </w:r>
      <w:r>
        <w:rPr>
          <w:rFonts w:ascii="Times New Roman" w:hAnsi="Times New Roman"/>
          <w:color w:val="auto"/>
        </w:rPr>
        <w:t>. The table below</w:t>
      </w:r>
      <w:r w:rsidRPr="00EF13A3">
        <w:rPr>
          <w:rFonts w:ascii="Times New Roman" w:hAnsi="Times New Roman"/>
          <w:color w:val="auto"/>
        </w:rPr>
        <w:t xml:space="preserve"> summarises the results of the sensitivity analysis conducted during the evaluation. </w:t>
      </w:r>
    </w:p>
    <w:p w:rsidR="00C628F2" w:rsidRDefault="00C628F2" w:rsidP="00721806">
      <w:pPr>
        <w:pStyle w:val="Caption"/>
      </w:pPr>
    </w:p>
    <w:p w:rsidR="00C628F2" w:rsidRPr="00CD6FCB" w:rsidRDefault="00C628F2" w:rsidP="00721806">
      <w:pPr>
        <w:pStyle w:val="Caption"/>
        <w:rPr>
          <w:i/>
        </w:rPr>
      </w:pPr>
      <w:r w:rsidRPr="00CD6FCB">
        <w:rPr>
          <w:i/>
        </w:rPr>
        <w:t xml:space="preserve">Sensitivity analysis of the estimated net cost to the MBS </w:t>
      </w:r>
    </w:p>
    <w:tbl>
      <w:tblPr>
        <w:tblW w:w="9442"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4691"/>
        <w:gridCol w:w="909"/>
        <w:gridCol w:w="827"/>
        <w:gridCol w:w="1015"/>
        <w:gridCol w:w="1000"/>
        <w:gridCol w:w="1000"/>
      </w:tblGrid>
      <w:tr w:rsidR="00C628F2" w:rsidRPr="00E22524" w:rsidTr="00721806">
        <w:trPr>
          <w:trHeight w:val="20"/>
          <w:tblHeader/>
        </w:trPr>
        <w:tc>
          <w:tcPr>
            <w:tcW w:w="4691" w:type="dxa"/>
            <w:noWrap/>
            <w:vAlign w:val="center"/>
          </w:tcPr>
          <w:p w:rsidR="00C628F2" w:rsidRPr="007C5BAD" w:rsidRDefault="00C628F2" w:rsidP="00721806">
            <w:pPr>
              <w:pStyle w:val="Tabletext"/>
              <w:rPr>
                <w:b/>
                <w:i/>
                <w:szCs w:val="20"/>
              </w:rPr>
            </w:pPr>
            <w:r>
              <w:rPr>
                <w:b/>
                <w:i/>
                <w:szCs w:val="20"/>
              </w:rPr>
              <w:t>Variables for One-way Sensitivity Analysis/Year</w:t>
            </w:r>
          </w:p>
        </w:tc>
        <w:tc>
          <w:tcPr>
            <w:tcW w:w="909" w:type="dxa"/>
            <w:noWrap/>
            <w:vAlign w:val="center"/>
          </w:tcPr>
          <w:p w:rsidR="00C628F2" w:rsidRPr="00E22524" w:rsidRDefault="00C628F2" w:rsidP="00721806">
            <w:pPr>
              <w:pStyle w:val="Tabletext"/>
              <w:jc w:val="center"/>
              <w:rPr>
                <w:b/>
                <w:i/>
                <w:sz w:val="24"/>
              </w:rPr>
            </w:pPr>
            <w:r w:rsidRPr="00E22524">
              <w:rPr>
                <w:b/>
                <w:i/>
              </w:rPr>
              <w:t>2015</w:t>
            </w:r>
          </w:p>
        </w:tc>
        <w:tc>
          <w:tcPr>
            <w:tcW w:w="827" w:type="dxa"/>
            <w:noWrap/>
            <w:vAlign w:val="center"/>
          </w:tcPr>
          <w:p w:rsidR="00C628F2" w:rsidRPr="00E22524" w:rsidRDefault="00C628F2" w:rsidP="00721806">
            <w:pPr>
              <w:pStyle w:val="Tabletext"/>
              <w:jc w:val="center"/>
              <w:rPr>
                <w:b/>
                <w:i/>
                <w:sz w:val="24"/>
              </w:rPr>
            </w:pPr>
            <w:r w:rsidRPr="00E22524">
              <w:rPr>
                <w:b/>
                <w:i/>
              </w:rPr>
              <w:t>2016</w:t>
            </w:r>
          </w:p>
        </w:tc>
        <w:tc>
          <w:tcPr>
            <w:tcW w:w="1015" w:type="dxa"/>
            <w:noWrap/>
            <w:vAlign w:val="center"/>
          </w:tcPr>
          <w:p w:rsidR="00C628F2" w:rsidRPr="00E22524" w:rsidRDefault="00C628F2" w:rsidP="00721806">
            <w:pPr>
              <w:pStyle w:val="Tabletext"/>
              <w:jc w:val="center"/>
              <w:rPr>
                <w:b/>
                <w:i/>
                <w:sz w:val="24"/>
              </w:rPr>
            </w:pPr>
            <w:r w:rsidRPr="00E22524">
              <w:rPr>
                <w:b/>
                <w:i/>
              </w:rPr>
              <w:t>2017</w:t>
            </w:r>
          </w:p>
        </w:tc>
        <w:tc>
          <w:tcPr>
            <w:tcW w:w="1000" w:type="dxa"/>
            <w:noWrap/>
            <w:vAlign w:val="center"/>
          </w:tcPr>
          <w:p w:rsidR="00C628F2" w:rsidRPr="00E22524" w:rsidRDefault="00C628F2" w:rsidP="00721806">
            <w:pPr>
              <w:pStyle w:val="Tabletext"/>
              <w:jc w:val="center"/>
              <w:rPr>
                <w:b/>
                <w:i/>
                <w:sz w:val="24"/>
              </w:rPr>
            </w:pPr>
            <w:r w:rsidRPr="00E22524">
              <w:rPr>
                <w:b/>
                <w:i/>
              </w:rPr>
              <w:t>2018</w:t>
            </w:r>
          </w:p>
        </w:tc>
        <w:tc>
          <w:tcPr>
            <w:tcW w:w="1000" w:type="dxa"/>
            <w:noWrap/>
            <w:vAlign w:val="center"/>
          </w:tcPr>
          <w:p w:rsidR="00C628F2" w:rsidRPr="00E22524" w:rsidRDefault="00C628F2" w:rsidP="00721806">
            <w:pPr>
              <w:pStyle w:val="Tabletext"/>
              <w:jc w:val="center"/>
              <w:rPr>
                <w:b/>
                <w:i/>
                <w:sz w:val="24"/>
              </w:rPr>
            </w:pPr>
            <w:r w:rsidRPr="00E22524">
              <w:rPr>
                <w:b/>
                <w:i/>
              </w:rPr>
              <w:t>2019</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b/>
                <w:sz w:val="24"/>
              </w:rPr>
            </w:pPr>
            <w:r w:rsidRPr="00E22524">
              <w:rPr>
                <w:rFonts w:eastAsia="Arial Unicode MS"/>
                <w:b/>
              </w:rPr>
              <w:t>Overall net cost base case</w:t>
            </w:r>
          </w:p>
        </w:tc>
        <w:tc>
          <w:tcPr>
            <w:tcW w:w="909" w:type="dxa"/>
            <w:noWrap/>
          </w:tcPr>
          <w:p w:rsidR="00C628F2" w:rsidRPr="00E22524" w:rsidRDefault="00C628F2" w:rsidP="00721806">
            <w:pPr>
              <w:pStyle w:val="Tabletext"/>
              <w:jc w:val="center"/>
              <w:rPr>
                <w:b/>
              </w:rPr>
            </w:pPr>
            <w:r w:rsidRPr="00E22524">
              <w:rPr>
                <w:b/>
              </w:rPr>
              <w:t>-$25,232</w:t>
            </w:r>
          </w:p>
        </w:tc>
        <w:tc>
          <w:tcPr>
            <w:tcW w:w="827" w:type="dxa"/>
            <w:noWrap/>
          </w:tcPr>
          <w:p w:rsidR="00C628F2" w:rsidRPr="00E22524" w:rsidRDefault="00C628F2" w:rsidP="00721806">
            <w:pPr>
              <w:pStyle w:val="Tabletext"/>
              <w:jc w:val="center"/>
              <w:rPr>
                <w:b/>
              </w:rPr>
            </w:pPr>
            <w:r w:rsidRPr="00E22524">
              <w:rPr>
                <w:b/>
              </w:rPr>
              <w:t>-$33,750</w:t>
            </w:r>
          </w:p>
        </w:tc>
        <w:tc>
          <w:tcPr>
            <w:tcW w:w="1015" w:type="dxa"/>
            <w:noWrap/>
          </w:tcPr>
          <w:p w:rsidR="00C628F2" w:rsidRPr="00E22524" w:rsidRDefault="00C628F2" w:rsidP="00721806">
            <w:pPr>
              <w:pStyle w:val="Tabletext"/>
              <w:jc w:val="center"/>
              <w:rPr>
                <w:b/>
              </w:rPr>
            </w:pPr>
            <w:r w:rsidRPr="00E22524">
              <w:rPr>
                <w:b/>
              </w:rPr>
              <w:t>-$42,927</w:t>
            </w:r>
          </w:p>
        </w:tc>
        <w:tc>
          <w:tcPr>
            <w:tcW w:w="1000" w:type="dxa"/>
            <w:noWrap/>
          </w:tcPr>
          <w:p w:rsidR="00C628F2" w:rsidRPr="00E22524" w:rsidRDefault="00C628F2" w:rsidP="00721806">
            <w:pPr>
              <w:pStyle w:val="Tabletext"/>
              <w:jc w:val="center"/>
              <w:rPr>
                <w:b/>
              </w:rPr>
            </w:pPr>
            <w:r w:rsidRPr="00E22524">
              <w:rPr>
                <w:b/>
              </w:rPr>
              <w:t>-$52,763</w:t>
            </w:r>
          </w:p>
        </w:tc>
        <w:tc>
          <w:tcPr>
            <w:tcW w:w="1000" w:type="dxa"/>
            <w:noWrap/>
          </w:tcPr>
          <w:p w:rsidR="00C628F2" w:rsidRPr="00E22524" w:rsidRDefault="00C628F2" w:rsidP="00721806">
            <w:pPr>
              <w:pStyle w:val="Tabletext"/>
              <w:jc w:val="center"/>
              <w:rPr>
                <w:b/>
              </w:rPr>
            </w:pPr>
            <w:r w:rsidRPr="00E22524">
              <w:rPr>
                <w:b/>
              </w:rPr>
              <w:t>-$63,259</w:t>
            </w:r>
          </w:p>
        </w:tc>
      </w:tr>
      <w:tr w:rsidR="00C628F2" w:rsidRPr="00E22524" w:rsidTr="00721806">
        <w:trPr>
          <w:trHeight w:val="20"/>
        </w:trPr>
        <w:tc>
          <w:tcPr>
            <w:tcW w:w="4691" w:type="dxa"/>
            <w:noWrap/>
            <w:vAlign w:val="center"/>
          </w:tcPr>
          <w:p w:rsidR="00C628F2" w:rsidRPr="00E22524" w:rsidRDefault="00C628F2" w:rsidP="00721806">
            <w:pPr>
              <w:pStyle w:val="Tabletext"/>
              <w:rPr>
                <w:i/>
              </w:rPr>
            </w:pPr>
            <w:r w:rsidRPr="00E22524">
              <w:rPr>
                <w:b/>
                <w:i/>
                <w:szCs w:val="20"/>
              </w:rPr>
              <w:t xml:space="preserve">% </w:t>
            </w:r>
            <w:r>
              <w:rPr>
                <w:b/>
                <w:i/>
                <w:szCs w:val="20"/>
              </w:rPr>
              <w:t xml:space="preserve">TV-ICD </w:t>
            </w:r>
            <w:proofErr w:type="spellStart"/>
            <w:r>
              <w:rPr>
                <w:b/>
                <w:i/>
                <w:szCs w:val="20"/>
              </w:rPr>
              <w:t>popn</w:t>
            </w:r>
            <w:proofErr w:type="spellEnd"/>
            <w:r>
              <w:rPr>
                <w:b/>
                <w:i/>
                <w:szCs w:val="20"/>
              </w:rPr>
              <w:t xml:space="preserve"> e</w:t>
            </w:r>
            <w:r w:rsidRPr="00E22524">
              <w:rPr>
                <w:b/>
                <w:i/>
                <w:szCs w:val="20"/>
              </w:rPr>
              <w:t>ligible for S-ICD (75% base case)</w:t>
            </w:r>
          </w:p>
        </w:tc>
        <w:tc>
          <w:tcPr>
            <w:tcW w:w="909" w:type="dxa"/>
            <w:noWrap/>
            <w:vAlign w:val="bottom"/>
          </w:tcPr>
          <w:p w:rsidR="00C628F2" w:rsidRPr="00E22524" w:rsidRDefault="00C628F2" w:rsidP="00721806">
            <w:pPr>
              <w:pStyle w:val="Tabletext"/>
              <w:jc w:val="center"/>
              <w:rPr>
                <w:i/>
                <w:szCs w:val="20"/>
              </w:rPr>
            </w:pPr>
            <w:r>
              <w:rPr>
                <w:i/>
                <w:szCs w:val="20"/>
              </w:rPr>
              <w:t>-</w:t>
            </w:r>
          </w:p>
        </w:tc>
        <w:tc>
          <w:tcPr>
            <w:tcW w:w="827" w:type="dxa"/>
            <w:noWrap/>
            <w:vAlign w:val="bottom"/>
          </w:tcPr>
          <w:p w:rsidR="00C628F2" w:rsidRPr="00E22524" w:rsidRDefault="00C628F2" w:rsidP="00721806">
            <w:pPr>
              <w:pStyle w:val="Tabletext"/>
              <w:jc w:val="center"/>
              <w:rPr>
                <w:i/>
                <w:szCs w:val="20"/>
              </w:rPr>
            </w:pPr>
            <w:r>
              <w:rPr>
                <w:i/>
                <w:szCs w:val="20"/>
              </w:rPr>
              <w:t>-</w:t>
            </w:r>
          </w:p>
        </w:tc>
        <w:tc>
          <w:tcPr>
            <w:tcW w:w="1015"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r>
      <w:tr w:rsidR="00C628F2" w:rsidRPr="00E22524" w:rsidTr="00721806">
        <w:trPr>
          <w:trHeight w:val="20"/>
        </w:trPr>
        <w:tc>
          <w:tcPr>
            <w:tcW w:w="4691" w:type="dxa"/>
            <w:noWrap/>
            <w:vAlign w:val="center"/>
          </w:tcPr>
          <w:p w:rsidR="00C628F2" w:rsidRPr="00E22524" w:rsidRDefault="00C628F2" w:rsidP="00721806">
            <w:pPr>
              <w:pStyle w:val="Tabletext"/>
              <w:rPr>
                <w:i/>
              </w:rPr>
            </w:pPr>
            <w:r w:rsidRPr="00E22524">
              <w:rPr>
                <w:i/>
              </w:rPr>
              <w:t>Low estimate (70%)</w:t>
            </w:r>
          </w:p>
        </w:tc>
        <w:tc>
          <w:tcPr>
            <w:tcW w:w="909" w:type="dxa"/>
            <w:noWrap/>
            <w:vAlign w:val="bottom"/>
          </w:tcPr>
          <w:p w:rsidR="00C628F2" w:rsidRPr="00E22524" w:rsidRDefault="00C628F2" w:rsidP="00721806">
            <w:pPr>
              <w:pStyle w:val="Tabletext"/>
              <w:jc w:val="center"/>
              <w:rPr>
                <w:i/>
                <w:szCs w:val="20"/>
              </w:rPr>
            </w:pPr>
            <w:r w:rsidRPr="00E22524">
              <w:rPr>
                <w:i/>
                <w:szCs w:val="20"/>
              </w:rPr>
              <w:t>-$23,550</w:t>
            </w:r>
          </w:p>
        </w:tc>
        <w:tc>
          <w:tcPr>
            <w:tcW w:w="827" w:type="dxa"/>
            <w:noWrap/>
            <w:vAlign w:val="bottom"/>
          </w:tcPr>
          <w:p w:rsidR="00C628F2" w:rsidRPr="00E22524" w:rsidRDefault="00C628F2" w:rsidP="00721806">
            <w:pPr>
              <w:pStyle w:val="Tabletext"/>
              <w:jc w:val="center"/>
              <w:rPr>
                <w:i/>
                <w:szCs w:val="20"/>
              </w:rPr>
            </w:pPr>
            <w:r w:rsidRPr="00E22524">
              <w:rPr>
                <w:i/>
                <w:szCs w:val="20"/>
              </w:rPr>
              <w:t>-$31,500</w:t>
            </w:r>
          </w:p>
        </w:tc>
        <w:tc>
          <w:tcPr>
            <w:tcW w:w="1015" w:type="dxa"/>
            <w:noWrap/>
            <w:vAlign w:val="bottom"/>
          </w:tcPr>
          <w:p w:rsidR="00C628F2" w:rsidRPr="00E22524" w:rsidRDefault="00C628F2" w:rsidP="00721806">
            <w:pPr>
              <w:pStyle w:val="Tabletext"/>
              <w:jc w:val="center"/>
              <w:rPr>
                <w:i/>
                <w:szCs w:val="20"/>
              </w:rPr>
            </w:pPr>
            <w:r w:rsidRPr="00E22524">
              <w:rPr>
                <w:i/>
                <w:szCs w:val="20"/>
              </w:rPr>
              <w:t>-$40,065</w:t>
            </w:r>
          </w:p>
        </w:tc>
        <w:tc>
          <w:tcPr>
            <w:tcW w:w="1000" w:type="dxa"/>
            <w:noWrap/>
            <w:vAlign w:val="bottom"/>
          </w:tcPr>
          <w:p w:rsidR="00C628F2" w:rsidRPr="00E22524" w:rsidRDefault="00C628F2" w:rsidP="00721806">
            <w:pPr>
              <w:pStyle w:val="Tabletext"/>
              <w:jc w:val="center"/>
              <w:rPr>
                <w:i/>
                <w:szCs w:val="20"/>
              </w:rPr>
            </w:pPr>
            <w:r w:rsidRPr="00E22524">
              <w:rPr>
                <w:i/>
                <w:szCs w:val="20"/>
              </w:rPr>
              <w:t>-$49,245</w:t>
            </w:r>
          </w:p>
        </w:tc>
        <w:tc>
          <w:tcPr>
            <w:tcW w:w="1000" w:type="dxa"/>
            <w:noWrap/>
            <w:vAlign w:val="bottom"/>
          </w:tcPr>
          <w:p w:rsidR="00C628F2" w:rsidRPr="00E22524" w:rsidRDefault="00C628F2" w:rsidP="00721806">
            <w:pPr>
              <w:pStyle w:val="Tabletext"/>
              <w:jc w:val="center"/>
              <w:rPr>
                <w:i/>
                <w:szCs w:val="20"/>
              </w:rPr>
            </w:pPr>
            <w:r w:rsidRPr="00E22524">
              <w:rPr>
                <w:i/>
                <w:szCs w:val="20"/>
              </w:rPr>
              <w:t>-$59,041</w:t>
            </w:r>
          </w:p>
        </w:tc>
      </w:tr>
      <w:tr w:rsidR="00C628F2" w:rsidRPr="00E22524" w:rsidTr="00721806">
        <w:trPr>
          <w:trHeight w:val="20"/>
        </w:trPr>
        <w:tc>
          <w:tcPr>
            <w:tcW w:w="4691" w:type="dxa"/>
            <w:noWrap/>
            <w:vAlign w:val="center"/>
          </w:tcPr>
          <w:p w:rsidR="00C628F2" w:rsidRPr="00E22524" w:rsidRDefault="00C628F2" w:rsidP="00721806">
            <w:pPr>
              <w:pStyle w:val="Tabletext"/>
              <w:rPr>
                <w:i/>
              </w:rPr>
            </w:pPr>
            <w:r w:rsidRPr="00E22524">
              <w:rPr>
                <w:i/>
              </w:rPr>
              <w:t>High estimate (80%)</w:t>
            </w:r>
          </w:p>
        </w:tc>
        <w:tc>
          <w:tcPr>
            <w:tcW w:w="909" w:type="dxa"/>
            <w:noWrap/>
            <w:vAlign w:val="bottom"/>
          </w:tcPr>
          <w:p w:rsidR="00C628F2" w:rsidRPr="00E22524" w:rsidRDefault="00C628F2" w:rsidP="00721806">
            <w:pPr>
              <w:pStyle w:val="Tabletext"/>
              <w:jc w:val="center"/>
              <w:rPr>
                <w:i/>
                <w:szCs w:val="20"/>
              </w:rPr>
            </w:pPr>
            <w:r w:rsidRPr="00E22524">
              <w:rPr>
                <w:i/>
                <w:szCs w:val="20"/>
              </w:rPr>
              <w:t>-$26,914</w:t>
            </w:r>
          </w:p>
        </w:tc>
        <w:tc>
          <w:tcPr>
            <w:tcW w:w="827" w:type="dxa"/>
            <w:noWrap/>
            <w:vAlign w:val="bottom"/>
          </w:tcPr>
          <w:p w:rsidR="00C628F2" w:rsidRPr="00E22524" w:rsidRDefault="00C628F2" w:rsidP="00721806">
            <w:pPr>
              <w:pStyle w:val="Tabletext"/>
              <w:jc w:val="center"/>
              <w:rPr>
                <w:i/>
                <w:szCs w:val="20"/>
              </w:rPr>
            </w:pPr>
            <w:r w:rsidRPr="00E22524">
              <w:rPr>
                <w:i/>
                <w:szCs w:val="20"/>
              </w:rPr>
              <w:t>-$36,000</w:t>
            </w:r>
          </w:p>
        </w:tc>
        <w:tc>
          <w:tcPr>
            <w:tcW w:w="1015" w:type="dxa"/>
            <w:noWrap/>
            <w:vAlign w:val="bottom"/>
          </w:tcPr>
          <w:p w:rsidR="00C628F2" w:rsidRPr="00E22524" w:rsidRDefault="00C628F2" w:rsidP="00721806">
            <w:pPr>
              <w:pStyle w:val="Tabletext"/>
              <w:jc w:val="center"/>
              <w:rPr>
                <w:i/>
                <w:szCs w:val="20"/>
              </w:rPr>
            </w:pPr>
            <w:r w:rsidRPr="00E22524">
              <w:rPr>
                <w:i/>
                <w:szCs w:val="20"/>
              </w:rPr>
              <w:t>-$45,788</w:t>
            </w:r>
          </w:p>
        </w:tc>
        <w:tc>
          <w:tcPr>
            <w:tcW w:w="1000" w:type="dxa"/>
            <w:noWrap/>
            <w:vAlign w:val="bottom"/>
          </w:tcPr>
          <w:p w:rsidR="00C628F2" w:rsidRPr="00E22524" w:rsidRDefault="00C628F2" w:rsidP="00721806">
            <w:pPr>
              <w:pStyle w:val="Tabletext"/>
              <w:jc w:val="center"/>
              <w:rPr>
                <w:i/>
                <w:szCs w:val="20"/>
              </w:rPr>
            </w:pPr>
            <w:r w:rsidRPr="00E22524">
              <w:rPr>
                <w:i/>
                <w:szCs w:val="20"/>
              </w:rPr>
              <w:t>-$56,280</w:t>
            </w:r>
          </w:p>
        </w:tc>
        <w:tc>
          <w:tcPr>
            <w:tcW w:w="1000" w:type="dxa"/>
            <w:noWrap/>
            <w:vAlign w:val="bottom"/>
          </w:tcPr>
          <w:p w:rsidR="00C628F2" w:rsidRPr="00E22524" w:rsidRDefault="00C628F2" w:rsidP="00721806">
            <w:pPr>
              <w:pStyle w:val="Tabletext"/>
              <w:jc w:val="center"/>
              <w:rPr>
                <w:i/>
                <w:szCs w:val="20"/>
              </w:rPr>
            </w:pPr>
            <w:r w:rsidRPr="00E22524">
              <w:rPr>
                <w:i/>
                <w:szCs w:val="20"/>
              </w:rPr>
              <w:t>-$67,476</w:t>
            </w:r>
          </w:p>
        </w:tc>
      </w:tr>
      <w:tr w:rsidR="00C628F2" w:rsidRPr="00E22524" w:rsidTr="00721806">
        <w:trPr>
          <w:trHeight w:val="20"/>
        </w:trPr>
        <w:tc>
          <w:tcPr>
            <w:tcW w:w="4691" w:type="dxa"/>
            <w:noWrap/>
            <w:vAlign w:val="center"/>
          </w:tcPr>
          <w:p w:rsidR="00C628F2" w:rsidRPr="00E22524" w:rsidRDefault="00C628F2" w:rsidP="00721806">
            <w:pPr>
              <w:pStyle w:val="Tabletext"/>
              <w:rPr>
                <w:i/>
                <w:sz w:val="24"/>
              </w:rPr>
            </w:pPr>
            <w:r w:rsidRPr="00E22524">
              <w:rPr>
                <w:b/>
                <w:i/>
                <w:szCs w:val="20"/>
              </w:rPr>
              <w:t xml:space="preserve">Growth due to </w:t>
            </w:r>
            <w:r>
              <w:rPr>
                <w:b/>
                <w:i/>
                <w:szCs w:val="20"/>
              </w:rPr>
              <w:t xml:space="preserve">additional patient </w:t>
            </w:r>
            <w:proofErr w:type="spellStart"/>
            <w:r>
              <w:rPr>
                <w:b/>
                <w:i/>
                <w:szCs w:val="20"/>
              </w:rPr>
              <w:t>popn</w:t>
            </w:r>
            <w:proofErr w:type="spellEnd"/>
            <w:r w:rsidRPr="00E22524">
              <w:rPr>
                <w:b/>
                <w:i/>
                <w:szCs w:val="20"/>
              </w:rPr>
              <w:t xml:space="preserve"> (5% base case)</w:t>
            </w:r>
          </w:p>
        </w:tc>
        <w:tc>
          <w:tcPr>
            <w:tcW w:w="909" w:type="dxa"/>
            <w:noWrap/>
            <w:vAlign w:val="center"/>
          </w:tcPr>
          <w:p w:rsidR="00C628F2" w:rsidRPr="00E22524" w:rsidRDefault="00C628F2" w:rsidP="00721806">
            <w:pPr>
              <w:pStyle w:val="Tabletext"/>
              <w:jc w:val="center"/>
              <w:rPr>
                <w:i/>
                <w:szCs w:val="20"/>
              </w:rPr>
            </w:pPr>
            <w:r>
              <w:rPr>
                <w:i/>
                <w:szCs w:val="20"/>
              </w:rPr>
              <w:t>-</w:t>
            </w:r>
          </w:p>
        </w:tc>
        <w:tc>
          <w:tcPr>
            <w:tcW w:w="827" w:type="dxa"/>
            <w:noWrap/>
            <w:vAlign w:val="center"/>
          </w:tcPr>
          <w:p w:rsidR="00C628F2" w:rsidRPr="00E22524" w:rsidRDefault="00C628F2" w:rsidP="00721806">
            <w:pPr>
              <w:pStyle w:val="Tabletext"/>
              <w:jc w:val="center"/>
              <w:rPr>
                <w:i/>
                <w:szCs w:val="20"/>
              </w:rPr>
            </w:pPr>
            <w:r>
              <w:rPr>
                <w:i/>
                <w:szCs w:val="20"/>
              </w:rPr>
              <w:t>-</w:t>
            </w:r>
          </w:p>
        </w:tc>
        <w:tc>
          <w:tcPr>
            <w:tcW w:w="1015" w:type="dxa"/>
            <w:noWrap/>
            <w:vAlign w:val="center"/>
          </w:tcPr>
          <w:p w:rsidR="00C628F2" w:rsidRPr="00E22524" w:rsidRDefault="00C628F2" w:rsidP="00721806">
            <w:pPr>
              <w:pStyle w:val="Tabletext"/>
              <w:jc w:val="center"/>
              <w:rPr>
                <w:i/>
                <w:szCs w:val="20"/>
              </w:rPr>
            </w:pPr>
            <w:r>
              <w:rPr>
                <w:i/>
                <w:szCs w:val="20"/>
              </w:rPr>
              <w:t>-</w:t>
            </w:r>
          </w:p>
        </w:tc>
        <w:tc>
          <w:tcPr>
            <w:tcW w:w="1000" w:type="dxa"/>
            <w:noWrap/>
            <w:vAlign w:val="center"/>
          </w:tcPr>
          <w:p w:rsidR="00C628F2" w:rsidRPr="00E22524" w:rsidRDefault="00C628F2" w:rsidP="00721806">
            <w:pPr>
              <w:pStyle w:val="Tabletext"/>
              <w:jc w:val="center"/>
              <w:rPr>
                <w:i/>
                <w:szCs w:val="20"/>
              </w:rPr>
            </w:pPr>
            <w:r>
              <w:rPr>
                <w:i/>
                <w:szCs w:val="20"/>
              </w:rPr>
              <w:t>-</w:t>
            </w:r>
          </w:p>
        </w:tc>
        <w:tc>
          <w:tcPr>
            <w:tcW w:w="1000" w:type="dxa"/>
            <w:noWrap/>
            <w:vAlign w:val="center"/>
          </w:tcPr>
          <w:p w:rsidR="00C628F2" w:rsidRPr="00E22524" w:rsidRDefault="00C628F2" w:rsidP="00721806">
            <w:pPr>
              <w:pStyle w:val="Tabletext"/>
              <w:jc w:val="center"/>
              <w:rPr>
                <w:i/>
                <w:szCs w:val="20"/>
              </w:rPr>
            </w:pPr>
            <w:r>
              <w:rPr>
                <w:i/>
                <w:szCs w:val="20"/>
              </w:rPr>
              <w:t>-</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Pr>
                <w:rFonts w:eastAsia="Arial Unicode MS"/>
                <w:i/>
              </w:rPr>
              <w:t>E</w:t>
            </w:r>
            <w:r w:rsidRPr="00E22524">
              <w:rPr>
                <w:rFonts w:eastAsia="Arial Unicode MS"/>
                <w:i/>
              </w:rPr>
              <w:t>stimate (10%)</w:t>
            </w:r>
          </w:p>
        </w:tc>
        <w:tc>
          <w:tcPr>
            <w:tcW w:w="909" w:type="dxa"/>
            <w:noWrap/>
            <w:vAlign w:val="bottom"/>
          </w:tcPr>
          <w:p w:rsidR="00C628F2" w:rsidRPr="00E22524" w:rsidRDefault="00C628F2" w:rsidP="00721806">
            <w:pPr>
              <w:pStyle w:val="Tabletext"/>
              <w:jc w:val="center"/>
              <w:rPr>
                <w:rFonts w:cs="Arial"/>
                <w:i/>
                <w:szCs w:val="20"/>
              </w:rPr>
            </w:pPr>
            <w:r w:rsidRPr="00E22524">
              <w:rPr>
                <w:rFonts w:cs="Arial"/>
                <w:i/>
                <w:szCs w:val="20"/>
              </w:rPr>
              <w:t>-$19,375</w:t>
            </w:r>
          </w:p>
        </w:tc>
        <w:tc>
          <w:tcPr>
            <w:tcW w:w="827" w:type="dxa"/>
            <w:noWrap/>
            <w:vAlign w:val="bottom"/>
          </w:tcPr>
          <w:p w:rsidR="00C628F2" w:rsidRPr="00E22524" w:rsidRDefault="00C628F2" w:rsidP="00721806">
            <w:pPr>
              <w:pStyle w:val="Tabletext"/>
              <w:jc w:val="center"/>
              <w:rPr>
                <w:rFonts w:cs="Arial"/>
                <w:i/>
                <w:szCs w:val="20"/>
              </w:rPr>
            </w:pPr>
            <w:r w:rsidRPr="00E22524">
              <w:rPr>
                <w:rFonts w:cs="Arial"/>
                <w:i/>
                <w:szCs w:val="20"/>
              </w:rPr>
              <w:t>-$25,916</w:t>
            </w:r>
          </w:p>
        </w:tc>
        <w:tc>
          <w:tcPr>
            <w:tcW w:w="1015" w:type="dxa"/>
            <w:noWrap/>
            <w:vAlign w:val="bottom"/>
          </w:tcPr>
          <w:p w:rsidR="00C628F2" w:rsidRPr="00E22524" w:rsidRDefault="00C628F2" w:rsidP="00721806">
            <w:pPr>
              <w:pStyle w:val="Tabletext"/>
              <w:jc w:val="center"/>
              <w:rPr>
                <w:rFonts w:cs="Arial"/>
                <w:i/>
                <w:szCs w:val="20"/>
              </w:rPr>
            </w:pPr>
            <w:r w:rsidRPr="00E22524">
              <w:rPr>
                <w:rFonts w:cs="Arial"/>
                <w:i/>
                <w:szCs w:val="20"/>
              </w:rPr>
              <w:t>-$32,962</w:t>
            </w:r>
          </w:p>
        </w:tc>
        <w:tc>
          <w:tcPr>
            <w:tcW w:w="1000" w:type="dxa"/>
            <w:noWrap/>
            <w:vAlign w:val="bottom"/>
          </w:tcPr>
          <w:p w:rsidR="00C628F2" w:rsidRPr="00E22524" w:rsidRDefault="00C628F2" w:rsidP="00721806">
            <w:pPr>
              <w:pStyle w:val="Tabletext"/>
              <w:jc w:val="center"/>
              <w:rPr>
                <w:rFonts w:cs="Arial"/>
                <w:i/>
                <w:szCs w:val="20"/>
              </w:rPr>
            </w:pPr>
            <w:r w:rsidRPr="00E22524">
              <w:rPr>
                <w:rFonts w:cs="Arial"/>
                <w:i/>
                <w:szCs w:val="20"/>
              </w:rPr>
              <w:t>-$40,515</w:t>
            </w:r>
          </w:p>
        </w:tc>
        <w:tc>
          <w:tcPr>
            <w:tcW w:w="1000" w:type="dxa"/>
            <w:noWrap/>
            <w:vAlign w:val="bottom"/>
          </w:tcPr>
          <w:p w:rsidR="00C628F2" w:rsidRPr="00E22524" w:rsidRDefault="00C628F2" w:rsidP="00721806">
            <w:pPr>
              <w:pStyle w:val="Tabletext"/>
              <w:jc w:val="center"/>
              <w:rPr>
                <w:rFonts w:cs="Arial"/>
                <w:i/>
                <w:szCs w:val="20"/>
              </w:rPr>
            </w:pPr>
            <w:r w:rsidRPr="00E22524">
              <w:rPr>
                <w:rFonts w:cs="Arial"/>
                <w:i/>
                <w:szCs w:val="20"/>
              </w:rPr>
              <w:t>-$48,575</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Pr>
                <w:rFonts w:eastAsia="Arial Unicode MS"/>
                <w:i/>
              </w:rPr>
              <w:t>Estimate (20%)</w:t>
            </w:r>
          </w:p>
        </w:tc>
        <w:tc>
          <w:tcPr>
            <w:tcW w:w="909" w:type="dxa"/>
            <w:noWrap/>
            <w:vAlign w:val="bottom"/>
          </w:tcPr>
          <w:p w:rsidR="00C628F2" w:rsidRPr="00F56257" w:rsidRDefault="00C628F2" w:rsidP="00721806">
            <w:pPr>
              <w:jc w:val="center"/>
              <w:rPr>
                <w:rFonts w:ascii="Arial Narrow" w:hAnsi="Arial Narrow"/>
                <w:i/>
                <w:sz w:val="20"/>
              </w:rPr>
            </w:pPr>
            <w:r w:rsidRPr="00F56257">
              <w:rPr>
                <w:rFonts w:ascii="Arial Narrow" w:hAnsi="Arial Narrow"/>
                <w:i/>
                <w:sz w:val="20"/>
              </w:rPr>
              <w:t>-$7,661</w:t>
            </w:r>
          </w:p>
        </w:tc>
        <w:tc>
          <w:tcPr>
            <w:tcW w:w="827" w:type="dxa"/>
            <w:noWrap/>
            <w:vAlign w:val="bottom"/>
          </w:tcPr>
          <w:p w:rsidR="00C628F2" w:rsidRPr="00F56257" w:rsidRDefault="00C628F2" w:rsidP="00721806">
            <w:pPr>
              <w:jc w:val="center"/>
              <w:rPr>
                <w:rFonts w:ascii="Arial Narrow" w:hAnsi="Arial Narrow"/>
                <w:i/>
                <w:sz w:val="20"/>
              </w:rPr>
            </w:pPr>
            <w:r w:rsidRPr="00F56257">
              <w:rPr>
                <w:rFonts w:ascii="Arial Narrow" w:hAnsi="Arial Narrow"/>
                <w:i/>
                <w:sz w:val="20"/>
              </w:rPr>
              <w:t>-$10,247</w:t>
            </w:r>
          </w:p>
        </w:tc>
        <w:tc>
          <w:tcPr>
            <w:tcW w:w="1015" w:type="dxa"/>
            <w:noWrap/>
            <w:vAlign w:val="bottom"/>
          </w:tcPr>
          <w:p w:rsidR="00C628F2" w:rsidRPr="00F56257" w:rsidRDefault="00C628F2" w:rsidP="00721806">
            <w:pPr>
              <w:jc w:val="center"/>
              <w:rPr>
                <w:rFonts w:ascii="Arial Narrow" w:hAnsi="Arial Narrow"/>
                <w:i/>
                <w:sz w:val="20"/>
              </w:rPr>
            </w:pPr>
            <w:r w:rsidRPr="00F56257">
              <w:rPr>
                <w:rFonts w:ascii="Arial Narrow" w:hAnsi="Arial Narrow"/>
                <w:i/>
                <w:sz w:val="20"/>
              </w:rPr>
              <w:t>-$13,034</w:t>
            </w:r>
          </w:p>
        </w:tc>
        <w:tc>
          <w:tcPr>
            <w:tcW w:w="1000" w:type="dxa"/>
            <w:noWrap/>
            <w:vAlign w:val="bottom"/>
          </w:tcPr>
          <w:p w:rsidR="00C628F2" w:rsidRPr="00F56257" w:rsidRDefault="00C628F2" w:rsidP="00721806">
            <w:pPr>
              <w:jc w:val="center"/>
              <w:rPr>
                <w:rFonts w:ascii="Arial Narrow" w:hAnsi="Arial Narrow"/>
                <w:i/>
                <w:sz w:val="20"/>
              </w:rPr>
            </w:pPr>
            <w:r w:rsidRPr="00F56257">
              <w:rPr>
                <w:rFonts w:ascii="Arial Narrow" w:hAnsi="Arial Narrow"/>
                <w:i/>
                <w:sz w:val="20"/>
              </w:rPr>
              <w:t>-$16,021</w:t>
            </w:r>
          </w:p>
        </w:tc>
        <w:tc>
          <w:tcPr>
            <w:tcW w:w="1000" w:type="dxa"/>
            <w:noWrap/>
            <w:vAlign w:val="bottom"/>
          </w:tcPr>
          <w:p w:rsidR="00C628F2" w:rsidRPr="00F56257" w:rsidRDefault="00C628F2" w:rsidP="00721806">
            <w:pPr>
              <w:jc w:val="center"/>
              <w:rPr>
                <w:rFonts w:ascii="Arial Narrow" w:hAnsi="Arial Narrow"/>
                <w:i/>
                <w:sz w:val="20"/>
              </w:rPr>
            </w:pPr>
            <w:r w:rsidRPr="00F56257">
              <w:rPr>
                <w:rFonts w:ascii="Arial Narrow" w:hAnsi="Arial Narrow"/>
                <w:i/>
                <w:sz w:val="20"/>
              </w:rPr>
              <w:t>-$19,207</w:t>
            </w:r>
          </w:p>
        </w:tc>
      </w:tr>
      <w:tr w:rsidR="00C628F2" w:rsidRPr="00E22524" w:rsidTr="00721806">
        <w:trPr>
          <w:trHeight w:val="20"/>
        </w:trPr>
        <w:tc>
          <w:tcPr>
            <w:tcW w:w="4691" w:type="dxa"/>
            <w:noWrap/>
            <w:vAlign w:val="bottom"/>
          </w:tcPr>
          <w:p w:rsidR="00C628F2" w:rsidRPr="00861380" w:rsidRDefault="00C628F2" w:rsidP="00721806">
            <w:pPr>
              <w:pStyle w:val="Tabletext"/>
              <w:rPr>
                <w:rFonts w:eastAsia="Arial Unicode MS"/>
                <w:i/>
                <w:vertAlign w:val="superscript"/>
              </w:rPr>
            </w:pPr>
            <w:r w:rsidRPr="00E22524">
              <w:rPr>
                <w:b/>
                <w:i/>
                <w:szCs w:val="20"/>
              </w:rPr>
              <w:t>Uptake rates</w:t>
            </w:r>
            <w:r>
              <w:rPr>
                <w:b/>
                <w:i/>
                <w:szCs w:val="20"/>
              </w:rPr>
              <w:t xml:space="preserve"> (&lt;55years = 5-15%, &gt;55 years = 2-10%</w:t>
            </w:r>
            <w:r w:rsidRPr="00E22524">
              <w:rPr>
                <w:b/>
                <w:i/>
                <w:szCs w:val="20"/>
              </w:rPr>
              <w:t>)</w:t>
            </w:r>
            <w:r>
              <w:rPr>
                <w:b/>
                <w:i/>
                <w:szCs w:val="20"/>
                <w:vertAlign w:val="superscript"/>
              </w:rPr>
              <w:t>a</w:t>
            </w:r>
          </w:p>
        </w:tc>
        <w:tc>
          <w:tcPr>
            <w:tcW w:w="909" w:type="dxa"/>
            <w:noWrap/>
            <w:vAlign w:val="center"/>
          </w:tcPr>
          <w:p w:rsidR="00C628F2" w:rsidRPr="00E22524" w:rsidRDefault="00C628F2" w:rsidP="00721806">
            <w:pPr>
              <w:pStyle w:val="Tabletext"/>
              <w:jc w:val="center"/>
              <w:rPr>
                <w:i/>
                <w:szCs w:val="20"/>
              </w:rPr>
            </w:pPr>
            <w:r>
              <w:rPr>
                <w:i/>
                <w:szCs w:val="20"/>
              </w:rPr>
              <w:t>-</w:t>
            </w:r>
          </w:p>
        </w:tc>
        <w:tc>
          <w:tcPr>
            <w:tcW w:w="827" w:type="dxa"/>
            <w:noWrap/>
            <w:vAlign w:val="center"/>
          </w:tcPr>
          <w:p w:rsidR="00C628F2" w:rsidRPr="00E22524" w:rsidRDefault="00C628F2" w:rsidP="00721806">
            <w:pPr>
              <w:pStyle w:val="Tabletext"/>
              <w:jc w:val="center"/>
              <w:rPr>
                <w:i/>
                <w:szCs w:val="20"/>
              </w:rPr>
            </w:pPr>
            <w:r>
              <w:rPr>
                <w:i/>
                <w:szCs w:val="20"/>
              </w:rPr>
              <w:t>-</w:t>
            </w:r>
          </w:p>
        </w:tc>
        <w:tc>
          <w:tcPr>
            <w:tcW w:w="1015" w:type="dxa"/>
            <w:noWrap/>
            <w:vAlign w:val="center"/>
          </w:tcPr>
          <w:p w:rsidR="00C628F2" w:rsidRPr="00E22524" w:rsidRDefault="00C628F2" w:rsidP="00721806">
            <w:pPr>
              <w:pStyle w:val="Tabletext"/>
              <w:jc w:val="center"/>
              <w:rPr>
                <w:i/>
                <w:szCs w:val="20"/>
              </w:rPr>
            </w:pPr>
            <w:r>
              <w:rPr>
                <w:i/>
                <w:szCs w:val="20"/>
              </w:rPr>
              <w:t>-</w:t>
            </w:r>
          </w:p>
        </w:tc>
        <w:tc>
          <w:tcPr>
            <w:tcW w:w="1000" w:type="dxa"/>
            <w:noWrap/>
            <w:vAlign w:val="center"/>
          </w:tcPr>
          <w:p w:rsidR="00C628F2" w:rsidRPr="00E22524" w:rsidRDefault="00C628F2" w:rsidP="00721806">
            <w:pPr>
              <w:pStyle w:val="Tabletext"/>
              <w:jc w:val="center"/>
              <w:rPr>
                <w:i/>
                <w:szCs w:val="20"/>
              </w:rPr>
            </w:pPr>
            <w:r>
              <w:rPr>
                <w:i/>
                <w:szCs w:val="20"/>
              </w:rPr>
              <w:t>-</w:t>
            </w:r>
          </w:p>
        </w:tc>
        <w:tc>
          <w:tcPr>
            <w:tcW w:w="1000" w:type="dxa"/>
            <w:noWrap/>
            <w:vAlign w:val="center"/>
          </w:tcPr>
          <w:p w:rsidR="00C628F2" w:rsidRPr="00E22524" w:rsidRDefault="00C628F2" w:rsidP="00721806">
            <w:pPr>
              <w:pStyle w:val="Tabletext"/>
              <w:jc w:val="center"/>
              <w:rPr>
                <w:i/>
                <w:szCs w:val="20"/>
              </w:rPr>
            </w:pPr>
            <w:r>
              <w:rPr>
                <w:i/>
                <w:szCs w:val="20"/>
              </w:rPr>
              <w:t>-</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sidRPr="00E22524">
              <w:rPr>
                <w:rFonts w:eastAsia="Arial Unicode MS"/>
                <w:i/>
              </w:rPr>
              <w:t>Low estimate</w:t>
            </w:r>
            <w:r>
              <w:rPr>
                <w:rFonts w:eastAsia="Arial Unicode MS"/>
                <w:i/>
              </w:rPr>
              <w:t xml:space="preserve"> (&lt;55 0%-10%, &gt;55 0% - 5%)</w:t>
            </w:r>
          </w:p>
        </w:tc>
        <w:tc>
          <w:tcPr>
            <w:tcW w:w="909" w:type="dxa"/>
            <w:noWrap/>
            <w:vAlign w:val="bottom"/>
          </w:tcPr>
          <w:p w:rsidR="00C628F2" w:rsidRPr="00E22524" w:rsidRDefault="00C628F2" w:rsidP="00721806">
            <w:pPr>
              <w:pStyle w:val="Tabletext"/>
              <w:jc w:val="center"/>
              <w:rPr>
                <w:i/>
                <w:szCs w:val="20"/>
              </w:rPr>
            </w:pPr>
            <w:r w:rsidRPr="00E22524">
              <w:rPr>
                <w:i/>
                <w:szCs w:val="20"/>
              </w:rPr>
              <w:t>-$1,332</w:t>
            </w:r>
          </w:p>
        </w:tc>
        <w:tc>
          <w:tcPr>
            <w:tcW w:w="827" w:type="dxa"/>
            <w:noWrap/>
            <w:vAlign w:val="bottom"/>
          </w:tcPr>
          <w:p w:rsidR="00C628F2" w:rsidRPr="00E22524" w:rsidRDefault="00C628F2" w:rsidP="00721806">
            <w:pPr>
              <w:pStyle w:val="Tabletext"/>
              <w:jc w:val="center"/>
              <w:rPr>
                <w:i/>
                <w:szCs w:val="20"/>
              </w:rPr>
            </w:pPr>
            <w:r w:rsidRPr="00E22524">
              <w:rPr>
                <w:i/>
                <w:szCs w:val="20"/>
              </w:rPr>
              <w:t>-$7,784</w:t>
            </w:r>
          </w:p>
        </w:tc>
        <w:tc>
          <w:tcPr>
            <w:tcW w:w="1015" w:type="dxa"/>
            <w:noWrap/>
            <w:vAlign w:val="bottom"/>
          </w:tcPr>
          <w:p w:rsidR="00C628F2" w:rsidRPr="00E22524" w:rsidRDefault="00C628F2" w:rsidP="00721806">
            <w:pPr>
              <w:pStyle w:val="Tabletext"/>
              <w:jc w:val="center"/>
              <w:rPr>
                <w:i/>
                <w:szCs w:val="20"/>
              </w:rPr>
            </w:pPr>
            <w:r w:rsidRPr="00E22524">
              <w:rPr>
                <w:i/>
                <w:szCs w:val="20"/>
              </w:rPr>
              <w:t>-$19,290</w:t>
            </w:r>
          </w:p>
        </w:tc>
        <w:tc>
          <w:tcPr>
            <w:tcW w:w="1000" w:type="dxa"/>
            <w:noWrap/>
            <w:vAlign w:val="bottom"/>
          </w:tcPr>
          <w:p w:rsidR="00C628F2" w:rsidRPr="00E22524" w:rsidRDefault="00C628F2" w:rsidP="00721806">
            <w:pPr>
              <w:pStyle w:val="Tabletext"/>
              <w:jc w:val="center"/>
              <w:rPr>
                <w:i/>
                <w:szCs w:val="20"/>
              </w:rPr>
            </w:pPr>
            <w:r w:rsidRPr="00E22524">
              <w:rPr>
                <w:i/>
                <w:szCs w:val="20"/>
              </w:rPr>
              <w:t>-$27,069</w:t>
            </w:r>
          </w:p>
        </w:tc>
        <w:tc>
          <w:tcPr>
            <w:tcW w:w="1000" w:type="dxa"/>
            <w:noWrap/>
            <w:vAlign w:val="bottom"/>
          </w:tcPr>
          <w:p w:rsidR="00C628F2" w:rsidRPr="00E22524" w:rsidRDefault="00C628F2" w:rsidP="00721806">
            <w:pPr>
              <w:pStyle w:val="Tabletext"/>
              <w:jc w:val="center"/>
              <w:rPr>
                <w:i/>
                <w:szCs w:val="20"/>
              </w:rPr>
            </w:pPr>
            <w:r w:rsidRPr="00E22524">
              <w:rPr>
                <w:i/>
                <w:szCs w:val="20"/>
              </w:rPr>
              <w:t>-$35,035</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sidRPr="00E22524">
              <w:rPr>
                <w:rFonts w:eastAsia="Arial Unicode MS"/>
                <w:i/>
              </w:rPr>
              <w:t xml:space="preserve">High estimate </w:t>
            </w:r>
            <w:r>
              <w:rPr>
                <w:rFonts w:eastAsia="Arial Unicode MS"/>
                <w:i/>
              </w:rPr>
              <w:t>(&lt;55 10% -20%, &gt;55 10% -15%)</w:t>
            </w:r>
          </w:p>
        </w:tc>
        <w:tc>
          <w:tcPr>
            <w:tcW w:w="909" w:type="dxa"/>
            <w:noWrap/>
            <w:vAlign w:val="bottom"/>
          </w:tcPr>
          <w:p w:rsidR="00C628F2" w:rsidRPr="00E22524" w:rsidRDefault="00C628F2" w:rsidP="00721806">
            <w:pPr>
              <w:pStyle w:val="Tabletext"/>
              <w:jc w:val="center"/>
              <w:rPr>
                <w:i/>
                <w:szCs w:val="20"/>
              </w:rPr>
            </w:pPr>
            <w:r w:rsidRPr="00E22524">
              <w:rPr>
                <w:i/>
                <w:szCs w:val="20"/>
              </w:rPr>
              <w:t>-$49,133</w:t>
            </w:r>
          </w:p>
        </w:tc>
        <w:tc>
          <w:tcPr>
            <w:tcW w:w="827" w:type="dxa"/>
            <w:noWrap/>
            <w:vAlign w:val="bottom"/>
          </w:tcPr>
          <w:p w:rsidR="00C628F2" w:rsidRPr="00E22524" w:rsidRDefault="00C628F2" w:rsidP="00721806">
            <w:pPr>
              <w:pStyle w:val="Tabletext"/>
              <w:jc w:val="center"/>
              <w:rPr>
                <w:i/>
                <w:szCs w:val="20"/>
              </w:rPr>
            </w:pPr>
            <w:r w:rsidRPr="00E22524">
              <w:rPr>
                <w:i/>
                <w:szCs w:val="20"/>
              </w:rPr>
              <w:t>-$57,747</w:t>
            </w:r>
          </w:p>
        </w:tc>
        <w:tc>
          <w:tcPr>
            <w:tcW w:w="1015" w:type="dxa"/>
            <w:noWrap/>
            <w:vAlign w:val="bottom"/>
          </w:tcPr>
          <w:p w:rsidR="00C628F2" w:rsidRPr="00E22524" w:rsidRDefault="00C628F2" w:rsidP="00721806">
            <w:pPr>
              <w:pStyle w:val="Tabletext"/>
              <w:jc w:val="center"/>
              <w:rPr>
                <w:i/>
                <w:szCs w:val="20"/>
              </w:rPr>
            </w:pPr>
            <w:r w:rsidRPr="00E22524">
              <w:rPr>
                <w:i/>
                <w:szCs w:val="20"/>
              </w:rPr>
              <w:t>-$71,415</w:t>
            </w:r>
          </w:p>
        </w:tc>
        <w:tc>
          <w:tcPr>
            <w:tcW w:w="1000" w:type="dxa"/>
            <w:noWrap/>
            <w:vAlign w:val="bottom"/>
          </w:tcPr>
          <w:p w:rsidR="00C628F2" w:rsidRPr="00E22524" w:rsidRDefault="00C628F2" w:rsidP="00721806">
            <w:pPr>
              <w:pStyle w:val="Tabletext"/>
              <w:jc w:val="center"/>
              <w:rPr>
                <w:i/>
                <w:szCs w:val="20"/>
              </w:rPr>
            </w:pPr>
            <w:r w:rsidRPr="00E22524">
              <w:rPr>
                <w:i/>
                <w:szCs w:val="20"/>
              </w:rPr>
              <w:t>-$81,355</w:t>
            </w:r>
          </w:p>
        </w:tc>
        <w:tc>
          <w:tcPr>
            <w:tcW w:w="1000" w:type="dxa"/>
            <w:noWrap/>
            <w:vAlign w:val="bottom"/>
          </w:tcPr>
          <w:p w:rsidR="00C628F2" w:rsidRPr="00E22524" w:rsidRDefault="00C628F2" w:rsidP="00721806">
            <w:pPr>
              <w:pStyle w:val="Tabletext"/>
              <w:jc w:val="center"/>
              <w:rPr>
                <w:i/>
                <w:szCs w:val="20"/>
              </w:rPr>
            </w:pPr>
            <w:r w:rsidRPr="00E22524">
              <w:rPr>
                <w:i/>
                <w:szCs w:val="20"/>
              </w:rPr>
              <w:t>-$91,483</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b/>
                <w:i/>
              </w:rPr>
            </w:pPr>
            <w:r>
              <w:rPr>
                <w:rFonts w:eastAsia="Arial Unicode MS"/>
                <w:b/>
                <w:i/>
                <w:szCs w:val="20"/>
              </w:rPr>
              <w:t xml:space="preserve">Switching to TV-ICD - </w:t>
            </w:r>
            <w:r w:rsidRPr="00E22524">
              <w:rPr>
                <w:rFonts w:eastAsia="Arial Unicode MS"/>
                <w:b/>
                <w:i/>
                <w:szCs w:val="20"/>
              </w:rPr>
              <w:t xml:space="preserve">pacing </w:t>
            </w:r>
            <w:r>
              <w:rPr>
                <w:rFonts w:eastAsia="Arial Unicode MS"/>
                <w:b/>
                <w:i/>
                <w:szCs w:val="20"/>
              </w:rPr>
              <w:t>needed</w:t>
            </w:r>
            <w:r w:rsidRPr="00E22524">
              <w:rPr>
                <w:rFonts w:eastAsia="Arial Unicode MS"/>
                <w:b/>
                <w:i/>
                <w:szCs w:val="20"/>
              </w:rPr>
              <w:t xml:space="preserve"> (1% base case):</w:t>
            </w:r>
          </w:p>
        </w:tc>
        <w:tc>
          <w:tcPr>
            <w:tcW w:w="909" w:type="dxa"/>
            <w:noWrap/>
            <w:vAlign w:val="bottom"/>
          </w:tcPr>
          <w:p w:rsidR="00C628F2" w:rsidRPr="00E22524" w:rsidRDefault="00C628F2" w:rsidP="00721806">
            <w:pPr>
              <w:pStyle w:val="Tabletext"/>
              <w:jc w:val="center"/>
              <w:rPr>
                <w:i/>
                <w:szCs w:val="20"/>
              </w:rPr>
            </w:pPr>
            <w:r>
              <w:rPr>
                <w:i/>
                <w:szCs w:val="20"/>
              </w:rPr>
              <w:t>-</w:t>
            </w:r>
          </w:p>
        </w:tc>
        <w:tc>
          <w:tcPr>
            <w:tcW w:w="827" w:type="dxa"/>
            <w:noWrap/>
            <w:vAlign w:val="bottom"/>
          </w:tcPr>
          <w:p w:rsidR="00C628F2" w:rsidRPr="00E22524" w:rsidRDefault="00C628F2" w:rsidP="00721806">
            <w:pPr>
              <w:pStyle w:val="Tabletext"/>
              <w:jc w:val="center"/>
              <w:rPr>
                <w:i/>
                <w:szCs w:val="20"/>
              </w:rPr>
            </w:pPr>
            <w:r>
              <w:rPr>
                <w:i/>
                <w:szCs w:val="20"/>
              </w:rPr>
              <w:t>-</w:t>
            </w:r>
          </w:p>
        </w:tc>
        <w:tc>
          <w:tcPr>
            <w:tcW w:w="1015"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Pr>
                <w:rFonts w:eastAsia="Arial Unicode MS"/>
                <w:i/>
              </w:rPr>
              <w:t>Estimate</w:t>
            </w:r>
            <w:r w:rsidRPr="00E22524">
              <w:rPr>
                <w:rFonts w:eastAsia="Arial Unicode MS"/>
                <w:i/>
              </w:rPr>
              <w:t xml:space="preserve"> (7%)</w:t>
            </w:r>
          </w:p>
        </w:tc>
        <w:tc>
          <w:tcPr>
            <w:tcW w:w="909" w:type="dxa"/>
            <w:noWrap/>
            <w:vAlign w:val="bottom"/>
          </w:tcPr>
          <w:p w:rsidR="00C628F2" w:rsidRPr="00E22524" w:rsidRDefault="00C628F2" w:rsidP="00721806">
            <w:pPr>
              <w:pStyle w:val="Tabletext"/>
              <w:jc w:val="center"/>
              <w:rPr>
                <w:rFonts w:cs="Arial"/>
                <w:i/>
                <w:szCs w:val="20"/>
              </w:rPr>
            </w:pPr>
            <w:r w:rsidRPr="00E22524">
              <w:rPr>
                <w:rFonts w:cs="Arial"/>
                <w:i/>
                <w:szCs w:val="20"/>
              </w:rPr>
              <w:t>-$13,413</w:t>
            </w:r>
          </w:p>
        </w:tc>
        <w:tc>
          <w:tcPr>
            <w:tcW w:w="827" w:type="dxa"/>
            <w:noWrap/>
            <w:vAlign w:val="bottom"/>
          </w:tcPr>
          <w:p w:rsidR="00C628F2" w:rsidRPr="00E22524" w:rsidRDefault="00C628F2" w:rsidP="00721806">
            <w:pPr>
              <w:pStyle w:val="Tabletext"/>
              <w:jc w:val="center"/>
              <w:rPr>
                <w:rFonts w:cs="Arial"/>
                <w:i/>
                <w:szCs w:val="20"/>
              </w:rPr>
            </w:pPr>
            <w:r w:rsidRPr="00E22524">
              <w:rPr>
                <w:rFonts w:cs="Arial"/>
                <w:i/>
                <w:szCs w:val="20"/>
              </w:rPr>
              <w:t>-$17,940</w:t>
            </w:r>
          </w:p>
        </w:tc>
        <w:tc>
          <w:tcPr>
            <w:tcW w:w="1015" w:type="dxa"/>
            <w:noWrap/>
            <w:vAlign w:val="bottom"/>
          </w:tcPr>
          <w:p w:rsidR="00C628F2" w:rsidRPr="00E22524" w:rsidRDefault="00C628F2" w:rsidP="00721806">
            <w:pPr>
              <w:pStyle w:val="Tabletext"/>
              <w:jc w:val="center"/>
              <w:rPr>
                <w:rFonts w:cs="Arial"/>
                <w:i/>
                <w:szCs w:val="20"/>
              </w:rPr>
            </w:pPr>
            <w:r w:rsidRPr="00E22524">
              <w:rPr>
                <w:rFonts w:cs="Arial"/>
                <w:i/>
                <w:szCs w:val="20"/>
              </w:rPr>
              <w:t>-$22,819</w:t>
            </w:r>
          </w:p>
        </w:tc>
        <w:tc>
          <w:tcPr>
            <w:tcW w:w="1000" w:type="dxa"/>
            <w:noWrap/>
            <w:vAlign w:val="bottom"/>
          </w:tcPr>
          <w:p w:rsidR="00C628F2" w:rsidRPr="00E22524" w:rsidRDefault="00C628F2" w:rsidP="00721806">
            <w:pPr>
              <w:pStyle w:val="Tabletext"/>
              <w:jc w:val="center"/>
              <w:rPr>
                <w:rFonts w:cs="Arial"/>
                <w:i/>
                <w:szCs w:val="20"/>
              </w:rPr>
            </w:pPr>
            <w:r w:rsidRPr="00E22524">
              <w:rPr>
                <w:rFonts w:cs="Arial"/>
                <w:i/>
                <w:szCs w:val="20"/>
              </w:rPr>
              <w:t>-$28,047</w:t>
            </w:r>
          </w:p>
        </w:tc>
        <w:tc>
          <w:tcPr>
            <w:tcW w:w="1000" w:type="dxa"/>
            <w:noWrap/>
            <w:vAlign w:val="bottom"/>
          </w:tcPr>
          <w:p w:rsidR="00C628F2" w:rsidRPr="00E22524" w:rsidRDefault="00C628F2" w:rsidP="00721806">
            <w:pPr>
              <w:pStyle w:val="Tabletext"/>
              <w:jc w:val="center"/>
              <w:rPr>
                <w:rFonts w:cs="Arial"/>
                <w:i/>
                <w:szCs w:val="20"/>
              </w:rPr>
            </w:pPr>
            <w:r w:rsidRPr="00E22524">
              <w:rPr>
                <w:rFonts w:cs="Arial"/>
                <w:i/>
                <w:szCs w:val="20"/>
              </w:rPr>
              <w:t>-$33,627</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Pr>
                <w:rFonts w:eastAsia="Arial Unicode MS"/>
                <w:i/>
              </w:rPr>
              <w:lastRenderedPageBreak/>
              <w:t>E</w:t>
            </w:r>
            <w:r w:rsidRPr="00E22524">
              <w:rPr>
                <w:rFonts w:eastAsia="Arial Unicode MS"/>
                <w:i/>
              </w:rPr>
              <w:t>stimate (10%)</w:t>
            </w:r>
          </w:p>
        </w:tc>
        <w:tc>
          <w:tcPr>
            <w:tcW w:w="909" w:type="dxa"/>
            <w:noWrap/>
            <w:vAlign w:val="bottom"/>
          </w:tcPr>
          <w:p w:rsidR="00C628F2" w:rsidRPr="00E22524" w:rsidRDefault="00C628F2" w:rsidP="00721806">
            <w:pPr>
              <w:pStyle w:val="Tabletext"/>
              <w:jc w:val="center"/>
              <w:rPr>
                <w:i/>
                <w:szCs w:val="20"/>
              </w:rPr>
            </w:pPr>
            <w:r w:rsidRPr="00E22524">
              <w:rPr>
                <w:i/>
                <w:szCs w:val="20"/>
              </w:rPr>
              <w:t>-$</w:t>
            </w:r>
            <w:r>
              <w:rPr>
                <w:i/>
                <w:szCs w:val="20"/>
              </w:rPr>
              <w:t>7,503</w:t>
            </w:r>
          </w:p>
        </w:tc>
        <w:tc>
          <w:tcPr>
            <w:tcW w:w="827" w:type="dxa"/>
            <w:noWrap/>
            <w:vAlign w:val="bottom"/>
          </w:tcPr>
          <w:p w:rsidR="00C628F2" w:rsidRPr="00E22524" w:rsidRDefault="00C628F2" w:rsidP="00721806">
            <w:pPr>
              <w:pStyle w:val="Tabletext"/>
              <w:jc w:val="center"/>
              <w:rPr>
                <w:i/>
                <w:szCs w:val="20"/>
              </w:rPr>
            </w:pPr>
            <w:r w:rsidRPr="00E22524">
              <w:rPr>
                <w:i/>
                <w:szCs w:val="20"/>
              </w:rPr>
              <w:t>-$</w:t>
            </w:r>
            <w:r>
              <w:rPr>
                <w:i/>
                <w:szCs w:val="20"/>
              </w:rPr>
              <w:t>10,036</w:t>
            </w:r>
          </w:p>
        </w:tc>
        <w:tc>
          <w:tcPr>
            <w:tcW w:w="1015" w:type="dxa"/>
            <w:noWrap/>
            <w:vAlign w:val="bottom"/>
          </w:tcPr>
          <w:p w:rsidR="00C628F2" w:rsidRPr="00E22524" w:rsidRDefault="00C628F2" w:rsidP="00721806">
            <w:pPr>
              <w:pStyle w:val="Tabletext"/>
              <w:jc w:val="center"/>
              <w:rPr>
                <w:i/>
                <w:szCs w:val="20"/>
              </w:rPr>
            </w:pPr>
            <w:r w:rsidRPr="00E22524">
              <w:rPr>
                <w:i/>
                <w:szCs w:val="20"/>
              </w:rPr>
              <w:t>-$</w:t>
            </w:r>
            <w:r>
              <w:rPr>
                <w:i/>
                <w:szCs w:val="20"/>
              </w:rPr>
              <w:t>12,765</w:t>
            </w:r>
          </w:p>
        </w:tc>
        <w:tc>
          <w:tcPr>
            <w:tcW w:w="1000" w:type="dxa"/>
            <w:noWrap/>
            <w:vAlign w:val="bottom"/>
          </w:tcPr>
          <w:p w:rsidR="00C628F2" w:rsidRPr="00E22524" w:rsidRDefault="00C628F2" w:rsidP="00721806">
            <w:pPr>
              <w:pStyle w:val="Tabletext"/>
              <w:jc w:val="center"/>
              <w:rPr>
                <w:i/>
                <w:szCs w:val="20"/>
              </w:rPr>
            </w:pPr>
            <w:r w:rsidRPr="00E22524">
              <w:rPr>
                <w:i/>
                <w:szCs w:val="20"/>
              </w:rPr>
              <w:t>-$</w:t>
            </w:r>
            <w:r>
              <w:rPr>
                <w:i/>
                <w:szCs w:val="20"/>
              </w:rPr>
              <w:t>15,689</w:t>
            </w:r>
          </w:p>
        </w:tc>
        <w:tc>
          <w:tcPr>
            <w:tcW w:w="1000" w:type="dxa"/>
            <w:noWrap/>
            <w:vAlign w:val="bottom"/>
          </w:tcPr>
          <w:p w:rsidR="00C628F2" w:rsidRPr="00E22524" w:rsidRDefault="00C628F2" w:rsidP="00721806">
            <w:pPr>
              <w:pStyle w:val="Tabletext"/>
              <w:jc w:val="center"/>
              <w:rPr>
                <w:i/>
                <w:szCs w:val="20"/>
              </w:rPr>
            </w:pPr>
            <w:r w:rsidRPr="00E22524">
              <w:rPr>
                <w:i/>
                <w:szCs w:val="20"/>
              </w:rPr>
              <w:t>-$</w:t>
            </w:r>
            <w:r>
              <w:rPr>
                <w:i/>
                <w:szCs w:val="20"/>
              </w:rPr>
              <w:t>18,810</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b/>
                <w:i/>
              </w:rPr>
            </w:pPr>
            <w:r w:rsidRPr="00E22524">
              <w:rPr>
                <w:rFonts w:eastAsia="Arial Unicode MS"/>
                <w:b/>
                <w:i/>
              </w:rPr>
              <w:t>Proposed fee (less 10%</w:t>
            </w:r>
            <w:r>
              <w:rPr>
                <w:rFonts w:eastAsia="Arial Unicode MS"/>
                <w:b/>
                <w:i/>
              </w:rPr>
              <w:t xml:space="preserve"> of TV-ICD: base case = $947.39)</w:t>
            </w:r>
          </w:p>
        </w:tc>
        <w:tc>
          <w:tcPr>
            <w:tcW w:w="909" w:type="dxa"/>
            <w:noWrap/>
            <w:vAlign w:val="bottom"/>
          </w:tcPr>
          <w:p w:rsidR="00C628F2" w:rsidRPr="00E22524" w:rsidRDefault="00C628F2" w:rsidP="00721806">
            <w:pPr>
              <w:pStyle w:val="Tabletext"/>
              <w:jc w:val="center"/>
              <w:rPr>
                <w:i/>
                <w:szCs w:val="20"/>
              </w:rPr>
            </w:pPr>
            <w:r>
              <w:rPr>
                <w:i/>
                <w:szCs w:val="20"/>
              </w:rPr>
              <w:t>-</w:t>
            </w:r>
          </w:p>
        </w:tc>
        <w:tc>
          <w:tcPr>
            <w:tcW w:w="827" w:type="dxa"/>
            <w:noWrap/>
            <w:vAlign w:val="bottom"/>
          </w:tcPr>
          <w:p w:rsidR="00C628F2" w:rsidRPr="00E22524" w:rsidRDefault="00C628F2" w:rsidP="00721806">
            <w:pPr>
              <w:pStyle w:val="Tabletext"/>
              <w:jc w:val="center"/>
              <w:rPr>
                <w:i/>
                <w:szCs w:val="20"/>
              </w:rPr>
            </w:pPr>
            <w:r>
              <w:rPr>
                <w:i/>
                <w:szCs w:val="20"/>
              </w:rPr>
              <w:t>-</w:t>
            </w:r>
          </w:p>
        </w:tc>
        <w:tc>
          <w:tcPr>
            <w:tcW w:w="1015"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Pr>
                <w:rFonts w:eastAsia="Arial Unicode MS"/>
                <w:i/>
              </w:rPr>
              <w:t>Lower proposed fee (less 20%= $842.12)x75%MBS</w:t>
            </w:r>
          </w:p>
        </w:tc>
        <w:tc>
          <w:tcPr>
            <w:tcW w:w="909" w:type="dxa"/>
            <w:noWrap/>
            <w:vAlign w:val="bottom"/>
          </w:tcPr>
          <w:p w:rsidR="00C628F2" w:rsidRPr="00AC442E" w:rsidRDefault="00C628F2" w:rsidP="00721806">
            <w:pPr>
              <w:jc w:val="center"/>
              <w:rPr>
                <w:rFonts w:ascii="Arial Narrow" w:hAnsi="Arial Narrow"/>
                <w:i/>
                <w:sz w:val="20"/>
              </w:rPr>
            </w:pPr>
            <w:r w:rsidRPr="00AC442E">
              <w:rPr>
                <w:rFonts w:ascii="Arial Narrow" w:hAnsi="Arial Narrow"/>
                <w:i/>
                <w:sz w:val="20"/>
              </w:rPr>
              <w:t>-$35,</w:t>
            </w:r>
            <w:r>
              <w:rPr>
                <w:rFonts w:ascii="Arial Narrow" w:hAnsi="Arial Narrow"/>
                <w:i/>
                <w:sz w:val="20"/>
              </w:rPr>
              <w:t>314</w:t>
            </w:r>
          </w:p>
        </w:tc>
        <w:tc>
          <w:tcPr>
            <w:tcW w:w="827" w:type="dxa"/>
            <w:noWrap/>
            <w:vAlign w:val="bottom"/>
          </w:tcPr>
          <w:p w:rsidR="00C628F2" w:rsidRPr="00AC442E" w:rsidRDefault="00C628F2" w:rsidP="00721806">
            <w:pPr>
              <w:jc w:val="center"/>
              <w:rPr>
                <w:rFonts w:ascii="Arial Narrow" w:hAnsi="Arial Narrow"/>
                <w:i/>
                <w:sz w:val="20"/>
              </w:rPr>
            </w:pPr>
            <w:r w:rsidRPr="00AC442E">
              <w:rPr>
                <w:rFonts w:ascii="Arial Narrow" w:hAnsi="Arial Narrow"/>
                <w:i/>
                <w:sz w:val="20"/>
              </w:rPr>
              <w:t>-$47,</w:t>
            </w:r>
            <w:r>
              <w:rPr>
                <w:rFonts w:ascii="Arial Narrow" w:hAnsi="Arial Narrow"/>
                <w:i/>
                <w:sz w:val="20"/>
              </w:rPr>
              <w:t>235</w:t>
            </w:r>
          </w:p>
        </w:tc>
        <w:tc>
          <w:tcPr>
            <w:tcW w:w="1015" w:type="dxa"/>
            <w:noWrap/>
            <w:vAlign w:val="bottom"/>
          </w:tcPr>
          <w:p w:rsidR="00C628F2" w:rsidRPr="00AC442E" w:rsidRDefault="00C628F2" w:rsidP="00721806">
            <w:pPr>
              <w:jc w:val="center"/>
              <w:rPr>
                <w:rFonts w:ascii="Arial Narrow" w:hAnsi="Arial Narrow"/>
                <w:i/>
                <w:sz w:val="20"/>
              </w:rPr>
            </w:pPr>
            <w:r w:rsidRPr="00AC442E">
              <w:rPr>
                <w:rFonts w:ascii="Arial Narrow" w:hAnsi="Arial Narrow"/>
                <w:i/>
                <w:sz w:val="20"/>
              </w:rPr>
              <w:t>-$</w:t>
            </w:r>
            <w:r>
              <w:rPr>
                <w:rFonts w:ascii="Arial Narrow" w:hAnsi="Arial Narrow"/>
                <w:i/>
                <w:sz w:val="20"/>
              </w:rPr>
              <w:t>60,079</w:t>
            </w:r>
          </w:p>
        </w:tc>
        <w:tc>
          <w:tcPr>
            <w:tcW w:w="1000" w:type="dxa"/>
            <w:noWrap/>
            <w:vAlign w:val="bottom"/>
          </w:tcPr>
          <w:p w:rsidR="00C628F2" w:rsidRPr="00AC442E" w:rsidRDefault="00C628F2" w:rsidP="00721806">
            <w:pPr>
              <w:jc w:val="center"/>
              <w:rPr>
                <w:rFonts w:ascii="Arial Narrow" w:hAnsi="Arial Narrow"/>
                <w:i/>
                <w:sz w:val="20"/>
              </w:rPr>
            </w:pPr>
            <w:r w:rsidRPr="00AC442E">
              <w:rPr>
                <w:rFonts w:ascii="Arial Narrow" w:hAnsi="Arial Narrow"/>
                <w:i/>
                <w:sz w:val="20"/>
              </w:rPr>
              <w:t>-$73,</w:t>
            </w:r>
            <w:r>
              <w:rPr>
                <w:rFonts w:ascii="Arial Narrow" w:hAnsi="Arial Narrow"/>
                <w:i/>
                <w:sz w:val="20"/>
              </w:rPr>
              <w:t>8</w:t>
            </w:r>
            <w:r w:rsidRPr="00AC442E">
              <w:rPr>
                <w:rFonts w:ascii="Arial Narrow" w:hAnsi="Arial Narrow"/>
                <w:i/>
                <w:sz w:val="20"/>
              </w:rPr>
              <w:t>46</w:t>
            </w:r>
          </w:p>
        </w:tc>
        <w:tc>
          <w:tcPr>
            <w:tcW w:w="1000" w:type="dxa"/>
            <w:noWrap/>
            <w:vAlign w:val="bottom"/>
          </w:tcPr>
          <w:p w:rsidR="00C628F2" w:rsidRPr="00AC442E" w:rsidRDefault="00C628F2" w:rsidP="00721806">
            <w:pPr>
              <w:jc w:val="center"/>
              <w:rPr>
                <w:rFonts w:ascii="Arial Narrow" w:hAnsi="Arial Narrow"/>
                <w:i/>
                <w:sz w:val="20"/>
              </w:rPr>
            </w:pPr>
            <w:r w:rsidRPr="00AC442E">
              <w:rPr>
                <w:rFonts w:ascii="Arial Narrow" w:hAnsi="Arial Narrow"/>
                <w:i/>
                <w:sz w:val="20"/>
              </w:rPr>
              <w:t>-$88,</w:t>
            </w:r>
            <w:r>
              <w:rPr>
                <w:rFonts w:ascii="Arial Narrow" w:hAnsi="Arial Narrow"/>
                <w:i/>
                <w:sz w:val="20"/>
              </w:rPr>
              <w:t>535</w:t>
            </w:r>
          </w:p>
        </w:tc>
      </w:tr>
      <w:tr w:rsidR="00C628F2" w:rsidRPr="00E22524" w:rsidTr="00721806">
        <w:trPr>
          <w:trHeight w:val="20"/>
        </w:trPr>
        <w:tc>
          <w:tcPr>
            <w:tcW w:w="4691" w:type="dxa"/>
            <w:noWrap/>
            <w:vAlign w:val="bottom"/>
          </w:tcPr>
          <w:p w:rsidR="00C628F2" w:rsidRDefault="00C628F2" w:rsidP="00721806">
            <w:pPr>
              <w:pStyle w:val="Tabletext"/>
              <w:rPr>
                <w:rFonts w:eastAsia="Arial Unicode MS"/>
                <w:i/>
              </w:rPr>
            </w:pPr>
            <w:r>
              <w:rPr>
                <w:rFonts w:eastAsia="Arial Unicode MS"/>
                <w:i/>
              </w:rPr>
              <w:t>Lower proposed fee (less 50%= $526.33) x75%MBS</w:t>
            </w:r>
          </w:p>
        </w:tc>
        <w:tc>
          <w:tcPr>
            <w:tcW w:w="909" w:type="dxa"/>
            <w:noWrap/>
            <w:vAlign w:val="bottom"/>
          </w:tcPr>
          <w:p w:rsidR="00C628F2" w:rsidRPr="00AF45BC" w:rsidRDefault="00C628F2" w:rsidP="00721806">
            <w:pPr>
              <w:jc w:val="center"/>
              <w:rPr>
                <w:rFonts w:ascii="Arial Narrow" w:hAnsi="Arial Narrow" w:cs="Arial"/>
                <w:i/>
                <w:sz w:val="20"/>
              </w:rPr>
            </w:pPr>
            <w:r w:rsidRPr="00AF45BC">
              <w:rPr>
                <w:rFonts w:ascii="Arial Narrow" w:hAnsi="Arial Narrow" w:cs="Arial"/>
                <w:i/>
                <w:sz w:val="20"/>
              </w:rPr>
              <w:t>-$65,559</w:t>
            </w:r>
          </w:p>
        </w:tc>
        <w:tc>
          <w:tcPr>
            <w:tcW w:w="827" w:type="dxa"/>
            <w:noWrap/>
            <w:vAlign w:val="bottom"/>
          </w:tcPr>
          <w:p w:rsidR="00C628F2" w:rsidRPr="00AF45BC" w:rsidRDefault="00C628F2" w:rsidP="00721806">
            <w:pPr>
              <w:jc w:val="center"/>
              <w:rPr>
                <w:rFonts w:ascii="Arial Narrow" w:hAnsi="Arial Narrow" w:cs="Arial"/>
                <w:i/>
                <w:sz w:val="20"/>
              </w:rPr>
            </w:pPr>
            <w:r w:rsidRPr="00AF45BC">
              <w:rPr>
                <w:rFonts w:ascii="Arial Narrow" w:hAnsi="Arial Narrow" w:cs="Arial"/>
                <w:i/>
                <w:sz w:val="20"/>
              </w:rPr>
              <w:t>-$87,690</w:t>
            </w:r>
          </w:p>
        </w:tc>
        <w:tc>
          <w:tcPr>
            <w:tcW w:w="1015" w:type="dxa"/>
            <w:noWrap/>
            <w:vAlign w:val="bottom"/>
          </w:tcPr>
          <w:p w:rsidR="00C628F2" w:rsidRPr="00AF45BC" w:rsidRDefault="00C628F2" w:rsidP="00721806">
            <w:pPr>
              <w:jc w:val="center"/>
              <w:rPr>
                <w:rFonts w:ascii="Arial Narrow" w:hAnsi="Arial Narrow" w:cs="Arial"/>
                <w:i/>
                <w:sz w:val="20"/>
              </w:rPr>
            </w:pPr>
            <w:r w:rsidRPr="00AF45BC">
              <w:rPr>
                <w:rFonts w:ascii="Arial Narrow" w:hAnsi="Arial Narrow" w:cs="Arial"/>
                <w:i/>
                <w:sz w:val="20"/>
              </w:rPr>
              <w:t>-$111,533</w:t>
            </w:r>
          </w:p>
        </w:tc>
        <w:tc>
          <w:tcPr>
            <w:tcW w:w="1000" w:type="dxa"/>
            <w:noWrap/>
            <w:vAlign w:val="bottom"/>
          </w:tcPr>
          <w:p w:rsidR="00C628F2" w:rsidRPr="00AF45BC" w:rsidRDefault="00C628F2" w:rsidP="00721806">
            <w:pPr>
              <w:jc w:val="center"/>
              <w:rPr>
                <w:rFonts w:ascii="Arial Narrow" w:hAnsi="Arial Narrow" w:cs="Arial"/>
                <w:i/>
                <w:sz w:val="20"/>
              </w:rPr>
            </w:pPr>
            <w:r w:rsidRPr="00AF45BC">
              <w:rPr>
                <w:rFonts w:ascii="Arial Narrow" w:hAnsi="Arial Narrow" w:cs="Arial"/>
                <w:i/>
                <w:sz w:val="20"/>
              </w:rPr>
              <w:t>-$137,090</w:t>
            </w:r>
          </w:p>
        </w:tc>
        <w:tc>
          <w:tcPr>
            <w:tcW w:w="1000" w:type="dxa"/>
            <w:noWrap/>
            <w:vAlign w:val="bottom"/>
          </w:tcPr>
          <w:p w:rsidR="00C628F2" w:rsidRPr="00AF45BC" w:rsidRDefault="00C628F2" w:rsidP="00721806">
            <w:pPr>
              <w:jc w:val="center"/>
              <w:rPr>
                <w:rFonts w:ascii="Arial Narrow" w:hAnsi="Arial Narrow" w:cs="Arial"/>
                <w:i/>
                <w:sz w:val="20"/>
              </w:rPr>
            </w:pPr>
            <w:r w:rsidRPr="00AF45BC">
              <w:rPr>
                <w:rFonts w:ascii="Arial Narrow" w:hAnsi="Arial Narrow" w:cs="Arial"/>
                <w:i/>
                <w:sz w:val="20"/>
              </w:rPr>
              <w:t>-$164,361</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b/>
                <w:i/>
              </w:rPr>
            </w:pPr>
            <w:r>
              <w:rPr>
                <w:b/>
                <w:i/>
                <w:szCs w:val="20"/>
              </w:rPr>
              <w:t xml:space="preserve">Include chest X-ray SC-ICD &amp; anaesthetist time units </w:t>
            </w:r>
          </w:p>
        </w:tc>
        <w:tc>
          <w:tcPr>
            <w:tcW w:w="909" w:type="dxa"/>
            <w:noWrap/>
            <w:vAlign w:val="bottom"/>
          </w:tcPr>
          <w:p w:rsidR="00C628F2" w:rsidRPr="00E22524" w:rsidRDefault="00C628F2" w:rsidP="00721806">
            <w:pPr>
              <w:pStyle w:val="Tabletext"/>
              <w:jc w:val="center"/>
              <w:rPr>
                <w:i/>
                <w:szCs w:val="20"/>
              </w:rPr>
            </w:pPr>
            <w:r>
              <w:rPr>
                <w:i/>
                <w:szCs w:val="20"/>
              </w:rPr>
              <w:t>-</w:t>
            </w:r>
          </w:p>
        </w:tc>
        <w:tc>
          <w:tcPr>
            <w:tcW w:w="827" w:type="dxa"/>
            <w:noWrap/>
            <w:vAlign w:val="bottom"/>
          </w:tcPr>
          <w:p w:rsidR="00C628F2" w:rsidRPr="00E22524" w:rsidRDefault="00C628F2" w:rsidP="00721806">
            <w:pPr>
              <w:pStyle w:val="Tabletext"/>
              <w:jc w:val="center"/>
              <w:rPr>
                <w:i/>
                <w:szCs w:val="20"/>
              </w:rPr>
            </w:pPr>
            <w:r>
              <w:rPr>
                <w:i/>
                <w:szCs w:val="20"/>
              </w:rPr>
              <w:t>-</w:t>
            </w:r>
          </w:p>
        </w:tc>
        <w:tc>
          <w:tcPr>
            <w:tcW w:w="1015"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r>
      <w:tr w:rsidR="00C628F2" w:rsidRPr="00E22524" w:rsidTr="00721806">
        <w:trPr>
          <w:trHeight w:val="20"/>
        </w:trPr>
        <w:tc>
          <w:tcPr>
            <w:tcW w:w="4691" w:type="dxa"/>
            <w:noWrap/>
            <w:vAlign w:val="bottom"/>
          </w:tcPr>
          <w:p w:rsidR="00C628F2" w:rsidRPr="00E22524" w:rsidRDefault="00C628F2" w:rsidP="00721806">
            <w:pPr>
              <w:pStyle w:val="Tabletext"/>
              <w:rPr>
                <w:rFonts w:eastAsia="Arial Unicode MS"/>
                <w:i/>
              </w:rPr>
            </w:pPr>
            <w:r w:rsidRPr="00E22524">
              <w:rPr>
                <w:rFonts w:eastAsia="Arial Unicode MS"/>
                <w:i/>
              </w:rPr>
              <w:t>Other MBS fee</w:t>
            </w:r>
            <w:r>
              <w:rPr>
                <w:rFonts w:eastAsia="Arial Unicode MS"/>
                <w:i/>
              </w:rPr>
              <w:t>s</w:t>
            </w:r>
          </w:p>
        </w:tc>
        <w:tc>
          <w:tcPr>
            <w:tcW w:w="909" w:type="dxa"/>
            <w:noWrap/>
            <w:vAlign w:val="bottom"/>
          </w:tcPr>
          <w:p w:rsidR="00C628F2" w:rsidRPr="0018332B" w:rsidRDefault="00C628F2" w:rsidP="00721806">
            <w:pPr>
              <w:pStyle w:val="Tabletext"/>
              <w:jc w:val="center"/>
              <w:rPr>
                <w:i/>
              </w:rPr>
            </w:pPr>
            <w:r w:rsidRPr="0018332B">
              <w:rPr>
                <w:i/>
              </w:rPr>
              <w:t>-$24,151</w:t>
            </w:r>
          </w:p>
        </w:tc>
        <w:tc>
          <w:tcPr>
            <w:tcW w:w="827" w:type="dxa"/>
            <w:noWrap/>
            <w:vAlign w:val="bottom"/>
          </w:tcPr>
          <w:p w:rsidR="00C628F2" w:rsidRPr="0018332B" w:rsidRDefault="00C628F2" w:rsidP="00721806">
            <w:pPr>
              <w:pStyle w:val="Tabletext"/>
              <w:jc w:val="center"/>
              <w:rPr>
                <w:i/>
              </w:rPr>
            </w:pPr>
            <w:r w:rsidRPr="0018332B">
              <w:rPr>
                <w:i/>
              </w:rPr>
              <w:t>-$32,304</w:t>
            </w:r>
          </w:p>
        </w:tc>
        <w:tc>
          <w:tcPr>
            <w:tcW w:w="1015" w:type="dxa"/>
            <w:noWrap/>
            <w:vAlign w:val="bottom"/>
          </w:tcPr>
          <w:p w:rsidR="00C628F2" w:rsidRPr="0018332B" w:rsidRDefault="00C628F2" w:rsidP="00721806">
            <w:pPr>
              <w:pStyle w:val="Tabletext"/>
              <w:jc w:val="center"/>
              <w:rPr>
                <w:i/>
              </w:rPr>
            </w:pPr>
            <w:r w:rsidRPr="0018332B">
              <w:rPr>
                <w:i/>
              </w:rPr>
              <w:t>-$41,087</w:t>
            </w:r>
          </w:p>
        </w:tc>
        <w:tc>
          <w:tcPr>
            <w:tcW w:w="1000" w:type="dxa"/>
            <w:noWrap/>
            <w:vAlign w:val="bottom"/>
          </w:tcPr>
          <w:p w:rsidR="00C628F2" w:rsidRPr="0018332B" w:rsidRDefault="00C628F2" w:rsidP="00721806">
            <w:pPr>
              <w:pStyle w:val="Tabletext"/>
              <w:jc w:val="center"/>
              <w:rPr>
                <w:i/>
              </w:rPr>
            </w:pPr>
            <w:r w:rsidRPr="0018332B">
              <w:rPr>
                <w:i/>
              </w:rPr>
              <w:t>-$50,502</w:t>
            </w:r>
          </w:p>
        </w:tc>
        <w:tc>
          <w:tcPr>
            <w:tcW w:w="1000" w:type="dxa"/>
            <w:noWrap/>
            <w:vAlign w:val="bottom"/>
          </w:tcPr>
          <w:p w:rsidR="00C628F2" w:rsidRPr="0018332B" w:rsidRDefault="00C628F2" w:rsidP="00721806">
            <w:pPr>
              <w:pStyle w:val="Tabletext"/>
              <w:jc w:val="center"/>
              <w:rPr>
                <w:i/>
              </w:rPr>
            </w:pPr>
            <w:r w:rsidRPr="0018332B">
              <w:rPr>
                <w:i/>
              </w:rPr>
              <w:t>-$60,548</w:t>
            </w:r>
          </w:p>
        </w:tc>
      </w:tr>
      <w:tr w:rsidR="00C628F2" w:rsidRPr="00E22524" w:rsidTr="00721806">
        <w:trPr>
          <w:trHeight w:val="20"/>
        </w:trPr>
        <w:tc>
          <w:tcPr>
            <w:tcW w:w="4691" w:type="dxa"/>
            <w:noWrap/>
            <w:vAlign w:val="bottom"/>
          </w:tcPr>
          <w:p w:rsidR="00C628F2" w:rsidRPr="00AC442E" w:rsidRDefault="00C628F2" w:rsidP="00721806">
            <w:pPr>
              <w:pStyle w:val="Tabletext"/>
              <w:rPr>
                <w:rFonts w:eastAsia="Arial Unicode MS"/>
                <w:b/>
                <w:i/>
              </w:rPr>
            </w:pPr>
            <w:r w:rsidRPr="00AC442E">
              <w:rPr>
                <w:rFonts w:eastAsia="Arial Unicode MS"/>
                <w:b/>
                <w:i/>
              </w:rPr>
              <w:t>Revised Scenario</w:t>
            </w:r>
            <w:r>
              <w:rPr>
                <w:rFonts w:eastAsia="Arial Unicode MS"/>
                <w:b/>
                <w:i/>
              </w:rPr>
              <w:t xml:space="preserve"> (Multi-way Sensitivity Analysis)</w:t>
            </w:r>
          </w:p>
        </w:tc>
        <w:tc>
          <w:tcPr>
            <w:tcW w:w="909" w:type="dxa"/>
            <w:noWrap/>
            <w:vAlign w:val="bottom"/>
          </w:tcPr>
          <w:p w:rsidR="00C628F2" w:rsidRPr="00E22524" w:rsidRDefault="00C628F2" w:rsidP="00721806">
            <w:pPr>
              <w:pStyle w:val="Tabletext"/>
              <w:jc w:val="center"/>
              <w:rPr>
                <w:i/>
                <w:szCs w:val="20"/>
              </w:rPr>
            </w:pPr>
            <w:r>
              <w:rPr>
                <w:i/>
                <w:szCs w:val="20"/>
              </w:rPr>
              <w:t>-</w:t>
            </w:r>
          </w:p>
        </w:tc>
        <w:tc>
          <w:tcPr>
            <w:tcW w:w="827" w:type="dxa"/>
            <w:noWrap/>
            <w:vAlign w:val="bottom"/>
          </w:tcPr>
          <w:p w:rsidR="00C628F2" w:rsidRPr="00E22524" w:rsidRDefault="00C628F2" w:rsidP="00721806">
            <w:pPr>
              <w:pStyle w:val="Tabletext"/>
              <w:jc w:val="center"/>
              <w:rPr>
                <w:i/>
                <w:szCs w:val="20"/>
              </w:rPr>
            </w:pPr>
            <w:r>
              <w:rPr>
                <w:i/>
                <w:szCs w:val="20"/>
              </w:rPr>
              <w:t>-</w:t>
            </w:r>
          </w:p>
        </w:tc>
        <w:tc>
          <w:tcPr>
            <w:tcW w:w="1015"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c>
          <w:tcPr>
            <w:tcW w:w="1000" w:type="dxa"/>
            <w:noWrap/>
            <w:vAlign w:val="bottom"/>
          </w:tcPr>
          <w:p w:rsidR="00C628F2" w:rsidRPr="00E22524" w:rsidRDefault="00C628F2" w:rsidP="00721806">
            <w:pPr>
              <w:pStyle w:val="Tabletext"/>
              <w:jc w:val="center"/>
              <w:rPr>
                <w:i/>
                <w:szCs w:val="20"/>
              </w:rPr>
            </w:pPr>
            <w:r>
              <w:rPr>
                <w:i/>
                <w:szCs w:val="20"/>
              </w:rPr>
              <w:t>-</w:t>
            </w:r>
          </w:p>
        </w:tc>
      </w:tr>
      <w:tr w:rsidR="00C628F2" w:rsidRPr="003D6FA2" w:rsidTr="00721806">
        <w:trPr>
          <w:trHeight w:val="20"/>
        </w:trPr>
        <w:tc>
          <w:tcPr>
            <w:tcW w:w="4691" w:type="dxa"/>
            <w:noWrap/>
            <w:vAlign w:val="bottom"/>
          </w:tcPr>
          <w:p w:rsidR="00C628F2" w:rsidRPr="00B9066F" w:rsidRDefault="00C628F2" w:rsidP="00721806">
            <w:pPr>
              <w:pStyle w:val="Tabletext"/>
              <w:rPr>
                <w:rFonts w:eastAsia="Arial Unicode MS"/>
              </w:rPr>
            </w:pPr>
            <w:r>
              <w:rPr>
                <w:rFonts w:eastAsia="Arial Unicode MS"/>
              </w:rPr>
              <w:t>(10% growth; 7% pacing and chest X-ray &amp; anaesthetist time</w:t>
            </w:r>
            <w:r w:rsidRPr="00B9066F">
              <w:rPr>
                <w:rFonts w:eastAsia="Arial Unicode MS"/>
              </w:rPr>
              <w:t>)</w:t>
            </w:r>
          </w:p>
        </w:tc>
        <w:tc>
          <w:tcPr>
            <w:tcW w:w="909" w:type="dxa"/>
            <w:noWrap/>
            <w:vAlign w:val="bottom"/>
          </w:tcPr>
          <w:p w:rsidR="00C628F2" w:rsidRPr="005A2A5D" w:rsidRDefault="00C628F2" w:rsidP="00721806">
            <w:pPr>
              <w:pStyle w:val="Tabletext"/>
              <w:jc w:val="center"/>
              <w:rPr>
                <w:i/>
              </w:rPr>
            </w:pPr>
            <w:r w:rsidRPr="005A2A5D">
              <w:rPr>
                <w:i/>
              </w:rPr>
              <w:t>-$6,081</w:t>
            </w:r>
          </w:p>
        </w:tc>
        <w:tc>
          <w:tcPr>
            <w:tcW w:w="827" w:type="dxa"/>
            <w:noWrap/>
            <w:vAlign w:val="bottom"/>
          </w:tcPr>
          <w:p w:rsidR="00C628F2" w:rsidRPr="005A2A5D" w:rsidRDefault="00C628F2" w:rsidP="00721806">
            <w:pPr>
              <w:pStyle w:val="Tabletext"/>
              <w:jc w:val="center"/>
              <w:rPr>
                <w:i/>
              </w:rPr>
            </w:pPr>
            <w:r w:rsidRPr="005A2A5D">
              <w:rPr>
                <w:i/>
              </w:rPr>
              <w:t>-$8,133</w:t>
            </w:r>
          </w:p>
        </w:tc>
        <w:tc>
          <w:tcPr>
            <w:tcW w:w="1015" w:type="dxa"/>
            <w:noWrap/>
            <w:vAlign w:val="bottom"/>
          </w:tcPr>
          <w:p w:rsidR="00C628F2" w:rsidRPr="005A2A5D" w:rsidRDefault="00C628F2" w:rsidP="00721806">
            <w:pPr>
              <w:pStyle w:val="Tabletext"/>
              <w:jc w:val="center"/>
              <w:rPr>
                <w:i/>
              </w:rPr>
            </w:pPr>
            <w:r w:rsidRPr="005A2A5D">
              <w:rPr>
                <w:i/>
              </w:rPr>
              <w:t>-$10,345</w:t>
            </w:r>
          </w:p>
        </w:tc>
        <w:tc>
          <w:tcPr>
            <w:tcW w:w="1000" w:type="dxa"/>
            <w:noWrap/>
            <w:vAlign w:val="bottom"/>
          </w:tcPr>
          <w:p w:rsidR="00C628F2" w:rsidRPr="005A2A5D" w:rsidRDefault="00C628F2" w:rsidP="00721806">
            <w:pPr>
              <w:pStyle w:val="Tabletext"/>
              <w:jc w:val="center"/>
              <w:rPr>
                <w:i/>
              </w:rPr>
            </w:pPr>
            <w:r w:rsidRPr="005A2A5D">
              <w:rPr>
                <w:i/>
              </w:rPr>
              <w:t>-$12,716</w:t>
            </w:r>
          </w:p>
        </w:tc>
        <w:tc>
          <w:tcPr>
            <w:tcW w:w="1000" w:type="dxa"/>
            <w:noWrap/>
            <w:vAlign w:val="bottom"/>
          </w:tcPr>
          <w:p w:rsidR="00C628F2" w:rsidRPr="005A2A5D" w:rsidRDefault="00C628F2" w:rsidP="00721806">
            <w:pPr>
              <w:pStyle w:val="Tabletext"/>
              <w:jc w:val="center"/>
              <w:rPr>
                <w:i/>
              </w:rPr>
            </w:pPr>
            <w:r w:rsidRPr="005A2A5D">
              <w:rPr>
                <w:i/>
              </w:rPr>
              <w:t>-$15,245</w:t>
            </w:r>
          </w:p>
        </w:tc>
      </w:tr>
    </w:tbl>
    <w:p w:rsidR="00C628F2" w:rsidRPr="003D6FA2" w:rsidRDefault="00C628F2" w:rsidP="00721806">
      <w:pPr>
        <w:pStyle w:val="Tablecaption"/>
        <w:jc w:val="left"/>
        <w:rPr>
          <w:i/>
        </w:rPr>
      </w:pPr>
      <w:r w:rsidRPr="003D6FA2">
        <w:rPr>
          <w:i/>
        </w:rPr>
        <w:t>Source: calculated during evaluation</w:t>
      </w:r>
    </w:p>
    <w:p w:rsidR="00C628F2" w:rsidRPr="00362274" w:rsidRDefault="00C628F2" w:rsidP="00721806">
      <w:pPr>
        <w:rPr>
          <w:rFonts w:ascii="Arial Narrow" w:hAnsi="Arial Narrow"/>
          <w:sz w:val="20"/>
          <w:highlight w:val="green"/>
        </w:rPr>
      </w:pPr>
      <w:r>
        <w:rPr>
          <w:rFonts w:ascii="Arial Narrow" w:hAnsi="Arial Narrow"/>
          <w:sz w:val="20"/>
        </w:rPr>
        <w:t>ICD =</w:t>
      </w:r>
      <w:r w:rsidRPr="00362274">
        <w:rPr>
          <w:rFonts w:ascii="Arial Narrow" w:hAnsi="Arial Narrow"/>
          <w:sz w:val="20"/>
        </w:rPr>
        <w:t xml:space="preserve"> implantable c</w:t>
      </w:r>
      <w:r>
        <w:rPr>
          <w:rFonts w:ascii="Arial Narrow" w:hAnsi="Arial Narrow"/>
          <w:sz w:val="20"/>
        </w:rPr>
        <w:t>ardioverter-defibrillator; MBS = Medicare Benefits Schedule; S =</w:t>
      </w:r>
      <w:r w:rsidRPr="00362274">
        <w:rPr>
          <w:rFonts w:ascii="Arial Narrow" w:hAnsi="Arial Narrow"/>
          <w:sz w:val="20"/>
        </w:rPr>
        <w:t xml:space="preserve"> subcutaneous; </w:t>
      </w:r>
      <w:r>
        <w:rPr>
          <w:rFonts w:ascii="Arial Narrow" w:hAnsi="Arial Narrow"/>
          <w:sz w:val="20"/>
        </w:rPr>
        <w:t>TV =</w:t>
      </w:r>
      <w:r w:rsidRPr="00362274">
        <w:rPr>
          <w:rFonts w:ascii="Arial Narrow" w:hAnsi="Arial Narrow"/>
          <w:sz w:val="20"/>
        </w:rPr>
        <w:t xml:space="preserve"> transvenous</w:t>
      </w:r>
      <w:r>
        <w:rPr>
          <w:rFonts w:ascii="Arial Narrow" w:hAnsi="Arial Narrow"/>
          <w:sz w:val="20"/>
        </w:rPr>
        <w:t xml:space="preserve">; </w:t>
      </w:r>
    </w:p>
    <w:p w:rsidR="00C628F2" w:rsidRPr="00861380" w:rsidRDefault="00C628F2" w:rsidP="00721806">
      <w:pPr>
        <w:pStyle w:val="Tablefooter"/>
        <w:spacing w:before="0" w:after="0"/>
        <w:rPr>
          <w:sz w:val="20"/>
          <w:szCs w:val="20"/>
        </w:rPr>
      </w:pPr>
      <w:r w:rsidRPr="003D7227">
        <w:rPr>
          <w:sz w:val="20"/>
          <w:szCs w:val="20"/>
        </w:rPr>
        <w:t>a</w:t>
      </w:r>
      <w:r w:rsidRPr="00674493">
        <w:rPr>
          <w:b/>
          <w:sz w:val="20"/>
          <w:szCs w:val="20"/>
        </w:rPr>
        <w:t xml:space="preserve"> </w:t>
      </w:r>
      <w:r w:rsidRPr="00861380">
        <w:rPr>
          <w:sz w:val="20"/>
          <w:szCs w:val="20"/>
        </w:rPr>
        <w:t>Uptake rate in incident cases.</w:t>
      </w:r>
    </w:p>
    <w:p w:rsidR="00C628F2" w:rsidRDefault="00C628F2" w:rsidP="00721806">
      <w:pPr>
        <w:rPr>
          <w:i/>
        </w:rPr>
      </w:pPr>
    </w:p>
    <w:p w:rsidR="00C628F2" w:rsidRPr="00EF13A3" w:rsidRDefault="00C628F2" w:rsidP="00721806">
      <w:r w:rsidRPr="00EF13A3">
        <w:t>The financial sensitivity analyses indicated:</w:t>
      </w:r>
    </w:p>
    <w:p w:rsidR="00C628F2" w:rsidRPr="00EF13A3" w:rsidRDefault="00C628F2" w:rsidP="00721806">
      <w:pPr>
        <w:pStyle w:val="ListParagraph"/>
        <w:numPr>
          <w:ilvl w:val="0"/>
          <w:numId w:val="31"/>
        </w:numPr>
      </w:pPr>
      <w:r w:rsidRPr="00EF13A3">
        <w:t xml:space="preserve">The proposed fee for the subcutaneous lead insertion was the most influential value in the financial estimates. The lower the fee, the higher the cost savings for the MBS however this may keep uptake low in favour of the higher fee incentive for </w:t>
      </w:r>
      <w:r>
        <w:t>T-</w:t>
      </w:r>
      <w:r w:rsidRPr="00EF13A3">
        <w:t>ICD;</w:t>
      </w:r>
    </w:p>
    <w:p w:rsidR="00C628F2" w:rsidRPr="00EF13A3" w:rsidRDefault="00C628F2" w:rsidP="00721806">
      <w:pPr>
        <w:pStyle w:val="ListParagraph"/>
        <w:numPr>
          <w:ilvl w:val="0"/>
          <w:numId w:val="31"/>
        </w:numPr>
      </w:pPr>
      <w:r w:rsidRPr="00EF13A3">
        <w:t xml:space="preserve">Increased uptake rates will save MBS costs, due to the cheaper subcutaneous ICD lead service fee than </w:t>
      </w:r>
      <w:r>
        <w:t>T-</w:t>
      </w:r>
      <w:r w:rsidRPr="00EF13A3">
        <w:t xml:space="preserve">ICD; </w:t>
      </w:r>
    </w:p>
    <w:p w:rsidR="00C628F2" w:rsidRPr="00EF13A3" w:rsidRDefault="00C628F2" w:rsidP="00721806">
      <w:pPr>
        <w:pStyle w:val="ListParagraph"/>
        <w:numPr>
          <w:ilvl w:val="0"/>
          <w:numId w:val="31"/>
        </w:numPr>
      </w:pPr>
      <w:r w:rsidRPr="00EF13A3">
        <w:t xml:space="preserve">Fewer cost savings to MBS will occur if expected market growth was greater; </w:t>
      </w:r>
    </w:p>
    <w:p w:rsidR="00C628F2" w:rsidRPr="00EF13A3" w:rsidRDefault="00C628F2" w:rsidP="00721806">
      <w:pPr>
        <w:pStyle w:val="ListParagraph"/>
        <w:numPr>
          <w:ilvl w:val="0"/>
          <w:numId w:val="31"/>
        </w:numPr>
      </w:pPr>
      <w:r w:rsidRPr="00EF13A3">
        <w:t>Increased switching rates resulted in a reduction in MBS cost saving for listing subcutaneous ICD and substantial increases in public hospital costs would be expected;</w:t>
      </w:r>
    </w:p>
    <w:p w:rsidR="00C628F2" w:rsidRPr="00EF13A3" w:rsidRDefault="00C628F2" w:rsidP="00721806">
      <w:pPr>
        <w:pStyle w:val="ListParagraph"/>
        <w:numPr>
          <w:ilvl w:val="0"/>
          <w:numId w:val="31"/>
        </w:numPr>
      </w:pPr>
      <w:r w:rsidRPr="00EF13A3">
        <w:t xml:space="preserve">Fewer cost savings for MBS would occur for listing </w:t>
      </w:r>
      <w:r>
        <w:t>S-</w:t>
      </w:r>
      <w:r w:rsidRPr="00EF13A3">
        <w:t xml:space="preserve">ICD therapy if there was increased market growth, greater switching from </w:t>
      </w:r>
      <w:r>
        <w:t>T-</w:t>
      </w:r>
      <w:r w:rsidRPr="00EF13A3">
        <w:t>ICD and X-ray costs were included.</w:t>
      </w:r>
    </w:p>
    <w:p w:rsidR="00C628F2" w:rsidRDefault="00C628F2" w:rsidP="00D340DE">
      <w:pPr>
        <w:rPr>
          <w:b/>
          <w:szCs w:val="24"/>
        </w:rPr>
      </w:pPr>
    </w:p>
    <w:p w:rsidR="00C628F2" w:rsidRDefault="00C628F2" w:rsidP="006A0D97">
      <w:pPr>
        <w:pStyle w:val="Heading1"/>
        <w:numPr>
          <w:ilvl w:val="0"/>
          <w:numId w:val="23"/>
        </w:numPr>
        <w:ind w:hanging="720"/>
      </w:pPr>
      <w:r w:rsidRPr="006A0D97">
        <w:t>Key issues from ESC for MSAC</w:t>
      </w:r>
    </w:p>
    <w:p w:rsidR="00C628F2" w:rsidRPr="00721806" w:rsidRDefault="00C628F2" w:rsidP="00721806"/>
    <w:p w:rsidR="00C628F2" w:rsidRDefault="00C628F2" w:rsidP="00721806">
      <w:r w:rsidRPr="00541E9A">
        <w:t xml:space="preserve">ESC noted a key </w:t>
      </w:r>
      <w:r>
        <w:t xml:space="preserve">issue for MSAC consideration would be </w:t>
      </w:r>
      <w:r w:rsidRPr="00541E9A">
        <w:t xml:space="preserve">the appropriateness of not including detailed patient inclusion criteria in the proposed MBS item descriptor for </w:t>
      </w:r>
      <w:r>
        <w:t>S-</w:t>
      </w:r>
      <w:r w:rsidRPr="00541E9A">
        <w:t xml:space="preserve">ICD lead service provision (in contrast to </w:t>
      </w:r>
      <w:r>
        <w:t>T-</w:t>
      </w:r>
      <w:r w:rsidRPr="00541E9A">
        <w:t>ICD MBS item descriptors)</w:t>
      </w:r>
      <w:r>
        <w:t>.</w:t>
      </w:r>
    </w:p>
    <w:p w:rsidR="00C628F2" w:rsidRPr="00721806" w:rsidRDefault="00C628F2" w:rsidP="00721806">
      <w:pPr>
        <w:rPr>
          <w:rStyle w:val="IntenseReference"/>
          <w:b w:val="0"/>
          <w:bCs w:val="0"/>
          <w:i w:val="0"/>
          <w:smallCaps w:val="0"/>
          <w:color w:val="auto"/>
        </w:rPr>
      </w:pPr>
    </w:p>
    <w:p w:rsidR="00C628F2" w:rsidRPr="00721806" w:rsidRDefault="00C628F2" w:rsidP="00721806">
      <w:pPr>
        <w:rPr>
          <w:rStyle w:val="IntenseReference"/>
          <w:b w:val="0"/>
          <w:bCs w:val="0"/>
          <w:i w:val="0"/>
          <w:smallCaps w:val="0"/>
          <w:color w:val="auto"/>
        </w:rPr>
      </w:pPr>
      <w:r w:rsidRPr="00721806">
        <w:rPr>
          <w:rStyle w:val="IntenseReference"/>
          <w:b w:val="0"/>
          <w:i w:val="0"/>
          <w:smallCaps w:val="0"/>
          <w:color w:val="auto"/>
        </w:rPr>
        <w:t>ESC agreed the descriptor needs to be:</w:t>
      </w:r>
    </w:p>
    <w:p w:rsidR="00C628F2" w:rsidRPr="004F1164" w:rsidRDefault="00C628F2" w:rsidP="00721806">
      <w:pPr>
        <w:numPr>
          <w:ilvl w:val="0"/>
          <w:numId w:val="33"/>
        </w:numPr>
        <w:ind w:hanging="436"/>
      </w:pPr>
      <w:r w:rsidRPr="004F1164">
        <w:t>Explicit, particularly for primary prevention</w:t>
      </w:r>
    </w:p>
    <w:p w:rsidR="00C628F2" w:rsidRPr="004F1164" w:rsidRDefault="00C628F2" w:rsidP="00721806">
      <w:pPr>
        <w:numPr>
          <w:ilvl w:val="0"/>
          <w:numId w:val="33"/>
        </w:numPr>
        <w:ind w:hanging="436"/>
      </w:pPr>
      <w:r w:rsidRPr="004F1164">
        <w:t xml:space="preserve">Guideline-based </w:t>
      </w:r>
    </w:p>
    <w:p w:rsidR="00C628F2" w:rsidRPr="004F1164" w:rsidRDefault="00C628F2" w:rsidP="00721806">
      <w:pPr>
        <w:numPr>
          <w:ilvl w:val="0"/>
          <w:numId w:val="33"/>
        </w:numPr>
        <w:ind w:hanging="436"/>
      </w:pPr>
      <w:r>
        <w:t>S</w:t>
      </w:r>
      <w:r w:rsidRPr="004F1164">
        <w:t>pecific to include: -</w:t>
      </w:r>
    </w:p>
    <w:p w:rsidR="00C628F2" w:rsidRPr="004F1164" w:rsidRDefault="00C628F2" w:rsidP="00721806">
      <w:pPr>
        <w:numPr>
          <w:ilvl w:val="1"/>
          <w:numId w:val="34"/>
        </w:numPr>
      </w:pPr>
      <w:r w:rsidRPr="004F1164">
        <w:t xml:space="preserve">Patients with left ventricular ejection fraction (LVEF) of </w:t>
      </w:r>
      <w:r w:rsidRPr="004F1164">
        <w:rPr>
          <w:u w:val="single"/>
        </w:rPr>
        <w:t>&lt;</w:t>
      </w:r>
      <w:r w:rsidRPr="004F1164">
        <w:t>30% at least one month after myocardial infarction when the patient has received optimal medical therapy; and</w:t>
      </w:r>
    </w:p>
    <w:p w:rsidR="00C628F2" w:rsidRPr="00F9680B" w:rsidRDefault="00C628F2" w:rsidP="00721806">
      <w:pPr>
        <w:numPr>
          <w:ilvl w:val="1"/>
          <w:numId w:val="34"/>
        </w:numPr>
      </w:pPr>
      <w:r w:rsidRPr="00F9680B">
        <w:t xml:space="preserve">Patients with chronic heart failure associated with mild to moderate symptoms (New York Heart Association II and III) and LVEF </w:t>
      </w:r>
      <w:r w:rsidRPr="00F9680B">
        <w:rPr>
          <w:u w:val="single"/>
        </w:rPr>
        <w:t>&lt;</w:t>
      </w:r>
      <w:r w:rsidRPr="00F9680B">
        <w:t>35% when the patient has received optimal medical therapy.</w:t>
      </w:r>
    </w:p>
    <w:p w:rsidR="00C628F2" w:rsidRPr="00F9680B" w:rsidRDefault="00C628F2" w:rsidP="00721806">
      <w:pPr>
        <w:numPr>
          <w:ilvl w:val="1"/>
          <w:numId w:val="33"/>
        </w:numPr>
        <w:tabs>
          <w:tab w:val="clear" w:pos="1440"/>
        </w:tabs>
        <w:ind w:left="709" w:hanging="425"/>
      </w:pPr>
      <w:r w:rsidRPr="00F9680B">
        <w:t xml:space="preserve">Specific regarding exclusion criteria </w:t>
      </w:r>
      <w:proofErr w:type="spellStart"/>
      <w:r w:rsidRPr="00F9680B">
        <w:t>eg</w:t>
      </w:r>
      <w:proofErr w:type="spellEnd"/>
      <w:r w:rsidRPr="00F9680B">
        <w:t xml:space="preserve"> </w:t>
      </w:r>
      <w:r>
        <w:t xml:space="preserve">need for either </w:t>
      </w:r>
      <w:proofErr w:type="spellStart"/>
      <w:r>
        <w:t>bradyarrhythmia</w:t>
      </w:r>
      <w:proofErr w:type="spellEnd"/>
      <w:r>
        <w:t xml:space="preserve"> pacing or tachycardia overdrive pacing (</w:t>
      </w:r>
      <w:proofErr w:type="spellStart"/>
      <w:r>
        <w:t>eg</w:t>
      </w:r>
      <w:proofErr w:type="spellEnd"/>
      <w:r>
        <w:t>.</w:t>
      </w:r>
      <w:r w:rsidRPr="00F9680B">
        <w:t xml:space="preserve"> VT &lt; 170 beats/min</w:t>
      </w:r>
      <w:r>
        <w:t>)</w:t>
      </w:r>
      <w:r w:rsidRPr="00F9680B">
        <w:t>.</w:t>
      </w:r>
    </w:p>
    <w:p w:rsidR="00C628F2" w:rsidRPr="00F9680B" w:rsidRDefault="00C628F2" w:rsidP="00721806">
      <w:pPr>
        <w:rPr>
          <w:rStyle w:val="IntenseReference"/>
          <w:b w:val="0"/>
          <w:bCs w:val="0"/>
          <w:i w:val="0"/>
          <w:smallCaps w:val="0"/>
        </w:rPr>
      </w:pPr>
    </w:p>
    <w:p w:rsidR="00C628F2" w:rsidRPr="00721806" w:rsidRDefault="00C628F2" w:rsidP="00721806">
      <w:pPr>
        <w:rPr>
          <w:rStyle w:val="IntenseReference"/>
          <w:b w:val="0"/>
          <w:bCs w:val="0"/>
          <w:i w:val="0"/>
          <w:smallCaps w:val="0"/>
          <w:color w:val="auto"/>
        </w:rPr>
      </w:pPr>
      <w:r w:rsidRPr="00721806">
        <w:rPr>
          <w:rStyle w:val="IntenseReference"/>
          <w:b w:val="0"/>
          <w:i w:val="0"/>
          <w:smallCaps w:val="0"/>
          <w:color w:val="auto"/>
        </w:rPr>
        <w:t xml:space="preserve">ESC expressed concerns about the patient experience with the </w:t>
      </w:r>
      <w:r>
        <w:rPr>
          <w:rStyle w:val="IntenseReference"/>
          <w:b w:val="0"/>
          <w:i w:val="0"/>
          <w:smallCaps w:val="0"/>
          <w:color w:val="auto"/>
        </w:rPr>
        <w:t>S-</w:t>
      </w:r>
      <w:r w:rsidRPr="00721806">
        <w:rPr>
          <w:rStyle w:val="IntenseReference"/>
          <w:b w:val="0"/>
          <w:i w:val="0"/>
          <w:smallCaps w:val="0"/>
          <w:color w:val="auto"/>
        </w:rPr>
        <w:t xml:space="preserve">ICD versus the </w:t>
      </w:r>
      <w:r>
        <w:rPr>
          <w:rStyle w:val="IntenseReference"/>
          <w:b w:val="0"/>
          <w:i w:val="0"/>
          <w:smallCaps w:val="0"/>
          <w:color w:val="auto"/>
        </w:rPr>
        <w:t>T-</w:t>
      </w:r>
      <w:r w:rsidRPr="00721806">
        <w:rPr>
          <w:rStyle w:val="IntenseReference"/>
          <w:b w:val="0"/>
          <w:i w:val="0"/>
          <w:smallCaps w:val="0"/>
          <w:color w:val="auto"/>
        </w:rPr>
        <w:t>ICD, namely the size and location of the implanted pulse generator and the intensity of the shocks.</w:t>
      </w:r>
    </w:p>
    <w:p w:rsidR="00C628F2" w:rsidRPr="004F1164" w:rsidRDefault="00C628F2" w:rsidP="00721806">
      <w:pPr>
        <w:rPr>
          <w:rStyle w:val="IntenseReference"/>
          <w:b w:val="0"/>
          <w:bCs w:val="0"/>
          <w:i w:val="0"/>
          <w:smallCaps w:val="0"/>
        </w:rPr>
      </w:pPr>
    </w:p>
    <w:p w:rsidR="00C628F2" w:rsidRPr="004F1164" w:rsidRDefault="00C628F2" w:rsidP="004A3542">
      <w:pPr>
        <w:rPr>
          <w:lang w:val="en-US"/>
        </w:rPr>
      </w:pPr>
      <w:r w:rsidRPr="004F1164">
        <w:rPr>
          <w:lang w:val="en-US"/>
        </w:rPr>
        <w:t xml:space="preserve">ESC noted that the non-inferiority claim is questionable based on the clinical evidence which shows that the: </w:t>
      </w:r>
    </w:p>
    <w:p w:rsidR="00C628F2" w:rsidRPr="004A3542" w:rsidRDefault="00C628F2" w:rsidP="004A3542">
      <w:pPr>
        <w:pStyle w:val="ListParagraph"/>
        <w:numPr>
          <w:ilvl w:val="0"/>
          <w:numId w:val="35"/>
        </w:numPr>
        <w:tabs>
          <w:tab w:val="clear" w:pos="1440"/>
          <w:tab w:val="left" w:pos="567"/>
        </w:tabs>
        <w:ind w:left="567" w:hanging="567"/>
        <w:rPr>
          <w:szCs w:val="24"/>
        </w:rPr>
      </w:pPr>
      <w:r w:rsidRPr="004F1164">
        <w:rPr>
          <w:rFonts w:eastAsia="MS PGothic"/>
          <w:szCs w:val="24"/>
          <w:lang w:val="en-US"/>
        </w:rPr>
        <w:lastRenderedPageBreak/>
        <w:t xml:space="preserve">Level of inappropriate shocks is quite high for these largely short-term studies. This may be reflective of the limitation of subcutaneous ICD system in regards to ‘T-wave </w:t>
      </w:r>
      <w:proofErr w:type="spellStart"/>
      <w:r w:rsidRPr="004F1164">
        <w:rPr>
          <w:rFonts w:eastAsia="MS PGothic"/>
          <w:szCs w:val="24"/>
          <w:lang w:val="en-US"/>
        </w:rPr>
        <w:t>oversensing</w:t>
      </w:r>
      <w:proofErr w:type="spellEnd"/>
      <w:r w:rsidRPr="004F1164">
        <w:rPr>
          <w:rFonts w:eastAsia="MS PGothic"/>
          <w:szCs w:val="24"/>
          <w:lang w:val="en-US"/>
        </w:rPr>
        <w:t>’.  Clinical evidence reports that children make up 25% of the patients associated with these subcutaneous ICD inappropriate shocks (</w:t>
      </w:r>
      <w:proofErr w:type="spellStart"/>
      <w:r w:rsidRPr="004F1164">
        <w:rPr>
          <w:rFonts w:eastAsia="MS PGothic"/>
          <w:szCs w:val="24"/>
          <w:lang w:val="en-US"/>
        </w:rPr>
        <w:t>Köbe</w:t>
      </w:r>
      <w:proofErr w:type="spellEnd"/>
      <w:r w:rsidRPr="004F1164">
        <w:rPr>
          <w:rFonts w:eastAsia="MS PGothic"/>
          <w:szCs w:val="24"/>
          <w:lang w:val="en-US"/>
        </w:rPr>
        <w:t xml:space="preserve"> 2013) and that quality of life is adversely impacted with these events (not reported in application).</w:t>
      </w:r>
    </w:p>
    <w:p w:rsidR="00C628F2" w:rsidRPr="004F1164" w:rsidRDefault="00C628F2" w:rsidP="004A3542">
      <w:pPr>
        <w:pStyle w:val="ListParagraph"/>
        <w:numPr>
          <w:ilvl w:val="0"/>
          <w:numId w:val="35"/>
        </w:numPr>
        <w:tabs>
          <w:tab w:val="clear" w:pos="1440"/>
          <w:tab w:val="left" w:pos="567"/>
        </w:tabs>
        <w:ind w:left="567" w:hanging="567"/>
        <w:rPr>
          <w:szCs w:val="24"/>
          <w:lang w:val="en-US"/>
        </w:rPr>
      </w:pPr>
      <w:r w:rsidRPr="004F1164">
        <w:rPr>
          <w:rFonts w:eastAsia="MS PGothic"/>
          <w:szCs w:val="24"/>
          <w:lang w:val="en-US"/>
        </w:rPr>
        <w:t xml:space="preserve">Complications and infection rates between the subcutaneous and transvenous ICD are unclear based on the evidence presented in the presence of: heterogeneity, small sample sizes, confounding variables not appropriately controlled for and differential follow-up across treatment with </w:t>
      </w:r>
      <w:r>
        <w:rPr>
          <w:rFonts w:eastAsia="MS PGothic"/>
          <w:szCs w:val="24"/>
          <w:lang w:val="en-US"/>
        </w:rPr>
        <w:t>S-</w:t>
      </w:r>
      <w:r w:rsidRPr="004F1164">
        <w:rPr>
          <w:rFonts w:eastAsia="MS PGothic"/>
          <w:szCs w:val="24"/>
          <w:lang w:val="en-US"/>
        </w:rPr>
        <w:t xml:space="preserve">ICD compared to control group with </w:t>
      </w:r>
      <w:r>
        <w:rPr>
          <w:rFonts w:eastAsia="MS PGothic"/>
          <w:szCs w:val="24"/>
          <w:lang w:val="en-US"/>
        </w:rPr>
        <w:t>T-</w:t>
      </w:r>
      <w:r w:rsidRPr="004F1164">
        <w:rPr>
          <w:rFonts w:eastAsia="MS PGothic"/>
          <w:szCs w:val="24"/>
          <w:lang w:val="en-US"/>
        </w:rPr>
        <w:t xml:space="preserve">ICD therapy (Pettit 2013).  Like the surrogate technical outcomes, the safety outcomes do not report sample size calculations and events were underpowered for comparison.  All reported confidence intervals </w:t>
      </w:r>
      <w:r>
        <w:rPr>
          <w:rFonts w:eastAsia="MS PGothic"/>
          <w:szCs w:val="24"/>
          <w:lang w:val="en-US"/>
        </w:rPr>
        <w:t xml:space="preserve">for </w:t>
      </w:r>
      <w:r w:rsidRPr="004F1164">
        <w:rPr>
          <w:rFonts w:eastAsia="MS PGothic"/>
          <w:szCs w:val="24"/>
          <w:lang w:val="en-US"/>
        </w:rPr>
        <w:t>outcomes are much wider for safety outcomes, highlighting the greater levels of uncertainty.</w:t>
      </w:r>
    </w:p>
    <w:p w:rsidR="00C628F2" w:rsidRPr="004F1164" w:rsidRDefault="00C628F2" w:rsidP="004A3542">
      <w:pPr>
        <w:rPr>
          <w:lang w:val="en-US"/>
        </w:rPr>
      </w:pPr>
    </w:p>
    <w:p w:rsidR="00C628F2" w:rsidRDefault="00C628F2" w:rsidP="004A3542">
      <w:pPr>
        <w:tabs>
          <w:tab w:val="left" w:pos="567"/>
        </w:tabs>
        <w:rPr>
          <w:rFonts w:eastAsia="MS PGothic"/>
          <w:szCs w:val="24"/>
          <w:lang w:val="en-US"/>
        </w:rPr>
      </w:pPr>
      <w:r w:rsidRPr="004F1164">
        <w:rPr>
          <w:rFonts w:eastAsia="MS PGothic"/>
          <w:szCs w:val="24"/>
          <w:lang w:val="en-US"/>
        </w:rPr>
        <w:t xml:space="preserve">ESC noted the uncertainty on whether </w:t>
      </w:r>
      <w:r>
        <w:rPr>
          <w:rFonts w:eastAsia="MS PGothic"/>
          <w:szCs w:val="24"/>
          <w:lang w:val="en-US"/>
        </w:rPr>
        <w:t>S-</w:t>
      </w:r>
      <w:r w:rsidRPr="004F1164">
        <w:rPr>
          <w:rFonts w:eastAsia="MS PGothic"/>
          <w:szCs w:val="24"/>
          <w:lang w:val="en-US"/>
        </w:rPr>
        <w:t xml:space="preserve">ICD is non-inferior to </w:t>
      </w:r>
      <w:r>
        <w:rPr>
          <w:rFonts w:eastAsia="MS PGothic"/>
          <w:szCs w:val="24"/>
          <w:lang w:val="en-US"/>
        </w:rPr>
        <w:t>T-</w:t>
      </w:r>
      <w:r w:rsidRPr="004F1164">
        <w:rPr>
          <w:rFonts w:eastAsia="MS PGothic"/>
          <w:szCs w:val="24"/>
          <w:lang w:val="en-US"/>
        </w:rPr>
        <w:t xml:space="preserve">ICD in terms of its safety profile. Evidence was variable and inconclusive. </w:t>
      </w:r>
      <w:r>
        <w:rPr>
          <w:rFonts w:eastAsia="MS PGothic"/>
          <w:szCs w:val="24"/>
          <w:lang w:val="en-US"/>
        </w:rPr>
        <w:t>The critique noted t</w:t>
      </w:r>
      <w:r w:rsidRPr="004F1164">
        <w:rPr>
          <w:rFonts w:eastAsia="MS PGothic"/>
          <w:szCs w:val="24"/>
          <w:lang w:val="en-US"/>
        </w:rPr>
        <w:t>he issue of the electrode being close to the pectoral muscles where chest muscle activity can be over-sensed or miss-sensed as irregular ventricular activity is not adequately addressed</w:t>
      </w:r>
      <w:r>
        <w:rPr>
          <w:rFonts w:eastAsia="MS PGothic"/>
          <w:szCs w:val="24"/>
          <w:lang w:val="en-US"/>
        </w:rPr>
        <w:t>.</w:t>
      </w:r>
    </w:p>
    <w:p w:rsidR="00C628F2" w:rsidRPr="004F1164" w:rsidRDefault="00C628F2" w:rsidP="004A3542">
      <w:pPr>
        <w:tabs>
          <w:tab w:val="left" w:pos="567"/>
        </w:tabs>
        <w:rPr>
          <w:rFonts w:eastAsia="MS PGothic"/>
          <w:szCs w:val="24"/>
          <w:lang w:val="en-US"/>
        </w:rPr>
      </w:pPr>
    </w:p>
    <w:p w:rsidR="00C628F2" w:rsidRPr="004F1164" w:rsidRDefault="00C628F2" w:rsidP="004A3542">
      <w:pPr>
        <w:pStyle w:val="ListParagraph"/>
        <w:tabs>
          <w:tab w:val="left" w:pos="0"/>
        </w:tabs>
        <w:ind w:left="0"/>
        <w:rPr>
          <w:szCs w:val="24"/>
          <w:lang w:val="en-US"/>
        </w:rPr>
      </w:pPr>
      <w:r w:rsidRPr="004F1164">
        <w:rPr>
          <w:szCs w:val="24"/>
          <w:lang w:val="en-US"/>
        </w:rPr>
        <w:t xml:space="preserve">ESC expressed concerns around false positive and false negative incidences with </w:t>
      </w:r>
      <w:r>
        <w:rPr>
          <w:szCs w:val="24"/>
          <w:lang w:val="en-US"/>
        </w:rPr>
        <w:t>S-</w:t>
      </w:r>
      <w:r w:rsidRPr="004F1164">
        <w:rPr>
          <w:szCs w:val="24"/>
          <w:lang w:val="en-US"/>
        </w:rPr>
        <w:t>ICD.  The concerns ESC had regarding over-sensing may be offset in the future by developments in programming.</w:t>
      </w:r>
    </w:p>
    <w:p w:rsidR="00C628F2" w:rsidRPr="004F1164" w:rsidRDefault="00C628F2" w:rsidP="00464ADC"/>
    <w:p w:rsidR="00C628F2" w:rsidRPr="004A3542" w:rsidRDefault="00C628F2" w:rsidP="004A3542">
      <w:pPr>
        <w:pStyle w:val="Style2"/>
        <w:tabs>
          <w:tab w:val="clear" w:pos="360"/>
        </w:tabs>
        <w:rPr>
          <w:rFonts w:ascii="Times New Roman" w:hAnsi="Times New Roman" w:cs="Times New Roman"/>
        </w:rPr>
      </w:pPr>
      <w:r w:rsidRPr="009F43F6">
        <w:rPr>
          <w:rFonts w:ascii="Times New Roman" w:hAnsi="Times New Roman" w:cs="Times New Roman"/>
          <w:color w:val="auto"/>
        </w:rPr>
        <w:t>ESC noted there is a paucity of clinical trial data:</w:t>
      </w:r>
    </w:p>
    <w:p w:rsidR="00C628F2" w:rsidRPr="009F43F6" w:rsidRDefault="00C628F2" w:rsidP="00464ADC">
      <w:pPr>
        <w:numPr>
          <w:ilvl w:val="0"/>
          <w:numId w:val="36"/>
        </w:numPr>
        <w:rPr>
          <w:szCs w:val="24"/>
        </w:rPr>
      </w:pPr>
      <w:r w:rsidRPr="009F43F6">
        <w:rPr>
          <w:szCs w:val="24"/>
          <w:lang w:val="en-US"/>
        </w:rPr>
        <w:t>All evidence presented in the application is based on non-randomised studies and only device-related/technical and safety outcomes were assessed;</w:t>
      </w:r>
    </w:p>
    <w:p w:rsidR="00C628F2" w:rsidRPr="009F43F6" w:rsidRDefault="00C628F2" w:rsidP="00464ADC">
      <w:pPr>
        <w:numPr>
          <w:ilvl w:val="0"/>
          <w:numId w:val="36"/>
        </w:numPr>
        <w:rPr>
          <w:szCs w:val="24"/>
        </w:rPr>
      </w:pPr>
      <w:r w:rsidRPr="009F43F6">
        <w:rPr>
          <w:szCs w:val="24"/>
          <w:lang w:val="en-US"/>
        </w:rPr>
        <w:t xml:space="preserve">As a whole, the sample sizes were all very small in the primary analyses, especially in </w:t>
      </w:r>
      <w:proofErr w:type="spellStart"/>
      <w:r w:rsidRPr="009F43F6">
        <w:rPr>
          <w:szCs w:val="24"/>
          <w:lang w:val="en-US"/>
        </w:rPr>
        <w:t>Jarman</w:t>
      </w:r>
      <w:proofErr w:type="spellEnd"/>
      <w:r w:rsidRPr="009F43F6">
        <w:rPr>
          <w:szCs w:val="24"/>
          <w:lang w:val="en-US"/>
        </w:rPr>
        <w:t xml:space="preserve"> (2012) and Pettit (2013) which had 16 and 9 patients in the treatment arms, respectively; </w:t>
      </w:r>
    </w:p>
    <w:p w:rsidR="00C628F2" w:rsidRPr="009F43F6" w:rsidRDefault="00C628F2" w:rsidP="00464ADC">
      <w:pPr>
        <w:numPr>
          <w:ilvl w:val="0"/>
          <w:numId w:val="36"/>
        </w:numPr>
        <w:rPr>
          <w:szCs w:val="24"/>
        </w:rPr>
      </w:pPr>
      <w:r w:rsidRPr="009F43F6">
        <w:rPr>
          <w:szCs w:val="24"/>
          <w:lang w:val="en-US"/>
        </w:rPr>
        <w:t xml:space="preserve">This reduces the generalisability of the findings to the intended MBS population; </w:t>
      </w:r>
    </w:p>
    <w:p w:rsidR="00C628F2" w:rsidRPr="009F43F6" w:rsidRDefault="00C628F2" w:rsidP="00464ADC">
      <w:pPr>
        <w:numPr>
          <w:ilvl w:val="0"/>
          <w:numId w:val="36"/>
        </w:numPr>
        <w:rPr>
          <w:szCs w:val="24"/>
        </w:rPr>
      </w:pPr>
      <w:r w:rsidRPr="009F43F6">
        <w:rPr>
          <w:iCs/>
          <w:szCs w:val="24"/>
          <w:lang w:val="en-US"/>
        </w:rPr>
        <w:t>A prospective, multi-</w:t>
      </w:r>
      <w:proofErr w:type="spellStart"/>
      <w:r w:rsidRPr="009F43F6">
        <w:rPr>
          <w:iCs/>
          <w:szCs w:val="24"/>
          <w:lang w:val="en-US"/>
        </w:rPr>
        <w:t>centre</w:t>
      </w:r>
      <w:proofErr w:type="spellEnd"/>
      <w:r w:rsidRPr="009F43F6">
        <w:rPr>
          <w:iCs/>
          <w:szCs w:val="24"/>
          <w:lang w:val="en-US"/>
        </w:rPr>
        <w:t>, randomised controlled trial (PRAETORIAN) comparing subcutaneous ICD with transvenous ICD will be completed in June 2018; and</w:t>
      </w:r>
    </w:p>
    <w:p w:rsidR="00C628F2" w:rsidRPr="009F43F6" w:rsidRDefault="00C628F2" w:rsidP="00464ADC">
      <w:pPr>
        <w:numPr>
          <w:ilvl w:val="0"/>
          <w:numId w:val="36"/>
        </w:numPr>
        <w:rPr>
          <w:szCs w:val="24"/>
        </w:rPr>
      </w:pPr>
      <w:r w:rsidRPr="009F43F6">
        <w:rPr>
          <w:iCs/>
          <w:szCs w:val="24"/>
          <w:lang w:val="en-US"/>
        </w:rPr>
        <w:t xml:space="preserve">No health-related quality of life data </w:t>
      </w:r>
      <w:r>
        <w:rPr>
          <w:iCs/>
          <w:szCs w:val="24"/>
          <w:lang w:val="en-US"/>
        </w:rPr>
        <w:t>are</w:t>
      </w:r>
      <w:r w:rsidRPr="009F43F6">
        <w:rPr>
          <w:iCs/>
          <w:szCs w:val="24"/>
          <w:lang w:val="en-US"/>
        </w:rPr>
        <w:t xml:space="preserve"> yet available.</w:t>
      </w:r>
    </w:p>
    <w:p w:rsidR="00C628F2" w:rsidRPr="009F43F6" w:rsidRDefault="00C628F2" w:rsidP="00464ADC">
      <w:pPr>
        <w:rPr>
          <w:szCs w:val="24"/>
          <w:lang w:val="en-US"/>
        </w:rPr>
      </w:pPr>
    </w:p>
    <w:p w:rsidR="00C628F2" w:rsidRPr="004A3542" w:rsidRDefault="00C628F2" w:rsidP="00464ADC">
      <w:pPr>
        <w:rPr>
          <w:szCs w:val="24"/>
          <w:lang w:val="en-US"/>
        </w:rPr>
      </w:pPr>
      <w:r w:rsidRPr="009F43F6">
        <w:rPr>
          <w:szCs w:val="24"/>
          <w:lang w:val="en-US"/>
        </w:rPr>
        <w:t xml:space="preserve">Compared with </w:t>
      </w:r>
      <w:r>
        <w:rPr>
          <w:szCs w:val="24"/>
          <w:lang w:val="en-US"/>
        </w:rPr>
        <w:t>S-</w:t>
      </w:r>
      <w:r w:rsidRPr="009F43F6">
        <w:rPr>
          <w:szCs w:val="24"/>
          <w:lang w:val="en-US"/>
        </w:rPr>
        <w:t xml:space="preserve">ICD, </w:t>
      </w:r>
      <w:r>
        <w:rPr>
          <w:szCs w:val="24"/>
          <w:lang w:val="en-US"/>
        </w:rPr>
        <w:t xml:space="preserve">T-ICD therapy is susceptible to: </w:t>
      </w:r>
    </w:p>
    <w:p w:rsidR="00C628F2" w:rsidRPr="009F43F6" w:rsidRDefault="00C628F2" w:rsidP="00464ADC">
      <w:pPr>
        <w:numPr>
          <w:ilvl w:val="0"/>
          <w:numId w:val="36"/>
        </w:numPr>
        <w:tabs>
          <w:tab w:val="clear" w:pos="720"/>
          <w:tab w:val="left" w:pos="709"/>
        </w:tabs>
        <w:rPr>
          <w:szCs w:val="24"/>
          <w:lang w:val="en-US"/>
        </w:rPr>
      </w:pPr>
      <w:r w:rsidRPr="009F43F6">
        <w:rPr>
          <w:szCs w:val="24"/>
          <w:lang w:val="en-US"/>
        </w:rPr>
        <w:t xml:space="preserve">Greater surgical complications (as a result of lead failure and infection); </w:t>
      </w:r>
    </w:p>
    <w:p w:rsidR="00C628F2" w:rsidRPr="009F43F6" w:rsidRDefault="00C628F2" w:rsidP="00464ADC">
      <w:pPr>
        <w:numPr>
          <w:ilvl w:val="0"/>
          <w:numId w:val="36"/>
        </w:numPr>
        <w:tabs>
          <w:tab w:val="clear" w:pos="720"/>
          <w:tab w:val="left" w:pos="709"/>
        </w:tabs>
        <w:rPr>
          <w:szCs w:val="24"/>
          <w:lang w:val="en-US"/>
        </w:rPr>
      </w:pPr>
      <w:r w:rsidRPr="009F43F6">
        <w:rPr>
          <w:szCs w:val="24"/>
          <w:lang w:val="en-US"/>
        </w:rPr>
        <w:t xml:space="preserve">Greater severity of any infection due to connection with heart and greater vasculature; </w:t>
      </w:r>
    </w:p>
    <w:p w:rsidR="00C628F2" w:rsidRPr="009F43F6" w:rsidRDefault="00C628F2" w:rsidP="00464ADC">
      <w:pPr>
        <w:numPr>
          <w:ilvl w:val="0"/>
          <w:numId w:val="36"/>
        </w:numPr>
        <w:tabs>
          <w:tab w:val="clear" w:pos="720"/>
          <w:tab w:val="left" w:pos="709"/>
        </w:tabs>
        <w:rPr>
          <w:szCs w:val="24"/>
          <w:lang w:val="en-US"/>
        </w:rPr>
      </w:pPr>
      <w:r w:rsidRPr="009F43F6">
        <w:rPr>
          <w:szCs w:val="24"/>
          <w:lang w:val="en-US"/>
        </w:rPr>
        <w:t xml:space="preserve">Greater complexity in lead removal, which is especially important in eligible younger patients; </w:t>
      </w:r>
    </w:p>
    <w:p w:rsidR="00C628F2" w:rsidRPr="009F43F6" w:rsidRDefault="00C628F2" w:rsidP="00464ADC">
      <w:pPr>
        <w:numPr>
          <w:ilvl w:val="0"/>
          <w:numId w:val="36"/>
        </w:numPr>
        <w:tabs>
          <w:tab w:val="clear" w:pos="720"/>
          <w:tab w:val="left" w:pos="709"/>
        </w:tabs>
        <w:rPr>
          <w:szCs w:val="24"/>
          <w:lang w:val="en-US"/>
        </w:rPr>
      </w:pPr>
      <w:r w:rsidRPr="009F43F6">
        <w:rPr>
          <w:szCs w:val="24"/>
          <w:lang w:val="en-US"/>
        </w:rPr>
        <w:t xml:space="preserve">Endovascular mechanical stress producing lead malfunction and failure (Aziz et al. 2014); and </w:t>
      </w:r>
    </w:p>
    <w:p w:rsidR="00C628F2" w:rsidRPr="009F43F6" w:rsidRDefault="00C628F2" w:rsidP="00464ADC">
      <w:pPr>
        <w:numPr>
          <w:ilvl w:val="0"/>
          <w:numId w:val="36"/>
        </w:numPr>
        <w:tabs>
          <w:tab w:val="clear" w:pos="720"/>
          <w:tab w:val="left" w:pos="709"/>
        </w:tabs>
        <w:rPr>
          <w:szCs w:val="24"/>
          <w:lang w:val="en-US"/>
        </w:rPr>
      </w:pPr>
      <w:r w:rsidRPr="009F43F6">
        <w:rPr>
          <w:szCs w:val="24"/>
          <w:lang w:val="en-US"/>
        </w:rPr>
        <w:t>Greater associated- mortality and morbidity in patients with chronically present transvenous leads.</w:t>
      </w:r>
    </w:p>
    <w:p w:rsidR="00C628F2" w:rsidRPr="009F43F6" w:rsidRDefault="00C628F2" w:rsidP="00464ADC">
      <w:pPr>
        <w:rPr>
          <w:lang w:val="en-US"/>
        </w:rPr>
      </w:pPr>
    </w:p>
    <w:p w:rsidR="00C628F2" w:rsidRPr="009F43F6" w:rsidRDefault="00C628F2" w:rsidP="00464ADC">
      <w:r w:rsidRPr="009F43F6">
        <w:t xml:space="preserve">Subcutaneous ICD does not have remote monitoring capability – a feature that </w:t>
      </w:r>
      <w:r>
        <w:t xml:space="preserve">decreases the number of scheduled clinic-based device checks, may </w:t>
      </w:r>
      <w:r w:rsidRPr="00080A8A">
        <w:t>improve patient outcomes</w:t>
      </w:r>
      <w:r>
        <w:t>,</w:t>
      </w:r>
      <w:r w:rsidRPr="009F43F6">
        <w:t xml:space="preserve"> and simplifies follow-up (Aziz et al 2014).</w:t>
      </w:r>
    </w:p>
    <w:p w:rsidR="00C628F2" w:rsidRPr="009F43F6" w:rsidRDefault="00C628F2" w:rsidP="00464ADC"/>
    <w:p w:rsidR="00C628F2" w:rsidRDefault="00C628F2" w:rsidP="00464ADC">
      <w:pPr>
        <w:rPr>
          <w:iCs/>
          <w:lang w:val="en-US"/>
        </w:rPr>
      </w:pPr>
      <w:r w:rsidRPr="009F43F6">
        <w:rPr>
          <w:iCs/>
          <w:lang w:val="en-US"/>
        </w:rPr>
        <w:t xml:space="preserve">There is uncertainty around the potential setting for subcutaneous ICD and the credentialing of health professionals required for this less invasive procedure compared with conventional ICD implantation. </w:t>
      </w:r>
    </w:p>
    <w:p w:rsidR="00C628F2" w:rsidRPr="004F1164" w:rsidRDefault="00C628F2" w:rsidP="00464ADC">
      <w:r>
        <w:rPr>
          <w:noProof/>
        </w:rPr>
        <w:lastRenderedPageBreak/>
        <w:t>ESC was concerned that the proposed fee may not be justified. The proposed fee is 10% less than for transvenous ICD. However, expert opinion indicates that the complexity and time required for implantation are closer to 50% of that required for transvenous ICD.</w:t>
      </w:r>
      <w:r w:rsidRPr="004F1164">
        <w:rPr>
          <w:noProof/>
        </w:rPr>
        <w:t xml:space="preserve"> </w:t>
      </w:r>
      <w:r w:rsidRPr="004F1164">
        <w:t xml:space="preserve">The appropriateness of the proposed </w:t>
      </w:r>
      <w:r>
        <w:t>fee for implantation of a</w:t>
      </w:r>
      <w:r w:rsidRPr="004F1164">
        <w:t xml:space="preserve"> subcutaneous ICD, based on ‘10% less’ (than transvenous ICD) which may </w:t>
      </w:r>
      <w:r>
        <w:t>reflect</w:t>
      </w:r>
      <w:r w:rsidRPr="004F1164">
        <w:t xml:space="preserve"> an overestimate of the </w:t>
      </w:r>
      <w:r>
        <w:t>cost</w:t>
      </w:r>
      <w:r w:rsidRPr="004F1164">
        <w:t xml:space="preserve"> of the procedure that is less invasive, simpler a</w:t>
      </w:r>
      <w:r>
        <w:t>nd quicker than transvenous ICD.</w:t>
      </w:r>
    </w:p>
    <w:p w:rsidR="00C628F2" w:rsidRPr="004F1164" w:rsidRDefault="00C628F2" w:rsidP="00464ADC">
      <w:pPr>
        <w:rPr>
          <w:noProof/>
        </w:rPr>
      </w:pPr>
    </w:p>
    <w:p w:rsidR="00C628F2" w:rsidRPr="00CD6CBA" w:rsidRDefault="00C628F2" w:rsidP="00464ADC">
      <w:pPr>
        <w:keepNext/>
        <w:rPr>
          <w:szCs w:val="24"/>
        </w:rPr>
      </w:pPr>
      <w:r>
        <w:rPr>
          <w:szCs w:val="24"/>
        </w:rPr>
        <w:t>ESC agreed t</w:t>
      </w:r>
      <w:r w:rsidRPr="00CD6CBA">
        <w:rPr>
          <w:szCs w:val="24"/>
        </w:rPr>
        <w:t>h</w:t>
      </w:r>
      <w:r>
        <w:rPr>
          <w:szCs w:val="24"/>
        </w:rPr>
        <w:t>e main areas of</w:t>
      </w:r>
      <w:r w:rsidRPr="00CD6CBA">
        <w:rPr>
          <w:szCs w:val="24"/>
        </w:rPr>
        <w:t xml:space="preserve"> financial</w:t>
      </w:r>
      <w:r w:rsidRPr="00CD6CBA">
        <w:rPr>
          <w:b/>
          <w:szCs w:val="24"/>
        </w:rPr>
        <w:t xml:space="preserve"> </w:t>
      </w:r>
      <w:r w:rsidRPr="00CD6CBA">
        <w:rPr>
          <w:szCs w:val="24"/>
        </w:rPr>
        <w:t>uncertainty relate to:</w:t>
      </w:r>
    </w:p>
    <w:p w:rsidR="00C628F2" w:rsidRPr="00CD6CBA" w:rsidRDefault="00C628F2" w:rsidP="00464ADC">
      <w:pPr>
        <w:pStyle w:val="ListParagraph"/>
        <w:keepNext/>
        <w:numPr>
          <w:ilvl w:val="0"/>
          <w:numId w:val="38"/>
        </w:numPr>
        <w:rPr>
          <w:szCs w:val="24"/>
        </w:rPr>
      </w:pPr>
      <w:r w:rsidRPr="00CD6CBA">
        <w:rPr>
          <w:szCs w:val="24"/>
        </w:rPr>
        <w:t xml:space="preserve">The lack of supportive data collection beyond the five year financial model, where key device revision and replacement is expected to occur, and the long-term economic implications to the Australian healthcare system. The limited experience and follow-up of subcutaneous ICD in practice which significantly reduces the ability to forecast all economic costs, especially beyond five years where re-implantation and the associated safety risks may occur; </w:t>
      </w:r>
    </w:p>
    <w:p w:rsidR="00C628F2" w:rsidRDefault="00C628F2" w:rsidP="00464ADC">
      <w:pPr>
        <w:pStyle w:val="ListParagraph"/>
        <w:numPr>
          <w:ilvl w:val="0"/>
          <w:numId w:val="38"/>
        </w:numPr>
        <w:rPr>
          <w:szCs w:val="24"/>
        </w:rPr>
      </w:pPr>
      <w:r w:rsidRPr="00CD6CBA">
        <w:rPr>
          <w:szCs w:val="24"/>
        </w:rPr>
        <w:t>The appropriateness of assumptions used to estimate the ‘additional’ patient group</w:t>
      </w:r>
      <w:r w:rsidRPr="00CD6CBA">
        <w:rPr>
          <w:rStyle w:val="CommentReference"/>
        </w:rPr>
        <w:t>;</w:t>
      </w:r>
      <w:r w:rsidRPr="00CD6CBA">
        <w:rPr>
          <w:szCs w:val="24"/>
        </w:rPr>
        <w:t xml:space="preserve"> calculations show that if the growth is higher than 5% the saving to the MBS will be significantly reduced;</w:t>
      </w:r>
    </w:p>
    <w:p w:rsidR="00C628F2" w:rsidRPr="006D2C5C" w:rsidRDefault="00C628F2" w:rsidP="00464ADC">
      <w:pPr>
        <w:pStyle w:val="ListParagraph"/>
        <w:numPr>
          <w:ilvl w:val="0"/>
          <w:numId w:val="38"/>
        </w:numPr>
        <w:rPr>
          <w:szCs w:val="24"/>
        </w:rPr>
      </w:pPr>
      <w:r>
        <w:rPr>
          <w:szCs w:val="24"/>
        </w:rPr>
        <w:t xml:space="preserve">The estimation of the number of subcutaneous ICD patients who then require transvenous ICD as a result of developing pacing requirements. </w:t>
      </w:r>
      <w:r w:rsidRPr="006D2C5C">
        <w:rPr>
          <w:szCs w:val="24"/>
        </w:rPr>
        <w:t xml:space="preserve">HESP advised that the ‘broader’ population base proposed would be in the order of 10-20% switching rate, significantly reducing the savings to MBS; </w:t>
      </w:r>
    </w:p>
    <w:p w:rsidR="00C628F2" w:rsidRPr="00CD6CBA" w:rsidRDefault="00C628F2" w:rsidP="00464ADC">
      <w:pPr>
        <w:pStyle w:val="ListParagraph"/>
        <w:numPr>
          <w:ilvl w:val="0"/>
          <w:numId w:val="38"/>
        </w:numPr>
        <w:rPr>
          <w:szCs w:val="24"/>
        </w:rPr>
      </w:pPr>
      <w:r w:rsidRPr="00CD6CBA">
        <w:rPr>
          <w:szCs w:val="24"/>
        </w:rPr>
        <w:t>The appropriateness of assumptions used to identify and estimate the eligible patients for subcutaneous ICD; calculations show greater numbers of patients eligible will generate greater cost savings to the MBS;</w:t>
      </w:r>
    </w:p>
    <w:p w:rsidR="00C628F2" w:rsidRPr="00CD6CBA" w:rsidRDefault="00C628F2" w:rsidP="00464ADC">
      <w:pPr>
        <w:pStyle w:val="ListParagraph"/>
        <w:numPr>
          <w:ilvl w:val="0"/>
          <w:numId w:val="38"/>
        </w:numPr>
        <w:rPr>
          <w:szCs w:val="24"/>
        </w:rPr>
      </w:pPr>
      <w:r w:rsidRPr="00CD6CBA">
        <w:rPr>
          <w:szCs w:val="24"/>
        </w:rPr>
        <w:t>The uncertainty regarding the assumed gradual growth of subcutaneous ICD uptake rates (based on historical MBS transvenous ICD service provision). Review of AIHW and other external data sources indicate this growth could be rapid and exponential; and</w:t>
      </w:r>
    </w:p>
    <w:p w:rsidR="00C628F2" w:rsidRDefault="00C628F2" w:rsidP="00464ADC">
      <w:pPr>
        <w:pStyle w:val="ListParagraph"/>
        <w:keepNext/>
        <w:numPr>
          <w:ilvl w:val="0"/>
          <w:numId w:val="38"/>
        </w:numPr>
        <w:rPr>
          <w:szCs w:val="24"/>
        </w:rPr>
      </w:pPr>
      <w:r w:rsidRPr="00CD6CBA">
        <w:rPr>
          <w:szCs w:val="24"/>
        </w:rPr>
        <w:t>The unknown applicability to the proposed Australian population because no study included Australian patients.</w:t>
      </w:r>
    </w:p>
    <w:p w:rsidR="00C628F2" w:rsidRPr="006A0D97" w:rsidRDefault="00C628F2" w:rsidP="006A0D97"/>
    <w:p w:rsidR="00C628F2" w:rsidRDefault="00C628F2" w:rsidP="007B32D1">
      <w:pPr>
        <w:pStyle w:val="Heading1"/>
        <w:numPr>
          <w:ilvl w:val="0"/>
          <w:numId w:val="23"/>
        </w:numPr>
        <w:ind w:hanging="720"/>
      </w:pPr>
      <w:r w:rsidRPr="008D5885">
        <w:t>Other significant factors</w:t>
      </w:r>
    </w:p>
    <w:p w:rsidR="00C628F2" w:rsidRDefault="00C628F2" w:rsidP="00DD2858">
      <w:pPr>
        <w:rPr>
          <w:szCs w:val="24"/>
        </w:rPr>
      </w:pPr>
    </w:p>
    <w:p w:rsidR="00C628F2" w:rsidRPr="004A3542" w:rsidRDefault="00C628F2" w:rsidP="00DD2858">
      <w:pPr>
        <w:rPr>
          <w:szCs w:val="24"/>
        </w:rPr>
      </w:pPr>
      <w:r w:rsidRPr="004A3542">
        <w:rPr>
          <w:szCs w:val="24"/>
        </w:rPr>
        <w:t>Nil</w:t>
      </w:r>
    </w:p>
    <w:p w:rsidR="00C628F2" w:rsidRPr="00707064" w:rsidRDefault="00C628F2" w:rsidP="00DD2858">
      <w:pPr>
        <w:tabs>
          <w:tab w:val="left" w:pos="720"/>
        </w:tabs>
        <w:ind w:left="709" w:hanging="709"/>
        <w:rPr>
          <w:szCs w:val="24"/>
        </w:rPr>
      </w:pPr>
    </w:p>
    <w:p w:rsidR="00C628F2" w:rsidRDefault="00C628F2" w:rsidP="007B32D1">
      <w:pPr>
        <w:pStyle w:val="Heading1"/>
        <w:numPr>
          <w:ilvl w:val="0"/>
          <w:numId w:val="23"/>
        </w:numPr>
        <w:ind w:hanging="720"/>
      </w:pPr>
      <w:r w:rsidRPr="008D5885">
        <w:t xml:space="preserve">Applicant’s comments on MSAC’s </w:t>
      </w:r>
      <w:r>
        <w:t>Public Summary Document</w:t>
      </w:r>
    </w:p>
    <w:p w:rsidR="00C628F2" w:rsidRDefault="00C628F2" w:rsidP="00230D6B">
      <w:pPr>
        <w:tabs>
          <w:tab w:val="left" w:pos="720"/>
        </w:tabs>
        <w:ind w:left="709" w:hanging="709"/>
        <w:rPr>
          <w:b/>
          <w:szCs w:val="24"/>
        </w:rPr>
      </w:pPr>
    </w:p>
    <w:p w:rsidR="00E83294" w:rsidRDefault="00E83294" w:rsidP="00E83294">
      <w:pPr>
        <w:rPr>
          <w:szCs w:val="24"/>
        </w:rPr>
      </w:pPr>
      <w:r w:rsidRPr="00FE4974">
        <w:rPr>
          <w:szCs w:val="24"/>
        </w:rPr>
        <w:t xml:space="preserve">Boston Scientific </w:t>
      </w:r>
      <w:proofErr w:type="gramStart"/>
      <w:r w:rsidRPr="00FE4974">
        <w:rPr>
          <w:szCs w:val="24"/>
        </w:rPr>
        <w:t>are</w:t>
      </w:r>
      <w:proofErr w:type="gramEnd"/>
      <w:r w:rsidRPr="00FE4974">
        <w:rPr>
          <w:szCs w:val="24"/>
        </w:rPr>
        <w:t xml:space="preserve"> disappointed with MSAC’s decision not to recommend the insertion of a subcutaneous implantable cardioverter defibrillator (S-ICD) electrode in Australia. </w:t>
      </w:r>
      <w:r>
        <w:rPr>
          <w:szCs w:val="24"/>
        </w:rPr>
        <w:t>T</w:t>
      </w:r>
      <w:r w:rsidRPr="00FE4974">
        <w:rPr>
          <w:szCs w:val="24"/>
        </w:rPr>
        <w:t>he evidence presented in this submission supports the technical equivalence of S-ICD and TV-ICD in the proposed patient population, with the benefit of fewer surgical complications and lesser severity of infection. Boston Scientific understand</w:t>
      </w:r>
      <w:r>
        <w:rPr>
          <w:szCs w:val="24"/>
        </w:rPr>
        <w:t>s</w:t>
      </w:r>
      <w:r w:rsidRPr="00FE4974">
        <w:rPr>
          <w:szCs w:val="24"/>
        </w:rPr>
        <w:t xml:space="preserve"> MSAC</w:t>
      </w:r>
      <w:r>
        <w:rPr>
          <w:szCs w:val="24"/>
        </w:rPr>
        <w:t xml:space="preserve">’s suggestion to wait for </w:t>
      </w:r>
      <w:r w:rsidRPr="00FE4974">
        <w:rPr>
          <w:szCs w:val="24"/>
        </w:rPr>
        <w:t>long-term, patient-relevant outcomes, but believe the current body of evidence sufficiently justifies funding pending additional evidence. The PRAETORIAN trial will likely address some, but not necessarily all of MSAC’s concerns and will not be</w:t>
      </w:r>
      <w:r>
        <w:rPr>
          <w:szCs w:val="24"/>
        </w:rPr>
        <w:t xml:space="preserve"> available for up to four years,</w:t>
      </w:r>
      <w:r w:rsidRPr="00FE4974">
        <w:rPr>
          <w:szCs w:val="24"/>
        </w:rPr>
        <w:t xml:space="preserve"> </w:t>
      </w:r>
      <w:r>
        <w:rPr>
          <w:szCs w:val="24"/>
        </w:rPr>
        <w:t xml:space="preserve">so other </w:t>
      </w:r>
      <w:r w:rsidRPr="00FE4974">
        <w:rPr>
          <w:szCs w:val="24"/>
        </w:rPr>
        <w:t xml:space="preserve">funding options </w:t>
      </w:r>
      <w:r>
        <w:rPr>
          <w:szCs w:val="24"/>
        </w:rPr>
        <w:t xml:space="preserve">may be considered </w:t>
      </w:r>
      <w:r w:rsidRPr="00FE4974">
        <w:rPr>
          <w:szCs w:val="24"/>
        </w:rPr>
        <w:t>pending this additional evidence</w:t>
      </w:r>
      <w:r>
        <w:rPr>
          <w:szCs w:val="24"/>
        </w:rPr>
        <w:t>.</w:t>
      </w:r>
      <w:r w:rsidRPr="00FE4974">
        <w:rPr>
          <w:szCs w:val="24"/>
        </w:rPr>
        <w:t xml:space="preserve"> </w:t>
      </w:r>
    </w:p>
    <w:p w:rsidR="00E83294" w:rsidRDefault="00E83294" w:rsidP="00E83294">
      <w:pPr>
        <w:rPr>
          <w:szCs w:val="24"/>
        </w:rPr>
      </w:pPr>
    </w:p>
    <w:p w:rsidR="00E83294" w:rsidRPr="00A36332" w:rsidRDefault="00E83294" w:rsidP="00E83294">
      <w:pPr>
        <w:rPr>
          <w:szCs w:val="24"/>
        </w:rPr>
      </w:pPr>
      <w:r>
        <w:rPr>
          <w:szCs w:val="24"/>
        </w:rPr>
        <w:t xml:space="preserve">The Sponsor will </w:t>
      </w:r>
      <w:r w:rsidRPr="00FE4974">
        <w:rPr>
          <w:szCs w:val="24"/>
        </w:rPr>
        <w:t>continue to work with Australian physicians and other stakeholders to secure access for patients</w:t>
      </w:r>
      <w:r>
        <w:rPr>
          <w:szCs w:val="24"/>
        </w:rPr>
        <w:t xml:space="preserve"> to address the </w:t>
      </w:r>
      <w:r w:rsidRPr="00FE4974">
        <w:rPr>
          <w:szCs w:val="24"/>
        </w:rPr>
        <w:t xml:space="preserve">unmet clinical need for S-ICD within the current ICD population. Notably, S-ICD has been approved in United Kingdom, where NICE have conditionally agreed to reimburse the technology for eligible patients, with further collection of data. Boston Scientific are committed to working with MSAC and the Department of </w:t>
      </w:r>
      <w:r w:rsidRPr="00FE4974">
        <w:rPr>
          <w:szCs w:val="24"/>
        </w:rPr>
        <w:lastRenderedPageBreak/>
        <w:t>Health to ensure the health outcomes of Australian patients at risk of sudden cardiac death do not fall behind those of comparable nations</w:t>
      </w:r>
      <w:r>
        <w:rPr>
          <w:szCs w:val="24"/>
        </w:rPr>
        <w:t>.</w:t>
      </w:r>
    </w:p>
    <w:p w:rsidR="00C628F2" w:rsidRDefault="00C628F2" w:rsidP="00230D6B">
      <w:pPr>
        <w:rPr>
          <w:b/>
          <w:szCs w:val="24"/>
        </w:rPr>
      </w:pPr>
      <w:bookmarkStart w:id="2" w:name="_GoBack"/>
      <w:bookmarkEnd w:id="2"/>
    </w:p>
    <w:p w:rsidR="00C628F2" w:rsidRDefault="00C628F2" w:rsidP="007B32D1">
      <w:pPr>
        <w:pStyle w:val="Heading1"/>
        <w:numPr>
          <w:ilvl w:val="0"/>
          <w:numId w:val="23"/>
        </w:numPr>
        <w:ind w:hanging="720"/>
      </w:pPr>
      <w:r>
        <w:t>Further information on MSAC</w:t>
      </w:r>
    </w:p>
    <w:p w:rsidR="00C628F2" w:rsidRDefault="00C628F2" w:rsidP="00DD2858">
      <w:pPr>
        <w:tabs>
          <w:tab w:val="left" w:pos="720"/>
        </w:tabs>
        <w:ind w:left="709" w:hanging="709"/>
        <w:rPr>
          <w:b/>
          <w:szCs w:val="24"/>
        </w:rPr>
      </w:pPr>
    </w:p>
    <w:p w:rsidR="00C628F2" w:rsidRPr="00DD2858" w:rsidRDefault="00C628F2" w:rsidP="00DD2858">
      <w:pPr>
        <w:rPr>
          <w:szCs w:val="24"/>
        </w:rPr>
      </w:pPr>
      <w:r>
        <w:rPr>
          <w:szCs w:val="24"/>
        </w:rPr>
        <w:t xml:space="preserve">MSAC Terms of Reference and other </w:t>
      </w:r>
      <w:r w:rsidRPr="00DD2858">
        <w:rPr>
          <w:szCs w:val="24"/>
        </w:rPr>
        <w:t xml:space="preserve">information are available on the MSAC Website at: </w:t>
      </w:r>
      <w:hyperlink r:id="rId11" w:tooltip="This is a link to the MSAC website" w:history="1">
        <w:r w:rsidRPr="00DD2858">
          <w:rPr>
            <w:rStyle w:val="Hyperlink"/>
            <w:color w:val="auto"/>
            <w:szCs w:val="24"/>
          </w:rPr>
          <w:t>www.msac.gov.au</w:t>
        </w:r>
      </w:hyperlink>
      <w:r w:rsidRPr="00DD2858">
        <w:rPr>
          <w:szCs w:val="24"/>
        </w:rPr>
        <w:t xml:space="preserve">.  </w:t>
      </w:r>
    </w:p>
    <w:sectPr w:rsidR="00C628F2" w:rsidRPr="00DD2858" w:rsidSect="00271F18">
      <w:headerReference w:type="even" r:id="rId12"/>
      <w:headerReference w:type="default" r:id="rId13"/>
      <w:footerReference w:type="default" r:id="rId14"/>
      <w:headerReference w:type="first" r:id="rId15"/>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EF" w:rsidRDefault="00DE25EF" w:rsidP="00065623">
      <w:r>
        <w:separator/>
      </w:r>
    </w:p>
  </w:endnote>
  <w:endnote w:type="continuationSeparator" w:id="0">
    <w:p w:rsidR="00DE25EF" w:rsidRDefault="00DE25EF"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F1" w:rsidRDefault="00AD4CF1">
    <w:pPr>
      <w:pStyle w:val="Footer"/>
      <w:jc w:val="right"/>
    </w:pPr>
    <w:r>
      <w:fldChar w:fldCharType="begin"/>
    </w:r>
    <w:r>
      <w:instrText xml:space="preserve"> PAGE   \* MERGEFORMAT </w:instrText>
    </w:r>
    <w:r>
      <w:fldChar w:fldCharType="separate"/>
    </w:r>
    <w:r w:rsidR="009B1A0D">
      <w:rPr>
        <w:noProof/>
      </w:rPr>
      <w:t>13</w:t>
    </w:r>
    <w:r>
      <w:rPr>
        <w:noProof/>
      </w:rPr>
      <w:fldChar w:fldCharType="end"/>
    </w:r>
  </w:p>
  <w:p w:rsidR="00AD4CF1" w:rsidRDefault="00AD4C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EF" w:rsidRDefault="00DE25EF" w:rsidP="00065623">
      <w:r>
        <w:separator/>
      </w:r>
    </w:p>
  </w:footnote>
  <w:footnote w:type="continuationSeparator" w:id="0">
    <w:p w:rsidR="00DE25EF" w:rsidRDefault="00DE25EF" w:rsidP="00065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F1" w:rsidRDefault="00AD4C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F1" w:rsidRDefault="00AD4C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CF1" w:rsidRDefault="00AD4C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E15137"/>
    <w:multiLevelType w:val="hybridMultilevel"/>
    <w:tmpl w:val="ECA891AE"/>
    <w:lvl w:ilvl="0" w:tplc="70E21820">
      <w:start w:val="1"/>
      <w:numFmt w:val="bullet"/>
      <w:lvlText w:val="•"/>
      <w:lvlJc w:val="left"/>
      <w:pPr>
        <w:tabs>
          <w:tab w:val="num" w:pos="720"/>
        </w:tabs>
        <w:ind w:left="720" w:hanging="360"/>
      </w:pPr>
      <w:rPr>
        <w:rFonts w:ascii="Arial" w:hAnsi="Arial" w:hint="default"/>
      </w:rPr>
    </w:lvl>
    <w:lvl w:ilvl="1" w:tplc="AA027BC0">
      <w:start w:val="4"/>
      <w:numFmt w:val="bullet"/>
      <w:lvlText w:val="-"/>
      <w:lvlJc w:val="left"/>
      <w:pPr>
        <w:tabs>
          <w:tab w:val="num" w:pos="1440"/>
        </w:tabs>
        <w:ind w:left="1440" w:hanging="360"/>
      </w:pPr>
      <w:rPr>
        <w:rFonts w:ascii="Calibri" w:eastAsia="Times New Roman" w:hAnsi="Calibri" w:hint="default"/>
      </w:rPr>
    </w:lvl>
    <w:lvl w:ilvl="2" w:tplc="FB988E04" w:tentative="1">
      <w:start w:val="1"/>
      <w:numFmt w:val="bullet"/>
      <w:lvlText w:val="•"/>
      <w:lvlJc w:val="left"/>
      <w:pPr>
        <w:tabs>
          <w:tab w:val="num" w:pos="2160"/>
        </w:tabs>
        <w:ind w:left="2160" w:hanging="360"/>
      </w:pPr>
      <w:rPr>
        <w:rFonts w:ascii="Arial" w:hAnsi="Arial" w:hint="default"/>
      </w:rPr>
    </w:lvl>
    <w:lvl w:ilvl="3" w:tplc="D01C6344" w:tentative="1">
      <w:start w:val="1"/>
      <w:numFmt w:val="bullet"/>
      <w:lvlText w:val="•"/>
      <w:lvlJc w:val="left"/>
      <w:pPr>
        <w:tabs>
          <w:tab w:val="num" w:pos="2880"/>
        </w:tabs>
        <w:ind w:left="2880" w:hanging="360"/>
      </w:pPr>
      <w:rPr>
        <w:rFonts w:ascii="Arial" w:hAnsi="Arial" w:hint="default"/>
      </w:rPr>
    </w:lvl>
    <w:lvl w:ilvl="4" w:tplc="8C482418" w:tentative="1">
      <w:start w:val="1"/>
      <w:numFmt w:val="bullet"/>
      <w:lvlText w:val="•"/>
      <w:lvlJc w:val="left"/>
      <w:pPr>
        <w:tabs>
          <w:tab w:val="num" w:pos="3600"/>
        </w:tabs>
        <w:ind w:left="3600" w:hanging="360"/>
      </w:pPr>
      <w:rPr>
        <w:rFonts w:ascii="Arial" w:hAnsi="Arial" w:hint="default"/>
      </w:rPr>
    </w:lvl>
    <w:lvl w:ilvl="5" w:tplc="336C3134" w:tentative="1">
      <w:start w:val="1"/>
      <w:numFmt w:val="bullet"/>
      <w:lvlText w:val="•"/>
      <w:lvlJc w:val="left"/>
      <w:pPr>
        <w:tabs>
          <w:tab w:val="num" w:pos="4320"/>
        </w:tabs>
        <w:ind w:left="4320" w:hanging="360"/>
      </w:pPr>
      <w:rPr>
        <w:rFonts w:ascii="Arial" w:hAnsi="Arial" w:hint="default"/>
      </w:rPr>
    </w:lvl>
    <w:lvl w:ilvl="6" w:tplc="053ABF94" w:tentative="1">
      <w:start w:val="1"/>
      <w:numFmt w:val="bullet"/>
      <w:lvlText w:val="•"/>
      <w:lvlJc w:val="left"/>
      <w:pPr>
        <w:tabs>
          <w:tab w:val="num" w:pos="5040"/>
        </w:tabs>
        <w:ind w:left="5040" w:hanging="360"/>
      </w:pPr>
      <w:rPr>
        <w:rFonts w:ascii="Arial" w:hAnsi="Arial" w:hint="default"/>
      </w:rPr>
    </w:lvl>
    <w:lvl w:ilvl="7" w:tplc="1FCE7DCC" w:tentative="1">
      <w:start w:val="1"/>
      <w:numFmt w:val="bullet"/>
      <w:lvlText w:val="•"/>
      <w:lvlJc w:val="left"/>
      <w:pPr>
        <w:tabs>
          <w:tab w:val="num" w:pos="5760"/>
        </w:tabs>
        <w:ind w:left="5760" w:hanging="360"/>
      </w:pPr>
      <w:rPr>
        <w:rFonts w:ascii="Arial" w:hAnsi="Arial" w:hint="default"/>
      </w:rPr>
    </w:lvl>
    <w:lvl w:ilvl="8" w:tplc="9A54376E" w:tentative="1">
      <w:start w:val="1"/>
      <w:numFmt w:val="bullet"/>
      <w:lvlText w:val="•"/>
      <w:lvlJc w:val="left"/>
      <w:pPr>
        <w:tabs>
          <w:tab w:val="num" w:pos="6480"/>
        </w:tabs>
        <w:ind w:left="6480" w:hanging="360"/>
      </w:pPr>
      <w:rPr>
        <w:rFonts w:ascii="Arial" w:hAnsi="Arial"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BC6893"/>
    <w:multiLevelType w:val="hybridMultilevel"/>
    <w:tmpl w:val="591C00A8"/>
    <w:lvl w:ilvl="0" w:tplc="70E21820">
      <w:start w:val="1"/>
      <w:numFmt w:val="bullet"/>
      <w:lvlText w:val="•"/>
      <w:lvlJc w:val="left"/>
      <w:pPr>
        <w:tabs>
          <w:tab w:val="num" w:pos="720"/>
        </w:tabs>
        <w:ind w:left="720" w:hanging="360"/>
      </w:pPr>
      <w:rPr>
        <w:rFonts w:ascii="Arial" w:hAnsi="Arial" w:hint="default"/>
      </w:rPr>
    </w:lvl>
    <w:lvl w:ilvl="1" w:tplc="C1428C12">
      <w:start w:val="1081"/>
      <w:numFmt w:val="bullet"/>
      <w:lvlText w:val="•"/>
      <w:lvlJc w:val="left"/>
      <w:pPr>
        <w:tabs>
          <w:tab w:val="num" w:pos="1440"/>
        </w:tabs>
        <w:ind w:left="1440" w:hanging="360"/>
      </w:pPr>
      <w:rPr>
        <w:rFonts w:ascii="Arial" w:hAnsi="Arial" w:hint="default"/>
      </w:rPr>
    </w:lvl>
    <w:lvl w:ilvl="2" w:tplc="FB988E04" w:tentative="1">
      <w:start w:val="1"/>
      <w:numFmt w:val="bullet"/>
      <w:lvlText w:val="•"/>
      <w:lvlJc w:val="left"/>
      <w:pPr>
        <w:tabs>
          <w:tab w:val="num" w:pos="2160"/>
        </w:tabs>
        <w:ind w:left="2160" w:hanging="360"/>
      </w:pPr>
      <w:rPr>
        <w:rFonts w:ascii="Arial" w:hAnsi="Arial" w:hint="default"/>
      </w:rPr>
    </w:lvl>
    <w:lvl w:ilvl="3" w:tplc="D01C6344" w:tentative="1">
      <w:start w:val="1"/>
      <w:numFmt w:val="bullet"/>
      <w:lvlText w:val="•"/>
      <w:lvlJc w:val="left"/>
      <w:pPr>
        <w:tabs>
          <w:tab w:val="num" w:pos="2880"/>
        </w:tabs>
        <w:ind w:left="2880" w:hanging="360"/>
      </w:pPr>
      <w:rPr>
        <w:rFonts w:ascii="Arial" w:hAnsi="Arial" w:hint="default"/>
      </w:rPr>
    </w:lvl>
    <w:lvl w:ilvl="4" w:tplc="8C482418" w:tentative="1">
      <w:start w:val="1"/>
      <w:numFmt w:val="bullet"/>
      <w:lvlText w:val="•"/>
      <w:lvlJc w:val="left"/>
      <w:pPr>
        <w:tabs>
          <w:tab w:val="num" w:pos="3600"/>
        </w:tabs>
        <w:ind w:left="3600" w:hanging="360"/>
      </w:pPr>
      <w:rPr>
        <w:rFonts w:ascii="Arial" w:hAnsi="Arial" w:hint="default"/>
      </w:rPr>
    </w:lvl>
    <w:lvl w:ilvl="5" w:tplc="336C3134" w:tentative="1">
      <w:start w:val="1"/>
      <w:numFmt w:val="bullet"/>
      <w:lvlText w:val="•"/>
      <w:lvlJc w:val="left"/>
      <w:pPr>
        <w:tabs>
          <w:tab w:val="num" w:pos="4320"/>
        </w:tabs>
        <w:ind w:left="4320" w:hanging="360"/>
      </w:pPr>
      <w:rPr>
        <w:rFonts w:ascii="Arial" w:hAnsi="Arial" w:hint="default"/>
      </w:rPr>
    </w:lvl>
    <w:lvl w:ilvl="6" w:tplc="053ABF94" w:tentative="1">
      <w:start w:val="1"/>
      <w:numFmt w:val="bullet"/>
      <w:lvlText w:val="•"/>
      <w:lvlJc w:val="left"/>
      <w:pPr>
        <w:tabs>
          <w:tab w:val="num" w:pos="5040"/>
        </w:tabs>
        <w:ind w:left="5040" w:hanging="360"/>
      </w:pPr>
      <w:rPr>
        <w:rFonts w:ascii="Arial" w:hAnsi="Arial" w:hint="default"/>
      </w:rPr>
    </w:lvl>
    <w:lvl w:ilvl="7" w:tplc="1FCE7DCC" w:tentative="1">
      <w:start w:val="1"/>
      <w:numFmt w:val="bullet"/>
      <w:lvlText w:val="•"/>
      <w:lvlJc w:val="left"/>
      <w:pPr>
        <w:tabs>
          <w:tab w:val="num" w:pos="5760"/>
        </w:tabs>
        <w:ind w:left="5760" w:hanging="360"/>
      </w:pPr>
      <w:rPr>
        <w:rFonts w:ascii="Arial" w:hAnsi="Arial" w:hint="default"/>
      </w:rPr>
    </w:lvl>
    <w:lvl w:ilvl="8" w:tplc="9A54376E" w:tentative="1">
      <w:start w:val="1"/>
      <w:numFmt w:val="bullet"/>
      <w:lvlText w:val="•"/>
      <w:lvlJc w:val="left"/>
      <w:pPr>
        <w:tabs>
          <w:tab w:val="num" w:pos="6480"/>
        </w:tabs>
        <w:ind w:left="6480" w:hanging="360"/>
      </w:pPr>
      <w:rPr>
        <w:rFonts w:ascii="Arial" w:hAnsi="Arial" w:hint="default"/>
      </w:rPr>
    </w:lvl>
  </w:abstractNum>
  <w:abstractNum w:abstractNumId="4">
    <w:nsid w:val="0FC65D09"/>
    <w:multiLevelType w:val="hybridMultilevel"/>
    <w:tmpl w:val="BA7EFDD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142151D"/>
    <w:multiLevelType w:val="hybridMultilevel"/>
    <w:tmpl w:val="425E85D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F52320"/>
    <w:multiLevelType w:val="hybridMultilevel"/>
    <w:tmpl w:val="A2BC729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B650263"/>
    <w:multiLevelType w:val="hybridMultilevel"/>
    <w:tmpl w:val="5EA40C78"/>
    <w:lvl w:ilvl="0" w:tplc="C638E278">
      <w:numFmt w:val="bullet"/>
      <w:pStyle w:val="Guidelines"/>
      <w:lvlText w:val="-"/>
      <w:lvlJc w:val="left"/>
      <w:pPr>
        <w:tabs>
          <w:tab w:val="num" w:pos="720"/>
        </w:tabs>
        <w:ind w:left="720" w:hanging="360"/>
      </w:pPr>
      <w:rPr>
        <w:rFonts w:ascii="Times New Roman" w:eastAsia="Times New Roman" w:hAnsi="Times New Roman" w:hint="default"/>
      </w:rPr>
    </w:lvl>
    <w:lvl w:ilvl="1" w:tplc="4446BC16">
      <w:start w:val="1"/>
      <w:numFmt w:val="bullet"/>
      <w:lvlText w:val="o"/>
      <w:lvlJc w:val="left"/>
      <w:pPr>
        <w:tabs>
          <w:tab w:val="num" w:pos="1440"/>
        </w:tabs>
        <w:ind w:left="1440" w:hanging="360"/>
      </w:pPr>
      <w:rPr>
        <w:rFonts w:ascii="Courier New" w:hAnsi="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1">
    <w:nsid w:val="2C8A534B"/>
    <w:multiLevelType w:val="hybridMultilevel"/>
    <w:tmpl w:val="4ADC2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CD1059D"/>
    <w:multiLevelType w:val="hybridMultilevel"/>
    <w:tmpl w:val="E092054E"/>
    <w:lvl w:ilvl="0" w:tplc="AFB6484C">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35A12A51"/>
    <w:multiLevelType w:val="hybridMultilevel"/>
    <w:tmpl w:val="57A26C3E"/>
    <w:lvl w:ilvl="0" w:tplc="2040A59A">
      <w:start w:val="1"/>
      <w:numFmt w:val="bullet"/>
      <w:lvlText w:val="•"/>
      <w:lvlJc w:val="left"/>
      <w:pPr>
        <w:tabs>
          <w:tab w:val="num" w:pos="720"/>
        </w:tabs>
        <w:ind w:left="720" w:hanging="360"/>
      </w:pPr>
      <w:rPr>
        <w:rFonts w:ascii="Arial" w:hAnsi="Arial" w:hint="default"/>
      </w:rPr>
    </w:lvl>
    <w:lvl w:ilvl="1" w:tplc="7124FCEA">
      <w:start w:val="1213"/>
      <w:numFmt w:val="bullet"/>
      <w:lvlText w:val="•"/>
      <w:lvlJc w:val="left"/>
      <w:pPr>
        <w:tabs>
          <w:tab w:val="num" w:pos="1440"/>
        </w:tabs>
        <w:ind w:left="1440" w:hanging="360"/>
      </w:pPr>
      <w:rPr>
        <w:rFonts w:ascii="Arial" w:hAnsi="Arial" w:hint="default"/>
      </w:rPr>
    </w:lvl>
    <w:lvl w:ilvl="2" w:tplc="660666B6" w:tentative="1">
      <w:start w:val="1"/>
      <w:numFmt w:val="bullet"/>
      <w:lvlText w:val="•"/>
      <w:lvlJc w:val="left"/>
      <w:pPr>
        <w:tabs>
          <w:tab w:val="num" w:pos="2160"/>
        </w:tabs>
        <w:ind w:left="2160" w:hanging="360"/>
      </w:pPr>
      <w:rPr>
        <w:rFonts w:ascii="Arial" w:hAnsi="Arial" w:hint="default"/>
      </w:rPr>
    </w:lvl>
    <w:lvl w:ilvl="3" w:tplc="BCFC9DA4" w:tentative="1">
      <w:start w:val="1"/>
      <w:numFmt w:val="bullet"/>
      <w:lvlText w:val="•"/>
      <w:lvlJc w:val="left"/>
      <w:pPr>
        <w:tabs>
          <w:tab w:val="num" w:pos="2880"/>
        </w:tabs>
        <w:ind w:left="2880" w:hanging="360"/>
      </w:pPr>
      <w:rPr>
        <w:rFonts w:ascii="Arial" w:hAnsi="Arial" w:hint="default"/>
      </w:rPr>
    </w:lvl>
    <w:lvl w:ilvl="4" w:tplc="1EB0CA1C" w:tentative="1">
      <w:start w:val="1"/>
      <w:numFmt w:val="bullet"/>
      <w:lvlText w:val="•"/>
      <w:lvlJc w:val="left"/>
      <w:pPr>
        <w:tabs>
          <w:tab w:val="num" w:pos="3600"/>
        </w:tabs>
        <w:ind w:left="3600" w:hanging="360"/>
      </w:pPr>
      <w:rPr>
        <w:rFonts w:ascii="Arial" w:hAnsi="Arial" w:hint="default"/>
      </w:rPr>
    </w:lvl>
    <w:lvl w:ilvl="5" w:tplc="2BF22F9A" w:tentative="1">
      <w:start w:val="1"/>
      <w:numFmt w:val="bullet"/>
      <w:lvlText w:val="•"/>
      <w:lvlJc w:val="left"/>
      <w:pPr>
        <w:tabs>
          <w:tab w:val="num" w:pos="4320"/>
        </w:tabs>
        <w:ind w:left="4320" w:hanging="360"/>
      </w:pPr>
      <w:rPr>
        <w:rFonts w:ascii="Arial" w:hAnsi="Arial" w:hint="default"/>
      </w:rPr>
    </w:lvl>
    <w:lvl w:ilvl="6" w:tplc="B060F348" w:tentative="1">
      <w:start w:val="1"/>
      <w:numFmt w:val="bullet"/>
      <w:lvlText w:val="•"/>
      <w:lvlJc w:val="left"/>
      <w:pPr>
        <w:tabs>
          <w:tab w:val="num" w:pos="5040"/>
        </w:tabs>
        <w:ind w:left="5040" w:hanging="360"/>
      </w:pPr>
      <w:rPr>
        <w:rFonts w:ascii="Arial" w:hAnsi="Arial" w:hint="default"/>
      </w:rPr>
    </w:lvl>
    <w:lvl w:ilvl="7" w:tplc="D7821902" w:tentative="1">
      <w:start w:val="1"/>
      <w:numFmt w:val="bullet"/>
      <w:lvlText w:val="•"/>
      <w:lvlJc w:val="left"/>
      <w:pPr>
        <w:tabs>
          <w:tab w:val="num" w:pos="5760"/>
        </w:tabs>
        <w:ind w:left="5760" w:hanging="360"/>
      </w:pPr>
      <w:rPr>
        <w:rFonts w:ascii="Arial" w:hAnsi="Arial" w:hint="default"/>
      </w:rPr>
    </w:lvl>
    <w:lvl w:ilvl="8" w:tplc="E36AF0EE" w:tentative="1">
      <w:start w:val="1"/>
      <w:numFmt w:val="bullet"/>
      <w:lvlText w:val="•"/>
      <w:lvlJc w:val="left"/>
      <w:pPr>
        <w:tabs>
          <w:tab w:val="num" w:pos="6480"/>
        </w:tabs>
        <w:ind w:left="6480" w:hanging="360"/>
      </w:pPr>
      <w:rPr>
        <w:rFonts w:ascii="Arial" w:hAnsi="Arial" w:hint="default"/>
      </w:rPr>
    </w:lvl>
  </w:abstractNum>
  <w:abstractNum w:abstractNumId="15">
    <w:nsid w:val="363C4E6B"/>
    <w:multiLevelType w:val="hybridMultilevel"/>
    <w:tmpl w:val="4C749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7B54856"/>
    <w:multiLevelType w:val="hybridMultilevel"/>
    <w:tmpl w:val="C25AA6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687DD1"/>
    <w:multiLevelType w:val="hybridMultilevel"/>
    <w:tmpl w:val="151423FC"/>
    <w:lvl w:ilvl="0" w:tplc="DBFA83DC">
      <w:start w:val="1"/>
      <w:numFmt w:val="bullet"/>
      <w:lvlText w:val=""/>
      <w:lvlJc w:val="left"/>
      <w:pPr>
        <w:ind w:left="720" w:hanging="360"/>
      </w:pPr>
      <w:rPr>
        <w:rFonts w:ascii="Symbol" w:hAnsi="Symbol" w:hint="default"/>
        <w:color w:val="auto"/>
        <w:sz w:val="22"/>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48A264E"/>
    <w:multiLevelType w:val="hybridMultilevel"/>
    <w:tmpl w:val="7BCA8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D9535C"/>
    <w:multiLevelType w:val="hybridMultilevel"/>
    <w:tmpl w:val="82B86918"/>
    <w:lvl w:ilvl="0" w:tplc="2A4065A0">
      <w:start w:val="1"/>
      <w:numFmt w:val="bullet"/>
      <w:lvlText w:val="•"/>
      <w:lvlJc w:val="left"/>
      <w:pPr>
        <w:tabs>
          <w:tab w:val="num" w:pos="720"/>
        </w:tabs>
        <w:ind w:left="720" w:hanging="360"/>
      </w:pPr>
      <w:rPr>
        <w:rFonts w:ascii="Arial" w:hAnsi="Arial" w:hint="default"/>
      </w:rPr>
    </w:lvl>
    <w:lvl w:ilvl="1" w:tplc="273EE4E4">
      <w:start w:val="1"/>
      <w:numFmt w:val="bullet"/>
      <w:lvlText w:val="•"/>
      <w:lvlJc w:val="left"/>
      <w:pPr>
        <w:tabs>
          <w:tab w:val="num" w:pos="1440"/>
        </w:tabs>
        <w:ind w:left="1440" w:hanging="360"/>
      </w:pPr>
      <w:rPr>
        <w:rFonts w:ascii="Arial" w:hAnsi="Arial" w:hint="default"/>
      </w:rPr>
    </w:lvl>
    <w:lvl w:ilvl="2" w:tplc="7E284ACA" w:tentative="1">
      <w:start w:val="1"/>
      <w:numFmt w:val="bullet"/>
      <w:lvlText w:val="•"/>
      <w:lvlJc w:val="left"/>
      <w:pPr>
        <w:tabs>
          <w:tab w:val="num" w:pos="2160"/>
        </w:tabs>
        <w:ind w:left="2160" w:hanging="360"/>
      </w:pPr>
      <w:rPr>
        <w:rFonts w:ascii="Arial" w:hAnsi="Arial" w:hint="default"/>
      </w:rPr>
    </w:lvl>
    <w:lvl w:ilvl="3" w:tplc="9B4E6FC0" w:tentative="1">
      <w:start w:val="1"/>
      <w:numFmt w:val="bullet"/>
      <w:lvlText w:val="•"/>
      <w:lvlJc w:val="left"/>
      <w:pPr>
        <w:tabs>
          <w:tab w:val="num" w:pos="2880"/>
        </w:tabs>
        <w:ind w:left="2880" w:hanging="360"/>
      </w:pPr>
      <w:rPr>
        <w:rFonts w:ascii="Arial" w:hAnsi="Arial" w:hint="default"/>
      </w:rPr>
    </w:lvl>
    <w:lvl w:ilvl="4" w:tplc="B8565D94" w:tentative="1">
      <w:start w:val="1"/>
      <w:numFmt w:val="bullet"/>
      <w:lvlText w:val="•"/>
      <w:lvlJc w:val="left"/>
      <w:pPr>
        <w:tabs>
          <w:tab w:val="num" w:pos="3600"/>
        </w:tabs>
        <w:ind w:left="3600" w:hanging="360"/>
      </w:pPr>
      <w:rPr>
        <w:rFonts w:ascii="Arial" w:hAnsi="Arial" w:hint="default"/>
      </w:rPr>
    </w:lvl>
    <w:lvl w:ilvl="5" w:tplc="4CA6E8C6" w:tentative="1">
      <w:start w:val="1"/>
      <w:numFmt w:val="bullet"/>
      <w:lvlText w:val="•"/>
      <w:lvlJc w:val="left"/>
      <w:pPr>
        <w:tabs>
          <w:tab w:val="num" w:pos="4320"/>
        </w:tabs>
        <w:ind w:left="4320" w:hanging="360"/>
      </w:pPr>
      <w:rPr>
        <w:rFonts w:ascii="Arial" w:hAnsi="Arial" w:hint="default"/>
      </w:rPr>
    </w:lvl>
    <w:lvl w:ilvl="6" w:tplc="96A4B84E" w:tentative="1">
      <w:start w:val="1"/>
      <w:numFmt w:val="bullet"/>
      <w:lvlText w:val="•"/>
      <w:lvlJc w:val="left"/>
      <w:pPr>
        <w:tabs>
          <w:tab w:val="num" w:pos="5040"/>
        </w:tabs>
        <w:ind w:left="5040" w:hanging="360"/>
      </w:pPr>
      <w:rPr>
        <w:rFonts w:ascii="Arial" w:hAnsi="Arial" w:hint="default"/>
      </w:rPr>
    </w:lvl>
    <w:lvl w:ilvl="7" w:tplc="2B2C9102" w:tentative="1">
      <w:start w:val="1"/>
      <w:numFmt w:val="bullet"/>
      <w:lvlText w:val="•"/>
      <w:lvlJc w:val="left"/>
      <w:pPr>
        <w:tabs>
          <w:tab w:val="num" w:pos="5760"/>
        </w:tabs>
        <w:ind w:left="5760" w:hanging="360"/>
      </w:pPr>
      <w:rPr>
        <w:rFonts w:ascii="Arial" w:hAnsi="Arial" w:hint="default"/>
      </w:rPr>
    </w:lvl>
    <w:lvl w:ilvl="8" w:tplc="91C83E2C" w:tentative="1">
      <w:start w:val="1"/>
      <w:numFmt w:val="bullet"/>
      <w:lvlText w:val="•"/>
      <w:lvlJc w:val="left"/>
      <w:pPr>
        <w:tabs>
          <w:tab w:val="num" w:pos="6480"/>
        </w:tabs>
        <w:ind w:left="6480" w:hanging="360"/>
      </w:pPr>
      <w:rPr>
        <w:rFonts w:ascii="Arial" w:hAnsi="Arial" w:hint="default"/>
      </w:rPr>
    </w:lvl>
  </w:abstractNum>
  <w:abstractNum w:abstractNumId="23">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600F779A"/>
    <w:multiLevelType w:val="hybridMultilevel"/>
    <w:tmpl w:val="272C0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1D4F15"/>
    <w:multiLevelType w:val="hybridMultilevel"/>
    <w:tmpl w:val="52AAD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6F2D6DF4"/>
    <w:multiLevelType w:val="hybridMultilevel"/>
    <w:tmpl w:val="12E07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0152914"/>
    <w:multiLevelType w:val="hybridMultilevel"/>
    <w:tmpl w:val="F21814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0843AEB"/>
    <w:multiLevelType w:val="hybridMultilevel"/>
    <w:tmpl w:val="0F80D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4"/>
  </w:num>
  <w:num w:numId="3">
    <w:abstractNumId w:val="2"/>
  </w:num>
  <w:num w:numId="4">
    <w:abstractNumId w:val="26"/>
  </w:num>
  <w:num w:numId="5">
    <w:abstractNumId w:val="18"/>
  </w:num>
  <w:num w:numId="6">
    <w:abstractNumId w:val="25"/>
  </w:num>
  <w:num w:numId="7">
    <w:abstractNumId w:val="31"/>
  </w:num>
  <w:num w:numId="8">
    <w:abstractNumId w:val="20"/>
  </w:num>
  <w:num w:numId="9">
    <w:abstractNumId w:val="40"/>
  </w:num>
  <w:num w:numId="10">
    <w:abstractNumId w:val="0"/>
  </w:num>
  <w:num w:numId="11">
    <w:abstractNumId w:val="28"/>
  </w:num>
  <w:num w:numId="12">
    <w:abstractNumId w:val="32"/>
  </w:num>
  <w:num w:numId="13">
    <w:abstractNumId w:val="6"/>
  </w:num>
  <w:num w:numId="14">
    <w:abstractNumId w:val="36"/>
  </w:num>
  <w:num w:numId="15">
    <w:abstractNumId w:val="27"/>
  </w:num>
  <w:num w:numId="16">
    <w:abstractNumId w:val="33"/>
  </w:num>
  <w:num w:numId="17">
    <w:abstractNumId w:val="21"/>
  </w:num>
  <w:num w:numId="18">
    <w:abstractNumId w:val="23"/>
  </w:num>
  <w:num w:numId="19">
    <w:abstractNumId w:val="35"/>
  </w:num>
  <w:num w:numId="20">
    <w:abstractNumId w:val="34"/>
  </w:num>
  <w:num w:numId="21">
    <w:abstractNumId w:val="5"/>
  </w:num>
  <w:num w:numId="22">
    <w:abstractNumId w:val="16"/>
  </w:num>
  <w:num w:numId="23">
    <w:abstractNumId w:val="4"/>
  </w:num>
  <w:num w:numId="24">
    <w:abstractNumId w:val="13"/>
  </w:num>
  <w:num w:numId="25">
    <w:abstractNumId w:val="15"/>
  </w:num>
  <w:num w:numId="26">
    <w:abstractNumId w:val="7"/>
  </w:num>
  <w:num w:numId="27">
    <w:abstractNumId w:val="30"/>
  </w:num>
  <w:num w:numId="28">
    <w:abstractNumId w:val="39"/>
  </w:num>
  <w:num w:numId="29">
    <w:abstractNumId w:val="10"/>
  </w:num>
  <w:num w:numId="30">
    <w:abstractNumId w:val="12"/>
  </w:num>
  <w:num w:numId="31">
    <w:abstractNumId w:val="19"/>
  </w:num>
  <w:num w:numId="32">
    <w:abstractNumId w:val="14"/>
  </w:num>
  <w:num w:numId="33">
    <w:abstractNumId w:val="3"/>
  </w:num>
  <w:num w:numId="34">
    <w:abstractNumId w:val="1"/>
  </w:num>
  <w:num w:numId="35">
    <w:abstractNumId w:val="9"/>
  </w:num>
  <w:num w:numId="36">
    <w:abstractNumId w:val="22"/>
  </w:num>
  <w:num w:numId="37">
    <w:abstractNumId w:val="38"/>
  </w:num>
  <w:num w:numId="38">
    <w:abstractNumId w:val="17"/>
  </w:num>
  <w:num w:numId="39">
    <w:abstractNumId w:val="29"/>
  </w:num>
  <w:num w:numId="40">
    <w:abstractNumId w:val="11"/>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11A36"/>
    <w:rsid w:val="000142B2"/>
    <w:rsid w:val="00047606"/>
    <w:rsid w:val="000501B6"/>
    <w:rsid w:val="00065623"/>
    <w:rsid w:val="000756B9"/>
    <w:rsid w:val="000774B6"/>
    <w:rsid w:val="00080A8A"/>
    <w:rsid w:val="00082808"/>
    <w:rsid w:val="00096B67"/>
    <w:rsid w:val="00096DAF"/>
    <w:rsid w:val="000A2036"/>
    <w:rsid w:val="000A28E1"/>
    <w:rsid w:val="000A74FE"/>
    <w:rsid w:val="000C2F47"/>
    <w:rsid w:val="000D6C00"/>
    <w:rsid w:val="000E4E04"/>
    <w:rsid w:val="000F14B4"/>
    <w:rsid w:val="000F75DF"/>
    <w:rsid w:val="00106DF0"/>
    <w:rsid w:val="001328FA"/>
    <w:rsid w:val="00145CEF"/>
    <w:rsid w:val="00147AAF"/>
    <w:rsid w:val="001552C0"/>
    <w:rsid w:val="001640B1"/>
    <w:rsid w:val="001702B1"/>
    <w:rsid w:val="00182819"/>
    <w:rsid w:val="0018332B"/>
    <w:rsid w:val="0018435E"/>
    <w:rsid w:val="00196F8C"/>
    <w:rsid w:val="001B1019"/>
    <w:rsid w:val="001B2F67"/>
    <w:rsid w:val="001E214E"/>
    <w:rsid w:val="001F028D"/>
    <w:rsid w:val="001F3246"/>
    <w:rsid w:val="002041A1"/>
    <w:rsid w:val="002054F0"/>
    <w:rsid w:val="00225AD0"/>
    <w:rsid w:val="00230D6B"/>
    <w:rsid w:val="00232068"/>
    <w:rsid w:val="002330F2"/>
    <w:rsid w:val="00243D9E"/>
    <w:rsid w:val="00253B66"/>
    <w:rsid w:val="0026118C"/>
    <w:rsid w:val="00261DF1"/>
    <w:rsid w:val="00264CDF"/>
    <w:rsid w:val="00271F18"/>
    <w:rsid w:val="002728AF"/>
    <w:rsid w:val="002732FC"/>
    <w:rsid w:val="00282779"/>
    <w:rsid w:val="0028334D"/>
    <w:rsid w:val="002B7FFA"/>
    <w:rsid w:val="002C2BCF"/>
    <w:rsid w:val="002E12EE"/>
    <w:rsid w:val="002F279D"/>
    <w:rsid w:val="002F43B8"/>
    <w:rsid w:val="0030094F"/>
    <w:rsid w:val="0030341D"/>
    <w:rsid w:val="003125A1"/>
    <w:rsid w:val="00327AF8"/>
    <w:rsid w:val="0034554D"/>
    <w:rsid w:val="00352224"/>
    <w:rsid w:val="003563F4"/>
    <w:rsid w:val="00362274"/>
    <w:rsid w:val="003671E6"/>
    <w:rsid w:val="00384272"/>
    <w:rsid w:val="00386D67"/>
    <w:rsid w:val="003945B8"/>
    <w:rsid w:val="003A6037"/>
    <w:rsid w:val="003D0037"/>
    <w:rsid w:val="003D6FA2"/>
    <w:rsid w:val="003D7227"/>
    <w:rsid w:val="003D7F29"/>
    <w:rsid w:val="003F2843"/>
    <w:rsid w:val="003F53C9"/>
    <w:rsid w:val="003F7A36"/>
    <w:rsid w:val="00405A6B"/>
    <w:rsid w:val="00407B1F"/>
    <w:rsid w:val="00414C57"/>
    <w:rsid w:val="0041758C"/>
    <w:rsid w:val="00425B0B"/>
    <w:rsid w:val="00431773"/>
    <w:rsid w:val="004539DE"/>
    <w:rsid w:val="00456D20"/>
    <w:rsid w:val="00464ADC"/>
    <w:rsid w:val="00474B2C"/>
    <w:rsid w:val="00475FD0"/>
    <w:rsid w:val="00494FAE"/>
    <w:rsid w:val="004A2CF1"/>
    <w:rsid w:val="004A3542"/>
    <w:rsid w:val="004C3035"/>
    <w:rsid w:val="004C307F"/>
    <w:rsid w:val="004C46BE"/>
    <w:rsid w:val="004D52E0"/>
    <w:rsid w:val="004E03AD"/>
    <w:rsid w:val="004E4BA8"/>
    <w:rsid w:val="004F1164"/>
    <w:rsid w:val="004F7B7C"/>
    <w:rsid w:val="0052243D"/>
    <w:rsid w:val="00527DD5"/>
    <w:rsid w:val="00532435"/>
    <w:rsid w:val="00541E9A"/>
    <w:rsid w:val="00550354"/>
    <w:rsid w:val="00557C1E"/>
    <w:rsid w:val="005646E6"/>
    <w:rsid w:val="00571236"/>
    <w:rsid w:val="005914ED"/>
    <w:rsid w:val="005953A1"/>
    <w:rsid w:val="005A2A5D"/>
    <w:rsid w:val="005B20BE"/>
    <w:rsid w:val="005C2D8B"/>
    <w:rsid w:val="005D0332"/>
    <w:rsid w:val="005D0D8C"/>
    <w:rsid w:val="0062172C"/>
    <w:rsid w:val="00656783"/>
    <w:rsid w:val="00674493"/>
    <w:rsid w:val="00675EC9"/>
    <w:rsid w:val="00677EB9"/>
    <w:rsid w:val="006A0D97"/>
    <w:rsid w:val="006B0CD2"/>
    <w:rsid w:val="006B7EC7"/>
    <w:rsid w:val="006C0034"/>
    <w:rsid w:val="006C0A91"/>
    <w:rsid w:val="006D0B0D"/>
    <w:rsid w:val="006D2C5C"/>
    <w:rsid w:val="006D3470"/>
    <w:rsid w:val="006E0071"/>
    <w:rsid w:val="006E0B77"/>
    <w:rsid w:val="006E369E"/>
    <w:rsid w:val="007054BB"/>
    <w:rsid w:val="00707064"/>
    <w:rsid w:val="00721806"/>
    <w:rsid w:val="00730683"/>
    <w:rsid w:val="00734702"/>
    <w:rsid w:val="0075261F"/>
    <w:rsid w:val="0075468E"/>
    <w:rsid w:val="007665D8"/>
    <w:rsid w:val="00766E36"/>
    <w:rsid w:val="007765F4"/>
    <w:rsid w:val="00776633"/>
    <w:rsid w:val="007830C5"/>
    <w:rsid w:val="00784D53"/>
    <w:rsid w:val="00797797"/>
    <w:rsid w:val="007A2214"/>
    <w:rsid w:val="007A63C9"/>
    <w:rsid w:val="007B32D1"/>
    <w:rsid w:val="007B4F94"/>
    <w:rsid w:val="007B6308"/>
    <w:rsid w:val="007B7095"/>
    <w:rsid w:val="007C5BAD"/>
    <w:rsid w:val="007D24E1"/>
    <w:rsid w:val="007E3AA5"/>
    <w:rsid w:val="007F4CE9"/>
    <w:rsid w:val="007F4E20"/>
    <w:rsid w:val="008038DA"/>
    <w:rsid w:val="00814467"/>
    <w:rsid w:val="008169E0"/>
    <w:rsid w:val="00822C7E"/>
    <w:rsid w:val="00837100"/>
    <w:rsid w:val="00847060"/>
    <w:rsid w:val="00856A33"/>
    <w:rsid w:val="00861380"/>
    <w:rsid w:val="00871C39"/>
    <w:rsid w:val="00890AA5"/>
    <w:rsid w:val="00892620"/>
    <w:rsid w:val="008C7D37"/>
    <w:rsid w:val="008D5885"/>
    <w:rsid w:val="00923FA2"/>
    <w:rsid w:val="009415E8"/>
    <w:rsid w:val="00954A2F"/>
    <w:rsid w:val="00954ACF"/>
    <w:rsid w:val="0096060D"/>
    <w:rsid w:val="00970D3A"/>
    <w:rsid w:val="0097218C"/>
    <w:rsid w:val="0097310E"/>
    <w:rsid w:val="00974A50"/>
    <w:rsid w:val="0097585A"/>
    <w:rsid w:val="009924B0"/>
    <w:rsid w:val="009942C9"/>
    <w:rsid w:val="009947A7"/>
    <w:rsid w:val="009B071C"/>
    <w:rsid w:val="009B1A0D"/>
    <w:rsid w:val="009B35C4"/>
    <w:rsid w:val="009C630A"/>
    <w:rsid w:val="009E0603"/>
    <w:rsid w:val="009E0D98"/>
    <w:rsid w:val="009F43F6"/>
    <w:rsid w:val="00A068A1"/>
    <w:rsid w:val="00A1207D"/>
    <w:rsid w:val="00A12FD8"/>
    <w:rsid w:val="00A15B86"/>
    <w:rsid w:val="00A17174"/>
    <w:rsid w:val="00A219EC"/>
    <w:rsid w:val="00A234E6"/>
    <w:rsid w:val="00A346FC"/>
    <w:rsid w:val="00A34E9C"/>
    <w:rsid w:val="00A71689"/>
    <w:rsid w:val="00A7696D"/>
    <w:rsid w:val="00A84F93"/>
    <w:rsid w:val="00A8591D"/>
    <w:rsid w:val="00A92533"/>
    <w:rsid w:val="00AB1AC5"/>
    <w:rsid w:val="00AB3BFC"/>
    <w:rsid w:val="00AB48F0"/>
    <w:rsid w:val="00AC442E"/>
    <w:rsid w:val="00AC4F2E"/>
    <w:rsid w:val="00AD0C37"/>
    <w:rsid w:val="00AD385F"/>
    <w:rsid w:val="00AD4CF1"/>
    <w:rsid w:val="00AE60B5"/>
    <w:rsid w:val="00AE6E2A"/>
    <w:rsid w:val="00AF45BC"/>
    <w:rsid w:val="00B23A81"/>
    <w:rsid w:val="00B262AD"/>
    <w:rsid w:val="00B31E9C"/>
    <w:rsid w:val="00B36D4B"/>
    <w:rsid w:val="00B445EE"/>
    <w:rsid w:val="00B51C6D"/>
    <w:rsid w:val="00B579A9"/>
    <w:rsid w:val="00B86D64"/>
    <w:rsid w:val="00B9066F"/>
    <w:rsid w:val="00BA4AC5"/>
    <w:rsid w:val="00BC0B9A"/>
    <w:rsid w:val="00BC1364"/>
    <w:rsid w:val="00BC7DE9"/>
    <w:rsid w:val="00BD3CDB"/>
    <w:rsid w:val="00BD6263"/>
    <w:rsid w:val="00BF3103"/>
    <w:rsid w:val="00BF479B"/>
    <w:rsid w:val="00BF4EBA"/>
    <w:rsid w:val="00BF60E9"/>
    <w:rsid w:val="00C02577"/>
    <w:rsid w:val="00C20BEE"/>
    <w:rsid w:val="00C628F2"/>
    <w:rsid w:val="00C67DD2"/>
    <w:rsid w:val="00C76F5C"/>
    <w:rsid w:val="00C963C1"/>
    <w:rsid w:val="00C96BAD"/>
    <w:rsid w:val="00CA6944"/>
    <w:rsid w:val="00CB0F8E"/>
    <w:rsid w:val="00CB7E7D"/>
    <w:rsid w:val="00CC2911"/>
    <w:rsid w:val="00CD3030"/>
    <w:rsid w:val="00CD6CBA"/>
    <w:rsid w:val="00CD6FCB"/>
    <w:rsid w:val="00CD7D09"/>
    <w:rsid w:val="00CE26F1"/>
    <w:rsid w:val="00CE4156"/>
    <w:rsid w:val="00CF0C6D"/>
    <w:rsid w:val="00CF7307"/>
    <w:rsid w:val="00CF7C68"/>
    <w:rsid w:val="00D124FA"/>
    <w:rsid w:val="00D340DE"/>
    <w:rsid w:val="00D344C8"/>
    <w:rsid w:val="00D55723"/>
    <w:rsid w:val="00D605A9"/>
    <w:rsid w:val="00D62FAD"/>
    <w:rsid w:val="00D633B2"/>
    <w:rsid w:val="00D70450"/>
    <w:rsid w:val="00D73D00"/>
    <w:rsid w:val="00D76132"/>
    <w:rsid w:val="00D813ED"/>
    <w:rsid w:val="00D83BFD"/>
    <w:rsid w:val="00D86D94"/>
    <w:rsid w:val="00D86E0C"/>
    <w:rsid w:val="00D90A38"/>
    <w:rsid w:val="00D93103"/>
    <w:rsid w:val="00D9670A"/>
    <w:rsid w:val="00DA0515"/>
    <w:rsid w:val="00DA171E"/>
    <w:rsid w:val="00DA23BD"/>
    <w:rsid w:val="00DA2B6E"/>
    <w:rsid w:val="00DA56AA"/>
    <w:rsid w:val="00DA66E8"/>
    <w:rsid w:val="00DB5833"/>
    <w:rsid w:val="00DC0366"/>
    <w:rsid w:val="00DD2858"/>
    <w:rsid w:val="00DE25EF"/>
    <w:rsid w:val="00E03E33"/>
    <w:rsid w:val="00E16397"/>
    <w:rsid w:val="00E22524"/>
    <w:rsid w:val="00E260D8"/>
    <w:rsid w:val="00E3642A"/>
    <w:rsid w:val="00E415C4"/>
    <w:rsid w:val="00E50016"/>
    <w:rsid w:val="00E50EAA"/>
    <w:rsid w:val="00E656D6"/>
    <w:rsid w:val="00E707FD"/>
    <w:rsid w:val="00E71777"/>
    <w:rsid w:val="00E73A6D"/>
    <w:rsid w:val="00E75F1F"/>
    <w:rsid w:val="00E83294"/>
    <w:rsid w:val="00E977EE"/>
    <w:rsid w:val="00EA5ABA"/>
    <w:rsid w:val="00EA67A2"/>
    <w:rsid w:val="00EC4F98"/>
    <w:rsid w:val="00EC5127"/>
    <w:rsid w:val="00ED6815"/>
    <w:rsid w:val="00EE4997"/>
    <w:rsid w:val="00EF13A3"/>
    <w:rsid w:val="00F0363D"/>
    <w:rsid w:val="00F12F02"/>
    <w:rsid w:val="00F20A5F"/>
    <w:rsid w:val="00F21DFE"/>
    <w:rsid w:val="00F25021"/>
    <w:rsid w:val="00F3048D"/>
    <w:rsid w:val="00F35134"/>
    <w:rsid w:val="00F41812"/>
    <w:rsid w:val="00F42805"/>
    <w:rsid w:val="00F56257"/>
    <w:rsid w:val="00F73333"/>
    <w:rsid w:val="00F95D8F"/>
    <w:rsid w:val="00F9680B"/>
    <w:rsid w:val="00FB350A"/>
    <w:rsid w:val="00FB6D16"/>
    <w:rsid w:val="00FE4CBF"/>
    <w:rsid w:val="00FE731D"/>
    <w:rsid w:val="00FF1420"/>
    <w:rsid w:val="00FF77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5885"/>
    <w:rPr>
      <w:rFonts w:ascii="Arial" w:hAnsi="Arial" w:cs="Times New Roman"/>
      <w:b/>
      <w:bCs/>
      <w:sz w:val="28"/>
      <w:szCs w:val="28"/>
    </w:rPr>
  </w:style>
  <w:style w:type="character" w:customStyle="1" w:styleId="Heading2Char">
    <w:name w:val="Heading 2 Char"/>
    <w:link w:val="Heading2"/>
    <w:uiPriority w:val="99"/>
    <w:semiHidden/>
    <w:locked/>
    <w:rsid w:val="008D5885"/>
    <w:rPr>
      <w:rFonts w:ascii="Cambria" w:hAnsi="Cambria" w:cs="Times New Roman"/>
      <w:b/>
      <w:bCs/>
      <w:color w:val="4F81BD"/>
      <w:sz w:val="26"/>
      <w:szCs w:val="26"/>
    </w:rPr>
  </w:style>
  <w:style w:type="character" w:styleId="Hyperlink">
    <w:name w:val="Hyperlink"/>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link w:val="FootnoteText"/>
    <w:uiPriority w:val="99"/>
    <w:semiHidden/>
    <w:locked/>
    <w:rsid w:val="00065623"/>
    <w:rPr>
      <w:rFonts w:eastAsia="Times New Roman" w:cs="Times New Roman"/>
      <w:sz w:val="20"/>
      <w:szCs w:val="20"/>
      <w:lang w:eastAsia="en-AU"/>
    </w:rPr>
  </w:style>
  <w:style w:type="character" w:styleId="FootnoteReference">
    <w:name w:val="footnote reference"/>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link w:val="Footer"/>
    <w:uiPriority w:val="99"/>
    <w:locked/>
    <w:rsid w:val="00707064"/>
    <w:rPr>
      <w:rFonts w:eastAsia="Times New Roman" w:cs="Times New Roman"/>
      <w:sz w:val="20"/>
      <w:szCs w:val="20"/>
      <w:lang w:eastAsia="en-AU"/>
    </w:rPr>
  </w:style>
  <w:style w:type="character" w:styleId="CommentReference">
    <w:name w:val="annotation reference"/>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locked/>
    <w:rsid w:val="00721806"/>
    <w:pPr>
      <w:keepNext/>
      <w:spacing w:after="40"/>
      <w:ind w:left="709" w:hanging="709"/>
    </w:pPr>
    <w:rPr>
      <w:rFonts w:ascii="Arial Narrow" w:hAnsi="Arial Narrow"/>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locked/>
    <w:rsid w:val="00721806"/>
    <w:rPr>
      <w:rFonts w:ascii="Arial Narrow" w:hAnsi="Arial Narrow"/>
      <w:b/>
      <w:sz w:val="20"/>
      <w:lang w:val="en-GB" w:eastAsia="ja-JP"/>
    </w:rPr>
  </w:style>
  <w:style w:type="paragraph" w:customStyle="1" w:styleId="Tabletext">
    <w:name w:val="Table text"/>
    <w:basedOn w:val="Normal"/>
    <w:link w:val="TabletextChar"/>
    <w:uiPriority w:val="99"/>
    <w:rsid w:val="00721806"/>
    <w:rPr>
      <w:rFonts w:ascii="Arial Narrow" w:hAnsi="Arial Narrow"/>
      <w:sz w:val="20"/>
      <w:szCs w:val="24"/>
      <w:lang w:eastAsia="en-US"/>
    </w:rPr>
  </w:style>
  <w:style w:type="character" w:customStyle="1" w:styleId="TabletextChar">
    <w:name w:val="Table text Char"/>
    <w:link w:val="Tabletext"/>
    <w:uiPriority w:val="99"/>
    <w:locked/>
    <w:rsid w:val="00721806"/>
    <w:rPr>
      <w:rFonts w:ascii="Arial Narrow" w:hAnsi="Arial Narrow" w:cs="Times New Roman"/>
      <w:sz w:val="24"/>
      <w:szCs w:val="24"/>
      <w:lang w:eastAsia="en-US"/>
    </w:rPr>
  </w:style>
  <w:style w:type="paragraph" w:customStyle="1" w:styleId="Tabletextcentred">
    <w:name w:val="Table text centred"/>
    <w:basedOn w:val="Tabletext"/>
    <w:link w:val="TabletextcentredChar"/>
    <w:uiPriority w:val="99"/>
    <w:rsid w:val="00721806"/>
    <w:pPr>
      <w:jc w:val="center"/>
    </w:pPr>
  </w:style>
  <w:style w:type="character" w:customStyle="1" w:styleId="TabletextcentredChar">
    <w:name w:val="Table text centred Char"/>
    <w:link w:val="Tabletextcentred"/>
    <w:uiPriority w:val="99"/>
    <w:locked/>
    <w:rsid w:val="00721806"/>
    <w:rPr>
      <w:rFonts w:ascii="Arial Narrow" w:hAnsi="Arial Narrow" w:cs="Times New Roman"/>
      <w:sz w:val="24"/>
      <w:szCs w:val="24"/>
      <w:lang w:eastAsia="en-US"/>
    </w:rPr>
  </w:style>
  <w:style w:type="paragraph" w:customStyle="1" w:styleId="Tablenotes">
    <w:name w:val="Tablenotes"/>
    <w:basedOn w:val="Normal"/>
    <w:uiPriority w:val="99"/>
    <w:rsid w:val="00721806"/>
    <w:pPr>
      <w:spacing w:before="40" w:after="360"/>
    </w:pPr>
    <w:rPr>
      <w:rFonts w:ascii="Arial Narrow" w:hAnsi="Arial Narrow"/>
      <w:sz w:val="18"/>
      <w:szCs w:val="18"/>
      <w:lang w:eastAsia="en-GB"/>
    </w:rPr>
  </w:style>
  <w:style w:type="paragraph" w:customStyle="1" w:styleId="Guidelines">
    <w:name w:val="Guidelines"/>
    <w:basedOn w:val="Normal"/>
    <w:link w:val="GuidelinesChar"/>
    <w:uiPriority w:val="99"/>
    <w:rsid w:val="00721806"/>
    <w:pPr>
      <w:numPr>
        <w:numId w:val="29"/>
      </w:numPr>
      <w:tabs>
        <w:tab w:val="num" w:pos="1080"/>
      </w:tabs>
      <w:jc w:val="both"/>
    </w:pPr>
    <w:rPr>
      <w:rFonts w:ascii="Garamond" w:hAnsi="Garamond"/>
      <w:color w:val="548DD4"/>
      <w:szCs w:val="24"/>
      <w:lang w:eastAsia="en-US"/>
    </w:rPr>
  </w:style>
  <w:style w:type="paragraph" w:customStyle="1" w:styleId="Tablecaption">
    <w:name w:val="Table caption"/>
    <w:basedOn w:val="Normal"/>
    <w:link w:val="TablecaptionChar"/>
    <w:uiPriority w:val="99"/>
    <w:rsid w:val="00721806"/>
    <w:pPr>
      <w:keepNext/>
      <w:keepLines/>
      <w:jc w:val="both"/>
    </w:pPr>
    <w:rPr>
      <w:rFonts w:ascii="Arial Narrow" w:hAnsi="Arial Narrow" w:cs="Arial"/>
      <w:sz w:val="20"/>
      <w:lang w:eastAsia="en-US"/>
    </w:rPr>
  </w:style>
  <w:style w:type="character" w:customStyle="1" w:styleId="GuidelinesChar">
    <w:name w:val="Guidelines Char"/>
    <w:link w:val="Guidelines"/>
    <w:uiPriority w:val="99"/>
    <w:locked/>
    <w:rsid w:val="00721806"/>
    <w:rPr>
      <w:rFonts w:ascii="Garamond" w:hAnsi="Garamond" w:cs="Times New Roman"/>
      <w:color w:val="548DD4"/>
      <w:sz w:val="24"/>
      <w:szCs w:val="24"/>
      <w:lang w:eastAsia="en-US"/>
    </w:rPr>
  </w:style>
  <w:style w:type="character" w:customStyle="1" w:styleId="TablecaptionChar">
    <w:name w:val="Table caption Char"/>
    <w:link w:val="Tablecaption"/>
    <w:uiPriority w:val="99"/>
    <w:locked/>
    <w:rsid w:val="00721806"/>
    <w:rPr>
      <w:rFonts w:ascii="Arial Narrow" w:hAnsi="Arial Narrow" w:cs="Arial"/>
      <w:sz w:val="20"/>
      <w:szCs w:val="20"/>
      <w:lang w:eastAsia="en-US"/>
    </w:rPr>
  </w:style>
  <w:style w:type="paragraph" w:customStyle="1" w:styleId="ESHeading2">
    <w:name w:val="ES Heading 2"/>
    <w:basedOn w:val="Heading2"/>
    <w:link w:val="ESHeading2Char"/>
    <w:uiPriority w:val="99"/>
    <w:rsid w:val="00721806"/>
    <w:pPr>
      <w:keepLines w:val="0"/>
      <w:spacing w:before="0"/>
      <w:ind w:left="576" w:hanging="576"/>
      <w:jc w:val="both"/>
    </w:pPr>
    <w:rPr>
      <w:rFonts w:ascii="Garamond" w:hAnsi="Garamond"/>
      <w:iCs/>
      <w:szCs w:val="28"/>
    </w:rPr>
  </w:style>
  <w:style w:type="character" w:customStyle="1" w:styleId="ESHeading2Char">
    <w:name w:val="ES Heading 2 Char"/>
    <w:link w:val="ESHeading2"/>
    <w:uiPriority w:val="99"/>
    <w:locked/>
    <w:rsid w:val="00721806"/>
    <w:rPr>
      <w:rFonts w:ascii="Garamond" w:hAnsi="Garamond" w:cs="Times New Roman"/>
      <w:b/>
      <w:bCs/>
      <w:iCs/>
      <w:color w:val="4F81BD"/>
      <w:sz w:val="28"/>
      <w:szCs w:val="28"/>
    </w:rPr>
  </w:style>
  <w:style w:type="table" w:styleId="TableGrid">
    <w:name w:val="Table Grid"/>
    <w:aliases w:val="Summary box"/>
    <w:basedOn w:val="TableNormal"/>
    <w:uiPriority w:val="99"/>
    <w:locked/>
    <w:rsid w:val="0072180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erChar">
    <w:name w:val="Table footer Char"/>
    <w:link w:val="Tablefooter"/>
    <w:uiPriority w:val="99"/>
    <w:locked/>
    <w:rsid w:val="00721806"/>
    <w:rPr>
      <w:rFonts w:ascii="Arial Narrow" w:hAnsi="Arial Narrow"/>
      <w:sz w:val="16"/>
    </w:rPr>
  </w:style>
  <w:style w:type="paragraph" w:customStyle="1" w:styleId="Tablefooter">
    <w:name w:val="Table footer"/>
    <w:basedOn w:val="Normal"/>
    <w:link w:val="TablefooterChar"/>
    <w:uiPriority w:val="99"/>
    <w:rsid w:val="00721806"/>
    <w:pPr>
      <w:spacing w:before="80" w:after="80"/>
    </w:pPr>
    <w:rPr>
      <w:rFonts w:ascii="Arial Narrow" w:eastAsia="Calibri" w:hAnsi="Arial Narrow"/>
      <w:sz w:val="16"/>
      <w:szCs w:val="16"/>
      <w:lang w:eastAsia="ja-JP"/>
    </w:rPr>
  </w:style>
  <w:style w:type="character" w:styleId="IntenseReference">
    <w:name w:val="Intense Reference"/>
    <w:uiPriority w:val="99"/>
    <w:qFormat/>
    <w:rsid w:val="00721806"/>
    <w:rPr>
      <w:rFonts w:cs="Times New Roman"/>
      <w:b/>
      <w:bCs/>
      <w:i/>
      <w:smallCaps/>
      <w:color w:val="C0504D"/>
      <w:spacing w:val="5"/>
      <w:u w:val="none"/>
    </w:rPr>
  </w:style>
  <w:style w:type="paragraph" w:customStyle="1" w:styleId="Style2">
    <w:name w:val="Style2"/>
    <w:basedOn w:val="Normal"/>
    <w:link w:val="Style2Char"/>
    <w:uiPriority w:val="99"/>
    <w:rsid w:val="00464ADC"/>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link w:val="Style2"/>
    <w:uiPriority w:val="99"/>
    <w:locked/>
    <w:rsid w:val="00464ADC"/>
    <w:rPr>
      <w:rFonts w:ascii="Arial" w:hAnsi="Arial" w:cs="Arial"/>
      <w:color w:val="3366FF"/>
      <w:sz w:val="24"/>
      <w:szCs w:val="24"/>
    </w:rPr>
  </w:style>
  <w:style w:type="paragraph" w:styleId="Revision">
    <w:name w:val="Revision"/>
    <w:hidden/>
    <w:uiPriority w:val="99"/>
    <w:semiHidden/>
    <w:rsid w:val="007830C5"/>
    <w:rPr>
      <w:rFonts w:eastAsia="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uiPriority w:val="99"/>
    <w:qFormat/>
    <w:locked/>
    <w:rsid w:val="008D5885"/>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D5885"/>
    <w:rPr>
      <w:rFonts w:ascii="Arial" w:hAnsi="Arial" w:cs="Times New Roman"/>
      <w:b/>
      <w:bCs/>
      <w:sz w:val="28"/>
      <w:szCs w:val="28"/>
    </w:rPr>
  </w:style>
  <w:style w:type="character" w:customStyle="1" w:styleId="Heading2Char">
    <w:name w:val="Heading 2 Char"/>
    <w:link w:val="Heading2"/>
    <w:uiPriority w:val="99"/>
    <w:semiHidden/>
    <w:locked/>
    <w:rsid w:val="008D5885"/>
    <w:rPr>
      <w:rFonts w:ascii="Cambria" w:hAnsi="Cambria" w:cs="Times New Roman"/>
      <w:b/>
      <w:bCs/>
      <w:color w:val="4F81BD"/>
      <w:sz w:val="26"/>
      <w:szCs w:val="26"/>
    </w:rPr>
  </w:style>
  <w:style w:type="character" w:styleId="Hyperlink">
    <w:name w:val="Hyperlink"/>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link w:val="FootnoteText"/>
    <w:uiPriority w:val="99"/>
    <w:semiHidden/>
    <w:locked/>
    <w:rsid w:val="00065623"/>
    <w:rPr>
      <w:rFonts w:eastAsia="Times New Roman" w:cs="Times New Roman"/>
      <w:sz w:val="20"/>
      <w:szCs w:val="20"/>
      <w:lang w:eastAsia="en-AU"/>
    </w:rPr>
  </w:style>
  <w:style w:type="character" w:styleId="FootnoteReference">
    <w:name w:val="footnote reference"/>
    <w:uiPriority w:val="99"/>
    <w:semiHidden/>
    <w:rsid w:val="00065623"/>
    <w:rPr>
      <w:rFonts w:cs="Times New Roman"/>
      <w:vertAlign w:val="superscript"/>
    </w:rPr>
  </w:style>
  <w:style w:type="paragraph" w:styleId="ListParagraph">
    <w:name w:val="List Paragraph"/>
    <w:basedOn w:val="Normal"/>
    <w:uiPriority w:val="99"/>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link w:val="Footer"/>
    <w:uiPriority w:val="99"/>
    <w:locked/>
    <w:rsid w:val="00707064"/>
    <w:rPr>
      <w:rFonts w:eastAsia="Times New Roman" w:cs="Times New Roman"/>
      <w:sz w:val="20"/>
      <w:szCs w:val="20"/>
      <w:lang w:eastAsia="en-AU"/>
    </w:rPr>
  </w:style>
  <w:style w:type="character" w:styleId="CommentReference">
    <w:name w:val="annotation reference"/>
    <w:uiPriority w:val="99"/>
    <w:rsid w:val="00974A50"/>
    <w:rPr>
      <w:rFonts w:cs="Times New Roman"/>
      <w:sz w:val="16"/>
      <w:szCs w:val="16"/>
    </w:rPr>
  </w:style>
  <w:style w:type="paragraph" w:styleId="CommentText">
    <w:name w:val="annotation text"/>
    <w:basedOn w:val="Normal"/>
    <w:link w:val="CommentTextChar"/>
    <w:uiPriority w:val="99"/>
    <w:semiHidden/>
    <w:rsid w:val="00974A50"/>
    <w:rPr>
      <w:sz w:val="20"/>
    </w:rPr>
  </w:style>
  <w:style w:type="character" w:customStyle="1" w:styleId="CommentTextChar">
    <w:name w:val="Comment Text Char"/>
    <w:link w:val="CommentText"/>
    <w:uiPriority w:val="99"/>
    <w:semiHidden/>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uiPriority w:val="99"/>
    <w:rsid w:val="00E50016"/>
    <w:pPr>
      <w:autoSpaceDE w:val="0"/>
      <w:autoSpaceDN w:val="0"/>
      <w:adjustRightInd w:val="0"/>
    </w:pPr>
    <w:rPr>
      <w:color w:val="000000"/>
      <w:sz w:val="24"/>
      <w:szCs w:val="24"/>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99"/>
    <w:qFormat/>
    <w:locked/>
    <w:rsid w:val="00721806"/>
    <w:pPr>
      <w:keepNext/>
      <w:spacing w:after="40"/>
      <w:ind w:left="709" w:hanging="709"/>
    </w:pPr>
    <w:rPr>
      <w:rFonts w:ascii="Arial Narrow" w:hAnsi="Arial Narrow"/>
      <w:b/>
      <w:sz w:val="20"/>
      <w:lang w:val="en-GB" w:eastAsia="ja-JP"/>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link w:val="Caption"/>
    <w:uiPriority w:val="99"/>
    <w:locked/>
    <w:rsid w:val="00721806"/>
    <w:rPr>
      <w:rFonts w:ascii="Arial Narrow" w:hAnsi="Arial Narrow"/>
      <w:b/>
      <w:sz w:val="20"/>
      <w:lang w:val="en-GB" w:eastAsia="ja-JP"/>
    </w:rPr>
  </w:style>
  <w:style w:type="paragraph" w:customStyle="1" w:styleId="Tabletext">
    <w:name w:val="Table text"/>
    <w:basedOn w:val="Normal"/>
    <w:link w:val="TabletextChar"/>
    <w:uiPriority w:val="99"/>
    <w:rsid w:val="00721806"/>
    <w:rPr>
      <w:rFonts w:ascii="Arial Narrow" w:hAnsi="Arial Narrow"/>
      <w:sz w:val="20"/>
      <w:szCs w:val="24"/>
      <w:lang w:eastAsia="en-US"/>
    </w:rPr>
  </w:style>
  <w:style w:type="character" w:customStyle="1" w:styleId="TabletextChar">
    <w:name w:val="Table text Char"/>
    <w:link w:val="Tabletext"/>
    <w:uiPriority w:val="99"/>
    <w:locked/>
    <w:rsid w:val="00721806"/>
    <w:rPr>
      <w:rFonts w:ascii="Arial Narrow" w:hAnsi="Arial Narrow" w:cs="Times New Roman"/>
      <w:sz w:val="24"/>
      <w:szCs w:val="24"/>
      <w:lang w:eastAsia="en-US"/>
    </w:rPr>
  </w:style>
  <w:style w:type="paragraph" w:customStyle="1" w:styleId="Tabletextcentred">
    <w:name w:val="Table text centred"/>
    <w:basedOn w:val="Tabletext"/>
    <w:link w:val="TabletextcentredChar"/>
    <w:uiPriority w:val="99"/>
    <w:rsid w:val="00721806"/>
    <w:pPr>
      <w:jc w:val="center"/>
    </w:pPr>
  </w:style>
  <w:style w:type="character" w:customStyle="1" w:styleId="TabletextcentredChar">
    <w:name w:val="Table text centred Char"/>
    <w:link w:val="Tabletextcentred"/>
    <w:uiPriority w:val="99"/>
    <w:locked/>
    <w:rsid w:val="00721806"/>
    <w:rPr>
      <w:rFonts w:ascii="Arial Narrow" w:hAnsi="Arial Narrow" w:cs="Times New Roman"/>
      <w:sz w:val="24"/>
      <w:szCs w:val="24"/>
      <w:lang w:eastAsia="en-US"/>
    </w:rPr>
  </w:style>
  <w:style w:type="paragraph" w:customStyle="1" w:styleId="Tablenotes">
    <w:name w:val="Tablenotes"/>
    <w:basedOn w:val="Normal"/>
    <w:uiPriority w:val="99"/>
    <w:rsid w:val="00721806"/>
    <w:pPr>
      <w:spacing w:before="40" w:after="360"/>
    </w:pPr>
    <w:rPr>
      <w:rFonts w:ascii="Arial Narrow" w:hAnsi="Arial Narrow"/>
      <w:sz w:val="18"/>
      <w:szCs w:val="18"/>
      <w:lang w:eastAsia="en-GB"/>
    </w:rPr>
  </w:style>
  <w:style w:type="paragraph" w:customStyle="1" w:styleId="Guidelines">
    <w:name w:val="Guidelines"/>
    <w:basedOn w:val="Normal"/>
    <w:link w:val="GuidelinesChar"/>
    <w:uiPriority w:val="99"/>
    <w:rsid w:val="00721806"/>
    <w:pPr>
      <w:numPr>
        <w:numId w:val="29"/>
      </w:numPr>
      <w:tabs>
        <w:tab w:val="num" w:pos="1080"/>
      </w:tabs>
      <w:jc w:val="both"/>
    </w:pPr>
    <w:rPr>
      <w:rFonts w:ascii="Garamond" w:hAnsi="Garamond"/>
      <w:color w:val="548DD4"/>
      <w:szCs w:val="24"/>
      <w:lang w:eastAsia="en-US"/>
    </w:rPr>
  </w:style>
  <w:style w:type="paragraph" w:customStyle="1" w:styleId="Tablecaption">
    <w:name w:val="Table caption"/>
    <w:basedOn w:val="Normal"/>
    <w:link w:val="TablecaptionChar"/>
    <w:uiPriority w:val="99"/>
    <w:rsid w:val="00721806"/>
    <w:pPr>
      <w:keepNext/>
      <w:keepLines/>
      <w:jc w:val="both"/>
    </w:pPr>
    <w:rPr>
      <w:rFonts w:ascii="Arial Narrow" w:hAnsi="Arial Narrow" w:cs="Arial"/>
      <w:sz w:val="20"/>
      <w:lang w:eastAsia="en-US"/>
    </w:rPr>
  </w:style>
  <w:style w:type="character" w:customStyle="1" w:styleId="GuidelinesChar">
    <w:name w:val="Guidelines Char"/>
    <w:link w:val="Guidelines"/>
    <w:uiPriority w:val="99"/>
    <w:locked/>
    <w:rsid w:val="00721806"/>
    <w:rPr>
      <w:rFonts w:ascii="Garamond" w:hAnsi="Garamond" w:cs="Times New Roman"/>
      <w:color w:val="548DD4"/>
      <w:sz w:val="24"/>
      <w:szCs w:val="24"/>
      <w:lang w:eastAsia="en-US"/>
    </w:rPr>
  </w:style>
  <w:style w:type="character" w:customStyle="1" w:styleId="TablecaptionChar">
    <w:name w:val="Table caption Char"/>
    <w:link w:val="Tablecaption"/>
    <w:uiPriority w:val="99"/>
    <w:locked/>
    <w:rsid w:val="00721806"/>
    <w:rPr>
      <w:rFonts w:ascii="Arial Narrow" w:hAnsi="Arial Narrow" w:cs="Arial"/>
      <w:sz w:val="20"/>
      <w:szCs w:val="20"/>
      <w:lang w:eastAsia="en-US"/>
    </w:rPr>
  </w:style>
  <w:style w:type="paragraph" w:customStyle="1" w:styleId="ESHeading2">
    <w:name w:val="ES Heading 2"/>
    <w:basedOn w:val="Heading2"/>
    <w:link w:val="ESHeading2Char"/>
    <w:uiPriority w:val="99"/>
    <w:rsid w:val="00721806"/>
    <w:pPr>
      <w:keepLines w:val="0"/>
      <w:spacing w:before="0"/>
      <w:ind w:left="576" w:hanging="576"/>
      <w:jc w:val="both"/>
    </w:pPr>
    <w:rPr>
      <w:rFonts w:ascii="Garamond" w:hAnsi="Garamond"/>
      <w:iCs/>
      <w:szCs w:val="28"/>
    </w:rPr>
  </w:style>
  <w:style w:type="character" w:customStyle="1" w:styleId="ESHeading2Char">
    <w:name w:val="ES Heading 2 Char"/>
    <w:link w:val="ESHeading2"/>
    <w:uiPriority w:val="99"/>
    <w:locked/>
    <w:rsid w:val="00721806"/>
    <w:rPr>
      <w:rFonts w:ascii="Garamond" w:hAnsi="Garamond" w:cs="Times New Roman"/>
      <w:b/>
      <w:bCs/>
      <w:iCs/>
      <w:color w:val="4F81BD"/>
      <w:sz w:val="28"/>
      <w:szCs w:val="28"/>
    </w:rPr>
  </w:style>
  <w:style w:type="table" w:styleId="TableGrid">
    <w:name w:val="Table Grid"/>
    <w:aliases w:val="Summary box"/>
    <w:basedOn w:val="TableNormal"/>
    <w:uiPriority w:val="99"/>
    <w:locked/>
    <w:rsid w:val="00721806"/>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erChar">
    <w:name w:val="Table footer Char"/>
    <w:link w:val="Tablefooter"/>
    <w:uiPriority w:val="99"/>
    <w:locked/>
    <w:rsid w:val="00721806"/>
    <w:rPr>
      <w:rFonts w:ascii="Arial Narrow" w:hAnsi="Arial Narrow"/>
      <w:sz w:val="16"/>
    </w:rPr>
  </w:style>
  <w:style w:type="paragraph" w:customStyle="1" w:styleId="Tablefooter">
    <w:name w:val="Table footer"/>
    <w:basedOn w:val="Normal"/>
    <w:link w:val="TablefooterChar"/>
    <w:uiPriority w:val="99"/>
    <w:rsid w:val="00721806"/>
    <w:pPr>
      <w:spacing w:before="80" w:after="80"/>
    </w:pPr>
    <w:rPr>
      <w:rFonts w:ascii="Arial Narrow" w:eastAsia="Calibri" w:hAnsi="Arial Narrow"/>
      <w:sz w:val="16"/>
      <w:szCs w:val="16"/>
      <w:lang w:eastAsia="ja-JP"/>
    </w:rPr>
  </w:style>
  <w:style w:type="character" w:styleId="IntenseReference">
    <w:name w:val="Intense Reference"/>
    <w:uiPriority w:val="99"/>
    <w:qFormat/>
    <w:rsid w:val="00721806"/>
    <w:rPr>
      <w:rFonts w:cs="Times New Roman"/>
      <w:b/>
      <w:bCs/>
      <w:i/>
      <w:smallCaps/>
      <w:color w:val="C0504D"/>
      <w:spacing w:val="5"/>
      <w:u w:val="none"/>
    </w:rPr>
  </w:style>
  <w:style w:type="paragraph" w:customStyle="1" w:styleId="Style2">
    <w:name w:val="Style2"/>
    <w:basedOn w:val="Normal"/>
    <w:link w:val="Style2Char"/>
    <w:uiPriority w:val="99"/>
    <w:rsid w:val="00464ADC"/>
    <w:pPr>
      <w:tabs>
        <w:tab w:val="num" w:pos="360"/>
        <w:tab w:val="left" w:pos="720"/>
        <w:tab w:val="left" w:pos="1140"/>
      </w:tabs>
      <w:spacing w:before="120"/>
      <w:ind w:left="360" w:hanging="360"/>
    </w:pPr>
    <w:rPr>
      <w:rFonts w:ascii="Arial" w:hAnsi="Arial" w:cs="Arial"/>
      <w:color w:val="3366FF"/>
      <w:szCs w:val="24"/>
    </w:rPr>
  </w:style>
  <w:style w:type="character" w:customStyle="1" w:styleId="Style2Char">
    <w:name w:val="Style2 Char"/>
    <w:link w:val="Style2"/>
    <w:uiPriority w:val="99"/>
    <w:locked/>
    <w:rsid w:val="00464ADC"/>
    <w:rPr>
      <w:rFonts w:ascii="Arial" w:hAnsi="Arial" w:cs="Arial"/>
      <w:color w:val="3366FF"/>
      <w:sz w:val="24"/>
      <w:szCs w:val="24"/>
    </w:rPr>
  </w:style>
  <w:style w:type="paragraph" w:styleId="Revision">
    <w:name w:val="Revision"/>
    <w:hidden/>
    <w:uiPriority w:val="99"/>
    <w:semiHidden/>
    <w:rsid w:val="007830C5"/>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21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5228</Words>
  <Characters>29805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5</cp:revision>
  <cp:lastPrinted>2014-01-23T05:11:00Z</cp:lastPrinted>
  <dcterms:created xsi:type="dcterms:W3CDTF">2015-03-04T03:42:00Z</dcterms:created>
  <dcterms:modified xsi:type="dcterms:W3CDTF">2015-03-05T04:16:00Z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